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44542" w:rsidR="00A1159F" w:rsidP="01E56A7D" w:rsidRDefault="00A85A87" w14:paraId="57B6FA67" w14:textId="79F17B21">
      <w:pPr>
        <w:spacing w:after="200" w:line="276" w:lineRule="auto"/>
        <w:jc w:val="both"/>
        <w:rPr>
          <w:rFonts w:ascii="Arial" w:hAnsi="Arial" w:cs="Arial"/>
          <w:b/>
          <w:bCs/>
          <w:sz w:val="22"/>
          <w:szCs w:val="22"/>
          <w:lang w:val="es-ES"/>
        </w:rPr>
      </w:pPr>
      <w:r w:rsidRPr="00544542">
        <w:rPr>
          <w:rFonts w:ascii="Arial" w:hAnsi="Arial" w:cs="Arial"/>
          <w:noProof/>
          <w:sz w:val="22"/>
          <w:szCs w:val="22"/>
          <w:lang w:val="es-ES"/>
        </w:rPr>
        <w:drawing>
          <wp:anchor distT="0" distB="0" distL="114300" distR="114300" simplePos="0" relativeHeight="251658242" behindDoc="0" locked="0" layoutInCell="1" allowOverlap="1" wp14:anchorId="3F530345" wp14:editId="07F2BD73">
            <wp:simplePos x="0" y="0"/>
            <wp:positionH relativeFrom="column">
              <wp:posOffset>0</wp:posOffset>
            </wp:positionH>
            <wp:positionV relativeFrom="paragraph">
              <wp:posOffset>-235091</wp:posOffset>
            </wp:positionV>
            <wp:extent cx="2337435" cy="1275715"/>
            <wp:effectExtent l="0" t="0" r="0" b="0"/>
            <wp:wrapNone/>
            <wp:docPr id="5" name="Picture 5" descr="../../../Desktop/bid_espan_ol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bid_espan_ol_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7435"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4542" w:rsidR="00A1159F">
        <w:rPr>
          <w:rFonts w:ascii="Arial" w:hAnsi="Arial" w:cs="Arial"/>
          <w:noProof/>
          <w:lang w:val="es-ES"/>
        </w:rPr>
        <mc:AlternateContent>
          <mc:Choice Requires="wps">
            <w:drawing>
              <wp:anchor distT="36576" distB="36576" distL="36576" distR="36576" simplePos="0" relativeHeight="251658240" behindDoc="0" locked="0" layoutInCell="1" allowOverlap="1" wp14:anchorId="7A603438" wp14:editId="57C04CBE">
                <wp:simplePos x="0" y="0"/>
                <wp:positionH relativeFrom="column">
                  <wp:posOffset>3538855</wp:posOffset>
                </wp:positionH>
                <wp:positionV relativeFrom="page">
                  <wp:posOffset>0</wp:posOffset>
                </wp:positionV>
                <wp:extent cx="3319145" cy="10125075"/>
                <wp:effectExtent l="0" t="0" r="0" b="9525"/>
                <wp:wrapTight wrapText="bothSides">
                  <wp:wrapPolygon edited="0">
                    <wp:start x="0" y="0"/>
                    <wp:lineTo x="0" y="21580"/>
                    <wp:lineTo x="21447" y="21580"/>
                    <wp:lineTo x="21447"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145" cy="10125075"/>
                        </a:xfrm>
                        <a:prstGeom prst="rect">
                          <a:avLst/>
                        </a:prstGeom>
                        <a:solidFill>
                          <a:srgbClr val="153B5E"/>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w14:anchorId="73FAD8A8">
              <v:rect id="Rectangle 2" style="position:absolute;margin-left:278.65pt;margin-top:0;width:261.35pt;height:797.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spid="_x0000_s1026" fillcolor="#153b5e" stroked="f" w14:anchorId="496B1C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">
                <v:textbox inset="2.88pt,2.88pt,2.88pt,2.88pt"/>
                <w10:wrap type="tight" anchory="page"/>
              </v:rect>
            </w:pict>
          </mc:Fallback>
        </mc:AlternateContent>
      </w:r>
      <w:r w:rsidRPr="01E56A7D" w:rsidR="00DD618A">
        <w:rPr>
          <w:rFonts w:ascii="Arial" w:hAnsi="Arial" w:cs="Arial"/>
          <w:b/>
          <w:bCs/>
          <w:sz w:val="22"/>
          <w:szCs w:val="22"/>
          <w:lang w:val="es-ES"/>
        </w:rPr>
        <w:t xml:space="preserve"> </w:t>
      </w:r>
      <w:r w:rsidR="00DD618A">
        <w:rPr>
          <w:rFonts w:ascii="Arial" w:hAnsi="Arial" w:cs="Arial"/>
          <w:b/>
          <w:sz w:val="22"/>
          <w:szCs w:val="22"/>
          <w:lang w:val="es-ES"/>
        </w:rPr>
        <w:tab/>
      </w:r>
    </w:p>
    <w:p w:rsidRPr="00544542" w:rsidR="00A1159F" w:rsidP="00164BDF" w:rsidRDefault="00A1159F" w14:paraId="21B11B8F" w14:textId="67459508">
      <w:pPr>
        <w:spacing w:line="276" w:lineRule="auto"/>
        <w:jc w:val="both"/>
        <w:rPr>
          <w:rFonts w:ascii="Arial" w:hAnsi="Arial" w:cs="Arial"/>
          <w:sz w:val="22"/>
          <w:szCs w:val="22"/>
          <w:lang w:val="es-ES"/>
        </w:rPr>
      </w:pPr>
    </w:p>
    <w:p w:rsidRPr="00544542" w:rsidR="00A1159F" w:rsidP="00164BDF" w:rsidRDefault="00A1159F" w14:paraId="227B0422" w14:textId="77777777">
      <w:pPr>
        <w:spacing w:line="276" w:lineRule="auto"/>
        <w:jc w:val="both"/>
        <w:rPr>
          <w:rFonts w:ascii="Arial" w:hAnsi="Arial" w:cs="Arial"/>
          <w:sz w:val="22"/>
          <w:szCs w:val="22"/>
          <w:lang w:val="es-ES"/>
        </w:rPr>
      </w:pPr>
    </w:p>
    <w:p w:rsidRPr="00544542" w:rsidR="00A1159F" w:rsidP="00164BDF" w:rsidRDefault="00A1159F" w14:paraId="645A5541" w14:textId="77777777">
      <w:pPr>
        <w:spacing w:line="276" w:lineRule="auto"/>
        <w:jc w:val="both"/>
        <w:rPr>
          <w:rFonts w:ascii="Arial" w:hAnsi="Arial" w:cs="Arial"/>
          <w:sz w:val="22"/>
          <w:szCs w:val="22"/>
          <w:lang w:val="es-ES"/>
        </w:rPr>
      </w:pPr>
    </w:p>
    <w:p w:rsidRPr="00544542" w:rsidR="00A1159F" w:rsidP="00164BDF" w:rsidRDefault="00A1159F" w14:paraId="788594B2" w14:textId="77777777">
      <w:pPr>
        <w:spacing w:line="276" w:lineRule="auto"/>
        <w:jc w:val="both"/>
        <w:rPr>
          <w:rFonts w:ascii="Arial" w:hAnsi="Arial" w:cs="Arial"/>
          <w:sz w:val="22"/>
          <w:szCs w:val="22"/>
          <w:lang w:val="es-ES"/>
        </w:rPr>
      </w:pPr>
    </w:p>
    <w:p w:rsidRPr="00544542" w:rsidR="00A1159F" w:rsidP="00164BDF" w:rsidRDefault="00A1159F" w14:paraId="37A67B0F" w14:textId="77777777">
      <w:pPr>
        <w:spacing w:line="276" w:lineRule="auto"/>
        <w:jc w:val="both"/>
        <w:rPr>
          <w:rFonts w:ascii="Arial" w:hAnsi="Arial" w:cs="Arial"/>
          <w:sz w:val="22"/>
          <w:szCs w:val="22"/>
          <w:lang w:val="es-ES"/>
        </w:rPr>
      </w:pPr>
    </w:p>
    <w:p w:rsidRPr="00544542" w:rsidR="00A1159F" w:rsidP="00164BDF" w:rsidRDefault="00A1159F" w14:paraId="08CBB4D0" w14:textId="77777777">
      <w:pPr>
        <w:spacing w:line="276" w:lineRule="auto"/>
        <w:jc w:val="both"/>
        <w:rPr>
          <w:rFonts w:ascii="Arial" w:hAnsi="Arial" w:cs="Arial"/>
          <w:sz w:val="22"/>
          <w:szCs w:val="22"/>
          <w:lang w:val="es-ES"/>
        </w:rPr>
      </w:pPr>
    </w:p>
    <w:p w:rsidRPr="00544542" w:rsidR="00A1159F" w:rsidP="00164BDF" w:rsidRDefault="00A1159F" w14:paraId="09E4322F" w14:textId="065A9CFA">
      <w:pPr>
        <w:spacing w:line="276" w:lineRule="auto"/>
        <w:jc w:val="both"/>
        <w:rPr>
          <w:rFonts w:ascii="Arial" w:hAnsi="Arial" w:cs="Arial"/>
          <w:sz w:val="22"/>
          <w:szCs w:val="22"/>
          <w:lang w:val="es-ES"/>
        </w:rPr>
      </w:pPr>
    </w:p>
    <w:p w:rsidRPr="00544542" w:rsidR="0018198D" w:rsidP="00164BDF" w:rsidRDefault="0018198D" w14:paraId="5D44DF23" w14:textId="25C1C303">
      <w:pPr>
        <w:spacing w:line="276" w:lineRule="auto"/>
        <w:jc w:val="both"/>
        <w:rPr>
          <w:rFonts w:ascii="Arial" w:hAnsi="Arial" w:cs="Arial"/>
          <w:sz w:val="22"/>
          <w:szCs w:val="22"/>
          <w:lang w:val="es-ES"/>
        </w:rPr>
      </w:pPr>
    </w:p>
    <w:p w:rsidRPr="00544542" w:rsidR="0018198D" w:rsidP="00164BDF" w:rsidRDefault="0018198D" w14:paraId="15631C4A" w14:textId="16410054">
      <w:pPr>
        <w:spacing w:line="276" w:lineRule="auto"/>
        <w:jc w:val="both"/>
        <w:rPr>
          <w:rFonts w:ascii="Arial" w:hAnsi="Arial" w:cs="Arial"/>
          <w:sz w:val="22"/>
          <w:szCs w:val="22"/>
          <w:lang w:val="es-ES"/>
        </w:rPr>
      </w:pPr>
    </w:p>
    <w:p w:rsidRPr="00544542" w:rsidR="0018198D" w:rsidP="00164BDF" w:rsidRDefault="0018198D" w14:paraId="56B647E4" w14:textId="29F0EA91">
      <w:pPr>
        <w:spacing w:line="276" w:lineRule="auto"/>
        <w:jc w:val="both"/>
        <w:rPr>
          <w:rFonts w:ascii="Arial" w:hAnsi="Arial" w:cs="Arial"/>
          <w:sz w:val="22"/>
          <w:szCs w:val="22"/>
          <w:lang w:val="es-ES"/>
        </w:rPr>
      </w:pPr>
    </w:p>
    <w:p w:rsidRPr="00544542" w:rsidR="0018198D" w:rsidP="00164BDF" w:rsidRDefault="0018198D" w14:paraId="1A63965E" w14:textId="798C57E1">
      <w:pPr>
        <w:spacing w:line="276" w:lineRule="auto"/>
        <w:jc w:val="both"/>
        <w:rPr>
          <w:rFonts w:ascii="Arial" w:hAnsi="Arial" w:cs="Arial"/>
          <w:sz w:val="22"/>
          <w:szCs w:val="22"/>
          <w:lang w:val="es-ES"/>
        </w:rPr>
      </w:pPr>
    </w:p>
    <w:p w:rsidRPr="00544542" w:rsidR="0018198D" w:rsidP="00164BDF" w:rsidRDefault="0018198D" w14:paraId="18145ABC" w14:textId="77777777">
      <w:pPr>
        <w:spacing w:line="276" w:lineRule="auto"/>
        <w:jc w:val="both"/>
        <w:rPr>
          <w:rFonts w:ascii="Arial" w:hAnsi="Arial" w:cs="Arial"/>
          <w:sz w:val="22"/>
          <w:szCs w:val="22"/>
          <w:lang w:val="es-ES"/>
        </w:rPr>
      </w:pPr>
    </w:p>
    <w:p w:rsidRPr="00544542" w:rsidR="00A1159F" w:rsidP="00164BDF" w:rsidRDefault="00A1159F" w14:paraId="1265E568" w14:textId="77777777">
      <w:pPr>
        <w:spacing w:line="276" w:lineRule="auto"/>
        <w:jc w:val="both"/>
        <w:rPr>
          <w:rFonts w:ascii="Arial" w:hAnsi="Arial" w:cs="Arial"/>
          <w:sz w:val="22"/>
          <w:szCs w:val="22"/>
          <w:lang w:val="es-ES"/>
        </w:rPr>
      </w:pPr>
    </w:p>
    <w:p w:rsidRPr="00544542" w:rsidR="00A1159F" w:rsidP="00164BDF" w:rsidRDefault="00A1159F" w14:paraId="6A1E8053" w14:textId="77777777">
      <w:pPr>
        <w:spacing w:line="276" w:lineRule="auto"/>
        <w:jc w:val="both"/>
        <w:rPr>
          <w:rFonts w:ascii="Arial" w:hAnsi="Arial" w:cs="Arial"/>
          <w:sz w:val="22"/>
          <w:szCs w:val="22"/>
          <w:lang w:val="es-ES"/>
        </w:rPr>
      </w:pPr>
    </w:p>
    <w:p w:rsidRPr="00544542" w:rsidR="00A1159F" w:rsidP="00164BDF" w:rsidRDefault="00A1159F" w14:paraId="2F2DDD2D" w14:textId="77777777">
      <w:pPr>
        <w:spacing w:line="276" w:lineRule="auto"/>
        <w:jc w:val="both"/>
        <w:rPr>
          <w:rFonts w:ascii="Arial" w:hAnsi="Arial" w:cs="Arial"/>
          <w:sz w:val="22"/>
          <w:szCs w:val="22"/>
          <w:lang w:val="es-ES"/>
        </w:rPr>
      </w:pPr>
      <w:r w:rsidRPr="00544542">
        <w:rPr>
          <w:rFonts w:ascii="Arial" w:hAnsi="Arial" w:cs="Arial"/>
          <w:noProof/>
          <w:lang w:val="es-ES"/>
        </w:rPr>
        <mc:AlternateContent>
          <mc:Choice Requires="wps">
            <w:drawing>
              <wp:anchor distT="0" distB="0" distL="114300" distR="114300" simplePos="0" relativeHeight="251658241" behindDoc="0" locked="0" layoutInCell="1" allowOverlap="1" wp14:anchorId="47F7FB94" wp14:editId="0F7B49DD">
                <wp:simplePos x="0" y="0"/>
                <wp:positionH relativeFrom="column">
                  <wp:posOffset>-342900</wp:posOffset>
                </wp:positionH>
                <wp:positionV relativeFrom="paragraph">
                  <wp:posOffset>98425</wp:posOffset>
                </wp:positionV>
                <wp:extent cx="3352800" cy="2771775"/>
                <wp:effectExtent l="0" t="0" r="0" b="952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771775"/>
                        </a:xfrm>
                        <a:prstGeom prst="rect">
                          <a:avLst/>
                        </a:prstGeom>
                        <a:noFill/>
                        <a:ln>
                          <a:noFill/>
                        </a:ln>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390F3F" w:rsidR="00894604" w:rsidP="00A1159F" w:rsidRDefault="00894604" w14:paraId="1C83910F" w14:textId="77777777">
                            <w:pPr>
                              <w:spacing w:before="120" w:after="120"/>
                              <w:rPr>
                                <w:rFonts w:ascii="Arial" w:hAnsi="Arial" w:cs="Arial"/>
                                <w:b/>
                                <w:bCs/>
                                <w:sz w:val="44"/>
                                <w:lang w:val="es-ES"/>
                              </w:rPr>
                            </w:pPr>
                            <w:r w:rsidRPr="00390F3F">
                              <w:rPr>
                                <w:rFonts w:ascii="Arial" w:hAnsi="Arial" w:cs="Arial"/>
                                <w:b/>
                                <w:bCs/>
                                <w:sz w:val="44"/>
                                <w:lang w:val="es-ES"/>
                              </w:rPr>
                              <w:t>Plan de Monitoreo y Evaluación</w:t>
                            </w:r>
                          </w:p>
                          <w:p w:rsidRPr="00390F3F" w:rsidR="00894604" w:rsidP="00A1159F" w:rsidRDefault="00894604" w14:paraId="7E60B25B" w14:textId="1C42D863">
                            <w:pPr>
                              <w:spacing w:before="120" w:after="120"/>
                              <w:rPr>
                                <w:rFonts w:ascii="Arial" w:hAnsi="Arial" w:cs="Arial"/>
                                <w:smallCaps/>
                                <w:sz w:val="32"/>
                                <w:szCs w:val="32"/>
                                <w:lang w:val="es-ES"/>
                              </w:rPr>
                            </w:pPr>
                            <w:r>
                              <w:rPr>
                                <w:rFonts w:ascii="Arial" w:hAnsi="Arial" w:cs="Arial"/>
                                <w:smallCaps/>
                                <w:sz w:val="32"/>
                                <w:szCs w:val="32"/>
                                <w:lang w:val="es-ES"/>
                              </w:rPr>
                              <w:t>CO</w:t>
                            </w:r>
                            <w:r w:rsidRPr="00390F3F">
                              <w:rPr>
                                <w:rFonts w:ascii="Arial" w:hAnsi="Arial" w:cs="Arial"/>
                                <w:smallCaps/>
                                <w:sz w:val="32"/>
                                <w:szCs w:val="32"/>
                                <w:lang w:val="es-ES"/>
                              </w:rPr>
                              <w:t>-L12</w:t>
                            </w:r>
                            <w:r>
                              <w:rPr>
                                <w:rFonts w:ascii="Arial" w:hAnsi="Arial" w:cs="Arial"/>
                                <w:smallCaps/>
                                <w:sz w:val="32"/>
                                <w:szCs w:val="32"/>
                                <w:lang w:val="es-ES"/>
                              </w:rPr>
                              <w:t xml:space="preserve">48 </w:t>
                            </w:r>
                          </w:p>
                          <w:p w:rsidRPr="000A50D8" w:rsidR="00894604" w:rsidP="00F4752C" w:rsidRDefault="00894604" w14:paraId="74C382EF" w14:textId="26B4656E">
                            <w:pPr>
                              <w:spacing w:before="120" w:after="120"/>
                              <w:rPr>
                                <w:rFonts w:ascii="Arial" w:hAnsi="Arial" w:cs="Arial"/>
                                <w:smallCaps/>
                                <w:sz w:val="32"/>
                                <w:szCs w:val="32"/>
                                <w:lang w:val="es-ES"/>
                              </w:rPr>
                            </w:pPr>
                            <w:r w:rsidRPr="000A50D8">
                              <w:rPr>
                                <w:rFonts w:ascii="Arial" w:hAnsi="Arial" w:cs="Arial"/>
                                <w:smallCaps/>
                                <w:sz w:val="32"/>
                                <w:szCs w:val="32"/>
                                <w:lang w:val="es-ES"/>
                              </w:rPr>
                              <w:t>Programa para mejorar la sostenibilidad del sistema de salud en Colombia con enfoque inclusivo</w:t>
                            </w:r>
                          </w:p>
                          <w:p w:rsidRPr="00390F3F" w:rsidR="00894604" w:rsidP="00FE4A00" w:rsidRDefault="00894604" w14:paraId="5EA74FF5" w14:textId="10CA65B9">
                            <w:pPr>
                              <w:spacing w:before="120" w:after="120"/>
                              <w:rPr>
                                <w:rFonts w:ascii="Arial" w:hAnsi="Arial" w:cs="Arial"/>
                                <w:smallCaps/>
                                <w:sz w:val="32"/>
                                <w:szCs w:val="32"/>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4B9619C">
              <v:shapetype id="_x0000_t202" coordsize="21600,21600" o:spt="202" path="m,l,21600r21600,l21600,xe" w14:anchorId="47F7FB94">
                <v:stroke joinstyle="miter"/>
                <v:path gradientshapeok="t" o:connecttype="rect"/>
              </v:shapetype>
              <v:shape id="Text Box 7" style="position:absolute;left:0;text-align:left;margin-left:-27pt;margin-top:7.75pt;width:264pt;height:21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navy"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">
                <v:textbox>
                  <w:txbxContent>
                    <w:p w:rsidRPr="00390F3F" w:rsidR="00894604" w:rsidP="00A1159F" w:rsidRDefault="00894604" w14:paraId="4F9D2965" w14:textId="77777777">
                      <w:pPr>
                        <w:spacing w:before="120" w:after="120"/>
                        <w:rPr>
                          <w:rFonts w:ascii="Arial" w:hAnsi="Arial" w:cs="Arial"/>
                          <w:b/>
                          <w:bCs/>
                          <w:sz w:val="44"/>
                          <w:lang w:val="es-ES"/>
                        </w:rPr>
                      </w:pPr>
                      <w:r w:rsidRPr="00390F3F">
                        <w:rPr>
                          <w:rFonts w:ascii="Arial" w:hAnsi="Arial" w:cs="Arial"/>
                          <w:b/>
                          <w:bCs/>
                          <w:sz w:val="44"/>
                          <w:lang w:val="es-ES"/>
                        </w:rPr>
                        <w:t>Plan de Monitoreo y Evaluación</w:t>
                      </w:r>
                    </w:p>
                    <w:p w:rsidRPr="00390F3F" w:rsidR="00894604" w:rsidP="00A1159F" w:rsidRDefault="00894604" w14:paraId="279B8ECB" w14:textId="1C42D863">
                      <w:pPr>
                        <w:spacing w:before="120" w:after="120"/>
                        <w:rPr>
                          <w:rFonts w:ascii="Arial" w:hAnsi="Arial" w:cs="Arial"/>
                          <w:smallCaps/>
                          <w:sz w:val="32"/>
                          <w:szCs w:val="32"/>
                          <w:lang w:val="es-ES"/>
                        </w:rPr>
                      </w:pPr>
                      <w:r>
                        <w:rPr>
                          <w:rFonts w:ascii="Arial" w:hAnsi="Arial" w:cs="Arial"/>
                          <w:smallCaps/>
                          <w:sz w:val="32"/>
                          <w:szCs w:val="32"/>
                          <w:lang w:val="es-ES"/>
                        </w:rPr>
                        <w:t>CO</w:t>
                      </w:r>
                      <w:r w:rsidRPr="00390F3F">
                        <w:rPr>
                          <w:rFonts w:ascii="Arial" w:hAnsi="Arial" w:cs="Arial"/>
                          <w:smallCaps/>
                          <w:sz w:val="32"/>
                          <w:szCs w:val="32"/>
                          <w:lang w:val="es-ES"/>
                        </w:rPr>
                        <w:t>-L12</w:t>
                      </w:r>
                      <w:r>
                        <w:rPr>
                          <w:rFonts w:ascii="Arial" w:hAnsi="Arial" w:cs="Arial"/>
                          <w:smallCaps/>
                          <w:sz w:val="32"/>
                          <w:szCs w:val="32"/>
                          <w:lang w:val="es-ES"/>
                        </w:rPr>
                        <w:t xml:space="preserve">48 </w:t>
                      </w:r>
                    </w:p>
                    <w:p w:rsidRPr="000A50D8" w:rsidR="00894604" w:rsidP="00F4752C" w:rsidRDefault="00894604" w14:paraId="1DF06874" w14:textId="26B4656E">
                      <w:pPr>
                        <w:spacing w:before="120" w:after="120"/>
                        <w:rPr>
                          <w:rFonts w:ascii="Arial" w:hAnsi="Arial" w:cs="Arial"/>
                          <w:smallCaps/>
                          <w:sz w:val="32"/>
                          <w:szCs w:val="32"/>
                          <w:lang w:val="es-ES"/>
                        </w:rPr>
                      </w:pPr>
                      <w:r w:rsidRPr="000A50D8">
                        <w:rPr>
                          <w:rFonts w:ascii="Arial" w:hAnsi="Arial" w:cs="Arial"/>
                          <w:smallCaps/>
                          <w:sz w:val="32"/>
                          <w:szCs w:val="32"/>
                          <w:lang w:val="es-ES"/>
                        </w:rPr>
                        <w:t>Programa para mejorar la sostenibilidad del sistema de salud en Colombia con enfoque inclusivo</w:t>
                      </w:r>
                    </w:p>
                    <w:p w:rsidRPr="00390F3F" w:rsidR="00894604" w:rsidP="00FE4A00" w:rsidRDefault="00894604" w14:paraId="672A6659" w14:textId="10CA65B9">
                      <w:pPr>
                        <w:spacing w:before="120" w:after="120"/>
                        <w:rPr>
                          <w:rFonts w:ascii="Arial" w:hAnsi="Arial" w:cs="Arial"/>
                          <w:smallCaps/>
                          <w:sz w:val="32"/>
                          <w:szCs w:val="32"/>
                          <w:lang w:val="es-ES"/>
                        </w:rPr>
                      </w:pPr>
                    </w:p>
                  </w:txbxContent>
                </v:textbox>
                <w10:wrap type="square"/>
              </v:shape>
            </w:pict>
          </mc:Fallback>
        </mc:AlternateContent>
      </w:r>
    </w:p>
    <w:p w:rsidRPr="00544542" w:rsidR="00A1159F" w:rsidP="00164BDF" w:rsidRDefault="00A1159F" w14:paraId="0D8AC5D7" w14:textId="77777777">
      <w:pPr>
        <w:spacing w:line="276" w:lineRule="auto"/>
        <w:jc w:val="both"/>
        <w:rPr>
          <w:rFonts w:ascii="Arial" w:hAnsi="Arial" w:cs="Arial"/>
          <w:sz w:val="22"/>
          <w:szCs w:val="22"/>
          <w:lang w:val="es-ES"/>
        </w:rPr>
      </w:pPr>
    </w:p>
    <w:p w:rsidRPr="00544542" w:rsidR="00A1159F" w:rsidP="00164BDF" w:rsidRDefault="00A1159F" w14:paraId="1FD48F51" w14:textId="77777777">
      <w:pPr>
        <w:spacing w:line="276" w:lineRule="auto"/>
        <w:jc w:val="both"/>
        <w:rPr>
          <w:rFonts w:ascii="Arial" w:hAnsi="Arial" w:cs="Arial"/>
          <w:sz w:val="22"/>
          <w:szCs w:val="22"/>
          <w:lang w:val="es-ES"/>
        </w:rPr>
      </w:pPr>
    </w:p>
    <w:p w:rsidRPr="00544542" w:rsidR="00A1159F" w:rsidP="00164BDF" w:rsidRDefault="00A1159F" w14:paraId="388AD178" w14:textId="77777777">
      <w:pPr>
        <w:spacing w:line="276" w:lineRule="auto"/>
        <w:jc w:val="both"/>
        <w:rPr>
          <w:rFonts w:ascii="Arial" w:hAnsi="Arial" w:cs="Arial"/>
          <w:sz w:val="22"/>
          <w:szCs w:val="22"/>
          <w:lang w:val="es-ES"/>
        </w:rPr>
      </w:pPr>
    </w:p>
    <w:p w:rsidRPr="00544542" w:rsidR="00A1159F" w:rsidP="00164BDF" w:rsidRDefault="00A1159F" w14:paraId="4092C787" w14:textId="77777777">
      <w:pPr>
        <w:spacing w:line="276" w:lineRule="auto"/>
        <w:jc w:val="both"/>
        <w:rPr>
          <w:rFonts w:ascii="Arial" w:hAnsi="Arial" w:cs="Arial"/>
          <w:sz w:val="22"/>
          <w:szCs w:val="22"/>
          <w:lang w:val="es-ES"/>
        </w:rPr>
      </w:pPr>
    </w:p>
    <w:p w:rsidRPr="00544542" w:rsidR="00A1159F" w:rsidP="00164BDF" w:rsidRDefault="00A1159F" w14:paraId="59FD6533" w14:textId="77777777">
      <w:pPr>
        <w:spacing w:line="276" w:lineRule="auto"/>
        <w:jc w:val="both"/>
        <w:rPr>
          <w:rFonts w:ascii="Arial" w:hAnsi="Arial" w:cs="Arial"/>
          <w:sz w:val="22"/>
          <w:szCs w:val="22"/>
          <w:lang w:val="es-ES"/>
        </w:rPr>
      </w:pPr>
    </w:p>
    <w:p w:rsidRPr="00544542" w:rsidR="00A1159F" w:rsidP="00164BDF" w:rsidRDefault="00A1159F" w14:paraId="69204997" w14:textId="77777777">
      <w:pPr>
        <w:spacing w:line="276" w:lineRule="auto"/>
        <w:jc w:val="both"/>
        <w:rPr>
          <w:rFonts w:ascii="Arial" w:hAnsi="Arial" w:cs="Arial"/>
          <w:sz w:val="22"/>
          <w:szCs w:val="22"/>
          <w:lang w:val="es-ES"/>
        </w:rPr>
      </w:pPr>
    </w:p>
    <w:p w:rsidRPr="00544542" w:rsidR="00A1159F" w:rsidP="00164BDF" w:rsidRDefault="00A1159F" w14:paraId="16B40D8F" w14:textId="77777777">
      <w:pPr>
        <w:spacing w:line="276" w:lineRule="auto"/>
        <w:jc w:val="both"/>
        <w:rPr>
          <w:rFonts w:ascii="Arial" w:hAnsi="Arial" w:cs="Arial"/>
          <w:sz w:val="22"/>
          <w:szCs w:val="22"/>
          <w:lang w:val="es-ES"/>
        </w:rPr>
      </w:pPr>
    </w:p>
    <w:p w:rsidRPr="00544542" w:rsidR="00A1159F" w:rsidP="00164BDF" w:rsidRDefault="00A1159F" w14:paraId="1478E96A" w14:textId="77777777">
      <w:pPr>
        <w:spacing w:line="276" w:lineRule="auto"/>
        <w:jc w:val="both"/>
        <w:rPr>
          <w:rFonts w:ascii="Arial" w:hAnsi="Arial" w:cs="Arial"/>
          <w:sz w:val="22"/>
          <w:szCs w:val="22"/>
          <w:lang w:val="es-ES"/>
        </w:rPr>
      </w:pPr>
    </w:p>
    <w:p w:rsidRPr="00544542" w:rsidR="00A1159F" w:rsidP="00164BDF" w:rsidRDefault="00A1159F" w14:paraId="7D9F3F67" w14:textId="77777777">
      <w:pPr>
        <w:tabs>
          <w:tab w:val="left" w:pos="1440"/>
          <w:tab w:val="left" w:pos="3060"/>
        </w:tabs>
        <w:spacing w:before="120" w:after="120" w:line="276" w:lineRule="auto"/>
        <w:jc w:val="both"/>
        <w:rPr>
          <w:rFonts w:ascii="Arial" w:hAnsi="Arial" w:cs="Arial"/>
          <w:b/>
          <w:smallCaps/>
          <w:sz w:val="22"/>
          <w:szCs w:val="22"/>
          <w:lang w:val="es-ES"/>
        </w:rPr>
      </w:pPr>
    </w:p>
    <w:p w:rsidRPr="00544542" w:rsidR="00A1159F" w:rsidP="00164BDF" w:rsidRDefault="00A1159F" w14:paraId="61503F96" w14:textId="77777777">
      <w:pPr>
        <w:tabs>
          <w:tab w:val="left" w:pos="1440"/>
          <w:tab w:val="left" w:pos="3060"/>
        </w:tabs>
        <w:spacing w:before="120" w:after="120" w:line="276" w:lineRule="auto"/>
        <w:jc w:val="both"/>
        <w:rPr>
          <w:rFonts w:ascii="Arial" w:hAnsi="Arial" w:cs="Arial"/>
          <w:b/>
          <w:smallCaps/>
          <w:sz w:val="22"/>
          <w:szCs w:val="22"/>
          <w:lang w:val="es-ES"/>
        </w:rPr>
      </w:pPr>
    </w:p>
    <w:p w:rsidRPr="00544542" w:rsidR="00A1159F" w:rsidP="00164BDF" w:rsidRDefault="00A1159F" w14:paraId="5EA4505B" w14:textId="77777777">
      <w:pPr>
        <w:tabs>
          <w:tab w:val="left" w:pos="1440"/>
          <w:tab w:val="left" w:pos="3060"/>
        </w:tabs>
        <w:spacing w:before="120" w:after="120" w:line="276" w:lineRule="auto"/>
        <w:jc w:val="both"/>
        <w:rPr>
          <w:rFonts w:ascii="Arial" w:hAnsi="Arial" w:cs="Arial"/>
          <w:b/>
          <w:smallCaps/>
          <w:sz w:val="22"/>
          <w:szCs w:val="22"/>
          <w:lang w:val="es-ES"/>
        </w:rPr>
      </w:pPr>
    </w:p>
    <w:p w:rsidRPr="00544542" w:rsidR="00A1159F" w:rsidP="00164BDF" w:rsidRDefault="00A1159F" w14:paraId="60AB9E5B" w14:textId="77777777">
      <w:pPr>
        <w:tabs>
          <w:tab w:val="left" w:pos="1440"/>
          <w:tab w:val="left" w:pos="3060"/>
        </w:tabs>
        <w:spacing w:before="120" w:after="120" w:line="276" w:lineRule="auto"/>
        <w:jc w:val="both"/>
        <w:rPr>
          <w:rFonts w:ascii="Arial" w:hAnsi="Arial" w:cs="Arial"/>
          <w:b/>
          <w:smallCaps/>
          <w:sz w:val="22"/>
          <w:szCs w:val="22"/>
          <w:lang w:val="es-ES"/>
        </w:rPr>
      </w:pPr>
    </w:p>
    <w:p w:rsidRPr="00544542" w:rsidR="00A1159F" w:rsidP="00164BDF" w:rsidRDefault="00A1159F" w14:paraId="32E6E718" w14:textId="77777777">
      <w:pPr>
        <w:tabs>
          <w:tab w:val="left" w:pos="1440"/>
          <w:tab w:val="left" w:pos="3060"/>
        </w:tabs>
        <w:spacing w:before="120" w:after="120" w:line="276" w:lineRule="auto"/>
        <w:jc w:val="both"/>
        <w:rPr>
          <w:rFonts w:ascii="Arial" w:hAnsi="Arial" w:cs="Arial"/>
          <w:b/>
          <w:smallCaps/>
          <w:sz w:val="22"/>
          <w:szCs w:val="22"/>
          <w:lang w:val="es-ES"/>
        </w:rPr>
      </w:pPr>
    </w:p>
    <w:p w:rsidRPr="00544542" w:rsidR="00A1159F" w:rsidP="00164BDF" w:rsidRDefault="00A1159F" w14:paraId="5F3C5BFC" w14:textId="77777777">
      <w:pPr>
        <w:tabs>
          <w:tab w:val="left" w:pos="1440"/>
          <w:tab w:val="left" w:pos="3060"/>
        </w:tabs>
        <w:spacing w:before="120" w:after="120" w:line="276" w:lineRule="auto"/>
        <w:jc w:val="both"/>
        <w:rPr>
          <w:rFonts w:ascii="Arial" w:hAnsi="Arial" w:cs="Arial"/>
          <w:b/>
          <w:smallCaps/>
          <w:sz w:val="22"/>
          <w:szCs w:val="22"/>
          <w:lang w:val="es-ES"/>
        </w:rPr>
      </w:pPr>
    </w:p>
    <w:p w:rsidRPr="00544542" w:rsidR="00A1159F" w:rsidP="00164BDF" w:rsidRDefault="00F4752C" w14:paraId="29A1AB57" w14:textId="7899170E">
      <w:pPr>
        <w:tabs>
          <w:tab w:val="left" w:pos="1440"/>
          <w:tab w:val="left" w:pos="3060"/>
        </w:tabs>
        <w:spacing w:before="120" w:after="120" w:line="276" w:lineRule="auto"/>
        <w:jc w:val="both"/>
        <w:rPr>
          <w:rFonts w:ascii="Arial" w:hAnsi="Arial" w:cs="Arial"/>
          <w:b/>
          <w:smallCaps/>
          <w:sz w:val="22"/>
          <w:szCs w:val="22"/>
          <w:lang w:val="es-ES"/>
        </w:rPr>
      </w:pPr>
      <w:r w:rsidRPr="00544542">
        <w:rPr>
          <w:rFonts w:ascii="Arial" w:hAnsi="Arial" w:cs="Arial"/>
          <w:b/>
          <w:smallCaps/>
          <w:sz w:val="22"/>
          <w:szCs w:val="22"/>
          <w:lang w:val="es-ES"/>
        </w:rPr>
        <w:t>Noviembre</w:t>
      </w:r>
      <w:r w:rsidRPr="00544542" w:rsidR="001E5EF3">
        <w:rPr>
          <w:rFonts w:ascii="Arial" w:hAnsi="Arial" w:cs="Arial"/>
          <w:b/>
          <w:smallCaps/>
          <w:sz w:val="22"/>
          <w:szCs w:val="22"/>
          <w:lang w:val="es-ES"/>
        </w:rPr>
        <w:t xml:space="preserve"> </w:t>
      </w:r>
      <w:r w:rsidRPr="00544542" w:rsidR="00A1159F">
        <w:rPr>
          <w:rFonts w:ascii="Arial" w:hAnsi="Arial" w:cs="Arial"/>
          <w:b/>
          <w:smallCaps/>
          <w:sz w:val="22"/>
          <w:szCs w:val="22"/>
          <w:lang w:val="es-ES"/>
        </w:rPr>
        <w:t>201</w:t>
      </w:r>
      <w:r w:rsidRPr="00544542">
        <w:rPr>
          <w:rFonts w:ascii="Arial" w:hAnsi="Arial" w:cs="Arial"/>
          <w:b/>
          <w:smallCaps/>
          <w:sz w:val="22"/>
          <w:szCs w:val="22"/>
          <w:lang w:val="es-ES"/>
        </w:rPr>
        <w:t>9</w:t>
      </w:r>
    </w:p>
    <w:p w:rsidRPr="00544542" w:rsidR="00A1159F" w:rsidP="00164BDF" w:rsidRDefault="00A1159F" w14:paraId="3A36E573" w14:textId="77777777">
      <w:pPr>
        <w:tabs>
          <w:tab w:val="left" w:pos="1440"/>
          <w:tab w:val="left" w:pos="3060"/>
        </w:tabs>
        <w:spacing w:before="120" w:after="120" w:line="276" w:lineRule="auto"/>
        <w:jc w:val="both"/>
        <w:rPr>
          <w:rFonts w:ascii="Arial" w:hAnsi="Arial" w:cs="Arial"/>
          <w:b/>
          <w:smallCaps/>
          <w:sz w:val="22"/>
          <w:szCs w:val="22"/>
          <w:lang w:val="es-ES"/>
        </w:rPr>
      </w:pPr>
    </w:p>
    <w:p w:rsidRPr="00544542" w:rsidR="00D14B85" w:rsidP="00164BDF" w:rsidRDefault="00A1159F" w14:paraId="70399C9E" w14:textId="77777777">
      <w:pPr>
        <w:spacing w:line="276" w:lineRule="auto"/>
        <w:jc w:val="both"/>
        <w:rPr>
          <w:rFonts w:ascii="Arial" w:hAnsi="Arial" w:cs="Arial"/>
          <w:sz w:val="22"/>
          <w:lang w:val="es-ES"/>
        </w:rPr>
      </w:pPr>
      <w:r w:rsidRPr="00544542">
        <w:rPr>
          <w:rFonts w:ascii="Arial" w:hAnsi="Arial" w:cs="Arial"/>
          <w:sz w:val="22"/>
          <w:lang w:val="es-ES"/>
        </w:rPr>
        <w:t>Documento preparado por</w:t>
      </w:r>
      <w:r w:rsidRPr="00544542" w:rsidR="00F21CB9">
        <w:rPr>
          <w:rFonts w:ascii="Arial" w:hAnsi="Arial" w:cs="Arial"/>
          <w:sz w:val="22"/>
          <w:lang w:val="es-ES"/>
        </w:rPr>
        <w:t>:</w:t>
      </w:r>
      <w:r w:rsidRPr="00544542">
        <w:rPr>
          <w:rFonts w:ascii="Arial" w:hAnsi="Arial" w:cs="Arial"/>
          <w:sz w:val="22"/>
          <w:lang w:val="es-ES"/>
        </w:rPr>
        <w:t xml:space="preserve"> </w:t>
      </w:r>
    </w:p>
    <w:p w:rsidRPr="00F5051C" w:rsidR="00A1159F" w:rsidP="00164BDF" w:rsidRDefault="00D912E9" w14:paraId="670D3322" w14:textId="7BDC99DB">
      <w:pPr>
        <w:spacing w:line="276" w:lineRule="auto"/>
        <w:jc w:val="both"/>
        <w:rPr>
          <w:rFonts w:ascii="Arial" w:hAnsi="Arial" w:cs="Arial"/>
          <w:sz w:val="22"/>
          <w:lang w:val="es-ES_tradnl"/>
        </w:rPr>
      </w:pPr>
      <w:r w:rsidRPr="00F5051C">
        <w:rPr>
          <w:rFonts w:ascii="Arial" w:hAnsi="Arial" w:cs="Arial"/>
          <w:sz w:val="22"/>
          <w:lang w:val="es-ES_tradnl"/>
        </w:rPr>
        <w:t>Gi</w:t>
      </w:r>
      <w:r w:rsidRPr="00F5051C" w:rsidR="00A90241">
        <w:rPr>
          <w:rFonts w:ascii="Arial" w:hAnsi="Arial" w:cs="Arial"/>
          <w:sz w:val="22"/>
          <w:lang w:val="es-ES_tradnl"/>
        </w:rPr>
        <w:t>anluca Cafagna</w:t>
      </w:r>
      <w:r w:rsidRPr="00F5051C" w:rsidR="009C49B0">
        <w:rPr>
          <w:rFonts w:ascii="Arial" w:hAnsi="Arial" w:cs="Arial"/>
          <w:sz w:val="22"/>
          <w:lang w:val="es-ES_tradnl"/>
        </w:rPr>
        <w:t>;</w:t>
      </w:r>
      <w:r w:rsidRPr="00F5051C" w:rsidR="00BB77A7">
        <w:rPr>
          <w:rFonts w:ascii="Arial" w:hAnsi="Arial" w:cs="Arial"/>
          <w:sz w:val="22"/>
          <w:lang w:val="es-ES_tradnl"/>
        </w:rPr>
        <w:t xml:space="preserve"> </w:t>
      </w:r>
      <w:r w:rsidRPr="00F5051C" w:rsidR="00F4752C">
        <w:rPr>
          <w:rFonts w:ascii="Arial" w:hAnsi="Arial" w:cs="Arial"/>
          <w:sz w:val="22"/>
          <w:lang w:val="es-ES_tradnl"/>
        </w:rPr>
        <w:t>Jaime Cardona</w:t>
      </w:r>
      <w:r w:rsidRPr="00F5051C" w:rsidR="002B0BEC">
        <w:rPr>
          <w:rFonts w:ascii="Arial" w:hAnsi="Arial" w:cs="Arial"/>
          <w:sz w:val="22"/>
          <w:lang w:val="es-ES_tradnl"/>
        </w:rPr>
        <w:t>;</w:t>
      </w:r>
      <w:r w:rsidRPr="00F5051C" w:rsidR="00F4752C">
        <w:rPr>
          <w:rFonts w:ascii="Arial" w:hAnsi="Arial" w:cs="Arial"/>
          <w:sz w:val="22"/>
          <w:lang w:val="es-ES_tradnl"/>
        </w:rPr>
        <w:t xml:space="preserve"> y Laura Martinez</w:t>
      </w:r>
    </w:p>
    <w:p w:rsidRPr="00F5051C" w:rsidR="00A1159F" w:rsidP="00164BDF" w:rsidRDefault="00A1159F" w14:paraId="006F8EB3" w14:textId="77777777">
      <w:pPr>
        <w:tabs>
          <w:tab w:val="left" w:pos="1440"/>
          <w:tab w:val="left" w:pos="3060"/>
        </w:tabs>
        <w:spacing w:before="120" w:after="120" w:line="276" w:lineRule="auto"/>
        <w:jc w:val="both"/>
        <w:rPr>
          <w:rFonts w:ascii="Arial" w:hAnsi="Arial" w:cs="Arial"/>
          <w:b/>
          <w:smallCaps/>
          <w:sz w:val="22"/>
          <w:szCs w:val="22"/>
          <w:lang w:val="es-ES_tradnl"/>
        </w:rPr>
      </w:pPr>
    </w:p>
    <w:p w:rsidRPr="00544542" w:rsidR="00A1159F" w:rsidP="00164BDF" w:rsidRDefault="00A1159F" w14:paraId="52C2195B" w14:textId="77777777">
      <w:pPr>
        <w:spacing w:line="276" w:lineRule="auto"/>
        <w:jc w:val="both"/>
        <w:rPr>
          <w:rFonts w:ascii="Arial" w:hAnsi="Arial" w:cs="Arial"/>
          <w:sz w:val="22"/>
          <w:szCs w:val="22"/>
          <w:lang w:val="es-ES"/>
        </w:rPr>
      </w:pPr>
    </w:p>
    <w:p w:rsidRPr="00544542" w:rsidR="00A1159F" w:rsidP="00164BDF" w:rsidRDefault="00A1159F" w14:paraId="7B5397F7" w14:textId="77777777">
      <w:pPr>
        <w:spacing w:line="276" w:lineRule="auto"/>
        <w:jc w:val="both"/>
        <w:rPr>
          <w:rFonts w:ascii="Arial" w:hAnsi="Arial" w:cs="Arial"/>
          <w:sz w:val="22"/>
          <w:szCs w:val="22"/>
          <w:lang w:val="es-ES"/>
        </w:rPr>
      </w:pPr>
    </w:p>
    <w:p w:rsidRPr="00544542" w:rsidR="00A1159F" w:rsidP="00164BDF" w:rsidRDefault="00A1159F" w14:paraId="50F9D737" w14:textId="77777777">
      <w:pPr>
        <w:pStyle w:val="ColorfulList-Accent11"/>
        <w:spacing w:line="276" w:lineRule="auto"/>
        <w:ind w:left="1080"/>
        <w:rPr>
          <w:rFonts w:ascii="Arial" w:hAnsi="Arial" w:cs="Arial"/>
          <w:smallCaps/>
          <w:lang w:val="es-ES"/>
        </w:rPr>
      </w:pPr>
    </w:p>
    <w:p w:rsidRPr="00544542" w:rsidR="00A1159F" w:rsidP="00164BDF" w:rsidRDefault="00A1159F" w14:paraId="1BC235D2" w14:textId="77777777">
      <w:pPr>
        <w:pStyle w:val="ColorfulList-Accent11"/>
        <w:spacing w:line="276" w:lineRule="auto"/>
        <w:ind w:left="1080"/>
        <w:rPr>
          <w:rFonts w:ascii="Arial" w:hAnsi="Arial" w:cs="Arial"/>
          <w:smallCaps/>
          <w:lang w:val="es-ES"/>
        </w:rPr>
      </w:pPr>
    </w:p>
    <w:p w:rsidRPr="00544542" w:rsidR="00A1159F" w:rsidP="00164BDF" w:rsidRDefault="00A1159F" w14:paraId="04976ECB" w14:textId="5FE9ABD9">
      <w:pPr>
        <w:pStyle w:val="ColorfulList-Accent11"/>
        <w:spacing w:line="276" w:lineRule="auto"/>
        <w:ind w:left="1080"/>
        <w:rPr>
          <w:rFonts w:ascii="Arial" w:hAnsi="Arial" w:cs="Arial"/>
          <w:smallCaps/>
          <w:lang w:val="es-ES"/>
        </w:rPr>
      </w:pPr>
    </w:p>
    <w:p w:rsidRPr="00544542" w:rsidR="0018198D" w:rsidP="00164BDF" w:rsidRDefault="0018198D" w14:paraId="22727D99" w14:textId="1D49214A">
      <w:pPr>
        <w:pStyle w:val="ColorfulList-Accent11"/>
        <w:spacing w:line="276" w:lineRule="auto"/>
        <w:ind w:left="1080"/>
        <w:rPr>
          <w:rFonts w:ascii="Arial" w:hAnsi="Arial" w:cs="Arial"/>
          <w:smallCaps/>
          <w:lang w:val="es-ES"/>
        </w:rPr>
      </w:pPr>
    </w:p>
    <w:p w:rsidRPr="00544542" w:rsidR="0018198D" w:rsidP="00164BDF" w:rsidRDefault="0018198D" w14:paraId="198ECB08" w14:textId="160FBFC2">
      <w:pPr>
        <w:pStyle w:val="ColorfulList-Accent11"/>
        <w:spacing w:line="276" w:lineRule="auto"/>
        <w:ind w:left="1080"/>
        <w:rPr>
          <w:rFonts w:ascii="Arial" w:hAnsi="Arial" w:cs="Arial"/>
          <w:smallCaps/>
          <w:lang w:val="es-ES"/>
        </w:rPr>
      </w:pPr>
    </w:p>
    <w:p w:rsidRPr="00544542" w:rsidR="0018198D" w:rsidP="00164BDF" w:rsidRDefault="0018198D" w14:paraId="753C44BF" w14:textId="77777777">
      <w:pPr>
        <w:pStyle w:val="ColorfulList-Accent11"/>
        <w:spacing w:line="276" w:lineRule="auto"/>
        <w:ind w:left="1080"/>
        <w:rPr>
          <w:rFonts w:ascii="Arial" w:hAnsi="Arial" w:cs="Arial"/>
          <w:smallCaps/>
          <w:lang w:val="es-ES"/>
        </w:rPr>
      </w:pPr>
    </w:p>
    <w:p w:rsidRPr="00544542" w:rsidR="00A1159F" w:rsidP="00164BDF" w:rsidRDefault="00A1159F" w14:paraId="40820962" w14:textId="77777777">
      <w:pPr>
        <w:pStyle w:val="ColorfulList-Accent11"/>
        <w:spacing w:line="276" w:lineRule="auto"/>
        <w:ind w:left="1080"/>
        <w:rPr>
          <w:rFonts w:ascii="Arial" w:hAnsi="Arial" w:cs="Arial"/>
          <w:smallCaps/>
          <w:lang w:val="es-ES"/>
        </w:rPr>
      </w:pPr>
    </w:p>
    <w:p w:rsidRPr="00544542" w:rsidR="00A1159F" w:rsidP="00164BDF" w:rsidRDefault="00A1159F" w14:paraId="57AED1D0" w14:textId="77777777">
      <w:pPr>
        <w:pStyle w:val="ColorfulList-Accent11"/>
        <w:spacing w:line="276" w:lineRule="auto"/>
        <w:ind w:left="1080"/>
        <w:rPr>
          <w:rFonts w:ascii="Arial" w:hAnsi="Arial" w:cs="Arial"/>
          <w:smallCaps/>
          <w:lang w:val="es-ES"/>
        </w:rPr>
      </w:pPr>
    </w:p>
    <w:p w:rsidRPr="00544542" w:rsidR="00A1159F" w:rsidP="00164BDF" w:rsidRDefault="00F60F12" w14:paraId="5A2DADAD" w14:textId="5FAB9AB7">
      <w:pPr>
        <w:pStyle w:val="TOC2"/>
        <w:spacing w:line="276" w:lineRule="auto"/>
        <w:jc w:val="both"/>
        <w:rPr>
          <w:lang w:val="es-ES"/>
        </w:rPr>
      </w:pPr>
      <w:r w:rsidRPr="00544542">
        <w:rPr>
          <w:b/>
          <w:lang w:val="es-ES"/>
        </w:rPr>
        <w:t>Índice</w:t>
      </w:r>
      <w:r w:rsidRPr="00544542">
        <w:rPr>
          <w:lang w:val="es-ES"/>
        </w:rPr>
        <w:t xml:space="preserve"> </w:t>
      </w:r>
    </w:p>
    <w:p w:rsidRPr="00544542" w:rsidR="00872806" w:rsidP="00164BDF" w:rsidRDefault="00872806" w14:paraId="555B42A9" w14:textId="77777777">
      <w:pPr>
        <w:spacing w:line="276" w:lineRule="auto"/>
        <w:jc w:val="both"/>
        <w:rPr>
          <w:lang w:val="es-ES" w:eastAsia="en-US"/>
        </w:rPr>
      </w:pPr>
    </w:p>
    <w:p w:rsidRPr="00544542" w:rsidR="00996AE5" w:rsidP="00164BDF" w:rsidRDefault="00B5472C" w14:paraId="255BCF45" w14:textId="7CF8CF00">
      <w:pPr>
        <w:pStyle w:val="TOC1"/>
        <w:tabs>
          <w:tab w:val="right" w:pos="9350"/>
        </w:tabs>
        <w:spacing w:line="276" w:lineRule="auto"/>
        <w:rPr>
          <w:rFonts w:ascii="Arial" w:hAnsi="Arial" w:cs="Arial" w:eastAsiaTheme="minorEastAsia"/>
          <w:b w:val="0"/>
          <w:bCs w:val="0"/>
          <w:caps w:val="0"/>
          <w:noProof/>
          <w:lang w:val="es-ES" w:eastAsia="it-IT"/>
        </w:rPr>
      </w:pPr>
      <w:r w:rsidRPr="00544542">
        <w:rPr>
          <w:rFonts w:ascii="Arial" w:hAnsi="Arial" w:cs="Arial"/>
          <w:caps w:val="0"/>
          <w:szCs w:val="22"/>
          <w:lang w:val="es-ES"/>
        </w:rPr>
        <w:fldChar w:fldCharType="begin"/>
      </w:r>
      <w:r w:rsidRPr="00544542">
        <w:rPr>
          <w:rFonts w:ascii="Arial" w:hAnsi="Arial" w:cs="Arial"/>
          <w:caps w:val="0"/>
          <w:szCs w:val="22"/>
          <w:lang w:val="es-ES"/>
        </w:rPr>
        <w:instrText xml:space="preserve"> TOC \o "1-3" \h \z \u </w:instrText>
      </w:r>
      <w:r w:rsidRPr="00544542">
        <w:rPr>
          <w:rFonts w:ascii="Arial" w:hAnsi="Arial" w:cs="Arial"/>
          <w:caps w:val="0"/>
          <w:szCs w:val="22"/>
          <w:lang w:val="es-ES"/>
        </w:rPr>
        <w:fldChar w:fldCharType="separate"/>
      </w:r>
      <w:hyperlink w:history="1" w:anchor="_Toc524778480">
        <w:r w:rsidRPr="00544542" w:rsidR="00996AE5">
          <w:rPr>
            <w:rStyle w:val="Hyperlink"/>
            <w:rFonts w:ascii="Arial" w:hAnsi="Arial" w:eastAsia="Calibri" w:cs="Arial"/>
            <w:noProof/>
            <w:lang w:val="es-ES"/>
          </w:rPr>
          <w:t>I. Introducción</w:t>
        </w:r>
        <w:r w:rsidRPr="00544542" w:rsidR="00996AE5">
          <w:rPr>
            <w:rFonts w:ascii="Arial" w:hAnsi="Arial" w:cs="Arial"/>
            <w:noProof/>
            <w:webHidden/>
            <w:lang w:val="es-ES"/>
          </w:rPr>
          <w:tab/>
        </w:r>
        <w:r w:rsidRPr="00544542" w:rsidR="00996AE5">
          <w:rPr>
            <w:rFonts w:ascii="Arial" w:hAnsi="Arial" w:cs="Arial"/>
            <w:noProof/>
            <w:webHidden/>
            <w:lang w:val="es-ES"/>
          </w:rPr>
          <w:fldChar w:fldCharType="begin"/>
        </w:r>
        <w:r w:rsidRPr="00544542" w:rsidR="00996AE5">
          <w:rPr>
            <w:rFonts w:ascii="Arial" w:hAnsi="Arial" w:cs="Arial"/>
            <w:noProof/>
            <w:webHidden/>
            <w:lang w:val="es-ES"/>
          </w:rPr>
          <w:instrText xml:space="preserve"> PAGEREF _Toc524778480 \h </w:instrText>
        </w:r>
        <w:r w:rsidRPr="00544542" w:rsidR="00996AE5">
          <w:rPr>
            <w:rFonts w:ascii="Arial" w:hAnsi="Arial" w:cs="Arial"/>
            <w:noProof/>
            <w:webHidden/>
            <w:lang w:val="es-ES"/>
          </w:rPr>
        </w:r>
        <w:r w:rsidRPr="00544542" w:rsidR="00996AE5">
          <w:rPr>
            <w:rFonts w:ascii="Arial" w:hAnsi="Arial" w:cs="Arial"/>
            <w:noProof/>
            <w:webHidden/>
            <w:lang w:val="es-ES"/>
          </w:rPr>
          <w:fldChar w:fldCharType="separate"/>
        </w:r>
        <w:r w:rsidRPr="00544542" w:rsidR="00F4752C">
          <w:rPr>
            <w:rFonts w:ascii="Arial" w:hAnsi="Arial" w:cs="Arial"/>
            <w:noProof/>
            <w:webHidden/>
            <w:lang w:val="es-ES"/>
          </w:rPr>
          <w:t>1</w:t>
        </w:r>
        <w:r w:rsidRPr="00544542" w:rsidR="00996AE5">
          <w:rPr>
            <w:rFonts w:ascii="Arial" w:hAnsi="Arial" w:cs="Arial"/>
            <w:noProof/>
            <w:webHidden/>
            <w:lang w:val="es-ES"/>
          </w:rPr>
          <w:fldChar w:fldCharType="end"/>
        </w:r>
      </w:hyperlink>
    </w:p>
    <w:p w:rsidRPr="00544542" w:rsidR="00996AE5" w:rsidP="00164BDF" w:rsidRDefault="007C22E4" w14:paraId="4E2B5E5C" w14:textId="45289503">
      <w:pPr>
        <w:pStyle w:val="TOC2"/>
        <w:spacing w:line="276" w:lineRule="auto"/>
        <w:jc w:val="both"/>
        <w:rPr>
          <w:rFonts w:eastAsiaTheme="minorEastAsia"/>
          <w:bCs w:val="0"/>
          <w:smallCaps w:val="0"/>
          <w:noProof/>
          <w:sz w:val="24"/>
          <w:szCs w:val="24"/>
          <w:lang w:val="es-ES" w:eastAsia="it-IT"/>
        </w:rPr>
      </w:pPr>
      <w:hyperlink w:history="1" w:anchor="_Toc524778481">
        <w:r w:rsidRPr="00544542" w:rsidR="00996AE5">
          <w:rPr>
            <w:rStyle w:val="Hyperlink"/>
            <w:rFonts w:ascii="Arial" w:hAnsi="Arial" w:eastAsia="Calibri" w:cs="Arial"/>
            <w:noProof/>
            <w:lang w:val="es-ES"/>
          </w:rPr>
          <w:t>A.</w:t>
        </w:r>
        <w:r w:rsidRPr="00544542" w:rsidR="00996AE5">
          <w:rPr>
            <w:rFonts w:eastAsiaTheme="minorEastAsia"/>
            <w:bCs w:val="0"/>
            <w:smallCaps w:val="0"/>
            <w:noProof/>
            <w:sz w:val="24"/>
            <w:szCs w:val="24"/>
            <w:lang w:val="es-ES" w:eastAsia="it-IT"/>
          </w:rPr>
          <w:tab/>
        </w:r>
        <w:r w:rsidRPr="00544542" w:rsidR="00996AE5">
          <w:rPr>
            <w:rStyle w:val="Hyperlink"/>
            <w:rFonts w:ascii="Arial" w:hAnsi="Arial" w:eastAsia="Calibri" w:cs="Arial"/>
            <w:noProof/>
            <w:lang w:val="es-ES"/>
          </w:rPr>
          <w:t>Antecedentes</w:t>
        </w:r>
        <w:r w:rsidRPr="00544542" w:rsidR="00996AE5">
          <w:rPr>
            <w:noProof/>
            <w:webHidden/>
            <w:lang w:val="es-ES"/>
          </w:rPr>
          <w:tab/>
        </w:r>
        <w:r w:rsidRPr="00544542" w:rsidR="00996AE5">
          <w:rPr>
            <w:noProof/>
            <w:webHidden/>
            <w:lang w:val="es-ES"/>
          </w:rPr>
          <w:fldChar w:fldCharType="begin"/>
        </w:r>
        <w:r w:rsidRPr="00544542" w:rsidR="00996AE5">
          <w:rPr>
            <w:noProof/>
            <w:webHidden/>
            <w:lang w:val="es-ES"/>
          </w:rPr>
          <w:instrText xml:space="preserve"> PAGEREF _Toc524778481 \h </w:instrText>
        </w:r>
        <w:r w:rsidRPr="00544542" w:rsidR="00996AE5">
          <w:rPr>
            <w:noProof/>
            <w:webHidden/>
            <w:lang w:val="es-ES"/>
          </w:rPr>
        </w:r>
        <w:r w:rsidRPr="00544542" w:rsidR="00996AE5">
          <w:rPr>
            <w:noProof/>
            <w:webHidden/>
            <w:lang w:val="es-ES"/>
          </w:rPr>
          <w:fldChar w:fldCharType="separate"/>
        </w:r>
        <w:r w:rsidRPr="00544542" w:rsidR="00F4752C">
          <w:rPr>
            <w:noProof/>
            <w:webHidden/>
            <w:lang w:val="es-ES"/>
          </w:rPr>
          <w:t>1</w:t>
        </w:r>
        <w:r w:rsidRPr="00544542" w:rsidR="00996AE5">
          <w:rPr>
            <w:noProof/>
            <w:webHidden/>
            <w:lang w:val="es-ES"/>
          </w:rPr>
          <w:fldChar w:fldCharType="end"/>
        </w:r>
      </w:hyperlink>
    </w:p>
    <w:p w:rsidRPr="00544542" w:rsidR="00996AE5" w:rsidP="00164BDF" w:rsidRDefault="007C22E4" w14:paraId="70CFD685" w14:textId="070F576A">
      <w:pPr>
        <w:pStyle w:val="TOC2"/>
        <w:spacing w:line="276" w:lineRule="auto"/>
        <w:jc w:val="both"/>
        <w:rPr>
          <w:rFonts w:eastAsiaTheme="minorEastAsia"/>
          <w:bCs w:val="0"/>
          <w:smallCaps w:val="0"/>
          <w:noProof/>
          <w:sz w:val="24"/>
          <w:szCs w:val="24"/>
          <w:lang w:val="es-ES" w:eastAsia="it-IT"/>
        </w:rPr>
      </w:pPr>
      <w:hyperlink w:history="1" w:anchor="_Toc524778482">
        <w:r w:rsidRPr="00544542" w:rsidR="00996AE5">
          <w:rPr>
            <w:rStyle w:val="Hyperlink"/>
            <w:rFonts w:ascii="Arial" w:hAnsi="Arial" w:eastAsia="Calibri" w:cs="Arial"/>
            <w:noProof/>
            <w:lang w:val="es-ES"/>
          </w:rPr>
          <w:t>B.</w:t>
        </w:r>
        <w:r w:rsidRPr="00544542" w:rsidR="00996AE5">
          <w:rPr>
            <w:rFonts w:eastAsiaTheme="minorEastAsia"/>
            <w:bCs w:val="0"/>
            <w:smallCaps w:val="0"/>
            <w:noProof/>
            <w:sz w:val="24"/>
            <w:szCs w:val="24"/>
            <w:lang w:val="es-ES" w:eastAsia="it-IT"/>
          </w:rPr>
          <w:tab/>
        </w:r>
        <w:r w:rsidRPr="00544542" w:rsidR="00996AE5">
          <w:rPr>
            <w:rStyle w:val="Hyperlink"/>
            <w:rFonts w:ascii="Arial" w:hAnsi="Arial" w:eastAsia="Calibri" w:cs="Arial"/>
            <w:noProof/>
            <w:lang w:val="es-ES"/>
          </w:rPr>
          <w:t>Objetivos, Componentes y Costo</w:t>
        </w:r>
        <w:r w:rsidRPr="00544542" w:rsidR="00996AE5">
          <w:rPr>
            <w:noProof/>
            <w:webHidden/>
            <w:lang w:val="es-ES"/>
          </w:rPr>
          <w:tab/>
        </w:r>
        <w:r w:rsidRPr="00544542" w:rsidR="00996AE5">
          <w:rPr>
            <w:noProof/>
            <w:webHidden/>
            <w:lang w:val="es-ES"/>
          </w:rPr>
          <w:fldChar w:fldCharType="begin"/>
        </w:r>
        <w:r w:rsidRPr="00544542" w:rsidR="00996AE5">
          <w:rPr>
            <w:noProof/>
            <w:webHidden/>
            <w:lang w:val="es-ES"/>
          </w:rPr>
          <w:instrText xml:space="preserve"> PAGEREF _Toc524778482 \h </w:instrText>
        </w:r>
        <w:r w:rsidRPr="00544542" w:rsidR="00996AE5">
          <w:rPr>
            <w:noProof/>
            <w:webHidden/>
            <w:lang w:val="es-ES"/>
          </w:rPr>
        </w:r>
        <w:r w:rsidRPr="00544542" w:rsidR="00996AE5">
          <w:rPr>
            <w:noProof/>
            <w:webHidden/>
            <w:lang w:val="es-ES"/>
          </w:rPr>
          <w:fldChar w:fldCharType="separate"/>
        </w:r>
        <w:r w:rsidRPr="00544542" w:rsidR="00F4752C">
          <w:rPr>
            <w:noProof/>
            <w:webHidden/>
            <w:lang w:val="es-ES"/>
          </w:rPr>
          <w:t>2</w:t>
        </w:r>
        <w:r w:rsidRPr="00544542" w:rsidR="00996AE5">
          <w:rPr>
            <w:noProof/>
            <w:webHidden/>
            <w:lang w:val="es-ES"/>
          </w:rPr>
          <w:fldChar w:fldCharType="end"/>
        </w:r>
      </w:hyperlink>
    </w:p>
    <w:p w:rsidRPr="00544542" w:rsidR="00996AE5" w:rsidP="00164BDF" w:rsidRDefault="007C22E4" w14:paraId="7065AA1E" w14:textId="47979133">
      <w:pPr>
        <w:pStyle w:val="TOC1"/>
        <w:tabs>
          <w:tab w:val="right" w:pos="9350"/>
        </w:tabs>
        <w:spacing w:line="276" w:lineRule="auto"/>
        <w:rPr>
          <w:rFonts w:ascii="Arial" w:hAnsi="Arial" w:cs="Arial" w:eastAsiaTheme="minorEastAsia"/>
          <w:b w:val="0"/>
          <w:bCs w:val="0"/>
          <w:caps w:val="0"/>
          <w:noProof/>
          <w:lang w:val="es-ES" w:eastAsia="it-IT"/>
        </w:rPr>
      </w:pPr>
      <w:hyperlink w:history="1" w:anchor="_Toc524778483">
        <w:r w:rsidRPr="00544542" w:rsidR="00996AE5">
          <w:rPr>
            <w:rStyle w:val="Hyperlink"/>
            <w:rFonts w:ascii="Arial" w:hAnsi="Arial" w:eastAsia="Calibri" w:cs="Arial"/>
            <w:noProof/>
            <w:lang w:val="es-ES"/>
          </w:rPr>
          <w:t>II. Seguimiento</w:t>
        </w:r>
        <w:r w:rsidRPr="00544542" w:rsidR="00996AE5">
          <w:rPr>
            <w:rFonts w:ascii="Arial" w:hAnsi="Arial" w:cs="Arial"/>
            <w:noProof/>
            <w:webHidden/>
            <w:lang w:val="es-ES"/>
          </w:rPr>
          <w:tab/>
        </w:r>
        <w:r w:rsidRPr="00544542" w:rsidR="00996AE5">
          <w:rPr>
            <w:rFonts w:ascii="Arial" w:hAnsi="Arial" w:cs="Arial"/>
            <w:noProof/>
            <w:webHidden/>
            <w:lang w:val="es-ES"/>
          </w:rPr>
          <w:fldChar w:fldCharType="begin"/>
        </w:r>
        <w:r w:rsidRPr="00544542" w:rsidR="00996AE5">
          <w:rPr>
            <w:rFonts w:ascii="Arial" w:hAnsi="Arial" w:cs="Arial"/>
            <w:noProof/>
            <w:webHidden/>
            <w:lang w:val="es-ES"/>
          </w:rPr>
          <w:instrText xml:space="preserve"> PAGEREF _Toc524778483 \h </w:instrText>
        </w:r>
        <w:r w:rsidRPr="00544542" w:rsidR="00996AE5">
          <w:rPr>
            <w:rFonts w:ascii="Arial" w:hAnsi="Arial" w:cs="Arial"/>
            <w:noProof/>
            <w:webHidden/>
            <w:lang w:val="es-ES"/>
          </w:rPr>
        </w:r>
        <w:r w:rsidRPr="00544542" w:rsidR="00996AE5">
          <w:rPr>
            <w:rFonts w:ascii="Arial" w:hAnsi="Arial" w:cs="Arial"/>
            <w:noProof/>
            <w:webHidden/>
            <w:lang w:val="es-ES"/>
          </w:rPr>
          <w:fldChar w:fldCharType="separate"/>
        </w:r>
        <w:r w:rsidRPr="00544542" w:rsidR="00F4752C">
          <w:rPr>
            <w:rFonts w:ascii="Arial" w:hAnsi="Arial" w:cs="Arial"/>
            <w:noProof/>
            <w:webHidden/>
            <w:lang w:val="es-ES"/>
          </w:rPr>
          <w:t>3</w:t>
        </w:r>
        <w:r w:rsidRPr="00544542" w:rsidR="00996AE5">
          <w:rPr>
            <w:rFonts w:ascii="Arial" w:hAnsi="Arial" w:cs="Arial"/>
            <w:noProof/>
            <w:webHidden/>
            <w:lang w:val="es-ES"/>
          </w:rPr>
          <w:fldChar w:fldCharType="end"/>
        </w:r>
      </w:hyperlink>
    </w:p>
    <w:p w:rsidRPr="00544542" w:rsidR="00996AE5" w:rsidP="00164BDF" w:rsidRDefault="007C22E4" w14:paraId="073C4035" w14:textId="6613FFBB">
      <w:pPr>
        <w:pStyle w:val="TOC2"/>
        <w:spacing w:line="276" w:lineRule="auto"/>
        <w:jc w:val="both"/>
        <w:rPr>
          <w:rFonts w:eastAsiaTheme="minorEastAsia"/>
          <w:bCs w:val="0"/>
          <w:smallCaps w:val="0"/>
          <w:noProof/>
          <w:sz w:val="24"/>
          <w:szCs w:val="24"/>
          <w:lang w:val="es-ES" w:eastAsia="it-IT"/>
        </w:rPr>
      </w:pPr>
      <w:hyperlink w:history="1" w:anchor="_Toc524778484">
        <w:r w:rsidRPr="00544542" w:rsidR="00996AE5">
          <w:rPr>
            <w:rStyle w:val="Hyperlink"/>
            <w:rFonts w:ascii="Arial" w:hAnsi="Arial" w:eastAsia="Calibri" w:cs="Arial"/>
            <w:noProof/>
            <w:lang w:val="es-ES"/>
          </w:rPr>
          <w:t>A.</w:t>
        </w:r>
        <w:r w:rsidRPr="00544542" w:rsidR="00996AE5">
          <w:rPr>
            <w:rFonts w:eastAsiaTheme="minorEastAsia"/>
            <w:bCs w:val="0"/>
            <w:smallCaps w:val="0"/>
            <w:noProof/>
            <w:sz w:val="24"/>
            <w:szCs w:val="24"/>
            <w:lang w:val="es-ES" w:eastAsia="it-IT"/>
          </w:rPr>
          <w:tab/>
        </w:r>
        <w:r w:rsidRPr="00544542" w:rsidR="00996AE5">
          <w:rPr>
            <w:rStyle w:val="Hyperlink"/>
            <w:rFonts w:ascii="Arial" w:hAnsi="Arial" w:eastAsia="Calibri" w:cs="Arial"/>
            <w:noProof/>
            <w:lang w:val="es-ES"/>
          </w:rPr>
          <w:t>Indicadores de Seguimiento</w:t>
        </w:r>
        <w:r w:rsidRPr="00544542" w:rsidR="00996AE5">
          <w:rPr>
            <w:noProof/>
            <w:webHidden/>
            <w:lang w:val="es-ES"/>
          </w:rPr>
          <w:tab/>
        </w:r>
        <w:r w:rsidRPr="00544542" w:rsidR="00996AE5">
          <w:rPr>
            <w:noProof/>
            <w:webHidden/>
            <w:lang w:val="es-ES"/>
          </w:rPr>
          <w:fldChar w:fldCharType="begin"/>
        </w:r>
        <w:r w:rsidRPr="00544542" w:rsidR="00996AE5">
          <w:rPr>
            <w:noProof/>
            <w:webHidden/>
            <w:lang w:val="es-ES"/>
          </w:rPr>
          <w:instrText xml:space="preserve"> PAGEREF _Toc524778484 \h </w:instrText>
        </w:r>
        <w:r w:rsidRPr="00544542" w:rsidR="00996AE5">
          <w:rPr>
            <w:noProof/>
            <w:webHidden/>
            <w:lang w:val="es-ES"/>
          </w:rPr>
        </w:r>
        <w:r w:rsidRPr="00544542" w:rsidR="00996AE5">
          <w:rPr>
            <w:noProof/>
            <w:webHidden/>
            <w:lang w:val="es-ES"/>
          </w:rPr>
          <w:fldChar w:fldCharType="separate"/>
        </w:r>
        <w:r w:rsidRPr="00544542" w:rsidR="00F4752C">
          <w:rPr>
            <w:noProof/>
            <w:webHidden/>
            <w:lang w:val="es-ES"/>
          </w:rPr>
          <w:t>4</w:t>
        </w:r>
        <w:r w:rsidRPr="00544542" w:rsidR="00996AE5">
          <w:rPr>
            <w:noProof/>
            <w:webHidden/>
            <w:lang w:val="es-ES"/>
          </w:rPr>
          <w:fldChar w:fldCharType="end"/>
        </w:r>
      </w:hyperlink>
    </w:p>
    <w:p w:rsidRPr="00544542" w:rsidR="00996AE5" w:rsidP="00164BDF" w:rsidRDefault="007C22E4" w14:paraId="2D77D5BF" w14:textId="7EC1A39C">
      <w:pPr>
        <w:pStyle w:val="TOC2"/>
        <w:spacing w:line="276" w:lineRule="auto"/>
        <w:jc w:val="both"/>
        <w:rPr>
          <w:rFonts w:eastAsiaTheme="minorEastAsia"/>
          <w:bCs w:val="0"/>
          <w:smallCaps w:val="0"/>
          <w:noProof/>
          <w:sz w:val="24"/>
          <w:szCs w:val="24"/>
          <w:lang w:val="es-ES" w:eastAsia="it-IT"/>
        </w:rPr>
      </w:pPr>
      <w:hyperlink w:history="1" w:anchor="_Toc524778485">
        <w:r w:rsidRPr="00544542" w:rsidR="00996AE5">
          <w:rPr>
            <w:rStyle w:val="Hyperlink"/>
            <w:rFonts w:ascii="Arial" w:hAnsi="Arial" w:eastAsia="Calibri" w:cs="Arial"/>
            <w:noProof/>
            <w:lang w:val="es-ES"/>
          </w:rPr>
          <w:t>B.</w:t>
        </w:r>
        <w:r w:rsidRPr="00544542" w:rsidR="00996AE5">
          <w:rPr>
            <w:rFonts w:eastAsiaTheme="minorEastAsia"/>
            <w:bCs w:val="0"/>
            <w:smallCaps w:val="0"/>
            <w:noProof/>
            <w:sz w:val="24"/>
            <w:szCs w:val="24"/>
            <w:lang w:val="es-ES" w:eastAsia="it-IT"/>
          </w:rPr>
          <w:tab/>
        </w:r>
        <w:r w:rsidRPr="00544542" w:rsidR="00996AE5">
          <w:rPr>
            <w:rStyle w:val="Hyperlink"/>
            <w:rFonts w:ascii="Arial" w:hAnsi="Arial" w:eastAsia="Calibri" w:cs="Arial"/>
            <w:noProof/>
            <w:lang w:val="es-ES"/>
          </w:rPr>
          <w:t>Presentación de informes y cronogramas</w:t>
        </w:r>
        <w:r w:rsidRPr="00544542" w:rsidR="00996AE5">
          <w:rPr>
            <w:noProof/>
            <w:webHidden/>
            <w:lang w:val="es-ES"/>
          </w:rPr>
          <w:tab/>
        </w:r>
        <w:r w:rsidRPr="00544542" w:rsidR="00996AE5">
          <w:rPr>
            <w:noProof/>
            <w:webHidden/>
            <w:lang w:val="es-ES"/>
          </w:rPr>
          <w:fldChar w:fldCharType="begin"/>
        </w:r>
        <w:r w:rsidRPr="00544542" w:rsidR="00996AE5">
          <w:rPr>
            <w:noProof/>
            <w:webHidden/>
            <w:lang w:val="es-ES"/>
          </w:rPr>
          <w:instrText xml:space="preserve"> PAGEREF _Toc524778485 \h </w:instrText>
        </w:r>
        <w:r w:rsidRPr="00544542" w:rsidR="00996AE5">
          <w:rPr>
            <w:noProof/>
            <w:webHidden/>
            <w:lang w:val="es-ES"/>
          </w:rPr>
        </w:r>
        <w:r w:rsidRPr="00544542" w:rsidR="00996AE5">
          <w:rPr>
            <w:noProof/>
            <w:webHidden/>
            <w:lang w:val="es-ES"/>
          </w:rPr>
          <w:fldChar w:fldCharType="separate"/>
        </w:r>
        <w:r w:rsidRPr="00544542" w:rsidR="00F4752C">
          <w:rPr>
            <w:noProof/>
            <w:webHidden/>
            <w:lang w:val="es-ES"/>
          </w:rPr>
          <w:t>22</w:t>
        </w:r>
        <w:r w:rsidRPr="00544542" w:rsidR="00996AE5">
          <w:rPr>
            <w:noProof/>
            <w:webHidden/>
            <w:lang w:val="es-ES"/>
          </w:rPr>
          <w:fldChar w:fldCharType="end"/>
        </w:r>
      </w:hyperlink>
    </w:p>
    <w:p w:rsidRPr="00544542" w:rsidR="00996AE5" w:rsidP="00164BDF" w:rsidRDefault="007C22E4" w14:paraId="694FC578" w14:textId="0F82BEE5">
      <w:pPr>
        <w:pStyle w:val="TOC2"/>
        <w:spacing w:line="276" w:lineRule="auto"/>
        <w:jc w:val="both"/>
        <w:rPr>
          <w:rFonts w:eastAsiaTheme="minorEastAsia"/>
          <w:bCs w:val="0"/>
          <w:smallCaps w:val="0"/>
          <w:noProof/>
          <w:sz w:val="24"/>
          <w:szCs w:val="24"/>
          <w:lang w:val="es-ES" w:eastAsia="it-IT"/>
        </w:rPr>
      </w:pPr>
      <w:hyperlink w:history="1" w:anchor="_Toc524778486">
        <w:r w:rsidRPr="00544542" w:rsidR="00996AE5">
          <w:rPr>
            <w:rStyle w:val="Hyperlink"/>
            <w:rFonts w:ascii="Arial" w:hAnsi="Arial" w:eastAsia="Calibri" w:cs="Arial"/>
            <w:noProof/>
            <w:lang w:val="es-ES"/>
          </w:rPr>
          <w:t>C.</w:t>
        </w:r>
        <w:r w:rsidRPr="00544542" w:rsidR="00996AE5">
          <w:rPr>
            <w:rFonts w:eastAsiaTheme="minorEastAsia"/>
            <w:bCs w:val="0"/>
            <w:smallCaps w:val="0"/>
            <w:noProof/>
            <w:sz w:val="24"/>
            <w:szCs w:val="24"/>
            <w:lang w:val="es-ES" w:eastAsia="it-IT"/>
          </w:rPr>
          <w:tab/>
        </w:r>
        <w:r w:rsidRPr="00544542" w:rsidR="00996AE5">
          <w:rPr>
            <w:rStyle w:val="Hyperlink"/>
            <w:rFonts w:ascii="Arial" w:hAnsi="Arial" w:eastAsia="Calibri" w:cs="Arial"/>
            <w:noProof/>
            <w:lang w:val="es-ES"/>
          </w:rPr>
          <w:t>Responsables y presupuesto</w:t>
        </w:r>
        <w:r w:rsidRPr="00544542" w:rsidR="00996AE5">
          <w:rPr>
            <w:noProof/>
            <w:webHidden/>
            <w:lang w:val="es-ES"/>
          </w:rPr>
          <w:tab/>
        </w:r>
        <w:r w:rsidRPr="00544542" w:rsidR="00996AE5">
          <w:rPr>
            <w:noProof/>
            <w:webHidden/>
            <w:lang w:val="es-ES"/>
          </w:rPr>
          <w:fldChar w:fldCharType="begin"/>
        </w:r>
        <w:r w:rsidRPr="00544542" w:rsidR="00996AE5">
          <w:rPr>
            <w:noProof/>
            <w:webHidden/>
            <w:lang w:val="es-ES"/>
          </w:rPr>
          <w:instrText xml:space="preserve"> PAGEREF _Toc524778486 \h </w:instrText>
        </w:r>
        <w:r w:rsidRPr="00544542" w:rsidR="00996AE5">
          <w:rPr>
            <w:noProof/>
            <w:webHidden/>
            <w:lang w:val="es-ES"/>
          </w:rPr>
        </w:r>
        <w:r w:rsidRPr="00544542" w:rsidR="00996AE5">
          <w:rPr>
            <w:noProof/>
            <w:webHidden/>
            <w:lang w:val="es-ES"/>
          </w:rPr>
          <w:fldChar w:fldCharType="separate"/>
        </w:r>
        <w:r w:rsidRPr="00544542" w:rsidR="00F4752C">
          <w:rPr>
            <w:noProof/>
            <w:webHidden/>
            <w:lang w:val="es-ES"/>
          </w:rPr>
          <w:t>23</w:t>
        </w:r>
        <w:r w:rsidRPr="00544542" w:rsidR="00996AE5">
          <w:rPr>
            <w:noProof/>
            <w:webHidden/>
            <w:lang w:val="es-ES"/>
          </w:rPr>
          <w:fldChar w:fldCharType="end"/>
        </w:r>
      </w:hyperlink>
    </w:p>
    <w:p w:rsidRPr="00544542" w:rsidR="00996AE5" w:rsidP="00164BDF" w:rsidRDefault="007C22E4" w14:paraId="34577891" w14:textId="76292781">
      <w:pPr>
        <w:pStyle w:val="TOC1"/>
        <w:tabs>
          <w:tab w:val="left" w:pos="480"/>
          <w:tab w:val="right" w:pos="9350"/>
        </w:tabs>
        <w:spacing w:line="276" w:lineRule="auto"/>
        <w:rPr>
          <w:rFonts w:ascii="Arial" w:hAnsi="Arial" w:cs="Arial" w:eastAsiaTheme="minorEastAsia"/>
          <w:b w:val="0"/>
          <w:bCs w:val="0"/>
          <w:caps w:val="0"/>
          <w:noProof/>
          <w:lang w:val="es-ES" w:eastAsia="it-IT"/>
        </w:rPr>
      </w:pPr>
      <w:hyperlink w:history="1" w:anchor="_Toc524778487">
        <w:r w:rsidRPr="00544542" w:rsidR="00996AE5">
          <w:rPr>
            <w:rStyle w:val="Hyperlink"/>
            <w:rFonts w:ascii="Arial" w:hAnsi="Arial" w:eastAsia="Calibri" w:cs="Arial"/>
            <w:noProof/>
            <w:lang w:val="es-ES"/>
          </w:rPr>
          <w:t>III.</w:t>
        </w:r>
        <w:r w:rsidRPr="00544542" w:rsidR="00996AE5">
          <w:rPr>
            <w:rFonts w:ascii="Arial" w:hAnsi="Arial" w:cs="Arial" w:eastAsiaTheme="minorEastAsia"/>
            <w:b w:val="0"/>
            <w:bCs w:val="0"/>
            <w:caps w:val="0"/>
            <w:noProof/>
            <w:lang w:val="es-ES" w:eastAsia="it-IT"/>
          </w:rPr>
          <w:tab/>
        </w:r>
        <w:r w:rsidRPr="00544542" w:rsidR="00996AE5">
          <w:rPr>
            <w:rStyle w:val="Hyperlink"/>
            <w:rFonts w:ascii="Arial" w:hAnsi="Arial" w:eastAsia="Calibri" w:cs="Arial"/>
            <w:noProof/>
            <w:lang w:val="es-ES"/>
          </w:rPr>
          <w:t>Evaluación</w:t>
        </w:r>
        <w:r w:rsidRPr="00544542" w:rsidR="00996AE5">
          <w:rPr>
            <w:rFonts w:ascii="Arial" w:hAnsi="Arial" w:cs="Arial"/>
            <w:noProof/>
            <w:webHidden/>
            <w:lang w:val="es-ES"/>
          </w:rPr>
          <w:tab/>
        </w:r>
        <w:r w:rsidRPr="00544542" w:rsidR="00996AE5">
          <w:rPr>
            <w:rFonts w:ascii="Arial" w:hAnsi="Arial" w:cs="Arial"/>
            <w:noProof/>
            <w:webHidden/>
            <w:lang w:val="es-ES"/>
          </w:rPr>
          <w:fldChar w:fldCharType="begin"/>
        </w:r>
        <w:r w:rsidRPr="00544542" w:rsidR="00996AE5">
          <w:rPr>
            <w:rFonts w:ascii="Arial" w:hAnsi="Arial" w:cs="Arial"/>
            <w:noProof/>
            <w:webHidden/>
            <w:lang w:val="es-ES"/>
          </w:rPr>
          <w:instrText xml:space="preserve"> PAGEREF _Toc524778487 \h </w:instrText>
        </w:r>
        <w:r w:rsidRPr="00544542" w:rsidR="00996AE5">
          <w:rPr>
            <w:rFonts w:ascii="Arial" w:hAnsi="Arial" w:cs="Arial"/>
            <w:noProof/>
            <w:webHidden/>
            <w:lang w:val="es-ES"/>
          </w:rPr>
        </w:r>
        <w:r w:rsidRPr="00544542" w:rsidR="00996AE5">
          <w:rPr>
            <w:rFonts w:ascii="Arial" w:hAnsi="Arial" w:cs="Arial"/>
            <w:noProof/>
            <w:webHidden/>
            <w:lang w:val="es-ES"/>
          </w:rPr>
          <w:fldChar w:fldCharType="separate"/>
        </w:r>
        <w:r w:rsidRPr="00544542" w:rsidR="00F4752C">
          <w:rPr>
            <w:rFonts w:ascii="Arial" w:hAnsi="Arial" w:cs="Arial"/>
            <w:noProof/>
            <w:webHidden/>
            <w:lang w:val="es-ES"/>
          </w:rPr>
          <w:t>23</w:t>
        </w:r>
        <w:r w:rsidRPr="00544542" w:rsidR="00996AE5">
          <w:rPr>
            <w:rFonts w:ascii="Arial" w:hAnsi="Arial" w:cs="Arial"/>
            <w:noProof/>
            <w:webHidden/>
            <w:lang w:val="es-ES"/>
          </w:rPr>
          <w:fldChar w:fldCharType="end"/>
        </w:r>
      </w:hyperlink>
    </w:p>
    <w:p w:rsidRPr="00544542" w:rsidR="00996AE5" w:rsidP="00164BDF" w:rsidRDefault="007C22E4" w14:paraId="1AB922B4" w14:textId="31243B0B">
      <w:pPr>
        <w:pStyle w:val="TOC2"/>
        <w:spacing w:line="276" w:lineRule="auto"/>
        <w:jc w:val="both"/>
        <w:rPr>
          <w:rFonts w:eastAsiaTheme="minorEastAsia"/>
          <w:bCs w:val="0"/>
          <w:smallCaps w:val="0"/>
          <w:noProof/>
          <w:sz w:val="24"/>
          <w:szCs w:val="24"/>
          <w:lang w:val="es-ES" w:eastAsia="it-IT"/>
        </w:rPr>
      </w:pPr>
      <w:hyperlink w:history="1" w:anchor="_Toc524778488">
        <w:r w:rsidRPr="00544542" w:rsidR="00996AE5">
          <w:rPr>
            <w:rStyle w:val="Hyperlink"/>
            <w:rFonts w:ascii="Arial" w:hAnsi="Arial" w:eastAsia="Calibri" w:cs="Arial"/>
            <w:noProof/>
            <w:lang w:val="es-ES"/>
          </w:rPr>
          <w:t>A.</w:t>
        </w:r>
        <w:r w:rsidRPr="00544542" w:rsidR="00996AE5">
          <w:rPr>
            <w:rFonts w:eastAsiaTheme="minorEastAsia"/>
            <w:bCs w:val="0"/>
            <w:smallCaps w:val="0"/>
            <w:noProof/>
            <w:sz w:val="24"/>
            <w:szCs w:val="24"/>
            <w:lang w:val="es-ES" w:eastAsia="it-IT"/>
          </w:rPr>
          <w:tab/>
        </w:r>
        <w:r w:rsidRPr="00544542" w:rsidR="00996AE5">
          <w:rPr>
            <w:rStyle w:val="Hyperlink"/>
            <w:rFonts w:ascii="Arial" w:hAnsi="Arial" w:eastAsia="Calibri" w:cs="Arial"/>
            <w:noProof/>
            <w:lang w:val="es-ES"/>
          </w:rPr>
          <w:t>Principales Indicadores</w:t>
        </w:r>
        <w:r w:rsidRPr="00544542" w:rsidR="00996AE5">
          <w:rPr>
            <w:noProof/>
            <w:webHidden/>
            <w:lang w:val="es-ES"/>
          </w:rPr>
          <w:tab/>
        </w:r>
        <w:r w:rsidRPr="00544542" w:rsidR="00996AE5">
          <w:rPr>
            <w:noProof/>
            <w:webHidden/>
            <w:lang w:val="es-ES"/>
          </w:rPr>
          <w:fldChar w:fldCharType="begin"/>
        </w:r>
        <w:r w:rsidRPr="00544542" w:rsidR="00996AE5">
          <w:rPr>
            <w:noProof/>
            <w:webHidden/>
            <w:lang w:val="es-ES"/>
          </w:rPr>
          <w:instrText xml:space="preserve"> PAGEREF _Toc524778488 \h </w:instrText>
        </w:r>
        <w:r w:rsidRPr="00544542" w:rsidR="00996AE5">
          <w:rPr>
            <w:noProof/>
            <w:webHidden/>
            <w:lang w:val="es-ES"/>
          </w:rPr>
        </w:r>
        <w:r w:rsidRPr="00544542" w:rsidR="00996AE5">
          <w:rPr>
            <w:noProof/>
            <w:webHidden/>
            <w:lang w:val="es-ES"/>
          </w:rPr>
          <w:fldChar w:fldCharType="separate"/>
        </w:r>
        <w:r w:rsidRPr="00544542" w:rsidR="00F4752C">
          <w:rPr>
            <w:noProof/>
            <w:webHidden/>
            <w:lang w:val="es-ES"/>
          </w:rPr>
          <w:t>23</w:t>
        </w:r>
        <w:r w:rsidRPr="00544542" w:rsidR="00996AE5">
          <w:rPr>
            <w:noProof/>
            <w:webHidden/>
            <w:lang w:val="es-ES"/>
          </w:rPr>
          <w:fldChar w:fldCharType="end"/>
        </w:r>
      </w:hyperlink>
    </w:p>
    <w:p w:rsidRPr="00544542" w:rsidR="00996AE5" w:rsidP="00164BDF" w:rsidRDefault="007C22E4" w14:paraId="4B750691" w14:textId="025BDF4B">
      <w:pPr>
        <w:pStyle w:val="TOC2"/>
        <w:spacing w:line="276" w:lineRule="auto"/>
        <w:jc w:val="both"/>
        <w:rPr>
          <w:rFonts w:eastAsiaTheme="minorEastAsia"/>
          <w:bCs w:val="0"/>
          <w:smallCaps w:val="0"/>
          <w:noProof/>
          <w:sz w:val="24"/>
          <w:szCs w:val="24"/>
          <w:lang w:val="es-ES" w:eastAsia="it-IT"/>
        </w:rPr>
      </w:pPr>
      <w:hyperlink w:history="1" w:anchor="_Toc524778489">
        <w:r w:rsidRPr="00544542" w:rsidR="00996AE5">
          <w:rPr>
            <w:rStyle w:val="Hyperlink"/>
            <w:rFonts w:ascii="Arial" w:hAnsi="Arial" w:eastAsia="Calibri" w:cs="Arial"/>
            <w:noProof/>
            <w:lang w:val="es-ES"/>
          </w:rPr>
          <w:t>B.</w:t>
        </w:r>
        <w:r w:rsidRPr="00544542" w:rsidR="00996AE5">
          <w:rPr>
            <w:rFonts w:eastAsiaTheme="minorEastAsia"/>
            <w:bCs w:val="0"/>
            <w:smallCaps w:val="0"/>
            <w:noProof/>
            <w:sz w:val="24"/>
            <w:szCs w:val="24"/>
            <w:lang w:val="es-ES" w:eastAsia="it-IT"/>
          </w:rPr>
          <w:tab/>
        </w:r>
        <w:r w:rsidRPr="00544542" w:rsidR="00996AE5">
          <w:rPr>
            <w:rStyle w:val="Hyperlink"/>
            <w:rFonts w:ascii="Arial" w:hAnsi="Arial" w:eastAsia="Calibri" w:cs="Arial"/>
            <w:noProof/>
            <w:lang w:val="es-ES"/>
          </w:rPr>
          <w:t>Contexto y antecedentes para la evaluación</w:t>
        </w:r>
        <w:r w:rsidRPr="00544542" w:rsidR="00996AE5">
          <w:rPr>
            <w:noProof/>
            <w:webHidden/>
            <w:lang w:val="es-ES"/>
          </w:rPr>
          <w:tab/>
        </w:r>
        <w:r w:rsidRPr="00544542" w:rsidR="00996AE5">
          <w:rPr>
            <w:noProof/>
            <w:webHidden/>
            <w:lang w:val="es-ES"/>
          </w:rPr>
          <w:fldChar w:fldCharType="begin"/>
        </w:r>
        <w:r w:rsidRPr="00544542" w:rsidR="00996AE5">
          <w:rPr>
            <w:noProof/>
            <w:webHidden/>
            <w:lang w:val="es-ES"/>
          </w:rPr>
          <w:instrText xml:space="preserve"> PAGEREF _Toc524778489 \h </w:instrText>
        </w:r>
        <w:r w:rsidRPr="00544542" w:rsidR="00996AE5">
          <w:rPr>
            <w:noProof/>
            <w:webHidden/>
            <w:lang w:val="es-ES"/>
          </w:rPr>
        </w:r>
        <w:r w:rsidRPr="00544542" w:rsidR="00996AE5">
          <w:rPr>
            <w:noProof/>
            <w:webHidden/>
            <w:lang w:val="es-ES"/>
          </w:rPr>
          <w:fldChar w:fldCharType="separate"/>
        </w:r>
        <w:r w:rsidRPr="00544542" w:rsidR="00F4752C">
          <w:rPr>
            <w:noProof/>
            <w:webHidden/>
            <w:lang w:val="es-ES"/>
          </w:rPr>
          <w:t>23</w:t>
        </w:r>
        <w:r w:rsidRPr="00544542" w:rsidR="00996AE5">
          <w:rPr>
            <w:noProof/>
            <w:webHidden/>
            <w:lang w:val="es-ES"/>
          </w:rPr>
          <w:fldChar w:fldCharType="end"/>
        </w:r>
      </w:hyperlink>
    </w:p>
    <w:p w:rsidRPr="00544542" w:rsidR="00996AE5" w:rsidP="00164BDF" w:rsidRDefault="007C22E4" w14:paraId="6389C4D6" w14:textId="41988723">
      <w:pPr>
        <w:pStyle w:val="TOC2"/>
        <w:spacing w:line="276" w:lineRule="auto"/>
        <w:jc w:val="both"/>
        <w:rPr>
          <w:rFonts w:eastAsiaTheme="minorEastAsia"/>
          <w:bCs w:val="0"/>
          <w:smallCaps w:val="0"/>
          <w:noProof/>
          <w:sz w:val="24"/>
          <w:szCs w:val="24"/>
          <w:lang w:val="es-ES" w:eastAsia="it-IT"/>
        </w:rPr>
      </w:pPr>
      <w:hyperlink w:history="1" w:anchor="_Toc524778490">
        <w:r w:rsidRPr="00544542" w:rsidR="00996AE5">
          <w:rPr>
            <w:rStyle w:val="Hyperlink"/>
            <w:rFonts w:ascii="Arial" w:hAnsi="Arial" w:eastAsia="Calibri" w:cs="Arial"/>
            <w:noProof/>
            <w:lang w:val="es-ES"/>
          </w:rPr>
          <w:t>C.</w:t>
        </w:r>
        <w:r w:rsidRPr="00544542" w:rsidR="00996AE5">
          <w:rPr>
            <w:rFonts w:eastAsiaTheme="minorEastAsia"/>
            <w:bCs w:val="0"/>
            <w:smallCaps w:val="0"/>
            <w:noProof/>
            <w:sz w:val="24"/>
            <w:szCs w:val="24"/>
            <w:lang w:val="es-ES" w:eastAsia="it-IT"/>
          </w:rPr>
          <w:tab/>
        </w:r>
        <w:r w:rsidRPr="00544542" w:rsidR="00996AE5">
          <w:rPr>
            <w:rStyle w:val="Hyperlink"/>
            <w:rFonts w:ascii="Arial" w:hAnsi="Arial" w:eastAsia="Calibri" w:cs="Arial"/>
            <w:noProof/>
            <w:lang w:val="es-ES"/>
          </w:rPr>
          <w:t>Análisis Económico Ex-Ante</w:t>
        </w:r>
        <w:r w:rsidRPr="00544542" w:rsidR="00996AE5">
          <w:rPr>
            <w:noProof/>
            <w:webHidden/>
            <w:lang w:val="es-ES"/>
          </w:rPr>
          <w:tab/>
        </w:r>
        <w:r w:rsidRPr="00544542" w:rsidR="00996AE5">
          <w:rPr>
            <w:noProof/>
            <w:webHidden/>
            <w:lang w:val="es-ES"/>
          </w:rPr>
          <w:fldChar w:fldCharType="begin"/>
        </w:r>
        <w:r w:rsidRPr="00544542" w:rsidR="00996AE5">
          <w:rPr>
            <w:noProof/>
            <w:webHidden/>
            <w:lang w:val="es-ES"/>
          </w:rPr>
          <w:instrText xml:space="preserve"> PAGEREF _Toc524778490 \h </w:instrText>
        </w:r>
        <w:r w:rsidRPr="00544542" w:rsidR="00996AE5">
          <w:rPr>
            <w:noProof/>
            <w:webHidden/>
            <w:lang w:val="es-ES"/>
          </w:rPr>
        </w:r>
        <w:r w:rsidRPr="00544542" w:rsidR="00996AE5">
          <w:rPr>
            <w:noProof/>
            <w:webHidden/>
            <w:lang w:val="es-ES"/>
          </w:rPr>
          <w:fldChar w:fldCharType="separate"/>
        </w:r>
        <w:r w:rsidRPr="00544542" w:rsidR="00F4752C">
          <w:rPr>
            <w:noProof/>
            <w:webHidden/>
            <w:lang w:val="es-ES"/>
          </w:rPr>
          <w:t>24</w:t>
        </w:r>
        <w:r w:rsidRPr="00544542" w:rsidR="00996AE5">
          <w:rPr>
            <w:noProof/>
            <w:webHidden/>
            <w:lang w:val="es-ES"/>
          </w:rPr>
          <w:fldChar w:fldCharType="end"/>
        </w:r>
      </w:hyperlink>
    </w:p>
    <w:p w:rsidRPr="00544542" w:rsidR="00996AE5" w:rsidP="00164BDF" w:rsidRDefault="007C22E4" w14:paraId="37512F9E" w14:textId="00DA158D">
      <w:pPr>
        <w:pStyle w:val="TOC2"/>
        <w:spacing w:line="276" w:lineRule="auto"/>
        <w:jc w:val="both"/>
        <w:rPr>
          <w:rFonts w:eastAsiaTheme="minorEastAsia"/>
          <w:bCs w:val="0"/>
          <w:smallCaps w:val="0"/>
          <w:noProof/>
          <w:sz w:val="24"/>
          <w:szCs w:val="24"/>
          <w:lang w:val="es-ES" w:eastAsia="it-IT"/>
        </w:rPr>
      </w:pPr>
      <w:hyperlink w:history="1" w:anchor="_Toc524778491">
        <w:r w:rsidRPr="00544542" w:rsidR="00996AE5">
          <w:rPr>
            <w:rStyle w:val="Hyperlink"/>
            <w:rFonts w:ascii="Arial" w:hAnsi="Arial" w:eastAsia="Calibri" w:cs="Arial"/>
            <w:noProof/>
            <w:lang w:val="es-ES"/>
          </w:rPr>
          <w:t>D.</w:t>
        </w:r>
        <w:r w:rsidRPr="00544542" w:rsidR="00996AE5">
          <w:rPr>
            <w:rFonts w:eastAsiaTheme="minorEastAsia"/>
            <w:bCs w:val="0"/>
            <w:smallCaps w:val="0"/>
            <w:noProof/>
            <w:sz w:val="24"/>
            <w:szCs w:val="24"/>
            <w:lang w:val="es-ES" w:eastAsia="it-IT"/>
          </w:rPr>
          <w:tab/>
        </w:r>
        <w:r w:rsidRPr="00544542" w:rsidR="00996AE5">
          <w:rPr>
            <w:rStyle w:val="Hyperlink"/>
            <w:rFonts w:ascii="Arial" w:hAnsi="Arial" w:eastAsia="Calibri" w:cs="Arial"/>
            <w:noProof/>
            <w:lang w:val="es-ES"/>
          </w:rPr>
          <w:t>Metodología de la evaluación de impacto</w:t>
        </w:r>
        <w:r w:rsidRPr="00544542" w:rsidR="00996AE5">
          <w:rPr>
            <w:noProof/>
            <w:webHidden/>
            <w:lang w:val="es-ES"/>
          </w:rPr>
          <w:tab/>
        </w:r>
        <w:r w:rsidRPr="00544542" w:rsidR="00996AE5">
          <w:rPr>
            <w:noProof/>
            <w:webHidden/>
            <w:lang w:val="es-ES"/>
          </w:rPr>
          <w:fldChar w:fldCharType="begin"/>
        </w:r>
        <w:r w:rsidRPr="00544542" w:rsidR="00996AE5">
          <w:rPr>
            <w:noProof/>
            <w:webHidden/>
            <w:lang w:val="es-ES"/>
          </w:rPr>
          <w:instrText xml:space="preserve"> PAGEREF _Toc524778491 \h </w:instrText>
        </w:r>
        <w:r w:rsidRPr="00544542" w:rsidR="00996AE5">
          <w:rPr>
            <w:noProof/>
            <w:webHidden/>
            <w:lang w:val="es-ES"/>
          </w:rPr>
        </w:r>
        <w:r w:rsidRPr="00544542" w:rsidR="00996AE5">
          <w:rPr>
            <w:noProof/>
            <w:webHidden/>
            <w:lang w:val="es-ES"/>
          </w:rPr>
          <w:fldChar w:fldCharType="separate"/>
        </w:r>
        <w:r w:rsidRPr="00544542" w:rsidR="00F4752C">
          <w:rPr>
            <w:noProof/>
            <w:webHidden/>
            <w:lang w:val="es-ES"/>
          </w:rPr>
          <w:t>24</w:t>
        </w:r>
        <w:r w:rsidRPr="00544542" w:rsidR="00996AE5">
          <w:rPr>
            <w:noProof/>
            <w:webHidden/>
            <w:lang w:val="es-ES"/>
          </w:rPr>
          <w:fldChar w:fldCharType="end"/>
        </w:r>
      </w:hyperlink>
    </w:p>
    <w:p w:rsidRPr="00544542" w:rsidR="00996AE5" w:rsidP="00164BDF" w:rsidRDefault="007C22E4" w14:paraId="409C8D20" w14:textId="0165EEAC">
      <w:pPr>
        <w:pStyle w:val="TOC1"/>
        <w:tabs>
          <w:tab w:val="right" w:pos="9350"/>
        </w:tabs>
        <w:spacing w:line="276" w:lineRule="auto"/>
        <w:rPr>
          <w:rFonts w:ascii="Arial" w:hAnsi="Arial" w:cs="Arial" w:eastAsiaTheme="minorEastAsia"/>
          <w:b w:val="0"/>
          <w:bCs w:val="0"/>
          <w:caps w:val="0"/>
          <w:noProof/>
          <w:lang w:val="es-ES" w:eastAsia="it-IT"/>
        </w:rPr>
      </w:pPr>
      <w:hyperlink w:history="1" w:anchor="_Toc524778492">
        <w:r w:rsidRPr="00544542" w:rsidR="00996AE5">
          <w:rPr>
            <w:rStyle w:val="Hyperlink"/>
            <w:rFonts w:ascii="Arial" w:hAnsi="Arial" w:eastAsia="Calibri" w:cs="Arial"/>
            <w:noProof/>
            <w:lang w:val="es-ES"/>
          </w:rPr>
          <w:t>Referencias</w:t>
        </w:r>
        <w:r w:rsidRPr="00544542" w:rsidR="00996AE5">
          <w:rPr>
            <w:rFonts w:ascii="Arial" w:hAnsi="Arial" w:cs="Arial"/>
            <w:noProof/>
            <w:webHidden/>
            <w:lang w:val="es-ES"/>
          </w:rPr>
          <w:tab/>
        </w:r>
        <w:r w:rsidRPr="00544542" w:rsidR="00996AE5">
          <w:rPr>
            <w:rFonts w:ascii="Arial" w:hAnsi="Arial" w:cs="Arial"/>
            <w:noProof/>
            <w:webHidden/>
            <w:lang w:val="es-ES"/>
          </w:rPr>
          <w:fldChar w:fldCharType="begin"/>
        </w:r>
        <w:r w:rsidRPr="00544542" w:rsidR="00996AE5">
          <w:rPr>
            <w:rFonts w:ascii="Arial" w:hAnsi="Arial" w:cs="Arial"/>
            <w:noProof/>
            <w:webHidden/>
            <w:lang w:val="es-ES"/>
          </w:rPr>
          <w:instrText xml:space="preserve"> PAGEREF _Toc524778492 \h </w:instrText>
        </w:r>
        <w:r w:rsidRPr="00544542" w:rsidR="00996AE5">
          <w:rPr>
            <w:rFonts w:ascii="Arial" w:hAnsi="Arial" w:cs="Arial"/>
            <w:noProof/>
            <w:webHidden/>
            <w:lang w:val="es-ES"/>
          </w:rPr>
        </w:r>
        <w:r w:rsidRPr="00544542" w:rsidR="00996AE5">
          <w:rPr>
            <w:rFonts w:ascii="Arial" w:hAnsi="Arial" w:cs="Arial"/>
            <w:noProof/>
            <w:webHidden/>
            <w:lang w:val="es-ES"/>
          </w:rPr>
          <w:fldChar w:fldCharType="separate"/>
        </w:r>
        <w:r w:rsidRPr="00544542" w:rsidR="00F4752C">
          <w:rPr>
            <w:rFonts w:ascii="Arial" w:hAnsi="Arial" w:cs="Arial"/>
            <w:noProof/>
            <w:webHidden/>
            <w:lang w:val="es-ES"/>
          </w:rPr>
          <w:t>29</w:t>
        </w:r>
        <w:r w:rsidRPr="00544542" w:rsidR="00996AE5">
          <w:rPr>
            <w:rFonts w:ascii="Arial" w:hAnsi="Arial" w:cs="Arial"/>
            <w:noProof/>
            <w:webHidden/>
            <w:lang w:val="es-ES"/>
          </w:rPr>
          <w:fldChar w:fldCharType="end"/>
        </w:r>
      </w:hyperlink>
    </w:p>
    <w:p w:rsidRPr="00544542" w:rsidR="00152993" w:rsidP="00164BDF" w:rsidRDefault="00B5472C" w14:paraId="76D8D69B" w14:textId="77777777">
      <w:pPr>
        <w:spacing w:line="276" w:lineRule="auto"/>
        <w:jc w:val="both"/>
        <w:rPr>
          <w:rFonts w:ascii="Arial" w:hAnsi="Arial" w:cs="Arial"/>
          <w:szCs w:val="22"/>
          <w:lang w:val="es-ES"/>
        </w:rPr>
        <w:sectPr w:rsidRPr="00544542" w:rsidR="00152993" w:rsidSect="0069650E">
          <w:headerReference w:type="even" r:id="rId13"/>
          <w:headerReference w:type="default" r:id="rId14"/>
          <w:footerReference w:type="even" r:id="rId15"/>
          <w:headerReference w:type="first" r:id="rId16"/>
          <w:pgSz w:w="12240" w:h="15840"/>
          <w:pgMar w:top="1440" w:right="1440" w:bottom="1440" w:left="1440" w:header="720" w:footer="720" w:gutter="0"/>
          <w:pgNumType w:start="0"/>
          <w:cols w:space="720"/>
          <w:titlePg/>
          <w:docGrid w:linePitch="360"/>
        </w:sectPr>
      </w:pPr>
      <w:r w:rsidRPr="00544542">
        <w:rPr>
          <w:rFonts w:ascii="Arial" w:hAnsi="Arial" w:cs="Arial"/>
          <w:szCs w:val="22"/>
          <w:lang w:val="es-ES"/>
        </w:rPr>
        <w:fldChar w:fldCharType="end"/>
      </w:r>
      <w:r w:rsidRPr="00544542" w:rsidR="00A1159F">
        <w:rPr>
          <w:rFonts w:ascii="Arial" w:hAnsi="Arial" w:cs="Arial"/>
          <w:szCs w:val="22"/>
          <w:lang w:val="es-ES"/>
        </w:rPr>
        <w:br w:type="page"/>
      </w:r>
    </w:p>
    <w:p w:rsidRPr="00544542" w:rsidR="00A1159F" w:rsidP="009D105A" w:rsidRDefault="00A1159F" w14:paraId="62EA0F66" w14:textId="1BD216C7">
      <w:pPr>
        <w:pStyle w:val="Heading1"/>
      </w:pPr>
      <w:bookmarkStart w:name="_Toc524778480" w:id="0"/>
      <w:r w:rsidRPr="00544542">
        <w:lastRenderedPageBreak/>
        <w:t xml:space="preserve">I. </w:t>
      </w:r>
      <w:r w:rsidRPr="00544542" w:rsidR="00390F3F">
        <w:tab/>
      </w:r>
      <w:r w:rsidRPr="00544542">
        <w:t>Introducción</w:t>
      </w:r>
      <w:r w:rsidRPr="00544542">
        <w:rPr>
          <w:vertAlign w:val="superscript"/>
        </w:rPr>
        <w:footnoteReference w:id="2"/>
      </w:r>
      <w:bookmarkEnd w:id="0"/>
    </w:p>
    <w:p w:rsidRPr="00544542" w:rsidR="00872806" w:rsidP="007B464E" w:rsidRDefault="00F36C8D" w14:paraId="442B642B" w14:textId="22D89D06">
      <w:pPr>
        <w:pStyle w:val="AutoNumpara"/>
        <w:numPr>
          <w:ilvl w:val="0"/>
          <w:numId w:val="0"/>
        </w:numPr>
        <w:spacing w:after="160"/>
        <w:rPr>
          <w:rFonts w:cs="Arial"/>
          <w:color w:val="000000"/>
          <w:sz w:val="22"/>
          <w:szCs w:val="22"/>
          <w:lang w:val="es-ES"/>
        </w:rPr>
      </w:pPr>
      <w:bookmarkStart w:name="_Toc422751911" w:id="1"/>
      <w:bookmarkStart w:name="_Ref285380113" w:id="2"/>
      <w:r w:rsidRPr="00544542">
        <w:rPr>
          <w:rFonts w:cs="Arial"/>
          <w:noProof w:val="0"/>
          <w:color w:val="000000"/>
          <w:sz w:val="22"/>
          <w:szCs w:val="22"/>
          <w:lang w:val="es-ES"/>
        </w:rPr>
        <w:t xml:space="preserve">Este documento describe la estrategia de monitoreo y evaluación del </w:t>
      </w:r>
      <w:r w:rsidRPr="00544542">
        <w:rPr>
          <w:rFonts w:cs="Arial"/>
          <w:color w:val="000000"/>
          <w:sz w:val="22"/>
          <w:szCs w:val="22"/>
          <w:lang w:val="es-ES"/>
        </w:rPr>
        <w:t>Programa para mejorar la sostenibilidad del sistema de salud en Colombia con enfoque inclusivo.</w:t>
      </w:r>
      <w:r w:rsidRPr="00544542" w:rsidR="0092617E">
        <w:rPr>
          <w:rFonts w:cs="Arial"/>
          <w:color w:val="000000"/>
          <w:sz w:val="22"/>
          <w:szCs w:val="22"/>
          <w:lang w:val="es-ES"/>
        </w:rPr>
        <w:t xml:space="preserve"> El programa es un prestamo basado en resultados. </w:t>
      </w:r>
    </w:p>
    <w:p w:rsidRPr="00544542" w:rsidR="00A1159F" w:rsidP="007B464E" w:rsidRDefault="00A1159F" w14:paraId="72EBDE55" w14:textId="48E8AFD0">
      <w:pPr>
        <w:pStyle w:val="Heading2"/>
      </w:pPr>
      <w:bookmarkStart w:name="_Toc524778482" w:id="3"/>
      <w:r w:rsidRPr="00544542">
        <w:t>Objetivos, Componentes y Costo</w:t>
      </w:r>
      <w:bookmarkEnd w:id="1"/>
      <w:bookmarkEnd w:id="3"/>
    </w:p>
    <w:p w:rsidR="00D921CF" w:rsidP="00482202" w:rsidRDefault="00D921CF" w14:paraId="2921AB08" w14:textId="71A3E3CE">
      <w:pPr>
        <w:pStyle w:val="Paragraph"/>
      </w:pPr>
      <w:bookmarkStart w:name="_Hlk26966014" w:id="4"/>
      <w:bookmarkEnd w:id="2"/>
      <w:r w:rsidRPr="00D77054">
        <w:t>Objetivos</w:t>
      </w:r>
      <w:r w:rsidRPr="007C0BBC">
        <w:t>.</w:t>
      </w:r>
      <w:r w:rsidRPr="00D77054">
        <w:t xml:space="preserve"> </w:t>
      </w:r>
      <w:r w:rsidRPr="00D921CF">
        <w:t>Mejorar la sostenibilidad del SGSSS con el fin de preservar los logros obtenidos en materia de cobertura, equidad y protección financiera, así como mejorar la salud de la población. Objetivos específicos: (i) mejorar la gestión del gasto total de servicios y tecnologías en salud no financiadas con la UPC; (</w:t>
      </w:r>
      <w:proofErr w:type="spellStart"/>
      <w:r w:rsidRPr="00D921CF">
        <w:t>ii</w:t>
      </w:r>
      <w:proofErr w:type="spellEnd"/>
      <w:r w:rsidRPr="00D921CF">
        <w:t xml:space="preserve">) mejorar la eficiencia </w:t>
      </w:r>
      <w:r w:rsidR="00C01EC4">
        <w:t xml:space="preserve">y cobertura </w:t>
      </w:r>
      <w:r w:rsidRPr="00D921CF">
        <w:t xml:space="preserve">del </w:t>
      </w:r>
      <w:r w:rsidR="00C01EC4">
        <w:t>SGSSS</w:t>
      </w:r>
      <w:r w:rsidRPr="00D921CF">
        <w:t>; y (</w:t>
      </w:r>
      <w:proofErr w:type="spellStart"/>
      <w:r w:rsidRPr="00D921CF">
        <w:t>iii</w:t>
      </w:r>
      <w:proofErr w:type="spellEnd"/>
      <w:r w:rsidRPr="00D921CF">
        <w:t>) aumentar la cobertura en salud para población inmigrante.</w:t>
      </w:r>
    </w:p>
    <w:p w:rsidRPr="00D921CF" w:rsidR="00F5051C" w:rsidP="00482202" w:rsidRDefault="00F5051C" w14:paraId="3767548A" w14:textId="77777777">
      <w:pPr>
        <w:pStyle w:val="Paragraph"/>
      </w:pPr>
    </w:p>
    <w:p w:rsidR="00D921CF" w:rsidP="00482202" w:rsidRDefault="00D921CF" w14:paraId="0BAB083C" w14:textId="122311F8">
      <w:pPr>
        <w:pStyle w:val="Paragraph"/>
      </w:pPr>
      <w:r w:rsidRPr="00D04154">
        <w:rPr>
          <w:b/>
          <w:bCs/>
        </w:rPr>
        <w:t>Componente 1. Mejoras en la gestión del gasto de servicios y tecnologías no financiados con la UPC (BID (CO): US$75 millones).</w:t>
      </w:r>
      <w:r w:rsidRPr="00D77054">
        <w:t xml:space="preserve"> </w:t>
      </w:r>
      <w:r w:rsidRPr="00D921CF">
        <w:t>Se espera aliviar las presiones que afectan el gasto en salud por la prestación de servicios y tecnologías no financiadas con la UPC</w:t>
      </w:r>
      <w:r w:rsidR="009F5FBB">
        <w:t>,</w:t>
      </w:r>
      <w:r w:rsidR="00C70B44">
        <w:t xml:space="preserve"> sin afectar la calidad de la prestación de los servicios,</w:t>
      </w:r>
      <w:r w:rsidRPr="00D921CF">
        <w:t xml:space="preserve"> apoyando la implementación de la Estrategia de Punto Final</w:t>
      </w:r>
      <w:r w:rsidRPr="00D921CF">
        <w:rPr>
          <w:rStyle w:val="FootnoteReference"/>
          <w:rFonts w:ascii="Arial" w:hAnsi="Arial" w:cs="Arial"/>
          <w:b/>
          <w:bCs/>
          <w:sz w:val="22"/>
        </w:rPr>
        <w:footnoteReference w:id="3"/>
      </w:r>
      <w:r w:rsidRPr="00D921CF">
        <w:t>. La</w:t>
      </w:r>
      <w:r w:rsidR="007B464E">
        <w:t> </w:t>
      </w:r>
      <w:r w:rsidRPr="00D921CF">
        <w:t>gestión eficiente del gasto se desarrollará a través de: (i)</w:t>
      </w:r>
      <w:r w:rsidR="002D3FA5">
        <w:t> </w:t>
      </w:r>
      <w:r w:rsidRPr="00D921CF">
        <w:t>reglamentación e implementación de la metodología de VMR; (</w:t>
      </w:r>
      <w:proofErr w:type="spellStart"/>
      <w:r w:rsidRPr="00D921CF">
        <w:t>ii</w:t>
      </w:r>
      <w:proofErr w:type="spellEnd"/>
      <w:r w:rsidRPr="00D921CF">
        <w:t>) definición de techos presupuestales por EPS a partir de los VMR y las frecuencias esperadas para la gestión de estos servicios y tecnologías; (</w:t>
      </w:r>
      <w:proofErr w:type="spellStart"/>
      <w:r w:rsidRPr="00D921CF">
        <w:t>iii</w:t>
      </w:r>
      <w:proofErr w:type="spellEnd"/>
      <w:r w:rsidRPr="00D921CF">
        <w:t>) transferencia de</w:t>
      </w:r>
      <w:r w:rsidR="000C3444">
        <w:t>l</w:t>
      </w:r>
      <w:r w:rsidRPr="00D921CF">
        <w:t xml:space="preserve"> riesgo</w:t>
      </w:r>
      <w:r w:rsidR="000C3444">
        <w:t xml:space="preserve"> y de gestión integral</w:t>
      </w:r>
      <w:r w:rsidRPr="00D921CF">
        <w:t xml:space="preserve"> de tecnologías no incluidas en la UPC a EPS e incentivo al ahorro</w:t>
      </w:r>
      <w:r w:rsidR="002B5C03">
        <w:t xml:space="preserve"> en el alto costo para reorientar el gasto a tecnologías más costo eficientes</w:t>
      </w:r>
      <w:r w:rsidR="006766D7">
        <w:t>;</w:t>
      </w:r>
      <w:r w:rsidRPr="00D921CF">
        <w:t xml:space="preserve"> (</w:t>
      </w:r>
      <w:proofErr w:type="spellStart"/>
      <w:r w:rsidRPr="00D921CF">
        <w:t>iv</w:t>
      </w:r>
      <w:proofErr w:type="spellEnd"/>
      <w:r w:rsidRPr="00D921CF">
        <w:t>) conciliación de las diferencias en las cuentas por concepto de tecnologías no financiadas con la UPC; (v) reglamentación de mecanismos de pago de las deudas reconocidas; (vi) reconocimiento y pago de las deudas reconocidas; y (</w:t>
      </w:r>
      <w:proofErr w:type="spellStart"/>
      <w:r w:rsidR="00A658A0">
        <w:t>vi</w:t>
      </w:r>
      <w:r w:rsidRPr="00D921CF">
        <w:t>i</w:t>
      </w:r>
      <w:proofErr w:type="spellEnd"/>
      <w:r w:rsidRPr="00D921CF">
        <w:t>) seguimiento y monitoreo a implementación de mecanismo de cierre contable de las deudas pagadas. Se financiará parcialmente las transferencias realizadas a las EPS bajo la metodología de VMR o techos presupuestales</w:t>
      </w:r>
      <w:r w:rsidRPr="00D921CF">
        <w:rPr>
          <w:rStyle w:val="FootnoteReference"/>
          <w:rFonts w:ascii="Arial" w:hAnsi="Arial" w:cs="Arial"/>
          <w:b/>
          <w:bCs/>
          <w:sz w:val="22"/>
        </w:rPr>
        <w:footnoteReference w:id="4"/>
      </w:r>
      <w:r w:rsidRPr="00D921CF">
        <w:t xml:space="preserve"> para el cubrimiento de los servicios y tecnologías no financiadas con la UPC.</w:t>
      </w:r>
    </w:p>
    <w:p w:rsidRPr="00D77054" w:rsidR="00F5051C" w:rsidP="00482202" w:rsidRDefault="00F5051C" w14:paraId="667516C8" w14:textId="77777777">
      <w:pPr>
        <w:pStyle w:val="Paragraph"/>
      </w:pPr>
    </w:p>
    <w:p w:rsidR="00D921CF" w:rsidP="00482202" w:rsidRDefault="00D921CF" w14:paraId="3B678D5C" w14:textId="34F7DFA2">
      <w:pPr>
        <w:pStyle w:val="Paragraph"/>
      </w:pPr>
      <w:r w:rsidRPr="00D04154">
        <w:rPr>
          <w:b/>
          <w:bCs/>
        </w:rPr>
        <w:t>Componente 2. Modelo de Acción Integral Territorial - MAITE (BID (CO): US$25 millones).</w:t>
      </w:r>
      <w:r w:rsidRPr="00D77054">
        <w:t xml:space="preserve"> </w:t>
      </w:r>
      <w:r w:rsidRPr="00D921CF">
        <w:t>Se</w:t>
      </w:r>
      <w:r w:rsidR="007B464E">
        <w:t> </w:t>
      </w:r>
      <w:r w:rsidRPr="00D921CF">
        <w:t>espera mejorar la eficiencia y cobertura efectiva del SGSSS, a través de la implementación del MAITE</w:t>
      </w:r>
      <w:r w:rsidRPr="00D921CF">
        <w:rPr>
          <w:rStyle w:val="FootnoteReference"/>
          <w:rFonts w:ascii="Arial" w:hAnsi="Arial" w:cs="Arial"/>
          <w:b/>
          <w:bCs/>
          <w:sz w:val="22"/>
        </w:rPr>
        <w:footnoteReference w:id="5"/>
      </w:r>
      <w:r w:rsidRPr="00D921CF">
        <w:t xml:space="preserve"> que busca, entre otras cosas, una mayor coordinación entre el MSPS, ET, prestadores de servicios y EPS para potenciar las acciones de prestación de servicios en el nivel básico de promoción y prevención en el territorio</w:t>
      </w:r>
      <w:r w:rsidRPr="00D921CF">
        <w:rPr>
          <w:rStyle w:val="FootnoteReference"/>
          <w:rFonts w:ascii="Arial" w:hAnsi="Arial" w:cs="Arial"/>
          <w:b/>
          <w:bCs/>
          <w:sz w:val="22"/>
        </w:rPr>
        <w:footnoteReference w:id="6"/>
      </w:r>
      <w:r w:rsidRPr="00D921CF">
        <w:t>. Se incrementará la eficiencia y cobertura efectiva en acciones de promoción y prevención a través de: (i) reglamentación que determina el MAITE; (</w:t>
      </w:r>
      <w:proofErr w:type="spellStart"/>
      <w:r w:rsidRPr="00D921CF">
        <w:t>ii</w:t>
      </w:r>
      <w:proofErr w:type="spellEnd"/>
      <w:r w:rsidRPr="00D921CF">
        <w:t>)</w:t>
      </w:r>
      <w:r w:rsidR="00894604">
        <w:t> </w:t>
      </w:r>
      <w:r w:rsidRPr="00D921CF">
        <w:t>diagnósticos por entidad territorial en materia de actividades programáticas de promoción y mantenimiento de la Salud;</w:t>
      </w:r>
      <w:r w:rsidRPr="00D921CF" w:rsidDel="00884A88">
        <w:t xml:space="preserve"> </w:t>
      </w:r>
      <w:r w:rsidRPr="00D921CF">
        <w:t>(</w:t>
      </w:r>
      <w:proofErr w:type="spellStart"/>
      <w:r w:rsidRPr="00D921CF">
        <w:t>iii</w:t>
      </w:r>
      <w:proofErr w:type="spellEnd"/>
      <w:r w:rsidRPr="00D921CF">
        <w:t>) planes de acción territorial firmados entre ET (departamentos y distritos) y MSPS que contemplen metas de actividades programáticas de promoción y mantenimiento de la salud; (</w:t>
      </w:r>
      <w:proofErr w:type="spellStart"/>
      <w:r w:rsidRPr="00D921CF">
        <w:t>iv</w:t>
      </w:r>
      <w:proofErr w:type="spellEnd"/>
      <w:r w:rsidRPr="00D921CF">
        <w:t>) sistema de información de seguimiento de actividades programáticas de promoción y mantenimiento; y (v) asistencia técnica en ET a las cuales se realiza seguimiento de actividades programáticas de promoción y mantenimiento. Los recursos del préstamo cofinanciarán los gastos de aseguramiento para cubrir la UPC.</w:t>
      </w:r>
      <w:r w:rsidRPr="00D77054">
        <w:t xml:space="preserve"> </w:t>
      </w:r>
    </w:p>
    <w:p w:rsidRPr="00D77054" w:rsidR="00F5051C" w:rsidP="00482202" w:rsidRDefault="00F5051C" w14:paraId="244B0FB0" w14:textId="77777777">
      <w:pPr>
        <w:pStyle w:val="Paragraph"/>
      </w:pPr>
    </w:p>
    <w:p w:rsidR="00D921CF" w:rsidP="00482202" w:rsidRDefault="00D921CF" w14:paraId="0EA6D8AB" w14:textId="4DFAD2D7">
      <w:pPr>
        <w:pStyle w:val="Paragraph"/>
      </w:pPr>
      <w:r w:rsidRPr="00F5051C">
        <w:lastRenderedPageBreak/>
        <w:t xml:space="preserve">Componente 3. </w:t>
      </w:r>
      <w:r w:rsidRPr="00F5051C" w:rsidR="00C018A3">
        <w:t>Cobertura de aseguramiento y servicios para población inmigrante (BID (CO): US$50 millones, BID (GRF): US$9,625 millones, PSG (CO-G1019): US$2,10</w:t>
      </w:r>
      <w:r w:rsidRPr="00F5051C" w:rsidR="00473A0E">
        <w:t>0</w:t>
      </w:r>
      <w:r w:rsidRPr="00F5051C" w:rsidR="00C018A3">
        <w:t xml:space="preserve"> millones).</w:t>
      </w:r>
      <w:r w:rsidRPr="00BA7F63" w:rsidR="00C018A3">
        <w:t xml:space="preserve"> </w:t>
      </w:r>
      <w:r w:rsidRPr="00BA7F63">
        <w:t xml:space="preserve">Este </w:t>
      </w:r>
      <w:r w:rsidRPr="00D921CF">
        <w:t>componente incluye dos subcomponentes: (i) cobertura de aseguramiento a inmigrantes</w:t>
      </w:r>
      <w:r w:rsidR="007B464E">
        <w:t>;</w:t>
      </w:r>
      <w:r w:rsidRPr="00D921CF">
        <w:t xml:space="preserve"> y (</w:t>
      </w:r>
      <w:proofErr w:type="spellStart"/>
      <w:r w:rsidRPr="00D921CF">
        <w:t>ii</w:t>
      </w:r>
      <w:proofErr w:type="spellEnd"/>
      <w:r w:rsidRPr="00D921CF">
        <w:t>)</w:t>
      </w:r>
      <w:r w:rsidR="007B464E">
        <w:t> </w:t>
      </w:r>
      <w:r w:rsidRPr="00D921CF">
        <w:t>cobertura de servicios para población inmigrante vulnerable. El subcomponente (i) se espera mejorar la cobertura efectiva en salud de los inmigrantes determinada en el CONPES 3950 de atención a migración desde Venezuela, a través de: (i) diseño e implementación de una encuesta sobre la situación en salud de la población inmigrante; (</w:t>
      </w:r>
      <w:proofErr w:type="spellStart"/>
      <w:r w:rsidRPr="00D921CF">
        <w:t>ii</w:t>
      </w:r>
      <w:proofErr w:type="spellEnd"/>
      <w:r w:rsidRPr="00D921CF">
        <w:t>) reglamentación de afiliación para inmigrantes venezolanos regulares; (</w:t>
      </w:r>
      <w:proofErr w:type="spellStart"/>
      <w:r w:rsidRPr="00D921CF">
        <w:t>iii</w:t>
      </w:r>
      <w:proofErr w:type="spellEnd"/>
      <w:r w:rsidRPr="00D921CF">
        <w:t>) diseño de la estrategia para la afiliación de recién nacidos, niños y niñas al SGSSS de padres no afiliados; y (</w:t>
      </w:r>
      <w:proofErr w:type="spellStart"/>
      <w:r w:rsidRPr="00D921CF">
        <w:t>iv</w:t>
      </w:r>
      <w:proofErr w:type="spellEnd"/>
      <w:r w:rsidRPr="00D921CF">
        <w:t>) diseño e implementación de la estrategia de difusión de información sobre las rutas de afiliación y acceso a servicios de salud de población inmigrante. Se financiarán parcialmente los gastos de aseguramiento para cubrir la UPC de población inmigrante afiliada y de nacidos de población inmigrante afiliados.</w:t>
      </w:r>
    </w:p>
    <w:p w:rsidRPr="00D77054" w:rsidR="00F5051C" w:rsidP="00482202" w:rsidRDefault="00F5051C" w14:paraId="2A7770DA" w14:textId="77777777">
      <w:pPr>
        <w:pStyle w:val="Paragraph"/>
      </w:pPr>
    </w:p>
    <w:p w:rsidR="00D921CF" w:rsidP="00482202" w:rsidRDefault="00D921CF" w14:paraId="31D2CE38" w14:textId="6D101697">
      <w:pPr>
        <w:pStyle w:val="Paragraph"/>
      </w:pPr>
      <w:r w:rsidRPr="00D921CF">
        <w:t>El subcomponente (</w:t>
      </w:r>
      <w:proofErr w:type="spellStart"/>
      <w:r w:rsidRPr="00D921CF">
        <w:t>ii</w:t>
      </w:r>
      <w:proofErr w:type="spellEnd"/>
      <w:r w:rsidRPr="00D921CF">
        <w:t>) espera mejorar la atención en salud de los inmigrantes a través de: (i) diseño de las atenciones individuales enfocadas en obstetricia que serán financiadas con los recursos no reembolsables; y (</w:t>
      </w:r>
      <w:proofErr w:type="spellStart"/>
      <w:r w:rsidRPr="00D921CF">
        <w:t>ii</w:t>
      </w:r>
      <w:proofErr w:type="spellEnd"/>
      <w:r w:rsidRPr="00D921CF">
        <w:t>) reglamentación de asignación de recursos a las ET que defina los criterios de priorización y el mecanismo de ejecución y control de los recursos. Se financiarán atenciones de salud obstétricas a población inmigrante no afiliada, así como la auditoría para la verificación de la prestación de dichos servicios.</w:t>
      </w:r>
    </w:p>
    <w:p w:rsidRPr="00D921CF" w:rsidR="007B464E" w:rsidP="00482202" w:rsidRDefault="007B464E" w14:paraId="1D3F9ADD" w14:textId="77777777">
      <w:pPr>
        <w:pStyle w:val="Paragraph"/>
      </w:pPr>
    </w:p>
    <w:bookmarkEnd w:id="4"/>
    <w:p w:rsidRPr="00086B4F" w:rsidR="001640F7" w:rsidP="00482202" w:rsidRDefault="001640F7" w14:paraId="5903B38C" w14:textId="7BFDCEB5">
      <w:pPr>
        <w:pStyle w:val="Paragraph"/>
      </w:pPr>
      <w:r w:rsidRPr="00086B4F">
        <w:t>Cuadro 1. Costos estimados del Programa (US$ millones)</w:t>
      </w:r>
    </w:p>
    <w:tbl>
      <w:tblPr>
        <w:tblW w:w="9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955"/>
        <w:gridCol w:w="1260"/>
        <w:gridCol w:w="1170"/>
        <w:gridCol w:w="1260"/>
        <w:gridCol w:w="900"/>
        <w:gridCol w:w="630"/>
      </w:tblGrid>
      <w:tr w:rsidRPr="00D77054" w:rsidR="006B791F" w:rsidTr="008F4D3E" w14:paraId="40B55386" w14:textId="77777777">
        <w:trPr>
          <w:cantSplit/>
          <w:trHeight w:val="182"/>
          <w:tblHeader/>
          <w:jc w:val="center"/>
        </w:trPr>
        <w:tc>
          <w:tcPr>
            <w:tcW w:w="3955"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D77054" w:rsidR="006B791F" w:rsidP="008F4D3E" w:rsidRDefault="006B791F" w14:paraId="28699C20" w14:textId="77777777">
            <w:pPr>
              <w:keepNext/>
              <w:keepLines/>
              <w:tabs>
                <w:tab w:val="left" w:pos="4680"/>
              </w:tabs>
              <w:autoSpaceDE w:val="0"/>
              <w:autoSpaceDN w:val="0"/>
              <w:adjustRightInd w:val="0"/>
              <w:ind w:left="720" w:hanging="720"/>
              <w:rPr>
                <w:rFonts w:ascii="Arial" w:hAnsi="Arial" w:cs="Arial"/>
                <w:b/>
                <w:sz w:val="18"/>
                <w:szCs w:val="18"/>
                <w:lang w:val="es-ES"/>
              </w:rPr>
            </w:pPr>
            <w:bookmarkStart w:name="_Hlk33613811" w:id="5"/>
            <w:bookmarkStart w:name="_Hlk31026394" w:id="6"/>
            <w:r w:rsidRPr="00D77054">
              <w:rPr>
                <w:rFonts w:ascii="Arial" w:hAnsi="Arial" w:cs="Arial"/>
                <w:b/>
                <w:sz w:val="18"/>
                <w:szCs w:val="18"/>
                <w:lang w:val="es-ES"/>
              </w:rPr>
              <w:t>Componentes</w:t>
            </w:r>
          </w:p>
        </w:tc>
        <w:tc>
          <w:tcPr>
            <w:tcW w:w="1260" w:type="dxa"/>
            <w:tcBorders>
              <w:top w:val="single" w:color="auto" w:sz="4" w:space="0"/>
              <w:left w:val="single" w:color="auto" w:sz="4" w:space="0"/>
              <w:bottom w:val="single" w:color="auto" w:sz="4" w:space="0"/>
              <w:right w:val="single" w:color="auto" w:sz="4" w:space="0"/>
            </w:tcBorders>
            <w:shd w:val="clear" w:color="auto" w:fill="D9D9D9"/>
            <w:hideMark/>
          </w:tcPr>
          <w:p w:rsidRPr="00A3428A" w:rsidR="006B791F" w:rsidP="008F4D3E" w:rsidRDefault="006B791F" w14:paraId="76973EE1" w14:textId="77777777">
            <w:pPr>
              <w:keepNext/>
              <w:keepLines/>
              <w:tabs>
                <w:tab w:val="left" w:pos="4680"/>
              </w:tabs>
              <w:ind w:hanging="11"/>
              <w:jc w:val="center"/>
              <w:rPr>
                <w:rFonts w:ascii="Arial" w:hAnsi="Arial" w:cs="Arial"/>
                <w:b/>
                <w:bCs/>
                <w:sz w:val="18"/>
                <w:szCs w:val="18"/>
                <w:lang w:val="es-ES"/>
              </w:rPr>
            </w:pPr>
            <w:r w:rsidRPr="00655F19">
              <w:rPr>
                <w:rFonts w:ascii="Arial" w:hAnsi="Arial" w:cs="Arial"/>
                <w:b/>
                <w:bCs/>
                <w:sz w:val="18"/>
                <w:szCs w:val="18"/>
                <w:lang w:val="es-ES"/>
              </w:rPr>
              <w:t>BID CO (CO-L1248)</w:t>
            </w:r>
          </w:p>
        </w:tc>
        <w:tc>
          <w:tcPr>
            <w:tcW w:w="117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D77054" w:rsidR="006B791F" w:rsidP="008F4D3E" w:rsidRDefault="006B791F" w14:paraId="235433FA" w14:textId="77777777">
            <w:pPr>
              <w:keepNext/>
              <w:keepLines/>
              <w:tabs>
                <w:tab w:val="left" w:pos="4680"/>
              </w:tabs>
              <w:ind w:hanging="11"/>
              <w:jc w:val="center"/>
              <w:rPr>
                <w:rFonts w:ascii="Arial" w:hAnsi="Arial" w:cs="Arial"/>
                <w:b/>
                <w:bCs/>
                <w:sz w:val="18"/>
                <w:szCs w:val="18"/>
                <w:lang w:val="es-ES"/>
              </w:rPr>
            </w:pPr>
            <w:r>
              <w:rPr>
                <w:rFonts w:ascii="Arial" w:hAnsi="Arial" w:cs="Arial"/>
                <w:b/>
                <w:bCs/>
                <w:sz w:val="18"/>
                <w:szCs w:val="18"/>
                <w:lang w:val="es-ES"/>
              </w:rPr>
              <w:t xml:space="preserve">BID </w:t>
            </w:r>
            <w:r w:rsidRPr="00D77054">
              <w:rPr>
                <w:rFonts w:ascii="Arial" w:hAnsi="Arial" w:cs="Arial"/>
                <w:b/>
                <w:bCs/>
                <w:sz w:val="18"/>
                <w:szCs w:val="18"/>
                <w:lang w:val="es-ES"/>
              </w:rPr>
              <w:t xml:space="preserve">GRF </w:t>
            </w:r>
            <w:r>
              <w:rPr>
                <w:rFonts w:ascii="Arial" w:hAnsi="Arial" w:cs="Arial"/>
                <w:b/>
                <w:bCs/>
                <w:sz w:val="18"/>
                <w:szCs w:val="18"/>
                <w:lang w:val="es-ES"/>
              </w:rPr>
              <w:t>(CO-J0011)</w:t>
            </w:r>
          </w:p>
        </w:tc>
        <w:tc>
          <w:tcPr>
            <w:tcW w:w="1260" w:type="dxa"/>
            <w:tcBorders>
              <w:top w:val="single" w:color="auto" w:sz="4" w:space="0"/>
              <w:left w:val="single" w:color="auto" w:sz="4" w:space="0"/>
              <w:bottom w:val="single" w:color="auto" w:sz="4" w:space="0"/>
              <w:right w:val="single" w:color="auto" w:sz="4" w:space="0"/>
            </w:tcBorders>
            <w:shd w:val="clear" w:color="auto" w:fill="D9D9D9"/>
            <w:vAlign w:val="center"/>
          </w:tcPr>
          <w:p w:rsidRPr="000D153A" w:rsidR="006B791F" w:rsidP="008F4D3E" w:rsidRDefault="006B791F" w14:paraId="705AC992" w14:textId="77777777">
            <w:pPr>
              <w:keepNext/>
              <w:keepLines/>
              <w:tabs>
                <w:tab w:val="left" w:pos="4680"/>
              </w:tabs>
              <w:ind w:hanging="11"/>
              <w:jc w:val="center"/>
              <w:rPr>
                <w:rFonts w:ascii="Arial" w:hAnsi="Arial" w:cs="Arial"/>
                <w:b/>
                <w:bCs/>
                <w:sz w:val="18"/>
                <w:szCs w:val="18"/>
              </w:rPr>
            </w:pPr>
            <w:r>
              <w:rPr>
                <w:rFonts w:ascii="Arial" w:hAnsi="Arial" w:cs="Arial"/>
                <w:b/>
                <w:bCs/>
                <w:sz w:val="18"/>
                <w:szCs w:val="18"/>
                <w:lang w:val="es-ES"/>
              </w:rPr>
              <w:t>BMZ PSG (</w:t>
            </w:r>
            <w:r w:rsidRPr="00253138">
              <w:rPr>
                <w:rFonts w:ascii="Arial" w:hAnsi="Arial" w:cs="Arial"/>
                <w:b/>
                <w:bCs/>
                <w:sz w:val="18"/>
                <w:szCs w:val="18"/>
                <w:lang w:val="es-ES"/>
              </w:rPr>
              <w:t>CO-G1019</w:t>
            </w:r>
            <w:r>
              <w:rPr>
                <w:rFonts w:ascii="Arial" w:hAnsi="Arial" w:cs="Arial"/>
                <w:b/>
                <w:bCs/>
                <w:sz w:val="18"/>
                <w:szCs w:val="18"/>
                <w:lang w:val="es-ES"/>
              </w:rPr>
              <w:t>)</w:t>
            </w:r>
            <w:r w:rsidRPr="00253138">
              <w:rPr>
                <w:rFonts w:ascii="Arial" w:hAnsi="Arial" w:cs="Arial"/>
                <w:b/>
                <w:bCs/>
                <w:sz w:val="18"/>
                <w:szCs w:val="18"/>
                <w:lang w:val="es-ES"/>
              </w:rPr>
              <w:t xml:space="preserve"> </w:t>
            </w:r>
          </w:p>
        </w:tc>
        <w:tc>
          <w:tcPr>
            <w:tcW w:w="90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D77054" w:rsidR="006B791F" w:rsidP="00482202" w:rsidRDefault="006B791F" w14:paraId="65F3D861" w14:textId="77777777">
            <w:pPr>
              <w:pStyle w:val="Paragraph"/>
            </w:pPr>
            <w:r w:rsidRPr="00D77054">
              <w:t>Total</w:t>
            </w:r>
          </w:p>
        </w:tc>
        <w:tc>
          <w:tcPr>
            <w:tcW w:w="63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D77054" w:rsidR="006B791F" w:rsidP="00482202" w:rsidRDefault="006B791F" w14:paraId="56C0E245" w14:textId="77777777">
            <w:pPr>
              <w:pStyle w:val="Paragraph"/>
            </w:pPr>
            <w:r w:rsidRPr="00D77054">
              <w:t>%</w:t>
            </w:r>
          </w:p>
        </w:tc>
      </w:tr>
      <w:tr w:rsidRPr="00D77054" w:rsidR="006B791F" w:rsidTr="008F4D3E" w14:paraId="7249A889" w14:textId="77777777">
        <w:trPr>
          <w:cantSplit/>
          <w:trHeight w:val="128"/>
          <w:jc w:val="center"/>
        </w:trPr>
        <w:tc>
          <w:tcPr>
            <w:tcW w:w="3955" w:type="dxa"/>
            <w:tcBorders>
              <w:top w:val="single" w:color="auto" w:sz="4" w:space="0"/>
              <w:left w:val="single" w:color="auto" w:sz="4" w:space="0"/>
              <w:bottom w:val="single" w:color="auto" w:sz="4" w:space="0"/>
              <w:right w:val="single" w:color="auto" w:sz="4" w:space="0"/>
            </w:tcBorders>
            <w:vAlign w:val="center"/>
            <w:hideMark/>
          </w:tcPr>
          <w:p w:rsidRPr="00D77054" w:rsidR="006B791F" w:rsidP="008F4D3E" w:rsidRDefault="006B791F" w14:paraId="07520916" w14:textId="77777777">
            <w:pPr>
              <w:keepNext/>
              <w:keepLines/>
              <w:tabs>
                <w:tab w:val="left" w:pos="4680"/>
              </w:tabs>
              <w:spacing w:line="256" w:lineRule="auto"/>
              <w:ind w:left="150" w:hanging="161"/>
              <w:rPr>
                <w:rFonts w:ascii="Arial" w:hAnsi="Arial" w:cs="Arial"/>
                <w:sz w:val="18"/>
                <w:szCs w:val="18"/>
                <w:lang w:val="es-ES"/>
              </w:rPr>
            </w:pPr>
            <w:r>
              <w:rPr>
                <w:rFonts w:ascii="Arial" w:hAnsi="Arial" w:cs="Arial"/>
                <w:b/>
                <w:bCs/>
                <w:sz w:val="18"/>
                <w:szCs w:val="18"/>
                <w:lang w:val="es-ES"/>
              </w:rPr>
              <w:t>1</w:t>
            </w:r>
            <w:r w:rsidRPr="00D77054">
              <w:rPr>
                <w:rFonts w:ascii="Arial" w:hAnsi="Arial" w:cs="Arial"/>
                <w:b/>
                <w:bCs/>
                <w:sz w:val="18"/>
                <w:szCs w:val="18"/>
                <w:lang w:val="es-ES"/>
              </w:rPr>
              <w:t>.</w:t>
            </w:r>
            <w:r w:rsidRPr="00D77054">
              <w:rPr>
                <w:rFonts w:ascii="Arial" w:hAnsi="Arial" w:cs="Arial"/>
                <w:sz w:val="18"/>
                <w:szCs w:val="18"/>
                <w:lang w:val="es-ES"/>
              </w:rPr>
              <w:t xml:space="preserve"> Mejoras en la gestión del gasto de servicios y tecnologías no financiados con la UPC</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D77054" w:rsidR="006B791F" w:rsidP="008F4D3E" w:rsidRDefault="006B791F" w14:paraId="71333674" w14:textId="77777777">
            <w:pPr>
              <w:keepNext/>
              <w:keepLines/>
              <w:tabs>
                <w:tab w:val="left" w:pos="4680"/>
              </w:tabs>
              <w:spacing w:line="256" w:lineRule="auto"/>
              <w:jc w:val="right"/>
              <w:rPr>
                <w:rFonts w:ascii="Arial" w:hAnsi="Arial" w:cs="Arial"/>
                <w:bCs/>
                <w:sz w:val="18"/>
                <w:szCs w:val="18"/>
                <w:lang w:val="es-ES"/>
              </w:rPr>
            </w:pPr>
            <w:r w:rsidRPr="00D77054">
              <w:rPr>
                <w:rFonts w:ascii="Arial" w:hAnsi="Arial" w:cs="Arial"/>
                <w:bCs/>
                <w:sz w:val="18"/>
                <w:szCs w:val="18"/>
                <w:lang w:val="es-ES"/>
              </w:rPr>
              <w:t>75</w:t>
            </w:r>
          </w:p>
        </w:tc>
        <w:tc>
          <w:tcPr>
            <w:tcW w:w="1170" w:type="dxa"/>
            <w:tcBorders>
              <w:top w:val="single" w:color="auto" w:sz="4" w:space="0"/>
              <w:left w:val="single" w:color="auto" w:sz="4" w:space="0"/>
              <w:bottom w:val="single" w:color="auto" w:sz="4" w:space="0"/>
              <w:right w:val="single" w:color="auto" w:sz="4" w:space="0"/>
            </w:tcBorders>
            <w:vAlign w:val="center"/>
            <w:hideMark/>
          </w:tcPr>
          <w:p w:rsidRPr="00D77054" w:rsidR="006B791F" w:rsidP="008F4D3E" w:rsidRDefault="006B791F" w14:paraId="54BCF973" w14:textId="77777777">
            <w:pPr>
              <w:keepNext/>
              <w:keepLines/>
              <w:tabs>
                <w:tab w:val="left" w:pos="4680"/>
              </w:tabs>
              <w:spacing w:line="256" w:lineRule="auto"/>
              <w:jc w:val="right"/>
              <w:rPr>
                <w:rFonts w:ascii="Arial" w:hAnsi="Arial" w:cs="Arial"/>
                <w:bCs/>
                <w:sz w:val="18"/>
                <w:szCs w:val="18"/>
                <w:lang w:val="es-ES"/>
              </w:rPr>
            </w:pPr>
            <w:r w:rsidRPr="00D77054">
              <w:rPr>
                <w:rFonts w:ascii="Arial" w:hAnsi="Arial" w:cs="Arial"/>
                <w:bCs/>
                <w:sz w:val="18"/>
                <w:szCs w:val="18"/>
                <w:lang w:val="es-ES"/>
              </w:rPr>
              <w:t>-</w:t>
            </w:r>
          </w:p>
        </w:tc>
        <w:tc>
          <w:tcPr>
            <w:tcW w:w="1260" w:type="dxa"/>
            <w:tcBorders>
              <w:top w:val="single" w:color="auto" w:sz="4" w:space="0"/>
              <w:left w:val="single" w:color="auto" w:sz="4" w:space="0"/>
              <w:bottom w:val="single" w:color="auto" w:sz="4" w:space="0"/>
              <w:right w:val="single" w:color="auto" w:sz="4" w:space="0"/>
            </w:tcBorders>
            <w:vAlign w:val="center"/>
          </w:tcPr>
          <w:p w:rsidRPr="00D77054" w:rsidR="006B791F" w:rsidP="008F4D3E" w:rsidRDefault="006B791F" w14:paraId="70BA8D9C" w14:textId="77777777">
            <w:pPr>
              <w:keepNext/>
              <w:keepLines/>
              <w:tabs>
                <w:tab w:val="left" w:pos="4680"/>
              </w:tabs>
              <w:spacing w:line="256" w:lineRule="auto"/>
              <w:jc w:val="right"/>
              <w:rPr>
                <w:rFonts w:ascii="Arial" w:hAnsi="Arial" w:cs="Arial"/>
                <w:bCs/>
                <w:sz w:val="18"/>
                <w:szCs w:val="18"/>
                <w:lang w:val="es-ES"/>
              </w:rPr>
            </w:pPr>
            <w:r>
              <w:rPr>
                <w:rFonts w:ascii="Arial" w:hAnsi="Arial" w:cs="Arial"/>
                <w:bCs/>
                <w:sz w:val="18"/>
                <w:szCs w:val="18"/>
                <w:lang w:val="es-ES"/>
              </w:rPr>
              <w:t>-</w:t>
            </w:r>
          </w:p>
        </w:tc>
        <w:tc>
          <w:tcPr>
            <w:tcW w:w="900" w:type="dxa"/>
            <w:tcBorders>
              <w:top w:val="single" w:color="auto" w:sz="4" w:space="0"/>
              <w:left w:val="single" w:color="auto" w:sz="4" w:space="0"/>
              <w:bottom w:val="single" w:color="auto" w:sz="4" w:space="0"/>
              <w:right w:val="single" w:color="auto" w:sz="4" w:space="0"/>
            </w:tcBorders>
            <w:vAlign w:val="center"/>
            <w:hideMark/>
          </w:tcPr>
          <w:p w:rsidRPr="00D77054" w:rsidR="006B791F" w:rsidP="008F4D3E" w:rsidRDefault="006B791F" w14:paraId="3FD79BE6" w14:textId="77777777">
            <w:pPr>
              <w:keepNext/>
              <w:keepLines/>
              <w:tabs>
                <w:tab w:val="left" w:pos="4680"/>
              </w:tabs>
              <w:spacing w:line="256" w:lineRule="auto"/>
              <w:jc w:val="right"/>
              <w:rPr>
                <w:rFonts w:ascii="Arial" w:hAnsi="Arial" w:cs="Arial"/>
                <w:bCs/>
                <w:sz w:val="18"/>
                <w:szCs w:val="18"/>
                <w:lang w:val="es-ES"/>
              </w:rPr>
            </w:pPr>
            <w:r w:rsidRPr="00D77054">
              <w:rPr>
                <w:rFonts w:ascii="Arial" w:hAnsi="Arial" w:cs="Arial"/>
                <w:bCs/>
                <w:sz w:val="18"/>
                <w:szCs w:val="18"/>
                <w:lang w:val="es-ES"/>
              </w:rPr>
              <w:t>75</w:t>
            </w:r>
          </w:p>
        </w:tc>
        <w:tc>
          <w:tcPr>
            <w:tcW w:w="630" w:type="dxa"/>
            <w:tcBorders>
              <w:top w:val="single" w:color="auto" w:sz="4" w:space="0"/>
              <w:left w:val="single" w:color="auto" w:sz="4" w:space="0"/>
              <w:bottom w:val="single" w:color="auto" w:sz="4" w:space="0"/>
              <w:right w:val="single" w:color="auto" w:sz="4" w:space="0"/>
            </w:tcBorders>
            <w:vAlign w:val="center"/>
            <w:hideMark/>
          </w:tcPr>
          <w:p w:rsidRPr="00D77054" w:rsidR="006B791F" w:rsidP="008F4D3E" w:rsidRDefault="006B791F" w14:paraId="4D8494B4" w14:textId="77777777">
            <w:pPr>
              <w:keepNext/>
              <w:keepLines/>
              <w:tabs>
                <w:tab w:val="left" w:pos="4680"/>
              </w:tabs>
              <w:spacing w:line="256" w:lineRule="auto"/>
              <w:jc w:val="right"/>
              <w:rPr>
                <w:rFonts w:ascii="Arial" w:hAnsi="Arial" w:cs="Arial"/>
                <w:bCs/>
                <w:sz w:val="18"/>
                <w:szCs w:val="18"/>
                <w:lang w:val="es-ES"/>
              </w:rPr>
            </w:pPr>
            <w:r w:rsidRPr="00D77054">
              <w:rPr>
                <w:rFonts w:ascii="Arial" w:hAnsi="Arial" w:cs="Arial"/>
                <w:bCs/>
                <w:sz w:val="18"/>
                <w:szCs w:val="18"/>
                <w:lang w:val="es-ES"/>
              </w:rPr>
              <w:t>46</w:t>
            </w:r>
            <w:r>
              <w:rPr>
                <w:rFonts w:ascii="Arial" w:hAnsi="Arial" w:cs="Arial"/>
                <w:bCs/>
                <w:sz w:val="18"/>
                <w:szCs w:val="18"/>
                <w:lang w:val="es-ES"/>
              </w:rPr>
              <w:t>,4</w:t>
            </w:r>
          </w:p>
        </w:tc>
      </w:tr>
      <w:tr w:rsidRPr="00D77054" w:rsidR="006B791F" w:rsidTr="008F4D3E" w14:paraId="71F68BBE" w14:textId="77777777">
        <w:trPr>
          <w:cantSplit/>
          <w:trHeight w:val="179"/>
          <w:jc w:val="center"/>
        </w:trPr>
        <w:tc>
          <w:tcPr>
            <w:tcW w:w="3955" w:type="dxa"/>
            <w:tcBorders>
              <w:top w:val="single" w:color="auto" w:sz="4" w:space="0"/>
              <w:left w:val="single" w:color="auto" w:sz="4" w:space="0"/>
              <w:bottom w:val="single" w:color="auto" w:sz="4" w:space="0"/>
              <w:right w:val="single" w:color="auto" w:sz="4" w:space="0"/>
            </w:tcBorders>
            <w:vAlign w:val="center"/>
            <w:hideMark/>
          </w:tcPr>
          <w:p w:rsidRPr="00D77054" w:rsidR="006B791F" w:rsidP="008F4D3E" w:rsidRDefault="006B791F" w14:paraId="0ED3863C" w14:textId="77777777">
            <w:pPr>
              <w:keepNext/>
              <w:keepLines/>
              <w:tabs>
                <w:tab w:val="left" w:pos="4680"/>
              </w:tabs>
              <w:ind w:hanging="11"/>
              <w:rPr>
                <w:rFonts w:ascii="Arial" w:hAnsi="Arial" w:cs="Arial"/>
                <w:sz w:val="18"/>
                <w:szCs w:val="18"/>
                <w:lang w:val="es-ES"/>
              </w:rPr>
            </w:pPr>
            <w:r>
              <w:rPr>
                <w:rFonts w:ascii="Arial" w:hAnsi="Arial" w:cs="Arial"/>
                <w:b/>
                <w:bCs/>
                <w:sz w:val="18"/>
                <w:szCs w:val="18"/>
                <w:lang w:val="es-ES"/>
              </w:rPr>
              <w:t>2</w:t>
            </w:r>
            <w:r w:rsidRPr="00D77054">
              <w:rPr>
                <w:rFonts w:ascii="Arial" w:hAnsi="Arial" w:cs="Arial"/>
                <w:b/>
                <w:bCs/>
                <w:sz w:val="18"/>
                <w:szCs w:val="18"/>
                <w:lang w:val="es-ES"/>
              </w:rPr>
              <w:t>.</w:t>
            </w:r>
            <w:r w:rsidRPr="00D77054">
              <w:rPr>
                <w:rFonts w:ascii="Arial" w:hAnsi="Arial" w:cs="Arial"/>
                <w:sz w:val="18"/>
                <w:szCs w:val="18"/>
                <w:lang w:val="es-ES"/>
              </w:rPr>
              <w:t xml:space="preserve"> MAITE</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D77054" w:rsidR="006B791F" w:rsidP="008F4D3E" w:rsidRDefault="006B791F" w14:paraId="63D16604" w14:textId="77777777">
            <w:pPr>
              <w:keepNext/>
              <w:keepLines/>
              <w:tabs>
                <w:tab w:val="left" w:pos="4680"/>
              </w:tabs>
              <w:jc w:val="right"/>
              <w:rPr>
                <w:rFonts w:ascii="Arial" w:hAnsi="Arial" w:cs="Arial"/>
                <w:sz w:val="18"/>
                <w:szCs w:val="18"/>
                <w:lang w:val="es-ES"/>
              </w:rPr>
            </w:pPr>
            <w:r w:rsidRPr="00D77054">
              <w:rPr>
                <w:rFonts w:ascii="Arial" w:hAnsi="Arial" w:cs="Arial"/>
                <w:sz w:val="18"/>
                <w:szCs w:val="18"/>
                <w:lang w:val="es-ES"/>
              </w:rPr>
              <w:t>25</w:t>
            </w:r>
          </w:p>
        </w:tc>
        <w:tc>
          <w:tcPr>
            <w:tcW w:w="1170" w:type="dxa"/>
            <w:tcBorders>
              <w:top w:val="single" w:color="auto" w:sz="4" w:space="0"/>
              <w:left w:val="single" w:color="auto" w:sz="4" w:space="0"/>
              <w:bottom w:val="single" w:color="auto" w:sz="4" w:space="0"/>
              <w:right w:val="single" w:color="auto" w:sz="4" w:space="0"/>
            </w:tcBorders>
            <w:vAlign w:val="center"/>
            <w:hideMark/>
          </w:tcPr>
          <w:p w:rsidRPr="00D77054" w:rsidR="006B791F" w:rsidP="008F4D3E" w:rsidRDefault="006B791F" w14:paraId="73438676" w14:textId="77777777">
            <w:pPr>
              <w:keepNext/>
              <w:keepLines/>
              <w:tabs>
                <w:tab w:val="left" w:pos="4680"/>
              </w:tabs>
              <w:jc w:val="right"/>
              <w:rPr>
                <w:rFonts w:ascii="Arial" w:hAnsi="Arial" w:cs="Arial"/>
                <w:sz w:val="18"/>
                <w:szCs w:val="18"/>
                <w:lang w:val="es-ES"/>
              </w:rPr>
            </w:pPr>
            <w:r w:rsidRPr="00D77054">
              <w:rPr>
                <w:rFonts w:ascii="Arial" w:hAnsi="Arial" w:cs="Arial"/>
                <w:bCs/>
                <w:sz w:val="18"/>
                <w:szCs w:val="18"/>
                <w:lang w:val="es-ES"/>
              </w:rPr>
              <w:t>-</w:t>
            </w:r>
          </w:p>
        </w:tc>
        <w:tc>
          <w:tcPr>
            <w:tcW w:w="1260" w:type="dxa"/>
            <w:tcBorders>
              <w:top w:val="single" w:color="auto" w:sz="4" w:space="0"/>
              <w:left w:val="single" w:color="auto" w:sz="4" w:space="0"/>
              <w:bottom w:val="single" w:color="auto" w:sz="4" w:space="0"/>
              <w:right w:val="single" w:color="auto" w:sz="4" w:space="0"/>
            </w:tcBorders>
            <w:vAlign w:val="center"/>
          </w:tcPr>
          <w:p w:rsidRPr="00D77054" w:rsidR="006B791F" w:rsidP="008F4D3E" w:rsidRDefault="006B791F" w14:paraId="008A4300" w14:textId="77777777">
            <w:pPr>
              <w:keepNext/>
              <w:keepLines/>
              <w:tabs>
                <w:tab w:val="left" w:pos="4680"/>
              </w:tabs>
              <w:jc w:val="right"/>
              <w:rPr>
                <w:rFonts w:ascii="Arial" w:hAnsi="Arial" w:cs="Arial"/>
                <w:bCs/>
                <w:sz w:val="18"/>
                <w:szCs w:val="18"/>
                <w:lang w:val="es-ES"/>
              </w:rPr>
            </w:pPr>
            <w:r>
              <w:rPr>
                <w:rFonts w:ascii="Arial" w:hAnsi="Arial" w:cs="Arial"/>
                <w:bCs/>
                <w:sz w:val="18"/>
                <w:szCs w:val="18"/>
                <w:lang w:val="es-ES"/>
              </w:rPr>
              <w:t>-</w:t>
            </w:r>
          </w:p>
        </w:tc>
        <w:tc>
          <w:tcPr>
            <w:tcW w:w="900" w:type="dxa"/>
            <w:tcBorders>
              <w:top w:val="single" w:color="auto" w:sz="4" w:space="0"/>
              <w:left w:val="single" w:color="auto" w:sz="4" w:space="0"/>
              <w:bottom w:val="single" w:color="auto" w:sz="4" w:space="0"/>
              <w:right w:val="single" w:color="auto" w:sz="4" w:space="0"/>
            </w:tcBorders>
            <w:vAlign w:val="center"/>
            <w:hideMark/>
          </w:tcPr>
          <w:p w:rsidRPr="00D77054" w:rsidR="006B791F" w:rsidP="008F4D3E" w:rsidRDefault="006B791F" w14:paraId="5338FA4A" w14:textId="77777777">
            <w:pPr>
              <w:keepNext/>
              <w:keepLines/>
              <w:tabs>
                <w:tab w:val="left" w:pos="4680"/>
              </w:tabs>
              <w:jc w:val="right"/>
              <w:rPr>
                <w:rFonts w:ascii="Arial" w:hAnsi="Arial" w:cs="Arial"/>
                <w:sz w:val="18"/>
                <w:szCs w:val="18"/>
                <w:lang w:val="es-ES"/>
              </w:rPr>
            </w:pPr>
            <w:r w:rsidRPr="00D77054">
              <w:rPr>
                <w:rFonts w:ascii="Arial" w:hAnsi="Arial" w:cs="Arial"/>
                <w:bCs/>
                <w:sz w:val="18"/>
                <w:szCs w:val="18"/>
                <w:lang w:val="es-ES"/>
              </w:rPr>
              <w:t>25</w:t>
            </w:r>
          </w:p>
        </w:tc>
        <w:tc>
          <w:tcPr>
            <w:tcW w:w="630" w:type="dxa"/>
            <w:tcBorders>
              <w:top w:val="single" w:color="auto" w:sz="4" w:space="0"/>
              <w:left w:val="single" w:color="auto" w:sz="4" w:space="0"/>
              <w:bottom w:val="single" w:color="auto" w:sz="4" w:space="0"/>
              <w:right w:val="single" w:color="auto" w:sz="4" w:space="0"/>
            </w:tcBorders>
            <w:vAlign w:val="center"/>
            <w:hideMark/>
          </w:tcPr>
          <w:p w:rsidRPr="00D77054" w:rsidR="006B791F" w:rsidP="008F4D3E" w:rsidRDefault="006B791F" w14:paraId="4BE6D7ED" w14:textId="77777777">
            <w:pPr>
              <w:keepNext/>
              <w:keepLines/>
              <w:tabs>
                <w:tab w:val="left" w:pos="4680"/>
              </w:tabs>
              <w:jc w:val="right"/>
              <w:rPr>
                <w:rFonts w:ascii="Arial" w:hAnsi="Arial" w:cs="Arial"/>
                <w:sz w:val="18"/>
                <w:szCs w:val="18"/>
                <w:lang w:val="es-ES"/>
              </w:rPr>
            </w:pPr>
            <w:r w:rsidRPr="00D77054">
              <w:rPr>
                <w:rFonts w:ascii="Arial" w:hAnsi="Arial" w:cs="Arial"/>
                <w:bCs/>
                <w:sz w:val="18"/>
                <w:szCs w:val="18"/>
                <w:lang w:val="es-ES"/>
              </w:rPr>
              <w:t>15</w:t>
            </w:r>
            <w:r>
              <w:rPr>
                <w:rFonts w:ascii="Arial" w:hAnsi="Arial" w:cs="Arial"/>
                <w:bCs/>
                <w:sz w:val="18"/>
                <w:szCs w:val="18"/>
                <w:lang w:val="es-ES"/>
              </w:rPr>
              <w:t>,</w:t>
            </w:r>
            <w:r w:rsidRPr="00D77054">
              <w:rPr>
                <w:rFonts w:ascii="Arial" w:hAnsi="Arial" w:cs="Arial"/>
                <w:bCs/>
                <w:sz w:val="18"/>
                <w:szCs w:val="18"/>
                <w:lang w:val="es-ES"/>
              </w:rPr>
              <w:t>4</w:t>
            </w:r>
          </w:p>
        </w:tc>
      </w:tr>
      <w:tr w:rsidRPr="00D77054" w:rsidR="006B791F" w:rsidTr="008F4D3E" w14:paraId="0B3EF7B4" w14:textId="77777777">
        <w:trPr>
          <w:cantSplit/>
          <w:trHeight w:val="144"/>
          <w:jc w:val="center"/>
        </w:trPr>
        <w:tc>
          <w:tcPr>
            <w:tcW w:w="3955" w:type="dxa"/>
            <w:tcBorders>
              <w:top w:val="single" w:color="auto" w:sz="4" w:space="0"/>
              <w:left w:val="single" w:color="auto" w:sz="4" w:space="0"/>
              <w:bottom w:val="single" w:color="auto" w:sz="4" w:space="0"/>
              <w:right w:val="single" w:color="auto" w:sz="4" w:space="0"/>
            </w:tcBorders>
            <w:vAlign w:val="center"/>
          </w:tcPr>
          <w:p w:rsidR="006B791F" w:rsidP="008F4D3E" w:rsidRDefault="006B791F" w14:paraId="1A5BE067" w14:textId="77777777">
            <w:pPr>
              <w:keepNext/>
              <w:keepLines/>
              <w:tabs>
                <w:tab w:val="left" w:pos="4680"/>
              </w:tabs>
              <w:spacing w:line="256" w:lineRule="auto"/>
              <w:ind w:left="150" w:hanging="161"/>
              <w:rPr>
                <w:rFonts w:ascii="Arial" w:hAnsi="Arial" w:cs="Arial"/>
                <w:b/>
                <w:bCs/>
                <w:sz w:val="18"/>
                <w:szCs w:val="18"/>
                <w:lang w:val="es-ES"/>
              </w:rPr>
            </w:pPr>
            <w:r>
              <w:rPr>
                <w:rFonts w:ascii="Arial" w:hAnsi="Arial" w:cs="Arial"/>
                <w:b/>
                <w:bCs/>
                <w:sz w:val="18"/>
                <w:szCs w:val="18"/>
                <w:lang w:val="es-ES"/>
              </w:rPr>
              <w:t xml:space="preserve">3. </w:t>
            </w:r>
            <w:r w:rsidRPr="00253138">
              <w:rPr>
                <w:rFonts w:ascii="Arial" w:hAnsi="Arial" w:cs="Arial"/>
                <w:sz w:val="18"/>
                <w:szCs w:val="18"/>
                <w:lang w:val="es-ES"/>
              </w:rPr>
              <w:t>Cobertura de aseguramiento y servicios para población migrante</w:t>
            </w:r>
          </w:p>
        </w:tc>
        <w:tc>
          <w:tcPr>
            <w:tcW w:w="1260" w:type="dxa"/>
            <w:tcBorders>
              <w:top w:val="single" w:color="auto" w:sz="4" w:space="0"/>
              <w:left w:val="single" w:color="auto" w:sz="4" w:space="0"/>
              <w:bottom w:val="single" w:color="auto" w:sz="4" w:space="0"/>
              <w:right w:val="single" w:color="auto" w:sz="4" w:space="0"/>
            </w:tcBorders>
            <w:vAlign w:val="center"/>
          </w:tcPr>
          <w:p w:rsidRPr="00D77054" w:rsidR="006B791F" w:rsidP="008F4D3E" w:rsidRDefault="006B791F" w14:paraId="51BC83F1" w14:textId="77777777">
            <w:pPr>
              <w:keepNext/>
              <w:keepLines/>
              <w:tabs>
                <w:tab w:val="left" w:pos="4680"/>
              </w:tabs>
              <w:spacing w:line="256" w:lineRule="auto"/>
              <w:jc w:val="right"/>
              <w:rPr>
                <w:rFonts w:ascii="Arial" w:hAnsi="Arial" w:cs="Arial"/>
                <w:sz w:val="18"/>
                <w:szCs w:val="18"/>
                <w:lang w:val="es-ES"/>
              </w:rPr>
            </w:pPr>
            <w:r>
              <w:rPr>
                <w:rFonts w:ascii="Arial" w:hAnsi="Arial" w:cs="Arial"/>
                <w:sz w:val="18"/>
                <w:szCs w:val="18"/>
                <w:lang w:val="es-ES"/>
              </w:rPr>
              <w:t>50</w:t>
            </w:r>
          </w:p>
        </w:tc>
        <w:tc>
          <w:tcPr>
            <w:tcW w:w="1170" w:type="dxa"/>
            <w:tcBorders>
              <w:top w:val="single" w:color="auto" w:sz="4" w:space="0"/>
              <w:left w:val="single" w:color="auto" w:sz="4" w:space="0"/>
              <w:bottom w:val="single" w:color="auto" w:sz="4" w:space="0"/>
              <w:right w:val="single" w:color="auto" w:sz="4" w:space="0"/>
            </w:tcBorders>
            <w:vAlign w:val="center"/>
          </w:tcPr>
          <w:p w:rsidRPr="00D77054" w:rsidR="006B791F" w:rsidP="008F4D3E" w:rsidRDefault="006B791F" w14:paraId="481E9B0D" w14:textId="77777777">
            <w:pPr>
              <w:keepNext/>
              <w:keepLines/>
              <w:tabs>
                <w:tab w:val="left" w:pos="4680"/>
              </w:tabs>
              <w:spacing w:line="256" w:lineRule="auto"/>
              <w:jc w:val="right"/>
              <w:rPr>
                <w:rFonts w:ascii="Arial" w:hAnsi="Arial" w:cs="Arial"/>
                <w:bCs/>
                <w:sz w:val="18"/>
                <w:szCs w:val="18"/>
                <w:lang w:val="es-ES"/>
              </w:rPr>
            </w:pPr>
            <w:r>
              <w:rPr>
                <w:rFonts w:ascii="Arial" w:hAnsi="Arial" w:cs="Arial"/>
                <w:bCs/>
                <w:sz w:val="18"/>
                <w:szCs w:val="18"/>
                <w:lang w:val="es-ES"/>
              </w:rPr>
              <w:t>9,625</w:t>
            </w:r>
          </w:p>
        </w:tc>
        <w:tc>
          <w:tcPr>
            <w:tcW w:w="1260" w:type="dxa"/>
            <w:tcBorders>
              <w:top w:val="single" w:color="auto" w:sz="4" w:space="0"/>
              <w:left w:val="single" w:color="auto" w:sz="4" w:space="0"/>
              <w:bottom w:val="single" w:color="auto" w:sz="4" w:space="0"/>
              <w:right w:val="single" w:color="auto" w:sz="4" w:space="0"/>
            </w:tcBorders>
            <w:vAlign w:val="center"/>
          </w:tcPr>
          <w:p w:rsidRPr="00D77054" w:rsidR="006B791F" w:rsidP="008F4D3E" w:rsidRDefault="006B791F" w14:paraId="592F2E25" w14:textId="77777777">
            <w:pPr>
              <w:keepNext/>
              <w:keepLines/>
              <w:tabs>
                <w:tab w:val="left" w:pos="4680"/>
              </w:tabs>
              <w:spacing w:line="256" w:lineRule="auto"/>
              <w:jc w:val="right"/>
              <w:rPr>
                <w:rFonts w:ascii="Arial" w:hAnsi="Arial" w:cs="Arial"/>
                <w:bCs/>
                <w:sz w:val="18"/>
                <w:szCs w:val="18"/>
                <w:lang w:val="es-ES"/>
              </w:rPr>
            </w:pPr>
            <w:r>
              <w:rPr>
                <w:rFonts w:ascii="Arial" w:hAnsi="Arial" w:cs="Arial"/>
                <w:bCs/>
                <w:sz w:val="18"/>
                <w:szCs w:val="18"/>
                <w:lang w:val="es-ES"/>
              </w:rPr>
              <w:t>2,100</w:t>
            </w:r>
          </w:p>
        </w:tc>
        <w:tc>
          <w:tcPr>
            <w:tcW w:w="900" w:type="dxa"/>
            <w:tcBorders>
              <w:top w:val="single" w:color="auto" w:sz="4" w:space="0"/>
              <w:left w:val="single" w:color="auto" w:sz="4" w:space="0"/>
              <w:bottom w:val="single" w:color="auto" w:sz="4" w:space="0"/>
              <w:right w:val="single" w:color="auto" w:sz="4" w:space="0"/>
            </w:tcBorders>
            <w:vAlign w:val="center"/>
          </w:tcPr>
          <w:p w:rsidRPr="00D77054" w:rsidR="006B791F" w:rsidP="008F4D3E" w:rsidRDefault="006B791F" w14:paraId="020A14EA" w14:textId="77777777">
            <w:pPr>
              <w:keepNext/>
              <w:keepLines/>
              <w:tabs>
                <w:tab w:val="left" w:pos="4680"/>
              </w:tabs>
              <w:spacing w:line="256" w:lineRule="auto"/>
              <w:jc w:val="right"/>
              <w:rPr>
                <w:rFonts w:ascii="Arial" w:hAnsi="Arial" w:cs="Arial"/>
                <w:bCs/>
                <w:sz w:val="18"/>
                <w:szCs w:val="18"/>
                <w:lang w:val="es-ES"/>
              </w:rPr>
            </w:pPr>
            <w:r>
              <w:rPr>
                <w:rFonts w:ascii="Arial" w:hAnsi="Arial" w:cs="Arial"/>
                <w:bCs/>
                <w:sz w:val="18"/>
                <w:szCs w:val="18"/>
                <w:lang w:val="es-ES"/>
              </w:rPr>
              <w:t>61,725</w:t>
            </w:r>
          </w:p>
        </w:tc>
        <w:tc>
          <w:tcPr>
            <w:tcW w:w="630" w:type="dxa"/>
            <w:tcBorders>
              <w:top w:val="single" w:color="auto" w:sz="4" w:space="0"/>
              <w:left w:val="single" w:color="auto" w:sz="4" w:space="0"/>
              <w:bottom w:val="single" w:color="auto" w:sz="4" w:space="0"/>
              <w:right w:val="single" w:color="auto" w:sz="4" w:space="0"/>
            </w:tcBorders>
            <w:vAlign w:val="center"/>
          </w:tcPr>
          <w:p w:rsidRPr="00D77054" w:rsidR="006B791F" w:rsidP="008F4D3E" w:rsidRDefault="006B791F" w14:paraId="57D115D2" w14:textId="77777777">
            <w:pPr>
              <w:keepNext/>
              <w:keepLines/>
              <w:tabs>
                <w:tab w:val="left" w:pos="4680"/>
              </w:tabs>
              <w:spacing w:line="256" w:lineRule="auto"/>
              <w:jc w:val="right"/>
              <w:rPr>
                <w:rFonts w:ascii="Arial" w:hAnsi="Arial" w:cs="Arial"/>
                <w:bCs/>
                <w:sz w:val="18"/>
                <w:szCs w:val="18"/>
                <w:lang w:val="es-ES"/>
              </w:rPr>
            </w:pPr>
            <w:r>
              <w:rPr>
                <w:rFonts w:ascii="Arial" w:hAnsi="Arial" w:cs="Arial"/>
                <w:bCs/>
                <w:sz w:val="18"/>
                <w:szCs w:val="18"/>
                <w:lang w:val="es-ES"/>
              </w:rPr>
              <w:t>38,2</w:t>
            </w:r>
          </w:p>
        </w:tc>
      </w:tr>
      <w:tr w:rsidRPr="00D77054" w:rsidR="006B791F" w:rsidTr="008F4D3E" w14:paraId="093FF1D8" w14:textId="77777777">
        <w:trPr>
          <w:cantSplit/>
          <w:trHeight w:val="144"/>
          <w:jc w:val="center"/>
        </w:trPr>
        <w:tc>
          <w:tcPr>
            <w:tcW w:w="3955" w:type="dxa"/>
            <w:tcBorders>
              <w:top w:val="single" w:color="auto" w:sz="4" w:space="0"/>
              <w:left w:val="single" w:color="auto" w:sz="4" w:space="0"/>
              <w:bottom w:val="single" w:color="auto" w:sz="4" w:space="0"/>
              <w:right w:val="single" w:color="auto" w:sz="4" w:space="0"/>
            </w:tcBorders>
            <w:vAlign w:val="center"/>
            <w:hideMark/>
          </w:tcPr>
          <w:p w:rsidRPr="00D77054" w:rsidR="006B791F" w:rsidP="008F4D3E" w:rsidRDefault="006B791F" w14:paraId="09B179C7" w14:textId="77777777">
            <w:pPr>
              <w:keepNext/>
              <w:keepLines/>
              <w:tabs>
                <w:tab w:val="left" w:pos="240"/>
                <w:tab w:val="left" w:pos="4680"/>
              </w:tabs>
              <w:spacing w:line="256" w:lineRule="auto"/>
              <w:ind w:left="330" w:hanging="180"/>
              <w:rPr>
                <w:rFonts w:ascii="Arial" w:hAnsi="Arial" w:cs="Arial"/>
                <w:sz w:val="18"/>
                <w:szCs w:val="18"/>
                <w:lang w:val="es-ES"/>
              </w:rPr>
            </w:pPr>
            <w:r>
              <w:rPr>
                <w:rFonts w:ascii="Arial" w:hAnsi="Arial" w:cs="Arial"/>
                <w:b/>
                <w:bCs/>
                <w:sz w:val="18"/>
                <w:szCs w:val="18"/>
                <w:lang w:val="es-ES"/>
              </w:rPr>
              <w:t xml:space="preserve">3 </w:t>
            </w:r>
            <w:r w:rsidRPr="00B50473">
              <w:rPr>
                <w:rFonts w:ascii="Arial" w:hAnsi="Arial" w:cs="Arial"/>
                <w:b/>
                <w:bCs/>
                <w:sz w:val="18"/>
                <w:szCs w:val="18"/>
                <w:lang w:val="es-ES"/>
              </w:rPr>
              <w:t>(i)</w:t>
            </w:r>
            <w:r>
              <w:rPr>
                <w:rFonts w:ascii="Arial" w:hAnsi="Arial" w:cs="Arial"/>
                <w:b/>
                <w:bCs/>
                <w:sz w:val="18"/>
                <w:szCs w:val="18"/>
                <w:lang w:val="es-ES"/>
              </w:rPr>
              <w:t>.</w:t>
            </w:r>
            <w:r w:rsidRPr="00B50473">
              <w:rPr>
                <w:rFonts w:ascii="Arial" w:hAnsi="Arial" w:cs="Arial"/>
                <w:b/>
                <w:bCs/>
                <w:sz w:val="18"/>
                <w:szCs w:val="18"/>
                <w:lang w:val="es-ES"/>
              </w:rPr>
              <w:t xml:space="preserve"> </w:t>
            </w:r>
            <w:r w:rsidRPr="00D77054">
              <w:rPr>
                <w:rFonts w:ascii="Arial" w:hAnsi="Arial" w:cs="Arial"/>
                <w:sz w:val="18"/>
                <w:szCs w:val="18"/>
                <w:lang w:val="es-ES"/>
              </w:rPr>
              <w:t>Cobertura de aseguramiento para población inmigrante</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D77054" w:rsidR="006B791F" w:rsidP="008F4D3E" w:rsidRDefault="006B791F" w14:paraId="78998269" w14:textId="77777777">
            <w:pPr>
              <w:keepNext/>
              <w:keepLines/>
              <w:tabs>
                <w:tab w:val="left" w:pos="4680"/>
              </w:tabs>
              <w:spacing w:line="256" w:lineRule="auto"/>
              <w:jc w:val="right"/>
              <w:rPr>
                <w:rFonts w:ascii="Arial" w:hAnsi="Arial" w:cs="Arial"/>
                <w:sz w:val="18"/>
                <w:szCs w:val="18"/>
                <w:lang w:val="es-ES"/>
              </w:rPr>
            </w:pPr>
            <w:r w:rsidRPr="00D77054">
              <w:rPr>
                <w:rFonts w:ascii="Arial" w:hAnsi="Arial" w:cs="Arial"/>
                <w:bCs/>
                <w:sz w:val="18"/>
                <w:szCs w:val="18"/>
                <w:lang w:val="es-ES"/>
              </w:rPr>
              <w:t>50</w:t>
            </w:r>
          </w:p>
        </w:tc>
        <w:tc>
          <w:tcPr>
            <w:tcW w:w="1170" w:type="dxa"/>
            <w:tcBorders>
              <w:top w:val="single" w:color="auto" w:sz="4" w:space="0"/>
              <w:left w:val="single" w:color="auto" w:sz="4" w:space="0"/>
              <w:bottom w:val="single" w:color="auto" w:sz="4" w:space="0"/>
              <w:right w:val="single" w:color="auto" w:sz="4" w:space="0"/>
            </w:tcBorders>
            <w:vAlign w:val="center"/>
            <w:hideMark/>
          </w:tcPr>
          <w:p w:rsidRPr="00D77054" w:rsidR="006B791F" w:rsidP="008F4D3E" w:rsidRDefault="006B791F" w14:paraId="342CDC0C" w14:textId="77777777">
            <w:pPr>
              <w:keepNext/>
              <w:keepLines/>
              <w:tabs>
                <w:tab w:val="left" w:pos="4680"/>
              </w:tabs>
              <w:spacing w:line="256" w:lineRule="auto"/>
              <w:jc w:val="right"/>
              <w:rPr>
                <w:rFonts w:ascii="Arial" w:hAnsi="Arial" w:cs="Arial"/>
                <w:sz w:val="18"/>
                <w:szCs w:val="18"/>
                <w:lang w:val="es-ES"/>
              </w:rPr>
            </w:pPr>
            <w:r w:rsidRPr="00D77054">
              <w:rPr>
                <w:rFonts w:ascii="Arial" w:hAnsi="Arial" w:cs="Arial"/>
                <w:sz w:val="18"/>
                <w:szCs w:val="18"/>
                <w:lang w:val="es-ES"/>
              </w:rPr>
              <w:t>-</w:t>
            </w:r>
          </w:p>
        </w:tc>
        <w:tc>
          <w:tcPr>
            <w:tcW w:w="1260" w:type="dxa"/>
            <w:tcBorders>
              <w:top w:val="single" w:color="auto" w:sz="4" w:space="0"/>
              <w:left w:val="single" w:color="auto" w:sz="4" w:space="0"/>
              <w:bottom w:val="single" w:color="auto" w:sz="4" w:space="0"/>
              <w:right w:val="single" w:color="auto" w:sz="4" w:space="0"/>
            </w:tcBorders>
            <w:vAlign w:val="center"/>
          </w:tcPr>
          <w:p w:rsidRPr="00D77054" w:rsidR="006B791F" w:rsidP="008F4D3E" w:rsidRDefault="006B791F" w14:paraId="38029366" w14:textId="77777777">
            <w:pPr>
              <w:keepNext/>
              <w:keepLines/>
              <w:tabs>
                <w:tab w:val="left" w:pos="4680"/>
              </w:tabs>
              <w:spacing w:line="256" w:lineRule="auto"/>
              <w:jc w:val="right"/>
              <w:rPr>
                <w:rFonts w:ascii="Arial" w:hAnsi="Arial" w:cs="Arial"/>
                <w:bCs/>
                <w:sz w:val="18"/>
                <w:szCs w:val="18"/>
                <w:lang w:val="es-ES"/>
              </w:rPr>
            </w:pPr>
            <w:r>
              <w:rPr>
                <w:rFonts w:ascii="Arial" w:hAnsi="Arial" w:cs="Arial"/>
                <w:bCs/>
                <w:sz w:val="18"/>
                <w:szCs w:val="18"/>
                <w:lang w:val="es-ES"/>
              </w:rPr>
              <w:t>-</w:t>
            </w:r>
          </w:p>
        </w:tc>
        <w:tc>
          <w:tcPr>
            <w:tcW w:w="900" w:type="dxa"/>
            <w:tcBorders>
              <w:top w:val="single" w:color="auto" w:sz="4" w:space="0"/>
              <w:left w:val="single" w:color="auto" w:sz="4" w:space="0"/>
              <w:right w:val="single" w:color="auto" w:sz="4" w:space="0"/>
            </w:tcBorders>
            <w:vAlign w:val="center"/>
            <w:hideMark/>
          </w:tcPr>
          <w:p w:rsidRPr="00D77054" w:rsidR="006B791F" w:rsidP="008F4D3E" w:rsidRDefault="006B791F" w14:paraId="55DD7E21" w14:textId="77777777">
            <w:pPr>
              <w:keepNext/>
              <w:keepLines/>
              <w:tabs>
                <w:tab w:val="left" w:pos="4680"/>
              </w:tabs>
              <w:spacing w:line="256" w:lineRule="auto"/>
              <w:jc w:val="right"/>
              <w:rPr>
                <w:rFonts w:ascii="Arial" w:hAnsi="Arial" w:cs="Arial"/>
                <w:b/>
                <w:sz w:val="18"/>
                <w:szCs w:val="18"/>
                <w:lang w:val="es-ES"/>
              </w:rPr>
            </w:pPr>
            <w:r>
              <w:rPr>
                <w:rFonts w:ascii="Arial" w:hAnsi="Arial" w:cs="Arial"/>
                <w:bCs/>
                <w:sz w:val="18"/>
                <w:szCs w:val="18"/>
                <w:lang w:val="es-ES"/>
              </w:rPr>
              <w:t>50</w:t>
            </w:r>
          </w:p>
        </w:tc>
        <w:tc>
          <w:tcPr>
            <w:tcW w:w="630" w:type="dxa"/>
            <w:tcBorders>
              <w:top w:val="single" w:color="auto" w:sz="4" w:space="0"/>
              <w:left w:val="single" w:color="auto" w:sz="4" w:space="0"/>
              <w:right w:val="single" w:color="auto" w:sz="4" w:space="0"/>
            </w:tcBorders>
            <w:vAlign w:val="center"/>
            <w:hideMark/>
          </w:tcPr>
          <w:p w:rsidRPr="00D77054" w:rsidR="006B791F" w:rsidP="008F4D3E" w:rsidRDefault="006B791F" w14:paraId="2D3C9C2B" w14:textId="77777777">
            <w:pPr>
              <w:keepNext/>
              <w:keepLines/>
              <w:tabs>
                <w:tab w:val="left" w:pos="4680"/>
              </w:tabs>
              <w:spacing w:line="256" w:lineRule="auto"/>
              <w:jc w:val="right"/>
              <w:rPr>
                <w:rFonts w:ascii="Arial" w:hAnsi="Arial" w:cs="Arial"/>
                <w:sz w:val="18"/>
                <w:szCs w:val="18"/>
                <w:lang w:val="es-ES"/>
              </w:rPr>
            </w:pPr>
            <w:r>
              <w:rPr>
                <w:rFonts w:ascii="Arial" w:hAnsi="Arial" w:cs="Arial"/>
                <w:bCs/>
                <w:sz w:val="18"/>
                <w:szCs w:val="18"/>
                <w:lang w:val="es-ES"/>
              </w:rPr>
              <w:t>31</w:t>
            </w:r>
          </w:p>
        </w:tc>
      </w:tr>
      <w:tr w:rsidRPr="00D77054" w:rsidR="006B791F" w:rsidTr="008F4D3E" w14:paraId="0D8339CC" w14:textId="77777777">
        <w:trPr>
          <w:cantSplit/>
          <w:trHeight w:val="144"/>
          <w:jc w:val="center"/>
        </w:trPr>
        <w:tc>
          <w:tcPr>
            <w:tcW w:w="3955" w:type="dxa"/>
            <w:tcBorders>
              <w:top w:val="single" w:color="auto" w:sz="4" w:space="0"/>
              <w:left w:val="single" w:color="auto" w:sz="4" w:space="0"/>
              <w:bottom w:val="single" w:color="auto" w:sz="4" w:space="0"/>
              <w:right w:val="single" w:color="auto" w:sz="4" w:space="0"/>
            </w:tcBorders>
            <w:vAlign w:val="center"/>
            <w:hideMark/>
          </w:tcPr>
          <w:p w:rsidRPr="00D77054" w:rsidR="006B791F" w:rsidP="008F4D3E" w:rsidRDefault="006B791F" w14:paraId="752DA53C" w14:textId="77777777">
            <w:pPr>
              <w:keepNext/>
              <w:keepLines/>
              <w:tabs>
                <w:tab w:val="left" w:pos="240"/>
                <w:tab w:val="left" w:pos="4680"/>
              </w:tabs>
              <w:spacing w:line="256" w:lineRule="auto"/>
              <w:ind w:left="330" w:hanging="180"/>
              <w:rPr>
                <w:rFonts w:ascii="Arial" w:hAnsi="Arial" w:cs="Arial"/>
                <w:b/>
                <w:bCs/>
                <w:sz w:val="18"/>
                <w:szCs w:val="18"/>
                <w:lang w:val="es-ES"/>
              </w:rPr>
            </w:pPr>
            <w:r>
              <w:rPr>
                <w:rFonts w:ascii="Arial" w:hAnsi="Arial" w:cs="Arial"/>
                <w:b/>
                <w:bCs/>
                <w:sz w:val="18"/>
                <w:szCs w:val="18"/>
                <w:lang w:val="es-ES"/>
              </w:rPr>
              <w:t>3</w:t>
            </w:r>
            <w:r w:rsidRPr="00B50473">
              <w:rPr>
                <w:rFonts w:ascii="Arial" w:hAnsi="Arial" w:cs="Arial"/>
                <w:b/>
                <w:bCs/>
                <w:sz w:val="18"/>
                <w:szCs w:val="18"/>
                <w:lang w:val="es-ES"/>
              </w:rPr>
              <w:t xml:space="preserve"> (</w:t>
            </w:r>
            <w:proofErr w:type="spellStart"/>
            <w:r w:rsidRPr="00B50473">
              <w:rPr>
                <w:rFonts w:ascii="Arial" w:hAnsi="Arial" w:cs="Arial"/>
                <w:b/>
                <w:bCs/>
                <w:sz w:val="18"/>
                <w:szCs w:val="18"/>
                <w:lang w:val="es-ES"/>
              </w:rPr>
              <w:t>ii</w:t>
            </w:r>
            <w:proofErr w:type="spellEnd"/>
            <w:r w:rsidRPr="00B50473">
              <w:rPr>
                <w:rFonts w:ascii="Arial" w:hAnsi="Arial" w:cs="Arial"/>
                <w:b/>
                <w:bCs/>
                <w:sz w:val="18"/>
                <w:szCs w:val="18"/>
                <w:lang w:val="es-ES"/>
              </w:rPr>
              <w:t>)</w:t>
            </w:r>
            <w:r>
              <w:rPr>
                <w:rFonts w:ascii="Arial" w:hAnsi="Arial" w:cs="Arial"/>
                <w:b/>
                <w:bCs/>
                <w:sz w:val="18"/>
                <w:szCs w:val="18"/>
                <w:lang w:val="es-ES"/>
              </w:rPr>
              <w:t>.</w:t>
            </w:r>
            <w:r w:rsidRPr="00B50473">
              <w:rPr>
                <w:rFonts w:ascii="Arial" w:hAnsi="Arial" w:cs="Arial"/>
                <w:b/>
                <w:bCs/>
                <w:sz w:val="18"/>
                <w:szCs w:val="18"/>
                <w:lang w:val="es-ES"/>
              </w:rPr>
              <w:t xml:space="preserve"> </w:t>
            </w:r>
            <w:r w:rsidRPr="00D77054">
              <w:rPr>
                <w:rFonts w:ascii="Arial" w:hAnsi="Arial" w:cs="Arial"/>
                <w:sz w:val="18"/>
                <w:szCs w:val="18"/>
                <w:lang w:val="es-ES"/>
              </w:rPr>
              <w:t>Cobertura de servicios para población inmigrante</w:t>
            </w:r>
          </w:p>
        </w:tc>
        <w:tc>
          <w:tcPr>
            <w:tcW w:w="1260" w:type="dxa"/>
            <w:tcBorders>
              <w:top w:val="single" w:color="auto" w:sz="4" w:space="0"/>
              <w:left w:val="single" w:color="auto" w:sz="4" w:space="0"/>
              <w:bottom w:val="single" w:color="auto" w:sz="4" w:space="0"/>
              <w:right w:val="single" w:color="auto" w:sz="4" w:space="0"/>
            </w:tcBorders>
            <w:vAlign w:val="center"/>
            <w:hideMark/>
          </w:tcPr>
          <w:p w:rsidRPr="00D77054" w:rsidR="006B791F" w:rsidP="008F4D3E" w:rsidRDefault="006B791F" w14:paraId="7328F0B8" w14:textId="77777777">
            <w:pPr>
              <w:keepNext/>
              <w:keepLines/>
              <w:tabs>
                <w:tab w:val="left" w:pos="4680"/>
              </w:tabs>
              <w:spacing w:line="256" w:lineRule="auto"/>
              <w:jc w:val="right"/>
              <w:rPr>
                <w:rFonts w:ascii="Arial" w:hAnsi="Arial" w:cs="Arial"/>
                <w:bCs/>
                <w:sz w:val="18"/>
                <w:szCs w:val="18"/>
                <w:lang w:val="es-ES"/>
              </w:rPr>
            </w:pPr>
            <w:r w:rsidRPr="00D77054">
              <w:rPr>
                <w:rFonts w:ascii="Arial" w:hAnsi="Arial" w:cs="Arial"/>
                <w:bCs/>
                <w:sz w:val="18"/>
                <w:szCs w:val="18"/>
                <w:lang w:val="es-ES"/>
              </w:rPr>
              <w:t>-</w:t>
            </w:r>
          </w:p>
        </w:tc>
        <w:tc>
          <w:tcPr>
            <w:tcW w:w="1170" w:type="dxa"/>
            <w:tcBorders>
              <w:top w:val="single" w:color="auto" w:sz="4" w:space="0"/>
              <w:left w:val="single" w:color="auto" w:sz="4" w:space="0"/>
              <w:bottom w:val="single" w:color="auto" w:sz="4" w:space="0"/>
              <w:right w:val="single" w:color="auto" w:sz="4" w:space="0"/>
            </w:tcBorders>
            <w:vAlign w:val="center"/>
            <w:hideMark/>
          </w:tcPr>
          <w:p w:rsidRPr="00D77054" w:rsidR="006B791F" w:rsidP="008F4D3E" w:rsidRDefault="006B791F" w14:paraId="04A7C1DA" w14:textId="77777777">
            <w:pPr>
              <w:keepNext/>
              <w:keepLines/>
              <w:tabs>
                <w:tab w:val="left" w:pos="4680"/>
              </w:tabs>
              <w:spacing w:line="256" w:lineRule="auto"/>
              <w:jc w:val="right"/>
              <w:rPr>
                <w:rFonts w:ascii="Arial" w:hAnsi="Arial" w:cs="Arial"/>
                <w:bCs/>
                <w:sz w:val="18"/>
                <w:szCs w:val="18"/>
                <w:lang w:val="es-ES"/>
              </w:rPr>
            </w:pPr>
            <w:r>
              <w:rPr>
                <w:rFonts w:ascii="Arial" w:hAnsi="Arial" w:cs="Arial"/>
                <w:bCs/>
                <w:sz w:val="18"/>
                <w:szCs w:val="18"/>
                <w:lang w:val="es-ES"/>
              </w:rPr>
              <w:t>9,555</w:t>
            </w:r>
          </w:p>
        </w:tc>
        <w:tc>
          <w:tcPr>
            <w:tcW w:w="1260" w:type="dxa"/>
            <w:tcBorders>
              <w:top w:val="single" w:color="auto" w:sz="4" w:space="0"/>
              <w:left w:val="single" w:color="auto" w:sz="4" w:space="0"/>
              <w:bottom w:val="single" w:color="auto" w:sz="4" w:space="0"/>
              <w:right w:val="single" w:color="auto" w:sz="4" w:space="0"/>
            </w:tcBorders>
            <w:vAlign w:val="center"/>
          </w:tcPr>
          <w:p w:rsidRPr="006C78B5" w:rsidR="006B791F" w:rsidP="008F4D3E" w:rsidRDefault="006B791F" w14:paraId="32C4772D" w14:textId="77777777">
            <w:pPr>
              <w:spacing w:line="256" w:lineRule="auto"/>
              <w:jc w:val="right"/>
              <w:rPr>
                <w:rFonts w:ascii="Arial" w:hAnsi="Arial" w:cs="Arial"/>
                <w:bCs/>
                <w:sz w:val="18"/>
                <w:szCs w:val="18"/>
                <w:lang w:val="es-ES"/>
              </w:rPr>
            </w:pPr>
            <w:r w:rsidRPr="006C78B5">
              <w:rPr>
                <w:rFonts w:ascii="Arial" w:hAnsi="Arial" w:cs="Arial"/>
                <w:bCs/>
                <w:sz w:val="18"/>
                <w:szCs w:val="18"/>
                <w:lang w:val="es-ES"/>
              </w:rPr>
              <w:t>2,</w:t>
            </w:r>
            <w:r>
              <w:rPr>
                <w:rFonts w:ascii="Arial" w:hAnsi="Arial" w:cs="Arial"/>
                <w:bCs/>
                <w:sz w:val="18"/>
                <w:szCs w:val="18"/>
                <w:lang w:val="es-ES"/>
              </w:rPr>
              <w:t>100</w:t>
            </w:r>
          </w:p>
        </w:tc>
        <w:tc>
          <w:tcPr>
            <w:tcW w:w="900" w:type="dxa"/>
            <w:tcBorders>
              <w:left w:val="single" w:color="auto" w:sz="4" w:space="0"/>
              <w:right w:val="single" w:color="auto" w:sz="4" w:space="0"/>
            </w:tcBorders>
            <w:vAlign w:val="center"/>
            <w:hideMark/>
          </w:tcPr>
          <w:p w:rsidRPr="00253138" w:rsidR="006B791F" w:rsidP="008F4D3E" w:rsidRDefault="006B791F" w14:paraId="361CCEEB" w14:textId="77777777">
            <w:pPr>
              <w:spacing w:line="256" w:lineRule="auto"/>
              <w:jc w:val="right"/>
              <w:rPr>
                <w:rFonts w:ascii="Arial" w:hAnsi="Arial" w:cs="Arial"/>
                <w:bCs/>
                <w:sz w:val="18"/>
                <w:szCs w:val="18"/>
                <w:lang w:val="es-ES"/>
              </w:rPr>
            </w:pPr>
            <w:r w:rsidRPr="00253138">
              <w:rPr>
                <w:rFonts w:ascii="Arial" w:hAnsi="Arial" w:cs="Arial"/>
                <w:bCs/>
                <w:sz w:val="18"/>
                <w:szCs w:val="18"/>
                <w:lang w:val="es-ES"/>
              </w:rPr>
              <w:t>11,</w:t>
            </w:r>
            <w:r>
              <w:rPr>
                <w:rFonts w:ascii="Arial" w:hAnsi="Arial" w:cs="Arial"/>
                <w:bCs/>
                <w:sz w:val="18"/>
                <w:szCs w:val="18"/>
                <w:lang w:val="es-ES"/>
              </w:rPr>
              <w:t>655</w:t>
            </w:r>
          </w:p>
        </w:tc>
        <w:tc>
          <w:tcPr>
            <w:tcW w:w="630" w:type="dxa"/>
            <w:tcBorders>
              <w:left w:val="single" w:color="auto" w:sz="4" w:space="0"/>
              <w:right w:val="single" w:color="auto" w:sz="4" w:space="0"/>
            </w:tcBorders>
            <w:vAlign w:val="center"/>
            <w:hideMark/>
          </w:tcPr>
          <w:p w:rsidRPr="00D77054" w:rsidR="006B791F" w:rsidP="008F4D3E" w:rsidRDefault="006B791F" w14:paraId="0A3AD17C" w14:textId="77777777">
            <w:pPr>
              <w:keepNext/>
              <w:keepLines/>
              <w:tabs>
                <w:tab w:val="left" w:pos="4680"/>
              </w:tabs>
              <w:spacing w:line="256" w:lineRule="auto"/>
              <w:jc w:val="right"/>
              <w:rPr>
                <w:rFonts w:ascii="Arial" w:hAnsi="Arial" w:cs="Arial"/>
                <w:sz w:val="18"/>
                <w:szCs w:val="18"/>
                <w:lang w:val="es-ES"/>
              </w:rPr>
            </w:pPr>
            <w:r>
              <w:rPr>
                <w:rFonts w:ascii="Arial" w:hAnsi="Arial" w:cs="Arial"/>
                <w:sz w:val="18"/>
                <w:szCs w:val="18"/>
                <w:lang w:val="es-ES"/>
              </w:rPr>
              <w:t>7,2</w:t>
            </w:r>
          </w:p>
        </w:tc>
      </w:tr>
      <w:tr w:rsidRPr="00D77054" w:rsidR="006B791F" w:rsidTr="008F4D3E" w14:paraId="73492AB2" w14:textId="77777777">
        <w:trPr>
          <w:cantSplit/>
          <w:trHeight w:val="144"/>
          <w:jc w:val="center"/>
        </w:trPr>
        <w:tc>
          <w:tcPr>
            <w:tcW w:w="3955" w:type="dxa"/>
            <w:tcBorders>
              <w:top w:val="single" w:color="auto" w:sz="4" w:space="0"/>
              <w:left w:val="single" w:color="auto" w:sz="4" w:space="0"/>
              <w:bottom w:val="single" w:color="auto" w:sz="4" w:space="0"/>
              <w:right w:val="single" w:color="auto" w:sz="4" w:space="0"/>
            </w:tcBorders>
            <w:vAlign w:val="center"/>
          </w:tcPr>
          <w:p w:rsidRPr="00D77054" w:rsidR="006B791F" w:rsidP="008F4D3E" w:rsidRDefault="006B791F" w14:paraId="7E4CFFFA" w14:textId="77777777">
            <w:pPr>
              <w:keepNext/>
              <w:keepLines/>
              <w:tabs>
                <w:tab w:val="left" w:pos="4680"/>
              </w:tabs>
              <w:spacing w:line="256" w:lineRule="auto"/>
              <w:ind w:left="720"/>
              <w:rPr>
                <w:rFonts w:ascii="Arial" w:hAnsi="Arial" w:cs="Arial"/>
                <w:b/>
                <w:bCs/>
                <w:sz w:val="18"/>
                <w:szCs w:val="18"/>
                <w:lang w:val="es-ES"/>
              </w:rPr>
            </w:pPr>
            <w:r w:rsidRPr="003823C9">
              <w:rPr>
                <w:rFonts w:ascii="Arial" w:hAnsi="Arial" w:cs="Arial"/>
                <w:sz w:val="18"/>
                <w:lang w:val="es-ES"/>
              </w:rPr>
              <w:t>Auditoría</w:t>
            </w:r>
            <w:r>
              <w:rPr>
                <w:rFonts w:ascii="Arial" w:hAnsi="Arial" w:cs="Arial"/>
                <w:sz w:val="18"/>
                <w:lang w:val="es-ES"/>
              </w:rPr>
              <w:t xml:space="preserve"> recursos no reembolsables </w:t>
            </w:r>
          </w:p>
        </w:tc>
        <w:tc>
          <w:tcPr>
            <w:tcW w:w="1260" w:type="dxa"/>
            <w:tcBorders>
              <w:top w:val="single" w:color="auto" w:sz="4" w:space="0"/>
              <w:left w:val="single" w:color="auto" w:sz="4" w:space="0"/>
              <w:bottom w:val="single" w:color="auto" w:sz="4" w:space="0"/>
              <w:right w:val="single" w:color="auto" w:sz="4" w:space="0"/>
            </w:tcBorders>
            <w:vAlign w:val="center"/>
          </w:tcPr>
          <w:p w:rsidRPr="00D77054" w:rsidR="006B791F" w:rsidP="008F4D3E" w:rsidRDefault="006B791F" w14:paraId="6B0514DA" w14:textId="77777777">
            <w:pPr>
              <w:keepNext/>
              <w:keepLines/>
              <w:tabs>
                <w:tab w:val="left" w:pos="4680"/>
              </w:tabs>
              <w:spacing w:line="256" w:lineRule="auto"/>
              <w:jc w:val="right"/>
              <w:rPr>
                <w:rFonts w:ascii="Arial" w:hAnsi="Arial" w:cs="Arial"/>
                <w:bCs/>
                <w:sz w:val="18"/>
                <w:szCs w:val="18"/>
                <w:lang w:val="es-ES"/>
              </w:rPr>
            </w:pPr>
            <w:r>
              <w:rPr>
                <w:rFonts w:ascii="Arial" w:hAnsi="Arial" w:cs="Arial"/>
                <w:bCs/>
                <w:sz w:val="18"/>
                <w:szCs w:val="18"/>
                <w:lang w:val="es-ES"/>
              </w:rPr>
              <w:t>-</w:t>
            </w:r>
          </w:p>
        </w:tc>
        <w:tc>
          <w:tcPr>
            <w:tcW w:w="1170" w:type="dxa"/>
            <w:tcBorders>
              <w:top w:val="single" w:color="auto" w:sz="4" w:space="0"/>
              <w:left w:val="single" w:color="auto" w:sz="4" w:space="0"/>
              <w:bottom w:val="single" w:color="auto" w:sz="4" w:space="0"/>
              <w:right w:val="single" w:color="auto" w:sz="4" w:space="0"/>
            </w:tcBorders>
            <w:vAlign w:val="center"/>
          </w:tcPr>
          <w:p w:rsidRPr="00D77054" w:rsidR="006B791F" w:rsidP="008F4D3E" w:rsidRDefault="006B791F" w14:paraId="3CFDD2ED" w14:textId="77777777">
            <w:pPr>
              <w:keepNext/>
              <w:keepLines/>
              <w:tabs>
                <w:tab w:val="left" w:pos="4680"/>
              </w:tabs>
              <w:spacing w:line="256" w:lineRule="auto"/>
              <w:jc w:val="right"/>
              <w:rPr>
                <w:rFonts w:ascii="Arial" w:hAnsi="Arial" w:cs="Arial"/>
                <w:bCs/>
                <w:sz w:val="18"/>
                <w:szCs w:val="18"/>
                <w:lang w:val="es-ES"/>
              </w:rPr>
            </w:pPr>
            <w:r>
              <w:rPr>
                <w:rFonts w:ascii="Arial" w:hAnsi="Arial" w:cs="Arial"/>
                <w:bCs/>
                <w:sz w:val="18"/>
                <w:szCs w:val="18"/>
                <w:lang w:val="es-ES"/>
              </w:rPr>
              <w:t>0,070</w:t>
            </w:r>
          </w:p>
        </w:tc>
        <w:tc>
          <w:tcPr>
            <w:tcW w:w="1260" w:type="dxa"/>
            <w:tcBorders>
              <w:top w:val="single" w:color="auto" w:sz="4" w:space="0"/>
              <w:left w:val="single" w:color="auto" w:sz="4" w:space="0"/>
              <w:bottom w:val="single" w:color="auto" w:sz="4" w:space="0"/>
              <w:right w:val="single" w:color="auto" w:sz="4" w:space="0"/>
            </w:tcBorders>
            <w:vAlign w:val="center"/>
          </w:tcPr>
          <w:p w:rsidRPr="006C78B5" w:rsidR="006B791F" w:rsidP="008F4D3E" w:rsidRDefault="006B791F" w14:paraId="70919EF1" w14:textId="77777777">
            <w:pPr>
              <w:spacing w:line="256" w:lineRule="auto"/>
              <w:jc w:val="right"/>
              <w:rPr>
                <w:rFonts w:ascii="Arial" w:hAnsi="Arial" w:cs="Arial"/>
                <w:bCs/>
                <w:sz w:val="18"/>
                <w:szCs w:val="18"/>
                <w:lang w:val="es-ES"/>
              </w:rPr>
            </w:pPr>
            <w:r>
              <w:rPr>
                <w:rFonts w:ascii="Arial" w:hAnsi="Arial" w:cs="Arial"/>
                <w:bCs/>
                <w:sz w:val="18"/>
                <w:szCs w:val="18"/>
                <w:lang w:val="es-ES"/>
              </w:rPr>
              <w:t>-</w:t>
            </w:r>
          </w:p>
        </w:tc>
        <w:tc>
          <w:tcPr>
            <w:tcW w:w="900" w:type="dxa"/>
            <w:tcBorders>
              <w:left w:val="single" w:color="auto" w:sz="4" w:space="0"/>
              <w:bottom w:val="single" w:color="auto" w:sz="4" w:space="0"/>
              <w:right w:val="single" w:color="auto" w:sz="4" w:space="0"/>
            </w:tcBorders>
            <w:vAlign w:val="center"/>
          </w:tcPr>
          <w:p w:rsidRPr="00253138" w:rsidR="006B791F" w:rsidP="008F4D3E" w:rsidRDefault="006B791F" w14:paraId="1D8B8362" w14:textId="77777777">
            <w:pPr>
              <w:spacing w:line="256" w:lineRule="auto"/>
              <w:jc w:val="right"/>
              <w:rPr>
                <w:rFonts w:ascii="Arial" w:hAnsi="Arial" w:cs="Arial"/>
                <w:bCs/>
                <w:sz w:val="18"/>
                <w:szCs w:val="18"/>
                <w:lang w:val="es-ES"/>
              </w:rPr>
            </w:pPr>
            <w:r w:rsidRPr="00253138">
              <w:rPr>
                <w:rFonts w:ascii="Arial" w:hAnsi="Arial" w:cs="Arial"/>
                <w:bCs/>
                <w:sz w:val="18"/>
                <w:szCs w:val="18"/>
                <w:lang w:val="es-ES"/>
              </w:rPr>
              <w:t>0,</w:t>
            </w:r>
            <w:r>
              <w:rPr>
                <w:rFonts w:ascii="Arial" w:hAnsi="Arial" w:cs="Arial"/>
                <w:bCs/>
                <w:sz w:val="18"/>
                <w:szCs w:val="18"/>
                <w:lang w:val="es-ES"/>
              </w:rPr>
              <w:t>0</w:t>
            </w:r>
            <w:r w:rsidRPr="00253138">
              <w:rPr>
                <w:rFonts w:ascii="Arial" w:hAnsi="Arial" w:cs="Arial"/>
                <w:bCs/>
                <w:sz w:val="18"/>
                <w:szCs w:val="18"/>
                <w:lang w:val="es-ES"/>
              </w:rPr>
              <w:t>7</w:t>
            </w:r>
            <w:r>
              <w:rPr>
                <w:rFonts w:ascii="Arial" w:hAnsi="Arial" w:cs="Arial"/>
                <w:bCs/>
                <w:sz w:val="18"/>
                <w:szCs w:val="18"/>
                <w:lang w:val="es-ES"/>
              </w:rPr>
              <w:t>0</w:t>
            </w:r>
          </w:p>
        </w:tc>
        <w:tc>
          <w:tcPr>
            <w:tcW w:w="630" w:type="dxa"/>
            <w:tcBorders>
              <w:left w:val="single" w:color="auto" w:sz="4" w:space="0"/>
              <w:bottom w:val="single" w:color="auto" w:sz="4" w:space="0"/>
              <w:right w:val="single" w:color="auto" w:sz="4" w:space="0"/>
            </w:tcBorders>
            <w:vAlign w:val="center"/>
          </w:tcPr>
          <w:p w:rsidRPr="00D77054" w:rsidR="006B791F" w:rsidP="008F4D3E" w:rsidRDefault="006B791F" w14:paraId="0C3BF596" w14:textId="77777777">
            <w:pPr>
              <w:spacing w:line="256" w:lineRule="auto"/>
              <w:jc w:val="right"/>
              <w:rPr>
                <w:rFonts w:ascii="Arial" w:hAnsi="Arial" w:cs="Arial"/>
                <w:sz w:val="18"/>
                <w:szCs w:val="18"/>
                <w:lang w:val="es-ES"/>
              </w:rPr>
            </w:pPr>
            <w:r>
              <w:rPr>
                <w:rFonts w:ascii="Arial" w:hAnsi="Arial" w:cs="Arial"/>
                <w:sz w:val="18"/>
                <w:szCs w:val="18"/>
                <w:lang w:val="es-ES"/>
              </w:rPr>
              <w:t>0,04</w:t>
            </w:r>
          </w:p>
        </w:tc>
      </w:tr>
      <w:tr w:rsidRPr="00D77054" w:rsidR="006B791F" w:rsidTr="008F4D3E" w14:paraId="2A58520A" w14:textId="77777777">
        <w:trPr>
          <w:cantSplit/>
          <w:trHeight w:val="144"/>
          <w:jc w:val="center"/>
        </w:trPr>
        <w:tc>
          <w:tcPr>
            <w:tcW w:w="395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3138" w:rsidR="006B791F" w:rsidP="008F4D3E" w:rsidRDefault="006B791F" w14:paraId="58F7D923" w14:textId="77777777">
            <w:pPr>
              <w:keepNext/>
              <w:keepLines/>
              <w:tabs>
                <w:tab w:val="left" w:pos="4680"/>
              </w:tabs>
              <w:spacing w:line="256" w:lineRule="auto"/>
              <w:ind w:hanging="11"/>
              <w:rPr>
                <w:rFonts w:ascii="Arial" w:hAnsi="Arial" w:cs="Arial"/>
                <w:b/>
                <w:bCs/>
                <w:sz w:val="18"/>
                <w:lang w:val="es-ES"/>
              </w:rPr>
            </w:pPr>
            <w:r w:rsidRPr="00253138">
              <w:rPr>
                <w:rFonts w:ascii="Arial" w:hAnsi="Arial" w:cs="Arial"/>
                <w:b/>
                <w:bCs/>
                <w:sz w:val="18"/>
                <w:lang w:val="es-ES"/>
              </w:rPr>
              <w:t xml:space="preserve">Total disponible para el proyecto </w:t>
            </w: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3138" w:rsidR="006B791F" w:rsidP="008F4D3E" w:rsidRDefault="006B791F" w14:paraId="3751F1E7" w14:textId="77777777">
            <w:pPr>
              <w:keepNext/>
              <w:keepLines/>
              <w:tabs>
                <w:tab w:val="left" w:pos="4680"/>
              </w:tabs>
              <w:spacing w:line="256" w:lineRule="auto"/>
              <w:jc w:val="right"/>
              <w:rPr>
                <w:rFonts w:ascii="Arial" w:hAnsi="Arial" w:cs="Arial"/>
                <w:b/>
                <w:bCs/>
                <w:sz w:val="18"/>
                <w:szCs w:val="18"/>
                <w:lang w:val="es-ES"/>
              </w:rPr>
            </w:pPr>
            <w:r w:rsidRPr="00253138">
              <w:rPr>
                <w:rFonts w:ascii="Arial" w:hAnsi="Arial" w:cs="Arial"/>
                <w:b/>
                <w:bCs/>
                <w:sz w:val="18"/>
                <w:szCs w:val="18"/>
                <w:lang w:val="es-ES"/>
              </w:rPr>
              <w:t>150</w:t>
            </w:r>
          </w:p>
        </w:tc>
        <w:tc>
          <w:tcPr>
            <w:tcW w:w="117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3138" w:rsidR="006B791F" w:rsidP="008F4D3E" w:rsidRDefault="006B791F" w14:paraId="5DB9EAC1" w14:textId="77777777">
            <w:pPr>
              <w:keepNext/>
              <w:keepLines/>
              <w:tabs>
                <w:tab w:val="left" w:pos="4680"/>
              </w:tabs>
              <w:spacing w:line="256" w:lineRule="auto"/>
              <w:jc w:val="right"/>
              <w:rPr>
                <w:rFonts w:ascii="Arial" w:hAnsi="Arial" w:cs="Arial"/>
                <w:b/>
                <w:bCs/>
                <w:sz w:val="18"/>
                <w:szCs w:val="18"/>
                <w:lang w:val="es-ES"/>
              </w:rPr>
            </w:pPr>
            <w:r w:rsidRPr="00253138">
              <w:rPr>
                <w:rFonts w:ascii="Arial" w:hAnsi="Arial" w:cs="Arial"/>
                <w:b/>
                <w:bCs/>
                <w:sz w:val="18"/>
                <w:szCs w:val="18"/>
                <w:lang w:val="es-ES"/>
              </w:rPr>
              <w:t>9,625</w:t>
            </w: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253138" w:rsidR="006B791F" w:rsidP="008F4D3E" w:rsidRDefault="006B791F" w14:paraId="406FE506" w14:textId="77777777">
            <w:pPr>
              <w:spacing w:line="256" w:lineRule="auto"/>
              <w:jc w:val="right"/>
              <w:rPr>
                <w:rFonts w:ascii="Arial" w:hAnsi="Arial" w:cs="Arial"/>
                <w:b/>
                <w:bCs/>
                <w:sz w:val="18"/>
                <w:szCs w:val="18"/>
                <w:lang w:val="es-ES"/>
              </w:rPr>
            </w:pPr>
            <w:r w:rsidRPr="00253138">
              <w:rPr>
                <w:rFonts w:ascii="Arial" w:hAnsi="Arial" w:cs="Arial"/>
                <w:b/>
                <w:bCs/>
                <w:sz w:val="18"/>
                <w:szCs w:val="18"/>
                <w:lang w:val="es-ES"/>
              </w:rPr>
              <w:t>2,10</w:t>
            </w:r>
            <w:r>
              <w:rPr>
                <w:rFonts w:ascii="Arial" w:hAnsi="Arial" w:cs="Arial"/>
                <w:b/>
                <w:bCs/>
                <w:sz w:val="18"/>
                <w:szCs w:val="18"/>
                <w:lang w:val="es-ES"/>
              </w:rPr>
              <w:t>0</w:t>
            </w:r>
          </w:p>
        </w:tc>
        <w:tc>
          <w:tcPr>
            <w:tcW w:w="900" w:type="dxa"/>
            <w:tcBorders>
              <w:left w:val="single" w:color="auto" w:sz="4" w:space="0"/>
              <w:bottom w:val="single" w:color="auto" w:sz="4" w:space="0"/>
              <w:right w:val="single" w:color="auto" w:sz="4" w:space="0"/>
            </w:tcBorders>
            <w:shd w:val="clear" w:color="auto" w:fill="D9D9D9" w:themeFill="background1" w:themeFillShade="D9"/>
            <w:vAlign w:val="center"/>
          </w:tcPr>
          <w:p w:rsidRPr="00253138" w:rsidR="006B791F" w:rsidP="008F4D3E" w:rsidRDefault="006B791F" w14:paraId="1FB1FB23" w14:textId="77777777">
            <w:pPr>
              <w:spacing w:line="256" w:lineRule="auto"/>
              <w:jc w:val="right"/>
              <w:rPr>
                <w:rFonts w:ascii="Arial" w:hAnsi="Arial" w:cs="Arial"/>
                <w:b/>
                <w:bCs/>
                <w:sz w:val="18"/>
                <w:szCs w:val="18"/>
                <w:lang w:val="es-ES"/>
              </w:rPr>
            </w:pPr>
            <w:r w:rsidRPr="00253138">
              <w:rPr>
                <w:rFonts w:ascii="Arial" w:hAnsi="Arial" w:cs="Arial"/>
                <w:b/>
                <w:bCs/>
                <w:sz w:val="18"/>
                <w:szCs w:val="18"/>
                <w:lang w:val="es-ES"/>
              </w:rPr>
              <w:t>161,7</w:t>
            </w:r>
            <w:r>
              <w:rPr>
                <w:rFonts w:ascii="Arial" w:hAnsi="Arial" w:cs="Arial"/>
                <w:b/>
                <w:bCs/>
                <w:sz w:val="18"/>
                <w:szCs w:val="18"/>
                <w:lang w:val="es-ES"/>
              </w:rPr>
              <w:t>25</w:t>
            </w:r>
          </w:p>
        </w:tc>
        <w:tc>
          <w:tcPr>
            <w:tcW w:w="630" w:type="dxa"/>
            <w:tcBorders>
              <w:left w:val="single" w:color="auto" w:sz="4" w:space="0"/>
              <w:bottom w:val="single" w:color="auto" w:sz="4" w:space="0"/>
              <w:right w:val="single" w:color="auto" w:sz="4" w:space="0"/>
            </w:tcBorders>
            <w:shd w:val="clear" w:color="auto" w:fill="D9D9D9" w:themeFill="background1" w:themeFillShade="D9"/>
            <w:vAlign w:val="center"/>
          </w:tcPr>
          <w:p w:rsidRPr="00253138" w:rsidR="006B791F" w:rsidP="008F4D3E" w:rsidRDefault="006B791F" w14:paraId="09FC2D08" w14:textId="77777777">
            <w:pPr>
              <w:spacing w:line="256" w:lineRule="auto"/>
              <w:jc w:val="right"/>
              <w:rPr>
                <w:rFonts w:ascii="Arial" w:hAnsi="Arial" w:cs="Arial"/>
                <w:b/>
                <w:bCs/>
                <w:sz w:val="18"/>
                <w:szCs w:val="18"/>
                <w:lang w:val="es-ES"/>
              </w:rPr>
            </w:pPr>
            <w:r w:rsidRPr="00253138">
              <w:rPr>
                <w:rFonts w:ascii="Arial" w:hAnsi="Arial" w:cs="Arial"/>
                <w:b/>
                <w:bCs/>
                <w:sz w:val="18"/>
                <w:szCs w:val="18"/>
                <w:lang w:val="es-ES"/>
              </w:rPr>
              <w:t>100</w:t>
            </w:r>
          </w:p>
        </w:tc>
      </w:tr>
      <w:tr w:rsidRPr="00D77054" w:rsidR="006B791F" w:rsidTr="008F4D3E" w14:paraId="73FEB02A" w14:textId="77777777">
        <w:trPr>
          <w:cantSplit/>
          <w:trHeight w:val="144"/>
          <w:jc w:val="center"/>
        </w:trPr>
        <w:tc>
          <w:tcPr>
            <w:tcW w:w="3955" w:type="dxa"/>
            <w:tcBorders>
              <w:top w:val="single" w:color="auto" w:sz="4" w:space="0"/>
              <w:left w:val="single" w:color="auto" w:sz="4" w:space="0"/>
              <w:bottom w:val="single" w:color="auto" w:sz="4" w:space="0"/>
              <w:right w:val="single" w:color="auto" w:sz="4" w:space="0"/>
            </w:tcBorders>
            <w:vAlign w:val="center"/>
          </w:tcPr>
          <w:p w:rsidR="006B791F" w:rsidP="008F4D3E" w:rsidRDefault="006B791F" w14:paraId="19502413" w14:textId="77777777">
            <w:pPr>
              <w:keepNext/>
              <w:keepLines/>
              <w:spacing w:line="256" w:lineRule="auto"/>
              <w:ind w:hanging="11"/>
              <w:rPr>
                <w:rFonts w:ascii="Arial" w:hAnsi="Arial" w:cs="Arial"/>
                <w:sz w:val="18"/>
                <w:lang w:val="es-ES"/>
              </w:rPr>
            </w:pPr>
            <w:r>
              <w:rPr>
                <w:rFonts w:ascii="Arial" w:hAnsi="Arial" w:cs="Arial"/>
                <w:sz w:val="18"/>
                <w:lang w:val="es-ES"/>
              </w:rPr>
              <w:t xml:space="preserve"> </w:t>
            </w:r>
            <w:r>
              <w:rPr>
                <w:rFonts w:ascii="Arial" w:hAnsi="Arial" w:cs="Arial"/>
                <w:sz w:val="18"/>
                <w:lang w:val="es-ES"/>
              </w:rPr>
              <w:tab/>
            </w:r>
            <w:r>
              <w:rPr>
                <w:rFonts w:ascii="Arial" w:hAnsi="Arial" w:cs="Arial"/>
                <w:sz w:val="18"/>
                <w:lang w:val="es-ES"/>
              </w:rPr>
              <w:t>Comisión de administración recursos BMZ</w:t>
            </w:r>
          </w:p>
        </w:tc>
        <w:tc>
          <w:tcPr>
            <w:tcW w:w="1260" w:type="dxa"/>
            <w:tcBorders>
              <w:top w:val="single" w:color="auto" w:sz="4" w:space="0"/>
              <w:left w:val="single" w:color="auto" w:sz="4" w:space="0"/>
              <w:bottom w:val="single" w:color="auto" w:sz="4" w:space="0"/>
              <w:right w:val="single" w:color="auto" w:sz="4" w:space="0"/>
            </w:tcBorders>
            <w:vAlign w:val="center"/>
          </w:tcPr>
          <w:p w:rsidRPr="00D77054" w:rsidR="006B791F" w:rsidP="008F4D3E" w:rsidRDefault="006B791F" w14:paraId="3284A998" w14:textId="77777777">
            <w:pPr>
              <w:keepNext/>
              <w:keepLines/>
              <w:tabs>
                <w:tab w:val="left" w:pos="4680"/>
              </w:tabs>
              <w:spacing w:line="256" w:lineRule="auto"/>
              <w:jc w:val="right"/>
              <w:rPr>
                <w:rFonts w:ascii="Arial" w:hAnsi="Arial" w:cs="Arial"/>
                <w:bCs/>
                <w:sz w:val="18"/>
                <w:szCs w:val="18"/>
                <w:lang w:val="es-ES"/>
              </w:rPr>
            </w:pPr>
            <w:r>
              <w:rPr>
                <w:rFonts w:ascii="Arial" w:hAnsi="Arial" w:cs="Arial"/>
                <w:bCs/>
                <w:sz w:val="18"/>
                <w:szCs w:val="18"/>
                <w:lang w:val="es-ES"/>
              </w:rPr>
              <w:t>-</w:t>
            </w:r>
          </w:p>
        </w:tc>
        <w:tc>
          <w:tcPr>
            <w:tcW w:w="1170" w:type="dxa"/>
            <w:tcBorders>
              <w:top w:val="single" w:color="auto" w:sz="4" w:space="0"/>
              <w:left w:val="single" w:color="auto" w:sz="4" w:space="0"/>
              <w:bottom w:val="single" w:color="auto" w:sz="4" w:space="0"/>
              <w:right w:val="single" w:color="auto" w:sz="4" w:space="0"/>
            </w:tcBorders>
            <w:vAlign w:val="center"/>
          </w:tcPr>
          <w:p w:rsidR="006B791F" w:rsidP="008F4D3E" w:rsidRDefault="006B791F" w14:paraId="266B0B01" w14:textId="77777777">
            <w:pPr>
              <w:keepNext/>
              <w:keepLines/>
              <w:tabs>
                <w:tab w:val="left" w:pos="4680"/>
              </w:tabs>
              <w:spacing w:line="256" w:lineRule="auto"/>
              <w:jc w:val="right"/>
              <w:rPr>
                <w:rFonts w:ascii="Arial" w:hAnsi="Arial" w:cs="Arial"/>
                <w:bCs/>
                <w:sz w:val="18"/>
                <w:szCs w:val="18"/>
                <w:lang w:val="es-ES"/>
              </w:rPr>
            </w:pPr>
            <w:r>
              <w:rPr>
                <w:rFonts w:ascii="Arial" w:hAnsi="Arial" w:cs="Arial"/>
                <w:bCs/>
                <w:sz w:val="18"/>
                <w:szCs w:val="18"/>
                <w:lang w:val="es-ES"/>
              </w:rPr>
              <w:t>-</w:t>
            </w:r>
          </w:p>
        </w:tc>
        <w:tc>
          <w:tcPr>
            <w:tcW w:w="1260" w:type="dxa"/>
            <w:tcBorders>
              <w:top w:val="single" w:color="auto" w:sz="4" w:space="0"/>
              <w:left w:val="single" w:color="auto" w:sz="4" w:space="0"/>
              <w:bottom w:val="single" w:color="auto" w:sz="4" w:space="0"/>
              <w:right w:val="single" w:color="auto" w:sz="4" w:space="0"/>
            </w:tcBorders>
            <w:vAlign w:val="center"/>
          </w:tcPr>
          <w:p w:rsidRPr="006C78B5" w:rsidR="006B791F" w:rsidP="008F4D3E" w:rsidRDefault="006B791F" w14:paraId="7391F695" w14:textId="77777777">
            <w:pPr>
              <w:spacing w:line="256" w:lineRule="auto"/>
              <w:jc w:val="right"/>
              <w:rPr>
                <w:rFonts w:ascii="Arial" w:hAnsi="Arial" w:cs="Arial"/>
                <w:bCs/>
                <w:sz w:val="18"/>
                <w:szCs w:val="18"/>
                <w:lang w:val="es-ES"/>
              </w:rPr>
            </w:pPr>
            <w:r>
              <w:rPr>
                <w:rFonts w:ascii="Arial" w:hAnsi="Arial" w:cs="Arial"/>
                <w:bCs/>
                <w:sz w:val="18"/>
                <w:szCs w:val="18"/>
                <w:lang w:val="es-ES"/>
              </w:rPr>
              <w:t>0,110</w:t>
            </w:r>
          </w:p>
        </w:tc>
        <w:tc>
          <w:tcPr>
            <w:tcW w:w="900" w:type="dxa"/>
            <w:tcBorders>
              <w:left w:val="single" w:color="auto" w:sz="4" w:space="0"/>
              <w:bottom w:val="single" w:color="auto" w:sz="4" w:space="0"/>
              <w:right w:val="single" w:color="auto" w:sz="4" w:space="0"/>
            </w:tcBorders>
            <w:vAlign w:val="center"/>
          </w:tcPr>
          <w:p w:rsidRPr="00253138" w:rsidR="006B791F" w:rsidP="008F4D3E" w:rsidRDefault="006B791F" w14:paraId="41ADAE6F" w14:textId="77777777">
            <w:pPr>
              <w:spacing w:line="256" w:lineRule="auto"/>
              <w:jc w:val="right"/>
              <w:rPr>
                <w:rFonts w:ascii="Arial" w:hAnsi="Arial" w:cs="Arial"/>
                <w:bCs/>
                <w:sz w:val="18"/>
                <w:szCs w:val="18"/>
                <w:lang w:val="es-ES"/>
              </w:rPr>
            </w:pPr>
            <w:r w:rsidRPr="00253138">
              <w:rPr>
                <w:rFonts w:ascii="Arial" w:hAnsi="Arial" w:cs="Arial"/>
                <w:bCs/>
                <w:sz w:val="18"/>
                <w:szCs w:val="18"/>
                <w:lang w:val="es-ES"/>
              </w:rPr>
              <w:t>0,11</w:t>
            </w:r>
            <w:r>
              <w:rPr>
                <w:rFonts w:ascii="Arial" w:hAnsi="Arial" w:cs="Arial"/>
                <w:bCs/>
                <w:sz w:val="18"/>
                <w:szCs w:val="18"/>
                <w:lang w:val="es-ES"/>
              </w:rPr>
              <w:t>0</w:t>
            </w:r>
          </w:p>
        </w:tc>
        <w:tc>
          <w:tcPr>
            <w:tcW w:w="630" w:type="dxa"/>
            <w:tcBorders>
              <w:left w:val="single" w:color="auto" w:sz="4" w:space="0"/>
              <w:bottom w:val="single" w:color="auto" w:sz="4" w:space="0"/>
              <w:right w:val="single" w:color="auto" w:sz="4" w:space="0"/>
            </w:tcBorders>
            <w:vAlign w:val="center"/>
          </w:tcPr>
          <w:p w:rsidR="006B791F" w:rsidP="008F4D3E" w:rsidRDefault="006B791F" w14:paraId="3F09BF5A" w14:textId="77777777">
            <w:pPr>
              <w:spacing w:line="256" w:lineRule="auto"/>
              <w:jc w:val="right"/>
              <w:rPr>
                <w:rFonts w:ascii="Arial" w:hAnsi="Arial" w:cs="Arial"/>
                <w:sz w:val="18"/>
                <w:szCs w:val="18"/>
                <w:lang w:val="es-ES"/>
              </w:rPr>
            </w:pPr>
          </w:p>
        </w:tc>
      </w:tr>
      <w:bookmarkEnd w:id="5"/>
      <w:tr w:rsidRPr="00D77054" w:rsidR="006B791F" w:rsidTr="008F4D3E" w14:paraId="50558029" w14:textId="77777777">
        <w:trPr>
          <w:cantSplit/>
          <w:trHeight w:val="144"/>
          <w:jc w:val="center"/>
        </w:trPr>
        <w:tc>
          <w:tcPr>
            <w:tcW w:w="395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D77054" w:rsidR="006B791F" w:rsidP="008F4D3E" w:rsidRDefault="006B791F" w14:paraId="0CB93E9C" w14:textId="77777777">
            <w:pPr>
              <w:keepNext/>
              <w:keepLines/>
              <w:tabs>
                <w:tab w:val="left" w:pos="4680"/>
              </w:tabs>
              <w:spacing w:line="256" w:lineRule="auto"/>
              <w:ind w:left="720" w:hanging="720"/>
              <w:rPr>
                <w:rFonts w:ascii="Arial" w:hAnsi="Arial" w:cs="Arial"/>
                <w:b/>
                <w:bCs/>
                <w:sz w:val="18"/>
                <w:lang w:val="es-ES"/>
              </w:rPr>
            </w:pPr>
            <w:r w:rsidRPr="00D77054">
              <w:rPr>
                <w:rFonts w:ascii="Arial" w:hAnsi="Arial" w:cs="Arial"/>
                <w:b/>
                <w:bCs/>
                <w:sz w:val="18"/>
                <w:lang w:val="es-ES"/>
              </w:rPr>
              <w:t>Total</w:t>
            </w: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D77054" w:rsidR="006B791F" w:rsidP="008F4D3E" w:rsidRDefault="006B791F" w14:paraId="39A3AA2F" w14:textId="77777777">
            <w:pPr>
              <w:keepNext/>
              <w:keepLines/>
              <w:tabs>
                <w:tab w:val="left" w:pos="4680"/>
              </w:tabs>
              <w:spacing w:line="256" w:lineRule="auto"/>
              <w:jc w:val="right"/>
              <w:rPr>
                <w:rFonts w:ascii="Arial" w:hAnsi="Arial" w:cs="Arial"/>
                <w:b/>
                <w:bCs/>
                <w:sz w:val="18"/>
                <w:lang w:val="es-ES"/>
              </w:rPr>
            </w:pPr>
            <w:r w:rsidRPr="00D77054">
              <w:rPr>
                <w:rFonts w:ascii="Arial" w:hAnsi="Arial" w:cs="Arial"/>
                <w:b/>
                <w:bCs/>
                <w:sz w:val="18"/>
                <w:lang w:val="es-ES"/>
              </w:rPr>
              <w:t>150</w:t>
            </w:r>
          </w:p>
        </w:tc>
        <w:tc>
          <w:tcPr>
            <w:tcW w:w="117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D77054" w:rsidR="006B791F" w:rsidP="008F4D3E" w:rsidRDefault="006B791F" w14:paraId="56C499CD" w14:textId="77777777">
            <w:pPr>
              <w:keepNext/>
              <w:keepLines/>
              <w:tabs>
                <w:tab w:val="left" w:pos="4680"/>
              </w:tabs>
              <w:spacing w:line="256" w:lineRule="auto"/>
              <w:jc w:val="right"/>
              <w:rPr>
                <w:rFonts w:ascii="Arial" w:hAnsi="Arial" w:cs="Arial"/>
                <w:b/>
                <w:bCs/>
                <w:sz w:val="18"/>
                <w:lang w:val="es-ES"/>
              </w:rPr>
            </w:pPr>
            <w:r w:rsidRPr="00D77054">
              <w:rPr>
                <w:rFonts w:ascii="Arial" w:hAnsi="Arial" w:cs="Arial"/>
                <w:b/>
                <w:bCs/>
                <w:sz w:val="18"/>
                <w:lang w:val="es-ES"/>
              </w:rPr>
              <w:t>9,625</w:t>
            </w:r>
          </w:p>
        </w:tc>
        <w:tc>
          <w:tcPr>
            <w:tcW w:w="126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D77054" w:rsidR="006B791F" w:rsidP="008F4D3E" w:rsidRDefault="006B791F" w14:paraId="4F4D2750" w14:textId="77777777">
            <w:pPr>
              <w:keepNext/>
              <w:keepLines/>
              <w:tabs>
                <w:tab w:val="left" w:pos="4680"/>
              </w:tabs>
              <w:spacing w:line="256" w:lineRule="auto"/>
              <w:jc w:val="right"/>
              <w:rPr>
                <w:rFonts w:ascii="Arial" w:hAnsi="Arial" w:cs="Arial"/>
                <w:b/>
                <w:bCs/>
                <w:sz w:val="18"/>
                <w:lang w:val="es-ES"/>
              </w:rPr>
            </w:pPr>
            <w:r w:rsidRPr="00D77054">
              <w:rPr>
                <w:rFonts w:ascii="Arial" w:hAnsi="Arial" w:cs="Arial"/>
                <w:b/>
                <w:bCs/>
                <w:sz w:val="18"/>
                <w:lang w:val="es-ES"/>
              </w:rPr>
              <w:t>2,</w:t>
            </w:r>
            <w:r>
              <w:rPr>
                <w:rFonts w:ascii="Arial" w:hAnsi="Arial" w:cs="Arial"/>
                <w:b/>
                <w:bCs/>
                <w:sz w:val="18"/>
                <w:lang w:val="es-ES"/>
              </w:rPr>
              <w:t>210</w:t>
            </w:r>
          </w:p>
        </w:tc>
        <w:tc>
          <w:tcPr>
            <w:tcW w:w="90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D77054" w:rsidR="006B791F" w:rsidP="008F4D3E" w:rsidRDefault="006B791F" w14:paraId="5DE9F9BC" w14:textId="77777777">
            <w:pPr>
              <w:keepNext/>
              <w:keepLines/>
              <w:tabs>
                <w:tab w:val="left" w:pos="4680"/>
              </w:tabs>
              <w:spacing w:line="256" w:lineRule="auto"/>
              <w:jc w:val="right"/>
              <w:rPr>
                <w:rFonts w:ascii="Arial" w:hAnsi="Arial" w:cs="Arial"/>
                <w:b/>
                <w:bCs/>
                <w:sz w:val="18"/>
                <w:lang w:val="es-ES"/>
              </w:rPr>
            </w:pPr>
            <w:r w:rsidRPr="00D77054">
              <w:rPr>
                <w:rFonts w:ascii="Arial" w:hAnsi="Arial" w:cs="Arial"/>
                <w:b/>
                <w:bCs/>
                <w:sz w:val="18"/>
                <w:lang w:val="es-ES"/>
              </w:rPr>
              <w:t>16</w:t>
            </w:r>
            <w:r>
              <w:rPr>
                <w:rFonts w:ascii="Arial" w:hAnsi="Arial" w:cs="Arial"/>
                <w:b/>
                <w:bCs/>
                <w:sz w:val="18"/>
                <w:lang w:val="es-ES"/>
              </w:rPr>
              <w:t>1</w:t>
            </w:r>
            <w:r w:rsidRPr="00D77054">
              <w:rPr>
                <w:rFonts w:ascii="Arial" w:hAnsi="Arial" w:cs="Arial"/>
                <w:b/>
                <w:bCs/>
                <w:sz w:val="18"/>
                <w:lang w:val="es-ES"/>
              </w:rPr>
              <w:t>,</w:t>
            </w:r>
            <w:r>
              <w:rPr>
                <w:rFonts w:ascii="Arial" w:hAnsi="Arial" w:cs="Arial"/>
                <w:b/>
                <w:bCs/>
                <w:sz w:val="18"/>
                <w:lang w:val="es-ES"/>
              </w:rPr>
              <w:t>835</w:t>
            </w:r>
          </w:p>
        </w:tc>
        <w:tc>
          <w:tcPr>
            <w:tcW w:w="63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D77054" w:rsidR="006B791F" w:rsidP="008F4D3E" w:rsidRDefault="006B791F" w14:paraId="741E7AAF" w14:textId="77777777">
            <w:pPr>
              <w:keepNext/>
              <w:keepLines/>
              <w:spacing w:line="256" w:lineRule="auto"/>
              <w:ind w:left="-36"/>
              <w:jc w:val="right"/>
              <w:rPr>
                <w:rFonts w:ascii="Arial" w:hAnsi="Arial" w:cs="Arial"/>
                <w:b/>
                <w:bCs/>
                <w:sz w:val="18"/>
                <w:lang w:val="es-ES"/>
              </w:rPr>
            </w:pPr>
          </w:p>
        </w:tc>
      </w:tr>
      <w:bookmarkEnd w:id="6"/>
    </w:tbl>
    <w:p w:rsidR="001640F7" w:rsidP="00482202" w:rsidRDefault="001640F7" w14:paraId="36EEB8CC" w14:textId="77777777">
      <w:pPr>
        <w:pStyle w:val="Paragraph"/>
      </w:pPr>
    </w:p>
    <w:p w:rsidRPr="00AC2DD3" w:rsidR="001640F7" w:rsidP="00482202" w:rsidRDefault="001640F7" w14:paraId="11D5969A" w14:textId="52EFF249">
      <w:pPr>
        <w:pStyle w:val="Paragraph"/>
      </w:pPr>
      <w:r w:rsidRPr="00AC2DD3">
        <w:t>Cuadro 2. Cronograma y tramos de desembolsos del Programa (US$ millones)</w:t>
      </w:r>
    </w:p>
    <w:tbl>
      <w:tblPr>
        <w:tblpPr w:leftFromText="180" w:rightFromText="180" w:bottomFromText="160" w:vertAnchor="text" w:horzAnchor="margin" w:tblpXSpec="center" w:tblpY="77"/>
        <w:tblW w:w="90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95"/>
        <w:gridCol w:w="1590"/>
        <w:gridCol w:w="1610"/>
        <w:gridCol w:w="1450"/>
        <w:gridCol w:w="1440"/>
      </w:tblGrid>
      <w:tr w:rsidRPr="009A2762" w:rsidR="006B791F" w:rsidTr="008F4D3E" w14:paraId="0CF21DBA" w14:textId="77777777">
        <w:trPr>
          <w:cantSplit/>
          <w:trHeight w:val="182"/>
          <w:tblHeader/>
        </w:trPr>
        <w:tc>
          <w:tcPr>
            <w:tcW w:w="2995" w:type="dxa"/>
            <w:tcBorders>
              <w:top w:val="single" w:color="auto" w:sz="4" w:space="0"/>
              <w:left w:val="single" w:color="auto" w:sz="4" w:space="0"/>
              <w:right w:val="single" w:color="auto" w:sz="4" w:space="0"/>
            </w:tcBorders>
            <w:shd w:val="clear" w:color="auto" w:fill="D9D9D9"/>
            <w:vAlign w:val="center"/>
            <w:hideMark/>
          </w:tcPr>
          <w:p w:rsidRPr="009A2762" w:rsidR="006B791F" w:rsidP="008F4D3E" w:rsidRDefault="006B791F" w14:paraId="01DA0A0E" w14:textId="77777777">
            <w:pPr>
              <w:keepNext/>
              <w:keepLines/>
              <w:tabs>
                <w:tab w:val="left" w:pos="4680"/>
              </w:tabs>
              <w:autoSpaceDE w:val="0"/>
              <w:autoSpaceDN w:val="0"/>
              <w:adjustRightInd w:val="0"/>
              <w:ind w:left="720" w:hanging="720"/>
              <w:rPr>
                <w:rFonts w:ascii="Arial" w:hAnsi="Arial" w:cs="Arial"/>
                <w:b/>
                <w:sz w:val="18"/>
                <w:szCs w:val="18"/>
                <w:lang w:val="es-ES"/>
              </w:rPr>
            </w:pPr>
            <w:bookmarkStart w:name="_Hlk31026417" w:id="7"/>
            <w:r w:rsidRPr="009A2762">
              <w:rPr>
                <w:rFonts w:ascii="Arial" w:hAnsi="Arial" w:cs="Arial"/>
                <w:b/>
                <w:sz w:val="18"/>
                <w:szCs w:val="18"/>
                <w:lang w:val="es-ES"/>
              </w:rPr>
              <w:t>Componentes</w:t>
            </w:r>
          </w:p>
        </w:tc>
        <w:tc>
          <w:tcPr>
            <w:tcW w:w="1590" w:type="dxa"/>
            <w:tcBorders>
              <w:top w:val="single" w:color="auto" w:sz="4" w:space="0"/>
              <w:left w:val="single" w:color="auto" w:sz="4" w:space="0"/>
              <w:bottom w:val="single" w:color="auto" w:sz="4" w:space="0"/>
              <w:right w:val="single" w:color="auto" w:sz="4" w:space="0"/>
            </w:tcBorders>
            <w:shd w:val="clear" w:color="auto" w:fill="D9D9D9"/>
            <w:vAlign w:val="center"/>
            <w:hideMark/>
          </w:tcPr>
          <w:p w:rsidRPr="008F4D3E" w:rsidR="006B791F" w:rsidP="008F4D3E" w:rsidRDefault="006B791F" w14:paraId="24C07921" w14:textId="77777777">
            <w:pPr>
              <w:keepNext/>
              <w:keepLines/>
              <w:tabs>
                <w:tab w:val="left" w:pos="4680"/>
              </w:tabs>
              <w:autoSpaceDE w:val="0"/>
              <w:autoSpaceDN w:val="0"/>
              <w:adjustRightInd w:val="0"/>
              <w:ind w:left="720" w:hanging="720"/>
              <w:jc w:val="center"/>
              <w:rPr>
                <w:rFonts w:ascii="Arial" w:hAnsi="Arial" w:cs="Arial"/>
                <w:b/>
                <w:sz w:val="18"/>
                <w:szCs w:val="18"/>
                <w:lang w:val="es-ES"/>
              </w:rPr>
            </w:pPr>
            <w:r w:rsidRPr="008F4D3E">
              <w:rPr>
                <w:rFonts w:ascii="Arial" w:hAnsi="Arial" w:cs="Arial"/>
                <w:b/>
                <w:sz w:val="18"/>
                <w:szCs w:val="18"/>
                <w:lang w:val="es-ES"/>
              </w:rPr>
              <w:t>Año 1</w:t>
            </w:r>
          </w:p>
        </w:tc>
        <w:tc>
          <w:tcPr>
            <w:tcW w:w="1610" w:type="dxa"/>
            <w:tcBorders>
              <w:top w:val="single" w:color="auto" w:sz="4" w:space="0"/>
              <w:left w:val="single" w:color="auto" w:sz="4" w:space="0"/>
              <w:bottom w:val="single" w:color="auto" w:sz="4" w:space="0"/>
              <w:right w:val="single" w:color="auto" w:sz="4" w:space="0"/>
            </w:tcBorders>
            <w:shd w:val="clear" w:color="auto" w:fill="D9D9D9"/>
            <w:vAlign w:val="center"/>
          </w:tcPr>
          <w:p w:rsidRPr="008F4D3E" w:rsidR="006B791F" w:rsidP="008F4D3E" w:rsidRDefault="006B791F" w14:paraId="06F3A9C1" w14:textId="77777777">
            <w:pPr>
              <w:keepNext/>
              <w:keepLines/>
              <w:tabs>
                <w:tab w:val="left" w:pos="4680"/>
              </w:tabs>
              <w:autoSpaceDE w:val="0"/>
              <w:autoSpaceDN w:val="0"/>
              <w:adjustRightInd w:val="0"/>
              <w:ind w:left="720" w:hanging="720"/>
              <w:jc w:val="center"/>
              <w:rPr>
                <w:rFonts w:ascii="Arial" w:hAnsi="Arial" w:cs="Arial"/>
                <w:b/>
                <w:sz w:val="18"/>
                <w:szCs w:val="18"/>
                <w:lang w:val="es-ES"/>
              </w:rPr>
            </w:pPr>
            <w:r w:rsidRPr="008F4D3E">
              <w:rPr>
                <w:rFonts w:ascii="Arial" w:hAnsi="Arial" w:cs="Arial"/>
                <w:b/>
                <w:sz w:val="18"/>
                <w:szCs w:val="18"/>
                <w:lang w:val="es-ES"/>
              </w:rPr>
              <w:t>Año 2</w:t>
            </w:r>
          </w:p>
        </w:tc>
        <w:tc>
          <w:tcPr>
            <w:tcW w:w="1450" w:type="dxa"/>
            <w:tcBorders>
              <w:top w:val="single" w:color="auto" w:sz="4" w:space="0"/>
              <w:left w:val="single" w:color="auto" w:sz="4" w:space="0"/>
              <w:bottom w:val="single" w:color="auto" w:sz="4" w:space="0"/>
              <w:right w:val="single" w:color="auto" w:sz="4" w:space="0"/>
            </w:tcBorders>
            <w:shd w:val="clear" w:color="auto" w:fill="D9D9D9"/>
            <w:vAlign w:val="center"/>
          </w:tcPr>
          <w:p w:rsidRPr="007116E8" w:rsidR="006B791F" w:rsidP="008F4D3E" w:rsidRDefault="006B791F" w14:paraId="4CC41586" w14:textId="77777777">
            <w:pPr>
              <w:keepNext/>
              <w:keepLines/>
              <w:tabs>
                <w:tab w:val="left" w:pos="4680"/>
              </w:tabs>
              <w:autoSpaceDE w:val="0"/>
              <w:autoSpaceDN w:val="0"/>
              <w:adjustRightInd w:val="0"/>
              <w:ind w:left="720" w:hanging="720"/>
              <w:jc w:val="center"/>
              <w:rPr>
                <w:rFonts w:ascii="Arial" w:hAnsi="Arial" w:cs="Arial"/>
                <w:b/>
                <w:sz w:val="18"/>
                <w:szCs w:val="18"/>
                <w:lang w:val="es-ES"/>
              </w:rPr>
            </w:pPr>
            <w:r w:rsidRPr="008F4D3E">
              <w:rPr>
                <w:rFonts w:ascii="Arial" w:hAnsi="Arial" w:cs="Arial"/>
                <w:b/>
                <w:sz w:val="18"/>
                <w:szCs w:val="18"/>
                <w:lang w:val="es-ES"/>
              </w:rPr>
              <w:t>Año 3</w:t>
            </w:r>
          </w:p>
        </w:tc>
        <w:tc>
          <w:tcPr>
            <w:tcW w:w="1440" w:type="dxa"/>
            <w:tcBorders>
              <w:top w:val="single" w:color="auto" w:sz="4" w:space="0"/>
              <w:left w:val="single" w:color="auto" w:sz="4" w:space="0"/>
              <w:bottom w:val="single" w:color="auto" w:sz="4" w:space="0"/>
              <w:right w:val="single" w:color="auto" w:sz="4" w:space="0"/>
            </w:tcBorders>
            <w:shd w:val="clear" w:color="auto" w:fill="D9D9D9"/>
            <w:hideMark/>
          </w:tcPr>
          <w:p w:rsidRPr="007116E8" w:rsidR="006B791F" w:rsidP="008F4D3E" w:rsidRDefault="006B791F" w14:paraId="197A894D" w14:textId="77777777">
            <w:pPr>
              <w:keepNext/>
              <w:keepLines/>
              <w:tabs>
                <w:tab w:val="left" w:pos="4680"/>
              </w:tabs>
              <w:autoSpaceDE w:val="0"/>
              <w:autoSpaceDN w:val="0"/>
              <w:adjustRightInd w:val="0"/>
              <w:ind w:left="720" w:hanging="720"/>
              <w:jc w:val="center"/>
              <w:rPr>
                <w:rFonts w:ascii="Arial" w:hAnsi="Arial" w:cs="Arial"/>
                <w:b/>
                <w:sz w:val="18"/>
                <w:szCs w:val="18"/>
                <w:lang w:val="es-ES"/>
              </w:rPr>
            </w:pPr>
            <w:r w:rsidRPr="007116E8">
              <w:rPr>
                <w:rFonts w:ascii="Arial" w:hAnsi="Arial" w:cs="Arial"/>
                <w:b/>
                <w:sz w:val="18"/>
                <w:szCs w:val="18"/>
                <w:lang w:val="es-ES"/>
              </w:rPr>
              <w:t>Total</w:t>
            </w:r>
          </w:p>
        </w:tc>
      </w:tr>
      <w:tr w:rsidRPr="009A2762" w:rsidR="006B791F" w:rsidTr="008F4D3E" w14:paraId="7CB2EDB2" w14:textId="77777777">
        <w:trPr>
          <w:cantSplit/>
          <w:trHeight w:val="128"/>
        </w:trPr>
        <w:tc>
          <w:tcPr>
            <w:tcW w:w="2995" w:type="dxa"/>
            <w:tcBorders>
              <w:top w:val="single" w:color="auto" w:sz="4" w:space="0"/>
              <w:left w:val="single" w:color="auto" w:sz="4" w:space="0"/>
              <w:bottom w:val="single" w:color="auto" w:sz="4" w:space="0"/>
              <w:right w:val="single" w:color="auto" w:sz="4" w:space="0"/>
            </w:tcBorders>
            <w:vAlign w:val="center"/>
            <w:hideMark/>
          </w:tcPr>
          <w:p w:rsidRPr="009A2762" w:rsidR="006B791F" w:rsidP="008F4D3E" w:rsidRDefault="006B791F" w14:paraId="3F6B1860" w14:textId="77777777">
            <w:pPr>
              <w:keepNext/>
              <w:keepLines/>
              <w:tabs>
                <w:tab w:val="left" w:pos="4680"/>
              </w:tabs>
              <w:spacing w:line="256" w:lineRule="auto"/>
              <w:ind w:hanging="11"/>
              <w:rPr>
                <w:rFonts w:ascii="Arial" w:hAnsi="Arial" w:cs="Arial"/>
                <w:sz w:val="18"/>
                <w:szCs w:val="18"/>
                <w:lang w:val="es-ES"/>
              </w:rPr>
            </w:pPr>
            <w:r>
              <w:rPr>
                <w:rFonts w:ascii="Arial" w:hAnsi="Arial" w:cs="Arial"/>
                <w:b/>
                <w:bCs/>
                <w:sz w:val="18"/>
                <w:szCs w:val="18"/>
                <w:lang w:val="es-ES"/>
              </w:rPr>
              <w:t>1</w:t>
            </w:r>
            <w:r w:rsidRPr="009A2762">
              <w:rPr>
                <w:rFonts w:ascii="Arial" w:hAnsi="Arial" w:cs="Arial"/>
                <w:b/>
                <w:bCs/>
                <w:sz w:val="18"/>
                <w:szCs w:val="18"/>
                <w:lang w:val="es-ES"/>
              </w:rPr>
              <w:t>.</w:t>
            </w:r>
            <w:r w:rsidRPr="009A2762">
              <w:rPr>
                <w:rFonts w:ascii="Arial" w:hAnsi="Arial" w:cs="Arial"/>
                <w:sz w:val="18"/>
                <w:szCs w:val="18"/>
                <w:lang w:val="es-ES"/>
              </w:rPr>
              <w:t xml:space="preserve"> </w:t>
            </w:r>
            <w:r w:rsidRPr="00CB330E">
              <w:rPr>
                <w:rFonts w:ascii="Arial" w:hAnsi="Arial" w:cs="Arial"/>
                <w:spacing w:val="-2"/>
                <w:sz w:val="18"/>
                <w:szCs w:val="18"/>
                <w:lang w:val="es-ES"/>
              </w:rPr>
              <w:t>Mejoras en la gestión del gasto de servicios y tecnologías no financiados con la UPC</w:t>
            </w:r>
          </w:p>
        </w:tc>
        <w:tc>
          <w:tcPr>
            <w:tcW w:w="159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9A2762" w:rsidR="006B791F" w:rsidP="008F4D3E" w:rsidRDefault="006B791F" w14:paraId="0A92F05F" w14:textId="77777777">
            <w:pPr>
              <w:keepNext/>
              <w:keepLines/>
              <w:tabs>
                <w:tab w:val="left" w:pos="4680"/>
              </w:tabs>
              <w:spacing w:line="256" w:lineRule="auto"/>
              <w:jc w:val="center"/>
              <w:rPr>
                <w:rFonts w:ascii="Arial" w:hAnsi="Arial" w:cs="Arial"/>
                <w:bCs/>
                <w:sz w:val="18"/>
                <w:szCs w:val="18"/>
                <w:lang w:val="es-ES"/>
              </w:rPr>
            </w:pPr>
            <w:r w:rsidRPr="009A2762">
              <w:rPr>
                <w:rFonts w:ascii="Arial" w:hAnsi="Arial" w:cs="Arial"/>
                <w:bCs/>
                <w:sz w:val="18"/>
                <w:szCs w:val="18"/>
                <w:lang w:val="es-ES"/>
              </w:rPr>
              <w:t>17,5</w:t>
            </w:r>
          </w:p>
        </w:tc>
        <w:tc>
          <w:tcPr>
            <w:tcW w:w="16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9A2762" w:rsidR="006B791F" w:rsidP="008F4D3E" w:rsidRDefault="006B791F" w14:paraId="421C29A7" w14:textId="77777777">
            <w:pPr>
              <w:keepNext/>
              <w:keepLines/>
              <w:tabs>
                <w:tab w:val="left" w:pos="4680"/>
              </w:tabs>
              <w:spacing w:line="256" w:lineRule="auto"/>
              <w:jc w:val="center"/>
              <w:rPr>
                <w:rFonts w:ascii="Arial" w:hAnsi="Arial" w:cs="Arial"/>
                <w:bCs/>
                <w:sz w:val="18"/>
                <w:szCs w:val="18"/>
                <w:lang w:val="es-ES"/>
              </w:rPr>
            </w:pPr>
            <w:r w:rsidRPr="009A2762">
              <w:rPr>
                <w:rFonts w:ascii="Arial" w:hAnsi="Arial" w:cs="Arial"/>
                <w:bCs/>
                <w:sz w:val="18"/>
                <w:szCs w:val="18"/>
                <w:lang w:val="es-ES"/>
              </w:rPr>
              <w:t>17,5</w:t>
            </w:r>
          </w:p>
        </w:tc>
        <w:tc>
          <w:tcPr>
            <w:tcW w:w="1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9A2762" w:rsidR="006B791F" w:rsidP="008F4D3E" w:rsidRDefault="006B791F" w14:paraId="4D76CDE6" w14:textId="77777777">
            <w:pPr>
              <w:keepNext/>
              <w:keepLines/>
              <w:tabs>
                <w:tab w:val="left" w:pos="4680"/>
              </w:tabs>
              <w:spacing w:line="256" w:lineRule="auto"/>
              <w:jc w:val="center"/>
              <w:rPr>
                <w:rFonts w:ascii="Arial" w:hAnsi="Arial" w:cs="Arial"/>
                <w:bCs/>
                <w:sz w:val="18"/>
                <w:szCs w:val="18"/>
                <w:lang w:val="es-ES"/>
              </w:rPr>
            </w:pPr>
            <w:r w:rsidRPr="009A2762">
              <w:rPr>
                <w:rFonts w:ascii="Arial" w:hAnsi="Arial" w:cs="Arial"/>
                <w:bCs/>
                <w:sz w:val="18"/>
                <w:szCs w:val="18"/>
                <w:lang w:val="es-ES"/>
              </w:rPr>
              <w:t>40</w:t>
            </w:r>
          </w:p>
        </w:tc>
        <w:tc>
          <w:tcPr>
            <w:tcW w:w="144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9A2762" w:rsidR="006B791F" w:rsidP="008F4D3E" w:rsidRDefault="006B791F" w14:paraId="61C5CF6A" w14:textId="77777777">
            <w:pPr>
              <w:keepNext/>
              <w:keepLines/>
              <w:tabs>
                <w:tab w:val="left" w:pos="4680"/>
              </w:tabs>
              <w:spacing w:line="256" w:lineRule="auto"/>
              <w:jc w:val="center"/>
              <w:rPr>
                <w:rFonts w:ascii="Arial" w:hAnsi="Arial" w:cs="Arial"/>
                <w:bCs/>
                <w:sz w:val="18"/>
                <w:szCs w:val="18"/>
                <w:lang w:val="es-ES"/>
              </w:rPr>
            </w:pPr>
            <w:r w:rsidRPr="009A2762">
              <w:rPr>
                <w:rFonts w:ascii="Arial" w:hAnsi="Arial" w:cs="Arial"/>
                <w:bCs/>
                <w:sz w:val="18"/>
                <w:szCs w:val="18"/>
                <w:lang w:val="es-ES"/>
              </w:rPr>
              <w:t>75</w:t>
            </w:r>
          </w:p>
        </w:tc>
      </w:tr>
      <w:tr w:rsidRPr="009A2762" w:rsidR="006B791F" w:rsidTr="008F4D3E" w14:paraId="708584BD" w14:textId="77777777">
        <w:trPr>
          <w:cantSplit/>
          <w:trHeight w:val="144"/>
        </w:trPr>
        <w:tc>
          <w:tcPr>
            <w:tcW w:w="2995" w:type="dxa"/>
            <w:tcBorders>
              <w:top w:val="single" w:color="auto" w:sz="4" w:space="0"/>
              <w:left w:val="single" w:color="auto" w:sz="4" w:space="0"/>
              <w:bottom w:val="single" w:color="auto" w:sz="4" w:space="0"/>
              <w:right w:val="single" w:color="auto" w:sz="4" w:space="0"/>
            </w:tcBorders>
            <w:vAlign w:val="center"/>
            <w:hideMark/>
          </w:tcPr>
          <w:p w:rsidRPr="009A2762" w:rsidR="006B791F" w:rsidP="008F4D3E" w:rsidRDefault="006B791F" w14:paraId="7755BDD9" w14:textId="77777777">
            <w:pPr>
              <w:keepNext/>
              <w:keepLines/>
              <w:tabs>
                <w:tab w:val="left" w:pos="4680"/>
              </w:tabs>
              <w:spacing w:line="256" w:lineRule="auto"/>
              <w:ind w:hanging="11"/>
              <w:rPr>
                <w:rFonts w:ascii="Arial" w:hAnsi="Arial" w:cs="Arial"/>
                <w:sz w:val="18"/>
                <w:szCs w:val="18"/>
                <w:lang w:val="es-ES"/>
              </w:rPr>
            </w:pPr>
            <w:r>
              <w:rPr>
                <w:rFonts w:ascii="Arial" w:hAnsi="Arial" w:cs="Arial"/>
                <w:b/>
                <w:bCs/>
                <w:sz w:val="18"/>
                <w:szCs w:val="18"/>
                <w:lang w:val="es-ES"/>
              </w:rPr>
              <w:t>2</w:t>
            </w:r>
            <w:r w:rsidRPr="009A2762">
              <w:rPr>
                <w:rFonts w:ascii="Arial" w:hAnsi="Arial" w:cs="Arial"/>
                <w:b/>
                <w:bCs/>
                <w:sz w:val="18"/>
                <w:szCs w:val="18"/>
                <w:lang w:val="es-ES"/>
              </w:rPr>
              <w:t>.</w:t>
            </w:r>
            <w:r w:rsidRPr="009A2762">
              <w:rPr>
                <w:rFonts w:ascii="Arial" w:hAnsi="Arial" w:cs="Arial"/>
                <w:sz w:val="18"/>
                <w:szCs w:val="18"/>
                <w:lang w:val="es-ES"/>
              </w:rPr>
              <w:t xml:space="preserve"> MAITE</w:t>
            </w:r>
          </w:p>
        </w:tc>
        <w:tc>
          <w:tcPr>
            <w:tcW w:w="159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9A2762" w:rsidR="006B791F" w:rsidP="008F4D3E" w:rsidRDefault="006B791F" w14:paraId="2F611529" w14:textId="77777777">
            <w:pPr>
              <w:keepNext/>
              <w:keepLines/>
              <w:tabs>
                <w:tab w:val="left" w:pos="4680"/>
              </w:tabs>
              <w:spacing w:line="256" w:lineRule="auto"/>
              <w:jc w:val="center"/>
              <w:rPr>
                <w:rFonts w:ascii="Arial" w:hAnsi="Arial" w:cs="Arial"/>
                <w:bCs/>
                <w:sz w:val="18"/>
                <w:szCs w:val="18"/>
                <w:lang w:val="es-ES"/>
              </w:rPr>
            </w:pPr>
            <w:r w:rsidRPr="009A2762">
              <w:rPr>
                <w:rFonts w:ascii="Arial" w:hAnsi="Arial" w:cs="Arial"/>
                <w:bCs/>
                <w:sz w:val="18"/>
                <w:szCs w:val="18"/>
                <w:lang w:val="es-ES"/>
              </w:rPr>
              <w:t>7,5</w:t>
            </w:r>
          </w:p>
        </w:tc>
        <w:tc>
          <w:tcPr>
            <w:tcW w:w="16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9A2762" w:rsidR="006B791F" w:rsidP="008F4D3E" w:rsidRDefault="006B791F" w14:paraId="3A758BF4" w14:textId="77777777">
            <w:pPr>
              <w:keepNext/>
              <w:keepLines/>
              <w:tabs>
                <w:tab w:val="left" w:pos="4680"/>
              </w:tabs>
              <w:spacing w:line="256" w:lineRule="auto"/>
              <w:jc w:val="center"/>
              <w:rPr>
                <w:rFonts w:ascii="Arial" w:hAnsi="Arial" w:cs="Arial"/>
                <w:bCs/>
                <w:sz w:val="18"/>
                <w:szCs w:val="18"/>
                <w:lang w:val="es-ES"/>
              </w:rPr>
            </w:pPr>
            <w:r w:rsidRPr="009A2762">
              <w:rPr>
                <w:rFonts w:ascii="Arial" w:hAnsi="Arial" w:cs="Arial"/>
                <w:bCs/>
                <w:sz w:val="18"/>
                <w:szCs w:val="18"/>
                <w:lang w:val="es-ES"/>
              </w:rPr>
              <w:t>7,5</w:t>
            </w:r>
          </w:p>
        </w:tc>
        <w:tc>
          <w:tcPr>
            <w:tcW w:w="1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9A2762" w:rsidR="006B791F" w:rsidP="008F4D3E" w:rsidRDefault="006B791F" w14:paraId="4A86E31C" w14:textId="77777777">
            <w:pPr>
              <w:keepNext/>
              <w:keepLines/>
              <w:tabs>
                <w:tab w:val="left" w:pos="4680"/>
              </w:tabs>
              <w:spacing w:line="256" w:lineRule="auto"/>
              <w:jc w:val="center"/>
              <w:rPr>
                <w:rFonts w:ascii="Arial" w:hAnsi="Arial" w:cs="Arial"/>
                <w:bCs/>
                <w:sz w:val="18"/>
                <w:szCs w:val="18"/>
                <w:lang w:val="es-ES"/>
              </w:rPr>
            </w:pPr>
            <w:r w:rsidRPr="009A2762">
              <w:rPr>
                <w:rFonts w:ascii="Arial" w:hAnsi="Arial" w:cs="Arial"/>
                <w:bCs/>
                <w:sz w:val="18"/>
                <w:szCs w:val="18"/>
                <w:lang w:val="es-ES"/>
              </w:rPr>
              <w:t>10</w:t>
            </w:r>
          </w:p>
        </w:tc>
        <w:tc>
          <w:tcPr>
            <w:tcW w:w="144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9A2762" w:rsidR="006B791F" w:rsidP="008F4D3E" w:rsidRDefault="006B791F" w14:paraId="33C39059" w14:textId="77777777">
            <w:pPr>
              <w:keepNext/>
              <w:keepLines/>
              <w:tabs>
                <w:tab w:val="left" w:pos="4680"/>
              </w:tabs>
              <w:spacing w:line="256" w:lineRule="auto"/>
              <w:jc w:val="center"/>
              <w:rPr>
                <w:rFonts w:ascii="Arial" w:hAnsi="Arial" w:cs="Arial"/>
                <w:bCs/>
                <w:sz w:val="18"/>
                <w:szCs w:val="18"/>
                <w:lang w:val="es-ES"/>
              </w:rPr>
            </w:pPr>
            <w:r w:rsidRPr="009A2762">
              <w:rPr>
                <w:rFonts w:ascii="Arial" w:hAnsi="Arial" w:cs="Arial"/>
                <w:bCs/>
                <w:sz w:val="18"/>
                <w:szCs w:val="18"/>
                <w:lang w:val="es-ES"/>
              </w:rPr>
              <w:t>25</w:t>
            </w:r>
          </w:p>
        </w:tc>
      </w:tr>
      <w:tr w:rsidRPr="009A2762" w:rsidR="006B791F" w:rsidTr="008F4D3E" w14:paraId="25E165B5" w14:textId="77777777">
        <w:trPr>
          <w:cantSplit/>
          <w:trHeight w:val="144"/>
        </w:trPr>
        <w:tc>
          <w:tcPr>
            <w:tcW w:w="2995" w:type="dxa"/>
            <w:tcBorders>
              <w:top w:val="single" w:color="auto" w:sz="4" w:space="0"/>
              <w:left w:val="single" w:color="auto" w:sz="4" w:space="0"/>
              <w:bottom w:val="single" w:color="auto" w:sz="4" w:space="0"/>
              <w:right w:val="single" w:color="auto" w:sz="4" w:space="0"/>
            </w:tcBorders>
            <w:vAlign w:val="center"/>
            <w:hideMark/>
          </w:tcPr>
          <w:p w:rsidRPr="009A2762" w:rsidR="006B791F" w:rsidP="008F4D3E" w:rsidRDefault="006B791F" w14:paraId="4D4241C4" w14:textId="77777777">
            <w:pPr>
              <w:keepNext/>
              <w:keepLines/>
              <w:tabs>
                <w:tab w:val="left" w:pos="4680"/>
              </w:tabs>
              <w:spacing w:line="256" w:lineRule="auto"/>
              <w:ind w:hanging="11"/>
              <w:rPr>
                <w:rFonts w:ascii="Arial" w:hAnsi="Arial" w:cs="Arial"/>
                <w:sz w:val="18"/>
                <w:szCs w:val="18"/>
                <w:lang w:val="es-ES"/>
              </w:rPr>
            </w:pPr>
            <w:r>
              <w:rPr>
                <w:rFonts w:ascii="Arial" w:hAnsi="Arial" w:cs="Arial"/>
                <w:b/>
                <w:bCs/>
                <w:sz w:val="18"/>
                <w:szCs w:val="18"/>
                <w:lang w:val="es-ES"/>
              </w:rPr>
              <w:t>3 (i).</w:t>
            </w:r>
            <w:r w:rsidRPr="009A2762">
              <w:rPr>
                <w:rFonts w:ascii="Arial" w:hAnsi="Arial" w:cs="Arial"/>
                <w:sz w:val="18"/>
                <w:szCs w:val="18"/>
                <w:lang w:val="es-ES"/>
              </w:rPr>
              <w:t xml:space="preserve"> Cobertura de aseguramiento para población inmigrante</w:t>
            </w:r>
          </w:p>
        </w:tc>
        <w:tc>
          <w:tcPr>
            <w:tcW w:w="159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9A2762" w:rsidR="006B791F" w:rsidP="008F4D3E" w:rsidRDefault="006B791F" w14:paraId="01E1E6D5" w14:textId="77777777">
            <w:pPr>
              <w:keepNext/>
              <w:keepLines/>
              <w:tabs>
                <w:tab w:val="left" w:pos="4680"/>
              </w:tabs>
              <w:spacing w:line="256" w:lineRule="auto"/>
              <w:jc w:val="center"/>
              <w:rPr>
                <w:rFonts w:ascii="Arial" w:hAnsi="Arial" w:cs="Arial"/>
                <w:bCs/>
                <w:sz w:val="18"/>
                <w:szCs w:val="18"/>
                <w:lang w:val="es-ES"/>
              </w:rPr>
            </w:pPr>
            <w:r w:rsidRPr="009A2762">
              <w:rPr>
                <w:rFonts w:ascii="Arial" w:hAnsi="Arial" w:cs="Arial"/>
                <w:bCs/>
                <w:sz w:val="18"/>
                <w:szCs w:val="18"/>
                <w:lang w:val="es-ES"/>
              </w:rPr>
              <w:t>25</w:t>
            </w:r>
          </w:p>
        </w:tc>
        <w:tc>
          <w:tcPr>
            <w:tcW w:w="16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9A2762" w:rsidR="006B791F" w:rsidP="008F4D3E" w:rsidRDefault="006B791F" w14:paraId="526118B3" w14:textId="77777777">
            <w:pPr>
              <w:keepNext/>
              <w:keepLines/>
              <w:tabs>
                <w:tab w:val="left" w:pos="4680"/>
              </w:tabs>
              <w:spacing w:line="256" w:lineRule="auto"/>
              <w:jc w:val="center"/>
              <w:rPr>
                <w:rFonts w:ascii="Arial" w:hAnsi="Arial" w:cs="Arial"/>
                <w:bCs/>
                <w:sz w:val="18"/>
                <w:szCs w:val="18"/>
                <w:lang w:val="es-ES"/>
              </w:rPr>
            </w:pPr>
            <w:r w:rsidRPr="009A2762">
              <w:rPr>
                <w:rFonts w:ascii="Arial" w:hAnsi="Arial" w:cs="Arial"/>
                <w:bCs/>
                <w:sz w:val="18"/>
                <w:szCs w:val="18"/>
                <w:lang w:val="es-ES"/>
              </w:rPr>
              <w:t>25</w:t>
            </w:r>
          </w:p>
        </w:tc>
        <w:tc>
          <w:tcPr>
            <w:tcW w:w="1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9A2762" w:rsidR="006B791F" w:rsidP="008F4D3E" w:rsidRDefault="006B791F" w14:paraId="71FD6205" w14:textId="77777777">
            <w:pPr>
              <w:keepNext/>
              <w:keepLines/>
              <w:tabs>
                <w:tab w:val="left" w:pos="4680"/>
              </w:tabs>
              <w:spacing w:line="256" w:lineRule="auto"/>
              <w:jc w:val="center"/>
              <w:rPr>
                <w:rFonts w:ascii="Arial" w:hAnsi="Arial" w:cs="Arial"/>
                <w:bCs/>
                <w:sz w:val="18"/>
                <w:szCs w:val="18"/>
                <w:lang w:val="es-ES"/>
              </w:rPr>
            </w:pPr>
            <w:r w:rsidRPr="009A2762">
              <w:rPr>
                <w:rFonts w:ascii="Arial" w:hAnsi="Arial" w:cs="Arial"/>
                <w:bCs/>
                <w:sz w:val="18"/>
                <w:szCs w:val="18"/>
                <w:lang w:val="es-ES"/>
              </w:rPr>
              <w:t>-</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9A2762" w:rsidR="006B791F" w:rsidP="008F4D3E" w:rsidRDefault="006B791F" w14:paraId="20A6463D" w14:textId="77777777">
            <w:pPr>
              <w:keepNext/>
              <w:keepLines/>
              <w:tabs>
                <w:tab w:val="left" w:pos="4680"/>
              </w:tabs>
              <w:spacing w:line="256" w:lineRule="auto"/>
              <w:jc w:val="center"/>
              <w:rPr>
                <w:rFonts w:ascii="Arial" w:hAnsi="Arial" w:cs="Arial"/>
                <w:bCs/>
                <w:sz w:val="18"/>
                <w:szCs w:val="18"/>
                <w:lang w:val="es-ES"/>
              </w:rPr>
            </w:pPr>
            <w:r w:rsidRPr="009A2762">
              <w:rPr>
                <w:rFonts w:ascii="Arial" w:hAnsi="Arial" w:cs="Arial"/>
                <w:bCs/>
                <w:sz w:val="18"/>
                <w:szCs w:val="18"/>
                <w:lang w:val="es-ES"/>
              </w:rPr>
              <w:t>6</w:t>
            </w:r>
            <w:r>
              <w:rPr>
                <w:rFonts w:ascii="Arial" w:hAnsi="Arial" w:cs="Arial"/>
                <w:bCs/>
                <w:sz w:val="18"/>
                <w:szCs w:val="18"/>
                <w:lang w:val="es-ES"/>
              </w:rPr>
              <w:t>1</w:t>
            </w:r>
            <w:r w:rsidRPr="009A2762">
              <w:rPr>
                <w:rFonts w:ascii="Arial" w:hAnsi="Arial" w:cs="Arial"/>
                <w:bCs/>
                <w:sz w:val="18"/>
                <w:szCs w:val="18"/>
                <w:lang w:val="es-ES"/>
              </w:rPr>
              <w:t>,</w:t>
            </w:r>
            <w:r>
              <w:rPr>
                <w:rFonts w:ascii="Arial" w:hAnsi="Arial" w:cs="Arial"/>
                <w:bCs/>
                <w:sz w:val="18"/>
                <w:szCs w:val="18"/>
                <w:lang w:val="es-ES"/>
              </w:rPr>
              <w:t>725</w:t>
            </w:r>
          </w:p>
        </w:tc>
      </w:tr>
      <w:tr w:rsidRPr="009A2762" w:rsidR="006B791F" w:rsidTr="008F4D3E" w14:paraId="3FC78746" w14:textId="77777777">
        <w:trPr>
          <w:cantSplit/>
          <w:trHeight w:val="144"/>
        </w:trPr>
        <w:tc>
          <w:tcPr>
            <w:tcW w:w="2995" w:type="dxa"/>
            <w:tcBorders>
              <w:top w:val="single" w:color="auto" w:sz="4" w:space="0"/>
              <w:left w:val="single" w:color="auto" w:sz="4" w:space="0"/>
              <w:bottom w:val="single" w:color="auto" w:sz="4" w:space="0"/>
              <w:right w:val="single" w:color="auto" w:sz="4" w:space="0"/>
            </w:tcBorders>
            <w:vAlign w:val="center"/>
            <w:hideMark/>
          </w:tcPr>
          <w:p w:rsidRPr="009A2762" w:rsidR="006B791F" w:rsidP="008F4D3E" w:rsidRDefault="006B791F" w14:paraId="53079889" w14:textId="77777777">
            <w:pPr>
              <w:keepNext/>
              <w:keepLines/>
              <w:tabs>
                <w:tab w:val="left" w:pos="4680"/>
              </w:tabs>
              <w:spacing w:line="256" w:lineRule="auto"/>
              <w:ind w:hanging="11"/>
              <w:rPr>
                <w:rFonts w:ascii="Arial" w:hAnsi="Arial" w:cs="Arial"/>
                <w:b/>
                <w:bCs/>
                <w:sz w:val="18"/>
                <w:szCs w:val="18"/>
                <w:lang w:val="es-ES"/>
              </w:rPr>
            </w:pPr>
            <w:r>
              <w:rPr>
                <w:rFonts w:ascii="Arial" w:hAnsi="Arial" w:cs="Arial"/>
                <w:b/>
                <w:bCs/>
                <w:sz w:val="18"/>
                <w:szCs w:val="18"/>
                <w:lang w:val="es-ES"/>
              </w:rPr>
              <w:t>3</w:t>
            </w:r>
            <w:r w:rsidRPr="009A2762">
              <w:rPr>
                <w:rFonts w:ascii="Arial" w:hAnsi="Arial" w:cs="Arial"/>
                <w:sz w:val="18"/>
                <w:szCs w:val="18"/>
                <w:lang w:val="es-ES"/>
              </w:rPr>
              <w:t xml:space="preserve"> </w:t>
            </w:r>
            <w:r w:rsidRPr="00B50473">
              <w:rPr>
                <w:rFonts w:ascii="Arial" w:hAnsi="Arial" w:cs="Arial"/>
                <w:b/>
                <w:bCs/>
                <w:sz w:val="18"/>
                <w:szCs w:val="18"/>
                <w:lang w:val="es-ES"/>
              </w:rPr>
              <w:t>(</w:t>
            </w:r>
            <w:proofErr w:type="spellStart"/>
            <w:r w:rsidRPr="00B50473">
              <w:rPr>
                <w:rFonts w:ascii="Arial" w:hAnsi="Arial" w:cs="Arial"/>
                <w:b/>
                <w:bCs/>
                <w:sz w:val="18"/>
                <w:szCs w:val="18"/>
                <w:lang w:val="es-ES"/>
              </w:rPr>
              <w:t>ii</w:t>
            </w:r>
            <w:proofErr w:type="spellEnd"/>
            <w:r w:rsidRPr="00B50473">
              <w:rPr>
                <w:rFonts w:ascii="Arial" w:hAnsi="Arial" w:cs="Arial"/>
                <w:b/>
                <w:bCs/>
                <w:sz w:val="18"/>
                <w:szCs w:val="18"/>
                <w:lang w:val="es-ES"/>
              </w:rPr>
              <w:t>)</w:t>
            </w:r>
            <w:r w:rsidRPr="00CB330E">
              <w:rPr>
                <w:rFonts w:ascii="Arial" w:hAnsi="Arial" w:cs="Arial"/>
                <w:b/>
                <w:bCs/>
                <w:sz w:val="18"/>
                <w:szCs w:val="18"/>
                <w:lang w:val="es-ES"/>
              </w:rPr>
              <w:t>.</w:t>
            </w:r>
            <w:r>
              <w:rPr>
                <w:rFonts w:ascii="Arial" w:hAnsi="Arial" w:cs="Arial"/>
                <w:sz w:val="18"/>
                <w:szCs w:val="18"/>
                <w:lang w:val="es-ES"/>
              </w:rPr>
              <w:t xml:space="preserve"> </w:t>
            </w:r>
            <w:r w:rsidRPr="009A2762">
              <w:rPr>
                <w:rFonts w:ascii="Arial" w:hAnsi="Arial" w:cs="Arial"/>
                <w:sz w:val="18"/>
                <w:szCs w:val="18"/>
                <w:lang w:val="es-ES"/>
              </w:rPr>
              <w:t>Cobertura de servicios para población inmigrante</w:t>
            </w:r>
          </w:p>
        </w:tc>
        <w:tc>
          <w:tcPr>
            <w:tcW w:w="159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9A2762" w:rsidR="006B791F" w:rsidP="008F4D3E" w:rsidRDefault="006B791F" w14:paraId="65739A0E" w14:textId="77777777">
            <w:pPr>
              <w:keepNext/>
              <w:keepLines/>
              <w:tabs>
                <w:tab w:val="left" w:pos="4680"/>
              </w:tabs>
              <w:spacing w:line="256" w:lineRule="auto"/>
              <w:jc w:val="center"/>
              <w:rPr>
                <w:rFonts w:ascii="Arial" w:hAnsi="Arial" w:cs="Arial"/>
                <w:bCs/>
                <w:sz w:val="18"/>
                <w:szCs w:val="18"/>
                <w:lang w:val="es-ES"/>
              </w:rPr>
            </w:pPr>
            <w:r>
              <w:rPr>
                <w:rFonts w:ascii="Arial" w:hAnsi="Arial" w:cs="Arial"/>
                <w:bCs/>
                <w:sz w:val="18"/>
                <w:szCs w:val="18"/>
                <w:lang w:val="es-ES"/>
              </w:rPr>
              <w:t>5</w:t>
            </w:r>
            <w:r w:rsidRPr="009A2762">
              <w:rPr>
                <w:rFonts w:ascii="Arial" w:hAnsi="Arial" w:cs="Arial"/>
                <w:bCs/>
                <w:sz w:val="18"/>
                <w:szCs w:val="18"/>
                <w:lang w:val="es-ES"/>
              </w:rPr>
              <w:t>,</w:t>
            </w:r>
            <w:r>
              <w:rPr>
                <w:rFonts w:ascii="Arial" w:hAnsi="Arial" w:cs="Arial"/>
                <w:bCs/>
                <w:sz w:val="18"/>
                <w:szCs w:val="18"/>
                <w:lang w:val="es-ES"/>
              </w:rPr>
              <w:t>862</w:t>
            </w:r>
          </w:p>
        </w:tc>
        <w:tc>
          <w:tcPr>
            <w:tcW w:w="161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9A2762" w:rsidR="006B791F" w:rsidP="008F4D3E" w:rsidRDefault="006B791F" w14:paraId="1EEA0692" w14:textId="77777777">
            <w:pPr>
              <w:keepNext/>
              <w:keepLines/>
              <w:tabs>
                <w:tab w:val="left" w:pos="4680"/>
              </w:tabs>
              <w:spacing w:line="256" w:lineRule="auto"/>
              <w:jc w:val="center"/>
              <w:rPr>
                <w:rFonts w:ascii="Arial" w:hAnsi="Arial" w:cs="Arial"/>
                <w:bCs/>
                <w:sz w:val="18"/>
                <w:szCs w:val="18"/>
                <w:lang w:val="es-ES"/>
              </w:rPr>
            </w:pPr>
            <w:r>
              <w:rPr>
                <w:rFonts w:ascii="Arial" w:hAnsi="Arial" w:cs="Arial"/>
                <w:bCs/>
                <w:sz w:val="18"/>
                <w:szCs w:val="18"/>
                <w:lang w:val="es-ES"/>
              </w:rPr>
              <w:t>5</w:t>
            </w:r>
            <w:r w:rsidRPr="009A2762">
              <w:rPr>
                <w:rFonts w:ascii="Arial" w:hAnsi="Arial" w:cs="Arial"/>
                <w:bCs/>
                <w:sz w:val="18"/>
                <w:szCs w:val="18"/>
                <w:lang w:val="es-ES"/>
              </w:rPr>
              <w:t>,</w:t>
            </w:r>
            <w:r>
              <w:rPr>
                <w:rFonts w:ascii="Arial" w:hAnsi="Arial" w:cs="Arial"/>
                <w:bCs/>
                <w:sz w:val="18"/>
                <w:szCs w:val="18"/>
                <w:lang w:val="es-ES"/>
              </w:rPr>
              <w:t>863</w:t>
            </w:r>
          </w:p>
        </w:tc>
        <w:tc>
          <w:tcPr>
            <w:tcW w:w="1450"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9A2762" w:rsidR="006B791F" w:rsidP="008F4D3E" w:rsidRDefault="006B791F" w14:paraId="130ACFB5" w14:textId="77777777">
            <w:pPr>
              <w:keepNext/>
              <w:keepLines/>
              <w:tabs>
                <w:tab w:val="left" w:pos="4680"/>
              </w:tabs>
              <w:spacing w:line="256" w:lineRule="auto"/>
              <w:jc w:val="center"/>
              <w:rPr>
                <w:rFonts w:ascii="Arial" w:hAnsi="Arial" w:cs="Arial"/>
                <w:bCs/>
                <w:sz w:val="18"/>
                <w:szCs w:val="18"/>
                <w:lang w:val="es-ES"/>
              </w:rPr>
            </w:pPr>
            <w:r w:rsidRPr="009A2762">
              <w:rPr>
                <w:rFonts w:ascii="Arial" w:hAnsi="Arial" w:cs="Arial"/>
                <w:bCs/>
                <w:sz w:val="18"/>
                <w:szCs w:val="18"/>
                <w:lang w:val="es-ES"/>
              </w:rPr>
              <w:t>-</w:t>
            </w:r>
          </w:p>
        </w:tc>
        <w:tc>
          <w:tcPr>
            <w:tcW w:w="1440" w:type="dxa"/>
            <w:vMerge/>
            <w:tcBorders>
              <w:top w:val="single" w:color="auto" w:sz="4" w:space="0"/>
              <w:left w:val="single" w:color="auto" w:sz="4" w:space="0"/>
              <w:bottom w:val="single" w:color="auto" w:sz="4" w:space="0"/>
              <w:right w:val="single" w:color="auto" w:sz="4" w:space="0"/>
            </w:tcBorders>
            <w:vAlign w:val="center"/>
            <w:hideMark/>
          </w:tcPr>
          <w:p w:rsidRPr="009A2762" w:rsidR="006B791F" w:rsidP="008F4D3E" w:rsidRDefault="006B791F" w14:paraId="20CEFCDE" w14:textId="77777777">
            <w:pPr>
              <w:keepNext/>
              <w:keepLines/>
              <w:spacing w:line="256" w:lineRule="auto"/>
              <w:jc w:val="center"/>
              <w:rPr>
                <w:rFonts w:ascii="Arial" w:hAnsi="Arial" w:cs="Arial"/>
                <w:bCs/>
                <w:sz w:val="18"/>
                <w:szCs w:val="18"/>
                <w:lang w:val="es-ES"/>
              </w:rPr>
            </w:pPr>
          </w:p>
        </w:tc>
      </w:tr>
      <w:tr w:rsidRPr="009A2762" w:rsidR="006B791F" w:rsidTr="008F4D3E" w14:paraId="59684212" w14:textId="77777777">
        <w:trPr>
          <w:cantSplit/>
          <w:trHeight w:val="144"/>
        </w:trPr>
        <w:tc>
          <w:tcPr>
            <w:tcW w:w="299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9A2762" w:rsidR="006B791F" w:rsidP="008F4D3E" w:rsidRDefault="006B791F" w14:paraId="649D4BDD" w14:textId="77777777">
            <w:pPr>
              <w:keepNext/>
              <w:keepLines/>
              <w:tabs>
                <w:tab w:val="left" w:pos="4680"/>
              </w:tabs>
              <w:spacing w:line="256" w:lineRule="auto"/>
              <w:ind w:left="720" w:hanging="720"/>
              <w:rPr>
                <w:rFonts w:ascii="Arial" w:hAnsi="Arial" w:cs="Arial"/>
                <w:b/>
                <w:bCs/>
                <w:sz w:val="18"/>
                <w:szCs w:val="18"/>
                <w:lang w:val="es-ES"/>
              </w:rPr>
            </w:pPr>
            <w:r w:rsidRPr="009A2762">
              <w:rPr>
                <w:rFonts w:ascii="Arial" w:hAnsi="Arial" w:cs="Arial"/>
                <w:b/>
                <w:bCs/>
                <w:sz w:val="18"/>
                <w:szCs w:val="18"/>
                <w:lang w:val="es-ES"/>
              </w:rPr>
              <w:t>Total</w:t>
            </w:r>
            <w:r>
              <w:rPr>
                <w:rFonts w:ascii="Arial" w:hAnsi="Arial" w:cs="Arial"/>
                <w:b/>
                <w:bCs/>
                <w:sz w:val="18"/>
                <w:szCs w:val="18"/>
                <w:lang w:val="es-ES"/>
              </w:rPr>
              <w:t xml:space="preserve"> disponible para el proyecto</w:t>
            </w:r>
          </w:p>
        </w:tc>
        <w:tc>
          <w:tcPr>
            <w:tcW w:w="159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9A2762" w:rsidR="006B791F" w:rsidP="008F4D3E" w:rsidRDefault="006B791F" w14:paraId="01744969" w14:textId="77777777">
            <w:pPr>
              <w:keepNext/>
              <w:keepLines/>
              <w:tabs>
                <w:tab w:val="left" w:pos="4680"/>
              </w:tabs>
              <w:spacing w:line="256" w:lineRule="auto"/>
              <w:jc w:val="center"/>
              <w:rPr>
                <w:rFonts w:ascii="Arial" w:hAnsi="Arial" w:cs="Arial"/>
                <w:b/>
                <w:sz w:val="18"/>
                <w:szCs w:val="18"/>
                <w:lang w:val="es-ES"/>
              </w:rPr>
            </w:pPr>
            <w:r w:rsidRPr="009A2762">
              <w:rPr>
                <w:rFonts w:ascii="Arial" w:hAnsi="Arial" w:cs="Arial"/>
                <w:b/>
                <w:sz w:val="18"/>
                <w:szCs w:val="18"/>
                <w:lang w:val="es-ES"/>
              </w:rPr>
              <w:t>5</w:t>
            </w:r>
            <w:r>
              <w:rPr>
                <w:rFonts w:ascii="Arial" w:hAnsi="Arial" w:cs="Arial"/>
                <w:b/>
                <w:sz w:val="18"/>
                <w:szCs w:val="18"/>
                <w:lang w:val="es-ES"/>
              </w:rPr>
              <w:t>5</w:t>
            </w:r>
            <w:r w:rsidRPr="009A2762">
              <w:rPr>
                <w:rFonts w:ascii="Arial" w:hAnsi="Arial" w:cs="Arial"/>
                <w:b/>
                <w:sz w:val="18"/>
                <w:szCs w:val="18"/>
                <w:lang w:val="es-ES"/>
              </w:rPr>
              <w:t>,</w:t>
            </w:r>
            <w:r>
              <w:rPr>
                <w:rFonts w:ascii="Arial" w:hAnsi="Arial" w:cs="Arial"/>
                <w:b/>
                <w:sz w:val="18"/>
                <w:szCs w:val="18"/>
                <w:lang w:val="es-ES"/>
              </w:rPr>
              <w:t>862</w:t>
            </w:r>
          </w:p>
        </w:tc>
        <w:tc>
          <w:tcPr>
            <w:tcW w:w="161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9A2762" w:rsidR="006B791F" w:rsidP="008F4D3E" w:rsidRDefault="006B791F" w14:paraId="6530F8BD" w14:textId="77777777">
            <w:pPr>
              <w:keepNext/>
              <w:keepLines/>
              <w:tabs>
                <w:tab w:val="left" w:pos="4680"/>
              </w:tabs>
              <w:spacing w:line="256" w:lineRule="auto"/>
              <w:jc w:val="center"/>
              <w:rPr>
                <w:rFonts w:ascii="Arial" w:hAnsi="Arial" w:cs="Arial"/>
                <w:b/>
                <w:sz w:val="18"/>
                <w:szCs w:val="18"/>
                <w:lang w:val="es-ES"/>
              </w:rPr>
            </w:pPr>
            <w:r w:rsidRPr="009A2762">
              <w:rPr>
                <w:rFonts w:ascii="Arial" w:hAnsi="Arial" w:cs="Arial"/>
                <w:b/>
                <w:sz w:val="18"/>
                <w:szCs w:val="18"/>
                <w:lang w:val="es-ES"/>
              </w:rPr>
              <w:t>5</w:t>
            </w:r>
            <w:r>
              <w:rPr>
                <w:rFonts w:ascii="Arial" w:hAnsi="Arial" w:cs="Arial"/>
                <w:b/>
                <w:sz w:val="18"/>
                <w:szCs w:val="18"/>
                <w:lang w:val="es-ES"/>
              </w:rPr>
              <w:t>5</w:t>
            </w:r>
            <w:r w:rsidRPr="009A2762">
              <w:rPr>
                <w:rFonts w:ascii="Arial" w:hAnsi="Arial" w:cs="Arial"/>
                <w:b/>
                <w:sz w:val="18"/>
                <w:szCs w:val="18"/>
                <w:lang w:val="es-ES"/>
              </w:rPr>
              <w:t>,</w:t>
            </w:r>
            <w:r>
              <w:rPr>
                <w:rFonts w:ascii="Arial" w:hAnsi="Arial" w:cs="Arial"/>
                <w:b/>
                <w:sz w:val="18"/>
                <w:szCs w:val="18"/>
                <w:lang w:val="es-ES"/>
              </w:rPr>
              <w:t>863</w:t>
            </w:r>
          </w:p>
        </w:tc>
        <w:tc>
          <w:tcPr>
            <w:tcW w:w="145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9A2762" w:rsidR="006B791F" w:rsidP="008F4D3E" w:rsidRDefault="006B791F" w14:paraId="22C36253" w14:textId="77777777">
            <w:pPr>
              <w:keepNext/>
              <w:keepLines/>
              <w:tabs>
                <w:tab w:val="left" w:pos="4680"/>
              </w:tabs>
              <w:spacing w:line="256" w:lineRule="auto"/>
              <w:jc w:val="center"/>
              <w:rPr>
                <w:rFonts w:ascii="Arial" w:hAnsi="Arial" w:cs="Arial"/>
                <w:b/>
                <w:sz w:val="18"/>
                <w:szCs w:val="18"/>
                <w:lang w:val="es-ES"/>
              </w:rPr>
            </w:pPr>
            <w:r>
              <w:rPr>
                <w:rFonts w:ascii="Arial" w:hAnsi="Arial" w:cs="Arial"/>
                <w:b/>
                <w:sz w:val="18"/>
                <w:szCs w:val="18"/>
                <w:lang w:val="es-ES"/>
              </w:rPr>
              <w:t>50</w:t>
            </w:r>
          </w:p>
        </w:tc>
        <w:tc>
          <w:tcPr>
            <w:tcW w:w="144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9A2762" w:rsidR="006B791F" w:rsidP="008F4D3E" w:rsidRDefault="006B791F" w14:paraId="3C9FCC2A" w14:textId="77777777">
            <w:pPr>
              <w:keepNext/>
              <w:keepLines/>
              <w:tabs>
                <w:tab w:val="left" w:pos="4680"/>
              </w:tabs>
              <w:spacing w:line="256" w:lineRule="auto"/>
              <w:jc w:val="center"/>
              <w:rPr>
                <w:rFonts w:ascii="Arial" w:hAnsi="Arial" w:cs="Arial"/>
                <w:b/>
                <w:sz w:val="18"/>
                <w:szCs w:val="18"/>
                <w:lang w:val="es-ES"/>
              </w:rPr>
            </w:pPr>
            <w:r w:rsidRPr="009A2762">
              <w:rPr>
                <w:rFonts w:ascii="Arial" w:hAnsi="Arial" w:cs="Arial"/>
                <w:b/>
                <w:sz w:val="18"/>
                <w:szCs w:val="18"/>
                <w:lang w:val="es-ES"/>
              </w:rPr>
              <w:t>16</w:t>
            </w:r>
            <w:r>
              <w:rPr>
                <w:rFonts w:ascii="Arial" w:hAnsi="Arial" w:cs="Arial"/>
                <w:b/>
                <w:sz w:val="18"/>
                <w:szCs w:val="18"/>
                <w:lang w:val="es-ES"/>
              </w:rPr>
              <w:t>1</w:t>
            </w:r>
            <w:r w:rsidRPr="009A2762">
              <w:rPr>
                <w:rFonts w:ascii="Arial" w:hAnsi="Arial" w:cs="Arial"/>
                <w:b/>
                <w:sz w:val="18"/>
                <w:szCs w:val="18"/>
                <w:lang w:val="es-ES"/>
              </w:rPr>
              <w:t>,</w:t>
            </w:r>
            <w:r>
              <w:rPr>
                <w:rFonts w:ascii="Arial" w:hAnsi="Arial" w:cs="Arial"/>
                <w:b/>
                <w:sz w:val="18"/>
                <w:szCs w:val="18"/>
                <w:lang w:val="es-ES"/>
              </w:rPr>
              <w:t>725</w:t>
            </w:r>
          </w:p>
        </w:tc>
      </w:tr>
      <w:bookmarkEnd w:id="7"/>
    </w:tbl>
    <w:p w:rsidRPr="00544542" w:rsidR="00F36C8D" w:rsidP="00482202" w:rsidRDefault="00F36C8D" w14:paraId="360B9607" w14:textId="41CB3E06">
      <w:pPr>
        <w:pStyle w:val="Paragraph"/>
      </w:pPr>
    </w:p>
    <w:p w:rsidRPr="00544542" w:rsidR="00A1159F" w:rsidP="009D105A" w:rsidRDefault="001640F7" w14:paraId="7A724B83" w14:textId="35594B3D">
      <w:pPr>
        <w:pStyle w:val="Heading1"/>
      </w:pPr>
      <w:bookmarkStart w:name="_Toc524778483" w:id="8"/>
      <w:r>
        <w:lastRenderedPageBreak/>
        <w:t xml:space="preserve">II.  </w:t>
      </w:r>
      <w:r w:rsidRPr="00544542" w:rsidR="00A1159F">
        <w:t>Seguimiento</w:t>
      </w:r>
      <w:bookmarkEnd w:id="8"/>
    </w:p>
    <w:p w:rsidRPr="00544542" w:rsidR="00BA2375" w:rsidP="00164BDF" w:rsidRDefault="0048428E" w14:paraId="4FC7CC26" w14:textId="59755222">
      <w:pPr>
        <w:pStyle w:val="FirstHeading"/>
        <w:spacing w:line="276" w:lineRule="auto"/>
        <w:ind w:left="0" w:firstLine="0"/>
        <w:jc w:val="both"/>
        <w:rPr>
          <w:rFonts w:ascii="Arial" w:hAnsi="Arial" w:cs="Arial"/>
          <w:noProof/>
          <w:sz w:val="22"/>
          <w:szCs w:val="22"/>
        </w:rPr>
      </w:pPr>
      <w:bookmarkStart w:name="_Toc524778484" w:id="9"/>
      <w:r w:rsidRPr="00544542">
        <w:rPr>
          <w:rFonts w:ascii="Arial" w:hAnsi="Arial" w:cs="Arial"/>
          <w:noProof/>
          <w:sz w:val="22"/>
          <w:szCs w:val="22"/>
        </w:rPr>
        <w:t>Resumen de los arreglos de implementación</w:t>
      </w:r>
      <w:r w:rsidRPr="00544542" w:rsidR="00E26E79">
        <w:rPr>
          <w:rFonts w:ascii="Arial" w:hAnsi="Arial" w:cs="Arial"/>
          <w:noProof/>
          <w:sz w:val="22"/>
          <w:szCs w:val="22"/>
        </w:rPr>
        <w:t xml:space="preserve"> y seguimie</w:t>
      </w:r>
      <w:r w:rsidR="001640F7">
        <w:rPr>
          <w:rFonts w:ascii="Arial" w:hAnsi="Arial" w:cs="Arial"/>
          <w:noProof/>
          <w:sz w:val="22"/>
          <w:szCs w:val="22"/>
        </w:rPr>
        <w:t>n</w:t>
      </w:r>
      <w:r w:rsidRPr="00544542" w:rsidR="00E26E79">
        <w:rPr>
          <w:rFonts w:ascii="Arial" w:hAnsi="Arial" w:cs="Arial"/>
          <w:noProof/>
          <w:sz w:val="22"/>
          <w:szCs w:val="22"/>
        </w:rPr>
        <w:t>to</w:t>
      </w:r>
    </w:p>
    <w:p w:rsidR="00D03A19" w:rsidP="00482202" w:rsidRDefault="00D03A19" w14:paraId="3C7D9A06" w14:textId="6EA59180">
      <w:pPr>
        <w:pStyle w:val="Paragraph"/>
      </w:pPr>
      <w:bookmarkStart w:name="_Hlk26966379" w:id="10"/>
      <w:r w:rsidRPr="00D77054">
        <w:rPr>
          <w:b/>
          <w:bCs/>
        </w:rPr>
        <w:t>Receptor y organismo ejecutor.</w:t>
      </w:r>
      <w:r w:rsidRPr="00D77054">
        <w:t xml:space="preserve"> El prestatario es la República de Colombia y el MSPS será el OE del proyecto en cabeza de la Dirección de Financiamiento Sectorial (DFS) del Viceministerio de Protección Social, quien a través de ADRES ejecutará los recursos del préstamo, dentro de la Dirección de Gestión de los Recursos Financieros de la Salud (DGRFS), que financiarán el presupuesto del SGSSS. La DFS </w:t>
      </w:r>
      <w:r>
        <w:t>hará</w:t>
      </w:r>
      <w:r w:rsidRPr="00D77054">
        <w:t xml:space="preserve"> la supervisión y coordinación técnica y operativa del proyecto, liderará la planificación y actuará como contraparte directa del BID.</w:t>
      </w:r>
      <w:r w:rsidR="004954D0">
        <w:t xml:space="preserve"> Los recursos no reembolsables serán ejecutados por el MSPS.</w:t>
      </w:r>
    </w:p>
    <w:p w:rsidRPr="00D77054" w:rsidR="00F5051C" w:rsidP="00482202" w:rsidRDefault="00F5051C" w14:paraId="60CBCF0A" w14:textId="77777777">
      <w:pPr>
        <w:pStyle w:val="Paragraph"/>
      </w:pPr>
    </w:p>
    <w:p w:rsidR="00D03A19" w:rsidP="00482202" w:rsidRDefault="00D03A19" w14:paraId="398AB2EB" w14:textId="05D29013">
      <w:pPr>
        <w:pStyle w:val="Paragraph"/>
      </w:pPr>
      <w:r w:rsidRPr="00D77054">
        <w:t xml:space="preserve">La coordinación del </w:t>
      </w:r>
      <w:r>
        <w:t>C</w:t>
      </w:r>
      <w:r w:rsidRPr="00D77054">
        <w:t>omponente 1 estará a cargo del Viceministerio de Protección Social y el reporte del IVD será responsabilidad de la Dirección de Regulación de Beneficios, Costos y Tarifas del Aseguramiento en Salud del MSPS. La</w:t>
      </w:r>
      <w:r>
        <w:t> </w:t>
      </w:r>
      <w:r w:rsidRPr="00D77054">
        <w:t xml:space="preserve">coordinación del </w:t>
      </w:r>
      <w:r>
        <w:t>C</w:t>
      </w:r>
      <w:r w:rsidRPr="00D77054">
        <w:t xml:space="preserve">omponente 2 estará a cargo del Viceministerio de Salud Pública y Prestación de Servicios y el reporte del IVD será responsabilidad de la Dirección de Promoción y Prevención. La coordinación y liderazgo del </w:t>
      </w:r>
      <w:r>
        <w:t>C</w:t>
      </w:r>
      <w:r w:rsidRPr="00D77054">
        <w:t xml:space="preserve">omponente 3 estará a cargo del Viceministerio de Salud Pública y Prestación de Servicios a través de la Dirección de Prestación de Servicios, en cuanto a los recursos no reembolsables, mientras que el reporte del IVD lo hará la Dirección de la Operación del Aseguramiento en Salud, Riesgos Laborales y Pensiones. </w:t>
      </w:r>
    </w:p>
    <w:p w:rsidRPr="00D77054" w:rsidR="00F5051C" w:rsidP="00482202" w:rsidRDefault="00F5051C" w14:paraId="79EDC96B" w14:textId="77777777">
      <w:pPr>
        <w:pStyle w:val="Paragraph"/>
      </w:pPr>
    </w:p>
    <w:p w:rsidR="00D03A19" w:rsidP="00482202" w:rsidRDefault="00D03A19" w14:paraId="18FEB9F0" w14:textId="325507A1">
      <w:pPr>
        <w:pStyle w:val="Paragraph"/>
      </w:pPr>
      <w:r w:rsidRPr="00D77054">
        <w:rPr>
          <w:b/>
          <w:bCs/>
        </w:rPr>
        <w:t>Coordinación entre actores</w:t>
      </w:r>
      <w:r w:rsidRPr="003562DF">
        <w:rPr>
          <w:b/>
          <w:bCs/>
        </w:rPr>
        <w:t>.</w:t>
      </w:r>
      <w:r w:rsidRPr="00D77054">
        <w:t xml:space="preserve"> La DFS coordinará reuniones periódicas para avanzar en la ejecución de las líneas programáticas del proyecto. La planeación y ejecución del proyecto se realizará con el equipo técnico de las direcciones y oficinas involucradas en la coordinación y reporte de los componentes del MSPS que trabajarán de manera articulada con y la DGRFS de ADRES.</w:t>
      </w:r>
    </w:p>
    <w:p w:rsidRPr="00D77054" w:rsidR="00F5051C" w:rsidP="00482202" w:rsidRDefault="00F5051C" w14:paraId="03128BC6" w14:textId="77777777">
      <w:pPr>
        <w:pStyle w:val="Paragraph"/>
      </w:pPr>
    </w:p>
    <w:p w:rsidR="00D03A19" w:rsidP="00482202" w:rsidRDefault="00D03A19" w14:paraId="7F2FFA7C" w14:textId="7988EE10">
      <w:pPr>
        <w:pStyle w:val="Paragraph"/>
      </w:pPr>
      <w:r w:rsidRPr="00D77054">
        <w:rPr>
          <w:b/>
          <w:bCs/>
        </w:rPr>
        <w:t>Administración del programa</w:t>
      </w:r>
      <w:r w:rsidRPr="003562DF">
        <w:rPr>
          <w:b/>
          <w:bCs/>
        </w:rPr>
        <w:t>.</w:t>
      </w:r>
      <w:r w:rsidRPr="00D77054">
        <w:t xml:space="preserve"> La planificación de las actividades para cada uno de los componentes del proyecto se realizará con base en lo definido por la estrategia del Gobierno para lograr la sostenibilidad del </w:t>
      </w:r>
      <w:r>
        <w:t>SGSSS</w:t>
      </w:r>
      <w:r w:rsidRPr="00D77054">
        <w:t>. El</w:t>
      </w:r>
      <w:r>
        <w:t> </w:t>
      </w:r>
      <w:r w:rsidRPr="00D77054">
        <w:t xml:space="preserve">seguimiento y monitoreo del proyecto se articulará entre los distintos actores involucrados en las reuniones periódicas. El objetivo es que la DFS </w:t>
      </w:r>
      <w:r>
        <w:t>pueda</w:t>
      </w:r>
      <w:r w:rsidRPr="00D77054">
        <w:t xml:space="preserve"> monitorear los avances del programa, generar reportes de ejecución y solicitar los desembolsos al Banco. El detalle de las responsabilidades y funciones de cada grupo técnico y el flujo de información para el reporte de resultados quedará descrito </w:t>
      </w:r>
      <w:r w:rsidRPr="00F04B50">
        <w:t xml:space="preserve">en el </w:t>
      </w:r>
      <w:hyperlink w:history="1" r:id="rId17">
        <w:r w:rsidRPr="002D3FA5">
          <w:rPr>
            <w:rStyle w:val="Hyperlink"/>
            <w:rFonts w:ascii="Arial" w:hAnsi="Arial" w:cs="Arial"/>
            <w:sz w:val="22"/>
          </w:rPr>
          <w:t>EEO#2</w:t>
        </w:r>
      </w:hyperlink>
      <w:r w:rsidRPr="00F04B50">
        <w:t>. La relación</w:t>
      </w:r>
      <w:r w:rsidRPr="00D77054">
        <w:t xml:space="preserve"> entre MSPS y ADRES está regulada por leyes nacionales.</w:t>
      </w:r>
    </w:p>
    <w:p w:rsidRPr="00D77054" w:rsidR="00F5051C" w:rsidP="00482202" w:rsidRDefault="00F5051C" w14:paraId="1521D26E" w14:textId="77777777">
      <w:pPr>
        <w:pStyle w:val="Paragraph"/>
      </w:pPr>
    </w:p>
    <w:p w:rsidRPr="00D77054" w:rsidR="00D03A19" w:rsidP="00482202" w:rsidRDefault="00D03A19" w14:paraId="6EA96021" w14:textId="45BA31C9">
      <w:pPr>
        <w:pStyle w:val="Paragraph"/>
      </w:pPr>
      <w:r w:rsidRPr="00D77054">
        <w:rPr>
          <w:b/>
          <w:bCs/>
        </w:rPr>
        <w:t>Verificación externa de resultados.</w:t>
      </w:r>
      <w:r w:rsidRPr="00D77054">
        <w:t xml:space="preserve"> La verificación externa e independiente de las metas </w:t>
      </w:r>
      <w:r>
        <w:t>de</w:t>
      </w:r>
      <w:r w:rsidRPr="00D77054">
        <w:t xml:space="preserve"> los IVD la realizará el Departamento Nacional de Planeación (DNP), </w:t>
      </w:r>
      <w:r w:rsidR="0044308B">
        <w:t xml:space="preserve">una </w:t>
      </w:r>
      <w:r w:rsidRPr="00D77054">
        <w:t>entidad</w:t>
      </w:r>
      <w:r w:rsidR="00B666D8">
        <w:t xml:space="preserve"> pública</w:t>
      </w:r>
      <w:r w:rsidRPr="00D77054" w:rsidR="00B666D8">
        <w:t xml:space="preserve"> </w:t>
      </w:r>
      <w:r w:rsidR="00B666D8">
        <w:t xml:space="preserve">que es independiente del organismo ejecutor, con el </w:t>
      </w:r>
      <w:r w:rsidRPr="00D77054" w:rsidR="00B666D8">
        <w:t>mandato</w:t>
      </w:r>
      <w:r w:rsidR="00B666D8">
        <w:t xml:space="preserve"> específico</w:t>
      </w:r>
      <w:r w:rsidRPr="00D77054" w:rsidR="00B666D8">
        <w:t xml:space="preserve"> para realizar evaluaciones</w:t>
      </w:r>
      <w:r w:rsidR="00B666D8">
        <w:t xml:space="preserve"> de resultados y de impacto de los principales programas del gobierno. </w:t>
      </w:r>
      <w:r w:rsidR="00F75A22">
        <w:t>Tiene amplia</w:t>
      </w:r>
      <w:r w:rsidRPr="00D77054">
        <w:t xml:space="preserve"> experiencia en evaluación y monitoreo de proyectos, manejo de indicadores de resultados</w:t>
      </w:r>
      <w:r w:rsidR="00C6434D">
        <w:t xml:space="preserve"> y</w:t>
      </w:r>
      <w:r w:rsidRPr="00D77054">
        <w:t xml:space="preserve">, evaluación de fuentes de información. </w:t>
      </w:r>
      <w:r w:rsidR="000D361A">
        <w:t>De acuerdo con la OCDE (2014), el DNP tiene “uno de los sistemas más avanzados de monitoreo del desempeño del conjunto del gobierno, usados en el mundo actualmente”. Su</w:t>
      </w:r>
      <w:r w:rsidRPr="00D77054" w:rsidR="000D361A">
        <w:t xml:space="preserve"> </w:t>
      </w:r>
      <w:r w:rsidR="000D361A">
        <w:t xml:space="preserve">alta </w:t>
      </w:r>
      <w:r w:rsidRPr="00D77054" w:rsidR="000D361A">
        <w:t>capacidad técnica</w:t>
      </w:r>
      <w:r w:rsidR="000D361A">
        <w:t xml:space="preserve"> y credibilidad al momento de verificar los resultados de los programas la hace elegible como verificador de los resultados del programa (¶2.14 de la directriz GN-2869-3). </w:t>
      </w:r>
      <w:r w:rsidRPr="00D77054">
        <w:t>La</w:t>
      </w:r>
      <w:r w:rsidR="007B464E">
        <w:t> </w:t>
      </w:r>
      <w:r w:rsidRPr="00D77054">
        <w:t xml:space="preserve">verificación permitirá </w:t>
      </w:r>
      <w:r>
        <w:t>tener</w:t>
      </w:r>
      <w:r w:rsidRPr="00D77054">
        <w:t xml:space="preserve"> un reporte </w:t>
      </w:r>
      <w:r>
        <w:t xml:space="preserve">oportuno </w:t>
      </w:r>
      <w:r w:rsidRPr="00D77054">
        <w:t>de verificación de resultados previo a cada solicitud de desembolsos. Los objetivos de la verificación son: (i)</w:t>
      </w:r>
      <w:r>
        <w:t> </w:t>
      </w:r>
      <w:r w:rsidRPr="00D77054">
        <w:t>evaluar la exactitud, confiabilidad y consistencia de la información relacionada con los resultados de los IVD</w:t>
      </w:r>
      <w:r>
        <w:t>;</w:t>
      </w:r>
      <w:r w:rsidRPr="00D77054">
        <w:t xml:space="preserve"> y (</w:t>
      </w:r>
      <w:proofErr w:type="spellStart"/>
      <w:r w:rsidRPr="00D77054">
        <w:t>ii</w:t>
      </w:r>
      <w:proofErr w:type="spellEnd"/>
      <w:r w:rsidRPr="00D77054">
        <w:t>)</w:t>
      </w:r>
      <w:r w:rsidR="002D3FA5">
        <w:t> </w:t>
      </w:r>
      <w:r w:rsidRPr="00D77054">
        <w:t xml:space="preserve">determinar el resultado de los IVD en cada tramo de desembolsos, realizando el cálculo en los casos que no existan reportes automáticos e independientes. El protocolo de verificación para cada IVD se incluye en el </w:t>
      </w:r>
      <w:r>
        <w:t>PME</w:t>
      </w:r>
      <w:r w:rsidRPr="003043CD">
        <w:t xml:space="preserve"> (</w:t>
      </w:r>
      <w:hyperlink w:history="1" r:id="rId18">
        <w:r w:rsidRPr="002D3FA5">
          <w:rPr>
            <w:rStyle w:val="Hyperlink"/>
            <w:rFonts w:ascii="Arial" w:hAnsi="Arial" w:cs="Arial"/>
            <w:sz w:val="22"/>
          </w:rPr>
          <w:t>EER#1</w:t>
        </w:r>
      </w:hyperlink>
      <w:r w:rsidRPr="003043CD">
        <w:t>).</w:t>
      </w:r>
    </w:p>
    <w:p w:rsidR="009D105A" w:rsidP="00482202" w:rsidRDefault="009D105A" w14:paraId="61EF973B" w14:textId="77777777">
      <w:pPr>
        <w:pStyle w:val="Paragraph"/>
        <w:sectPr w:rsidR="009D105A" w:rsidSect="005E7E0F">
          <w:headerReference w:type="even" r:id="rId19"/>
          <w:pgSz w:w="12240" w:h="15840"/>
          <w:pgMar w:top="1440" w:right="1440" w:bottom="1440" w:left="1440" w:header="720" w:footer="720" w:gutter="0"/>
          <w:pgNumType w:start="1"/>
          <w:cols w:space="720"/>
          <w:titlePg/>
          <w:docGrid w:linePitch="360"/>
        </w:sectPr>
      </w:pPr>
    </w:p>
    <w:p w:rsidR="00D03A19" w:rsidP="00482202" w:rsidRDefault="00D03A19" w14:paraId="72D9C034" w14:textId="2D3EEBFA">
      <w:pPr>
        <w:pStyle w:val="Paragraph"/>
      </w:pPr>
      <w:r w:rsidRPr="00D77054">
        <w:rPr>
          <w:b/>
          <w:bCs/>
        </w:rPr>
        <w:lastRenderedPageBreak/>
        <w:t xml:space="preserve">Flujo de recursos. </w:t>
      </w:r>
      <w:r w:rsidRPr="00D77054">
        <w:t xml:space="preserve">El flujo de recursos provenientes del </w:t>
      </w:r>
      <w:r>
        <w:t>CO</w:t>
      </w:r>
      <w:r w:rsidRPr="00D77054">
        <w:t xml:space="preserve"> del proyecto seguirá el proceso establecido en el </w:t>
      </w:r>
      <w:r>
        <w:t>PGN</w:t>
      </w:r>
      <w:r w:rsidRPr="00D77054">
        <w:t xml:space="preserve"> para el financiamiento del SGSSS. </w:t>
      </w:r>
      <w:r>
        <w:t>E</w:t>
      </w:r>
      <w:r w:rsidRPr="00D77054">
        <w:t xml:space="preserve">l MSPS durante el primer trimestre de cada año, elaborará un anteproyecto que incluye el presupuesto del SGSSS tras la aprobación del anteproyecto por parte de Ministerio de Hacienda y Crédito Público (MHCP), el MSPS realiza la solicitud de autorización para que la GRFS de ADRES ejecute los recursos del aseguramiento a través de doceavas. </w:t>
      </w:r>
      <w:r>
        <w:t>L</w:t>
      </w:r>
      <w:r w:rsidRPr="00D77054">
        <w:t xml:space="preserve">os recursos del GRF y </w:t>
      </w:r>
      <w:r w:rsidR="005D1EB7">
        <w:t>PSG</w:t>
      </w:r>
      <w:r w:rsidRPr="00D77054">
        <w:t xml:space="preserve"> seguirán el flujo de recursos que siguen los proyectos de inversión pública del </w:t>
      </w:r>
      <w:r>
        <w:t>g</w:t>
      </w:r>
      <w:r w:rsidRPr="00D77054">
        <w:t>obierno.</w:t>
      </w:r>
    </w:p>
    <w:p w:rsidRPr="00D77054" w:rsidR="00F5051C" w:rsidP="00482202" w:rsidRDefault="00F5051C" w14:paraId="0812C64F" w14:textId="77777777">
      <w:pPr>
        <w:pStyle w:val="Paragraph"/>
      </w:pPr>
    </w:p>
    <w:p w:rsidR="00125B2E" w:rsidP="00482202" w:rsidRDefault="00125B2E" w14:paraId="706AA18D" w14:textId="534E8A28">
      <w:pPr>
        <w:pStyle w:val="Paragraph"/>
      </w:pPr>
      <w:r>
        <w:rPr>
          <w:b/>
          <w:bCs/>
        </w:rPr>
        <w:t>D</w:t>
      </w:r>
      <w:r w:rsidRPr="003043CD" w:rsidR="00D03A19">
        <w:rPr>
          <w:b/>
          <w:bCs/>
        </w:rPr>
        <w:t>esembolsos.</w:t>
      </w:r>
      <w:r w:rsidRPr="003043CD" w:rsidR="00D03A19">
        <w:t xml:space="preserve"> </w:t>
      </w:r>
      <w:r w:rsidRPr="00D426D7">
        <w:t xml:space="preserve">Se habilitará una cuenta bancaria especial en dólares en la entidad financiera designada por el MHCP para cada instrumento de financiamiento (Préstamo, GRF y PSG). </w:t>
      </w:r>
      <w:r w:rsidRPr="00D426D7">
        <w:rPr>
          <w:spacing w:val="0"/>
        </w:rPr>
        <w:t>El</w:t>
      </w:r>
      <w:r w:rsidR="002D3FA5">
        <w:rPr>
          <w:spacing w:val="0"/>
        </w:rPr>
        <w:t> </w:t>
      </w:r>
      <w:r w:rsidRPr="00D426D7">
        <w:rPr>
          <w:spacing w:val="0"/>
        </w:rPr>
        <w:t xml:space="preserve">MSPS tramitará ante MHCP las solicitudes de desembolso correspondientes al Préstamo, las cuales serán presentadas por esa entidad al Banco. Las solicitudes de desembolso correspondientes a los recursos GRF y PSG deberán ser presentadas por el MSPS directamente al BID. </w:t>
      </w:r>
      <w:r w:rsidRPr="00D426D7">
        <w:t>El MSPS solicitará al MHCP realizar las transferencias de los recursos del Préstamo a ADRES, quien tendrá a su cargo la gestión de tesorería de estos, los cuales ingresarán a la cuenta general que tiene ADRES para el manejo de los recursos de la salud entregados por el MSPS. El</w:t>
      </w:r>
      <w:r w:rsidR="002D3FA5">
        <w:t> </w:t>
      </w:r>
      <w:r w:rsidRPr="00D426D7">
        <w:t>Banco realizará los desembolsos en dólares con base en el cumplimiento de los indicadores acordados en cada componente tanto del Préstamo como de los recursos no reembolsables. No</w:t>
      </w:r>
      <w:r w:rsidR="002D3FA5">
        <w:t> </w:t>
      </w:r>
      <w:r w:rsidRPr="00D426D7">
        <w:t>habrá anticipos ni financiamiento retroactivo</w:t>
      </w:r>
      <w:r w:rsidR="00627B27">
        <w:t xml:space="preserve"> de resultados</w:t>
      </w:r>
      <w:r>
        <w:t>.</w:t>
      </w:r>
    </w:p>
    <w:p w:rsidRPr="00D77054" w:rsidR="00F5051C" w:rsidP="00482202" w:rsidRDefault="00F5051C" w14:paraId="071708FC" w14:textId="77777777">
      <w:pPr>
        <w:pStyle w:val="Paragraph"/>
      </w:pPr>
    </w:p>
    <w:p w:rsidR="00D03A19" w:rsidP="00482202" w:rsidRDefault="00D03A19" w14:paraId="38975C89" w14:textId="19C066F8">
      <w:pPr>
        <w:pStyle w:val="Paragraph"/>
      </w:pPr>
      <w:r w:rsidRPr="003043CD">
        <w:rPr>
          <w:b/>
          <w:bCs/>
        </w:rPr>
        <w:t>Ejecución de recursos no reembolsables</w:t>
      </w:r>
      <w:r w:rsidRPr="006227CF">
        <w:rPr>
          <w:b/>
          <w:bCs/>
        </w:rPr>
        <w:t>.</w:t>
      </w:r>
      <w:r w:rsidRPr="003043CD">
        <w:t xml:space="preserve"> </w:t>
      </w:r>
      <w:r>
        <w:t>El MSPS ajustará un proyecto de inversión para ejecutar l</w:t>
      </w:r>
      <w:r w:rsidRPr="003043CD">
        <w:t xml:space="preserve">os recursos no reembolsables </w:t>
      </w:r>
      <w:r>
        <w:t xml:space="preserve">y por medio de este realizará </w:t>
      </w:r>
      <w:r w:rsidRPr="003043CD">
        <w:t>transferencia</w:t>
      </w:r>
      <w:r>
        <w:t>s</w:t>
      </w:r>
      <w:r w:rsidRPr="003043CD">
        <w:t xml:space="preserve"> </w:t>
      </w:r>
      <w:r>
        <w:t xml:space="preserve">a </w:t>
      </w:r>
      <w:r w:rsidRPr="00D77054">
        <w:t>ET</w:t>
      </w:r>
      <w:r w:rsidRPr="003043CD">
        <w:t>, deposita</w:t>
      </w:r>
      <w:r>
        <w:t>ndo los recursos</w:t>
      </w:r>
      <w:r w:rsidRPr="003043CD">
        <w:t xml:space="preserve"> a cuentas maestras, con destino exclusivo a hospitales públicos. El</w:t>
      </w:r>
      <w:r w:rsidRPr="002D3FA5" w:rsidR="002D3FA5">
        <w:t> </w:t>
      </w:r>
      <w:r w:rsidRPr="003043CD">
        <w:t>reconocimiento del pago se realizará previa auditoría médica concurrente para garantizar el uso transparente de los recursos. El MSPS definirá a través de una resolución los criterios de distribución de los recursos entre los cuales podrían estar:</w:t>
      </w:r>
      <w:r w:rsidRPr="002D3FA5">
        <w:rPr>
          <w:rFonts w:eastAsiaTheme="minorEastAsia"/>
          <w:color w:val="000000" w:themeColor="text1"/>
          <w:kern w:val="24"/>
        </w:rPr>
        <w:t xml:space="preserve"> </w:t>
      </w:r>
      <w:r w:rsidRPr="003043CD">
        <w:t>demanda de servicios de obstetricia, capacidad e impacto financiero en la ET, ubicación geográfica, barreras de acceso y aporte en la estrategia de atención a la población inmigrante.</w:t>
      </w:r>
    </w:p>
    <w:p w:rsidRPr="00D77054" w:rsidR="00F5051C" w:rsidP="00482202" w:rsidRDefault="00F5051C" w14:paraId="053AED26" w14:textId="77777777">
      <w:pPr>
        <w:pStyle w:val="Paragraph"/>
      </w:pPr>
    </w:p>
    <w:p w:rsidR="00D03A19" w:rsidP="00482202" w:rsidRDefault="00D03A19" w14:paraId="21C5B7A8" w14:textId="40A86EFF">
      <w:pPr>
        <w:pStyle w:val="Paragraph"/>
      </w:pPr>
      <w:r w:rsidRPr="00D04154">
        <w:t xml:space="preserve">Condiciones contractuales especiales previas al primer desembolso de los recursos del préstamo. </w:t>
      </w:r>
      <w:r w:rsidRPr="00D04154" w:rsidR="00507F73">
        <w:t>El OE demostrará que: (i) se haya aprobado y entrado en vigor el MOP, de conformidad con los términos previamente acordados con el Banco; y (</w:t>
      </w:r>
      <w:proofErr w:type="spellStart"/>
      <w:r w:rsidRPr="00D04154" w:rsidR="00507F73">
        <w:t>ii</w:t>
      </w:r>
      <w:proofErr w:type="spellEnd"/>
      <w:r w:rsidRPr="00D04154" w:rsidR="00507F73">
        <w:t>) se hayan incorporado los recursos no reembolsables correspondientes al subcomponente 3 (</w:t>
      </w:r>
      <w:proofErr w:type="spellStart"/>
      <w:r w:rsidRPr="00D04154" w:rsidR="00507F73">
        <w:t>ii</w:t>
      </w:r>
      <w:proofErr w:type="spellEnd"/>
      <w:r w:rsidRPr="00D04154" w:rsidR="00507F73">
        <w:t>) al proyecto de Presupuesto General de la Nación para la vigencia 2021.</w:t>
      </w:r>
      <w:r w:rsidRPr="00D77054" w:rsidR="00507F73">
        <w:t xml:space="preserve"> </w:t>
      </w:r>
      <w:r w:rsidRPr="00D77054">
        <w:t>Esta</w:t>
      </w:r>
      <w:r>
        <w:t>s</w:t>
      </w:r>
      <w:r w:rsidRPr="00D77054">
        <w:t xml:space="preserve"> condici</w:t>
      </w:r>
      <w:r>
        <w:t>ones</w:t>
      </w:r>
      <w:r w:rsidRPr="00D77054">
        <w:t xml:space="preserve"> </w:t>
      </w:r>
      <w:r>
        <w:t>son</w:t>
      </w:r>
      <w:r w:rsidRPr="00D77054">
        <w:t xml:space="preserve"> indispensable</w:t>
      </w:r>
      <w:r>
        <w:t>s</w:t>
      </w:r>
      <w:r w:rsidRPr="00D77054">
        <w:t xml:space="preserve"> para iniciar la operatividad de los componentes y garantizar la adecuada ejecución del programa.</w:t>
      </w:r>
    </w:p>
    <w:p w:rsidRPr="00D77054" w:rsidR="00F5051C" w:rsidP="00482202" w:rsidRDefault="00F5051C" w14:paraId="18B6FC37" w14:textId="77777777">
      <w:pPr>
        <w:pStyle w:val="Paragraph"/>
      </w:pPr>
    </w:p>
    <w:p w:rsidR="00D03A19" w:rsidP="00482202" w:rsidRDefault="00D03A19" w14:paraId="3923713D" w14:textId="3EF679B6">
      <w:pPr>
        <w:pStyle w:val="Paragraph"/>
      </w:pPr>
      <w:r w:rsidRPr="00D77054">
        <w:rPr>
          <w:b/>
          <w:bCs/>
        </w:rPr>
        <w:t xml:space="preserve">Manual Operativo del </w:t>
      </w:r>
      <w:r w:rsidRPr="00F04B50">
        <w:rPr>
          <w:b/>
          <w:bCs/>
        </w:rPr>
        <w:t>Proyecto (</w:t>
      </w:r>
      <w:hyperlink w:history="1" r:id="rId20">
        <w:r w:rsidRPr="002D3FA5">
          <w:rPr>
            <w:rStyle w:val="Hyperlink"/>
            <w:rFonts w:ascii="Arial" w:hAnsi="Arial" w:cs="Arial"/>
            <w:b/>
            <w:sz w:val="22"/>
          </w:rPr>
          <w:t>EEO#2</w:t>
        </w:r>
      </w:hyperlink>
      <w:r w:rsidRPr="00F04B50">
        <w:rPr>
          <w:b/>
          <w:bCs/>
        </w:rPr>
        <w:t>).</w:t>
      </w:r>
      <w:r w:rsidRPr="00F04B50">
        <w:t xml:space="preserve"> </w:t>
      </w:r>
      <w:r>
        <w:t>D</w:t>
      </w:r>
      <w:r w:rsidRPr="00D77054">
        <w:t>etallará la estrategia de ejecución de la operación: (i)</w:t>
      </w:r>
      <w:r w:rsidRPr="002D3FA5" w:rsidR="002D3FA5">
        <w:t> </w:t>
      </w:r>
      <w:r w:rsidRPr="00D77054">
        <w:t>el esquema organizacional del programa</w:t>
      </w:r>
      <w:r>
        <w:t>;</w:t>
      </w:r>
      <w:r w:rsidRPr="00D77054">
        <w:t xml:space="preserve"> (</w:t>
      </w:r>
      <w:proofErr w:type="spellStart"/>
      <w:r w:rsidRPr="00D77054">
        <w:t>ii</w:t>
      </w:r>
      <w:proofErr w:type="spellEnd"/>
      <w:r w:rsidRPr="00D77054">
        <w:t>) los arreglos técnicos y operativos para su ejecución</w:t>
      </w:r>
      <w:r>
        <w:t>;</w:t>
      </w:r>
      <w:r w:rsidRPr="00D77054">
        <w:t xml:space="preserve"> (</w:t>
      </w:r>
      <w:proofErr w:type="spellStart"/>
      <w:r w:rsidRPr="00D77054">
        <w:t>iii</w:t>
      </w:r>
      <w:proofErr w:type="spellEnd"/>
      <w:r w:rsidRPr="00D77054">
        <w:t>) el esquema de programación, seguimiento y evaluación de los resultados</w:t>
      </w:r>
      <w:r>
        <w:t>;</w:t>
      </w:r>
      <w:r w:rsidRPr="00D77054">
        <w:t xml:space="preserve"> (</w:t>
      </w:r>
      <w:proofErr w:type="spellStart"/>
      <w:r w:rsidRPr="00D77054">
        <w:t>iv</w:t>
      </w:r>
      <w:proofErr w:type="spellEnd"/>
      <w:r w:rsidRPr="00D77054">
        <w:t>) las guías operativas del PBR</w:t>
      </w:r>
      <w:r>
        <w:t>;</w:t>
      </w:r>
      <w:r w:rsidRPr="00D77054">
        <w:t xml:space="preserve"> y (v) la descripción detallada de los indicadores de resultados, IVD y sus protocolos de verificación. El MOP incluye los criterios para la verificación externa de resultados del programa. </w:t>
      </w:r>
    </w:p>
    <w:p w:rsidRPr="00D77054" w:rsidR="00F5051C" w:rsidP="00482202" w:rsidRDefault="00F5051C" w14:paraId="10A809A5" w14:textId="77777777">
      <w:pPr>
        <w:pStyle w:val="Paragraph"/>
      </w:pPr>
    </w:p>
    <w:p w:rsidRPr="00544542" w:rsidR="006C52EB" w:rsidP="00482202" w:rsidRDefault="00D03A19" w14:paraId="7F059786" w14:textId="41BD94E5">
      <w:pPr>
        <w:pStyle w:val="Paragraph"/>
      </w:pPr>
      <w:r w:rsidRPr="00D77054">
        <w:rPr>
          <w:b/>
        </w:rPr>
        <w:t xml:space="preserve">Auditoría Externa. </w:t>
      </w:r>
      <w:r w:rsidRPr="00D77054">
        <w:t xml:space="preserve">Para el préstamo, el Banco aceptará los estados financieros de ADRES auditados por un auditor independente aceptable para el Banco; </w:t>
      </w:r>
      <w:r>
        <w:t>esto</w:t>
      </w:r>
      <w:r w:rsidRPr="00D77054">
        <w:t xml:space="preserve"> podrá ser financiad</w:t>
      </w:r>
      <w:r>
        <w:t>o</w:t>
      </w:r>
      <w:r w:rsidRPr="00D77054">
        <w:t xml:space="preserve"> con recursos del Préstamo. Los estados financieros consolidados de los recursos GRF y </w:t>
      </w:r>
      <w:r w:rsidR="00870FF0">
        <w:t>PSG</w:t>
      </w:r>
      <w:r w:rsidRPr="00D77054">
        <w:t xml:space="preserve"> serán auditados anualmente, por una firma de auditoría independiente aceptable </w:t>
      </w:r>
      <w:r>
        <w:t xml:space="preserve">al </w:t>
      </w:r>
      <w:r w:rsidRPr="00D77054">
        <w:t>Banco, la cual será financiada con los recursos no reembolsables. La</w:t>
      </w:r>
      <w:r>
        <w:t> </w:t>
      </w:r>
      <w:r w:rsidRPr="00D77054">
        <w:t xml:space="preserve">contratación de esta auditoría se realizará de conformidad con los procedimientos y los términos de referencia previamente acordados con el Banco. Los estados financieros auditados (EFA) de cada instrumento serán enviados al Banco dentro de los 120 días siguientes al cierre de cada ejercicio fiscal del MSPS durante el plazo original </w:t>
      </w:r>
      <w:r w:rsidRPr="00D77054">
        <w:lastRenderedPageBreak/>
        <w:t>de desembolsos o su</w:t>
      </w:r>
      <w:r>
        <w:t>s</w:t>
      </w:r>
      <w:r w:rsidRPr="00D77054">
        <w:t xml:space="preserve"> extensi</w:t>
      </w:r>
      <w:r>
        <w:t>ones</w:t>
      </w:r>
      <w:r w:rsidRPr="00D77054">
        <w:t>. El</w:t>
      </w:r>
      <w:r>
        <w:t> </w:t>
      </w:r>
      <w:r w:rsidRPr="00D77054">
        <w:t>último EFA de cada instrumento se presentará</w:t>
      </w:r>
      <w:r w:rsidR="009D105A">
        <w:t xml:space="preserve"> d</w:t>
      </w:r>
      <w:r w:rsidRPr="00D77054">
        <w:t>entro de los 120 días siguientes a la fecha de último desembolso.</w:t>
      </w:r>
      <w:bookmarkEnd w:id="10"/>
    </w:p>
    <w:p w:rsidRPr="007B464E" w:rsidR="006C52EB" w:rsidP="00F5051C" w:rsidRDefault="006C52EB" w14:paraId="620CB9D0" w14:textId="1D41486A">
      <w:pPr>
        <w:jc w:val="both"/>
        <w:rPr>
          <w:rFonts w:ascii="Arial" w:hAnsi="Arial" w:eastAsia="Calibri" w:cs="Arial"/>
          <w:sz w:val="16"/>
          <w:szCs w:val="16"/>
          <w:lang w:val="es-ES" w:eastAsia="en-US"/>
        </w:rPr>
      </w:pPr>
      <w:r w:rsidRPr="002D3FA5">
        <w:rPr>
          <w:rFonts w:ascii="Arial" w:hAnsi="Arial" w:cs="Arial"/>
          <w:sz w:val="22"/>
          <w:szCs w:val="22"/>
          <w:lang w:val="es-ES"/>
        </w:rPr>
        <w:br w:type="page"/>
      </w:r>
    </w:p>
    <w:p w:rsidRPr="00544542" w:rsidR="00BE2F0D" w:rsidP="002B0BEC" w:rsidRDefault="00BE2F0D" w14:paraId="73778610" w14:textId="6296A9E4">
      <w:pPr>
        <w:pStyle w:val="NormalWeb"/>
        <w:spacing w:before="0" w:beforeAutospacing="0" w:after="0" w:afterAutospacing="0"/>
        <w:jc w:val="both"/>
        <w:rPr>
          <w:rFonts w:ascii="ArialMT" w:hAnsi="ArialMT"/>
          <w:b/>
          <w:sz w:val="22"/>
          <w:szCs w:val="22"/>
          <w:lang w:val="es-ES"/>
        </w:rPr>
      </w:pPr>
      <w:r w:rsidRPr="00544542">
        <w:rPr>
          <w:rFonts w:ascii="ArialMT" w:hAnsi="ArialMT"/>
          <w:b/>
          <w:sz w:val="22"/>
          <w:szCs w:val="22"/>
          <w:lang w:val="es-ES"/>
        </w:rPr>
        <w:lastRenderedPageBreak/>
        <w:t>Monitoreo</w:t>
      </w:r>
    </w:p>
    <w:p w:rsidRPr="00544542" w:rsidR="002B4E9A" w:rsidP="006C233A" w:rsidRDefault="006D2F7C" w14:paraId="4D951FA5" w14:textId="54933B43">
      <w:pPr>
        <w:pStyle w:val="NormalWeb"/>
        <w:spacing w:line="276" w:lineRule="auto"/>
        <w:jc w:val="both"/>
        <w:rPr>
          <w:rFonts w:ascii="Arial" w:hAnsi="Arial" w:cs="Arial"/>
          <w:sz w:val="22"/>
          <w:szCs w:val="22"/>
          <w:lang w:val="es-ES"/>
        </w:rPr>
      </w:pPr>
      <w:r w:rsidRPr="00544542">
        <w:rPr>
          <w:rFonts w:ascii="Arial" w:hAnsi="Arial" w:cs="Arial"/>
          <w:sz w:val="22"/>
          <w:szCs w:val="22"/>
          <w:lang w:val="es-ES"/>
        </w:rPr>
        <w:t xml:space="preserve">La Tabla 2 presenta la Matriz de Resultados del </w:t>
      </w:r>
      <w:r w:rsidR="002D3FA5">
        <w:rPr>
          <w:rFonts w:ascii="Arial" w:hAnsi="Arial" w:cs="Arial"/>
          <w:sz w:val="22"/>
          <w:szCs w:val="22"/>
          <w:lang w:val="es-ES"/>
        </w:rPr>
        <w:t>p</w:t>
      </w:r>
      <w:r w:rsidRPr="00544542">
        <w:rPr>
          <w:rFonts w:ascii="Arial" w:hAnsi="Arial" w:cs="Arial"/>
          <w:sz w:val="22"/>
          <w:szCs w:val="22"/>
          <w:lang w:val="es-ES"/>
        </w:rPr>
        <w:t>rograma, la cual resume los indicadores a nivel de producto,</w:t>
      </w:r>
      <w:r w:rsidRPr="00544542" w:rsidR="002B4E9A">
        <w:rPr>
          <w:rFonts w:ascii="Arial" w:hAnsi="Arial" w:cs="Arial"/>
          <w:sz w:val="22"/>
          <w:szCs w:val="22"/>
          <w:lang w:val="es-ES"/>
        </w:rPr>
        <w:t xml:space="preserve"> </w:t>
      </w:r>
      <w:r w:rsidRPr="00544542">
        <w:rPr>
          <w:rFonts w:ascii="Arial" w:hAnsi="Arial" w:cs="Arial"/>
          <w:sz w:val="22"/>
          <w:szCs w:val="22"/>
          <w:lang w:val="es-ES"/>
        </w:rPr>
        <w:t xml:space="preserve">resultados </w:t>
      </w:r>
      <w:r w:rsidRPr="00544542" w:rsidR="002B4E9A">
        <w:rPr>
          <w:rFonts w:ascii="Arial" w:hAnsi="Arial" w:cs="Arial"/>
          <w:sz w:val="22"/>
          <w:szCs w:val="22"/>
          <w:lang w:val="es-ES"/>
        </w:rPr>
        <w:t xml:space="preserve">e impacto, </w:t>
      </w:r>
      <w:r w:rsidRPr="00544542">
        <w:rPr>
          <w:rFonts w:ascii="Arial" w:hAnsi="Arial" w:cs="Arial"/>
          <w:sz w:val="22"/>
          <w:szCs w:val="22"/>
          <w:lang w:val="es-ES"/>
        </w:rPr>
        <w:t xml:space="preserve">que serán utilizados para </w:t>
      </w:r>
      <w:r w:rsidRPr="00544542" w:rsidR="002B4E9A">
        <w:rPr>
          <w:rFonts w:ascii="Arial" w:hAnsi="Arial" w:cs="Arial"/>
          <w:sz w:val="22"/>
          <w:szCs w:val="22"/>
          <w:lang w:val="es-ES"/>
        </w:rPr>
        <w:t xml:space="preserve">monitorear y evaluar </w:t>
      </w:r>
      <w:r w:rsidRPr="00544542">
        <w:rPr>
          <w:rFonts w:ascii="Arial" w:hAnsi="Arial" w:cs="Arial"/>
          <w:sz w:val="22"/>
          <w:szCs w:val="22"/>
          <w:lang w:val="es-ES"/>
        </w:rPr>
        <w:t xml:space="preserve">el desempeño del programa. </w:t>
      </w:r>
      <w:r w:rsidRPr="00544542" w:rsidR="002B4E9A">
        <w:rPr>
          <w:rFonts w:ascii="Arial" w:hAnsi="Arial" w:cs="Arial"/>
          <w:sz w:val="22"/>
          <w:szCs w:val="22"/>
          <w:lang w:val="es-ES"/>
        </w:rPr>
        <w:t>La Matriz de Resultados se ha construido tomando en cuenta la teoría de cambio del proyecto, resumida por la</w:t>
      </w:r>
      <w:r w:rsidRPr="00544542" w:rsidR="00C039D7">
        <w:rPr>
          <w:rFonts w:ascii="Arial" w:hAnsi="Arial" w:cs="Arial"/>
          <w:sz w:val="22"/>
          <w:szCs w:val="22"/>
          <w:lang w:val="es-ES"/>
        </w:rPr>
        <w:t>s</w:t>
      </w:r>
      <w:r w:rsidRPr="00544542" w:rsidR="002B4E9A">
        <w:rPr>
          <w:rFonts w:ascii="Arial" w:hAnsi="Arial" w:cs="Arial"/>
          <w:sz w:val="22"/>
          <w:szCs w:val="22"/>
          <w:lang w:val="es-ES"/>
        </w:rPr>
        <w:t xml:space="preserve"> </w:t>
      </w:r>
      <w:r w:rsidRPr="00544542" w:rsidR="004323D2">
        <w:rPr>
          <w:rFonts w:ascii="Arial" w:hAnsi="Arial" w:cs="Arial"/>
          <w:sz w:val="22"/>
          <w:szCs w:val="22"/>
          <w:lang w:val="es-ES"/>
        </w:rPr>
        <w:t>Figura</w:t>
      </w:r>
      <w:r w:rsidRPr="00544542" w:rsidR="002B4E9A">
        <w:rPr>
          <w:rFonts w:ascii="Arial" w:hAnsi="Arial" w:cs="Arial"/>
          <w:sz w:val="22"/>
          <w:szCs w:val="22"/>
          <w:lang w:val="es-ES"/>
        </w:rPr>
        <w:t xml:space="preserve"> </w:t>
      </w:r>
      <w:r w:rsidRPr="00544542" w:rsidR="004323D2">
        <w:rPr>
          <w:rFonts w:ascii="Arial" w:hAnsi="Arial" w:cs="Arial"/>
          <w:sz w:val="22"/>
          <w:szCs w:val="22"/>
          <w:lang w:val="es-ES"/>
        </w:rPr>
        <w:t>1</w:t>
      </w:r>
      <w:r w:rsidRPr="00544542" w:rsidR="00C039D7">
        <w:rPr>
          <w:rFonts w:ascii="Arial" w:hAnsi="Arial" w:cs="Arial"/>
          <w:sz w:val="22"/>
          <w:szCs w:val="22"/>
          <w:lang w:val="es-ES"/>
        </w:rPr>
        <w:t>, 2</w:t>
      </w:r>
      <w:r w:rsidRPr="00544542" w:rsidR="00F568C1">
        <w:rPr>
          <w:rFonts w:ascii="Arial" w:hAnsi="Arial" w:cs="Arial"/>
          <w:sz w:val="22"/>
          <w:szCs w:val="22"/>
          <w:lang w:val="es-ES"/>
        </w:rPr>
        <w:t>,</w:t>
      </w:r>
      <w:r w:rsidRPr="00544542" w:rsidR="00C039D7">
        <w:rPr>
          <w:rFonts w:ascii="Arial" w:hAnsi="Arial" w:cs="Arial"/>
          <w:sz w:val="22"/>
          <w:szCs w:val="22"/>
          <w:lang w:val="es-ES"/>
        </w:rPr>
        <w:t xml:space="preserve"> y 3</w:t>
      </w:r>
      <w:r w:rsidR="00225666">
        <w:rPr>
          <w:rFonts w:ascii="Arial" w:hAnsi="Arial" w:cs="Arial"/>
          <w:sz w:val="22"/>
          <w:szCs w:val="22"/>
          <w:lang w:val="es-ES"/>
        </w:rPr>
        <w:t xml:space="preserve"> (para detalles, véase el anexo de teoría de cambio). </w:t>
      </w:r>
      <w:r w:rsidRPr="00544542" w:rsidR="00D82915">
        <w:rPr>
          <w:rFonts w:ascii="Arial" w:hAnsi="Arial" w:cs="Arial"/>
          <w:sz w:val="22"/>
          <w:szCs w:val="22"/>
          <w:lang w:val="es-ES"/>
        </w:rPr>
        <w:t xml:space="preserve"> </w:t>
      </w:r>
      <w:r w:rsidRPr="00544542" w:rsidR="002B4E9A">
        <w:rPr>
          <w:rFonts w:ascii="Arial" w:hAnsi="Arial" w:cs="Arial"/>
          <w:sz w:val="22"/>
          <w:szCs w:val="22"/>
          <w:lang w:val="es-ES"/>
        </w:rPr>
        <w:t>La Matriz de Resultados se ha acordado entre el Banco</w:t>
      </w:r>
      <w:r w:rsidR="00F503FB">
        <w:rPr>
          <w:rFonts w:ascii="Arial" w:hAnsi="Arial" w:cs="Arial"/>
          <w:sz w:val="22"/>
          <w:szCs w:val="22"/>
          <w:lang w:val="es-ES"/>
        </w:rPr>
        <w:t>,</w:t>
      </w:r>
      <w:r w:rsidRPr="00544542" w:rsidR="002B4E9A">
        <w:rPr>
          <w:rFonts w:ascii="Arial" w:hAnsi="Arial" w:cs="Arial"/>
          <w:sz w:val="22"/>
          <w:szCs w:val="22"/>
          <w:lang w:val="es-ES"/>
        </w:rPr>
        <w:t xml:space="preserve"> el MSPS</w:t>
      </w:r>
      <w:r w:rsidR="00F503FB">
        <w:rPr>
          <w:rFonts w:ascii="Arial" w:hAnsi="Arial" w:cs="Arial"/>
          <w:sz w:val="22"/>
          <w:szCs w:val="22"/>
          <w:lang w:val="es-ES"/>
        </w:rPr>
        <w:t>, la ADRES y el DNP</w:t>
      </w:r>
      <w:r w:rsidRPr="00544542" w:rsidR="002B4E9A">
        <w:rPr>
          <w:rFonts w:ascii="Arial" w:hAnsi="Arial" w:cs="Arial"/>
          <w:sz w:val="22"/>
          <w:szCs w:val="22"/>
          <w:lang w:val="es-ES"/>
        </w:rPr>
        <w:t xml:space="preserve">. </w:t>
      </w:r>
    </w:p>
    <w:p w:rsidRPr="00544542" w:rsidR="004323D2" w:rsidP="00164BDF" w:rsidRDefault="004323D2" w14:paraId="1AD84454" w14:textId="4E6A53E9">
      <w:pPr>
        <w:spacing w:line="276" w:lineRule="auto"/>
        <w:jc w:val="both"/>
        <w:rPr>
          <w:rFonts w:ascii="Arial" w:hAnsi="Arial" w:eastAsiaTheme="majorEastAsia" w:cstheme="majorBidi"/>
          <w:b/>
          <w:color w:val="000000" w:themeColor="text1"/>
          <w:spacing w:val="-3"/>
          <w:sz w:val="22"/>
          <w:szCs w:val="26"/>
          <w:lang w:val="es-ES" w:eastAsia="en-US"/>
        </w:rPr>
      </w:pPr>
      <w:r w:rsidRPr="00544542">
        <w:rPr>
          <w:rFonts w:ascii="Arial" w:hAnsi="Arial" w:eastAsiaTheme="majorEastAsia" w:cstheme="majorBidi"/>
          <w:b/>
          <w:color w:val="000000" w:themeColor="text1"/>
          <w:spacing w:val="-3"/>
          <w:sz w:val="22"/>
          <w:szCs w:val="26"/>
          <w:lang w:val="es-ES" w:eastAsia="en-US"/>
        </w:rPr>
        <w:t>Figura 1. Esquema de la lógica vertical de problemas e intervenciones</w:t>
      </w:r>
      <w:r w:rsidR="00B22B1C">
        <w:rPr>
          <w:rFonts w:ascii="Arial" w:hAnsi="Arial" w:eastAsiaTheme="majorEastAsia" w:cstheme="majorBidi"/>
          <w:b/>
          <w:color w:val="000000" w:themeColor="text1"/>
          <w:spacing w:val="-3"/>
          <w:sz w:val="22"/>
          <w:szCs w:val="26"/>
          <w:lang w:val="es-ES" w:eastAsia="en-US"/>
        </w:rPr>
        <w:t>, resultados e impactos</w:t>
      </w:r>
    </w:p>
    <w:p w:rsidRPr="002B0BEC" w:rsidR="004323D2" w:rsidP="00164BDF" w:rsidRDefault="004323D2" w14:paraId="4D4A4617" w14:textId="051D025E">
      <w:pPr>
        <w:spacing w:line="276" w:lineRule="auto"/>
        <w:jc w:val="both"/>
        <w:rPr>
          <w:rFonts w:ascii="Arial" w:hAnsi="Arial" w:eastAsiaTheme="majorEastAsia" w:cstheme="majorBidi"/>
          <w:b/>
          <w:color w:val="000000" w:themeColor="text1"/>
          <w:spacing w:val="-3"/>
          <w:sz w:val="20"/>
          <w:szCs w:val="20"/>
          <w:lang w:val="es-ES" w:eastAsia="en-US"/>
        </w:rPr>
      </w:pPr>
    </w:p>
    <w:p w:rsidRPr="00454394" w:rsidR="004323D2" w:rsidP="00454394" w:rsidRDefault="00454394" w14:paraId="1D7FDCB9" w14:textId="572CD157">
      <w:pPr>
        <w:jc w:val="both"/>
        <w:rPr>
          <w:rFonts w:ascii="Arial" w:hAnsi="Arial" w:eastAsiaTheme="majorEastAsia" w:cstheme="majorBidi"/>
          <w:b/>
          <w:color w:val="000000" w:themeColor="text1"/>
          <w:spacing w:val="-3"/>
          <w:sz w:val="21"/>
          <w:szCs w:val="21"/>
          <w:lang w:val="es-ES" w:eastAsia="en-US"/>
        </w:rPr>
      </w:pPr>
      <w:r>
        <w:rPr>
          <w:noProof/>
        </w:rPr>
        <w:drawing>
          <wp:anchor distT="0" distB="0" distL="114300" distR="114300" simplePos="0" relativeHeight="251658243" behindDoc="0" locked="0" layoutInCell="1" allowOverlap="1" wp14:anchorId="63F8D0EF" wp14:editId="34C39FA9">
            <wp:simplePos x="0" y="0"/>
            <wp:positionH relativeFrom="column">
              <wp:posOffset>-76200</wp:posOffset>
            </wp:positionH>
            <wp:positionV relativeFrom="paragraph">
              <wp:posOffset>213995</wp:posOffset>
            </wp:positionV>
            <wp:extent cx="6223000" cy="4775200"/>
            <wp:effectExtent l="0" t="0" r="6350" b="6350"/>
            <wp:wrapSquare wrapText="bothSides"/>
            <wp:docPr id="179588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21">
                      <a:extLst>
                        <a:ext uri="{28A0092B-C50C-407E-A947-70E740481C1C}">
                          <a14:useLocalDpi xmlns:a14="http://schemas.microsoft.com/office/drawing/2010/main" val="0"/>
                        </a:ext>
                      </a:extLst>
                    </a:blip>
                    <a:stretch>
                      <a:fillRect/>
                    </a:stretch>
                  </pic:blipFill>
                  <pic:spPr>
                    <a:xfrm>
                      <a:off x="0" y="0"/>
                      <a:ext cx="6223000" cy="4775200"/>
                    </a:xfrm>
                    <a:prstGeom prst="rect">
                      <a:avLst/>
                    </a:prstGeom>
                  </pic:spPr>
                </pic:pic>
              </a:graphicData>
            </a:graphic>
            <wp14:sizeRelH relativeFrom="page">
              <wp14:pctWidth>0</wp14:pctWidth>
            </wp14:sizeRelH>
            <wp14:sizeRelV relativeFrom="page">
              <wp14:pctHeight>0</wp14:pctHeight>
            </wp14:sizeRelV>
          </wp:anchor>
        </w:drawing>
      </w:r>
      <w:r w:rsidRPr="00454394" w:rsidR="004323D2">
        <w:rPr>
          <w:rFonts w:ascii="Arial" w:hAnsi="Arial" w:eastAsiaTheme="majorEastAsia" w:cstheme="majorBidi"/>
          <w:b/>
          <w:color w:val="000000" w:themeColor="text1"/>
          <w:spacing w:val="-3"/>
          <w:sz w:val="21"/>
          <w:szCs w:val="21"/>
          <w:lang w:val="es-ES" w:eastAsia="en-US"/>
        </w:rPr>
        <w:t xml:space="preserve">Componente 1 </w:t>
      </w:r>
    </w:p>
    <w:p w:rsidR="00454394" w:rsidP="00454394" w:rsidRDefault="00454394" w14:paraId="32982017" w14:textId="0C864FA5"/>
    <w:p w:rsidR="00454394" w:rsidP="00454394" w:rsidRDefault="00454394" w14:paraId="2D173D59" w14:textId="6E55E4F9"/>
    <w:p w:rsidR="00454394" w:rsidP="00454394" w:rsidRDefault="00454394" w14:paraId="6416972B" w14:textId="371F458F"/>
    <w:p w:rsidR="00454394" w:rsidRDefault="00454394" w14:paraId="3FD850B9" w14:textId="1D5F280D">
      <w:pPr>
        <w:spacing w:after="160" w:line="259" w:lineRule="auto"/>
      </w:pPr>
      <w:r>
        <w:br w:type="page"/>
      </w:r>
    </w:p>
    <w:p w:rsidRPr="00454394" w:rsidR="004323D2" w:rsidP="00454394" w:rsidRDefault="002B0BEC" w14:paraId="024C6B6A" w14:textId="3044B6FD">
      <w:pPr>
        <w:rPr>
          <w:rFonts w:ascii="Arial" w:hAnsi="Arial" w:cs="Arial"/>
          <w:b/>
          <w:bCs/>
          <w:sz w:val="21"/>
          <w:szCs w:val="21"/>
        </w:rPr>
      </w:pPr>
      <w:r w:rsidRPr="00454394">
        <w:rPr>
          <w:rFonts w:ascii="Arial" w:hAnsi="Arial" w:cs="Arial"/>
          <w:b/>
          <w:bCs/>
          <w:sz w:val="21"/>
          <w:szCs w:val="21"/>
        </w:rPr>
        <w:lastRenderedPageBreak/>
        <w:t>C</w:t>
      </w:r>
      <w:r w:rsidRPr="00454394" w:rsidR="004323D2">
        <w:rPr>
          <w:rFonts w:ascii="Arial" w:hAnsi="Arial" w:cs="Arial"/>
          <w:b/>
          <w:bCs/>
          <w:sz w:val="21"/>
          <w:szCs w:val="21"/>
        </w:rPr>
        <w:t xml:space="preserve">omponente 2 </w:t>
      </w:r>
    </w:p>
    <w:p w:rsidRPr="00544542" w:rsidR="00164BDF" w:rsidP="00482202" w:rsidRDefault="004323D2" w14:paraId="6309FF77" w14:textId="77777777">
      <w:pPr>
        <w:pStyle w:val="Paragraph"/>
      </w:pPr>
      <w:r>
        <w:rPr>
          <w:noProof/>
        </w:rPr>
        <w:drawing>
          <wp:inline distT="0" distB="0" distL="0" distR="0" wp14:anchorId="3F87F0AE" wp14:editId="7CC2EBEE">
            <wp:extent cx="6121400" cy="3803650"/>
            <wp:effectExtent l="0" t="0" r="0" b="6350"/>
            <wp:docPr id="144270146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22">
                      <a:extLst>
                        <a:ext uri="{28A0092B-C50C-407E-A947-70E740481C1C}">
                          <a14:useLocalDpi xmlns:a14="http://schemas.microsoft.com/office/drawing/2010/main" val="0"/>
                        </a:ext>
                      </a:extLst>
                    </a:blip>
                    <a:stretch>
                      <a:fillRect/>
                    </a:stretch>
                  </pic:blipFill>
                  <pic:spPr>
                    <a:xfrm>
                      <a:off x="0" y="0"/>
                      <a:ext cx="6121400" cy="3803650"/>
                    </a:xfrm>
                    <a:prstGeom prst="rect">
                      <a:avLst/>
                    </a:prstGeom>
                  </pic:spPr>
                </pic:pic>
              </a:graphicData>
            </a:graphic>
          </wp:inline>
        </w:drawing>
      </w:r>
    </w:p>
    <w:p w:rsidRPr="00454394" w:rsidR="00164BDF" w:rsidP="00482202" w:rsidRDefault="00164BDF" w14:paraId="55ECDD03" w14:textId="0BD74CD5">
      <w:pPr>
        <w:pStyle w:val="Paragraph"/>
      </w:pPr>
      <w:r w:rsidRPr="00454394">
        <w:t>Componente 3</w:t>
      </w:r>
    </w:p>
    <w:p w:rsidRPr="009D105A" w:rsidR="004323D2" w:rsidP="00482202" w:rsidRDefault="001640F7" w14:paraId="493FBEAA" w14:textId="5C827DF0">
      <w:pPr>
        <w:pStyle w:val="Paragraph"/>
        <w:rPr>
          <w:sz w:val="18"/>
          <w:szCs w:val="18"/>
        </w:rPr>
      </w:pPr>
      <w:r>
        <w:rPr>
          <w:noProof/>
        </w:rPr>
        <w:drawing>
          <wp:inline distT="0" distB="0" distL="0" distR="0" wp14:anchorId="4B32C3F1" wp14:editId="23CECEC4">
            <wp:extent cx="6121400" cy="4025900"/>
            <wp:effectExtent l="0" t="0" r="0" b="0"/>
            <wp:docPr id="7571281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3">
                      <a:extLst>
                        <a:ext uri="{28A0092B-C50C-407E-A947-70E740481C1C}">
                          <a14:useLocalDpi xmlns:a14="http://schemas.microsoft.com/office/drawing/2010/main" val="0"/>
                        </a:ext>
                      </a:extLst>
                    </a:blip>
                    <a:stretch>
                      <a:fillRect/>
                    </a:stretch>
                  </pic:blipFill>
                  <pic:spPr>
                    <a:xfrm>
                      <a:off x="0" y="0"/>
                      <a:ext cx="6122044" cy="4026324"/>
                    </a:xfrm>
                    <a:prstGeom prst="rect">
                      <a:avLst/>
                    </a:prstGeom>
                  </pic:spPr>
                </pic:pic>
              </a:graphicData>
            </a:graphic>
          </wp:inline>
        </w:drawing>
      </w:r>
    </w:p>
    <w:p w:rsidRPr="00284F47" w:rsidR="00B22B1C" w:rsidP="00284F47" w:rsidRDefault="00B22B1C" w14:paraId="5945B632" w14:textId="626B909A">
      <w:pPr>
        <w:keepNext/>
        <w:keepLines/>
        <w:spacing w:after="120"/>
        <w:rPr>
          <w:rFonts w:ascii="Arial" w:hAnsi="Arial" w:eastAsia="Calibri" w:cs="Arial"/>
          <w:b/>
          <w:bCs/>
          <w:spacing w:val="-2"/>
          <w:sz w:val="21"/>
          <w:szCs w:val="21"/>
          <w:lang w:val="es-ES" w:eastAsia="en-US"/>
        </w:rPr>
      </w:pPr>
      <w:r w:rsidRPr="00284F47">
        <w:rPr>
          <w:rFonts w:ascii="Arial" w:hAnsi="Arial" w:eastAsia="Calibri" w:cs="Arial"/>
          <w:b/>
          <w:bCs/>
          <w:spacing w:val="-2"/>
          <w:sz w:val="21"/>
          <w:szCs w:val="21"/>
          <w:lang w:val="es-ES" w:eastAsia="en-US"/>
        </w:rPr>
        <w:lastRenderedPageBreak/>
        <w:t>Objetivos, intervenciones, resultados e impactos del programa</w:t>
      </w:r>
    </w:p>
    <w:p w:rsidRPr="00B22B1C" w:rsidR="00B22B1C" w:rsidP="002D3FA5" w:rsidRDefault="00B22B1C" w14:paraId="53974820" w14:textId="41009796">
      <w:pPr>
        <w:keepNext/>
        <w:keepLines/>
        <w:rPr>
          <w:rFonts w:ascii="Arial" w:hAnsi="Arial" w:eastAsia="Calibri" w:cs="Arial"/>
          <w:spacing w:val="-2"/>
          <w:sz w:val="22"/>
          <w:szCs w:val="22"/>
          <w:lang w:val="es-ES" w:eastAsia="en-US"/>
        </w:rPr>
      </w:pPr>
      <w:r>
        <w:rPr>
          <w:rFonts w:ascii="Arial" w:hAnsi="Arial" w:eastAsia="Calibri" w:cs="Arial"/>
          <w:b/>
          <w:noProof/>
          <w:sz w:val="22"/>
          <w:szCs w:val="22"/>
          <w:lang w:val="es-ES" w:eastAsia="en-US"/>
        </w:rPr>
        <w:drawing>
          <wp:inline distT="0" distB="0" distL="0" distR="0" wp14:anchorId="4EC43F11" wp14:editId="72E454DB">
            <wp:extent cx="6241415" cy="412115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56145" cy="4130876"/>
                    </a:xfrm>
                    <a:prstGeom prst="rect">
                      <a:avLst/>
                    </a:prstGeom>
                    <a:noFill/>
                  </pic:spPr>
                </pic:pic>
              </a:graphicData>
            </a:graphic>
          </wp:inline>
        </w:drawing>
      </w:r>
    </w:p>
    <w:p w:rsidRPr="00B22B1C" w:rsidR="00B22B1C" w:rsidP="002D3FA5" w:rsidRDefault="00B22B1C" w14:paraId="0BA5233E" w14:textId="77777777">
      <w:pPr>
        <w:keepNext/>
        <w:keepLines/>
        <w:rPr>
          <w:lang w:val="es-ES" w:eastAsia="en-US"/>
        </w:rPr>
      </w:pPr>
    </w:p>
    <w:p w:rsidR="00B22B1C" w:rsidP="007B464E" w:rsidRDefault="00B22B1C" w14:paraId="123CF70C" w14:textId="19FA56FC">
      <w:pPr>
        <w:pStyle w:val="Heading2"/>
        <w:numPr>
          <w:ilvl w:val="0"/>
          <w:numId w:val="21"/>
        </w:numPr>
      </w:pPr>
      <w:r>
        <w:t xml:space="preserve">Indicadores de Impacto </w:t>
      </w:r>
    </w:p>
    <w:p w:rsidRPr="0048195C" w:rsidR="00B22B1C" w:rsidP="00B22B1C" w:rsidRDefault="00B22B1C" w14:paraId="51D31BCC" w14:textId="58877E75">
      <w:pPr>
        <w:jc w:val="both"/>
        <w:rPr>
          <w:rFonts w:ascii="Arial" w:hAnsi="Arial" w:cs="Arial"/>
          <w:sz w:val="22"/>
          <w:szCs w:val="22"/>
          <w:lang w:val="es-ES"/>
        </w:rPr>
      </w:pPr>
      <w:r>
        <w:rPr>
          <w:rFonts w:ascii="Arial" w:hAnsi="Arial" w:cs="Arial"/>
          <w:sz w:val="22"/>
          <w:szCs w:val="22"/>
          <w:lang w:val="es-ES"/>
        </w:rPr>
        <w:t xml:space="preserve">Siguiendo la cadena causal lógica de los indicadores de resultados, los indicadores de impacto que el programa busca contribuir al 2022 son: </w:t>
      </w:r>
      <w:r w:rsidR="002D3FA5">
        <w:rPr>
          <w:rFonts w:ascii="Arial" w:hAnsi="Arial" w:cs="Arial"/>
          <w:sz w:val="22"/>
          <w:szCs w:val="22"/>
          <w:lang w:val="es-ES"/>
        </w:rPr>
        <w:t>(</w:t>
      </w:r>
      <w:r>
        <w:rPr>
          <w:rFonts w:ascii="Arial" w:hAnsi="Arial" w:cs="Arial"/>
          <w:sz w:val="22"/>
          <w:szCs w:val="22"/>
          <w:lang w:val="es-ES"/>
        </w:rPr>
        <w:t xml:space="preserve">i) </w:t>
      </w:r>
      <w:r w:rsidRPr="0048195C">
        <w:rPr>
          <w:rFonts w:ascii="Arial" w:hAnsi="Arial" w:cs="Arial"/>
          <w:sz w:val="22"/>
          <w:szCs w:val="22"/>
          <w:lang w:val="es-ES"/>
        </w:rPr>
        <w:t xml:space="preserve">Patrimonio adecuado de EPS deficitarias; </w:t>
      </w:r>
      <w:r w:rsidR="002D3FA5">
        <w:rPr>
          <w:rFonts w:ascii="Arial" w:hAnsi="Arial" w:cs="Arial"/>
          <w:sz w:val="22"/>
          <w:szCs w:val="22"/>
          <w:lang w:val="es-ES"/>
        </w:rPr>
        <w:t>(</w:t>
      </w:r>
      <w:proofErr w:type="spellStart"/>
      <w:r w:rsidRPr="0048195C">
        <w:rPr>
          <w:rFonts w:ascii="Arial" w:hAnsi="Arial" w:cs="Arial"/>
          <w:sz w:val="22"/>
          <w:szCs w:val="22"/>
          <w:lang w:val="es-ES"/>
        </w:rPr>
        <w:t>ii</w:t>
      </w:r>
      <w:proofErr w:type="spellEnd"/>
      <w:r w:rsidRPr="0048195C">
        <w:rPr>
          <w:rFonts w:ascii="Arial" w:hAnsi="Arial" w:cs="Arial"/>
          <w:sz w:val="22"/>
          <w:szCs w:val="22"/>
          <w:lang w:val="es-ES"/>
        </w:rPr>
        <w:t>)</w:t>
      </w:r>
      <w:r w:rsidR="002D3FA5">
        <w:rPr>
          <w:rFonts w:ascii="Arial" w:hAnsi="Arial" w:cs="Arial"/>
          <w:sz w:val="22"/>
          <w:szCs w:val="22"/>
          <w:lang w:val="es-ES"/>
        </w:rPr>
        <w:t> </w:t>
      </w:r>
      <w:r w:rsidRPr="0048195C">
        <w:rPr>
          <w:rFonts w:ascii="Arial" w:hAnsi="Arial" w:cs="Arial"/>
          <w:sz w:val="22"/>
          <w:szCs w:val="22"/>
          <w:lang w:val="es-ES"/>
        </w:rPr>
        <w:t xml:space="preserve">Cobertura de afiliación al SGSSS; y </w:t>
      </w:r>
      <w:r w:rsidR="002D3FA5">
        <w:rPr>
          <w:rFonts w:ascii="Arial" w:hAnsi="Arial" w:cs="Arial"/>
          <w:sz w:val="22"/>
          <w:szCs w:val="22"/>
          <w:lang w:val="es-ES"/>
        </w:rPr>
        <w:t>(</w:t>
      </w:r>
      <w:proofErr w:type="spellStart"/>
      <w:r w:rsidRPr="0048195C">
        <w:rPr>
          <w:rFonts w:ascii="Arial" w:hAnsi="Arial" w:cs="Arial"/>
          <w:sz w:val="22"/>
          <w:szCs w:val="22"/>
          <w:lang w:val="es-ES"/>
        </w:rPr>
        <w:t>iii</w:t>
      </w:r>
      <w:proofErr w:type="spellEnd"/>
      <w:r w:rsidRPr="0048195C">
        <w:rPr>
          <w:rFonts w:ascii="Arial" w:hAnsi="Arial" w:cs="Arial"/>
          <w:sz w:val="22"/>
          <w:szCs w:val="22"/>
          <w:lang w:val="es-ES"/>
        </w:rPr>
        <w:t xml:space="preserve">) </w:t>
      </w:r>
      <w:bookmarkStart w:name="_Hlk32922613" w:id="11"/>
      <w:r w:rsidRPr="0048195C">
        <w:rPr>
          <w:rFonts w:ascii="Arial" w:hAnsi="Arial" w:cs="Arial"/>
          <w:sz w:val="22"/>
          <w:szCs w:val="22"/>
          <w:lang w:val="es-ES"/>
        </w:rPr>
        <w:t>Tasa de mortalidad prematura por enfermedades crónicas en población entre 30 y hasta 70 años (por cada 100.000 personas entre 30 y 70 años)</w:t>
      </w:r>
      <w:bookmarkEnd w:id="11"/>
    </w:p>
    <w:p w:rsidR="00B22B1C" w:rsidP="00B22B1C" w:rsidRDefault="00B22B1C" w14:paraId="2ADE54BA" w14:textId="77777777">
      <w:pPr>
        <w:rPr>
          <w:rFonts w:ascii="Arial" w:hAnsi="Arial" w:cs="Arial"/>
          <w:sz w:val="22"/>
          <w:szCs w:val="22"/>
          <w:lang w:val="es-ES"/>
        </w:rPr>
      </w:pPr>
    </w:p>
    <w:p w:rsidR="00B22B1C" w:rsidP="00B22B1C" w:rsidRDefault="00B22B1C" w14:paraId="2E652176" w14:textId="37415C00">
      <w:pPr>
        <w:rPr>
          <w:rFonts w:ascii="Arial" w:hAnsi="Arial" w:cs="Arial"/>
          <w:sz w:val="22"/>
          <w:szCs w:val="22"/>
          <w:lang w:val="es-ES"/>
        </w:rPr>
      </w:pPr>
      <w:r w:rsidRPr="00CE1335">
        <w:rPr>
          <w:rFonts w:ascii="Arial" w:hAnsi="Arial" w:cs="Arial"/>
          <w:sz w:val="22"/>
          <w:szCs w:val="22"/>
          <w:lang w:val="es-ES"/>
        </w:rPr>
        <w:t xml:space="preserve">A continuación, se presenta el </w:t>
      </w:r>
      <w:r>
        <w:rPr>
          <w:rFonts w:ascii="Arial" w:hAnsi="Arial" w:cs="Arial"/>
          <w:sz w:val="22"/>
          <w:szCs w:val="22"/>
          <w:lang w:val="es-ES"/>
        </w:rPr>
        <w:t xml:space="preserve">detalle de la construcción de los indicadores de impacto. </w:t>
      </w:r>
    </w:p>
    <w:p w:rsidRPr="00CE1335" w:rsidR="00487CF2" w:rsidP="00B22B1C" w:rsidRDefault="00487CF2" w14:paraId="61732E76" w14:textId="77777777">
      <w:pPr>
        <w:rPr>
          <w:rFonts w:ascii="Arial" w:hAnsi="Arial" w:cs="Arial"/>
          <w:sz w:val="22"/>
          <w:szCs w:val="22"/>
          <w:lang w:val="es-ES"/>
        </w:rPr>
      </w:pPr>
    </w:p>
    <w:p w:rsidRPr="00284F47" w:rsidR="00B22B1C" w:rsidP="00B22B1C" w:rsidRDefault="00487CF2" w14:paraId="33E7BF24" w14:textId="3950116A">
      <w:pPr>
        <w:rPr>
          <w:rFonts w:ascii="Arial" w:hAnsi="Arial" w:cs="Arial"/>
          <w:b/>
          <w:bCs/>
          <w:sz w:val="22"/>
          <w:szCs w:val="22"/>
          <w:lang w:val="es-ES"/>
        </w:rPr>
      </w:pPr>
      <w:r w:rsidRPr="00284F47">
        <w:rPr>
          <w:rFonts w:ascii="Arial" w:hAnsi="Arial" w:cs="Arial"/>
          <w:b/>
          <w:bCs/>
          <w:sz w:val="22"/>
          <w:szCs w:val="22"/>
          <w:lang w:val="es-ES"/>
        </w:rPr>
        <w:t xml:space="preserve">Indicador de impacto 1. </w:t>
      </w:r>
    </w:p>
    <w:tbl>
      <w:tblPr>
        <w:tblStyle w:val="TableGrid"/>
        <w:tblW w:w="0" w:type="auto"/>
        <w:tblLook w:val="04A0" w:firstRow="1" w:lastRow="0" w:firstColumn="1" w:lastColumn="0" w:noHBand="0" w:noVBand="1"/>
      </w:tblPr>
      <w:tblGrid>
        <w:gridCol w:w="3539"/>
        <w:gridCol w:w="5811"/>
      </w:tblGrid>
      <w:tr w:rsidRPr="00284F47" w:rsidR="00C01EC4" w:rsidTr="002D3FA5" w14:paraId="27686206" w14:textId="77777777">
        <w:trPr>
          <w:trHeight w:val="890"/>
        </w:trPr>
        <w:tc>
          <w:tcPr>
            <w:tcW w:w="3539" w:type="dxa"/>
          </w:tcPr>
          <w:p w:rsidRPr="00284F47" w:rsidR="00C01EC4" w:rsidP="00482202" w:rsidRDefault="00C01EC4" w14:paraId="623AF005" w14:textId="77777777">
            <w:pPr>
              <w:pStyle w:val="Paragraph"/>
            </w:pPr>
            <w:r w:rsidRPr="00284F47">
              <w:t>Definición</w:t>
            </w:r>
          </w:p>
        </w:tc>
        <w:tc>
          <w:tcPr>
            <w:tcW w:w="5811" w:type="dxa"/>
          </w:tcPr>
          <w:p w:rsidRPr="00284F47" w:rsidR="00C01EC4" w:rsidP="00482202" w:rsidRDefault="00C01EC4" w14:paraId="0A16CAA2" w14:textId="77777777">
            <w:pPr>
              <w:pStyle w:val="Paragraph"/>
            </w:pPr>
            <w:r w:rsidRPr="00284F47">
              <w:t xml:space="preserve">Patrimonio adecuado de EPS deficitarias. Este indicador de impacto mide que la EPS, de acuerdo con los recursos que majea, acredite un patrimonio que pueda respaldar su operación. </w:t>
            </w:r>
          </w:p>
        </w:tc>
      </w:tr>
      <w:tr w:rsidRPr="00284F47" w:rsidR="00C01EC4" w:rsidTr="00800AF1" w14:paraId="273C78A7" w14:textId="77777777">
        <w:tc>
          <w:tcPr>
            <w:tcW w:w="3539" w:type="dxa"/>
          </w:tcPr>
          <w:p w:rsidRPr="00284F47" w:rsidR="00C01EC4" w:rsidP="00482202" w:rsidRDefault="00C01EC4" w14:paraId="6A854A5B" w14:textId="77777777">
            <w:pPr>
              <w:pStyle w:val="Paragraph"/>
            </w:pPr>
            <w:r w:rsidRPr="00284F47">
              <w:t>Meta al final del proyecto</w:t>
            </w:r>
          </w:p>
        </w:tc>
        <w:tc>
          <w:tcPr>
            <w:tcW w:w="5811" w:type="dxa"/>
          </w:tcPr>
          <w:p w:rsidRPr="00284F47" w:rsidR="00C01EC4" w:rsidP="00482202" w:rsidRDefault="00C01EC4" w14:paraId="16827E85" w14:textId="77777777">
            <w:pPr>
              <w:pStyle w:val="Paragraph"/>
            </w:pPr>
            <w:r w:rsidRPr="00284F47">
              <w:t xml:space="preserve">Se espera que al final del proyecto el patrimonio adecuado de EPS deficitarias sea de -5.0 billones de pesos </w:t>
            </w:r>
          </w:p>
        </w:tc>
      </w:tr>
      <w:tr w:rsidRPr="00284F47" w:rsidR="00C01EC4" w:rsidTr="00800AF1" w14:paraId="41D55830" w14:textId="77777777">
        <w:tc>
          <w:tcPr>
            <w:tcW w:w="3539" w:type="dxa"/>
          </w:tcPr>
          <w:p w:rsidRPr="00284F47" w:rsidR="00C01EC4" w:rsidP="00482202" w:rsidRDefault="00C01EC4" w14:paraId="55ED6B52" w14:textId="77777777">
            <w:pPr>
              <w:pStyle w:val="Paragraph"/>
            </w:pPr>
            <w:r w:rsidRPr="00284F47">
              <w:t xml:space="preserve">Periodo de verificación esperado </w:t>
            </w:r>
          </w:p>
        </w:tc>
        <w:tc>
          <w:tcPr>
            <w:tcW w:w="5811" w:type="dxa"/>
          </w:tcPr>
          <w:p w:rsidRPr="00284F47" w:rsidR="00C01EC4" w:rsidP="00482202" w:rsidRDefault="00C01EC4" w14:paraId="103AFBAA" w14:textId="77777777">
            <w:pPr>
              <w:pStyle w:val="Paragraph"/>
            </w:pPr>
            <w:r w:rsidRPr="00284F47">
              <w:t>El resultado se verificará en 2023</w:t>
            </w:r>
          </w:p>
        </w:tc>
      </w:tr>
      <w:tr w:rsidRPr="00284F47" w:rsidR="00C01EC4" w:rsidTr="00800AF1" w14:paraId="72C1FDD2" w14:textId="77777777">
        <w:tc>
          <w:tcPr>
            <w:tcW w:w="3539" w:type="dxa"/>
          </w:tcPr>
          <w:p w:rsidRPr="00284F47" w:rsidR="00C01EC4" w:rsidP="00482202" w:rsidRDefault="00C01EC4" w14:paraId="30A50274" w14:textId="77777777">
            <w:pPr>
              <w:pStyle w:val="Paragraph"/>
            </w:pPr>
            <w:r w:rsidRPr="00284F47">
              <w:t>Medio de verificación</w:t>
            </w:r>
          </w:p>
        </w:tc>
        <w:tc>
          <w:tcPr>
            <w:tcW w:w="5811" w:type="dxa"/>
          </w:tcPr>
          <w:p w:rsidRPr="00284F47" w:rsidR="00C01EC4" w:rsidP="00482202" w:rsidRDefault="00C01EC4" w14:paraId="455BEDE3" w14:textId="77777777">
            <w:pPr>
              <w:pStyle w:val="Paragraph"/>
            </w:pPr>
            <w:r w:rsidRPr="00284F47">
              <w:t>Informe de seguimiento indicadores financieros de permanencia para EPS de la Superintendencia Nacional de Salud.</w:t>
            </w:r>
          </w:p>
        </w:tc>
      </w:tr>
      <w:tr w:rsidRPr="00284F47" w:rsidR="00C01EC4" w:rsidTr="00800AF1" w14:paraId="6ADF325E" w14:textId="77777777">
        <w:tc>
          <w:tcPr>
            <w:tcW w:w="3539" w:type="dxa"/>
          </w:tcPr>
          <w:p w:rsidRPr="00284F47" w:rsidR="00C01EC4" w:rsidP="00482202" w:rsidRDefault="00C01EC4" w14:paraId="173351C2" w14:textId="77777777">
            <w:pPr>
              <w:pStyle w:val="Paragraph"/>
            </w:pPr>
            <w:r w:rsidRPr="00284F47">
              <w:t>Entidad responsable</w:t>
            </w:r>
          </w:p>
        </w:tc>
        <w:tc>
          <w:tcPr>
            <w:tcW w:w="5811" w:type="dxa"/>
          </w:tcPr>
          <w:p w:rsidRPr="00284F47" w:rsidR="00C01EC4" w:rsidP="00482202" w:rsidRDefault="00C01EC4" w14:paraId="396821A3" w14:textId="379FEDA8">
            <w:pPr>
              <w:pStyle w:val="Paragraph"/>
            </w:pPr>
            <w:r w:rsidRPr="00284F47">
              <w:t>Superintendencia Nacional de Salud</w:t>
            </w:r>
            <w:r w:rsidRPr="00284F47" w:rsidR="002D3FA5">
              <w:t xml:space="preserve"> </w:t>
            </w:r>
          </w:p>
        </w:tc>
      </w:tr>
      <w:tr w:rsidRPr="00284F47" w:rsidR="00C01EC4" w:rsidTr="00800AF1" w14:paraId="4E02C8FA" w14:textId="77777777">
        <w:tc>
          <w:tcPr>
            <w:tcW w:w="3539" w:type="dxa"/>
          </w:tcPr>
          <w:p w:rsidRPr="00284F47" w:rsidR="00C01EC4" w:rsidP="00482202" w:rsidRDefault="00C01EC4" w14:paraId="0F9C3D48" w14:textId="77777777">
            <w:pPr>
              <w:pStyle w:val="Paragraph"/>
            </w:pPr>
            <w:r w:rsidRPr="00284F47">
              <w:t>Otra información</w:t>
            </w:r>
          </w:p>
        </w:tc>
        <w:tc>
          <w:tcPr>
            <w:tcW w:w="5811" w:type="dxa"/>
          </w:tcPr>
          <w:p w:rsidRPr="00284F47" w:rsidR="00C01EC4" w:rsidP="00482202" w:rsidRDefault="00C01EC4" w14:paraId="0EEA4FC4" w14:textId="38150FEA">
            <w:pPr>
              <w:pStyle w:val="Paragraph"/>
            </w:pPr>
            <w:r w:rsidRPr="00284F47">
              <w:t>Metodología de cálculo (decreto 2702 de 2014, artículo 6</w:t>
            </w:r>
            <w:r w:rsidR="009D105A">
              <w:t> </w:t>
            </w:r>
            <w:r w:rsidRPr="00284F47">
              <w:t xml:space="preserve">punto 2): 8% de todos los ingresos operacionales de los </w:t>
            </w:r>
            <w:r w:rsidRPr="00284F47">
              <w:lastRenderedPageBreak/>
              <w:t>últimos doce meses (Unidades de Pago por Capitación+ Recursos para acciones de promoción y prevención + cuotas moderadoras + copagos + valor reconocido para pago de incapacidades + el valor reconocido para enfermedades de alto costo + los demás que determine la Supersalud), multiplicado por el porcentaje de costos y gastos netos de siniestros relativos a la cobertura de riesgos en salud.</w:t>
            </w:r>
            <w:r w:rsidRPr="00284F47" w:rsidR="002D3FA5">
              <w:t xml:space="preserve"> </w:t>
            </w:r>
          </w:p>
        </w:tc>
      </w:tr>
    </w:tbl>
    <w:p w:rsidRPr="002D3FA5" w:rsidR="00C01EC4" w:rsidP="00B22B1C" w:rsidRDefault="00C01EC4" w14:paraId="4B90BB4B" w14:textId="2D71282A">
      <w:pPr>
        <w:rPr>
          <w:rFonts w:ascii="Arial" w:hAnsi="Arial" w:cs="Arial"/>
          <w:sz w:val="20"/>
          <w:szCs w:val="20"/>
          <w:lang w:eastAsia="en-US"/>
        </w:rPr>
      </w:pPr>
    </w:p>
    <w:p w:rsidRPr="00284F47" w:rsidR="00487CF2" w:rsidP="00B22B1C" w:rsidRDefault="00487CF2" w14:paraId="691EAE1B" w14:textId="73FCD5B7">
      <w:pPr>
        <w:rPr>
          <w:rFonts w:ascii="Arial" w:hAnsi="Arial" w:cs="Arial"/>
          <w:b/>
          <w:bCs/>
          <w:sz w:val="22"/>
          <w:szCs w:val="22"/>
          <w:lang w:val="es-ES"/>
        </w:rPr>
      </w:pPr>
      <w:r w:rsidRPr="00284F47">
        <w:rPr>
          <w:rFonts w:ascii="Arial" w:hAnsi="Arial" w:cs="Arial"/>
          <w:b/>
          <w:bCs/>
          <w:sz w:val="22"/>
          <w:szCs w:val="22"/>
          <w:lang w:val="es-ES"/>
        </w:rPr>
        <w:t xml:space="preserve">Indicador de impacto 2. </w:t>
      </w:r>
    </w:p>
    <w:tbl>
      <w:tblPr>
        <w:tblStyle w:val="TableGrid"/>
        <w:tblW w:w="0" w:type="auto"/>
        <w:tblLook w:val="04A0" w:firstRow="1" w:lastRow="0" w:firstColumn="1" w:lastColumn="0" w:noHBand="0" w:noVBand="1"/>
      </w:tblPr>
      <w:tblGrid>
        <w:gridCol w:w="3539"/>
        <w:gridCol w:w="5811"/>
      </w:tblGrid>
      <w:tr w:rsidRPr="00284F47" w:rsidR="00C01EC4" w:rsidTr="00800AF1" w14:paraId="2630090C" w14:textId="77777777">
        <w:tc>
          <w:tcPr>
            <w:tcW w:w="3539" w:type="dxa"/>
          </w:tcPr>
          <w:p w:rsidRPr="00284F47" w:rsidR="00C01EC4" w:rsidP="00482202" w:rsidRDefault="00C01EC4" w14:paraId="77F7B34B" w14:textId="77777777">
            <w:pPr>
              <w:pStyle w:val="Paragraph"/>
            </w:pPr>
            <w:r w:rsidRPr="00284F47">
              <w:t>Definición</w:t>
            </w:r>
          </w:p>
        </w:tc>
        <w:tc>
          <w:tcPr>
            <w:tcW w:w="5811" w:type="dxa"/>
          </w:tcPr>
          <w:p w:rsidRPr="00284F47" w:rsidR="00C01EC4" w:rsidP="00482202" w:rsidRDefault="00C01EC4" w14:paraId="74A62D98" w14:textId="77777777">
            <w:pPr>
              <w:pStyle w:val="Paragraph"/>
            </w:pPr>
            <w:r w:rsidRPr="00284F47">
              <w:t xml:space="preserve">Cobertura de afiliación al SGSSS. Este indicador de impacto mide el porcentaje de personas afiliadas al SGSSS. </w:t>
            </w:r>
          </w:p>
        </w:tc>
      </w:tr>
      <w:tr w:rsidRPr="00284F47" w:rsidR="00C01EC4" w:rsidTr="00800AF1" w14:paraId="60BAE856" w14:textId="77777777">
        <w:tc>
          <w:tcPr>
            <w:tcW w:w="3539" w:type="dxa"/>
          </w:tcPr>
          <w:p w:rsidRPr="00284F47" w:rsidR="00C01EC4" w:rsidP="00482202" w:rsidRDefault="00C01EC4" w14:paraId="1BD7C955" w14:textId="77777777">
            <w:pPr>
              <w:pStyle w:val="Paragraph"/>
            </w:pPr>
            <w:r w:rsidRPr="00284F47">
              <w:t>Meta al final del proyecto</w:t>
            </w:r>
          </w:p>
        </w:tc>
        <w:tc>
          <w:tcPr>
            <w:tcW w:w="5811" w:type="dxa"/>
          </w:tcPr>
          <w:p w:rsidRPr="00284F47" w:rsidR="00C01EC4" w:rsidP="00482202" w:rsidRDefault="00C01EC4" w14:paraId="40538FA8" w14:textId="77777777">
            <w:pPr>
              <w:pStyle w:val="Paragraph"/>
            </w:pPr>
            <w:r w:rsidRPr="00284F47">
              <w:t xml:space="preserve">Se espera que al final del proyecto el porcentaje de afiliados a salud sea de 96% </w:t>
            </w:r>
          </w:p>
        </w:tc>
      </w:tr>
      <w:tr w:rsidRPr="00284F47" w:rsidR="00C01EC4" w:rsidTr="00800AF1" w14:paraId="30160596" w14:textId="77777777">
        <w:tc>
          <w:tcPr>
            <w:tcW w:w="3539" w:type="dxa"/>
          </w:tcPr>
          <w:p w:rsidRPr="00284F47" w:rsidR="00C01EC4" w:rsidP="00482202" w:rsidRDefault="00C01EC4" w14:paraId="7D700FF1" w14:textId="77777777">
            <w:pPr>
              <w:pStyle w:val="Paragraph"/>
            </w:pPr>
            <w:r w:rsidRPr="00284F47">
              <w:t xml:space="preserve">Periodo de verificación esperado </w:t>
            </w:r>
          </w:p>
        </w:tc>
        <w:tc>
          <w:tcPr>
            <w:tcW w:w="5811" w:type="dxa"/>
          </w:tcPr>
          <w:p w:rsidRPr="00284F47" w:rsidR="00C01EC4" w:rsidP="00482202" w:rsidRDefault="00C01EC4" w14:paraId="4F20958C" w14:textId="77777777">
            <w:pPr>
              <w:pStyle w:val="Paragraph"/>
            </w:pPr>
            <w:r w:rsidRPr="00284F47">
              <w:t>El resultado se verificará en 2023</w:t>
            </w:r>
          </w:p>
        </w:tc>
      </w:tr>
      <w:tr w:rsidRPr="00284F47" w:rsidR="00C01EC4" w:rsidTr="00800AF1" w14:paraId="104A4B16" w14:textId="77777777">
        <w:tc>
          <w:tcPr>
            <w:tcW w:w="3539" w:type="dxa"/>
          </w:tcPr>
          <w:p w:rsidRPr="00284F47" w:rsidR="00C01EC4" w:rsidP="00482202" w:rsidRDefault="00C01EC4" w14:paraId="57E10A48" w14:textId="77777777">
            <w:pPr>
              <w:pStyle w:val="Paragraph"/>
            </w:pPr>
            <w:r w:rsidRPr="00284F47">
              <w:t>Medio de verificación</w:t>
            </w:r>
          </w:p>
        </w:tc>
        <w:tc>
          <w:tcPr>
            <w:tcW w:w="5811" w:type="dxa"/>
          </w:tcPr>
          <w:p w:rsidRPr="00284F47" w:rsidR="00C01EC4" w:rsidP="00482202" w:rsidRDefault="00C01EC4" w14:paraId="6F544E3C" w14:textId="77777777">
            <w:pPr>
              <w:pStyle w:val="Paragraph"/>
            </w:pPr>
            <w:r w:rsidRPr="00284F47">
              <w:t>Base de Datos única de Afiliados (BDUA) del MSPS</w:t>
            </w:r>
          </w:p>
        </w:tc>
      </w:tr>
      <w:tr w:rsidRPr="00284F47" w:rsidR="00C01EC4" w:rsidTr="002D3FA5" w14:paraId="400AC5CA" w14:textId="77777777">
        <w:trPr>
          <w:trHeight w:val="305"/>
        </w:trPr>
        <w:tc>
          <w:tcPr>
            <w:tcW w:w="3539" w:type="dxa"/>
          </w:tcPr>
          <w:p w:rsidRPr="00284F47" w:rsidR="00C01EC4" w:rsidP="00482202" w:rsidRDefault="00C01EC4" w14:paraId="0D2F4511" w14:textId="77777777">
            <w:pPr>
              <w:pStyle w:val="Paragraph"/>
            </w:pPr>
            <w:r w:rsidRPr="00284F47">
              <w:t>Entidad responsable</w:t>
            </w:r>
          </w:p>
        </w:tc>
        <w:tc>
          <w:tcPr>
            <w:tcW w:w="5811" w:type="dxa"/>
          </w:tcPr>
          <w:p w:rsidRPr="00284F47" w:rsidR="00C01EC4" w:rsidP="00482202" w:rsidRDefault="00C01EC4" w14:paraId="6CC79778" w14:textId="0BB6CE22">
            <w:pPr>
              <w:pStyle w:val="Paragraph"/>
            </w:pPr>
            <w:r w:rsidRPr="00284F47">
              <w:t>Ministerio de Salud y Protección Social</w:t>
            </w:r>
            <w:r w:rsidRPr="00284F47" w:rsidR="002D3FA5">
              <w:t xml:space="preserve"> </w:t>
            </w:r>
          </w:p>
        </w:tc>
      </w:tr>
      <w:tr w:rsidRPr="00284F47" w:rsidR="00C01EC4" w:rsidTr="00800AF1" w14:paraId="44808639" w14:textId="77777777">
        <w:tc>
          <w:tcPr>
            <w:tcW w:w="3539" w:type="dxa"/>
          </w:tcPr>
          <w:p w:rsidRPr="00284F47" w:rsidR="00C01EC4" w:rsidP="00482202" w:rsidRDefault="00C01EC4" w14:paraId="78529F23" w14:textId="77777777">
            <w:pPr>
              <w:pStyle w:val="Paragraph"/>
            </w:pPr>
            <w:r w:rsidRPr="00284F47">
              <w:t>Otra información</w:t>
            </w:r>
          </w:p>
        </w:tc>
        <w:tc>
          <w:tcPr>
            <w:tcW w:w="5811" w:type="dxa"/>
          </w:tcPr>
          <w:p w:rsidRPr="00284F47" w:rsidR="00C01EC4" w:rsidP="00482202" w:rsidRDefault="00C01EC4" w14:paraId="3BABAFB5" w14:textId="6EED38FD">
            <w:pPr>
              <w:pStyle w:val="Paragraph"/>
            </w:pPr>
            <w:r w:rsidRPr="00284F47">
              <w:t>Metodología de cálculo: Cociente entre el total de personas con afiliación al SGSSS y el total de población</w:t>
            </w:r>
            <w:r w:rsidRPr="00284F47" w:rsidR="002D3FA5">
              <w:t xml:space="preserve"> </w:t>
            </w:r>
          </w:p>
        </w:tc>
      </w:tr>
    </w:tbl>
    <w:p w:rsidRPr="002D3FA5" w:rsidR="00C01EC4" w:rsidP="00B22B1C" w:rsidRDefault="00C01EC4" w14:paraId="6E85B7FC" w14:textId="459FD028">
      <w:pPr>
        <w:rPr>
          <w:rFonts w:ascii="Arial" w:hAnsi="Arial" w:cs="Arial"/>
          <w:sz w:val="20"/>
          <w:szCs w:val="20"/>
          <w:lang w:eastAsia="en-US"/>
        </w:rPr>
      </w:pPr>
    </w:p>
    <w:p w:rsidRPr="00284F47" w:rsidR="00487CF2" w:rsidP="00B22B1C" w:rsidRDefault="00487CF2" w14:paraId="1F015FFB" w14:textId="6C0A5839">
      <w:pPr>
        <w:rPr>
          <w:rFonts w:ascii="Arial" w:hAnsi="Arial" w:cs="Arial"/>
          <w:sz w:val="22"/>
          <w:szCs w:val="22"/>
          <w:lang w:val="es-ES"/>
        </w:rPr>
      </w:pPr>
      <w:r w:rsidRPr="00284F47">
        <w:rPr>
          <w:rFonts w:ascii="Arial" w:hAnsi="Arial" w:cs="Arial"/>
          <w:sz w:val="22"/>
          <w:szCs w:val="22"/>
          <w:lang w:val="es-ES"/>
        </w:rPr>
        <w:t xml:space="preserve">Indicador de impacto 3. </w:t>
      </w:r>
    </w:p>
    <w:tbl>
      <w:tblPr>
        <w:tblStyle w:val="TableGrid"/>
        <w:tblW w:w="0" w:type="auto"/>
        <w:tblLook w:val="04A0" w:firstRow="1" w:lastRow="0" w:firstColumn="1" w:lastColumn="0" w:noHBand="0" w:noVBand="1"/>
      </w:tblPr>
      <w:tblGrid>
        <w:gridCol w:w="3539"/>
        <w:gridCol w:w="5811"/>
      </w:tblGrid>
      <w:tr w:rsidRPr="00284F47" w:rsidR="00C01EC4" w:rsidTr="00800AF1" w14:paraId="34F1F9AC" w14:textId="77777777">
        <w:tc>
          <w:tcPr>
            <w:tcW w:w="3539" w:type="dxa"/>
          </w:tcPr>
          <w:p w:rsidRPr="00284F47" w:rsidR="00C01EC4" w:rsidP="00482202" w:rsidRDefault="00C01EC4" w14:paraId="78B3B2B7" w14:textId="77777777">
            <w:pPr>
              <w:pStyle w:val="Paragraph"/>
            </w:pPr>
            <w:r w:rsidRPr="00284F47">
              <w:t>Definición</w:t>
            </w:r>
          </w:p>
        </w:tc>
        <w:tc>
          <w:tcPr>
            <w:tcW w:w="5811" w:type="dxa"/>
          </w:tcPr>
          <w:p w:rsidRPr="00284F47" w:rsidR="00C01EC4" w:rsidP="00482202" w:rsidRDefault="00C01EC4" w14:paraId="20DC0D2B" w14:textId="77777777">
            <w:pPr>
              <w:pStyle w:val="Paragraph"/>
            </w:pPr>
            <w:r w:rsidRPr="00284F47">
              <w:t>Tasa de mortalidad prematura por enfermedades crónicas en población entre 30 y hasta 70 años. Este indicador de impacto mide el número de muertes por enfermedades crónicas de población entre 30 y 70 años por cada 100.000 personas entre 30 y 70 años.</w:t>
            </w:r>
          </w:p>
        </w:tc>
      </w:tr>
      <w:tr w:rsidRPr="00284F47" w:rsidR="00C01EC4" w:rsidTr="00800AF1" w14:paraId="4CB864B5" w14:textId="77777777">
        <w:tc>
          <w:tcPr>
            <w:tcW w:w="3539" w:type="dxa"/>
          </w:tcPr>
          <w:p w:rsidRPr="00284F47" w:rsidR="00C01EC4" w:rsidP="00482202" w:rsidRDefault="00C01EC4" w14:paraId="4204072A" w14:textId="77777777">
            <w:pPr>
              <w:pStyle w:val="Paragraph"/>
            </w:pPr>
            <w:r w:rsidRPr="00284F47">
              <w:t>Meta al final del proyecto</w:t>
            </w:r>
          </w:p>
        </w:tc>
        <w:tc>
          <w:tcPr>
            <w:tcW w:w="5811" w:type="dxa"/>
          </w:tcPr>
          <w:p w:rsidRPr="00284F47" w:rsidR="00C01EC4" w:rsidP="00482202" w:rsidRDefault="00C01EC4" w14:paraId="2F939B45" w14:textId="77777777">
            <w:pPr>
              <w:pStyle w:val="Paragraph"/>
            </w:pPr>
            <w:r w:rsidRPr="00284F47">
              <w:t xml:space="preserve">Se espera que al final del proyecto la tasa de mortalidad temprana sea 227,5 muertes por cada 100.000 personas entre 30 y 70 años. </w:t>
            </w:r>
          </w:p>
        </w:tc>
      </w:tr>
      <w:tr w:rsidRPr="00284F47" w:rsidR="00C01EC4" w:rsidTr="00800AF1" w14:paraId="18B74188" w14:textId="77777777">
        <w:tc>
          <w:tcPr>
            <w:tcW w:w="3539" w:type="dxa"/>
          </w:tcPr>
          <w:p w:rsidRPr="00284F47" w:rsidR="00C01EC4" w:rsidP="00482202" w:rsidRDefault="00C01EC4" w14:paraId="58FC47E6" w14:textId="77777777">
            <w:pPr>
              <w:pStyle w:val="Paragraph"/>
            </w:pPr>
            <w:r w:rsidRPr="00284F47">
              <w:t xml:space="preserve">Periodo de verificación esperado </w:t>
            </w:r>
          </w:p>
        </w:tc>
        <w:tc>
          <w:tcPr>
            <w:tcW w:w="5811" w:type="dxa"/>
          </w:tcPr>
          <w:p w:rsidRPr="00284F47" w:rsidR="00C01EC4" w:rsidP="00482202" w:rsidRDefault="00C01EC4" w14:paraId="615F1BB8" w14:textId="77777777">
            <w:pPr>
              <w:pStyle w:val="Paragraph"/>
            </w:pPr>
            <w:r w:rsidRPr="00284F47">
              <w:t>El resultado se verificará en 2023</w:t>
            </w:r>
          </w:p>
        </w:tc>
      </w:tr>
      <w:tr w:rsidRPr="00284F47" w:rsidR="00C01EC4" w:rsidTr="00800AF1" w14:paraId="5EDF8DD5" w14:textId="77777777">
        <w:tc>
          <w:tcPr>
            <w:tcW w:w="3539" w:type="dxa"/>
          </w:tcPr>
          <w:p w:rsidRPr="00284F47" w:rsidR="00C01EC4" w:rsidP="00482202" w:rsidRDefault="00C01EC4" w14:paraId="4959B029" w14:textId="77777777">
            <w:pPr>
              <w:pStyle w:val="Paragraph"/>
            </w:pPr>
            <w:r w:rsidRPr="00284F47">
              <w:t>Medio de verificación</w:t>
            </w:r>
          </w:p>
        </w:tc>
        <w:tc>
          <w:tcPr>
            <w:tcW w:w="5811" w:type="dxa"/>
          </w:tcPr>
          <w:p w:rsidRPr="00284F47" w:rsidR="00C01EC4" w:rsidP="00482202" w:rsidRDefault="00C01EC4" w14:paraId="10C7DFC0" w14:textId="77777777">
            <w:pPr>
              <w:pStyle w:val="Paragraph"/>
            </w:pPr>
            <w:r w:rsidRPr="00284F47">
              <w:t>Estadísticas vitales del DANE y Defunciones del MSPS.</w:t>
            </w:r>
          </w:p>
        </w:tc>
      </w:tr>
      <w:tr w:rsidRPr="00284F47" w:rsidR="00C01EC4" w:rsidTr="00800AF1" w14:paraId="29A9C3C4" w14:textId="77777777">
        <w:tc>
          <w:tcPr>
            <w:tcW w:w="3539" w:type="dxa"/>
          </w:tcPr>
          <w:p w:rsidRPr="00284F47" w:rsidR="00C01EC4" w:rsidP="00482202" w:rsidRDefault="00C01EC4" w14:paraId="4151105A" w14:textId="77777777">
            <w:pPr>
              <w:pStyle w:val="Paragraph"/>
            </w:pPr>
            <w:r w:rsidRPr="00284F47">
              <w:t>Entidad responsable</w:t>
            </w:r>
          </w:p>
        </w:tc>
        <w:tc>
          <w:tcPr>
            <w:tcW w:w="5811" w:type="dxa"/>
          </w:tcPr>
          <w:p w:rsidRPr="00284F47" w:rsidR="00C01EC4" w:rsidP="00482202" w:rsidRDefault="00C01EC4" w14:paraId="6C739861" w14:textId="0A6A0C60">
            <w:pPr>
              <w:pStyle w:val="Paragraph"/>
            </w:pPr>
            <w:r w:rsidRPr="00284F47">
              <w:t>DANE y Ministerio de Salud y Protección Social</w:t>
            </w:r>
            <w:r w:rsidRPr="00284F47" w:rsidR="002D3FA5">
              <w:t xml:space="preserve"> </w:t>
            </w:r>
          </w:p>
        </w:tc>
      </w:tr>
      <w:tr w:rsidRPr="00284F47" w:rsidR="00C01EC4" w:rsidTr="00800AF1" w14:paraId="3530274A" w14:textId="77777777">
        <w:tc>
          <w:tcPr>
            <w:tcW w:w="3539" w:type="dxa"/>
          </w:tcPr>
          <w:p w:rsidRPr="00284F47" w:rsidR="00C01EC4" w:rsidP="00482202" w:rsidRDefault="00C01EC4" w14:paraId="70C7F9DC" w14:textId="77777777">
            <w:pPr>
              <w:pStyle w:val="Paragraph"/>
            </w:pPr>
            <w:r w:rsidRPr="00284F47">
              <w:t>Otra información</w:t>
            </w:r>
          </w:p>
        </w:tc>
        <w:tc>
          <w:tcPr>
            <w:tcW w:w="5811" w:type="dxa"/>
          </w:tcPr>
          <w:p w:rsidRPr="00284F47" w:rsidR="00C01EC4" w:rsidP="00482202" w:rsidRDefault="00C01EC4" w14:paraId="42C96DF3" w14:textId="77777777">
            <w:pPr>
              <w:pStyle w:val="Paragraph"/>
            </w:pPr>
            <w:r w:rsidRPr="00284F47">
              <w:t>Metodología de cálculo (ficha técnica de indicadores del plan nacional de desarrollo): Cociente entre el número de muertes en personas de 30 a 70 años por enfermedades crónicas no transmisibles (Cáncer, enfermedades del sistema circulatorio, Diabetes, Enfermedades del sistema respiratorio) y la población total de 30 a 70 años.</w:t>
            </w:r>
          </w:p>
          <w:p w:rsidRPr="00284F47" w:rsidR="00C01EC4" w:rsidP="00482202" w:rsidRDefault="00C01EC4" w14:paraId="7391A33C" w14:textId="5B027A55">
            <w:pPr>
              <w:pStyle w:val="Paragraph"/>
            </w:pPr>
            <w:r w:rsidRPr="00284F47">
              <w:t>Nota: El dato proviene de sumar el número de casos por las causas básicas de muerte (clasificación 6/67) (Cáncer, enfermedades del sistema circulatorio, Diabetes, Enfermedades del sistema respiratorio), de las defunciones no fetales registradas de DANE, en edades entre 30 a 70</w:t>
            </w:r>
            <w:r w:rsidRPr="00284F47" w:rsidR="006D7908">
              <w:t> </w:t>
            </w:r>
            <w:r w:rsidRPr="00284F47">
              <w:t>años y la proyección poblacional a mitad de periodo en Colombia de 30 a 70 años, para cada año a partir del Censo 2005.</w:t>
            </w:r>
            <w:r w:rsidRPr="00284F47" w:rsidR="00800AF1">
              <w:t xml:space="preserve"> </w:t>
            </w:r>
          </w:p>
        </w:tc>
      </w:tr>
    </w:tbl>
    <w:p w:rsidR="00674D6A" w:rsidP="00674D6A" w:rsidRDefault="00674D6A" w14:paraId="52469A83" w14:textId="77777777">
      <w:pPr>
        <w:pStyle w:val="Heading2"/>
        <w:numPr>
          <w:ilvl w:val="0"/>
          <w:numId w:val="0"/>
        </w:numPr>
        <w:ind w:left="288"/>
      </w:pPr>
    </w:p>
    <w:p w:rsidRPr="00544542" w:rsidR="006C52EB" w:rsidP="007B464E" w:rsidRDefault="006C52EB" w14:paraId="410EEEFE" w14:textId="2A888442">
      <w:pPr>
        <w:pStyle w:val="Heading2"/>
        <w:numPr>
          <w:ilvl w:val="0"/>
          <w:numId w:val="21"/>
        </w:numPr>
      </w:pPr>
      <w:r w:rsidRPr="00544542">
        <w:t xml:space="preserve">Indicadores vinculados al desembolso  </w:t>
      </w:r>
    </w:p>
    <w:p w:rsidRPr="00544542" w:rsidR="00606A21" w:rsidP="00771AC4" w:rsidRDefault="00606A21" w14:paraId="1F766EF6" w14:textId="2D02903F">
      <w:pPr>
        <w:pStyle w:val="NormalWeb"/>
        <w:jc w:val="both"/>
        <w:rPr>
          <w:rFonts w:ascii="Arial" w:hAnsi="Arial" w:cs="Arial"/>
          <w:sz w:val="22"/>
          <w:szCs w:val="22"/>
          <w:lang w:val="es-ES"/>
        </w:rPr>
      </w:pPr>
      <w:r w:rsidRPr="00544542">
        <w:rPr>
          <w:rFonts w:ascii="Arial" w:hAnsi="Arial" w:cs="Arial"/>
          <w:sz w:val="22"/>
          <w:szCs w:val="22"/>
          <w:lang w:val="es-ES"/>
        </w:rPr>
        <w:t xml:space="preserve">Debido a que CO-L1248 es un Préstamo Basado en Resultados, para cada indicador de resultado, la matriz explicita si se trata de un Indicador Vinculado al Desembolso (IVD). Cada IVD está acompañado de un protocolo de verificación, que describe: </w:t>
      </w:r>
      <w:r w:rsidR="002D3FA5">
        <w:rPr>
          <w:rFonts w:ascii="Arial" w:hAnsi="Arial" w:cs="Arial"/>
          <w:sz w:val="22"/>
          <w:szCs w:val="22"/>
          <w:lang w:val="es-ES"/>
        </w:rPr>
        <w:t>(</w:t>
      </w:r>
      <w:r w:rsidRPr="00544542" w:rsidR="00FD317E">
        <w:rPr>
          <w:rFonts w:ascii="Arial" w:hAnsi="Arial" w:cs="Arial"/>
          <w:sz w:val="22"/>
          <w:szCs w:val="22"/>
          <w:lang w:val="es-ES"/>
        </w:rPr>
        <w:t xml:space="preserve">i) </w:t>
      </w:r>
      <w:r w:rsidRPr="00544542">
        <w:rPr>
          <w:rFonts w:ascii="Arial" w:hAnsi="Arial" w:cs="Arial"/>
          <w:sz w:val="22"/>
          <w:szCs w:val="22"/>
          <w:lang w:val="es-ES"/>
        </w:rPr>
        <w:t xml:space="preserve">la definición del IVD; </w:t>
      </w:r>
      <w:r w:rsidR="002D3FA5">
        <w:rPr>
          <w:rFonts w:ascii="Arial" w:hAnsi="Arial" w:cs="Arial"/>
          <w:sz w:val="22"/>
          <w:szCs w:val="22"/>
          <w:lang w:val="es-ES"/>
        </w:rPr>
        <w:t>(</w:t>
      </w:r>
      <w:proofErr w:type="spellStart"/>
      <w:r w:rsidRPr="00544542" w:rsidR="00FD317E">
        <w:rPr>
          <w:rFonts w:ascii="Arial" w:hAnsi="Arial" w:cs="Arial"/>
          <w:sz w:val="22"/>
          <w:szCs w:val="22"/>
          <w:lang w:val="es-ES"/>
        </w:rPr>
        <w:t>ii</w:t>
      </w:r>
      <w:proofErr w:type="spellEnd"/>
      <w:r w:rsidRPr="00544542" w:rsidR="00FD317E">
        <w:rPr>
          <w:rFonts w:ascii="Arial" w:hAnsi="Arial" w:cs="Arial"/>
          <w:sz w:val="22"/>
          <w:szCs w:val="22"/>
          <w:lang w:val="es-ES"/>
        </w:rPr>
        <w:t xml:space="preserve">) </w:t>
      </w:r>
      <w:r w:rsidRPr="00544542">
        <w:rPr>
          <w:rFonts w:ascii="Arial" w:hAnsi="Arial" w:cs="Arial"/>
          <w:sz w:val="22"/>
          <w:szCs w:val="22"/>
          <w:lang w:val="es-ES"/>
        </w:rPr>
        <w:t xml:space="preserve">qué constituye el cumplimiento del IVD; </w:t>
      </w:r>
      <w:r w:rsidR="002D3FA5">
        <w:rPr>
          <w:rFonts w:ascii="Arial" w:hAnsi="Arial" w:cs="Arial"/>
          <w:sz w:val="22"/>
          <w:szCs w:val="22"/>
          <w:lang w:val="es-ES"/>
        </w:rPr>
        <w:t>(</w:t>
      </w:r>
      <w:proofErr w:type="spellStart"/>
      <w:r w:rsidRPr="00225666" w:rsidR="00FD317E">
        <w:rPr>
          <w:rFonts w:ascii="Arial" w:hAnsi="Arial" w:cs="Arial"/>
          <w:sz w:val="22"/>
          <w:szCs w:val="22"/>
          <w:lang w:val="es-ES"/>
        </w:rPr>
        <w:t>iii</w:t>
      </w:r>
      <w:proofErr w:type="spellEnd"/>
      <w:r w:rsidRPr="00225666" w:rsidR="00FD317E">
        <w:rPr>
          <w:rFonts w:ascii="Arial" w:hAnsi="Arial" w:cs="Arial"/>
          <w:sz w:val="22"/>
          <w:szCs w:val="22"/>
          <w:lang w:val="es-ES"/>
        </w:rPr>
        <w:t xml:space="preserve">) </w:t>
      </w:r>
      <w:r w:rsidRPr="00086B4F" w:rsidR="00FD317E">
        <w:rPr>
          <w:rFonts w:ascii="Arial" w:hAnsi="Arial" w:cs="Arial"/>
          <w:sz w:val="22"/>
          <w:szCs w:val="22"/>
          <w:lang w:val="es-ES"/>
        </w:rPr>
        <w:t xml:space="preserve">en el caso de resultados parciales, la </w:t>
      </w:r>
      <w:r w:rsidRPr="00086B4F" w:rsidR="00F503FB">
        <w:rPr>
          <w:rFonts w:ascii="Arial" w:hAnsi="Arial" w:cs="Arial"/>
          <w:sz w:val="22"/>
          <w:szCs w:val="22"/>
          <w:lang w:val="es-ES"/>
        </w:rPr>
        <w:t>definición</w:t>
      </w:r>
      <w:r w:rsidRPr="00086B4F" w:rsidR="00FD317E">
        <w:rPr>
          <w:rFonts w:ascii="Arial" w:hAnsi="Arial" w:cs="Arial"/>
          <w:sz w:val="22"/>
          <w:szCs w:val="22"/>
          <w:lang w:val="es-ES"/>
        </w:rPr>
        <w:t xml:space="preserve"> de </w:t>
      </w:r>
      <w:r w:rsidRPr="00086B4F" w:rsidR="00F503FB">
        <w:rPr>
          <w:rFonts w:ascii="Arial" w:hAnsi="Arial" w:cs="Arial"/>
          <w:sz w:val="22"/>
          <w:szCs w:val="22"/>
          <w:lang w:val="es-ES"/>
        </w:rPr>
        <w:t>cómo</w:t>
      </w:r>
      <w:r w:rsidRPr="00086B4F" w:rsidR="00FD317E">
        <w:rPr>
          <w:rFonts w:ascii="Arial" w:hAnsi="Arial" w:cs="Arial"/>
          <w:sz w:val="22"/>
          <w:szCs w:val="22"/>
          <w:lang w:val="es-ES"/>
        </w:rPr>
        <w:t xml:space="preserve"> se </w:t>
      </w:r>
      <w:r w:rsidRPr="00086B4F" w:rsidR="00F503FB">
        <w:rPr>
          <w:rFonts w:ascii="Arial" w:hAnsi="Arial" w:cs="Arial"/>
          <w:sz w:val="22"/>
          <w:szCs w:val="22"/>
          <w:lang w:val="es-ES"/>
        </w:rPr>
        <w:t>calcularán</w:t>
      </w:r>
      <w:r w:rsidRPr="00086B4F" w:rsidR="00FD317E">
        <w:rPr>
          <w:rFonts w:ascii="Arial" w:hAnsi="Arial" w:cs="Arial"/>
          <w:sz w:val="22"/>
          <w:szCs w:val="22"/>
          <w:lang w:val="es-ES"/>
        </w:rPr>
        <w:t xml:space="preserve"> los desembolsos parciales si el indicador no es una variable continua</w:t>
      </w:r>
      <w:r w:rsidRPr="00544542" w:rsidR="00FD317E">
        <w:rPr>
          <w:rFonts w:ascii="Arial" w:hAnsi="Arial" w:cs="Arial"/>
          <w:sz w:val="22"/>
          <w:szCs w:val="22"/>
          <w:lang w:val="es-ES"/>
        </w:rPr>
        <w:t xml:space="preserve">; </w:t>
      </w:r>
      <w:r w:rsidR="002D3FA5">
        <w:rPr>
          <w:rFonts w:ascii="Arial" w:hAnsi="Arial" w:cs="Arial"/>
          <w:sz w:val="22"/>
          <w:szCs w:val="22"/>
          <w:lang w:val="es-ES"/>
        </w:rPr>
        <w:t>(</w:t>
      </w:r>
      <w:proofErr w:type="spellStart"/>
      <w:r w:rsidRPr="00544542" w:rsidR="00FD317E">
        <w:rPr>
          <w:rFonts w:ascii="Arial" w:hAnsi="Arial" w:cs="Arial"/>
          <w:sz w:val="22"/>
          <w:szCs w:val="22"/>
          <w:lang w:val="es-ES"/>
        </w:rPr>
        <w:t>iv</w:t>
      </w:r>
      <w:proofErr w:type="spellEnd"/>
      <w:r w:rsidRPr="00544542" w:rsidR="00FD317E">
        <w:rPr>
          <w:rFonts w:ascii="Arial" w:hAnsi="Arial" w:cs="Arial"/>
          <w:sz w:val="22"/>
          <w:szCs w:val="22"/>
          <w:lang w:val="es-ES"/>
        </w:rPr>
        <w:t xml:space="preserve">) </w:t>
      </w:r>
      <w:r w:rsidRPr="00544542">
        <w:rPr>
          <w:rFonts w:ascii="Arial" w:hAnsi="Arial" w:cs="Arial"/>
          <w:sz w:val="22"/>
          <w:szCs w:val="22"/>
          <w:lang w:val="es-ES"/>
        </w:rPr>
        <w:t xml:space="preserve">periodo de verificación esperado (congruente con los datos); </w:t>
      </w:r>
      <w:r w:rsidR="002D3FA5">
        <w:rPr>
          <w:rFonts w:ascii="Arial" w:hAnsi="Arial" w:cs="Arial"/>
          <w:sz w:val="22"/>
          <w:szCs w:val="22"/>
          <w:lang w:val="es-ES"/>
        </w:rPr>
        <w:t>(</w:t>
      </w:r>
      <w:r w:rsidRPr="00544542" w:rsidR="00FD317E">
        <w:rPr>
          <w:rFonts w:ascii="Arial" w:hAnsi="Arial" w:cs="Arial"/>
          <w:sz w:val="22"/>
          <w:szCs w:val="22"/>
          <w:lang w:val="es-ES"/>
        </w:rPr>
        <w:t xml:space="preserve">v) </w:t>
      </w:r>
      <w:r w:rsidRPr="00544542">
        <w:rPr>
          <w:rFonts w:ascii="Arial" w:hAnsi="Arial" w:cs="Arial"/>
          <w:sz w:val="22"/>
          <w:szCs w:val="22"/>
          <w:lang w:val="es-ES"/>
        </w:rPr>
        <w:t>datos para medir el cumplimiento, incluyendo la frecuencia de la presentación de informes</w:t>
      </w:r>
      <w:r w:rsidRPr="00544542" w:rsidR="00FD317E">
        <w:rPr>
          <w:rFonts w:ascii="Arial" w:hAnsi="Arial" w:cs="Arial"/>
          <w:sz w:val="22"/>
          <w:szCs w:val="22"/>
          <w:lang w:val="es-ES"/>
        </w:rPr>
        <w:t>;</w:t>
      </w:r>
      <w:r w:rsidRPr="00544542">
        <w:rPr>
          <w:rFonts w:ascii="Arial" w:hAnsi="Arial" w:cs="Arial"/>
          <w:sz w:val="22"/>
          <w:szCs w:val="22"/>
          <w:lang w:val="es-ES"/>
        </w:rPr>
        <w:t xml:space="preserve"> y </w:t>
      </w:r>
      <w:r w:rsidR="002D3FA5">
        <w:rPr>
          <w:rFonts w:ascii="Arial" w:hAnsi="Arial" w:cs="Arial"/>
          <w:sz w:val="22"/>
          <w:szCs w:val="22"/>
          <w:lang w:val="es-ES"/>
        </w:rPr>
        <w:t>(</w:t>
      </w:r>
      <w:r w:rsidRPr="00544542" w:rsidR="00FD317E">
        <w:rPr>
          <w:rFonts w:ascii="Arial" w:hAnsi="Arial" w:cs="Arial"/>
          <w:sz w:val="22"/>
          <w:szCs w:val="22"/>
          <w:lang w:val="es-ES"/>
        </w:rPr>
        <w:t xml:space="preserve">vi) </w:t>
      </w:r>
      <w:r w:rsidRPr="00544542">
        <w:rPr>
          <w:rFonts w:ascii="Arial" w:hAnsi="Arial" w:cs="Arial"/>
          <w:sz w:val="22"/>
          <w:szCs w:val="22"/>
          <w:lang w:val="es-ES"/>
        </w:rPr>
        <w:t xml:space="preserve">la entidad responsable de la verificación del </w:t>
      </w:r>
      <w:r w:rsidRPr="00544542" w:rsidR="002B0BEC">
        <w:rPr>
          <w:rFonts w:ascii="Arial" w:hAnsi="Arial" w:cs="Arial"/>
          <w:sz w:val="22"/>
          <w:szCs w:val="22"/>
          <w:lang w:val="es-ES"/>
        </w:rPr>
        <w:t>cumplimiento</w:t>
      </w:r>
      <w:r w:rsidRPr="00544542">
        <w:rPr>
          <w:rFonts w:ascii="Arial" w:hAnsi="Arial" w:cs="Arial"/>
          <w:sz w:val="22"/>
          <w:szCs w:val="22"/>
          <w:lang w:val="es-ES"/>
        </w:rPr>
        <w:t xml:space="preserve"> del IVD</w:t>
      </w:r>
      <w:r w:rsidRPr="00544542" w:rsidR="007F7FD4">
        <w:rPr>
          <w:rFonts w:ascii="Arial" w:hAnsi="Arial" w:cs="Arial"/>
          <w:sz w:val="22"/>
          <w:szCs w:val="22"/>
          <w:lang w:val="es-ES"/>
        </w:rPr>
        <w:t xml:space="preserve">. </w:t>
      </w:r>
    </w:p>
    <w:p w:rsidRPr="00284F47" w:rsidR="00606A21" w:rsidP="00482202" w:rsidRDefault="001D240B" w14:paraId="1D8B899E" w14:textId="2FCF1E25">
      <w:pPr>
        <w:pStyle w:val="Paragraph"/>
      </w:pPr>
      <w:r w:rsidRPr="00284F47">
        <w:t>L</w:t>
      </w:r>
      <w:r w:rsidRPr="00284F47" w:rsidR="00FD317E">
        <w:t xml:space="preserve">a entidad responsable de la verificación </w:t>
      </w:r>
      <w:r w:rsidRPr="00284F47" w:rsidR="00606A21">
        <w:t xml:space="preserve">externa e independiente </w:t>
      </w:r>
      <w:r w:rsidRPr="00284F47" w:rsidR="00FD317E">
        <w:t xml:space="preserve">del cumplimento de </w:t>
      </w:r>
      <w:r w:rsidRPr="00284F47" w:rsidR="00606A21">
        <w:t xml:space="preserve">las metas establecidas en los IVD </w:t>
      </w:r>
      <w:r w:rsidRPr="00284F47">
        <w:t>es</w:t>
      </w:r>
      <w:r w:rsidRPr="00284F47" w:rsidR="00606A21">
        <w:t xml:space="preserve"> el Departamento Nacional de Planeación (DNP), entidad que cuenta con la capacidad técnica y el mandato para realizar las evaluaciones. Así mismo, el DNP cuenta con la experiencia suficiente en la evaluación y monitoreo de proyectos, manejo de indicadores de resultados, evaluación de la confiabilidad de fuentes de información y los métodos utilizados para producirlos. La verificación permitirá que tanto el OE como el Banco tengan de manera oportuna un reporte de verificación de resultados previo a cada solicitud de desembolsos. Los objetivos de la verificación de resultados son: (i) evaluar la exactitud, confiabilidad y consistencia de la información relacionada con los resultados de los IVD</w:t>
      </w:r>
      <w:r w:rsidRPr="00284F47" w:rsidR="00800AF1">
        <w:t>;</w:t>
      </w:r>
      <w:r w:rsidRPr="00284F47" w:rsidR="00606A21">
        <w:t xml:space="preserve"> y (</w:t>
      </w:r>
      <w:proofErr w:type="spellStart"/>
      <w:r w:rsidRPr="00284F47" w:rsidR="00606A21">
        <w:t>ii</w:t>
      </w:r>
      <w:proofErr w:type="spellEnd"/>
      <w:r w:rsidRPr="00284F47" w:rsidR="00606A21">
        <w:t>) determinar</w:t>
      </w:r>
      <w:r w:rsidRPr="00284F47" w:rsidR="00EE42A2">
        <w:t>/confirmar</w:t>
      </w:r>
      <w:r w:rsidRPr="00284F47" w:rsidR="00606A21">
        <w:t xml:space="preserve"> el resultado de los IVD en cada tramo de desembolsos. El protocolo de verificación para cada IVD se presenta a continuación.</w:t>
      </w:r>
    </w:p>
    <w:p w:rsidRPr="00800AF1" w:rsidR="00FD26DE" w:rsidP="00482202" w:rsidRDefault="00FD26DE" w14:paraId="37C43DDE" w14:textId="77777777">
      <w:pPr>
        <w:pStyle w:val="Paragraph"/>
      </w:pPr>
    </w:p>
    <w:p w:rsidRPr="00284F47" w:rsidR="00A76D9C" w:rsidP="00482202" w:rsidRDefault="00A76D9C" w14:paraId="42D210FA" w14:textId="4EBCDE1E">
      <w:pPr>
        <w:pStyle w:val="Paragraph"/>
      </w:pPr>
      <w:r w:rsidRPr="00284F47">
        <w:t>Protocolo de verificación del IVD 1</w:t>
      </w:r>
      <w:r w:rsidRPr="00284F47" w:rsidR="00C61A3E">
        <w:t xml:space="preserve">: </w:t>
      </w:r>
    </w:p>
    <w:tbl>
      <w:tblPr>
        <w:tblStyle w:val="TableGrid"/>
        <w:tblW w:w="0" w:type="auto"/>
        <w:tblLook w:val="04A0" w:firstRow="1" w:lastRow="0" w:firstColumn="1" w:lastColumn="0" w:noHBand="0" w:noVBand="1"/>
      </w:tblPr>
      <w:tblGrid>
        <w:gridCol w:w="3539"/>
        <w:gridCol w:w="5811"/>
      </w:tblGrid>
      <w:tr w:rsidRPr="00284F47" w:rsidR="00A76D9C" w:rsidTr="00A76D9C" w14:paraId="24EAECBA" w14:textId="77777777">
        <w:tc>
          <w:tcPr>
            <w:tcW w:w="3539" w:type="dxa"/>
          </w:tcPr>
          <w:p w:rsidRPr="00284F47" w:rsidR="00A76D9C" w:rsidP="00482202" w:rsidRDefault="00A76D9C" w14:paraId="252386C6" w14:textId="07BE90AC">
            <w:pPr>
              <w:pStyle w:val="Paragraph"/>
            </w:pPr>
            <w:r w:rsidRPr="00284F47">
              <w:t>Definición</w:t>
            </w:r>
          </w:p>
        </w:tc>
        <w:tc>
          <w:tcPr>
            <w:tcW w:w="5811" w:type="dxa"/>
          </w:tcPr>
          <w:p w:rsidR="00C61A3E" w:rsidP="00482202" w:rsidRDefault="00A76D9C" w14:paraId="5D7FE46B" w14:textId="77777777">
            <w:pPr>
              <w:pStyle w:val="Paragraph"/>
            </w:pPr>
            <w:r w:rsidRPr="00284F47">
              <w:t xml:space="preserve">Ahorro por valores máximos de recobro </w:t>
            </w:r>
            <w:r w:rsidRPr="00284F47" w:rsidR="00F503FB">
              <w:t xml:space="preserve">o techos presupuestales </w:t>
            </w:r>
            <w:r w:rsidRPr="00284F47">
              <w:t>en servicios y tecnologías no financiadas con la UPC en régimen contributivo</w:t>
            </w:r>
            <w:r w:rsidRPr="00284F47" w:rsidR="00C61A3E">
              <w:t>. Este IVD mide el ahorro por valores máximos de recobro en el régimen contributivo para los principios activos que sean objeto de la medida. Esto corresponde al efecto de regulación del valor recobrado en aproximadamente 1.050 principios activos para disminuir la dispersión que existe en dichos grupos</w:t>
            </w:r>
            <w:r w:rsidRPr="00284F47" w:rsidR="00225666">
              <w:t xml:space="preserve">. Para más claridad sobre </w:t>
            </w:r>
            <w:r w:rsidRPr="00284F47" w:rsidR="002B0BEC">
              <w:t>cómo</w:t>
            </w:r>
            <w:r w:rsidRPr="00284F47" w:rsidR="00225666">
              <w:t xml:space="preserve"> se calcula el indicador, véase “Otra información”.</w:t>
            </w:r>
          </w:p>
          <w:p w:rsidRPr="00284F47" w:rsidR="009D105A" w:rsidP="00482202" w:rsidRDefault="009D105A" w14:paraId="5EF62B60" w14:textId="1B105B01">
            <w:pPr>
              <w:pStyle w:val="Paragraph"/>
            </w:pPr>
          </w:p>
        </w:tc>
      </w:tr>
      <w:tr w:rsidRPr="00284F47" w:rsidR="00A76D9C" w:rsidTr="00A76D9C" w14:paraId="22EA9C34" w14:textId="77777777">
        <w:tc>
          <w:tcPr>
            <w:tcW w:w="3539" w:type="dxa"/>
          </w:tcPr>
          <w:p w:rsidRPr="00284F47" w:rsidR="00A76D9C" w:rsidP="00482202" w:rsidRDefault="00A76D9C" w14:paraId="63884FCB" w14:textId="05A987C4">
            <w:pPr>
              <w:pStyle w:val="Paragraph"/>
            </w:pPr>
            <w:r w:rsidRPr="00284F47">
              <w:t>Qué constituye el cumplimiento del IVD</w:t>
            </w:r>
          </w:p>
        </w:tc>
        <w:tc>
          <w:tcPr>
            <w:tcW w:w="5811" w:type="dxa"/>
          </w:tcPr>
          <w:p w:rsidR="00A76D9C" w:rsidP="00482202" w:rsidRDefault="006F358D" w14:paraId="2F57B122" w14:textId="77777777">
            <w:pPr>
              <w:pStyle w:val="Paragraph"/>
            </w:pPr>
            <w:r w:rsidRPr="00284F47">
              <w:t xml:space="preserve">El IVD 1 se considera “cumplido” si se generan: a) </w:t>
            </w:r>
            <w:r w:rsidRPr="00284F47" w:rsidR="00DF6CFC">
              <w:t>2</w:t>
            </w:r>
            <w:r w:rsidRPr="00284F47">
              <w:t>0 miles de millones de pesos colombianos al final del primer año de ejecución del proyecto</w:t>
            </w:r>
            <w:r w:rsidRPr="00284F47" w:rsidR="003E1EDD">
              <w:t xml:space="preserve"> (2020);</w:t>
            </w:r>
            <w:r w:rsidRPr="00284F47">
              <w:t xml:space="preserve"> b) 150 miles de millones de pesos colombianos al final del segundo año de ejecución del proyecto </w:t>
            </w:r>
            <w:r w:rsidRPr="00284F47" w:rsidR="003E1EDD">
              <w:t>(2021)</w:t>
            </w:r>
            <w:r w:rsidRPr="00284F47" w:rsidR="003E1EDD">
              <w:rPr>
                <w:rStyle w:val="FootnoteReference"/>
                <w:rFonts w:ascii="Arial" w:hAnsi="Arial" w:cs="Arial"/>
                <w:sz w:val="21"/>
                <w:szCs w:val="21"/>
              </w:rPr>
              <w:footnoteReference w:id="7"/>
            </w:r>
            <w:r w:rsidRPr="00284F47" w:rsidR="003E1EDD">
              <w:t xml:space="preserve">; y </w:t>
            </w:r>
            <w:r w:rsidRPr="00284F47">
              <w:t xml:space="preserve">c) 250 miles de millones de pesos colombianos al final del tercer año de ejecución del proyecto </w:t>
            </w:r>
            <w:r w:rsidRPr="00284F47" w:rsidR="003E1EDD">
              <w:t>(2022)</w:t>
            </w:r>
            <w:r w:rsidRPr="00284F47" w:rsidR="003E1EDD">
              <w:rPr>
                <w:rStyle w:val="FootnoteReference"/>
                <w:rFonts w:ascii="Arial" w:hAnsi="Arial" w:cs="Arial"/>
                <w:sz w:val="21"/>
                <w:szCs w:val="21"/>
              </w:rPr>
              <w:footnoteReference w:id="8"/>
            </w:r>
            <w:r w:rsidRPr="00284F47" w:rsidR="003E1EDD">
              <w:t xml:space="preserve">. </w:t>
            </w:r>
            <w:r w:rsidRPr="00284F47" w:rsidR="00DF6CFC">
              <w:t xml:space="preserve">El resultado de cada año es el valor acumulado de ahorros, de manera que la meta de cada año incluye el ahorro generado el año anterior. </w:t>
            </w:r>
          </w:p>
          <w:p w:rsidRPr="00284F47" w:rsidR="009D105A" w:rsidP="00482202" w:rsidRDefault="009D105A" w14:paraId="7F6A0FBC" w14:textId="0E6AB969">
            <w:pPr>
              <w:pStyle w:val="Paragraph"/>
            </w:pPr>
          </w:p>
        </w:tc>
      </w:tr>
      <w:tr w:rsidRPr="00284F47" w:rsidR="00A76D9C" w:rsidTr="00A76D9C" w14:paraId="2506FA12" w14:textId="77777777">
        <w:tc>
          <w:tcPr>
            <w:tcW w:w="3539" w:type="dxa"/>
          </w:tcPr>
          <w:p w:rsidRPr="00284F47" w:rsidR="00A76D9C" w:rsidP="00482202" w:rsidRDefault="00A76D9C" w14:paraId="1D7748F1" w14:textId="09A70CE5">
            <w:pPr>
              <w:pStyle w:val="Paragraph"/>
            </w:pPr>
            <w:r w:rsidRPr="00284F47">
              <w:lastRenderedPageBreak/>
              <w:t xml:space="preserve">Periodo de verificación esperado (congruente con los datos) </w:t>
            </w:r>
          </w:p>
        </w:tc>
        <w:tc>
          <w:tcPr>
            <w:tcW w:w="5811" w:type="dxa"/>
          </w:tcPr>
          <w:p w:rsidRPr="00284F47" w:rsidR="00A76D9C" w:rsidP="00482202" w:rsidRDefault="00531567" w14:paraId="0435F50F" w14:textId="651E7EF5">
            <w:pPr>
              <w:pStyle w:val="Paragraph"/>
              <w:rPr>
                <w:b/>
                <w:bCs/>
              </w:rPr>
            </w:pPr>
            <w:r w:rsidRPr="00284F47">
              <w:t xml:space="preserve">Los resultados se verificarán al </w:t>
            </w:r>
            <w:r w:rsidRPr="00284F47" w:rsidR="00DF6CFC">
              <w:t xml:space="preserve">tercer trimestre </w:t>
            </w:r>
            <w:r w:rsidRPr="00284F47">
              <w:t xml:space="preserve">de cada año de ejecución: 2020, 2021, y 2022.  </w:t>
            </w:r>
          </w:p>
        </w:tc>
      </w:tr>
      <w:tr w:rsidRPr="00284F47" w:rsidR="00A76D9C" w:rsidTr="00A76D9C" w14:paraId="34A9D7DB" w14:textId="77777777">
        <w:tc>
          <w:tcPr>
            <w:tcW w:w="3539" w:type="dxa"/>
          </w:tcPr>
          <w:p w:rsidRPr="00284F47" w:rsidR="00A76D9C" w:rsidP="00482202" w:rsidRDefault="00A76D9C" w14:paraId="17B4522B" w14:textId="31228BC1">
            <w:pPr>
              <w:pStyle w:val="Paragraph"/>
            </w:pPr>
            <w:r w:rsidRPr="00284F47">
              <w:t>Datos para medir el cumplimiento, incluyendo la frecuencia de la presentación de informes</w:t>
            </w:r>
          </w:p>
        </w:tc>
        <w:tc>
          <w:tcPr>
            <w:tcW w:w="5811" w:type="dxa"/>
          </w:tcPr>
          <w:p w:rsidRPr="00284F47" w:rsidR="00531567" w:rsidP="00482202" w:rsidRDefault="00E15ABD" w14:paraId="7BC0F5FD" w14:textId="50DE8C9C">
            <w:pPr>
              <w:pStyle w:val="Paragraph"/>
              <w:rPr>
                <w:b/>
                <w:bCs/>
              </w:rPr>
            </w:pPr>
            <w:r w:rsidRPr="00284F47">
              <w:t>La fuente es la b</w:t>
            </w:r>
            <w:r w:rsidRPr="00284F47" w:rsidR="00531567">
              <w:t xml:space="preserve">ase de datos de recobros de la Administradora de los Recursos del Sistema General de Seguridad Social en Salud (ADRES), posterior a la estandarización realizada por la Dirección </w:t>
            </w:r>
            <w:r w:rsidRPr="00284F47" w:rsidR="001C181B">
              <w:t xml:space="preserve">de Regulación </w:t>
            </w:r>
            <w:r w:rsidRPr="00284F47" w:rsidR="00531567">
              <w:t>de Beneficios, Costos y Tarifas del Aseguramiento en Salud del MSPS.</w:t>
            </w:r>
            <w:r w:rsidRPr="00284F47" w:rsidR="001C181B">
              <w:t xml:space="preserve"> El reporte del IVD será responsabilidad de la Dirección de Regulación de Beneficios, Costos y Tarifas del Aseguramiento en Salud del MSPS. </w:t>
            </w:r>
            <w:r w:rsidRPr="00284F47" w:rsidR="002E3BAD">
              <w:t>La</w:t>
            </w:r>
            <w:r w:rsidRPr="00284F47" w:rsidR="00284F47">
              <w:t> </w:t>
            </w:r>
            <w:r w:rsidRPr="00284F47" w:rsidR="002E3BAD">
              <w:t>periodicidad de la medición será semestral.</w:t>
            </w:r>
          </w:p>
        </w:tc>
      </w:tr>
      <w:tr w:rsidRPr="00284F47" w:rsidR="00A76D9C" w:rsidTr="00A76D9C" w14:paraId="4F04CAFC" w14:textId="77777777">
        <w:tc>
          <w:tcPr>
            <w:tcW w:w="3539" w:type="dxa"/>
          </w:tcPr>
          <w:p w:rsidRPr="00284F47" w:rsidR="00A76D9C" w:rsidP="00482202" w:rsidRDefault="00A76D9C" w14:paraId="72CACA97" w14:textId="3297C9FF">
            <w:pPr>
              <w:pStyle w:val="Paragraph"/>
            </w:pPr>
            <w:r w:rsidRPr="00284F47">
              <w:t xml:space="preserve">Entidad responsable de la verificación del </w:t>
            </w:r>
            <w:r w:rsidRPr="00284F47" w:rsidR="002B0BEC">
              <w:t>cumplimiento</w:t>
            </w:r>
            <w:r w:rsidRPr="00284F47">
              <w:t xml:space="preserve"> del IVD</w:t>
            </w:r>
          </w:p>
        </w:tc>
        <w:tc>
          <w:tcPr>
            <w:tcW w:w="5811" w:type="dxa"/>
          </w:tcPr>
          <w:p w:rsidRPr="00284F47" w:rsidR="000D6372" w:rsidP="00482202" w:rsidRDefault="00C94087" w14:paraId="68CB017B" w14:textId="3D111A4E">
            <w:pPr>
              <w:pStyle w:val="Paragraph"/>
              <w:rPr>
                <w:b/>
                <w:bCs/>
              </w:rPr>
            </w:pPr>
            <w:r w:rsidRPr="00284F47">
              <w:t xml:space="preserve">Departamento Nacional de Planeación. </w:t>
            </w:r>
          </w:p>
        </w:tc>
      </w:tr>
      <w:tr w:rsidRPr="00284F47" w:rsidR="00344C51" w:rsidTr="00A76D9C" w14:paraId="7912AAE4" w14:textId="77777777">
        <w:tc>
          <w:tcPr>
            <w:tcW w:w="3539" w:type="dxa"/>
          </w:tcPr>
          <w:p w:rsidRPr="00284F47" w:rsidR="00344C51" w:rsidP="00482202" w:rsidRDefault="0002633F" w14:paraId="4B0A2148" w14:textId="4585A435">
            <w:pPr>
              <w:pStyle w:val="Paragraph"/>
            </w:pPr>
            <w:r w:rsidRPr="00284F47">
              <w:t xml:space="preserve">Otra información </w:t>
            </w:r>
          </w:p>
        </w:tc>
        <w:tc>
          <w:tcPr>
            <w:tcW w:w="5811" w:type="dxa"/>
          </w:tcPr>
          <w:p w:rsidRPr="00284F47" w:rsidR="00FD26DE" w:rsidP="00482202" w:rsidRDefault="00A2115D" w14:paraId="1B62D78E" w14:textId="006D29AB">
            <w:pPr>
              <w:pStyle w:val="Paragraph"/>
            </w:pPr>
            <w:r w:rsidRPr="00284F47">
              <w:t>Fórmula</w:t>
            </w:r>
            <w:r w:rsidRPr="00284F47" w:rsidR="0002633F">
              <w:t xml:space="preserve"> de cálculo: </w:t>
            </w:r>
            <w:r w:rsidRPr="00284F47" w:rsidR="00344C51">
              <w:t>Ahorro por la aplicación de la medida de Valores Máximos de Recobro (Valor por unidad mínima de conce</w:t>
            </w:r>
            <w:r w:rsidRPr="00284F47">
              <w:t>n</w:t>
            </w:r>
            <w:r w:rsidRPr="00284F47" w:rsidR="00344C51">
              <w:t xml:space="preserve">tración Percentil 10 para medicamentos </w:t>
            </w:r>
            <w:r w:rsidRPr="00284F47" w:rsidR="00800AF1">
              <w:t>monopólicos</w:t>
            </w:r>
            <w:r w:rsidRPr="00284F47" w:rsidR="00344C51">
              <w:t xml:space="preserve"> y Percentil 25 para competidores). </w:t>
            </w:r>
            <w:r w:rsidRPr="00284F47" w:rsidR="00344C51">
              <w:br/>
            </w:r>
            <w:r w:rsidRPr="00284F47" w:rsidR="00344C51">
              <w:br/>
            </w:r>
            <w:r w:rsidRPr="00284F47" w:rsidR="00344C51">
              <w:t xml:space="preserve">Efecto de VMR= </w:t>
            </w:r>
            <w:r w:rsidRPr="00284F47" w:rsidR="00344C51">
              <w:rPr>
                <w:rFonts w:eastAsia="Cambria Math"/>
              </w:rPr>
              <w:t>〖</w:t>
            </w:r>
            <w:r w:rsidRPr="00284F47" w:rsidR="00344C51">
              <w:t>Cantidades recobradas</w:t>
            </w:r>
            <w:r w:rsidRPr="00284F47" w:rsidR="00344C51">
              <w:rPr>
                <w:rFonts w:eastAsia="Cambria Math"/>
              </w:rPr>
              <w:t>〗</w:t>
            </w:r>
            <w:r w:rsidRPr="00284F47" w:rsidR="00344C51">
              <w:t>_(it-</w:t>
            </w:r>
            <w:proofErr w:type="gramStart"/>
            <w:r w:rsidRPr="00284F47" w:rsidR="00344C51">
              <w:t>1)*</w:t>
            </w:r>
            <w:proofErr w:type="gramEnd"/>
            <w:r w:rsidRPr="00284F47" w:rsidR="00344C51">
              <w:rPr>
                <w:rFonts w:eastAsia="Cambria Math"/>
              </w:rPr>
              <w:t>〖</w:t>
            </w:r>
            <w:r w:rsidRPr="00284F47" w:rsidR="00344C51">
              <w:t>Valor recobrado</w:t>
            </w:r>
            <w:r w:rsidRPr="00284F47" w:rsidR="00344C51">
              <w:rPr>
                <w:rFonts w:eastAsia="Cambria Math"/>
              </w:rPr>
              <w:t>〗</w:t>
            </w:r>
            <w:r w:rsidRPr="00284F47" w:rsidR="00344C51">
              <w:t xml:space="preserve">_(it-1)- </w:t>
            </w:r>
            <w:r w:rsidRPr="00284F47" w:rsidR="00344C51">
              <w:rPr>
                <w:rFonts w:eastAsia="Cambria Math"/>
              </w:rPr>
              <w:t>〖</w:t>
            </w:r>
            <w:r w:rsidRPr="00284F47" w:rsidR="00344C51">
              <w:t>Cantidades recobradas</w:t>
            </w:r>
            <w:r w:rsidRPr="00284F47" w:rsidR="00344C51">
              <w:rPr>
                <w:rFonts w:eastAsia="Cambria Math"/>
              </w:rPr>
              <w:t>〗</w:t>
            </w:r>
            <w:r w:rsidRPr="00284F47" w:rsidR="00344C51">
              <w:t>_(it-1)*</w:t>
            </w:r>
            <w:r w:rsidRPr="00284F47" w:rsidR="00344C51">
              <w:rPr>
                <w:rFonts w:eastAsia="Cambria Math"/>
              </w:rPr>
              <w:t>〖</w:t>
            </w:r>
            <w:r w:rsidRPr="00284F47" w:rsidR="00344C51">
              <w:t>VMR</w:t>
            </w:r>
            <w:r w:rsidRPr="00284F47" w:rsidR="00344C51">
              <w:rPr>
                <w:rFonts w:eastAsia="Cambria Math"/>
              </w:rPr>
              <w:t>〗</w:t>
            </w:r>
            <w:r w:rsidRPr="00284F47" w:rsidR="00344C51">
              <w:t>_(</w:t>
            </w:r>
            <w:proofErr w:type="spellStart"/>
            <w:r w:rsidRPr="00284F47" w:rsidR="00344C51">
              <w:t>it</w:t>
            </w:r>
            <w:proofErr w:type="spellEnd"/>
            <w:r w:rsidRPr="00284F47" w:rsidR="00344C51">
              <w:t>)</w:t>
            </w:r>
            <w:r w:rsidRPr="00284F47" w:rsidR="00344C51">
              <w:br/>
            </w:r>
            <w:r w:rsidRPr="00284F47" w:rsidR="00344C51">
              <w:br/>
            </w:r>
            <w:r w:rsidRPr="00284F47" w:rsidR="00344C51">
              <w:t>i: Aquel medicamento perteneciente a la misma clasificación Anatómica Terapéutica Química, por sus siglas en inglés - ATC (</w:t>
            </w:r>
            <w:proofErr w:type="spellStart"/>
            <w:r w:rsidRPr="00284F47" w:rsidR="00344C51">
              <w:t>Anatomical</w:t>
            </w:r>
            <w:proofErr w:type="spellEnd"/>
            <w:r w:rsidRPr="00284F47" w:rsidR="00344C51">
              <w:t xml:space="preserve"> </w:t>
            </w:r>
            <w:proofErr w:type="spellStart"/>
            <w:r w:rsidRPr="00284F47" w:rsidR="00344C51">
              <w:t>Therapeutic</w:t>
            </w:r>
            <w:proofErr w:type="spellEnd"/>
            <w:r w:rsidRPr="00284F47" w:rsidR="00344C51">
              <w:t xml:space="preserve"> Chemical </w:t>
            </w:r>
            <w:proofErr w:type="spellStart"/>
            <w:r w:rsidRPr="00284F47" w:rsidR="00344C51">
              <w:t>Classification</w:t>
            </w:r>
            <w:proofErr w:type="spellEnd"/>
            <w:r w:rsidRPr="00284F47" w:rsidR="00344C51">
              <w:t xml:space="preserve"> </w:t>
            </w:r>
            <w:proofErr w:type="spellStart"/>
            <w:r w:rsidRPr="00284F47" w:rsidR="00344C51">
              <w:t>System</w:t>
            </w:r>
            <w:proofErr w:type="spellEnd"/>
            <w:r w:rsidRPr="00284F47" w:rsidR="00344C51">
              <w:t>) a nivel 5 (principio activo) e igual forma farmacéutica.</w:t>
            </w:r>
            <w:r w:rsidRPr="00284F47" w:rsidR="00FD26DE">
              <w:t xml:space="preserve"> </w:t>
            </w:r>
            <w:r w:rsidRPr="00284F47" w:rsidR="00344C51">
              <w:br/>
            </w:r>
            <w:r w:rsidRPr="00284F47" w:rsidR="00344C51">
              <w:t>t-1: última base de datos de recobros (ADRES) disponible previa a la implementación de la medida.</w:t>
            </w:r>
          </w:p>
          <w:p w:rsidRPr="00284F47" w:rsidR="00344C51" w:rsidP="00482202" w:rsidRDefault="00344C51" w14:paraId="012E3726" w14:textId="43B1E9CB">
            <w:pPr>
              <w:pStyle w:val="Paragraph"/>
              <w:rPr>
                <w:b/>
                <w:bCs/>
              </w:rPr>
            </w:pPr>
            <w:r w:rsidRPr="00284F47">
              <w:t>Valor recobrado: valores recobrados/cobrados por los servicios y tecnologías no financiados con cargo a la unidad de pago por capitación presentados ante la ADRES en estado aprobado de los grupos o medicamentos regulados por parte de la Comisión Nacional de Precios de Medicamentos y Dispositivos Médicos (CNPMDM), sin considerar el valor de la cuota moderadora o copago, tampoco el monto del comparador administrativo contenido en el listado de comparadores administrativos, ni el valor calculado para las tecnologías en salud financiadas con recursos de la UPC utilizadas o descartadas.</w:t>
            </w:r>
            <w:r w:rsidRPr="00284F47">
              <w:br/>
            </w:r>
            <w:r w:rsidRPr="00284F47">
              <w:br/>
            </w:r>
            <w:r w:rsidRPr="00284F47">
              <w:t>Cantidades recobradas: Son las cantidades iniciales por unidad mínima de concentración de los Grupos Relevantes no financiado con cargo a la Unidad de Pago por Capitación para cada EPS o EOC.</w:t>
            </w:r>
          </w:p>
          <w:p w:rsidRPr="00284F47" w:rsidR="00344C51" w:rsidP="002B0BEC" w:rsidRDefault="00D74004" w14:paraId="5EAB9F7F" w14:textId="14D33823">
            <w:pPr>
              <w:pStyle w:val="CommentText"/>
              <w:spacing w:after="120"/>
              <w:rPr>
                <w:rFonts w:cs="Arial"/>
                <w:sz w:val="21"/>
                <w:szCs w:val="21"/>
              </w:rPr>
            </w:pPr>
            <w:r w:rsidRPr="00284F47">
              <w:rPr>
                <w:rFonts w:eastAsia="Calibri" w:cs="Arial"/>
                <w:spacing w:val="-2"/>
                <w:sz w:val="21"/>
                <w:szCs w:val="21"/>
                <w:lang w:val="es-ES"/>
              </w:rPr>
              <w:t xml:space="preserve">Se realiza un modelo donde se espera un ahorro del 20% del primer año de aplicación sobre el total de recobros asociados a las tecnologías a las que se les aplica VMR. Según evidencia este tipo de medidas van perdiendo su efecto a </w:t>
            </w:r>
            <w:r w:rsidRPr="00284F47">
              <w:rPr>
                <w:rFonts w:eastAsia="Calibri" w:cs="Arial"/>
                <w:spacing w:val="-2"/>
                <w:sz w:val="21"/>
                <w:szCs w:val="21"/>
                <w:lang w:val="es-ES"/>
              </w:rPr>
              <w:lastRenderedPageBreak/>
              <w:t>través del tiempo debido a la adaptación de los agentes a la medida. En caso de que la medida de valores máximas de recobro sea modificada, se ajustará el nombre del indicador para que tenga concordancia con el crédito</w:t>
            </w:r>
            <w:r w:rsidRPr="00284F47" w:rsidR="002B0BEC">
              <w:rPr>
                <w:rFonts w:eastAsia="Calibri" w:cs="Arial"/>
                <w:spacing w:val="-2"/>
                <w:sz w:val="21"/>
                <w:szCs w:val="21"/>
                <w:lang w:val="es-ES"/>
              </w:rPr>
              <w:t>.</w:t>
            </w:r>
            <w:r w:rsidRPr="00284F47" w:rsidR="002B0BEC">
              <w:rPr>
                <w:rFonts w:cs="Arial"/>
                <w:sz w:val="21"/>
                <w:szCs w:val="21"/>
              </w:rPr>
              <w:t xml:space="preserve"> </w:t>
            </w:r>
          </w:p>
        </w:tc>
      </w:tr>
    </w:tbl>
    <w:p w:rsidR="00284F47" w:rsidP="00164BDF" w:rsidRDefault="00284F47" w14:paraId="404E537A" w14:textId="1B7716DE">
      <w:pPr>
        <w:spacing w:line="276" w:lineRule="auto"/>
        <w:rPr>
          <w:lang w:val="es-ES" w:eastAsia="en-US"/>
        </w:rPr>
      </w:pPr>
    </w:p>
    <w:p w:rsidR="00284F47" w:rsidRDefault="00284F47" w14:paraId="42B50C9A" w14:textId="77777777">
      <w:pPr>
        <w:spacing w:after="160" w:line="259" w:lineRule="auto"/>
        <w:rPr>
          <w:lang w:val="es-ES" w:eastAsia="en-US"/>
        </w:rPr>
      </w:pPr>
      <w:r>
        <w:rPr>
          <w:lang w:val="es-ES" w:eastAsia="en-US"/>
        </w:rPr>
        <w:br w:type="page"/>
      </w:r>
    </w:p>
    <w:p w:rsidRPr="00544542" w:rsidR="000D6372" w:rsidP="00482202" w:rsidRDefault="00E369C0" w14:paraId="5314B17A" w14:textId="666ED013">
      <w:pPr>
        <w:pStyle w:val="Paragraph"/>
      </w:pPr>
      <w:r w:rsidRPr="00544542">
        <w:lastRenderedPageBreak/>
        <w:t>Protocolo de verificación del IVD 2</w:t>
      </w:r>
    </w:p>
    <w:tbl>
      <w:tblPr>
        <w:tblStyle w:val="TableGrid"/>
        <w:tblW w:w="0" w:type="auto"/>
        <w:tblLook w:val="04A0" w:firstRow="1" w:lastRow="0" w:firstColumn="1" w:lastColumn="0" w:noHBand="0" w:noVBand="1"/>
      </w:tblPr>
      <w:tblGrid>
        <w:gridCol w:w="3539"/>
        <w:gridCol w:w="5811"/>
      </w:tblGrid>
      <w:tr w:rsidRPr="00284F47" w:rsidR="000D6372" w:rsidTr="0033350F" w14:paraId="12884377" w14:textId="77777777">
        <w:tc>
          <w:tcPr>
            <w:tcW w:w="3539" w:type="dxa"/>
          </w:tcPr>
          <w:p w:rsidRPr="00284F47" w:rsidR="000D6372" w:rsidP="00482202" w:rsidRDefault="000D6372" w14:paraId="4C54A814" w14:textId="77777777">
            <w:pPr>
              <w:pStyle w:val="Paragraph"/>
            </w:pPr>
            <w:r w:rsidRPr="00284F47">
              <w:t>Definición</w:t>
            </w:r>
          </w:p>
        </w:tc>
        <w:tc>
          <w:tcPr>
            <w:tcW w:w="5811" w:type="dxa"/>
          </w:tcPr>
          <w:p w:rsidRPr="00284F47" w:rsidR="000D6372" w:rsidP="00482202" w:rsidRDefault="001C2573" w14:paraId="66C0EE71" w14:textId="0C3EF1F9">
            <w:pPr>
              <w:pStyle w:val="Paragraph"/>
              <w:rPr>
                <w:b/>
              </w:rPr>
            </w:pPr>
            <w:r w:rsidRPr="00284F47">
              <w:t>Número de departamentos/distrito con la población afiliada con seguimiento nominal de actividades programáticas de promoción y mantenimiento por parte del Ministerio de Salud en el marco de los acuerdos MAITE. Este IVD mide el número de departamentos/distrito en los cuales el Ministerio de Salud realiza seguimiento de la cobertura de acciones programáticas de promoción y mantenimiento de la salud con la herramienta diseñada para tal fin y en los que se acuerdan, organizan y aplican acciones de mejoramiento con base en el reporte trimestral generado por el Ministerio, impulsados en el marco de MAITE y con base en los procesos de asistencia técnica que se desarrollen desde el Ministerio.</w:t>
            </w:r>
            <w:r w:rsidRPr="00284F47" w:rsidR="00564AA1">
              <w:t xml:space="preserve"> El seguimiento se realizará a través de reuniones trimestrales </w:t>
            </w:r>
            <w:r w:rsidRPr="00284F47" w:rsidR="00AE563D">
              <w:t xml:space="preserve">entre el MSPS y la entidad territorial en las cuales se observará, en el sistema nominal, el cumplimiento de las metas definidas para las actividades programáticas de promoción y mantenimiento. </w:t>
            </w:r>
          </w:p>
        </w:tc>
      </w:tr>
      <w:tr w:rsidRPr="00284F47" w:rsidR="001C2573" w:rsidTr="0033350F" w14:paraId="7313B26B" w14:textId="77777777">
        <w:tc>
          <w:tcPr>
            <w:tcW w:w="3539" w:type="dxa"/>
          </w:tcPr>
          <w:p w:rsidRPr="00284F47" w:rsidR="001C2573" w:rsidP="00482202" w:rsidRDefault="001C2573" w14:paraId="1090DA9D" w14:textId="77777777">
            <w:pPr>
              <w:pStyle w:val="Paragraph"/>
            </w:pPr>
            <w:r w:rsidRPr="00284F47">
              <w:t>Qué constituye el cumplimiento del IVD</w:t>
            </w:r>
          </w:p>
        </w:tc>
        <w:tc>
          <w:tcPr>
            <w:tcW w:w="5811" w:type="dxa"/>
          </w:tcPr>
          <w:p w:rsidRPr="00284F47" w:rsidR="001C2573" w:rsidP="00482202" w:rsidRDefault="001C2573" w14:paraId="201F7D39" w14:textId="49A88064">
            <w:pPr>
              <w:pStyle w:val="Paragraph"/>
              <w:rPr>
                <w:b/>
              </w:rPr>
            </w:pPr>
            <w:r w:rsidRPr="00284F47">
              <w:t xml:space="preserve">El IVD 2 se considera “cumplido” si el número de departamentos/distrito a los cuales se les hace seguimiento de actividades programáticas de promoción y mantenimiento de la salud en el marco de los acuerdos MAITE a través del sistema de información del MSPS corresponde a: a) 2 al final del primer año de ejecución del proyecto (2020); b) 5 al final del segundo año de ejecución del proyecto (2021); y c) 10 al final del tercer año de ejecución del proyecto (2021). </w:t>
            </w:r>
          </w:p>
        </w:tc>
      </w:tr>
      <w:tr w:rsidRPr="00284F47" w:rsidR="001C2573" w:rsidTr="0033350F" w14:paraId="5EA035EE" w14:textId="77777777">
        <w:tc>
          <w:tcPr>
            <w:tcW w:w="3539" w:type="dxa"/>
          </w:tcPr>
          <w:p w:rsidRPr="00284F47" w:rsidR="001C2573" w:rsidP="00482202" w:rsidRDefault="001C2573" w14:paraId="55B0B459" w14:textId="77777777">
            <w:pPr>
              <w:pStyle w:val="Paragraph"/>
            </w:pPr>
            <w:r w:rsidRPr="00284F47">
              <w:t xml:space="preserve">Periodo de verificación esperado (congruente con los datos) </w:t>
            </w:r>
          </w:p>
        </w:tc>
        <w:tc>
          <w:tcPr>
            <w:tcW w:w="5811" w:type="dxa"/>
          </w:tcPr>
          <w:p w:rsidRPr="00284F47" w:rsidR="001C2573" w:rsidP="00482202" w:rsidRDefault="001C2573" w14:paraId="77038F5F" w14:textId="3BA9D7BE">
            <w:pPr>
              <w:pStyle w:val="Paragraph"/>
              <w:rPr>
                <w:b/>
              </w:rPr>
            </w:pPr>
            <w:r w:rsidRPr="00284F47">
              <w:t xml:space="preserve">Los resultados se verificarán durante el tercer trimestre de cada año de ejecución: 2020, 2021, y 2022.  </w:t>
            </w:r>
          </w:p>
        </w:tc>
      </w:tr>
      <w:tr w:rsidRPr="00284F47" w:rsidR="001C2573" w:rsidTr="0033350F" w14:paraId="2AB4F6C9" w14:textId="77777777">
        <w:tc>
          <w:tcPr>
            <w:tcW w:w="3539" w:type="dxa"/>
          </w:tcPr>
          <w:p w:rsidRPr="00284F47" w:rsidR="001C2573" w:rsidP="00482202" w:rsidRDefault="001C2573" w14:paraId="4341E691" w14:textId="77777777">
            <w:pPr>
              <w:pStyle w:val="Paragraph"/>
            </w:pPr>
            <w:r w:rsidRPr="00284F47">
              <w:t>Datos para medir el cumplimiento, incluyendo la frecuencia de la presentación de informes</w:t>
            </w:r>
          </w:p>
        </w:tc>
        <w:tc>
          <w:tcPr>
            <w:tcW w:w="5811" w:type="dxa"/>
          </w:tcPr>
          <w:p w:rsidRPr="00284F47" w:rsidR="001C2573" w:rsidP="00482202" w:rsidRDefault="001C2573" w14:paraId="52373339" w14:textId="1B170860">
            <w:pPr>
              <w:pStyle w:val="Paragraph"/>
              <w:rPr>
                <w:b/>
              </w:rPr>
            </w:pPr>
            <w:r w:rsidRPr="00284F47">
              <w:t>Las fuentes son los reportes de actividades programáticas trimestral del MSPS y las actas de seguimiento trimestral por cada entidad territorial. El reporte del IVD 2 será responsabilidad de la Dirección de Promoción y Prevención del MSPS. La</w:t>
            </w:r>
            <w:r w:rsidRPr="00284F47" w:rsidR="00FD26DE">
              <w:t> </w:t>
            </w:r>
            <w:r w:rsidRPr="00284F47">
              <w:t>periodicidad de la medición será trimestral y se reportará de manera semestral al Banco.</w:t>
            </w:r>
          </w:p>
        </w:tc>
      </w:tr>
      <w:tr w:rsidRPr="00284F47" w:rsidR="001C2573" w:rsidTr="0033350F" w14:paraId="432E7379" w14:textId="77777777">
        <w:tc>
          <w:tcPr>
            <w:tcW w:w="3539" w:type="dxa"/>
          </w:tcPr>
          <w:p w:rsidRPr="00284F47" w:rsidR="001C2573" w:rsidP="00482202" w:rsidRDefault="001C2573" w14:paraId="7B6C5821" w14:textId="0A960BEA">
            <w:pPr>
              <w:pStyle w:val="Paragraph"/>
            </w:pPr>
            <w:r w:rsidRPr="00284F47">
              <w:t xml:space="preserve">Entidad responsable de la verificación del </w:t>
            </w:r>
            <w:r w:rsidRPr="00284F47" w:rsidR="002B0BEC">
              <w:t>cumplimiento</w:t>
            </w:r>
            <w:r w:rsidRPr="00284F47">
              <w:t xml:space="preserve"> del IVD</w:t>
            </w:r>
          </w:p>
        </w:tc>
        <w:tc>
          <w:tcPr>
            <w:tcW w:w="5811" w:type="dxa"/>
          </w:tcPr>
          <w:p w:rsidRPr="00284F47" w:rsidR="001C2573" w:rsidP="00482202" w:rsidRDefault="001C2573" w14:paraId="028F0138" w14:textId="542B03E4">
            <w:pPr>
              <w:pStyle w:val="Paragraph"/>
              <w:rPr>
                <w:b/>
              </w:rPr>
            </w:pPr>
            <w:r w:rsidRPr="00284F47">
              <w:t xml:space="preserve">Departamento Nacional de Planeación. </w:t>
            </w:r>
          </w:p>
        </w:tc>
      </w:tr>
      <w:tr w:rsidRPr="00284F47" w:rsidR="001C2573" w:rsidTr="0033350F" w14:paraId="76AE7A97" w14:textId="77777777">
        <w:tc>
          <w:tcPr>
            <w:tcW w:w="3539" w:type="dxa"/>
          </w:tcPr>
          <w:p w:rsidRPr="00284F47" w:rsidR="001C2573" w:rsidP="00482202" w:rsidRDefault="001C2573" w14:paraId="7E3B17D2" w14:textId="4DF716FF">
            <w:pPr>
              <w:pStyle w:val="Paragraph"/>
            </w:pPr>
            <w:r w:rsidRPr="00284F47">
              <w:t>Otra información</w:t>
            </w:r>
          </w:p>
        </w:tc>
        <w:tc>
          <w:tcPr>
            <w:tcW w:w="5811" w:type="dxa"/>
          </w:tcPr>
          <w:p w:rsidRPr="00284F47" w:rsidR="001C2573" w:rsidP="00482202" w:rsidRDefault="001C2573" w14:paraId="3C0DC0E9" w14:textId="0CA741E2">
            <w:pPr>
              <w:pStyle w:val="Paragraph"/>
              <w:rPr>
                <w:b/>
              </w:rPr>
            </w:pPr>
            <w:r w:rsidRPr="00284F47">
              <w:t>Fórmula de cálculo: Valor acumulado de departamentos/distritos con la población afiliada en seguimiento nominal de actividades programáticas de promoción y mantenimiento por parte del Ministerio de Salud en el período reportado</w:t>
            </w:r>
          </w:p>
        </w:tc>
      </w:tr>
    </w:tbl>
    <w:p w:rsidR="00F5051C" w:rsidP="00482202" w:rsidRDefault="00F5051C" w14:paraId="10F7E2A6" w14:textId="77777777">
      <w:pPr>
        <w:pStyle w:val="Paragraph"/>
      </w:pPr>
    </w:p>
    <w:p w:rsidRPr="00544542" w:rsidR="000D6372" w:rsidP="00482202" w:rsidRDefault="00E369C0" w14:paraId="4ECDD441" w14:textId="25C851D3">
      <w:pPr>
        <w:pStyle w:val="Paragraph"/>
      </w:pPr>
      <w:r w:rsidRPr="00544542">
        <w:t>Protocolo de verificación del IVD 3</w:t>
      </w:r>
    </w:p>
    <w:tbl>
      <w:tblPr>
        <w:tblStyle w:val="TableGrid"/>
        <w:tblW w:w="0" w:type="auto"/>
        <w:tblLook w:val="04A0" w:firstRow="1" w:lastRow="0" w:firstColumn="1" w:lastColumn="0" w:noHBand="0" w:noVBand="1"/>
      </w:tblPr>
      <w:tblGrid>
        <w:gridCol w:w="3539"/>
        <w:gridCol w:w="5811"/>
      </w:tblGrid>
      <w:tr w:rsidRPr="00FD26DE" w:rsidR="000D6372" w:rsidTr="0033350F" w14:paraId="1F962A18" w14:textId="77777777">
        <w:tc>
          <w:tcPr>
            <w:tcW w:w="3539" w:type="dxa"/>
          </w:tcPr>
          <w:p w:rsidRPr="00FD26DE" w:rsidR="000D6372" w:rsidP="00482202" w:rsidRDefault="000D6372" w14:paraId="74080E0C" w14:textId="77777777">
            <w:pPr>
              <w:pStyle w:val="Paragraph"/>
            </w:pPr>
            <w:r w:rsidRPr="00FD26DE">
              <w:t>Definición</w:t>
            </w:r>
          </w:p>
        </w:tc>
        <w:tc>
          <w:tcPr>
            <w:tcW w:w="5811" w:type="dxa"/>
          </w:tcPr>
          <w:p w:rsidRPr="00FD26DE" w:rsidR="000D6372" w:rsidP="00482202" w:rsidRDefault="002A4639" w14:paraId="740FDCCA" w14:textId="72E454A6">
            <w:pPr>
              <w:pStyle w:val="Paragraph"/>
              <w:rPr>
                <w:b/>
              </w:rPr>
            </w:pPr>
            <w:r w:rsidRPr="00FD26DE">
              <w:t>Población inmigrante afiliada</w:t>
            </w:r>
            <w:r w:rsidRPr="00FD26DE" w:rsidR="0033350F">
              <w:t xml:space="preserve">. Este IVD </w:t>
            </w:r>
            <w:r w:rsidRPr="00FD26DE" w:rsidR="003E1EDD">
              <w:t>m</w:t>
            </w:r>
            <w:r w:rsidRPr="00FD26DE" w:rsidR="0033350F">
              <w:t>ide el número de afiliados activos de nacionalidad venezolana con Permiso Especial de Permanencia (PEP)</w:t>
            </w:r>
            <w:r w:rsidRPr="00FD26DE" w:rsidR="003E1EDD">
              <w:t xml:space="preserve"> en Colombia. </w:t>
            </w:r>
          </w:p>
        </w:tc>
      </w:tr>
      <w:tr w:rsidRPr="00FD26DE" w:rsidR="000D6372" w:rsidTr="0033350F" w14:paraId="55F27925" w14:textId="77777777">
        <w:tc>
          <w:tcPr>
            <w:tcW w:w="3539" w:type="dxa"/>
          </w:tcPr>
          <w:p w:rsidRPr="00FD26DE" w:rsidR="000D6372" w:rsidP="00482202" w:rsidRDefault="000D6372" w14:paraId="5ED9A62C" w14:textId="77777777">
            <w:pPr>
              <w:pStyle w:val="Paragraph"/>
            </w:pPr>
            <w:r w:rsidRPr="00FD26DE">
              <w:t>Qué constituye el cumplimiento del IVD</w:t>
            </w:r>
          </w:p>
        </w:tc>
        <w:tc>
          <w:tcPr>
            <w:tcW w:w="5811" w:type="dxa"/>
          </w:tcPr>
          <w:p w:rsidRPr="00FD26DE" w:rsidR="000D6372" w:rsidP="00482202" w:rsidRDefault="00A522E7" w14:paraId="5EC8BC73" w14:textId="73FDBA8D">
            <w:pPr>
              <w:pStyle w:val="Paragraph"/>
              <w:rPr>
                <w:b/>
              </w:rPr>
            </w:pPr>
            <w:r w:rsidRPr="00FD26DE">
              <w:t>El IVD 3 se considera “cumplido” si</w:t>
            </w:r>
            <w:r w:rsidRPr="00FD26DE" w:rsidR="0033350F">
              <w:t xml:space="preserve"> el número de afiliados activos de nacionalidad venezolana con PEP corresponde </w:t>
            </w:r>
            <w:r w:rsidRPr="00FD26DE" w:rsidR="0033350F">
              <w:lastRenderedPageBreak/>
              <w:t xml:space="preserve">a: a) 220.000 al final del </w:t>
            </w:r>
            <w:r w:rsidRPr="00FD26DE" w:rsidR="003E1EDD">
              <w:t xml:space="preserve">primer año de ejecución del proyecto (2020); b) 320.000 al final del segundo </w:t>
            </w:r>
            <w:r w:rsidRPr="00FD26DE" w:rsidR="002B0BEC">
              <w:t>año</w:t>
            </w:r>
            <w:r w:rsidRPr="00FD26DE" w:rsidR="003E1EDD">
              <w:t xml:space="preserve"> de ejecución del proyecto (2021); c) 425.000 al final del tercer </w:t>
            </w:r>
            <w:r w:rsidRPr="00FD26DE" w:rsidR="002B0BEC">
              <w:t>año</w:t>
            </w:r>
            <w:r w:rsidRPr="00FD26DE" w:rsidR="003E1EDD">
              <w:t xml:space="preserve"> de ejecución del proyecto (2022)</w:t>
            </w:r>
            <w:r w:rsidRPr="00FD26DE" w:rsidR="00683EC4">
              <w:rPr>
                <w:rStyle w:val="FootnoteReference"/>
                <w:rFonts w:ascii="Arial" w:hAnsi="Arial" w:cs="Arial"/>
                <w:sz w:val="21"/>
                <w:szCs w:val="21"/>
              </w:rPr>
              <w:footnoteReference w:id="9"/>
            </w:r>
            <w:r w:rsidRPr="00FD26DE" w:rsidR="003E1EDD">
              <w:t xml:space="preserve">. </w:t>
            </w:r>
          </w:p>
        </w:tc>
      </w:tr>
      <w:tr w:rsidRPr="00FD26DE" w:rsidR="000D6372" w:rsidTr="0033350F" w14:paraId="4900F35B" w14:textId="77777777">
        <w:tc>
          <w:tcPr>
            <w:tcW w:w="3539" w:type="dxa"/>
          </w:tcPr>
          <w:p w:rsidRPr="00FD26DE" w:rsidR="000D6372" w:rsidP="00482202" w:rsidRDefault="000D6372" w14:paraId="521E5376" w14:textId="77777777">
            <w:pPr>
              <w:pStyle w:val="Paragraph"/>
            </w:pPr>
            <w:r w:rsidRPr="00FD26DE">
              <w:lastRenderedPageBreak/>
              <w:t xml:space="preserve">Periodo de verificación esperado (congruente con los datos) </w:t>
            </w:r>
          </w:p>
        </w:tc>
        <w:tc>
          <w:tcPr>
            <w:tcW w:w="5811" w:type="dxa"/>
          </w:tcPr>
          <w:p w:rsidRPr="00FD26DE" w:rsidR="000D6372" w:rsidP="00482202" w:rsidRDefault="00DD1997" w14:paraId="7074B998" w14:textId="6A7125F2">
            <w:pPr>
              <w:pStyle w:val="Paragraph"/>
              <w:rPr>
                <w:b/>
              </w:rPr>
            </w:pPr>
            <w:r w:rsidRPr="00FD26DE">
              <w:t xml:space="preserve">Los resultados se verificarán al final de cada año de ejecución: 2020, 2021, y 2022 </w:t>
            </w:r>
          </w:p>
        </w:tc>
      </w:tr>
      <w:tr w:rsidRPr="00FD26DE" w:rsidR="000D6372" w:rsidTr="0033350F" w14:paraId="72E574F4" w14:textId="77777777">
        <w:tc>
          <w:tcPr>
            <w:tcW w:w="3539" w:type="dxa"/>
          </w:tcPr>
          <w:p w:rsidRPr="00FD26DE" w:rsidR="000D6372" w:rsidP="00482202" w:rsidRDefault="000D6372" w14:paraId="4484BCB4" w14:textId="77777777">
            <w:pPr>
              <w:pStyle w:val="Paragraph"/>
            </w:pPr>
            <w:r w:rsidRPr="00FD26DE">
              <w:t>Datos para medir el cumplimiento, incluyendo la frecuencia de la presentación de informes</w:t>
            </w:r>
          </w:p>
        </w:tc>
        <w:tc>
          <w:tcPr>
            <w:tcW w:w="5811" w:type="dxa"/>
          </w:tcPr>
          <w:p w:rsidRPr="00FD26DE" w:rsidR="000D6372" w:rsidP="00482202" w:rsidRDefault="00BD1DB7" w14:paraId="33482CA5" w14:textId="451B8F1F">
            <w:pPr>
              <w:pStyle w:val="Paragraph"/>
              <w:rPr>
                <w:b/>
              </w:rPr>
            </w:pPr>
            <w:r w:rsidRPr="00FD26DE">
              <w:t>La fuente es la B</w:t>
            </w:r>
            <w:r w:rsidRPr="00FD26DE" w:rsidR="00AD2E9A">
              <w:t xml:space="preserve">ase de Datos Única de Afiliados </w:t>
            </w:r>
            <w:r w:rsidRPr="00FD26DE">
              <w:t xml:space="preserve">(BDUA) </w:t>
            </w:r>
            <w:r w:rsidRPr="00FD26DE" w:rsidR="00AD2E9A">
              <w:t>del</w:t>
            </w:r>
            <w:r w:rsidRPr="00FD26DE">
              <w:t xml:space="preserve"> MSPS</w:t>
            </w:r>
            <w:r w:rsidRPr="00FD26DE" w:rsidR="00396E66">
              <w:t xml:space="preserve">. </w:t>
            </w:r>
            <w:r w:rsidRPr="00FD26DE" w:rsidR="00C94087">
              <w:t>El reporte del IVD 3 será responsabilidad de la Dirección de la Operación del Aseguramiento en Salud, Riesgos Laborales y Pensiones</w:t>
            </w:r>
            <w:r w:rsidRPr="00FD26DE" w:rsidR="001C181B">
              <w:t xml:space="preserve"> del MSPS.</w:t>
            </w:r>
            <w:r w:rsidRPr="00FD26DE" w:rsidR="005C4846">
              <w:t xml:space="preserve"> La periodicidad de la medición será mensual</w:t>
            </w:r>
            <w:r w:rsidRPr="00FD26DE" w:rsidR="00A2115D">
              <w:t xml:space="preserve"> y se reportará de manera semestral al Banco.</w:t>
            </w:r>
          </w:p>
        </w:tc>
      </w:tr>
      <w:tr w:rsidRPr="00FD26DE" w:rsidR="000D6372" w:rsidTr="0033350F" w14:paraId="146D2066" w14:textId="77777777">
        <w:tc>
          <w:tcPr>
            <w:tcW w:w="3539" w:type="dxa"/>
          </w:tcPr>
          <w:p w:rsidRPr="00FD26DE" w:rsidR="000D6372" w:rsidP="00482202" w:rsidRDefault="000D6372" w14:paraId="67C4ABA0" w14:textId="6AB9FB3A">
            <w:pPr>
              <w:pStyle w:val="Paragraph"/>
            </w:pPr>
            <w:r w:rsidRPr="00FD26DE">
              <w:t xml:space="preserve">Entidad responsable de la verificación del </w:t>
            </w:r>
            <w:r w:rsidRPr="00FD26DE" w:rsidR="002B0BEC">
              <w:t>cumplimiento</w:t>
            </w:r>
            <w:r w:rsidRPr="00FD26DE">
              <w:t xml:space="preserve"> del IVD</w:t>
            </w:r>
          </w:p>
        </w:tc>
        <w:tc>
          <w:tcPr>
            <w:tcW w:w="5811" w:type="dxa"/>
          </w:tcPr>
          <w:p w:rsidRPr="00FD26DE" w:rsidR="000D6372" w:rsidP="00482202" w:rsidRDefault="00C94087" w14:paraId="22AAFB08" w14:textId="4F136207">
            <w:pPr>
              <w:pStyle w:val="Paragraph"/>
              <w:rPr>
                <w:b/>
              </w:rPr>
            </w:pPr>
            <w:r w:rsidRPr="00FD26DE">
              <w:t xml:space="preserve">Departamento Nacional de Planeación. </w:t>
            </w:r>
          </w:p>
        </w:tc>
      </w:tr>
      <w:tr w:rsidRPr="00FD26DE" w:rsidR="00396E66" w:rsidTr="0033350F" w14:paraId="47DA0A9A" w14:textId="77777777">
        <w:tc>
          <w:tcPr>
            <w:tcW w:w="3539" w:type="dxa"/>
          </w:tcPr>
          <w:p w:rsidRPr="00FD26DE" w:rsidR="00396E66" w:rsidP="00482202" w:rsidRDefault="00396E66" w14:paraId="79645D75" w14:textId="1DFC432F">
            <w:pPr>
              <w:pStyle w:val="Paragraph"/>
            </w:pPr>
            <w:r w:rsidRPr="00FD26DE">
              <w:t>Otra información</w:t>
            </w:r>
          </w:p>
        </w:tc>
        <w:tc>
          <w:tcPr>
            <w:tcW w:w="5811" w:type="dxa"/>
          </w:tcPr>
          <w:p w:rsidRPr="00FD26DE" w:rsidR="00396E66" w:rsidP="00482202" w:rsidRDefault="00A2115D" w14:paraId="0A1DBDE8" w14:textId="571A0E7E">
            <w:pPr>
              <w:pStyle w:val="Paragraph"/>
              <w:rPr>
                <w:b/>
              </w:rPr>
            </w:pPr>
            <w:r w:rsidRPr="00FD26DE">
              <w:t>Fórmula</w:t>
            </w:r>
            <w:r w:rsidRPr="00FD26DE" w:rsidR="00396E66">
              <w:t xml:space="preserve"> de cálculo: Número de inmigrantes venezolanos afiliados= Número de afiliados activos de nacionalidad venezolana con Permiso Especial de Permanencia (PEP) + número de afiliados registrados con terminación de inscripción de una EPS (por vencimiento PEP) + número de afiliados activos con documento de identificación válido para la afiliación (1) + nacidos vivos de padres no afiliados de nacionalidad venezolana (2)</w:t>
            </w:r>
          </w:p>
          <w:p w:rsidRPr="00FD26DE" w:rsidR="00396E66" w:rsidP="00482202" w:rsidRDefault="00396E66" w14:paraId="730DE074" w14:textId="4DC951AB">
            <w:pPr>
              <w:pStyle w:val="Paragraph"/>
              <w:rPr>
                <w:b/>
              </w:rPr>
            </w:pPr>
            <w:r w:rsidRPr="00FD26DE">
              <w:t>(1) corresponde a los afiliados con salvoconducto, cédula de extranjería y pasaporte para menores de siete (7) años, cuando sea posible identificar la nacionalidad del afiliado en la BDUA</w:t>
            </w:r>
          </w:p>
          <w:p w:rsidRPr="00FD26DE" w:rsidR="00396E66" w:rsidP="00482202" w:rsidRDefault="00396E66" w14:paraId="1A624ABE" w14:textId="1DAAE58C">
            <w:pPr>
              <w:pStyle w:val="Paragraph"/>
              <w:rPr>
                <w:b/>
              </w:rPr>
            </w:pPr>
            <w:r w:rsidRPr="00FD26DE">
              <w:t>(2) Nacidos vivos de padres no afiliados de nacionalidad venezolana, cuando sea posible identificar la nacionalidad del afiliado en la BDUA</w:t>
            </w:r>
          </w:p>
        </w:tc>
      </w:tr>
    </w:tbl>
    <w:p w:rsidRPr="00544542" w:rsidR="000D6372" w:rsidP="00800AF1" w:rsidRDefault="000D6372" w14:paraId="10612EAB" w14:textId="77777777">
      <w:pPr>
        <w:rPr>
          <w:lang w:val="es-ES" w:eastAsia="en-US"/>
        </w:rPr>
      </w:pPr>
    </w:p>
    <w:p w:rsidRPr="00544542" w:rsidR="00847D86" w:rsidP="0041035A" w:rsidRDefault="0041035A" w14:paraId="71BADB86" w14:textId="6AD968ED">
      <w:pPr>
        <w:spacing w:after="160" w:line="259" w:lineRule="auto"/>
        <w:rPr>
          <w:rFonts w:ascii="Arial" w:hAnsi="Arial" w:eastAsia="Calibri" w:cs="Arial"/>
          <w:sz w:val="22"/>
          <w:szCs w:val="22"/>
          <w:lang w:val="es-ES" w:eastAsia="en-US"/>
        </w:rPr>
      </w:pPr>
      <w:r w:rsidRPr="00544542">
        <w:rPr>
          <w:lang w:val="es-ES"/>
        </w:rPr>
        <w:br w:type="page"/>
      </w:r>
    </w:p>
    <w:p w:rsidRPr="00544542" w:rsidR="009B0786" w:rsidP="007B464E" w:rsidRDefault="009B0786" w14:paraId="1F5C5A7B" w14:textId="37E5345A">
      <w:pPr>
        <w:pStyle w:val="Heading2"/>
        <w:numPr>
          <w:ilvl w:val="0"/>
          <w:numId w:val="21"/>
        </w:numPr>
      </w:pPr>
      <w:r w:rsidRPr="00544542">
        <w:lastRenderedPageBreak/>
        <w:t>Indicadores de Seguimiento</w:t>
      </w:r>
      <w:bookmarkEnd w:id="9"/>
      <w:r w:rsidRPr="00544542">
        <w:t xml:space="preserve"> </w:t>
      </w:r>
    </w:p>
    <w:p w:rsidRPr="00544542" w:rsidR="00393737" w:rsidP="0048039E" w:rsidRDefault="008D0C57" w14:paraId="1919146B" w14:textId="579B420C">
      <w:pPr>
        <w:spacing w:line="276" w:lineRule="auto"/>
        <w:jc w:val="both"/>
        <w:rPr>
          <w:rFonts w:ascii="Arial" w:hAnsi="Arial" w:cs="Arial"/>
          <w:sz w:val="22"/>
          <w:szCs w:val="22"/>
          <w:lang w:val="es-ES"/>
        </w:rPr>
      </w:pPr>
      <w:r w:rsidRPr="00544542">
        <w:rPr>
          <w:rFonts w:ascii="Arial" w:hAnsi="Arial" w:cs="Arial"/>
          <w:color w:val="000000"/>
          <w:sz w:val="22"/>
          <w:szCs w:val="22"/>
          <w:lang w:val="es-ES"/>
        </w:rPr>
        <w:t>El programa utilizará diversas fuentes para monitorear los indicad</w:t>
      </w:r>
      <w:r w:rsidRPr="00544542" w:rsidR="004B2CD4">
        <w:rPr>
          <w:rFonts w:ascii="Arial" w:hAnsi="Arial" w:cs="Arial"/>
          <w:color w:val="000000"/>
          <w:sz w:val="22"/>
          <w:szCs w:val="22"/>
          <w:lang w:val="es-ES"/>
        </w:rPr>
        <w:t>ores de la matriz de resultados.</w:t>
      </w:r>
      <w:r w:rsidRPr="00544542" w:rsidR="004B2CD4">
        <w:rPr>
          <w:rFonts w:ascii="Arial" w:hAnsi="Arial" w:cs="Arial"/>
          <w:sz w:val="22"/>
          <w:szCs w:val="22"/>
          <w:lang w:val="es-ES"/>
        </w:rPr>
        <w:t xml:space="preserve"> </w:t>
      </w:r>
      <w:r w:rsidRPr="00544542" w:rsidR="00E612F8">
        <w:rPr>
          <w:rFonts w:ascii="Arial" w:hAnsi="Arial" w:cs="Arial"/>
          <w:sz w:val="22"/>
          <w:szCs w:val="22"/>
          <w:lang w:val="es-ES"/>
        </w:rPr>
        <w:t>En particular, e</w:t>
      </w:r>
      <w:r w:rsidRPr="00544542" w:rsidR="00DF3596">
        <w:rPr>
          <w:rFonts w:ascii="Arial" w:hAnsi="Arial" w:cs="Arial"/>
          <w:sz w:val="22"/>
          <w:szCs w:val="22"/>
          <w:lang w:val="es-ES"/>
        </w:rPr>
        <w:t xml:space="preserve">l monitoreo del programa se apoyará en </w:t>
      </w:r>
      <w:r w:rsidRPr="00544542" w:rsidR="0048039E">
        <w:rPr>
          <w:rFonts w:ascii="Arial" w:hAnsi="Arial" w:cs="Arial"/>
          <w:sz w:val="22"/>
          <w:szCs w:val="22"/>
          <w:lang w:val="es-ES"/>
        </w:rPr>
        <w:t xml:space="preserve">varias </w:t>
      </w:r>
      <w:r w:rsidRPr="00544542" w:rsidR="008A3DF0">
        <w:rPr>
          <w:rFonts w:ascii="Arial" w:hAnsi="Arial" w:cs="Arial"/>
          <w:sz w:val="22"/>
          <w:szCs w:val="22"/>
          <w:lang w:val="es-ES"/>
        </w:rPr>
        <w:t xml:space="preserve">bases de datos que se alimentan </w:t>
      </w:r>
      <w:r w:rsidRPr="00544542" w:rsidR="00DF3596">
        <w:rPr>
          <w:rFonts w:ascii="Arial" w:hAnsi="Arial" w:cs="Arial"/>
          <w:sz w:val="22"/>
          <w:szCs w:val="22"/>
          <w:lang w:val="es-ES"/>
        </w:rPr>
        <w:t xml:space="preserve">de manera </w:t>
      </w:r>
      <w:r w:rsidRPr="00544542" w:rsidR="008A3DF0">
        <w:rPr>
          <w:rFonts w:ascii="Arial" w:hAnsi="Arial" w:cs="Arial"/>
          <w:sz w:val="22"/>
          <w:szCs w:val="22"/>
          <w:lang w:val="es-ES"/>
        </w:rPr>
        <w:t>continua:</w:t>
      </w:r>
      <w:r w:rsidRPr="00544542" w:rsidR="0048039E">
        <w:rPr>
          <w:rFonts w:ascii="Arial" w:hAnsi="Arial" w:cs="Arial"/>
          <w:sz w:val="22"/>
          <w:szCs w:val="22"/>
          <w:lang w:val="es-ES"/>
        </w:rPr>
        <w:t xml:space="preserve"> las </w:t>
      </w:r>
      <w:r w:rsidRPr="00544542" w:rsidR="00E612F8">
        <w:rPr>
          <w:rFonts w:ascii="Arial" w:hAnsi="Arial" w:cs="Arial"/>
          <w:sz w:val="22"/>
          <w:szCs w:val="22"/>
          <w:lang w:val="es-ES"/>
        </w:rPr>
        <w:t>E</w:t>
      </w:r>
      <w:r w:rsidRPr="00544542" w:rsidR="00B77AA4">
        <w:rPr>
          <w:rFonts w:ascii="Arial" w:hAnsi="Arial" w:cs="Arial"/>
          <w:sz w:val="22"/>
          <w:szCs w:val="22"/>
          <w:lang w:val="es-ES"/>
        </w:rPr>
        <w:t>stadísticas Vitales del Departamento Administrativo Nacional de Estadística (DANE)</w:t>
      </w:r>
      <w:r w:rsidRPr="00544542" w:rsidR="0048039E">
        <w:rPr>
          <w:rFonts w:ascii="Arial" w:hAnsi="Arial" w:cs="Arial"/>
          <w:sz w:val="22"/>
          <w:szCs w:val="22"/>
          <w:lang w:val="es-ES"/>
        </w:rPr>
        <w:t xml:space="preserve">, </w:t>
      </w:r>
      <w:r w:rsidRPr="00544542" w:rsidR="00E612F8">
        <w:rPr>
          <w:rFonts w:ascii="Arial" w:hAnsi="Arial" w:cs="Arial"/>
          <w:sz w:val="22"/>
          <w:szCs w:val="22"/>
          <w:lang w:val="es-ES"/>
        </w:rPr>
        <w:t xml:space="preserve">la Base de Datos Única de Afiliados (BDUA) del MSPS, </w:t>
      </w:r>
      <w:r w:rsidRPr="00544542" w:rsidR="007B67E1">
        <w:rPr>
          <w:rFonts w:ascii="Arial" w:hAnsi="Arial" w:cs="Arial"/>
          <w:sz w:val="22"/>
          <w:szCs w:val="22"/>
          <w:lang w:val="es-ES"/>
        </w:rPr>
        <w:t xml:space="preserve">y </w:t>
      </w:r>
      <w:r w:rsidRPr="00544542" w:rsidR="006D7996">
        <w:rPr>
          <w:rFonts w:ascii="Arial" w:hAnsi="Arial" w:cs="Arial"/>
          <w:sz w:val="22"/>
          <w:szCs w:val="22"/>
          <w:lang w:val="es-ES"/>
        </w:rPr>
        <w:t>la base de datos de recobros de la Administradora de los Recursos del Sistema General de Seguridad Social en Salud (ADRES)</w:t>
      </w:r>
      <w:r w:rsidRPr="00544542" w:rsidR="007B67E1">
        <w:rPr>
          <w:rFonts w:ascii="Arial" w:hAnsi="Arial" w:cs="Arial"/>
          <w:sz w:val="22"/>
          <w:szCs w:val="22"/>
          <w:lang w:val="es-ES"/>
        </w:rPr>
        <w:t>,</w:t>
      </w:r>
      <w:r w:rsidRPr="00544542" w:rsidR="00393737">
        <w:rPr>
          <w:rFonts w:ascii="Arial" w:hAnsi="Arial" w:cs="Arial"/>
          <w:sz w:val="22"/>
          <w:szCs w:val="22"/>
          <w:lang w:val="es-ES"/>
        </w:rPr>
        <w:t xml:space="preserve"> </w:t>
      </w:r>
      <w:r w:rsidRPr="00544542" w:rsidR="000E5918">
        <w:rPr>
          <w:rFonts w:ascii="Arial" w:hAnsi="Arial" w:cs="Arial"/>
          <w:sz w:val="22"/>
          <w:szCs w:val="22"/>
          <w:lang w:val="es-ES"/>
        </w:rPr>
        <w:t xml:space="preserve">posterior a </w:t>
      </w:r>
      <w:r w:rsidRPr="00FA50D0" w:rsidR="000E5918">
        <w:rPr>
          <w:rFonts w:ascii="Arial" w:hAnsi="Arial" w:cs="Arial"/>
          <w:sz w:val="22"/>
          <w:szCs w:val="22"/>
          <w:lang w:val="es-ES"/>
        </w:rPr>
        <w:t>la estandarización realizada por la Dirección de Beneficios, Costos y Tarifas del Aseguramiento en Salud del MSPS.</w:t>
      </w:r>
    </w:p>
    <w:p w:rsidRPr="00544542" w:rsidR="00393737" w:rsidP="0048039E" w:rsidRDefault="00393737" w14:paraId="5F2EADC0" w14:textId="77777777">
      <w:pPr>
        <w:spacing w:line="276" w:lineRule="auto"/>
        <w:jc w:val="both"/>
        <w:rPr>
          <w:rFonts w:ascii="Arial" w:hAnsi="Arial" w:cs="Arial"/>
          <w:sz w:val="22"/>
          <w:szCs w:val="22"/>
          <w:lang w:val="es-ES"/>
        </w:rPr>
      </w:pPr>
    </w:p>
    <w:p w:rsidRPr="00544542" w:rsidR="009A6FE6" w:rsidP="007965B9" w:rsidRDefault="00940972" w14:paraId="20C73083" w14:textId="6AB6D178">
      <w:pPr>
        <w:spacing w:line="276" w:lineRule="auto"/>
        <w:jc w:val="both"/>
        <w:rPr>
          <w:rFonts w:ascii="Arial" w:hAnsi="Arial" w:cs="Arial"/>
          <w:bCs/>
          <w:sz w:val="22"/>
          <w:szCs w:val="22"/>
          <w:lang w:val="es-ES"/>
        </w:rPr>
      </w:pPr>
      <w:r w:rsidRPr="00544542">
        <w:rPr>
          <w:rFonts w:ascii="Arial" w:hAnsi="Arial" w:cs="Arial"/>
          <w:sz w:val="22"/>
          <w:szCs w:val="22"/>
          <w:lang w:val="es-ES"/>
        </w:rPr>
        <w:t>Además, el monitoreo del programa se apoyará e</w:t>
      </w:r>
      <w:r w:rsidRPr="00544542" w:rsidR="008A3DF0">
        <w:rPr>
          <w:rFonts w:ascii="Arial" w:hAnsi="Arial" w:cs="Arial"/>
          <w:sz w:val="22"/>
          <w:szCs w:val="22"/>
          <w:lang w:val="es-ES"/>
        </w:rPr>
        <w:t>n varios informes</w:t>
      </w:r>
      <w:r w:rsidRPr="00544542" w:rsidR="004A7C9A">
        <w:rPr>
          <w:rFonts w:ascii="Arial" w:hAnsi="Arial" w:cs="Arial"/>
          <w:sz w:val="22"/>
          <w:szCs w:val="22"/>
          <w:lang w:val="es-ES"/>
        </w:rPr>
        <w:t xml:space="preserve"> realizados periódicamente por parte de los actores involucrados</w:t>
      </w:r>
      <w:r w:rsidRPr="00544542" w:rsidR="007B67E1">
        <w:rPr>
          <w:rFonts w:ascii="Arial" w:hAnsi="Arial" w:cs="Arial"/>
          <w:sz w:val="22"/>
          <w:szCs w:val="22"/>
          <w:lang w:val="es-ES"/>
        </w:rPr>
        <w:t xml:space="preserve"> en el Programa</w:t>
      </w:r>
      <w:r w:rsidRPr="00544542" w:rsidR="008A3DF0">
        <w:rPr>
          <w:rFonts w:ascii="Arial" w:hAnsi="Arial" w:cs="Arial"/>
          <w:sz w:val="22"/>
          <w:szCs w:val="22"/>
          <w:lang w:val="es-ES"/>
        </w:rPr>
        <w:t xml:space="preserve">: </w:t>
      </w:r>
      <w:r w:rsidRPr="00544542" w:rsidR="006D7996">
        <w:rPr>
          <w:rFonts w:ascii="Arial" w:hAnsi="Arial" w:cs="Arial"/>
          <w:sz w:val="22"/>
          <w:szCs w:val="22"/>
          <w:lang w:val="es-ES"/>
        </w:rPr>
        <w:t xml:space="preserve">el Plan Nacional de Desarrollo del DNP, el </w:t>
      </w:r>
      <w:r w:rsidRPr="00544542" w:rsidR="008A3DF0">
        <w:rPr>
          <w:rFonts w:ascii="Arial" w:hAnsi="Arial" w:cs="Arial"/>
          <w:sz w:val="22"/>
          <w:szCs w:val="22"/>
          <w:lang w:val="es-ES"/>
        </w:rPr>
        <w:t>informe de seguimiento indicadores financieros de permanencia para EPS de la Superintendencia Nacional de Salud</w:t>
      </w:r>
      <w:r w:rsidRPr="00544542" w:rsidR="00EA3CFA">
        <w:rPr>
          <w:rFonts w:ascii="Arial" w:hAnsi="Arial" w:cs="Arial"/>
          <w:sz w:val="22"/>
          <w:szCs w:val="22"/>
          <w:lang w:val="es-ES"/>
        </w:rPr>
        <w:t xml:space="preserve">, </w:t>
      </w:r>
      <w:r w:rsidRPr="00544542" w:rsidR="006D7996">
        <w:rPr>
          <w:rFonts w:ascii="Arial" w:hAnsi="Arial" w:cs="Arial"/>
          <w:sz w:val="22"/>
          <w:szCs w:val="22"/>
          <w:lang w:val="es-ES"/>
        </w:rPr>
        <w:t xml:space="preserve">el </w:t>
      </w:r>
      <w:r w:rsidRPr="00544542" w:rsidR="007B67E1">
        <w:rPr>
          <w:rFonts w:ascii="Arial" w:hAnsi="Arial" w:cs="Arial"/>
          <w:bCs/>
          <w:sz w:val="22"/>
          <w:szCs w:val="22"/>
          <w:lang w:val="es-ES"/>
        </w:rPr>
        <w:t>i</w:t>
      </w:r>
      <w:r w:rsidRPr="00544542" w:rsidR="006D7996">
        <w:rPr>
          <w:rFonts w:ascii="Arial" w:hAnsi="Arial" w:cs="Arial"/>
          <w:bCs/>
          <w:sz w:val="22"/>
          <w:szCs w:val="22"/>
          <w:lang w:val="es-ES"/>
        </w:rPr>
        <w:t xml:space="preserve">nforme de ejecución del acuerdo de punto final de la Dirección de Financiamiento del MSPS, </w:t>
      </w:r>
      <w:r w:rsidRPr="00544542" w:rsidR="004B550F">
        <w:rPr>
          <w:rFonts w:ascii="Arial" w:hAnsi="Arial" w:cs="Arial"/>
          <w:bCs/>
          <w:sz w:val="22"/>
          <w:szCs w:val="22"/>
          <w:lang w:val="es-ES"/>
        </w:rPr>
        <w:t>el reporte de actividades programáticas trimestral del MSPS y las actas de seguimiento trimestral de cada entidad territorial</w:t>
      </w:r>
      <w:r w:rsidRPr="00544542" w:rsidR="009A6FE6">
        <w:rPr>
          <w:rFonts w:ascii="Arial" w:hAnsi="Arial" w:cs="Arial"/>
          <w:bCs/>
          <w:sz w:val="22"/>
          <w:szCs w:val="22"/>
          <w:lang w:val="es-ES"/>
        </w:rPr>
        <w:t xml:space="preserve">, y </w:t>
      </w:r>
      <w:r w:rsidRPr="00544542" w:rsidR="00B331AE">
        <w:rPr>
          <w:rFonts w:ascii="Arial" w:hAnsi="Arial" w:cs="Arial"/>
          <w:bCs/>
          <w:sz w:val="22"/>
          <w:szCs w:val="22"/>
          <w:lang w:val="es-ES"/>
        </w:rPr>
        <w:t xml:space="preserve">el informe de implementación de la herramienta nominal del MSPS. Este </w:t>
      </w:r>
      <w:r w:rsidRPr="00544542" w:rsidR="00C236FC">
        <w:rPr>
          <w:rFonts w:ascii="Arial" w:hAnsi="Arial" w:cs="Arial"/>
          <w:bCs/>
          <w:sz w:val="22"/>
          <w:szCs w:val="22"/>
          <w:lang w:val="es-ES"/>
        </w:rPr>
        <w:t>último</w:t>
      </w:r>
      <w:r w:rsidRPr="00544542" w:rsidR="00494DA3">
        <w:rPr>
          <w:rFonts w:ascii="Arial" w:hAnsi="Arial" w:cs="Arial"/>
          <w:bCs/>
          <w:sz w:val="22"/>
          <w:szCs w:val="22"/>
          <w:lang w:val="es-ES"/>
        </w:rPr>
        <w:t xml:space="preserve"> </w:t>
      </w:r>
      <w:r w:rsidRPr="00544542" w:rsidR="00B331AE">
        <w:rPr>
          <w:rFonts w:ascii="Arial" w:hAnsi="Arial" w:cs="Arial"/>
          <w:bCs/>
          <w:sz w:val="22"/>
          <w:szCs w:val="22"/>
          <w:lang w:val="es-ES"/>
        </w:rPr>
        <w:t xml:space="preserve">informe se realizará cada seis meses durante la ejecución del Programa y utilizará la información de registros de prestaciones individuales RIPS. </w:t>
      </w:r>
      <w:r w:rsidRPr="00544542" w:rsidR="009A6FE6">
        <w:rPr>
          <w:rFonts w:ascii="Arial" w:hAnsi="Arial" w:cs="Arial"/>
          <w:bCs/>
          <w:sz w:val="22"/>
          <w:szCs w:val="22"/>
          <w:lang w:val="es-ES"/>
        </w:rPr>
        <w:t xml:space="preserve">Por </w:t>
      </w:r>
      <w:r w:rsidRPr="00544542" w:rsidR="004F4133">
        <w:rPr>
          <w:rFonts w:ascii="Arial" w:hAnsi="Arial" w:cs="Arial"/>
          <w:bCs/>
          <w:sz w:val="22"/>
          <w:szCs w:val="22"/>
          <w:lang w:val="es-ES"/>
        </w:rPr>
        <w:t>último</w:t>
      </w:r>
      <w:r w:rsidRPr="00544542" w:rsidR="009A6FE6">
        <w:rPr>
          <w:rFonts w:ascii="Arial" w:hAnsi="Arial" w:cs="Arial"/>
          <w:bCs/>
          <w:sz w:val="22"/>
          <w:szCs w:val="22"/>
          <w:lang w:val="es-ES"/>
        </w:rPr>
        <w:t>, el monitoreo del programa se apoyará en un i</w:t>
      </w:r>
      <w:r w:rsidRPr="00544542" w:rsidR="007965B9">
        <w:rPr>
          <w:rFonts w:ascii="Arial" w:hAnsi="Arial" w:cs="Arial"/>
          <w:bCs/>
          <w:sz w:val="22"/>
          <w:szCs w:val="22"/>
          <w:lang w:val="es-ES"/>
        </w:rPr>
        <w:t xml:space="preserve">nforme del MSPS con base en el registro de auditoria </w:t>
      </w:r>
      <w:r w:rsidRPr="00544542" w:rsidR="009A6FE6">
        <w:rPr>
          <w:rFonts w:ascii="Arial" w:hAnsi="Arial" w:cs="Arial"/>
          <w:bCs/>
          <w:sz w:val="22"/>
          <w:szCs w:val="22"/>
          <w:lang w:val="es-ES"/>
        </w:rPr>
        <w:t xml:space="preserve">(fuente primaria) para medir el </w:t>
      </w:r>
      <w:r w:rsidRPr="00544542" w:rsidR="004F4133">
        <w:rPr>
          <w:rFonts w:ascii="Arial" w:hAnsi="Arial" w:cs="Arial"/>
          <w:bCs/>
          <w:sz w:val="22"/>
          <w:szCs w:val="22"/>
          <w:lang w:val="es-ES"/>
        </w:rPr>
        <w:t>número</w:t>
      </w:r>
      <w:r w:rsidRPr="00544542" w:rsidR="009A6FE6">
        <w:rPr>
          <w:rFonts w:ascii="Arial" w:hAnsi="Arial" w:cs="Arial"/>
          <w:bCs/>
          <w:sz w:val="22"/>
          <w:szCs w:val="22"/>
          <w:lang w:val="es-ES"/>
        </w:rPr>
        <w:t xml:space="preserve"> de atenciones</w:t>
      </w:r>
      <w:r w:rsidR="004F4133">
        <w:rPr>
          <w:rFonts w:ascii="Arial" w:hAnsi="Arial" w:cs="Arial"/>
          <w:bCs/>
          <w:sz w:val="22"/>
          <w:szCs w:val="22"/>
          <w:lang w:val="es-ES"/>
        </w:rPr>
        <w:t xml:space="preserve"> obstétricas</w:t>
      </w:r>
      <w:r w:rsidRPr="00544542" w:rsidR="009A6FE6">
        <w:rPr>
          <w:rFonts w:ascii="Arial" w:hAnsi="Arial" w:cs="Arial"/>
          <w:bCs/>
          <w:sz w:val="22"/>
          <w:szCs w:val="22"/>
          <w:lang w:val="es-ES"/>
        </w:rPr>
        <w:t xml:space="preserve"> en salud para los inmigrantes. </w:t>
      </w:r>
    </w:p>
    <w:p w:rsidR="00B22B1C" w:rsidP="00B22B1C" w:rsidRDefault="00B22B1C" w14:paraId="2759D1AA" w14:textId="7B53ADD5">
      <w:pPr>
        <w:spacing w:before="120" w:after="120" w:line="276" w:lineRule="auto"/>
        <w:jc w:val="both"/>
        <w:rPr>
          <w:rFonts w:ascii="Arial" w:hAnsi="Arial" w:cs="Arial"/>
          <w:sz w:val="22"/>
          <w:szCs w:val="22"/>
          <w:lang w:val="es-ES"/>
        </w:rPr>
      </w:pPr>
      <w:r>
        <w:rPr>
          <w:rFonts w:ascii="Arial" w:hAnsi="Arial" w:cs="Arial"/>
          <w:sz w:val="22"/>
          <w:szCs w:val="22"/>
          <w:lang w:val="es-ES"/>
        </w:rPr>
        <w:t xml:space="preserve">A continuación, se presenta el protocolo de verificación para cada uno de los indicadores de resultado. </w:t>
      </w:r>
    </w:p>
    <w:p w:rsidR="005A5A9F" w:rsidP="00B22B1C" w:rsidRDefault="005A5A9F" w14:paraId="5440BFEF" w14:textId="15092F00">
      <w:pPr>
        <w:spacing w:before="120" w:after="120" w:line="276" w:lineRule="auto"/>
        <w:jc w:val="both"/>
        <w:rPr>
          <w:rFonts w:ascii="Arial" w:hAnsi="Arial" w:cs="Arial"/>
          <w:sz w:val="22"/>
          <w:szCs w:val="22"/>
          <w:lang w:val="es-ES"/>
        </w:rPr>
      </w:pPr>
      <w:r w:rsidRPr="005A5A9F">
        <w:rPr>
          <w:rFonts w:ascii="Arial" w:hAnsi="Arial" w:cs="Arial"/>
          <w:sz w:val="22"/>
          <w:szCs w:val="22"/>
          <w:lang w:val="es-ES"/>
        </w:rPr>
        <w:t>Protocolo de verificación del I</w:t>
      </w:r>
      <w:r>
        <w:rPr>
          <w:rFonts w:ascii="Arial" w:hAnsi="Arial" w:cs="Arial"/>
          <w:sz w:val="22"/>
          <w:szCs w:val="22"/>
          <w:lang w:val="es-ES"/>
        </w:rPr>
        <w:t>ndicador de Resultado</w:t>
      </w:r>
      <w:r w:rsidRPr="005A5A9F">
        <w:rPr>
          <w:rFonts w:ascii="Arial" w:hAnsi="Arial" w:cs="Arial"/>
          <w:sz w:val="22"/>
          <w:szCs w:val="22"/>
          <w:lang w:val="es-ES"/>
        </w:rPr>
        <w:t xml:space="preserve"> </w:t>
      </w:r>
      <w:r>
        <w:rPr>
          <w:rFonts w:ascii="Arial" w:hAnsi="Arial" w:cs="Arial"/>
          <w:sz w:val="22"/>
          <w:szCs w:val="22"/>
          <w:lang w:val="es-ES"/>
        </w:rPr>
        <w:t>2.</w:t>
      </w:r>
    </w:p>
    <w:tbl>
      <w:tblPr>
        <w:tblStyle w:val="TableGrid"/>
        <w:tblW w:w="0" w:type="auto"/>
        <w:tblLook w:val="04A0" w:firstRow="1" w:lastRow="0" w:firstColumn="1" w:lastColumn="0" w:noHBand="0" w:noVBand="1"/>
      </w:tblPr>
      <w:tblGrid>
        <w:gridCol w:w="3539"/>
        <w:gridCol w:w="5811"/>
      </w:tblGrid>
      <w:tr w:rsidRPr="00F5051C" w:rsidR="00A658A0" w:rsidTr="00800AF1" w14:paraId="0686F671" w14:textId="77777777">
        <w:tc>
          <w:tcPr>
            <w:tcW w:w="3539" w:type="dxa"/>
          </w:tcPr>
          <w:p w:rsidRPr="00F5051C" w:rsidR="00A658A0" w:rsidP="00482202" w:rsidRDefault="00A658A0" w14:paraId="79A7E5EE" w14:textId="77777777">
            <w:pPr>
              <w:pStyle w:val="Paragraph"/>
            </w:pPr>
            <w:r w:rsidRPr="00F5051C">
              <w:t>Definición</w:t>
            </w:r>
          </w:p>
        </w:tc>
        <w:tc>
          <w:tcPr>
            <w:tcW w:w="5811" w:type="dxa"/>
          </w:tcPr>
          <w:p w:rsidRPr="00F5051C" w:rsidR="00A658A0" w:rsidP="00482202" w:rsidRDefault="00A658A0" w14:paraId="392CCB7B" w14:textId="77777777">
            <w:pPr>
              <w:pStyle w:val="Paragraph"/>
            </w:pPr>
            <w:r w:rsidRPr="00F5051C">
              <w:t>Porcentaje de recobros por concepto de tecnologías no financiadas con la UPC del régimen contributivo saneados. Este indicador de resultado mide el saneamiento realizado a través del mecanismo de acuerdo punto final.</w:t>
            </w:r>
          </w:p>
        </w:tc>
      </w:tr>
      <w:tr w:rsidRPr="00F5051C" w:rsidR="00A658A0" w:rsidTr="00800AF1" w14:paraId="2518A3F8" w14:textId="77777777">
        <w:tc>
          <w:tcPr>
            <w:tcW w:w="3539" w:type="dxa"/>
          </w:tcPr>
          <w:p w:rsidRPr="00F5051C" w:rsidR="00A658A0" w:rsidP="00482202" w:rsidRDefault="00A658A0" w14:paraId="02A90ED8" w14:textId="77777777">
            <w:pPr>
              <w:pStyle w:val="Paragraph"/>
            </w:pPr>
            <w:r w:rsidRPr="00F5051C">
              <w:t>Cumplimiento de resultados</w:t>
            </w:r>
          </w:p>
        </w:tc>
        <w:tc>
          <w:tcPr>
            <w:tcW w:w="5811" w:type="dxa"/>
          </w:tcPr>
          <w:p w:rsidRPr="00F5051C" w:rsidR="00A658A0" w:rsidP="00482202" w:rsidRDefault="00A658A0" w14:paraId="002BA2FE" w14:textId="5BB23EEF">
            <w:pPr>
              <w:pStyle w:val="Paragraph"/>
            </w:pPr>
            <w:r w:rsidRPr="00F5051C">
              <w:t>La evolución de los resultados a lo largo del crédito es: (i)</w:t>
            </w:r>
            <w:r w:rsidR="00BF17E5">
              <w:t> </w:t>
            </w:r>
            <w:r w:rsidRPr="00F5051C">
              <w:t>25% de recobros saneados</w:t>
            </w:r>
            <w:r w:rsidRPr="00F5051C" w:rsidR="00FD26DE">
              <w:t>;</w:t>
            </w:r>
            <w:r w:rsidRPr="00F5051C">
              <w:t xml:space="preserve"> (</w:t>
            </w:r>
            <w:proofErr w:type="spellStart"/>
            <w:r w:rsidRPr="00F5051C">
              <w:t>ii</w:t>
            </w:r>
            <w:proofErr w:type="spellEnd"/>
            <w:r w:rsidRPr="00F5051C">
              <w:t>) 50% de recobros saneados</w:t>
            </w:r>
            <w:r w:rsidRPr="00F5051C" w:rsidR="00FD26DE">
              <w:t>;</w:t>
            </w:r>
            <w:r w:rsidRPr="00F5051C">
              <w:t xml:space="preserve"> </w:t>
            </w:r>
            <w:r w:rsidRPr="00F5051C" w:rsidR="00FD26DE">
              <w:t xml:space="preserve">y </w:t>
            </w:r>
            <w:r w:rsidRPr="00F5051C">
              <w:t>(</w:t>
            </w:r>
            <w:proofErr w:type="spellStart"/>
            <w:r w:rsidRPr="00F5051C">
              <w:t>iii</w:t>
            </w:r>
            <w:proofErr w:type="spellEnd"/>
            <w:r w:rsidRPr="00F5051C">
              <w:t>)</w:t>
            </w:r>
            <w:r w:rsidRPr="00F5051C" w:rsidR="00FD26DE">
              <w:t> </w:t>
            </w:r>
            <w:r w:rsidRPr="00F5051C">
              <w:t xml:space="preserve">75% de recobros saneados. </w:t>
            </w:r>
          </w:p>
        </w:tc>
      </w:tr>
      <w:tr w:rsidRPr="00F5051C" w:rsidR="00A658A0" w:rsidTr="00800AF1" w14:paraId="640C3859" w14:textId="77777777">
        <w:tc>
          <w:tcPr>
            <w:tcW w:w="3539" w:type="dxa"/>
          </w:tcPr>
          <w:p w:rsidRPr="00F5051C" w:rsidR="00A658A0" w:rsidP="00482202" w:rsidRDefault="00A658A0" w14:paraId="3D5735B1" w14:textId="77777777">
            <w:pPr>
              <w:pStyle w:val="Paragraph"/>
            </w:pPr>
            <w:r w:rsidRPr="00F5051C">
              <w:t xml:space="preserve">Periodo de verificación esperado </w:t>
            </w:r>
          </w:p>
        </w:tc>
        <w:tc>
          <w:tcPr>
            <w:tcW w:w="5811" w:type="dxa"/>
          </w:tcPr>
          <w:p w:rsidRPr="00F5051C" w:rsidR="00A658A0" w:rsidP="00482202" w:rsidRDefault="00A658A0" w14:paraId="55B38BEF" w14:textId="77777777">
            <w:pPr>
              <w:pStyle w:val="Paragraph"/>
            </w:pPr>
            <w:r w:rsidRPr="00F5051C">
              <w:t xml:space="preserve">Los resultados se verificarán al tercer trimestre de cada año de ejecución: 2020, 2021, y 2022.  </w:t>
            </w:r>
          </w:p>
        </w:tc>
      </w:tr>
      <w:tr w:rsidRPr="00F5051C" w:rsidR="00A658A0" w:rsidTr="00800AF1" w14:paraId="208243AA" w14:textId="77777777">
        <w:tc>
          <w:tcPr>
            <w:tcW w:w="3539" w:type="dxa"/>
          </w:tcPr>
          <w:p w:rsidRPr="00F5051C" w:rsidR="00A658A0" w:rsidP="00482202" w:rsidRDefault="00A658A0" w14:paraId="43DA9715" w14:textId="77777777">
            <w:pPr>
              <w:pStyle w:val="Paragraph"/>
            </w:pPr>
            <w:r w:rsidRPr="00F5051C">
              <w:t>Medio de verificación</w:t>
            </w:r>
          </w:p>
        </w:tc>
        <w:tc>
          <w:tcPr>
            <w:tcW w:w="5811" w:type="dxa"/>
          </w:tcPr>
          <w:p w:rsidRPr="00F5051C" w:rsidR="00A658A0" w:rsidP="00482202" w:rsidRDefault="00A658A0" w14:paraId="33E2D7EC" w14:textId="77777777">
            <w:pPr>
              <w:pStyle w:val="Paragraph"/>
            </w:pPr>
            <w:r w:rsidRPr="00F5051C">
              <w:t>Reporte de ADRES tomando la base de datos que se cree posterior a la radicación que se habilitará por el Acuerdo de Punto Final.</w:t>
            </w:r>
          </w:p>
        </w:tc>
      </w:tr>
      <w:tr w:rsidRPr="00F5051C" w:rsidR="00A658A0" w:rsidTr="00800AF1" w14:paraId="2C12581F" w14:textId="77777777">
        <w:tc>
          <w:tcPr>
            <w:tcW w:w="3539" w:type="dxa"/>
          </w:tcPr>
          <w:p w:rsidRPr="00F5051C" w:rsidR="00A658A0" w:rsidP="00482202" w:rsidRDefault="00A658A0" w14:paraId="406A9CCF" w14:textId="77777777">
            <w:pPr>
              <w:pStyle w:val="Paragraph"/>
            </w:pPr>
            <w:r w:rsidRPr="00F5051C">
              <w:t>Entidad responsable</w:t>
            </w:r>
          </w:p>
        </w:tc>
        <w:tc>
          <w:tcPr>
            <w:tcW w:w="5811" w:type="dxa"/>
          </w:tcPr>
          <w:p w:rsidRPr="00F5051C" w:rsidR="00A658A0" w:rsidP="00482202" w:rsidRDefault="00A658A0" w14:paraId="550E990D" w14:textId="77777777">
            <w:pPr>
              <w:pStyle w:val="Paragraph"/>
            </w:pPr>
            <w:r w:rsidRPr="00F5051C">
              <w:t xml:space="preserve">Dirección de Financiamiento Sectorial del MSPS </w:t>
            </w:r>
          </w:p>
        </w:tc>
      </w:tr>
      <w:tr w:rsidRPr="00F5051C" w:rsidR="00A658A0" w:rsidTr="00800AF1" w14:paraId="376CE4C5" w14:textId="77777777">
        <w:tc>
          <w:tcPr>
            <w:tcW w:w="3539" w:type="dxa"/>
          </w:tcPr>
          <w:p w:rsidRPr="00F5051C" w:rsidR="00A658A0" w:rsidP="00482202" w:rsidRDefault="00A658A0" w14:paraId="56CB7347" w14:textId="77777777">
            <w:pPr>
              <w:pStyle w:val="Paragraph"/>
            </w:pPr>
            <w:r w:rsidRPr="00F5051C">
              <w:t>Otra información</w:t>
            </w:r>
          </w:p>
        </w:tc>
        <w:tc>
          <w:tcPr>
            <w:tcW w:w="5811" w:type="dxa"/>
          </w:tcPr>
          <w:p w:rsidRPr="00F5051C" w:rsidR="00A658A0" w:rsidP="00482202" w:rsidRDefault="00A658A0" w14:paraId="561258B6" w14:textId="77777777">
            <w:pPr>
              <w:pStyle w:val="Paragraph"/>
            </w:pPr>
            <w:r w:rsidRPr="00F5051C">
              <w:t xml:space="preserve">Metodología de cálculo (ficha técnica de indicadores del plan nacional de desarrollo): </w:t>
            </w:r>
          </w:p>
          <w:p w:rsidRPr="00F5051C" w:rsidR="00A658A0" w:rsidP="00482202" w:rsidRDefault="00A658A0" w14:paraId="18E229DE" w14:textId="65F58445">
            <w:pPr>
              <w:pStyle w:val="Paragraph"/>
            </w:pPr>
            <w:r w:rsidRPr="00F5051C">
              <w:t>(Recobros por concepto de tecnologías no financiados con cargo a la UPC del Régimen Contributivo, prestados a 25</w:t>
            </w:r>
            <w:r w:rsidR="00674D6A">
              <w:t> </w:t>
            </w:r>
            <w:r w:rsidRPr="00F5051C">
              <w:t>de mayo de 2019 pagados / total recobros auditados (nueva auditoría en el marco del Acuerdo de Punto Final) por concepto de tecnologías no financiados con cargo a la UPC del Régimen Contributivo, prestados a 31 de diciembre de 2019) *100</w:t>
            </w:r>
          </w:p>
        </w:tc>
      </w:tr>
    </w:tbl>
    <w:p w:rsidR="005A5A9F" w:rsidP="00FD26DE" w:rsidRDefault="005A5A9F" w14:paraId="570ED624" w14:textId="68B51E5D">
      <w:pPr>
        <w:keepNext/>
        <w:spacing w:before="120" w:after="120" w:line="276" w:lineRule="auto"/>
        <w:jc w:val="both"/>
        <w:rPr>
          <w:rFonts w:ascii="Arial" w:hAnsi="Arial" w:cs="Arial"/>
          <w:sz w:val="22"/>
          <w:szCs w:val="22"/>
          <w:lang w:val="es-ES"/>
        </w:rPr>
      </w:pPr>
      <w:r w:rsidRPr="005A5A9F">
        <w:rPr>
          <w:rFonts w:ascii="Arial" w:hAnsi="Arial" w:cs="Arial"/>
          <w:sz w:val="22"/>
          <w:szCs w:val="22"/>
          <w:lang w:val="es-ES"/>
        </w:rPr>
        <w:lastRenderedPageBreak/>
        <w:t>Protocolo de verificación del I</w:t>
      </w:r>
      <w:r>
        <w:rPr>
          <w:rFonts w:ascii="Arial" w:hAnsi="Arial" w:cs="Arial"/>
          <w:sz w:val="22"/>
          <w:szCs w:val="22"/>
          <w:lang w:val="es-ES"/>
        </w:rPr>
        <w:t>ndicador de Resultado</w:t>
      </w:r>
      <w:r w:rsidRPr="005A5A9F">
        <w:rPr>
          <w:rFonts w:ascii="Arial" w:hAnsi="Arial" w:cs="Arial"/>
          <w:sz w:val="22"/>
          <w:szCs w:val="22"/>
          <w:lang w:val="es-ES"/>
        </w:rPr>
        <w:t xml:space="preserve"> </w:t>
      </w:r>
      <w:r>
        <w:rPr>
          <w:rFonts w:ascii="Arial" w:hAnsi="Arial" w:cs="Arial"/>
          <w:sz w:val="22"/>
          <w:szCs w:val="22"/>
          <w:lang w:val="es-ES"/>
        </w:rPr>
        <w:t>3.</w:t>
      </w:r>
    </w:p>
    <w:tbl>
      <w:tblPr>
        <w:tblStyle w:val="TableGrid"/>
        <w:tblW w:w="0" w:type="auto"/>
        <w:tblLook w:val="04A0" w:firstRow="1" w:lastRow="0" w:firstColumn="1" w:lastColumn="0" w:noHBand="0" w:noVBand="1"/>
      </w:tblPr>
      <w:tblGrid>
        <w:gridCol w:w="3539"/>
        <w:gridCol w:w="5811"/>
      </w:tblGrid>
      <w:tr w:rsidRPr="00F5051C" w:rsidR="00A658A0" w:rsidTr="00800AF1" w14:paraId="2D56F157" w14:textId="77777777">
        <w:tc>
          <w:tcPr>
            <w:tcW w:w="3539" w:type="dxa"/>
          </w:tcPr>
          <w:p w:rsidRPr="00F5051C" w:rsidR="00A658A0" w:rsidP="00482202" w:rsidRDefault="00A658A0" w14:paraId="73B8F9FA" w14:textId="77777777">
            <w:pPr>
              <w:pStyle w:val="Paragraph"/>
            </w:pPr>
            <w:r w:rsidRPr="00F5051C">
              <w:t>Definición</w:t>
            </w:r>
          </w:p>
        </w:tc>
        <w:tc>
          <w:tcPr>
            <w:tcW w:w="5811" w:type="dxa"/>
          </w:tcPr>
          <w:p w:rsidRPr="00F5051C" w:rsidR="00A658A0" w:rsidP="00482202" w:rsidRDefault="00A658A0" w14:paraId="1A5AED86" w14:textId="77777777">
            <w:pPr>
              <w:pStyle w:val="Paragraph"/>
            </w:pPr>
            <w:r w:rsidRPr="00F5051C">
              <w:t>Porcentaje de cuentas por pagar de las entidades territoriales por concepto de tecnologías no financiados con cargo a la UPC del régimen subsidiado prestados a 31 de diciembre de 2019 pagadas. Este indicador de resultado mide los cobros y recobros por concepto de tecnologías no financiados con cargo a la UPC del Régimen Subsidiado prestados a 31 de diciembre de 2019 saneados a través del mecanismo de punto final, a cargo de las entidades territoriales y cofinanciadas por la Nación cuando haya lugar.</w:t>
            </w:r>
          </w:p>
        </w:tc>
      </w:tr>
      <w:tr w:rsidRPr="00F5051C" w:rsidR="00A658A0" w:rsidTr="00800AF1" w14:paraId="55228D41" w14:textId="77777777">
        <w:tc>
          <w:tcPr>
            <w:tcW w:w="3539" w:type="dxa"/>
          </w:tcPr>
          <w:p w:rsidRPr="00F5051C" w:rsidR="00A658A0" w:rsidP="00482202" w:rsidRDefault="00A658A0" w14:paraId="7B757144" w14:textId="77777777">
            <w:pPr>
              <w:pStyle w:val="Paragraph"/>
            </w:pPr>
            <w:r w:rsidRPr="00F5051C">
              <w:t>Cumplimiento de resultados</w:t>
            </w:r>
          </w:p>
        </w:tc>
        <w:tc>
          <w:tcPr>
            <w:tcW w:w="5811" w:type="dxa"/>
          </w:tcPr>
          <w:p w:rsidRPr="00F5051C" w:rsidR="00A658A0" w:rsidP="00482202" w:rsidRDefault="00A658A0" w14:paraId="638735A9" w14:textId="4F615924">
            <w:pPr>
              <w:pStyle w:val="Paragraph"/>
            </w:pPr>
            <w:r w:rsidRPr="00F5051C">
              <w:t>La evolución de los resultados a lo largo del crédito es: (i)</w:t>
            </w:r>
            <w:r w:rsidRPr="00F5051C" w:rsidR="00894604">
              <w:t> </w:t>
            </w:r>
            <w:r w:rsidRPr="00F5051C">
              <w:t>20% de cuentas por pagar a Entidades Territoriales pagadas</w:t>
            </w:r>
            <w:r w:rsidRPr="00F5051C" w:rsidR="00800AF1">
              <w:t>;</w:t>
            </w:r>
            <w:r w:rsidRPr="00F5051C">
              <w:t xml:space="preserve"> (</w:t>
            </w:r>
            <w:proofErr w:type="spellStart"/>
            <w:r w:rsidRPr="00F5051C">
              <w:t>ii</w:t>
            </w:r>
            <w:proofErr w:type="spellEnd"/>
            <w:r w:rsidRPr="00F5051C">
              <w:t>)</w:t>
            </w:r>
            <w:r w:rsidRPr="00F5051C" w:rsidR="00FD26DE">
              <w:t> </w:t>
            </w:r>
            <w:r w:rsidRPr="00F5051C">
              <w:t>40% de cuentas por pagar a Entidades Territoriales pagadas</w:t>
            </w:r>
            <w:r w:rsidRPr="00F5051C" w:rsidR="00800AF1">
              <w:t>; y</w:t>
            </w:r>
            <w:r w:rsidRPr="00F5051C">
              <w:t xml:space="preserve"> (</w:t>
            </w:r>
            <w:proofErr w:type="spellStart"/>
            <w:r w:rsidRPr="00F5051C">
              <w:t>iii</w:t>
            </w:r>
            <w:proofErr w:type="spellEnd"/>
            <w:r w:rsidRPr="00F5051C">
              <w:t xml:space="preserve">) 60% de cuantas por pagar a Entidades Territoriales pagadas. </w:t>
            </w:r>
          </w:p>
        </w:tc>
      </w:tr>
      <w:tr w:rsidRPr="00F5051C" w:rsidR="00A658A0" w:rsidTr="00800AF1" w14:paraId="66D5F6B7" w14:textId="77777777">
        <w:tc>
          <w:tcPr>
            <w:tcW w:w="3539" w:type="dxa"/>
          </w:tcPr>
          <w:p w:rsidRPr="00F5051C" w:rsidR="00A658A0" w:rsidP="00482202" w:rsidRDefault="00A658A0" w14:paraId="2991CFEE" w14:textId="77777777">
            <w:pPr>
              <w:pStyle w:val="Paragraph"/>
            </w:pPr>
            <w:r w:rsidRPr="00F5051C">
              <w:t xml:space="preserve">Periodo de verificación esperado </w:t>
            </w:r>
          </w:p>
        </w:tc>
        <w:tc>
          <w:tcPr>
            <w:tcW w:w="5811" w:type="dxa"/>
          </w:tcPr>
          <w:p w:rsidRPr="00F5051C" w:rsidR="00A658A0" w:rsidP="00482202" w:rsidRDefault="00A658A0" w14:paraId="59E2A4B7" w14:textId="77777777">
            <w:pPr>
              <w:pStyle w:val="Paragraph"/>
            </w:pPr>
            <w:r w:rsidRPr="00F5051C">
              <w:t xml:space="preserve">Los resultados se verificarán al tercer trimestre de cada año de ejecución: 2020, 2021, y 2022.  </w:t>
            </w:r>
          </w:p>
        </w:tc>
      </w:tr>
      <w:tr w:rsidRPr="00F5051C" w:rsidR="00A658A0" w:rsidTr="00800AF1" w14:paraId="167B4C0E" w14:textId="77777777">
        <w:tc>
          <w:tcPr>
            <w:tcW w:w="3539" w:type="dxa"/>
          </w:tcPr>
          <w:p w:rsidRPr="00F5051C" w:rsidR="00A658A0" w:rsidP="00482202" w:rsidRDefault="00A658A0" w14:paraId="3966BC72" w14:textId="77777777">
            <w:pPr>
              <w:pStyle w:val="Paragraph"/>
            </w:pPr>
            <w:r w:rsidRPr="00F5051C">
              <w:t>Medio de verificación</w:t>
            </w:r>
          </w:p>
        </w:tc>
        <w:tc>
          <w:tcPr>
            <w:tcW w:w="5811" w:type="dxa"/>
          </w:tcPr>
          <w:p w:rsidRPr="00F5051C" w:rsidR="00A658A0" w:rsidP="00482202" w:rsidRDefault="00A658A0" w14:paraId="355845D2" w14:textId="77777777">
            <w:pPr>
              <w:pStyle w:val="Paragraph"/>
            </w:pPr>
            <w:r w:rsidRPr="00F5051C">
              <w:t>Informe de ejecución del acuerdo de punto final por parte de la Dirección de Financiamiento Sectorial del MSPS.</w:t>
            </w:r>
          </w:p>
        </w:tc>
      </w:tr>
      <w:tr w:rsidRPr="00F5051C" w:rsidR="00A658A0" w:rsidTr="00800AF1" w14:paraId="746A74CA" w14:textId="77777777">
        <w:tc>
          <w:tcPr>
            <w:tcW w:w="3539" w:type="dxa"/>
          </w:tcPr>
          <w:p w:rsidRPr="00F5051C" w:rsidR="00A658A0" w:rsidP="00482202" w:rsidRDefault="00A658A0" w14:paraId="1321627F" w14:textId="77777777">
            <w:pPr>
              <w:pStyle w:val="Paragraph"/>
            </w:pPr>
            <w:r w:rsidRPr="00F5051C">
              <w:t>Entidad responsable</w:t>
            </w:r>
          </w:p>
        </w:tc>
        <w:tc>
          <w:tcPr>
            <w:tcW w:w="5811" w:type="dxa"/>
          </w:tcPr>
          <w:p w:rsidRPr="00F5051C" w:rsidR="00A658A0" w:rsidP="00482202" w:rsidRDefault="00A658A0" w14:paraId="02CC5877" w14:textId="77777777">
            <w:pPr>
              <w:pStyle w:val="Paragraph"/>
            </w:pPr>
            <w:r w:rsidRPr="00F5051C">
              <w:t>Dirección de Financiamiento Sectorial del MSPS.</w:t>
            </w:r>
          </w:p>
        </w:tc>
      </w:tr>
      <w:tr w:rsidRPr="00F5051C" w:rsidR="00A658A0" w:rsidTr="00800AF1" w14:paraId="0EBB6E3C" w14:textId="77777777">
        <w:tc>
          <w:tcPr>
            <w:tcW w:w="3539" w:type="dxa"/>
          </w:tcPr>
          <w:p w:rsidRPr="00F5051C" w:rsidR="00A658A0" w:rsidP="00482202" w:rsidRDefault="00A658A0" w14:paraId="330F65FE" w14:textId="77777777">
            <w:pPr>
              <w:pStyle w:val="Paragraph"/>
            </w:pPr>
            <w:r w:rsidRPr="00F5051C">
              <w:t>Otra información</w:t>
            </w:r>
          </w:p>
        </w:tc>
        <w:tc>
          <w:tcPr>
            <w:tcW w:w="5811" w:type="dxa"/>
          </w:tcPr>
          <w:p w:rsidRPr="00F5051C" w:rsidR="00A658A0" w:rsidP="00482202" w:rsidRDefault="00A658A0" w14:paraId="70C88E5F" w14:textId="77777777">
            <w:pPr>
              <w:pStyle w:val="Paragraph"/>
            </w:pPr>
            <w:r w:rsidRPr="00F5051C">
              <w:t xml:space="preserve">Metodología de cálculo (ficha técnica de indicadores del plan nacional de desarrollo): </w:t>
            </w:r>
          </w:p>
          <w:p w:rsidRPr="00F5051C" w:rsidR="00A658A0" w:rsidP="00482202" w:rsidRDefault="00A658A0" w14:paraId="590ACF31" w14:textId="77777777">
            <w:pPr>
              <w:pStyle w:val="Paragraph"/>
            </w:pPr>
            <w:r w:rsidRPr="00F5051C">
              <w:t>(valor de cuentas por pagar de las entidades territoriales por concepto de servicios y tecnologías no financiadas con cargo a la UPC del régimen subsidiado que han sido pagadas/ valor de cuentas por pagar por concepto de servicios y tecnologías no financiadas con cargo a la UPC del régimen subsidiado) *100</w:t>
            </w:r>
          </w:p>
        </w:tc>
      </w:tr>
    </w:tbl>
    <w:p w:rsidR="00A658A0" w:rsidP="0048039E" w:rsidRDefault="00A658A0" w14:paraId="05428577" w14:textId="1582D8C8">
      <w:pPr>
        <w:autoSpaceDE w:val="0"/>
        <w:autoSpaceDN w:val="0"/>
        <w:adjustRightInd w:val="0"/>
        <w:spacing w:before="120" w:line="276" w:lineRule="auto"/>
        <w:jc w:val="both"/>
        <w:rPr>
          <w:rFonts w:ascii="Arial" w:hAnsi="Arial" w:cs="Arial"/>
          <w:bCs/>
          <w:sz w:val="22"/>
          <w:szCs w:val="22"/>
          <w:lang w:val="es-ES"/>
        </w:rPr>
      </w:pPr>
    </w:p>
    <w:p w:rsidRPr="005A5A9F" w:rsidR="00A658A0" w:rsidP="005A5A9F" w:rsidRDefault="005A5A9F" w14:paraId="15A6792A" w14:textId="60176DD1">
      <w:pPr>
        <w:spacing w:before="120" w:after="120" w:line="276" w:lineRule="auto"/>
        <w:jc w:val="both"/>
        <w:rPr>
          <w:rFonts w:ascii="Arial" w:hAnsi="Arial" w:cs="Arial"/>
          <w:sz w:val="22"/>
          <w:szCs w:val="22"/>
          <w:lang w:val="es-ES"/>
        </w:rPr>
      </w:pPr>
      <w:r w:rsidRPr="005A5A9F">
        <w:rPr>
          <w:rFonts w:ascii="Arial" w:hAnsi="Arial" w:cs="Arial"/>
          <w:sz w:val="22"/>
          <w:szCs w:val="22"/>
          <w:lang w:val="es-ES"/>
        </w:rPr>
        <w:t>Protocolo de verificación del I</w:t>
      </w:r>
      <w:r>
        <w:rPr>
          <w:rFonts w:ascii="Arial" w:hAnsi="Arial" w:cs="Arial"/>
          <w:sz w:val="22"/>
          <w:szCs w:val="22"/>
          <w:lang w:val="es-ES"/>
        </w:rPr>
        <w:t>ndicador de Resultado</w:t>
      </w:r>
      <w:r w:rsidRPr="005A5A9F">
        <w:rPr>
          <w:rFonts w:ascii="Arial" w:hAnsi="Arial" w:cs="Arial"/>
          <w:sz w:val="22"/>
          <w:szCs w:val="22"/>
          <w:lang w:val="es-ES"/>
        </w:rPr>
        <w:t xml:space="preserve"> </w:t>
      </w:r>
      <w:r>
        <w:rPr>
          <w:rFonts w:ascii="Arial" w:hAnsi="Arial" w:cs="Arial"/>
          <w:sz w:val="22"/>
          <w:szCs w:val="22"/>
          <w:lang w:val="es-ES"/>
        </w:rPr>
        <w:t>5.</w:t>
      </w:r>
    </w:p>
    <w:tbl>
      <w:tblPr>
        <w:tblStyle w:val="TableGrid"/>
        <w:tblW w:w="0" w:type="auto"/>
        <w:tblLook w:val="04A0" w:firstRow="1" w:lastRow="0" w:firstColumn="1" w:lastColumn="0" w:noHBand="0" w:noVBand="1"/>
      </w:tblPr>
      <w:tblGrid>
        <w:gridCol w:w="3539"/>
        <w:gridCol w:w="5811"/>
      </w:tblGrid>
      <w:tr w:rsidRPr="00F5051C" w:rsidR="00A658A0" w:rsidTr="00800AF1" w14:paraId="2F67FFA4" w14:textId="77777777">
        <w:tc>
          <w:tcPr>
            <w:tcW w:w="3539" w:type="dxa"/>
          </w:tcPr>
          <w:p w:rsidRPr="00F5051C" w:rsidR="00A658A0" w:rsidP="00482202" w:rsidRDefault="00A658A0" w14:paraId="2E82F0E3" w14:textId="77777777">
            <w:pPr>
              <w:pStyle w:val="Paragraph"/>
            </w:pPr>
            <w:r w:rsidRPr="00F5051C">
              <w:t>Definición</w:t>
            </w:r>
          </w:p>
        </w:tc>
        <w:tc>
          <w:tcPr>
            <w:tcW w:w="5811" w:type="dxa"/>
          </w:tcPr>
          <w:p w:rsidRPr="00F5051C" w:rsidR="00A658A0" w:rsidP="00482202" w:rsidRDefault="00A658A0" w14:paraId="706009E1" w14:textId="77777777">
            <w:pPr>
              <w:pStyle w:val="Paragraph"/>
            </w:pPr>
            <w:r w:rsidRPr="00F5051C">
              <w:t xml:space="preserve">Número de entidades usuarias de la herramienta de seguimiento nominal. Este indicador de resultado mide el número de EPS y IPS que usan la herramienta de seguimiento nominal del MSPS. </w:t>
            </w:r>
          </w:p>
        </w:tc>
      </w:tr>
      <w:tr w:rsidRPr="00F5051C" w:rsidR="00A658A0" w:rsidTr="00800AF1" w14:paraId="2C762580" w14:textId="77777777">
        <w:tc>
          <w:tcPr>
            <w:tcW w:w="3539" w:type="dxa"/>
          </w:tcPr>
          <w:p w:rsidRPr="00F5051C" w:rsidR="00A658A0" w:rsidP="00482202" w:rsidRDefault="00A658A0" w14:paraId="43C6F6A4" w14:textId="77777777">
            <w:pPr>
              <w:pStyle w:val="Paragraph"/>
            </w:pPr>
            <w:r w:rsidRPr="00F5051C">
              <w:t>Cumplimiento de resultados</w:t>
            </w:r>
          </w:p>
        </w:tc>
        <w:tc>
          <w:tcPr>
            <w:tcW w:w="5811" w:type="dxa"/>
          </w:tcPr>
          <w:p w:rsidRPr="00F5051C" w:rsidR="00A658A0" w:rsidP="00482202" w:rsidRDefault="00A658A0" w14:paraId="42F0D708" w14:textId="6D141B89">
            <w:pPr>
              <w:pStyle w:val="Paragraph"/>
            </w:pPr>
            <w:r w:rsidRPr="00F5051C">
              <w:t>La evolución de los resultados a lo largo del crédito es: (i)</w:t>
            </w:r>
            <w:r w:rsidR="00674D6A">
              <w:t> </w:t>
            </w:r>
            <w:r w:rsidRPr="00F5051C" w:rsidR="00800AF1">
              <w:t>seis</w:t>
            </w:r>
            <w:r w:rsidRPr="00F5051C">
              <w:t xml:space="preserve"> entidades usuarias de la herramienta</w:t>
            </w:r>
            <w:r w:rsidRPr="00F5051C" w:rsidR="00800AF1">
              <w:t>;</w:t>
            </w:r>
            <w:r w:rsidRPr="00F5051C">
              <w:t xml:space="preserve"> (</w:t>
            </w:r>
            <w:proofErr w:type="spellStart"/>
            <w:r w:rsidRPr="00F5051C">
              <w:t>ii</w:t>
            </w:r>
            <w:proofErr w:type="spellEnd"/>
            <w:r w:rsidRPr="00F5051C">
              <w:t>)</w:t>
            </w:r>
            <w:r w:rsidR="00674D6A">
              <w:t> </w:t>
            </w:r>
            <w:r w:rsidRPr="00F5051C">
              <w:t>15</w:t>
            </w:r>
            <w:r w:rsidR="00674D6A">
              <w:t> </w:t>
            </w:r>
            <w:r w:rsidRPr="00F5051C">
              <w:t>entidades usuarias de la herramienta</w:t>
            </w:r>
            <w:r w:rsidRPr="00F5051C" w:rsidR="00800AF1">
              <w:t>; y</w:t>
            </w:r>
            <w:r w:rsidRPr="00F5051C">
              <w:t xml:space="preserve"> (</w:t>
            </w:r>
            <w:proofErr w:type="spellStart"/>
            <w:r w:rsidRPr="00F5051C">
              <w:t>iii</w:t>
            </w:r>
            <w:proofErr w:type="spellEnd"/>
            <w:r w:rsidRPr="00F5051C">
              <w:t>)</w:t>
            </w:r>
            <w:r w:rsidR="00674D6A">
              <w:t> </w:t>
            </w:r>
            <w:r w:rsidRPr="00F5051C">
              <w:t>30</w:t>
            </w:r>
            <w:r w:rsidR="00674D6A">
              <w:t> </w:t>
            </w:r>
            <w:r w:rsidRPr="00F5051C">
              <w:t>entidades usuarias de la herramienta.</w:t>
            </w:r>
          </w:p>
        </w:tc>
      </w:tr>
      <w:tr w:rsidRPr="00F5051C" w:rsidR="00A658A0" w:rsidTr="00800AF1" w14:paraId="5704D43F" w14:textId="77777777">
        <w:tc>
          <w:tcPr>
            <w:tcW w:w="3539" w:type="dxa"/>
          </w:tcPr>
          <w:p w:rsidRPr="00F5051C" w:rsidR="00A658A0" w:rsidP="00482202" w:rsidRDefault="00A658A0" w14:paraId="4B895FF0" w14:textId="77777777">
            <w:pPr>
              <w:pStyle w:val="Paragraph"/>
            </w:pPr>
            <w:r w:rsidRPr="00F5051C">
              <w:t xml:space="preserve">Periodo de verificación esperado </w:t>
            </w:r>
          </w:p>
        </w:tc>
        <w:tc>
          <w:tcPr>
            <w:tcW w:w="5811" w:type="dxa"/>
          </w:tcPr>
          <w:p w:rsidRPr="00F5051C" w:rsidR="00A658A0" w:rsidP="00482202" w:rsidRDefault="00A658A0" w14:paraId="70325C1E" w14:textId="5A011FF5">
            <w:pPr>
              <w:pStyle w:val="Paragraph"/>
            </w:pPr>
            <w:r w:rsidRPr="00F5051C">
              <w:t xml:space="preserve">Los resultados se verificarán al tercer trimestre de cada año de ejecución: 2020, 2021, y 2022. </w:t>
            </w:r>
          </w:p>
        </w:tc>
      </w:tr>
      <w:tr w:rsidRPr="00F5051C" w:rsidR="00A658A0" w:rsidTr="00800AF1" w14:paraId="4E016932" w14:textId="77777777">
        <w:tc>
          <w:tcPr>
            <w:tcW w:w="3539" w:type="dxa"/>
          </w:tcPr>
          <w:p w:rsidRPr="00F5051C" w:rsidR="00A658A0" w:rsidP="00482202" w:rsidRDefault="00A658A0" w14:paraId="6F4F5DB5" w14:textId="77777777">
            <w:pPr>
              <w:pStyle w:val="Paragraph"/>
            </w:pPr>
            <w:r w:rsidRPr="00F5051C">
              <w:t>Medio de verificación</w:t>
            </w:r>
          </w:p>
        </w:tc>
        <w:tc>
          <w:tcPr>
            <w:tcW w:w="5811" w:type="dxa"/>
          </w:tcPr>
          <w:p w:rsidRPr="00F5051C" w:rsidR="00A658A0" w:rsidP="00482202" w:rsidRDefault="00A658A0" w14:paraId="52CAED60" w14:textId="77777777">
            <w:pPr>
              <w:pStyle w:val="Paragraph"/>
            </w:pPr>
            <w:r w:rsidRPr="00F5051C">
              <w:t>Informe de implementación de la herramienta nominal del MSPS.</w:t>
            </w:r>
          </w:p>
        </w:tc>
      </w:tr>
      <w:tr w:rsidRPr="00F5051C" w:rsidR="00A658A0" w:rsidTr="00800AF1" w14:paraId="4EA2A60A" w14:textId="77777777">
        <w:tc>
          <w:tcPr>
            <w:tcW w:w="3539" w:type="dxa"/>
          </w:tcPr>
          <w:p w:rsidRPr="00F5051C" w:rsidR="00A658A0" w:rsidP="00482202" w:rsidRDefault="00A658A0" w14:paraId="272D7D88" w14:textId="77777777">
            <w:pPr>
              <w:pStyle w:val="Paragraph"/>
            </w:pPr>
            <w:r w:rsidRPr="00F5051C">
              <w:t>Entidad responsable</w:t>
            </w:r>
          </w:p>
        </w:tc>
        <w:tc>
          <w:tcPr>
            <w:tcW w:w="5811" w:type="dxa"/>
          </w:tcPr>
          <w:p w:rsidRPr="00F5051C" w:rsidR="00A658A0" w:rsidP="00482202" w:rsidRDefault="00A658A0" w14:paraId="7A8154E4" w14:textId="4343FF86">
            <w:pPr>
              <w:pStyle w:val="Paragraph"/>
            </w:pPr>
            <w:r w:rsidRPr="00F5051C">
              <w:t>Ministerio de Salud y Protección Social</w:t>
            </w:r>
            <w:r w:rsidRPr="00F5051C" w:rsidR="00800AF1">
              <w:t xml:space="preserve"> </w:t>
            </w:r>
          </w:p>
        </w:tc>
      </w:tr>
      <w:tr w:rsidRPr="00F5051C" w:rsidR="00A658A0" w:rsidTr="00800AF1" w14:paraId="5478C827" w14:textId="77777777">
        <w:tc>
          <w:tcPr>
            <w:tcW w:w="3539" w:type="dxa"/>
          </w:tcPr>
          <w:p w:rsidRPr="00F5051C" w:rsidR="00A658A0" w:rsidP="00482202" w:rsidRDefault="00A658A0" w14:paraId="50C8A72C" w14:textId="77777777">
            <w:pPr>
              <w:pStyle w:val="Paragraph"/>
            </w:pPr>
            <w:r w:rsidRPr="00F5051C">
              <w:t>Otra información</w:t>
            </w:r>
          </w:p>
        </w:tc>
        <w:tc>
          <w:tcPr>
            <w:tcW w:w="5811" w:type="dxa"/>
          </w:tcPr>
          <w:p w:rsidRPr="00F5051C" w:rsidR="00A658A0" w:rsidP="00482202" w:rsidRDefault="00A658A0" w14:paraId="7E31B850" w14:textId="22AE8FB9">
            <w:pPr>
              <w:pStyle w:val="Paragraph"/>
            </w:pPr>
            <w:r w:rsidRPr="00F5051C">
              <w:t xml:space="preserve">Cada entidad (EPS e IPS) realiza el seguimiento nominal desde su función, en el caso de la EPS lo hace desde el aseguramiento y las IPS desde la función contractual que tienen con los aseguradores. </w:t>
            </w:r>
          </w:p>
        </w:tc>
      </w:tr>
    </w:tbl>
    <w:p w:rsidR="00A658A0" w:rsidP="00A658A0" w:rsidRDefault="00A658A0" w14:paraId="38A35A02" w14:textId="7DDCD000"/>
    <w:p w:rsidRPr="005A5A9F" w:rsidR="005A5A9F" w:rsidP="00FD26DE" w:rsidRDefault="005A5A9F" w14:paraId="1B24917B" w14:textId="7061426C">
      <w:pPr>
        <w:keepNext/>
        <w:keepLines/>
        <w:spacing w:before="120" w:after="120" w:line="276" w:lineRule="auto"/>
        <w:jc w:val="both"/>
        <w:rPr>
          <w:rFonts w:ascii="Arial" w:hAnsi="Arial" w:cs="Arial"/>
          <w:sz w:val="22"/>
          <w:szCs w:val="22"/>
          <w:lang w:val="es-ES"/>
        </w:rPr>
      </w:pPr>
      <w:r w:rsidRPr="005A5A9F">
        <w:rPr>
          <w:rFonts w:ascii="Arial" w:hAnsi="Arial" w:cs="Arial"/>
          <w:sz w:val="22"/>
          <w:szCs w:val="22"/>
          <w:lang w:val="es-ES"/>
        </w:rPr>
        <w:t>Protocolo de verificación del I</w:t>
      </w:r>
      <w:r>
        <w:rPr>
          <w:rFonts w:ascii="Arial" w:hAnsi="Arial" w:cs="Arial"/>
          <w:sz w:val="22"/>
          <w:szCs w:val="22"/>
          <w:lang w:val="es-ES"/>
        </w:rPr>
        <w:t>ndicador de Resultado</w:t>
      </w:r>
      <w:r w:rsidRPr="005A5A9F">
        <w:rPr>
          <w:rFonts w:ascii="Arial" w:hAnsi="Arial" w:cs="Arial"/>
          <w:sz w:val="22"/>
          <w:szCs w:val="22"/>
          <w:lang w:val="es-ES"/>
        </w:rPr>
        <w:t xml:space="preserve"> </w:t>
      </w:r>
      <w:r>
        <w:rPr>
          <w:rFonts w:ascii="Arial" w:hAnsi="Arial" w:cs="Arial"/>
          <w:sz w:val="22"/>
          <w:szCs w:val="22"/>
          <w:lang w:val="es-ES"/>
        </w:rPr>
        <w:t>6.</w:t>
      </w:r>
    </w:p>
    <w:tbl>
      <w:tblPr>
        <w:tblStyle w:val="TableGrid"/>
        <w:tblW w:w="0" w:type="auto"/>
        <w:tblLook w:val="04A0" w:firstRow="1" w:lastRow="0" w:firstColumn="1" w:lastColumn="0" w:noHBand="0" w:noVBand="1"/>
      </w:tblPr>
      <w:tblGrid>
        <w:gridCol w:w="3539"/>
        <w:gridCol w:w="5811"/>
      </w:tblGrid>
      <w:tr w:rsidRPr="00F5051C" w:rsidR="00A658A0" w:rsidTr="00800AF1" w14:paraId="57558DB7" w14:textId="77777777">
        <w:tc>
          <w:tcPr>
            <w:tcW w:w="3539" w:type="dxa"/>
          </w:tcPr>
          <w:p w:rsidRPr="00F5051C" w:rsidR="00A658A0" w:rsidP="00482202" w:rsidRDefault="00A658A0" w14:paraId="6DC0D065" w14:textId="77777777">
            <w:pPr>
              <w:pStyle w:val="Paragraph"/>
            </w:pPr>
            <w:r w:rsidRPr="00F5051C">
              <w:t>Definición</w:t>
            </w:r>
          </w:p>
        </w:tc>
        <w:tc>
          <w:tcPr>
            <w:tcW w:w="5811" w:type="dxa"/>
          </w:tcPr>
          <w:p w:rsidRPr="00F5051C" w:rsidR="00A658A0" w:rsidP="00482202" w:rsidRDefault="00A658A0" w14:paraId="1907B272" w14:textId="510BAAC9">
            <w:pPr>
              <w:pStyle w:val="Paragraph"/>
            </w:pPr>
            <w:r w:rsidRPr="00F5051C">
              <w:t>Proporción de personas de treinta años o más en cada territorio priorizado para el Componente 2 con tamizaje para riesgo cardiovascular y metabólico. Este indicador de resultado</w:t>
            </w:r>
            <w:r w:rsidR="00674D6A">
              <w:t>.</w:t>
            </w:r>
          </w:p>
        </w:tc>
      </w:tr>
      <w:tr w:rsidRPr="00F5051C" w:rsidR="00A658A0" w:rsidTr="00800AF1" w14:paraId="4B3EC2A5" w14:textId="77777777">
        <w:tc>
          <w:tcPr>
            <w:tcW w:w="3539" w:type="dxa"/>
          </w:tcPr>
          <w:p w:rsidRPr="00F5051C" w:rsidR="00A658A0" w:rsidP="00482202" w:rsidRDefault="00A658A0" w14:paraId="082A7834" w14:textId="77777777">
            <w:pPr>
              <w:pStyle w:val="Paragraph"/>
            </w:pPr>
            <w:r w:rsidRPr="00F5051C">
              <w:t>Cumplimiento de resultados</w:t>
            </w:r>
          </w:p>
        </w:tc>
        <w:tc>
          <w:tcPr>
            <w:tcW w:w="5811" w:type="dxa"/>
          </w:tcPr>
          <w:p w:rsidRPr="00F5051C" w:rsidR="00A658A0" w:rsidP="00482202" w:rsidRDefault="00A658A0" w14:paraId="60522ABF" w14:textId="0FD6C3C4">
            <w:pPr>
              <w:pStyle w:val="Paragraph"/>
            </w:pPr>
            <w:r w:rsidRPr="00F5051C">
              <w:t>La evolución de los resultados a lo largo del crédito es: (i)</w:t>
            </w:r>
            <w:r w:rsidRPr="00F5051C" w:rsidR="00FD26DE">
              <w:t> </w:t>
            </w:r>
            <w:r w:rsidRPr="00F5051C">
              <w:t>5% de personas de 30 años o más en cada territorio priorizado con tamizaje de riesgo cardiovascular y metabólico</w:t>
            </w:r>
            <w:r w:rsidRPr="00F5051C" w:rsidR="00800AF1">
              <w:t>;</w:t>
            </w:r>
            <w:r w:rsidRPr="00F5051C">
              <w:t xml:space="preserve"> (</w:t>
            </w:r>
            <w:proofErr w:type="spellStart"/>
            <w:r w:rsidRPr="00F5051C">
              <w:t>ii</w:t>
            </w:r>
            <w:proofErr w:type="spellEnd"/>
            <w:r w:rsidRPr="00F5051C">
              <w:t>) 10% de personas de 30 años o más en cada territorio priorizado con tamizaje de riesgo cardiovascular y metabólico</w:t>
            </w:r>
            <w:r w:rsidRPr="00F5051C" w:rsidR="00800AF1">
              <w:t>;</w:t>
            </w:r>
            <w:r w:rsidR="00BF17E5">
              <w:t xml:space="preserve"> y</w:t>
            </w:r>
            <w:r w:rsidRPr="00F5051C">
              <w:t xml:space="preserve"> (</w:t>
            </w:r>
            <w:proofErr w:type="spellStart"/>
            <w:r w:rsidRPr="00F5051C">
              <w:t>iii</w:t>
            </w:r>
            <w:proofErr w:type="spellEnd"/>
            <w:r w:rsidRPr="00F5051C">
              <w:t>) 40% de personas de 30 años o más en cada territorio priorizado con tamizaje de riesgo cardiovascular y metabólico.</w:t>
            </w:r>
          </w:p>
        </w:tc>
      </w:tr>
      <w:tr w:rsidRPr="00F5051C" w:rsidR="00A658A0" w:rsidTr="00800AF1" w14:paraId="1FFD37CF" w14:textId="77777777">
        <w:tc>
          <w:tcPr>
            <w:tcW w:w="3539" w:type="dxa"/>
          </w:tcPr>
          <w:p w:rsidRPr="00F5051C" w:rsidR="00A658A0" w:rsidP="00482202" w:rsidRDefault="00A658A0" w14:paraId="41BE04F0" w14:textId="77777777">
            <w:pPr>
              <w:pStyle w:val="Paragraph"/>
            </w:pPr>
            <w:r w:rsidRPr="00F5051C">
              <w:t xml:space="preserve">Periodo de verificación esperado </w:t>
            </w:r>
          </w:p>
        </w:tc>
        <w:tc>
          <w:tcPr>
            <w:tcW w:w="5811" w:type="dxa"/>
          </w:tcPr>
          <w:p w:rsidRPr="00F5051C" w:rsidR="00A658A0" w:rsidP="00482202" w:rsidRDefault="00A658A0" w14:paraId="31D05297" w14:textId="611EE4AC">
            <w:pPr>
              <w:pStyle w:val="Paragraph"/>
            </w:pPr>
            <w:r w:rsidRPr="00F5051C">
              <w:t>Los resultados se verificarán al tercer trimestre de cada año de ejecución: 2020, 2021, y 2022.</w:t>
            </w:r>
          </w:p>
        </w:tc>
      </w:tr>
      <w:tr w:rsidRPr="00F5051C" w:rsidR="00A658A0" w:rsidTr="00800AF1" w14:paraId="133AC034" w14:textId="77777777">
        <w:tc>
          <w:tcPr>
            <w:tcW w:w="3539" w:type="dxa"/>
          </w:tcPr>
          <w:p w:rsidRPr="00F5051C" w:rsidR="00A658A0" w:rsidP="00482202" w:rsidRDefault="00A658A0" w14:paraId="5052C894" w14:textId="77777777">
            <w:pPr>
              <w:pStyle w:val="Paragraph"/>
            </w:pPr>
            <w:r w:rsidRPr="00F5051C">
              <w:t>Medio de verificación</w:t>
            </w:r>
          </w:p>
        </w:tc>
        <w:tc>
          <w:tcPr>
            <w:tcW w:w="5811" w:type="dxa"/>
          </w:tcPr>
          <w:p w:rsidRPr="00F5051C" w:rsidR="00A658A0" w:rsidP="00482202" w:rsidRDefault="00A658A0" w14:paraId="12E5C171" w14:textId="77777777">
            <w:pPr>
              <w:pStyle w:val="Paragraph"/>
            </w:pPr>
            <w:r w:rsidRPr="00F5051C">
              <w:t>Informe de implementación de la herramienta nominal del MSPS.</w:t>
            </w:r>
          </w:p>
        </w:tc>
      </w:tr>
      <w:tr w:rsidRPr="00F5051C" w:rsidR="00A658A0" w:rsidTr="00800AF1" w14:paraId="0E618F3D" w14:textId="77777777">
        <w:tc>
          <w:tcPr>
            <w:tcW w:w="3539" w:type="dxa"/>
          </w:tcPr>
          <w:p w:rsidRPr="00F5051C" w:rsidR="00A658A0" w:rsidP="00482202" w:rsidRDefault="00A658A0" w14:paraId="4FEC4E8D" w14:textId="77777777">
            <w:pPr>
              <w:pStyle w:val="Paragraph"/>
            </w:pPr>
            <w:r w:rsidRPr="00F5051C">
              <w:t>Entidad responsable</w:t>
            </w:r>
          </w:p>
        </w:tc>
        <w:tc>
          <w:tcPr>
            <w:tcW w:w="5811" w:type="dxa"/>
          </w:tcPr>
          <w:p w:rsidRPr="00F5051C" w:rsidR="00A658A0" w:rsidP="00482202" w:rsidRDefault="00A658A0" w14:paraId="69E8430F" w14:textId="6F3C8F5A">
            <w:pPr>
              <w:pStyle w:val="Paragraph"/>
            </w:pPr>
            <w:r w:rsidRPr="00F5051C">
              <w:t>Ministerio de Salud y Protección Social</w:t>
            </w:r>
          </w:p>
        </w:tc>
      </w:tr>
      <w:tr w:rsidRPr="00F5051C" w:rsidR="00A658A0" w:rsidTr="00800AF1" w14:paraId="254D31E0" w14:textId="77777777">
        <w:tc>
          <w:tcPr>
            <w:tcW w:w="3539" w:type="dxa"/>
          </w:tcPr>
          <w:p w:rsidRPr="00F5051C" w:rsidR="00A658A0" w:rsidP="00482202" w:rsidRDefault="00A658A0" w14:paraId="4FC0C324" w14:textId="77777777">
            <w:pPr>
              <w:pStyle w:val="Paragraph"/>
            </w:pPr>
            <w:r w:rsidRPr="00F5051C">
              <w:t>Otra información</w:t>
            </w:r>
          </w:p>
        </w:tc>
        <w:tc>
          <w:tcPr>
            <w:tcW w:w="5811" w:type="dxa"/>
          </w:tcPr>
          <w:p w:rsidRPr="00F5051C" w:rsidR="00A658A0" w:rsidP="00482202" w:rsidRDefault="00A658A0" w14:paraId="310B2DD2" w14:textId="77777777">
            <w:pPr>
              <w:pStyle w:val="Paragraph"/>
            </w:pPr>
            <w:r w:rsidRPr="00F5051C">
              <w:t>Metodología de cálculo</w:t>
            </w:r>
          </w:p>
          <w:p w:rsidRPr="00F5051C" w:rsidR="00A658A0" w:rsidP="00482202" w:rsidRDefault="00A658A0" w14:paraId="61CA3481" w14:textId="03BEFD64">
            <w:pPr>
              <w:pStyle w:val="Paragraph"/>
            </w:pPr>
            <w:r w:rsidRPr="00F5051C">
              <w:t xml:space="preserve">Para cada territorio priorizado en el </w:t>
            </w:r>
            <w:r w:rsidRPr="00F5051C" w:rsidR="00FD26DE">
              <w:t>C</w:t>
            </w:r>
            <w:r w:rsidRPr="00F5051C">
              <w:t>omponente 2 se calcula la siguiente formula: número de personas entre 30</w:t>
            </w:r>
            <w:r w:rsidRPr="00F5051C" w:rsidR="00FD26DE">
              <w:t> </w:t>
            </w:r>
            <w:r w:rsidRPr="00F5051C">
              <w:t>y 70 años con tamizaje de riesgo cardiovascular y metabólico para ese territorio priorizado sobre la población general contrada al hospital que esté entre 30 y 70 años</w:t>
            </w:r>
            <w:r w:rsidR="00674D6A">
              <w:t>.</w:t>
            </w:r>
          </w:p>
        </w:tc>
      </w:tr>
    </w:tbl>
    <w:p w:rsidR="00A658A0" w:rsidP="00A658A0" w:rsidRDefault="00A658A0" w14:paraId="1D7F1F44" w14:textId="77777777"/>
    <w:p w:rsidRPr="005A5A9F" w:rsidR="00A658A0" w:rsidP="005A5A9F" w:rsidRDefault="005A5A9F" w14:paraId="30DF32B8" w14:textId="543B0195">
      <w:pPr>
        <w:spacing w:before="120" w:after="120" w:line="276" w:lineRule="auto"/>
        <w:jc w:val="both"/>
        <w:rPr>
          <w:rFonts w:ascii="Arial" w:hAnsi="Arial" w:cs="Arial"/>
          <w:sz w:val="22"/>
          <w:szCs w:val="22"/>
          <w:lang w:val="es-ES"/>
        </w:rPr>
      </w:pPr>
      <w:r w:rsidRPr="005A5A9F">
        <w:rPr>
          <w:rFonts w:ascii="Arial" w:hAnsi="Arial" w:cs="Arial"/>
          <w:sz w:val="22"/>
          <w:szCs w:val="22"/>
          <w:lang w:val="es-ES"/>
        </w:rPr>
        <w:t>Protocolo de verificación del I</w:t>
      </w:r>
      <w:r>
        <w:rPr>
          <w:rFonts w:ascii="Arial" w:hAnsi="Arial" w:cs="Arial"/>
          <w:sz w:val="22"/>
          <w:szCs w:val="22"/>
          <w:lang w:val="es-ES"/>
        </w:rPr>
        <w:t>ndicador de Resultado</w:t>
      </w:r>
      <w:r w:rsidRPr="005A5A9F">
        <w:rPr>
          <w:rFonts w:ascii="Arial" w:hAnsi="Arial" w:cs="Arial"/>
          <w:sz w:val="22"/>
          <w:szCs w:val="22"/>
          <w:lang w:val="es-ES"/>
        </w:rPr>
        <w:t xml:space="preserve"> </w:t>
      </w:r>
      <w:r>
        <w:rPr>
          <w:rFonts w:ascii="Arial" w:hAnsi="Arial" w:cs="Arial"/>
          <w:sz w:val="22"/>
          <w:szCs w:val="22"/>
          <w:lang w:val="es-ES"/>
        </w:rPr>
        <w:t>7.</w:t>
      </w:r>
    </w:p>
    <w:tbl>
      <w:tblPr>
        <w:tblStyle w:val="TableGrid"/>
        <w:tblW w:w="0" w:type="auto"/>
        <w:tblLook w:val="04A0" w:firstRow="1" w:lastRow="0" w:firstColumn="1" w:lastColumn="0" w:noHBand="0" w:noVBand="1"/>
      </w:tblPr>
      <w:tblGrid>
        <w:gridCol w:w="3539"/>
        <w:gridCol w:w="5811"/>
      </w:tblGrid>
      <w:tr w:rsidRPr="00F5051C" w:rsidR="00A658A0" w:rsidTr="00800AF1" w14:paraId="0FF72ECE" w14:textId="77777777">
        <w:tc>
          <w:tcPr>
            <w:tcW w:w="3539" w:type="dxa"/>
          </w:tcPr>
          <w:p w:rsidRPr="00F5051C" w:rsidR="00A658A0" w:rsidP="00482202" w:rsidRDefault="00A658A0" w14:paraId="7DA98D77" w14:textId="77777777">
            <w:pPr>
              <w:pStyle w:val="Paragraph"/>
            </w:pPr>
            <w:r w:rsidRPr="00F5051C">
              <w:t>Definición</w:t>
            </w:r>
          </w:p>
        </w:tc>
        <w:tc>
          <w:tcPr>
            <w:tcW w:w="5811" w:type="dxa"/>
          </w:tcPr>
          <w:p w:rsidRPr="00F5051C" w:rsidR="00A658A0" w:rsidP="00482202" w:rsidRDefault="00A658A0" w14:paraId="6CA4F927" w14:textId="0D6556C8">
            <w:pPr>
              <w:pStyle w:val="Paragraph"/>
            </w:pPr>
            <w:r w:rsidRPr="00F5051C">
              <w:t>Proporción de gestantes con captación temprana al control prenatal (semana 12) en cada territorio priorizado para el Componente 2. Este indicador de resultado</w:t>
            </w:r>
            <w:r w:rsidR="00674D6A">
              <w:t>.</w:t>
            </w:r>
          </w:p>
        </w:tc>
      </w:tr>
      <w:tr w:rsidRPr="00F5051C" w:rsidR="00A658A0" w:rsidTr="00800AF1" w14:paraId="40678D9E" w14:textId="77777777">
        <w:tc>
          <w:tcPr>
            <w:tcW w:w="3539" w:type="dxa"/>
          </w:tcPr>
          <w:p w:rsidRPr="00F5051C" w:rsidR="00A658A0" w:rsidP="00482202" w:rsidRDefault="00A658A0" w14:paraId="18CB3C07" w14:textId="77777777">
            <w:pPr>
              <w:pStyle w:val="Paragraph"/>
            </w:pPr>
            <w:r w:rsidRPr="00F5051C">
              <w:t>Cumplimiento de resultados</w:t>
            </w:r>
          </w:p>
        </w:tc>
        <w:tc>
          <w:tcPr>
            <w:tcW w:w="5811" w:type="dxa"/>
          </w:tcPr>
          <w:p w:rsidRPr="00F5051C" w:rsidR="00A658A0" w:rsidP="00482202" w:rsidRDefault="00A658A0" w14:paraId="47CA8BF2" w14:textId="0D464896">
            <w:pPr>
              <w:pStyle w:val="Paragraph"/>
            </w:pPr>
            <w:r w:rsidRPr="00F5051C">
              <w:t>La evolución de los resultados a lo largo del crédito es: (i</w:t>
            </w:r>
            <w:proofErr w:type="gramStart"/>
            <w:r w:rsidRPr="00F5051C">
              <w:t xml:space="preserve">) </w:t>
            </w:r>
            <w:r w:rsidRPr="00F5051C" w:rsidR="00FD26DE">
              <w:t> </w:t>
            </w:r>
            <w:r w:rsidRPr="00F5051C">
              <w:t>0</w:t>
            </w:r>
            <w:proofErr w:type="gramEnd"/>
            <w:r w:rsidRPr="00F5051C">
              <w:t>% de gestantes con captación temprana al control prenatal en cada territorio priorizado</w:t>
            </w:r>
            <w:r w:rsidRPr="00F5051C" w:rsidR="00FD26DE">
              <w:t>; y</w:t>
            </w:r>
            <w:r w:rsidRPr="00F5051C">
              <w:t xml:space="preserve"> (</w:t>
            </w:r>
            <w:proofErr w:type="spellStart"/>
            <w:r w:rsidRPr="00F5051C">
              <w:t>ii</w:t>
            </w:r>
            <w:proofErr w:type="spellEnd"/>
            <w:r w:rsidRPr="00F5051C">
              <w:t>) 50% de gestantes con captación temprana al control prenatal en cada territorio priorizado.</w:t>
            </w:r>
          </w:p>
        </w:tc>
      </w:tr>
      <w:tr w:rsidRPr="00F5051C" w:rsidR="00A658A0" w:rsidTr="00800AF1" w14:paraId="2F85CA6A" w14:textId="77777777">
        <w:tc>
          <w:tcPr>
            <w:tcW w:w="3539" w:type="dxa"/>
          </w:tcPr>
          <w:p w:rsidRPr="00F5051C" w:rsidR="00A658A0" w:rsidP="00482202" w:rsidRDefault="00A658A0" w14:paraId="5FB0C3E8" w14:textId="77777777">
            <w:pPr>
              <w:pStyle w:val="Paragraph"/>
            </w:pPr>
            <w:r w:rsidRPr="00F5051C">
              <w:t xml:space="preserve">Periodo de verificación esperado </w:t>
            </w:r>
          </w:p>
        </w:tc>
        <w:tc>
          <w:tcPr>
            <w:tcW w:w="5811" w:type="dxa"/>
          </w:tcPr>
          <w:p w:rsidRPr="00F5051C" w:rsidR="00A658A0" w:rsidP="00482202" w:rsidRDefault="00A658A0" w14:paraId="1B588F7F" w14:textId="77777777">
            <w:pPr>
              <w:pStyle w:val="Paragraph"/>
            </w:pPr>
            <w:r w:rsidRPr="00F5051C">
              <w:t xml:space="preserve">Los resultados se verificarán al tercer trimestre de cada año de ejecución: 2020, 2021, y 2022.  </w:t>
            </w:r>
          </w:p>
        </w:tc>
      </w:tr>
      <w:tr w:rsidRPr="00F5051C" w:rsidR="00A658A0" w:rsidTr="00800AF1" w14:paraId="433387E5" w14:textId="77777777">
        <w:tc>
          <w:tcPr>
            <w:tcW w:w="3539" w:type="dxa"/>
          </w:tcPr>
          <w:p w:rsidRPr="00F5051C" w:rsidR="00A658A0" w:rsidP="00482202" w:rsidRDefault="00A658A0" w14:paraId="3AB2FEBA" w14:textId="77777777">
            <w:pPr>
              <w:pStyle w:val="Paragraph"/>
            </w:pPr>
            <w:r w:rsidRPr="00F5051C">
              <w:t>Medio de verificación</w:t>
            </w:r>
          </w:p>
        </w:tc>
        <w:tc>
          <w:tcPr>
            <w:tcW w:w="5811" w:type="dxa"/>
          </w:tcPr>
          <w:p w:rsidRPr="00F5051C" w:rsidR="00A658A0" w:rsidP="00482202" w:rsidRDefault="00A658A0" w14:paraId="7FE30493" w14:textId="77777777">
            <w:pPr>
              <w:pStyle w:val="Paragraph"/>
            </w:pPr>
            <w:r w:rsidRPr="00F5051C">
              <w:t>Informe de implementación de la herramienta nominal del MSPS.</w:t>
            </w:r>
          </w:p>
        </w:tc>
      </w:tr>
      <w:tr w:rsidRPr="00F5051C" w:rsidR="00A658A0" w:rsidTr="00800AF1" w14:paraId="3F4DDDF6" w14:textId="77777777">
        <w:tc>
          <w:tcPr>
            <w:tcW w:w="3539" w:type="dxa"/>
          </w:tcPr>
          <w:p w:rsidRPr="00F5051C" w:rsidR="00A658A0" w:rsidP="00482202" w:rsidRDefault="00A658A0" w14:paraId="2AF125D9" w14:textId="77777777">
            <w:pPr>
              <w:pStyle w:val="Paragraph"/>
            </w:pPr>
            <w:r w:rsidRPr="00F5051C">
              <w:t>Entidad responsable</w:t>
            </w:r>
          </w:p>
        </w:tc>
        <w:tc>
          <w:tcPr>
            <w:tcW w:w="5811" w:type="dxa"/>
          </w:tcPr>
          <w:p w:rsidRPr="00F5051C" w:rsidR="00A658A0" w:rsidP="00482202" w:rsidRDefault="00A658A0" w14:paraId="0EAA88C6" w14:textId="3771375A">
            <w:pPr>
              <w:pStyle w:val="Paragraph"/>
            </w:pPr>
            <w:r w:rsidRPr="00F5051C">
              <w:t>Ministerio de Salud y Protección Social</w:t>
            </w:r>
            <w:r w:rsidR="00674D6A">
              <w:t>.</w:t>
            </w:r>
          </w:p>
        </w:tc>
      </w:tr>
      <w:tr w:rsidRPr="00F5051C" w:rsidR="00A658A0" w:rsidTr="00800AF1" w14:paraId="3A26DA2D" w14:textId="77777777">
        <w:tc>
          <w:tcPr>
            <w:tcW w:w="3539" w:type="dxa"/>
          </w:tcPr>
          <w:p w:rsidRPr="00F5051C" w:rsidR="00A658A0" w:rsidP="00482202" w:rsidRDefault="00A658A0" w14:paraId="2948F9E5" w14:textId="77777777">
            <w:pPr>
              <w:pStyle w:val="Paragraph"/>
            </w:pPr>
            <w:r w:rsidRPr="00F5051C">
              <w:t>Otra información</w:t>
            </w:r>
          </w:p>
        </w:tc>
        <w:tc>
          <w:tcPr>
            <w:tcW w:w="5811" w:type="dxa"/>
          </w:tcPr>
          <w:p w:rsidRPr="00F5051C" w:rsidR="00A658A0" w:rsidP="00482202" w:rsidRDefault="00A658A0" w14:paraId="6FA795D6" w14:textId="77777777">
            <w:pPr>
              <w:pStyle w:val="Paragraph"/>
            </w:pPr>
            <w:r w:rsidRPr="00F5051C">
              <w:t>Metodología de cálculo</w:t>
            </w:r>
          </w:p>
          <w:p w:rsidRPr="00F5051C" w:rsidR="00A658A0" w:rsidP="00482202" w:rsidRDefault="00A658A0" w14:paraId="0B2C362C" w14:textId="3D20F658">
            <w:pPr>
              <w:pStyle w:val="Paragraph"/>
            </w:pPr>
            <w:r w:rsidRPr="00F5051C">
              <w:t xml:space="preserve">Para cada territorio priorizado en el </w:t>
            </w:r>
            <w:r w:rsidRPr="00F5051C" w:rsidR="00FD26DE">
              <w:t>C</w:t>
            </w:r>
            <w:r w:rsidRPr="00F5051C">
              <w:t>omponente 2 se calcula la siguiente formula: número de gestantes con captación temprana al control prenatal para ese territorio priorizado sobre la población gestante identificada asignada al hospital</w:t>
            </w:r>
            <w:r w:rsidR="00BF17E5">
              <w:t>.</w:t>
            </w:r>
          </w:p>
        </w:tc>
      </w:tr>
    </w:tbl>
    <w:p w:rsidR="00A658A0" w:rsidP="00A658A0" w:rsidRDefault="00A658A0" w14:paraId="7F8CBFEB" w14:textId="4C7F3853"/>
    <w:p w:rsidR="00F5051C" w:rsidRDefault="00F5051C" w14:paraId="47A0B852" w14:textId="7BCBF867">
      <w:pPr>
        <w:spacing w:after="160" w:line="259" w:lineRule="auto"/>
      </w:pPr>
      <w:r>
        <w:br w:type="page"/>
      </w:r>
    </w:p>
    <w:p w:rsidRPr="005A5A9F" w:rsidR="00A658A0" w:rsidP="00CA2ECC" w:rsidRDefault="005A5A9F" w14:paraId="55AB96D3" w14:textId="037C8B00">
      <w:pPr>
        <w:keepNext/>
        <w:keepLines/>
        <w:spacing w:before="120" w:after="120" w:line="276" w:lineRule="auto"/>
        <w:jc w:val="both"/>
        <w:rPr>
          <w:rFonts w:ascii="Arial" w:hAnsi="Arial" w:cs="Arial"/>
          <w:sz w:val="22"/>
          <w:szCs w:val="22"/>
          <w:lang w:val="es-ES"/>
        </w:rPr>
      </w:pPr>
      <w:r w:rsidRPr="005A5A9F">
        <w:rPr>
          <w:rFonts w:ascii="Arial" w:hAnsi="Arial" w:cs="Arial"/>
          <w:sz w:val="22"/>
          <w:szCs w:val="22"/>
          <w:lang w:val="es-ES"/>
        </w:rPr>
        <w:lastRenderedPageBreak/>
        <w:t>Protocolo de verificación del I</w:t>
      </w:r>
      <w:r>
        <w:rPr>
          <w:rFonts w:ascii="Arial" w:hAnsi="Arial" w:cs="Arial"/>
          <w:sz w:val="22"/>
          <w:szCs w:val="22"/>
          <w:lang w:val="es-ES"/>
        </w:rPr>
        <w:t>ndicador de Resultado</w:t>
      </w:r>
      <w:r w:rsidRPr="005A5A9F">
        <w:rPr>
          <w:rFonts w:ascii="Arial" w:hAnsi="Arial" w:cs="Arial"/>
          <w:sz w:val="22"/>
          <w:szCs w:val="22"/>
          <w:lang w:val="es-ES"/>
        </w:rPr>
        <w:t xml:space="preserve"> </w:t>
      </w:r>
      <w:r>
        <w:rPr>
          <w:rFonts w:ascii="Arial" w:hAnsi="Arial" w:cs="Arial"/>
          <w:sz w:val="22"/>
          <w:szCs w:val="22"/>
          <w:lang w:val="es-ES"/>
        </w:rPr>
        <w:t>8.</w:t>
      </w:r>
    </w:p>
    <w:tbl>
      <w:tblPr>
        <w:tblStyle w:val="TableGrid"/>
        <w:tblW w:w="0" w:type="auto"/>
        <w:tblLook w:val="04A0" w:firstRow="1" w:lastRow="0" w:firstColumn="1" w:lastColumn="0" w:noHBand="0" w:noVBand="1"/>
      </w:tblPr>
      <w:tblGrid>
        <w:gridCol w:w="3539"/>
        <w:gridCol w:w="5811"/>
      </w:tblGrid>
      <w:tr w:rsidRPr="00F5051C" w:rsidR="00A658A0" w:rsidTr="00800AF1" w14:paraId="27D1D83A" w14:textId="77777777">
        <w:tc>
          <w:tcPr>
            <w:tcW w:w="3539" w:type="dxa"/>
          </w:tcPr>
          <w:p w:rsidRPr="00F5051C" w:rsidR="00A658A0" w:rsidP="00482202" w:rsidRDefault="00A658A0" w14:paraId="32C6119E" w14:textId="77777777">
            <w:pPr>
              <w:pStyle w:val="Paragraph"/>
            </w:pPr>
            <w:r w:rsidRPr="00F5051C">
              <w:t>Definición</w:t>
            </w:r>
          </w:p>
        </w:tc>
        <w:tc>
          <w:tcPr>
            <w:tcW w:w="5811" w:type="dxa"/>
          </w:tcPr>
          <w:p w:rsidRPr="00F5051C" w:rsidR="00A658A0" w:rsidP="00482202" w:rsidRDefault="00A658A0" w14:paraId="739EA2A0" w14:textId="47A3C978">
            <w:pPr>
              <w:pStyle w:val="Paragraph"/>
            </w:pPr>
            <w:r w:rsidRPr="00F5051C">
              <w:t>Proporción de mujeres entre 25 y 65 años tamizadas para cáncer de cuello uterino con cualquier prueba de tamización en los territorios priorizados para el Componente 2.</w:t>
            </w:r>
            <w:r w:rsidRPr="00F5051C">
              <w:rPr>
                <w:lang w:val="es-CO"/>
              </w:rPr>
              <w:t xml:space="preserve"> </w:t>
            </w:r>
            <w:r w:rsidRPr="00F5051C">
              <w:t>Este</w:t>
            </w:r>
            <w:r w:rsidRPr="00F5051C" w:rsidR="00FD26DE">
              <w:t> </w:t>
            </w:r>
            <w:r w:rsidRPr="00F5051C">
              <w:t>indicador de resultado</w:t>
            </w:r>
            <w:r w:rsidR="00674D6A">
              <w:t>.</w:t>
            </w:r>
          </w:p>
        </w:tc>
      </w:tr>
      <w:tr w:rsidRPr="00F5051C" w:rsidR="00A658A0" w:rsidTr="00800AF1" w14:paraId="162AB5AE" w14:textId="77777777">
        <w:tc>
          <w:tcPr>
            <w:tcW w:w="3539" w:type="dxa"/>
          </w:tcPr>
          <w:p w:rsidRPr="00F5051C" w:rsidR="00A658A0" w:rsidP="00482202" w:rsidRDefault="00A658A0" w14:paraId="3860E58A" w14:textId="77777777">
            <w:pPr>
              <w:pStyle w:val="Paragraph"/>
            </w:pPr>
            <w:r w:rsidRPr="00F5051C">
              <w:t>Cumplimiento de resultados</w:t>
            </w:r>
          </w:p>
        </w:tc>
        <w:tc>
          <w:tcPr>
            <w:tcW w:w="5811" w:type="dxa"/>
          </w:tcPr>
          <w:p w:rsidRPr="00F5051C" w:rsidR="00A658A0" w:rsidP="00482202" w:rsidRDefault="00A658A0" w14:paraId="7852A902" w14:textId="14FD5F7B">
            <w:pPr>
              <w:pStyle w:val="Paragraph"/>
            </w:pPr>
            <w:r w:rsidRPr="00F5051C">
              <w:t>La evolución de los resultados a lo largo del crédito es: (i)</w:t>
            </w:r>
            <w:r w:rsidRPr="00F5051C" w:rsidR="00FD26DE">
              <w:t> </w:t>
            </w:r>
            <w:r w:rsidRPr="00F5051C">
              <w:t>25% de mujeres entre 25 y 65 años tamizadas para cáncer de cuello uterino en cada territorio priorizado</w:t>
            </w:r>
            <w:r w:rsidRPr="00F5051C" w:rsidR="00FD26DE">
              <w:t>;</w:t>
            </w:r>
            <w:r w:rsidRPr="00F5051C">
              <w:t xml:space="preserve"> (</w:t>
            </w:r>
            <w:proofErr w:type="spellStart"/>
            <w:r w:rsidRPr="00F5051C">
              <w:t>ii</w:t>
            </w:r>
            <w:proofErr w:type="spellEnd"/>
            <w:r w:rsidRPr="00F5051C">
              <w:t>)</w:t>
            </w:r>
            <w:r w:rsidRPr="00F5051C" w:rsidR="00FD26DE">
              <w:t> </w:t>
            </w:r>
            <w:r w:rsidRPr="00F5051C">
              <w:t>30% de mujeres entre 25</w:t>
            </w:r>
            <w:r w:rsidRPr="00F5051C" w:rsidR="00CA2ECC">
              <w:t> </w:t>
            </w:r>
            <w:r w:rsidRPr="00F5051C">
              <w:t>y 65 años tamizadas para cáncer de cuello uterino en cada territorio priorizado</w:t>
            </w:r>
            <w:r w:rsidRPr="00F5051C" w:rsidR="00FD26DE">
              <w:t>;</w:t>
            </w:r>
            <w:r w:rsidRPr="00F5051C">
              <w:t xml:space="preserve"> </w:t>
            </w:r>
            <w:r w:rsidRPr="00F5051C" w:rsidR="00FD26DE">
              <w:t xml:space="preserve">y </w:t>
            </w:r>
            <w:r w:rsidRPr="00F5051C">
              <w:t>(</w:t>
            </w:r>
            <w:proofErr w:type="spellStart"/>
            <w:r w:rsidRPr="00F5051C">
              <w:t>iii</w:t>
            </w:r>
            <w:proofErr w:type="spellEnd"/>
            <w:r w:rsidRPr="00F5051C">
              <w:t>)</w:t>
            </w:r>
            <w:r w:rsidRPr="00F5051C" w:rsidR="00FD26DE">
              <w:t> </w:t>
            </w:r>
            <w:r w:rsidRPr="00F5051C">
              <w:t>50% de mujeres entre 25 y 65</w:t>
            </w:r>
            <w:r w:rsidRPr="00F5051C" w:rsidR="00FD26DE">
              <w:t> </w:t>
            </w:r>
            <w:r w:rsidRPr="00F5051C">
              <w:t>años tamizadas para cáncer de cuello uterino en cada territorio priorizado.</w:t>
            </w:r>
          </w:p>
        </w:tc>
      </w:tr>
      <w:tr w:rsidRPr="00F5051C" w:rsidR="00A658A0" w:rsidTr="00800AF1" w14:paraId="025CB948" w14:textId="77777777">
        <w:tc>
          <w:tcPr>
            <w:tcW w:w="3539" w:type="dxa"/>
          </w:tcPr>
          <w:p w:rsidRPr="00F5051C" w:rsidR="00A658A0" w:rsidP="00482202" w:rsidRDefault="00A658A0" w14:paraId="7F8882BD" w14:textId="77777777">
            <w:pPr>
              <w:pStyle w:val="Paragraph"/>
            </w:pPr>
            <w:r w:rsidRPr="00F5051C">
              <w:t xml:space="preserve">Periodo de verificación esperado </w:t>
            </w:r>
          </w:p>
        </w:tc>
        <w:tc>
          <w:tcPr>
            <w:tcW w:w="5811" w:type="dxa"/>
          </w:tcPr>
          <w:p w:rsidRPr="00F5051C" w:rsidR="00A658A0" w:rsidP="00482202" w:rsidRDefault="00A658A0" w14:paraId="330C8525" w14:textId="77777777">
            <w:pPr>
              <w:pStyle w:val="Paragraph"/>
              <w:rPr>
                <w:b/>
                <w:bCs/>
              </w:rPr>
            </w:pPr>
            <w:r w:rsidRPr="00F5051C">
              <w:t xml:space="preserve">Los resultados se verificarán al tercer trimestre de cada año de ejecución: 2020, 2021, y 2022. </w:t>
            </w:r>
          </w:p>
        </w:tc>
      </w:tr>
      <w:tr w:rsidRPr="00F5051C" w:rsidR="00A658A0" w:rsidTr="00800AF1" w14:paraId="71A9AA1E" w14:textId="77777777">
        <w:tc>
          <w:tcPr>
            <w:tcW w:w="3539" w:type="dxa"/>
          </w:tcPr>
          <w:p w:rsidRPr="00F5051C" w:rsidR="00A658A0" w:rsidP="00482202" w:rsidRDefault="00A658A0" w14:paraId="3A3CB4A8" w14:textId="77777777">
            <w:pPr>
              <w:pStyle w:val="Paragraph"/>
            </w:pPr>
            <w:r w:rsidRPr="00F5051C">
              <w:t>Medio de verificación</w:t>
            </w:r>
          </w:p>
        </w:tc>
        <w:tc>
          <w:tcPr>
            <w:tcW w:w="5811" w:type="dxa"/>
          </w:tcPr>
          <w:p w:rsidRPr="00F5051C" w:rsidR="00A658A0" w:rsidP="00482202" w:rsidRDefault="00A658A0" w14:paraId="45EB5F09" w14:textId="77777777">
            <w:pPr>
              <w:pStyle w:val="Paragraph"/>
            </w:pPr>
            <w:r w:rsidRPr="00F5051C">
              <w:t>Informe de implementación de la herramienta nominal del MSPS.</w:t>
            </w:r>
          </w:p>
        </w:tc>
      </w:tr>
      <w:tr w:rsidRPr="00F5051C" w:rsidR="00A658A0" w:rsidTr="00800AF1" w14:paraId="5DAD784C" w14:textId="77777777">
        <w:tc>
          <w:tcPr>
            <w:tcW w:w="3539" w:type="dxa"/>
          </w:tcPr>
          <w:p w:rsidRPr="00F5051C" w:rsidR="00A658A0" w:rsidP="00482202" w:rsidRDefault="00A658A0" w14:paraId="14F0368A" w14:textId="77777777">
            <w:pPr>
              <w:pStyle w:val="Paragraph"/>
            </w:pPr>
            <w:r w:rsidRPr="00F5051C">
              <w:t>Entidad responsable</w:t>
            </w:r>
          </w:p>
        </w:tc>
        <w:tc>
          <w:tcPr>
            <w:tcW w:w="5811" w:type="dxa"/>
          </w:tcPr>
          <w:p w:rsidRPr="00F5051C" w:rsidR="00A658A0" w:rsidP="00482202" w:rsidRDefault="00A658A0" w14:paraId="7E2B4971" w14:textId="7174E25F">
            <w:pPr>
              <w:pStyle w:val="Paragraph"/>
            </w:pPr>
            <w:r w:rsidRPr="00F5051C">
              <w:t>Ministerio de Salud y Protección Social</w:t>
            </w:r>
            <w:r w:rsidR="00674D6A">
              <w:t>.</w:t>
            </w:r>
            <w:r w:rsidRPr="00F5051C" w:rsidR="00CA2ECC">
              <w:t xml:space="preserve"> </w:t>
            </w:r>
          </w:p>
        </w:tc>
      </w:tr>
      <w:tr w:rsidRPr="00F5051C" w:rsidR="00A658A0" w:rsidTr="00800AF1" w14:paraId="49B1457F" w14:textId="77777777">
        <w:tc>
          <w:tcPr>
            <w:tcW w:w="3539" w:type="dxa"/>
          </w:tcPr>
          <w:p w:rsidRPr="00F5051C" w:rsidR="00A658A0" w:rsidP="00482202" w:rsidRDefault="00A658A0" w14:paraId="62ECEC60" w14:textId="77777777">
            <w:pPr>
              <w:pStyle w:val="Paragraph"/>
            </w:pPr>
            <w:r w:rsidRPr="00F5051C">
              <w:t>Otra información</w:t>
            </w:r>
          </w:p>
        </w:tc>
        <w:tc>
          <w:tcPr>
            <w:tcW w:w="5811" w:type="dxa"/>
          </w:tcPr>
          <w:p w:rsidRPr="00F5051C" w:rsidR="00A658A0" w:rsidP="00482202" w:rsidRDefault="00A658A0" w14:paraId="363506E0" w14:textId="77777777">
            <w:pPr>
              <w:pStyle w:val="Paragraph"/>
            </w:pPr>
            <w:r w:rsidRPr="00F5051C">
              <w:t>Metodología de cálculo</w:t>
            </w:r>
          </w:p>
          <w:p w:rsidRPr="00F5051C" w:rsidR="00A658A0" w:rsidP="00482202" w:rsidRDefault="00A658A0" w14:paraId="0E901CE5" w14:textId="2C7F6404">
            <w:pPr>
              <w:pStyle w:val="Paragraph"/>
            </w:pPr>
            <w:r w:rsidRPr="00F5051C">
              <w:t xml:space="preserve">Para cada territorio priorizado en el </w:t>
            </w:r>
            <w:r w:rsidR="00BF17E5">
              <w:t>C</w:t>
            </w:r>
            <w:r w:rsidRPr="00F5051C">
              <w:t>omponente 2 se calcula la siguiente formula: número de mujeres entre 25 y 65 años tamizadas para cáncer de cuello uterino con cualquier prueba de tamización en ese territorio priorizado sobre la población general contrada al hospital que sea mujer entre 25 y 65 años</w:t>
            </w:r>
            <w:r w:rsidRPr="00F5051C" w:rsidR="00FD26DE">
              <w:t>.</w:t>
            </w:r>
          </w:p>
        </w:tc>
      </w:tr>
    </w:tbl>
    <w:p w:rsidR="00A658A0" w:rsidP="00A658A0" w:rsidRDefault="00A658A0" w14:paraId="30C3FDD7" w14:textId="77777777"/>
    <w:p w:rsidRPr="005A5A9F" w:rsidR="00A658A0" w:rsidP="005A5A9F" w:rsidRDefault="005A5A9F" w14:paraId="69EDFFBD" w14:textId="2EECEFCC">
      <w:pPr>
        <w:spacing w:before="120" w:after="120" w:line="276" w:lineRule="auto"/>
        <w:jc w:val="both"/>
        <w:rPr>
          <w:rFonts w:ascii="Arial" w:hAnsi="Arial" w:cs="Arial"/>
          <w:sz w:val="22"/>
          <w:szCs w:val="22"/>
          <w:lang w:val="es-ES"/>
        </w:rPr>
      </w:pPr>
      <w:r w:rsidRPr="005A5A9F">
        <w:rPr>
          <w:rFonts w:ascii="Arial" w:hAnsi="Arial" w:cs="Arial"/>
          <w:sz w:val="22"/>
          <w:szCs w:val="22"/>
          <w:lang w:val="es-ES"/>
        </w:rPr>
        <w:t>Protocolo de verificación del I</w:t>
      </w:r>
      <w:r>
        <w:rPr>
          <w:rFonts w:ascii="Arial" w:hAnsi="Arial" w:cs="Arial"/>
          <w:sz w:val="22"/>
          <w:szCs w:val="22"/>
          <w:lang w:val="es-ES"/>
        </w:rPr>
        <w:t>ndicador de Resultado</w:t>
      </w:r>
      <w:r w:rsidRPr="005A5A9F">
        <w:rPr>
          <w:rFonts w:ascii="Arial" w:hAnsi="Arial" w:cs="Arial"/>
          <w:sz w:val="22"/>
          <w:szCs w:val="22"/>
          <w:lang w:val="es-ES"/>
        </w:rPr>
        <w:t xml:space="preserve"> </w:t>
      </w:r>
      <w:r>
        <w:rPr>
          <w:rFonts w:ascii="Arial" w:hAnsi="Arial" w:cs="Arial"/>
          <w:sz w:val="22"/>
          <w:szCs w:val="22"/>
          <w:lang w:val="es-ES"/>
        </w:rPr>
        <w:t>10.</w:t>
      </w:r>
    </w:p>
    <w:tbl>
      <w:tblPr>
        <w:tblStyle w:val="TableGrid"/>
        <w:tblW w:w="0" w:type="auto"/>
        <w:tblLook w:val="04A0" w:firstRow="1" w:lastRow="0" w:firstColumn="1" w:lastColumn="0" w:noHBand="0" w:noVBand="1"/>
      </w:tblPr>
      <w:tblGrid>
        <w:gridCol w:w="3539"/>
        <w:gridCol w:w="5811"/>
      </w:tblGrid>
      <w:tr w:rsidRPr="00F5051C" w:rsidR="00A658A0" w:rsidTr="00800AF1" w14:paraId="546A3F4E" w14:textId="77777777">
        <w:tc>
          <w:tcPr>
            <w:tcW w:w="3539" w:type="dxa"/>
          </w:tcPr>
          <w:p w:rsidRPr="00F5051C" w:rsidR="00A658A0" w:rsidP="00482202" w:rsidRDefault="00A658A0" w14:paraId="6A78DF4F" w14:textId="77777777">
            <w:pPr>
              <w:pStyle w:val="Paragraph"/>
            </w:pPr>
            <w:r w:rsidRPr="00F5051C">
              <w:t>Definición</w:t>
            </w:r>
          </w:p>
        </w:tc>
        <w:tc>
          <w:tcPr>
            <w:tcW w:w="5811" w:type="dxa"/>
          </w:tcPr>
          <w:p w:rsidRPr="00F5051C" w:rsidR="00A658A0" w:rsidP="00482202" w:rsidRDefault="00A658A0" w14:paraId="3A1BB7E3" w14:textId="77777777">
            <w:pPr>
              <w:pStyle w:val="Paragraph"/>
            </w:pPr>
            <w:r w:rsidRPr="00F5051C">
              <w:t>Atenciones en salud obstétricas para inmigrantes no afiliados.</w:t>
            </w:r>
          </w:p>
        </w:tc>
      </w:tr>
      <w:tr w:rsidRPr="00F5051C" w:rsidR="00A658A0" w:rsidTr="00800AF1" w14:paraId="5CDF33C3" w14:textId="77777777">
        <w:tc>
          <w:tcPr>
            <w:tcW w:w="3539" w:type="dxa"/>
          </w:tcPr>
          <w:p w:rsidRPr="00F5051C" w:rsidR="00A658A0" w:rsidP="00482202" w:rsidRDefault="00A658A0" w14:paraId="0B0B63E3" w14:textId="77777777">
            <w:pPr>
              <w:pStyle w:val="Paragraph"/>
            </w:pPr>
            <w:r w:rsidRPr="00F5051C">
              <w:t>Meta al final del proyecto</w:t>
            </w:r>
          </w:p>
        </w:tc>
        <w:tc>
          <w:tcPr>
            <w:tcW w:w="5811" w:type="dxa"/>
          </w:tcPr>
          <w:p w:rsidRPr="00F5051C" w:rsidR="00A658A0" w:rsidP="00482202" w:rsidRDefault="00A658A0" w14:paraId="4F03B90E" w14:textId="794671F6">
            <w:pPr>
              <w:pStyle w:val="Paragraph"/>
            </w:pPr>
            <w:r w:rsidRPr="00F5051C">
              <w:t>La evolución de los resultados a lo largo del crédito es: (i)</w:t>
            </w:r>
            <w:r w:rsidRPr="00F5051C" w:rsidR="00FD26DE">
              <w:t> </w:t>
            </w:r>
            <w:r w:rsidRPr="00F5051C">
              <w:t>9.500 atenciones en salud obstétricas para inmigrantes no afiliados</w:t>
            </w:r>
            <w:r w:rsidRPr="00F5051C" w:rsidR="00FD26DE">
              <w:t xml:space="preserve">; </w:t>
            </w:r>
            <w:r w:rsidRPr="00F5051C" w:rsidR="004C6708">
              <w:t>y</w:t>
            </w:r>
            <w:r w:rsidRPr="00F5051C">
              <w:t xml:space="preserve"> (</w:t>
            </w:r>
            <w:proofErr w:type="spellStart"/>
            <w:r w:rsidRPr="00F5051C">
              <w:t>ii</w:t>
            </w:r>
            <w:proofErr w:type="spellEnd"/>
            <w:r w:rsidRPr="00F5051C">
              <w:t>) 9.500 atenciones en salud obstétricas para inmigrantes no afiliados.</w:t>
            </w:r>
          </w:p>
        </w:tc>
      </w:tr>
      <w:tr w:rsidRPr="00F5051C" w:rsidR="00A658A0" w:rsidTr="00800AF1" w14:paraId="0B2AAB58" w14:textId="77777777">
        <w:tc>
          <w:tcPr>
            <w:tcW w:w="3539" w:type="dxa"/>
          </w:tcPr>
          <w:p w:rsidRPr="00F5051C" w:rsidR="00A658A0" w:rsidP="00482202" w:rsidRDefault="00A658A0" w14:paraId="79D1AC55" w14:textId="77777777">
            <w:pPr>
              <w:pStyle w:val="Paragraph"/>
            </w:pPr>
            <w:r w:rsidRPr="00F5051C">
              <w:t xml:space="preserve">Periodo de verificación esperado </w:t>
            </w:r>
          </w:p>
        </w:tc>
        <w:tc>
          <w:tcPr>
            <w:tcW w:w="5811" w:type="dxa"/>
          </w:tcPr>
          <w:p w:rsidRPr="00F5051C" w:rsidR="00A658A0" w:rsidP="00482202" w:rsidRDefault="00A658A0" w14:paraId="7BCD39AD" w14:textId="77777777">
            <w:pPr>
              <w:pStyle w:val="Paragraph"/>
            </w:pPr>
            <w:r w:rsidRPr="00F5051C">
              <w:t>Los resultados se verificarán al tercer trimestre de cada año de ejecución: 2020, 2021, y 2022.</w:t>
            </w:r>
          </w:p>
        </w:tc>
      </w:tr>
      <w:tr w:rsidRPr="00F5051C" w:rsidR="00A658A0" w:rsidTr="00800AF1" w14:paraId="1090D10A" w14:textId="77777777">
        <w:tc>
          <w:tcPr>
            <w:tcW w:w="3539" w:type="dxa"/>
          </w:tcPr>
          <w:p w:rsidRPr="00F5051C" w:rsidR="00A658A0" w:rsidP="00482202" w:rsidRDefault="00A658A0" w14:paraId="7EFC0E6E" w14:textId="77777777">
            <w:pPr>
              <w:pStyle w:val="Paragraph"/>
            </w:pPr>
            <w:r w:rsidRPr="00F5051C">
              <w:t>Medio de verificación</w:t>
            </w:r>
          </w:p>
        </w:tc>
        <w:tc>
          <w:tcPr>
            <w:tcW w:w="5811" w:type="dxa"/>
          </w:tcPr>
          <w:p w:rsidRPr="00F5051C" w:rsidR="00A658A0" w:rsidP="00482202" w:rsidRDefault="00A658A0" w14:paraId="26C28C65" w14:textId="77777777">
            <w:pPr>
              <w:pStyle w:val="Paragraph"/>
            </w:pPr>
            <w:r w:rsidRPr="00F5051C">
              <w:t>Informe del MSPS con base en proceso de auditoría de pagos.</w:t>
            </w:r>
          </w:p>
        </w:tc>
      </w:tr>
      <w:tr w:rsidRPr="00F5051C" w:rsidR="00A658A0" w:rsidTr="00800AF1" w14:paraId="607461FA" w14:textId="77777777">
        <w:tc>
          <w:tcPr>
            <w:tcW w:w="3539" w:type="dxa"/>
          </w:tcPr>
          <w:p w:rsidRPr="00F5051C" w:rsidR="00A658A0" w:rsidP="00482202" w:rsidRDefault="00A658A0" w14:paraId="1EB03803" w14:textId="77777777">
            <w:pPr>
              <w:pStyle w:val="Paragraph"/>
            </w:pPr>
            <w:r w:rsidRPr="00F5051C">
              <w:t>Entidad responsable</w:t>
            </w:r>
          </w:p>
        </w:tc>
        <w:tc>
          <w:tcPr>
            <w:tcW w:w="5811" w:type="dxa"/>
          </w:tcPr>
          <w:p w:rsidRPr="00F5051C" w:rsidR="00A658A0" w:rsidP="00482202" w:rsidRDefault="00A658A0" w14:paraId="69619A96" w14:textId="77777777">
            <w:pPr>
              <w:pStyle w:val="Paragraph"/>
            </w:pPr>
            <w:r w:rsidRPr="00F5051C">
              <w:t>Ministerio de Salud y Protección Social</w:t>
            </w:r>
          </w:p>
        </w:tc>
      </w:tr>
      <w:tr w:rsidRPr="00F5051C" w:rsidR="00A658A0" w:rsidTr="00800AF1" w14:paraId="228A1C12" w14:textId="77777777">
        <w:tc>
          <w:tcPr>
            <w:tcW w:w="3539" w:type="dxa"/>
          </w:tcPr>
          <w:p w:rsidRPr="00F5051C" w:rsidR="00A658A0" w:rsidP="00482202" w:rsidRDefault="00A658A0" w14:paraId="6BDFACD4" w14:textId="77777777">
            <w:pPr>
              <w:pStyle w:val="Paragraph"/>
            </w:pPr>
            <w:r w:rsidRPr="00F5051C">
              <w:t>Otra información</w:t>
            </w:r>
          </w:p>
        </w:tc>
        <w:tc>
          <w:tcPr>
            <w:tcW w:w="5811" w:type="dxa"/>
          </w:tcPr>
          <w:p w:rsidRPr="00F5051C" w:rsidR="00A658A0" w:rsidP="00CA2ECC" w:rsidRDefault="00A658A0" w14:paraId="44739E3B" w14:textId="29CF883F">
            <w:pPr>
              <w:jc w:val="both"/>
              <w:rPr>
                <w:sz w:val="21"/>
                <w:szCs w:val="21"/>
              </w:rPr>
            </w:pPr>
            <w:r w:rsidRPr="00F5051C">
              <w:rPr>
                <w:rFonts w:ascii="Arial" w:hAnsi="Arial" w:eastAsia="Calibri" w:cs="Arial"/>
                <w:sz w:val="21"/>
                <w:szCs w:val="21"/>
                <w:lang w:val="es-ES" w:eastAsia="en-US"/>
              </w:rPr>
              <w:t>Se entregarán los recursos vía transferencia a cuentas maestras de Entidades territoriales, con destino solo para ESES y el reconocimiento del pago se realiza previa auditoría médica concurrente para garantizar el uso transparente de los recursos.</w:t>
            </w:r>
          </w:p>
        </w:tc>
      </w:tr>
    </w:tbl>
    <w:p w:rsidRPr="00CA2ECC" w:rsidR="009A6FE6" w:rsidP="00CA2ECC" w:rsidRDefault="009A6FE6" w14:paraId="57C329AD" w14:textId="77777777">
      <w:pPr>
        <w:autoSpaceDE w:val="0"/>
        <w:autoSpaceDN w:val="0"/>
        <w:adjustRightInd w:val="0"/>
        <w:spacing w:before="120"/>
        <w:jc w:val="both"/>
        <w:rPr>
          <w:rFonts w:ascii="Arial" w:hAnsi="Arial" w:cs="Arial"/>
          <w:sz w:val="20"/>
          <w:szCs w:val="20"/>
        </w:rPr>
      </w:pPr>
    </w:p>
    <w:p w:rsidRPr="00544542" w:rsidR="00BA2375" w:rsidP="00164BDF" w:rsidRDefault="00BA2375" w14:paraId="225DCDCA" w14:textId="032CF77B">
      <w:pPr>
        <w:spacing w:before="120" w:after="120" w:line="276" w:lineRule="auto"/>
        <w:jc w:val="both"/>
        <w:rPr>
          <w:rFonts w:ascii="Arial" w:hAnsi="Arial" w:cs="Arial"/>
          <w:sz w:val="22"/>
          <w:szCs w:val="22"/>
          <w:lang w:val="es-ES"/>
        </w:rPr>
        <w:sectPr w:rsidRPr="00544542" w:rsidR="00BA2375" w:rsidSect="005E7E0F">
          <w:pgSz w:w="12240" w:h="15840"/>
          <w:pgMar w:top="1440" w:right="1440" w:bottom="1440" w:left="1440" w:header="720" w:footer="720" w:gutter="0"/>
          <w:pgNumType w:start="1"/>
          <w:cols w:space="720"/>
          <w:titlePg/>
          <w:docGrid w:linePitch="360"/>
        </w:sectPr>
      </w:pPr>
    </w:p>
    <w:p w:rsidRPr="00544542" w:rsidR="0073179C" w:rsidP="00164BDF" w:rsidRDefault="002B7EE1" w14:paraId="0726FA5F" w14:textId="15D21895">
      <w:pPr>
        <w:spacing w:before="120" w:after="120" w:line="276" w:lineRule="auto"/>
        <w:jc w:val="both"/>
        <w:rPr>
          <w:rFonts w:ascii="Arial" w:hAnsi="Arial" w:cs="Arial"/>
          <w:b/>
          <w:sz w:val="22"/>
          <w:szCs w:val="22"/>
          <w:lang w:val="es-ES"/>
        </w:rPr>
      </w:pPr>
      <w:r>
        <w:rPr>
          <w:rFonts w:ascii="Arial" w:hAnsi="Arial" w:cs="Arial"/>
          <w:b/>
          <w:sz w:val="22"/>
          <w:szCs w:val="22"/>
          <w:lang w:val="es-ES"/>
        </w:rPr>
        <w:lastRenderedPageBreak/>
        <w:t xml:space="preserve">Cuadro </w:t>
      </w:r>
      <w:r w:rsidR="003E383D">
        <w:rPr>
          <w:rFonts w:ascii="Arial" w:hAnsi="Arial" w:cs="Arial"/>
          <w:b/>
          <w:sz w:val="22"/>
          <w:szCs w:val="22"/>
          <w:lang w:val="es-ES"/>
        </w:rPr>
        <w:t>3</w:t>
      </w:r>
      <w:r w:rsidRPr="00544542" w:rsidR="005631F2">
        <w:rPr>
          <w:rFonts w:ascii="Arial" w:hAnsi="Arial" w:cs="Arial"/>
          <w:b/>
          <w:sz w:val="22"/>
          <w:szCs w:val="22"/>
          <w:lang w:val="es-ES"/>
        </w:rPr>
        <w:t xml:space="preserve">. </w:t>
      </w:r>
      <w:r w:rsidRPr="00544542" w:rsidR="00250B8E">
        <w:rPr>
          <w:rFonts w:ascii="Arial" w:hAnsi="Arial" w:cs="Arial"/>
          <w:b/>
          <w:sz w:val="22"/>
          <w:szCs w:val="22"/>
          <w:lang w:val="es-ES"/>
        </w:rPr>
        <w:t xml:space="preserve">Matriz de resultados </w:t>
      </w:r>
    </w:p>
    <w:p w:rsidRPr="008261BD" w:rsidR="00A43F55" w:rsidP="00A43F55" w:rsidRDefault="00A43F55" w14:paraId="6395B169" w14:textId="77777777">
      <w:pPr>
        <w:autoSpaceDE w:val="0"/>
        <w:autoSpaceDN w:val="0"/>
        <w:adjustRightInd w:val="0"/>
        <w:jc w:val="center"/>
        <w:rPr>
          <w:rFonts w:ascii="Arial" w:hAnsi="Arial" w:cs="Arial"/>
          <w:b/>
          <w:bCs/>
          <w:smallCaps/>
          <w:sz w:val="20"/>
          <w:szCs w:val="20"/>
          <w:lang w:val="es-ES_tradnl"/>
        </w:rPr>
      </w:pPr>
      <w:bookmarkStart w:name="_Hlk26360113" w:id="12"/>
      <w:r w:rsidRPr="008261BD">
        <w:rPr>
          <w:rFonts w:ascii="Arial" w:hAnsi="Arial" w:cs="Arial"/>
          <w:b/>
          <w:bCs/>
          <w:smallCaps/>
          <w:sz w:val="20"/>
          <w:szCs w:val="20"/>
          <w:lang w:val="es-ES_tradnl"/>
        </w:rPr>
        <w:t>Matriz de Resultados</w:t>
      </w:r>
    </w:p>
    <w:tbl>
      <w:tblPr>
        <w:tblStyle w:val="TableGrid"/>
        <w:tblW w:w="0" w:type="auto"/>
        <w:tblLook w:val="04A0" w:firstRow="1" w:lastRow="0" w:firstColumn="1" w:lastColumn="0" w:noHBand="0" w:noVBand="1"/>
      </w:tblPr>
      <w:tblGrid>
        <w:gridCol w:w="1435"/>
        <w:gridCol w:w="11515"/>
      </w:tblGrid>
      <w:tr w:rsidRPr="0071491D" w:rsidR="00A43F55" w:rsidTr="00732B1E" w14:paraId="185F795D" w14:textId="77777777">
        <w:trPr>
          <w:trHeight w:val="20"/>
        </w:trPr>
        <w:tc>
          <w:tcPr>
            <w:tcW w:w="1435" w:type="dxa"/>
          </w:tcPr>
          <w:p w:rsidRPr="00B06CAD" w:rsidR="00A43F55" w:rsidP="00732B1E" w:rsidRDefault="00A43F55" w14:paraId="00C40215" w14:textId="77777777">
            <w:pPr>
              <w:rPr>
                <w:rFonts w:ascii="Arial" w:hAnsi="Arial" w:cs="Arial"/>
                <w:b/>
                <w:sz w:val="20"/>
                <w:szCs w:val="20"/>
                <w:lang w:val="es-ES"/>
              </w:rPr>
            </w:pPr>
            <w:r w:rsidRPr="00B06CAD">
              <w:rPr>
                <w:rFonts w:ascii="Arial" w:hAnsi="Arial" w:cs="Arial"/>
                <w:b/>
                <w:sz w:val="20"/>
                <w:szCs w:val="20"/>
                <w:lang w:val="es-ES"/>
              </w:rPr>
              <w:t>Objetivo del Pro</w:t>
            </w:r>
            <w:r>
              <w:rPr>
                <w:rFonts w:ascii="Arial" w:hAnsi="Arial" w:cs="Arial"/>
                <w:b/>
                <w:sz w:val="20"/>
                <w:szCs w:val="20"/>
                <w:lang w:val="es-ES"/>
              </w:rPr>
              <w:t>grama</w:t>
            </w:r>
            <w:r w:rsidRPr="00B06CAD">
              <w:rPr>
                <w:rFonts w:ascii="Arial" w:hAnsi="Arial" w:cs="Arial"/>
                <w:b/>
                <w:sz w:val="20"/>
                <w:szCs w:val="20"/>
                <w:lang w:val="es-ES"/>
              </w:rPr>
              <w:t>:</w:t>
            </w:r>
          </w:p>
        </w:tc>
        <w:tc>
          <w:tcPr>
            <w:tcW w:w="11515" w:type="dxa"/>
          </w:tcPr>
          <w:p w:rsidRPr="00B06CAD" w:rsidR="00A43F55" w:rsidP="00732B1E" w:rsidRDefault="00A43F55" w14:paraId="7A90998C" w14:textId="3805B650">
            <w:pPr>
              <w:jc w:val="both"/>
              <w:rPr>
                <w:rFonts w:ascii="Arial" w:hAnsi="Arial" w:cs="Arial"/>
                <w:sz w:val="20"/>
                <w:szCs w:val="20"/>
                <w:lang w:val="es-ES"/>
              </w:rPr>
            </w:pPr>
            <w:r w:rsidRPr="0054784E">
              <w:rPr>
                <w:rFonts w:ascii="Arial" w:hAnsi="Arial" w:cs="Arial"/>
                <w:sz w:val="20"/>
                <w:szCs w:val="20"/>
                <w:lang w:val="es-ES"/>
              </w:rPr>
              <w:t>Mejorar la sostenibilidad del SGSSS con el fin de preservar los logros obtenidos en materia de cobertura, equidad y protección financiera, así como mejorar la salud de la población. Objetivos específicos: (i) mejorar la gestión del gasto total de servicios y tecnologías en salud no financiadas con la UPC; (</w:t>
            </w:r>
            <w:proofErr w:type="spellStart"/>
            <w:r w:rsidRPr="0054784E">
              <w:rPr>
                <w:rFonts w:ascii="Arial" w:hAnsi="Arial" w:cs="Arial"/>
                <w:sz w:val="20"/>
                <w:szCs w:val="20"/>
                <w:lang w:val="es-ES"/>
              </w:rPr>
              <w:t>ii</w:t>
            </w:r>
            <w:proofErr w:type="spellEnd"/>
            <w:r w:rsidRPr="0054784E">
              <w:rPr>
                <w:rFonts w:ascii="Arial" w:hAnsi="Arial" w:cs="Arial"/>
                <w:sz w:val="20"/>
                <w:szCs w:val="20"/>
                <w:lang w:val="es-ES"/>
              </w:rPr>
              <w:t xml:space="preserve">) mejorar la eficiencia </w:t>
            </w:r>
            <w:r w:rsidR="00C15A28">
              <w:rPr>
                <w:rFonts w:ascii="Arial" w:hAnsi="Arial" w:cs="Arial"/>
                <w:sz w:val="20"/>
                <w:szCs w:val="20"/>
                <w:lang w:val="es-ES"/>
              </w:rPr>
              <w:t xml:space="preserve">y cobertura </w:t>
            </w:r>
            <w:r w:rsidRPr="0054784E">
              <w:rPr>
                <w:rFonts w:ascii="Arial" w:hAnsi="Arial" w:cs="Arial"/>
                <w:sz w:val="20"/>
                <w:szCs w:val="20"/>
                <w:lang w:val="es-ES"/>
              </w:rPr>
              <w:t xml:space="preserve">del </w:t>
            </w:r>
            <w:r w:rsidR="00C15A28">
              <w:rPr>
                <w:rFonts w:ascii="Arial" w:hAnsi="Arial" w:cs="Arial"/>
                <w:sz w:val="20"/>
                <w:szCs w:val="20"/>
                <w:lang w:val="es-ES"/>
              </w:rPr>
              <w:t>SGSS</w:t>
            </w:r>
            <w:r w:rsidRPr="0054784E">
              <w:rPr>
                <w:rFonts w:ascii="Arial" w:hAnsi="Arial" w:cs="Arial"/>
                <w:sz w:val="20"/>
                <w:szCs w:val="20"/>
                <w:lang w:val="es-ES"/>
              </w:rPr>
              <w:t>; y (</w:t>
            </w:r>
            <w:proofErr w:type="spellStart"/>
            <w:r w:rsidRPr="0054784E">
              <w:rPr>
                <w:rFonts w:ascii="Arial" w:hAnsi="Arial" w:cs="Arial"/>
                <w:sz w:val="20"/>
                <w:szCs w:val="20"/>
                <w:lang w:val="es-ES"/>
              </w:rPr>
              <w:t>iii</w:t>
            </w:r>
            <w:proofErr w:type="spellEnd"/>
            <w:r w:rsidRPr="0054784E">
              <w:rPr>
                <w:rFonts w:ascii="Arial" w:hAnsi="Arial" w:cs="Arial"/>
                <w:sz w:val="20"/>
                <w:szCs w:val="20"/>
                <w:lang w:val="es-ES"/>
              </w:rPr>
              <w:t>) aumentar la cobertura en salud para población inmigrante</w:t>
            </w:r>
            <w:r>
              <w:rPr>
                <w:rFonts w:ascii="Arial" w:hAnsi="Arial" w:cs="Arial"/>
                <w:sz w:val="20"/>
                <w:szCs w:val="20"/>
                <w:lang w:val="es-ES"/>
              </w:rPr>
              <w:t>.</w:t>
            </w:r>
          </w:p>
        </w:tc>
      </w:tr>
    </w:tbl>
    <w:p w:rsidR="00A43F55" w:rsidP="00A43F55" w:rsidRDefault="00A43F55" w14:paraId="21BF9A36" w14:textId="77777777">
      <w:pPr>
        <w:autoSpaceDE w:val="0"/>
        <w:autoSpaceDN w:val="0"/>
        <w:adjustRightInd w:val="0"/>
        <w:spacing w:before="120" w:after="120"/>
        <w:jc w:val="center"/>
        <w:rPr>
          <w:rFonts w:ascii="Arial" w:hAnsi="Arial" w:cs="Arial"/>
          <w:b/>
          <w:bCs/>
          <w:smallCaps/>
          <w:sz w:val="20"/>
          <w:szCs w:val="20"/>
          <w:lang w:val="es-ES_tradnl"/>
        </w:rPr>
      </w:pPr>
      <w:r>
        <w:rPr>
          <w:rFonts w:ascii="Arial" w:hAnsi="Arial" w:cs="Arial"/>
          <w:b/>
          <w:bCs/>
          <w:smallCaps/>
          <w:sz w:val="20"/>
          <w:szCs w:val="20"/>
          <w:lang w:val="es-ES_tradnl"/>
        </w:rPr>
        <w:t>Impacto Esperado</w:t>
      </w:r>
    </w:p>
    <w:tbl>
      <w:tblPr>
        <w:tblStyle w:val="TableGrid"/>
        <w:tblW w:w="12955" w:type="dxa"/>
        <w:tblLayout w:type="fixed"/>
        <w:tblLook w:val="04A0" w:firstRow="1" w:lastRow="0" w:firstColumn="1" w:lastColumn="0" w:noHBand="0" w:noVBand="1"/>
      </w:tblPr>
      <w:tblGrid>
        <w:gridCol w:w="4855"/>
        <w:gridCol w:w="1440"/>
        <w:gridCol w:w="900"/>
        <w:gridCol w:w="720"/>
        <w:gridCol w:w="720"/>
        <w:gridCol w:w="720"/>
        <w:gridCol w:w="3600"/>
      </w:tblGrid>
      <w:tr w:rsidRPr="000C4FC1" w:rsidR="00A43F55" w:rsidTr="00732B1E" w14:paraId="2229DACE" w14:textId="77777777">
        <w:trPr>
          <w:trHeight w:val="144"/>
        </w:trPr>
        <w:tc>
          <w:tcPr>
            <w:tcW w:w="4855" w:type="dxa"/>
            <w:vMerge w:val="restart"/>
            <w:shd w:val="clear" w:color="auto" w:fill="D0CECE"/>
            <w:vAlign w:val="center"/>
          </w:tcPr>
          <w:p w:rsidRPr="000C4FC1" w:rsidR="00A43F55" w:rsidP="00732B1E" w:rsidRDefault="00A43F55" w14:paraId="4E8BD0A6" w14:textId="77777777">
            <w:pPr>
              <w:autoSpaceDE w:val="0"/>
              <w:autoSpaceDN w:val="0"/>
              <w:adjustRightInd w:val="0"/>
              <w:spacing w:before="20" w:after="20"/>
              <w:jc w:val="center"/>
              <w:rPr>
                <w:rFonts w:ascii="Arial" w:hAnsi="Arial" w:cs="Arial"/>
                <w:b/>
                <w:sz w:val="20"/>
                <w:szCs w:val="20"/>
                <w:lang w:val="es-ES"/>
              </w:rPr>
            </w:pPr>
            <w:r w:rsidRPr="000C4FC1">
              <w:rPr>
                <w:rFonts w:ascii="Arial" w:hAnsi="Arial" w:cs="Arial"/>
                <w:b/>
                <w:sz w:val="20"/>
                <w:szCs w:val="20"/>
                <w:lang w:val="es-ES"/>
              </w:rPr>
              <w:t>Indicadores</w:t>
            </w:r>
          </w:p>
        </w:tc>
        <w:tc>
          <w:tcPr>
            <w:tcW w:w="1440" w:type="dxa"/>
            <w:vMerge w:val="restart"/>
            <w:shd w:val="clear" w:color="auto" w:fill="D0CECE"/>
            <w:vAlign w:val="center"/>
          </w:tcPr>
          <w:p w:rsidRPr="000C4FC1" w:rsidR="00A43F55" w:rsidP="00732B1E" w:rsidRDefault="00A43F55" w14:paraId="64D051A2" w14:textId="77777777">
            <w:pPr>
              <w:autoSpaceDE w:val="0"/>
              <w:autoSpaceDN w:val="0"/>
              <w:adjustRightInd w:val="0"/>
              <w:spacing w:before="20" w:after="20"/>
              <w:jc w:val="center"/>
              <w:rPr>
                <w:rFonts w:ascii="Arial" w:hAnsi="Arial" w:cs="Arial"/>
                <w:b/>
                <w:sz w:val="20"/>
                <w:szCs w:val="20"/>
                <w:lang w:val="es-ES"/>
              </w:rPr>
            </w:pPr>
            <w:r w:rsidRPr="000C4FC1">
              <w:rPr>
                <w:rFonts w:ascii="Arial" w:hAnsi="Arial" w:cs="Arial"/>
                <w:b/>
                <w:sz w:val="20"/>
                <w:szCs w:val="20"/>
                <w:lang w:val="es-ES"/>
              </w:rPr>
              <w:t>Unidad de Medida</w:t>
            </w:r>
          </w:p>
        </w:tc>
        <w:tc>
          <w:tcPr>
            <w:tcW w:w="1620" w:type="dxa"/>
            <w:gridSpan w:val="2"/>
            <w:shd w:val="clear" w:color="auto" w:fill="D0CECE"/>
            <w:vAlign w:val="center"/>
          </w:tcPr>
          <w:p w:rsidRPr="000C4FC1" w:rsidR="00A43F55" w:rsidP="00732B1E" w:rsidRDefault="00A43F55" w14:paraId="26D8B22F" w14:textId="77777777">
            <w:pPr>
              <w:autoSpaceDE w:val="0"/>
              <w:autoSpaceDN w:val="0"/>
              <w:adjustRightInd w:val="0"/>
              <w:spacing w:before="20" w:after="20"/>
              <w:jc w:val="center"/>
              <w:rPr>
                <w:rFonts w:ascii="Arial" w:hAnsi="Arial" w:cs="Arial"/>
                <w:b/>
                <w:sz w:val="20"/>
                <w:szCs w:val="20"/>
                <w:lang w:val="es-ES"/>
              </w:rPr>
            </w:pPr>
            <w:r w:rsidRPr="000C4FC1">
              <w:rPr>
                <w:rFonts w:ascii="Arial" w:hAnsi="Arial" w:cs="Arial"/>
                <w:b/>
                <w:sz w:val="20"/>
                <w:szCs w:val="20"/>
                <w:lang w:val="es-ES"/>
              </w:rPr>
              <w:t>Línea de base</w:t>
            </w:r>
          </w:p>
        </w:tc>
        <w:tc>
          <w:tcPr>
            <w:tcW w:w="1440" w:type="dxa"/>
            <w:gridSpan w:val="2"/>
            <w:shd w:val="clear" w:color="auto" w:fill="D0CECE"/>
            <w:vAlign w:val="center"/>
          </w:tcPr>
          <w:p w:rsidRPr="000C4FC1" w:rsidR="00A43F55" w:rsidP="00732B1E" w:rsidRDefault="00A43F55" w14:paraId="623871FD" w14:textId="77777777">
            <w:pPr>
              <w:autoSpaceDE w:val="0"/>
              <w:autoSpaceDN w:val="0"/>
              <w:adjustRightInd w:val="0"/>
              <w:spacing w:before="20" w:after="20"/>
              <w:jc w:val="center"/>
              <w:rPr>
                <w:rFonts w:ascii="Arial" w:hAnsi="Arial" w:cs="Arial"/>
                <w:b/>
                <w:sz w:val="20"/>
                <w:szCs w:val="20"/>
                <w:lang w:val="es-ES"/>
              </w:rPr>
            </w:pPr>
            <w:r w:rsidRPr="000C4FC1">
              <w:rPr>
                <w:rFonts w:ascii="Arial" w:hAnsi="Arial" w:cs="Arial"/>
                <w:b/>
                <w:sz w:val="20"/>
                <w:szCs w:val="20"/>
                <w:lang w:val="es-ES"/>
              </w:rPr>
              <w:t>Fin del Proyecto</w:t>
            </w:r>
          </w:p>
        </w:tc>
        <w:tc>
          <w:tcPr>
            <w:tcW w:w="3600" w:type="dxa"/>
            <w:vMerge w:val="restart"/>
            <w:shd w:val="clear" w:color="auto" w:fill="D0CECE"/>
            <w:vAlign w:val="center"/>
          </w:tcPr>
          <w:p w:rsidRPr="000C4FC1" w:rsidR="00A43F55" w:rsidP="00732B1E" w:rsidRDefault="00A43F55" w14:paraId="2A79EA9A" w14:textId="77777777">
            <w:pPr>
              <w:autoSpaceDE w:val="0"/>
              <w:autoSpaceDN w:val="0"/>
              <w:adjustRightInd w:val="0"/>
              <w:spacing w:before="20" w:after="20"/>
              <w:jc w:val="center"/>
              <w:rPr>
                <w:rFonts w:ascii="Arial" w:hAnsi="Arial" w:cs="Arial"/>
                <w:b/>
                <w:sz w:val="20"/>
                <w:szCs w:val="20"/>
                <w:lang w:val="es-ES"/>
              </w:rPr>
            </w:pPr>
            <w:r w:rsidRPr="000C4FC1">
              <w:rPr>
                <w:rFonts w:ascii="Arial" w:hAnsi="Arial" w:cs="Arial"/>
                <w:b/>
                <w:sz w:val="20"/>
                <w:szCs w:val="20"/>
                <w:lang w:val="es-ES"/>
              </w:rPr>
              <w:t>Medio de verificación</w:t>
            </w:r>
          </w:p>
        </w:tc>
      </w:tr>
      <w:tr w:rsidRPr="000C4FC1" w:rsidR="00A43F55" w:rsidTr="00732B1E" w14:paraId="5B01D271" w14:textId="77777777">
        <w:trPr>
          <w:trHeight w:val="144"/>
        </w:trPr>
        <w:tc>
          <w:tcPr>
            <w:tcW w:w="4855" w:type="dxa"/>
            <w:vMerge/>
          </w:tcPr>
          <w:p w:rsidRPr="000C4FC1" w:rsidR="00A43F55" w:rsidP="00732B1E" w:rsidRDefault="00A43F55" w14:paraId="3ABBE7E7" w14:textId="77777777">
            <w:pPr>
              <w:autoSpaceDE w:val="0"/>
              <w:autoSpaceDN w:val="0"/>
              <w:adjustRightInd w:val="0"/>
              <w:spacing w:before="20" w:after="20"/>
              <w:rPr>
                <w:rFonts w:ascii="Arial" w:hAnsi="Arial" w:cs="Arial"/>
                <w:sz w:val="20"/>
                <w:szCs w:val="20"/>
                <w:lang w:val="es-ES"/>
              </w:rPr>
            </w:pPr>
          </w:p>
        </w:tc>
        <w:tc>
          <w:tcPr>
            <w:tcW w:w="1440" w:type="dxa"/>
            <w:vMerge/>
          </w:tcPr>
          <w:p w:rsidRPr="000C4FC1" w:rsidR="00A43F55" w:rsidP="00732B1E" w:rsidRDefault="00A43F55" w14:paraId="55BC654E" w14:textId="77777777">
            <w:pPr>
              <w:autoSpaceDE w:val="0"/>
              <w:autoSpaceDN w:val="0"/>
              <w:adjustRightInd w:val="0"/>
              <w:spacing w:before="20" w:after="20"/>
              <w:rPr>
                <w:rFonts w:ascii="Arial" w:hAnsi="Arial" w:cs="Arial"/>
                <w:sz w:val="20"/>
                <w:szCs w:val="20"/>
                <w:lang w:val="es-ES"/>
              </w:rPr>
            </w:pPr>
          </w:p>
        </w:tc>
        <w:tc>
          <w:tcPr>
            <w:tcW w:w="900" w:type="dxa"/>
            <w:shd w:val="clear" w:color="auto" w:fill="D0CECE"/>
          </w:tcPr>
          <w:p w:rsidRPr="000C4FC1" w:rsidR="00A43F55" w:rsidP="00732B1E" w:rsidRDefault="00A43F55" w14:paraId="378739C1" w14:textId="77777777">
            <w:pPr>
              <w:autoSpaceDE w:val="0"/>
              <w:autoSpaceDN w:val="0"/>
              <w:adjustRightInd w:val="0"/>
              <w:spacing w:before="20" w:after="20"/>
              <w:rPr>
                <w:rFonts w:ascii="Arial" w:hAnsi="Arial" w:cs="Arial"/>
                <w:b/>
                <w:sz w:val="20"/>
                <w:szCs w:val="20"/>
                <w:lang w:val="es-ES"/>
              </w:rPr>
            </w:pPr>
            <w:r w:rsidRPr="000C4FC1">
              <w:rPr>
                <w:rFonts w:ascii="Arial" w:hAnsi="Arial" w:cs="Arial"/>
                <w:b/>
                <w:sz w:val="20"/>
                <w:szCs w:val="20"/>
                <w:lang w:val="es-ES"/>
              </w:rPr>
              <w:t>Valor</w:t>
            </w:r>
          </w:p>
        </w:tc>
        <w:tc>
          <w:tcPr>
            <w:tcW w:w="720" w:type="dxa"/>
            <w:shd w:val="clear" w:color="auto" w:fill="D0CECE"/>
          </w:tcPr>
          <w:p w:rsidRPr="000C4FC1" w:rsidR="00A43F55" w:rsidP="00732B1E" w:rsidRDefault="00A43F55" w14:paraId="59BF617A" w14:textId="77777777">
            <w:pPr>
              <w:autoSpaceDE w:val="0"/>
              <w:autoSpaceDN w:val="0"/>
              <w:adjustRightInd w:val="0"/>
              <w:spacing w:before="20" w:after="20"/>
              <w:rPr>
                <w:rFonts w:ascii="Arial" w:hAnsi="Arial" w:cs="Arial"/>
                <w:b/>
                <w:sz w:val="20"/>
                <w:szCs w:val="20"/>
                <w:lang w:val="es-ES"/>
              </w:rPr>
            </w:pPr>
            <w:r w:rsidRPr="000C4FC1">
              <w:rPr>
                <w:rFonts w:ascii="Arial" w:hAnsi="Arial" w:cs="Arial"/>
                <w:b/>
                <w:sz w:val="20"/>
                <w:szCs w:val="20"/>
                <w:lang w:val="es-ES"/>
              </w:rPr>
              <w:t>Año</w:t>
            </w:r>
          </w:p>
        </w:tc>
        <w:tc>
          <w:tcPr>
            <w:tcW w:w="720" w:type="dxa"/>
            <w:shd w:val="clear" w:color="auto" w:fill="D0CECE"/>
          </w:tcPr>
          <w:p w:rsidRPr="000C4FC1" w:rsidR="00A43F55" w:rsidP="00732B1E" w:rsidRDefault="00A43F55" w14:paraId="1E0B6049" w14:textId="77777777">
            <w:pPr>
              <w:autoSpaceDE w:val="0"/>
              <w:autoSpaceDN w:val="0"/>
              <w:adjustRightInd w:val="0"/>
              <w:spacing w:before="20" w:after="20"/>
              <w:rPr>
                <w:rFonts w:ascii="Arial" w:hAnsi="Arial" w:cs="Arial"/>
                <w:b/>
                <w:sz w:val="20"/>
                <w:szCs w:val="20"/>
                <w:lang w:val="es-ES"/>
              </w:rPr>
            </w:pPr>
            <w:r w:rsidRPr="000C4FC1">
              <w:rPr>
                <w:rFonts w:ascii="Arial" w:hAnsi="Arial" w:cs="Arial"/>
                <w:b/>
                <w:sz w:val="20"/>
                <w:szCs w:val="20"/>
                <w:lang w:val="es-ES"/>
              </w:rPr>
              <w:t>Valor</w:t>
            </w:r>
          </w:p>
        </w:tc>
        <w:tc>
          <w:tcPr>
            <w:tcW w:w="720" w:type="dxa"/>
            <w:shd w:val="clear" w:color="auto" w:fill="D0CECE"/>
          </w:tcPr>
          <w:p w:rsidRPr="000C4FC1" w:rsidR="00A43F55" w:rsidP="00732B1E" w:rsidRDefault="00A43F55" w14:paraId="357997A1" w14:textId="77777777">
            <w:pPr>
              <w:autoSpaceDE w:val="0"/>
              <w:autoSpaceDN w:val="0"/>
              <w:adjustRightInd w:val="0"/>
              <w:spacing w:before="20" w:after="20"/>
              <w:rPr>
                <w:rFonts w:ascii="Arial" w:hAnsi="Arial" w:cs="Arial"/>
                <w:b/>
                <w:sz w:val="20"/>
                <w:szCs w:val="20"/>
                <w:lang w:val="es-ES"/>
              </w:rPr>
            </w:pPr>
            <w:r w:rsidRPr="000C4FC1">
              <w:rPr>
                <w:rFonts w:ascii="Arial" w:hAnsi="Arial" w:cs="Arial"/>
                <w:b/>
                <w:sz w:val="20"/>
                <w:szCs w:val="20"/>
                <w:lang w:val="es-ES"/>
              </w:rPr>
              <w:t>Año</w:t>
            </w:r>
          </w:p>
        </w:tc>
        <w:tc>
          <w:tcPr>
            <w:tcW w:w="3600" w:type="dxa"/>
            <w:vMerge/>
          </w:tcPr>
          <w:p w:rsidRPr="000C4FC1" w:rsidR="00A43F55" w:rsidP="00732B1E" w:rsidRDefault="00A43F55" w14:paraId="14BABD6E" w14:textId="77777777">
            <w:pPr>
              <w:autoSpaceDE w:val="0"/>
              <w:autoSpaceDN w:val="0"/>
              <w:adjustRightInd w:val="0"/>
              <w:spacing w:before="20" w:after="20"/>
              <w:rPr>
                <w:rFonts w:ascii="Arial" w:hAnsi="Arial" w:cs="Arial"/>
                <w:sz w:val="20"/>
                <w:szCs w:val="20"/>
                <w:lang w:val="es-ES"/>
              </w:rPr>
            </w:pPr>
          </w:p>
        </w:tc>
      </w:tr>
      <w:tr w:rsidRPr="0071491D" w:rsidR="00A43F55" w:rsidTr="00732B1E" w14:paraId="3320D5F1" w14:textId="77777777">
        <w:trPr>
          <w:trHeight w:val="144"/>
        </w:trPr>
        <w:tc>
          <w:tcPr>
            <w:tcW w:w="4855" w:type="dxa"/>
          </w:tcPr>
          <w:p w:rsidR="00A43F55" w:rsidP="00732B1E" w:rsidRDefault="00A43F55" w14:paraId="6FF31CB4" w14:textId="77777777">
            <w:pPr>
              <w:autoSpaceDE w:val="0"/>
              <w:autoSpaceDN w:val="0"/>
              <w:adjustRightInd w:val="0"/>
              <w:spacing w:before="20" w:after="20"/>
              <w:rPr>
                <w:rFonts w:ascii="Arial" w:hAnsi="Arial" w:cs="Arial"/>
                <w:bCs/>
                <w:sz w:val="20"/>
                <w:szCs w:val="20"/>
                <w:lang w:val="es-ES_tradnl"/>
              </w:rPr>
            </w:pPr>
            <w:r>
              <w:rPr>
                <w:rFonts w:ascii="Arial" w:hAnsi="Arial" w:cs="Arial"/>
                <w:bCs/>
                <w:sz w:val="20"/>
                <w:szCs w:val="20"/>
                <w:lang w:val="es-ES_tradnl"/>
              </w:rPr>
              <w:t>1. Patrimonio adecuado de EPS deficitarias</w:t>
            </w:r>
          </w:p>
        </w:tc>
        <w:tc>
          <w:tcPr>
            <w:tcW w:w="1440" w:type="dxa"/>
          </w:tcPr>
          <w:p w:rsidRPr="008008F5" w:rsidR="00A43F55" w:rsidP="00732B1E" w:rsidRDefault="00A43F55" w14:paraId="5CA1158F" w14:textId="77777777">
            <w:pPr>
              <w:autoSpaceDE w:val="0"/>
              <w:autoSpaceDN w:val="0"/>
              <w:adjustRightInd w:val="0"/>
              <w:spacing w:before="20" w:after="20"/>
              <w:jc w:val="center"/>
              <w:rPr>
                <w:rFonts w:ascii="Arial" w:hAnsi="Arial" w:cs="Arial"/>
                <w:sz w:val="20"/>
                <w:szCs w:val="20"/>
                <w:lang w:val="es-ES_tradnl"/>
              </w:rPr>
            </w:pPr>
            <w:r>
              <w:rPr>
                <w:rFonts w:ascii="Arial" w:hAnsi="Arial" w:cs="Arial"/>
                <w:sz w:val="20"/>
                <w:szCs w:val="20"/>
                <w:lang w:val="es-ES_tradnl"/>
              </w:rPr>
              <w:t>Billones de pesos</w:t>
            </w:r>
          </w:p>
        </w:tc>
        <w:tc>
          <w:tcPr>
            <w:tcW w:w="900" w:type="dxa"/>
          </w:tcPr>
          <w:p w:rsidR="00A43F55" w:rsidP="00732B1E" w:rsidRDefault="00A43F55" w14:paraId="2AC4E5A5" w14:textId="77777777">
            <w:pPr>
              <w:autoSpaceDE w:val="0"/>
              <w:autoSpaceDN w:val="0"/>
              <w:adjustRightInd w:val="0"/>
              <w:spacing w:before="20" w:after="20"/>
              <w:jc w:val="right"/>
              <w:rPr>
                <w:rFonts w:ascii="Arial" w:hAnsi="Arial" w:cs="Arial"/>
                <w:bCs/>
                <w:sz w:val="20"/>
                <w:szCs w:val="20"/>
                <w:lang w:val="es-ES_tradnl"/>
              </w:rPr>
            </w:pPr>
            <w:r>
              <w:rPr>
                <w:rFonts w:ascii="Arial" w:hAnsi="Arial" w:cs="Arial"/>
                <w:bCs/>
                <w:sz w:val="20"/>
                <w:szCs w:val="20"/>
                <w:lang w:val="es-ES_tradnl"/>
              </w:rPr>
              <w:t>-7.3</w:t>
            </w:r>
          </w:p>
        </w:tc>
        <w:tc>
          <w:tcPr>
            <w:tcW w:w="720" w:type="dxa"/>
          </w:tcPr>
          <w:p w:rsidR="00A43F55" w:rsidP="00732B1E" w:rsidRDefault="00A43F55" w14:paraId="5EAAA47C" w14:textId="77777777">
            <w:pPr>
              <w:autoSpaceDE w:val="0"/>
              <w:autoSpaceDN w:val="0"/>
              <w:adjustRightInd w:val="0"/>
              <w:spacing w:before="20" w:after="20"/>
              <w:jc w:val="right"/>
              <w:rPr>
                <w:rFonts w:ascii="Arial" w:hAnsi="Arial" w:cs="Arial"/>
                <w:bCs/>
                <w:sz w:val="20"/>
                <w:szCs w:val="20"/>
                <w:lang w:val="es-ES_tradnl"/>
              </w:rPr>
            </w:pPr>
            <w:r>
              <w:rPr>
                <w:rFonts w:ascii="Arial" w:hAnsi="Arial" w:cs="Arial"/>
                <w:bCs/>
                <w:sz w:val="20"/>
                <w:szCs w:val="20"/>
                <w:lang w:val="es-ES_tradnl"/>
              </w:rPr>
              <w:t>2017</w:t>
            </w:r>
          </w:p>
        </w:tc>
        <w:tc>
          <w:tcPr>
            <w:tcW w:w="720" w:type="dxa"/>
          </w:tcPr>
          <w:p w:rsidR="00A43F55" w:rsidP="00732B1E" w:rsidRDefault="00A43F55" w14:paraId="53751611" w14:textId="77777777">
            <w:pPr>
              <w:autoSpaceDE w:val="0"/>
              <w:autoSpaceDN w:val="0"/>
              <w:adjustRightInd w:val="0"/>
              <w:spacing w:before="20" w:after="20"/>
              <w:jc w:val="right"/>
              <w:rPr>
                <w:rFonts w:ascii="Arial" w:hAnsi="Arial" w:cs="Arial"/>
                <w:sz w:val="20"/>
                <w:szCs w:val="20"/>
                <w:lang w:val="es-ES"/>
              </w:rPr>
            </w:pPr>
            <w:r>
              <w:rPr>
                <w:rFonts w:ascii="Arial" w:hAnsi="Arial" w:cs="Arial"/>
                <w:sz w:val="20"/>
                <w:szCs w:val="20"/>
                <w:lang w:val="es-ES"/>
              </w:rPr>
              <w:t>-5.0</w:t>
            </w:r>
          </w:p>
        </w:tc>
        <w:tc>
          <w:tcPr>
            <w:tcW w:w="720" w:type="dxa"/>
          </w:tcPr>
          <w:p w:rsidR="00A43F55" w:rsidP="00732B1E" w:rsidRDefault="00A43F55" w14:paraId="4DDC6F07" w14:textId="77777777">
            <w:pPr>
              <w:autoSpaceDE w:val="0"/>
              <w:autoSpaceDN w:val="0"/>
              <w:adjustRightInd w:val="0"/>
              <w:spacing w:before="20" w:after="20"/>
              <w:jc w:val="right"/>
              <w:rPr>
                <w:rFonts w:ascii="Arial" w:hAnsi="Arial" w:cs="Arial"/>
                <w:bCs/>
                <w:sz w:val="20"/>
                <w:szCs w:val="20"/>
                <w:lang w:val="es-ES_tradnl"/>
              </w:rPr>
            </w:pPr>
            <w:r>
              <w:rPr>
                <w:rFonts w:ascii="Arial" w:hAnsi="Arial" w:cs="Arial"/>
                <w:bCs/>
                <w:sz w:val="20"/>
                <w:szCs w:val="20"/>
                <w:lang w:val="es-ES_tradnl"/>
              </w:rPr>
              <w:t>2022</w:t>
            </w:r>
          </w:p>
        </w:tc>
        <w:tc>
          <w:tcPr>
            <w:tcW w:w="3600" w:type="dxa"/>
          </w:tcPr>
          <w:p w:rsidRPr="6FCF7E3E" w:rsidR="00A43F55" w:rsidP="00732B1E" w:rsidRDefault="00A43F55" w14:paraId="1C9C4C1E" w14:textId="77777777">
            <w:pPr>
              <w:autoSpaceDE w:val="0"/>
              <w:autoSpaceDN w:val="0"/>
              <w:adjustRightInd w:val="0"/>
              <w:spacing w:before="20" w:after="20"/>
              <w:rPr>
                <w:rFonts w:ascii="Arial" w:hAnsi="Arial" w:eastAsia="Arial" w:cs="Arial"/>
                <w:sz w:val="20"/>
                <w:szCs w:val="20"/>
                <w:lang w:val="es-ES"/>
              </w:rPr>
            </w:pPr>
            <w:r w:rsidRPr="00544542">
              <w:rPr>
                <w:rFonts w:ascii="Arial" w:hAnsi="Arial" w:eastAsia="Arial" w:cs="Arial"/>
                <w:sz w:val="20"/>
                <w:szCs w:val="20"/>
                <w:lang w:val="es-ES"/>
              </w:rPr>
              <w:t xml:space="preserve">Informe de seguimiento indicadores financieros de permanencia para EPS de la </w:t>
            </w:r>
            <w:r>
              <w:rPr>
                <w:rFonts w:ascii="Arial" w:hAnsi="Arial" w:eastAsia="Arial" w:cs="Arial"/>
                <w:sz w:val="20"/>
                <w:szCs w:val="20"/>
                <w:lang w:val="es-ES"/>
              </w:rPr>
              <w:t>Superintendencia Nacional de Salud</w:t>
            </w:r>
          </w:p>
        </w:tc>
      </w:tr>
      <w:tr w:rsidRPr="0071491D" w:rsidR="00A43F55" w:rsidTr="00732B1E" w14:paraId="3FD9F81F" w14:textId="77777777">
        <w:trPr>
          <w:trHeight w:val="144"/>
        </w:trPr>
        <w:tc>
          <w:tcPr>
            <w:tcW w:w="4855" w:type="dxa"/>
          </w:tcPr>
          <w:p w:rsidRPr="002A0A09" w:rsidR="00A43F55" w:rsidP="00732B1E" w:rsidRDefault="00A43F55" w14:paraId="0DBC5D7D" w14:textId="5911970A">
            <w:pPr>
              <w:autoSpaceDE w:val="0"/>
              <w:autoSpaceDN w:val="0"/>
              <w:adjustRightInd w:val="0"/>
              <w:spacing w:before="20" w:after="20"/>
              <w:rPr>
                <w:rFonts w:ascii="Arial" w:hAnsi="Arial" w:cs="Arial"/>
                <w:bCs/>
                <w:sz w:val="20"/>
                <w:szCs w:val="20"/>
                <w:lang w:val="es-ES_tradnl"/>
              </w:rPr>
            </w:pPr>
            <w:r>
              <w:rPr>
                <w:rFonts w:ascii="Arial" w:hAnsi="Arial" w:cs="Arial"/>
                <w:bCs/>
                <w:sz w:val="20"/>
                <w:szCs w:val="20"/>
                <w:lang w:val="es-ES_tradnl"/>
              </w:rPr>
              <w:t>2. Cobertura de afiliación al SGSS</w:t>
            </w:r>
            <w:r w:rsidR="00B22B1C">
              <w:rPr>
                <w:rFonts w:ascii="Arial" w:hAnsi="Arial" w:cs="Arial"/>
                <w:bCs/>
                <w:sz w:val="20"/>
                <w:szCs w:val="20"/>
                <w:lang w:val="es-ES_tradnl"/>
              </w:rPr>
              <w:t>S</w:t>
            </w:r>
          </w:p>
        </w:tc>
        <w:tc>
          <w:tcPr>
            <w:tcW w:w="1440" w:type="dxa"/>
          </w:tcPr>
          <w:p w:rsidR="00A43F55" w:rsidP="00732B1E" w:rsidRDefault="00A43F55" w14:paraId="0E5B3D36" w14:textId="77777777">
            <w:pPr>
              <w:autoSpaceDE w:val="0"/>
              <w:autoSpaceDN w:val="0"/>
              <w:adjustRightInd w:val="0"/>
              <w:spacing w:before="20" w:after="20"/>
              <w:jc w:val="center"/>
              <w:rPr>
                <w:rFonts w:ascii="Arial" w:hAnsi="Arial" w:cs="Arial"/>
                <w:bCs/>
                <w:sz w:val="20"/>
                <w:szCs w:val="20"/>
                <w:lang w:val="es-ES_tradnl"/>
              </w:rPr>
            </w:pPr>
            <w:r>
              <w:rPr>
                <w:rFonts w:ascii="Arial" w:hAnsi="Arial" w:cs="Arial"/>
                <w:sz w:val="20"/>
                <w:szCs w:val="20"/>
                <w:lang w:val="es-ES_tradnl"/>
              </w:rPr>
              <w:t>Porcentaje</w:t>
            </w:r>
          </w:p>
        </w:tc>
        <w:tc>
          <w:tcPr>
            <w:tcW w:w="900" w:type="dxa"/>
          </w:tcPr>
          <w:p w:rsidRPr="009D3284" w:rsidR="00A43F55" w:rsidP="00732B1E" w:rsidRDefault="00A43F55" w14:paraId="5D47E7F4" w14:textId="77777777">
            <w:pPr>
              <w:autoSpaceDE w:val="0"/>
              <w:autoSpaceDN w:val="0"/>
              <w:adjustRightInd w:val="0"/>
              <w:spacing w:before="20" w:after="20"/>
              <w:jc w:val="right"/>
              <w:rPr>
                <w:rFonts w:ascii="Arial" w:hAnsi="Arial" w:cs="Arial"/>
                <w:sz w:val="20"/>
                <w:szCs w:val="20"/>
                <w:lang w:val="es-ES"/>
              </w:rPr>
            </w:pPr>
            <w:r>
              <w:rPr>
                <w:rFonts w:ascii="Arial" w:hAnsi="Arial" w:cs="Arial"/>
                <w:bCs/>
                <w:sz w:val="20"/>
                <w:szCs w:val="20"/>
                <w:lang w:val="es-ES_tradnl"/>
              </w:rPr>
              <w:t>95.07</w:t>
            </w:r>
          </w:p>
        </w:tc>
        <w:tc>
          <w:tcPr>
            <w:tcW w:w="720" w:type="dxa"/>
          </w:tcPr>
          <w:p w:rsidR="00A43F55" w:rsidP="00732B1E" w:rsidRDefault="00A43F55" w14:paraId="2A9A6358" w14:textId="77777777">
            <w:pPr>
              <w:autoSpaceDE w:val="0"/>
              <w:autoSpaceDN w:val="0"/>
              <w:adjustRightInd w:val="0"/>
              <w:spacing w:before="20" w:after="20"/>
              <w:jc w:val="right"/>
              <w:rPr>
                <w:rFonts w:ascii="Arial" w:hAnsi="Arial" w:cs="Arial"/>
                <w:sz w:val="20"/>
                <w:szCs w:val="20"/>
                <w:lang w:val="es-ES"/>
              </w:rPr>
            </w:pPr>
            <w:r>
              <w:rPr>
                <w:rFonts w:ascii="Arial" w:hAnsi="Arial" w:cs="Arial"/>
                <w:bCs/>
                <w:sz w:val="20"/>
                <w:szCs w:val="20"/>
                <w:lang w:val="es-ES_tradnl"/>
              </w:rPr>
              <w:t>2019</w:t>
            </w:r>
          </w:p>
        </w:tc>
        <w:tc>
          <w:tcPr>
            <w:tcW w:w="720" w:type="dxa"/>
          </w:tcPr>
          <w:p w:rsidRPr="009D3284" w:rsidR="00A43F55" w:rsidP="00732B1E" w:rsidRDefault="00A43F55" w14:paraId="7FE1E96D" w14:textId="77777777">
            <w:pPr>
              <w:autoSpaceDE w:val="0"/>
              <w:autoSpaceDN w:val="0"/>
              <w:adjustRightInd w:val="0"/>
              <w:spacing w:before="20" w:after="20"/>
              <w:jc w:val="right"/>
              <w:rPr>
                <w:rFonts w:ascii="Arial" w:hAnsi="Arial" w:cs="Arial"/>
                <w:sz w:val="20"/>
                <w:szCs w:val="20"/>
                <w:lang w:val="es-ES"/>
              </w:rPr>
            </w:pPr>
            <w:r>
              <w:rPr>
                <w:rFonts w:ascii="Arial" w:hAnsi="Arial" w:cs="Arial"/>
                <w:sz w:val="20"/>
                <w:szCs w:val="20"/>
                <w:lang w:val="es-ES"/>
              </w:rPr>
              <w:t>96</w:t>
            </w:r>
          </w:p>
        </w:tc>
        <w:tc>
          <w:tcPr>
            <w:tcW w:w="720" w:type="dxa"/>
          </w:tcPr>
          <w:p w:rsidR="00A43F55" w:rsidP="00732B1E" w:rsidRDefault="00A43F55" w14:paraId="18C4FF39" w14:textId="77777777">
            <w:pPr>
              <w:autoSpaceDE w:val="0"/>
              <w:autoSpaceDN w:val="0"/>
              <w:adjustRightInd w:val="0"/>
              <w:spacing w:before="20" w:after="20"/>
              <w:jc w:val="right"/>
              <w:rPr>
                <w:rFonts w:ascii="Arial" w:hAnsi="Arial" w:cs="Arial"/>
                <w:bCs/>
                <w:sz w:val="20"/>
                <w:szCs w:val="20"/>
                <w:lang w:val="es-ES_tradnl"/>
              </w:rPr>
            </w:pPr>
            <w:r>
              <w:rPr>
                <w:rFonts w:ascii="Arial" w:hAnsi="Arial" w:cs="Arial"/>
                <w:bCs/>
                <w:sz w:val="20"/>
                <w:szCs w:val="20"/>
                <w:lang w:val="es-ES_tradnl"/>
              </w:rPr>
              <w:t>2022</w:t>
            </w:r>
          </w:p>
        </w:tc>
        <w:tc>
          <w:tcPr>
            <w:tcW w:w="3600" w:type="dxa"/>
          </w:tcPr>
          <w:p w:rsidR="00A43F55" w:rsidP="00732B1E" w:rsidRDefault="00A43F55" w14:paraId="587FF4AA" w14:textId="77777777">
            <w:pPr>
              <w:autoSpaceDE w:val="0"/>
              <w:autoSpaceDN w:val="0"/>
              <w:adjustRightInd w:val="0"/>
              <w:spacing w:before="20" w:after="20"/>
              <w:rPr>
                <w:rFonts w:ascii="Arial" w:hAnsi="Arial" w:eastAsia="Arial" w:cs="Arial"/>
                <w:sz w:val="20"/>
                <w:szCs w:val="20"/>
                <w:lang w:val="es-ES"/>
              </w:rPr>
            </w:pPr>
            <w:r w:rsidRPr="00544542">
              <w:rPr>
                <w:rFonts w:ascii="Arial" w:hAnsi="Arial" w:eastAsia="Arial" w:cs="Arial"/>
                <w:sz w:val="20"/>
                <w:szCs w:val="20"/>
                <w:lang w:val="es-ES"/>
              </w:rPr>
              <w:t>Base de Datos Única de Afiliados (BDUA) del MSPS.</w:t>
            </w:r>
          </w:p>
        </w:tc>
      </w:tr>
      <w:tr w:rsidRPr="0071491D" w:rsidR="00A43F55" w:rsidTr="00732B1E" w14:paraId="44C3DC4F" w14:textId="77777777">
        <w:trPr>
          <w:trHeight w:val="144"/>
        </w:trPr>
        <w:tc>
          <w:tcPr>
            <w:tcW w:w="4855" w:type="dxa"/>
          </w:tcPr>
          <w:p w:rsidRPr="002A0A09" w:rsidR="00A43F55" w:rsidP="00732B1E" w:rsidRDefault="00A43F55" w14:paraId="2810995A" w14:textId="0326451E">
            <w:pPr>
              <w:autoSpaceDE w:val="0"/>
              <w:autoSpaceDN w:val="0"/>
              <w:adjustRightInd w:val="0"/>
              <w:spacing w:before="20" w:after="20"/>
              <w:rPr>
                <w:rFonts w:ascii="Arial" w:hAnsi="Arial" w:cs="Arial"/>
                <w:bCs/>
                <w:sz w:val="20"/>
                <w:szCs w:val="20"/>
                <w:lang w:val="es-CO"/>
              </w:rPr>
            </w:pPr>
            <w:r>
              <w:rPr>
                <w:rFonts w:ascii="Arial" w:hAnsi="Arial" w:cs="Arial"/>
                <w:bCs/>
                <w:sz w:val="20"/>
                <w:szCs w:val="20"/>
                <w:lang w:val="es-CO"/>
              </w:rPr>
              <w:t xml:space="preserve">3. </w:t>
            </w:r>
            <w:r w:rsidRPr="002A0A09">
              <w:rPr>
                <w:rFonts w:ascii="Arial" w:hAnsi="Arial" w:cs="Arial"/>
                <w:bCs/>
                <w:sz w:val="20"/>
                <w:szCs w:val="20"/>
                <w:lang w:val="es-ES_tradnl"/>
              </w:rPr>
              <w:t>Tasa de mortalidad prematura por enfermedades crónicas en población entre 30 y hasta 70 años (por</w:t>
            </w:r>
            <w:r w:rsidR="00BF17E5">
              <w:rPr>
                <w:rFonts w:ascii="Arial" w:hAnsi="Arial" w:cs="Arial"/>
                <w:bCs/>
                <w:sz w:val="20"/>
                <w:szCs w:val="20"/>
                <w:lang w:val="es-ES_tradnl"/>
              </w:rPr>
              <w:t> </w:t>
            </w:r>
            <w:r w:rsidRPr="002A0A09">
              <w:rPr>
                <w:rFonts w:ascii="Arial" w:hAnsi="Arial" w:cs="Arial"/>
                <w:bCs/>
                <w:sz w:val="20"/>
                <w:szCs w:val="20"/>
                <w:lang w:val="es-ES_tradnl"/>
              </w:rPr>
              <w:t>cada 100.000 personas entre 30 y 70 años)</w:t>
            </w:r>
          </w:p>
        </w:tc>
        <w:tc>
          <w:tcPr>
            <w:tcW w:w="1440" w:type="dxa"/>
          </w:tcPr>
          <w:p w:rsidRPr="001151D9" w:rsidR="00A43F55" w:rsidP="00732B1E" w:rsidRDefault="00A43F55" w14:paraId="1FD7CE3D" w14:textId="77777777">
            <w:pPr>
              <w:autoSpaceDE w:val="0"/>
              <w:autoSpaceDN w:val="0"/>
              <w:adjustRightInd w:val="0"/>
              <w:spacing w:before="20" w:after="20"/>
              <w:jc w:val="center"/>
              <w:rPr>
                <w:rFonts w:ascii="Arial" w:hAnsi="Arial" w:cs="Arial"/>
                <w:bCs/>
                <w:sz w:val="20"/>
                <w:szCs w:val="20"/>
                <w:lang w:val="es-ES_tradnl"/>
              </w:rPr>
            </w:pPr>
            <w:r>
              <w:rPr>
                <w:rFonts w:ascii="Arial" w:hAnsi="Arial" w:cs="Arial"/>
                <w:bCs/>
                <w:sz w:val="20"/>
                <w:szCs w:val="20"/>
                <w:lang w:val="es-ES_tradnl"/>
              </w:rPr>
              <w:t>Muertes por cada 100.000 habitantes</w:t>
            </w:r>
          </w:p>
        </w:tc>
        <w:tc>
          <w:tcPr>
            <w:tcW w:w="900" w:type="dxa"/>
          </w:tcPr>
          <w:p w:rsidRPr="001151D9" w:rsidR="00A43F55" w:rsidP="00732B1E" w:rsidRDefault="00A43F55" w14:paraId="350FCB02" w14:textId="77777777">
            <w:pPr>
              <w:autoSpaceDE w:val="0"/>
              <w:autoSpaceDN w:val="0"/>
              <w:adjustRightInd w:val="0"/>
              <w:spacing w:before="20" w:after="20"/>
              <w:jc w:val="right"/>
              <w:rPr>
                <w:rFonts w:ascii="Arial" w:hAnsi="Arial" w:cs="Arial"/>
                <w:sz w:val="20"/>
                <w:szCs w:val="20"/>
                <w:lang w:val="es-ES"/>
              </w:rPr>
            </w:pPr>
            <w:r w:rsidRPr="009D3284">
              <w:rPr>
                <w:rFonts w:ascii="Arial" w:hAnsi="Arial" w:cs="Arial"/>
                <w:sz w:val="20"/>
                <w:szCs w:val="20"/>
                <w:lang w:val="es-ES"/>
              </w:rPr>
              <w:t>2</w:t>
            </w:r>
            <w:r w:rsidRPr="002A0A09">
              <w:rPr>
                <w:rFonts w:ascii="Arial" w:hAnsi="Arial" w:cs="Arial"/>
                <w:sz w:val="20"/>
                <w:szCs w:val="20"/>
                <w:lang w:val="es-ES"/>
              </w:rPr>
              <w:t>30</w:t>
            </w:r>
            <w:r>
              <w:rPr>
                <w:rFonts w:ascii="Arial" w:hAnsi="Arial" w:cs="Arial"/>
                <w:sz w:val="20"/>
                <w:szCs w:val="20"/>
                <w:lang w:val="es-ES"/>
              </w:rPr>
              <w:t>.</w:t>
            </w:r>
            <w:r w:rsidRPr="002A0A09">
              <w:rPr>
                <w:rFonts w:ascii="Arial" w:hAnsi="Arial" w:cs="Arial"/>
                <w:sz w:val="20"/>
                <w:szCs w:val="20"/>
                <w:lang w:val="es-ES"/>
              </w:rPr>
              <w:t>57</w:t>
            </w:r>
            <w:r>
              <w:t xml:space="preserve"> </w:t>
            </w:r>
          </w:p>
        </w:tc>
        <w:tc>
          <w:tcPr>
            <w:tcW w:w="720" w:type="dxa"/>
          </w:tcPr>
          <w:p w:rsidRPr="001151D9" w:rsidR="00A43F55" w:rsidP="00732B1E" w:rsidRDefault="00A43F55" w14:paraId="39EBE531" w14:textId="77777777">
            <w:pPr>
              <w:autoSpaceDE w:val="0"/>
              <w:autoSpaceDN w:val="0"/>
              <w:adjustRightInd w:val="0"/>
              <w:spacing w:before="20" w:after="20"/>
              <w:jc w:val="right"/>
              <w:rPr>
                <w:rFonts w:ascii="Arial" w:hAnsi="Arial" w:cs="Arial"/>
                <w:sz w:val="20"/>
                <w:szCs w:val="20"/>
                <w:lang w:val="es-ES"/>
              </w:rPr>
            </w:pPr>
            <w:r>
              <w:rPr>
                <w:rFonts w:ascii="Arial" w:hAnsi="Arial" w:cs="Arial"/>
                <w:sz w:val="20"/>
                <w:szCs w:val="20"/>
                <w:lang w:val="es-ES"/>
              </w:rPr>
              <w:t>2016</w:t>
            </w:r>
          </w:p>
        </w:tc>
        <w:tc>
          <w:tcPr>
            <w:tcW w:w="720" w:type="dxa"/>
          </w:tcPr>
          <w:p w:rsidRPr="001151D9" w:rsidR="00A43F55" w:rsidP="00732B1E" w:rsidRDefault="00A43F55" w14:paraId="29C45DFF" w14:textId="77777777">
            <w:pPr>
              <w:autoSpaceDE w:val="0"/>
              <w:autoSpaceDN w:val="0"/>
              <w:adjustRightInd w:val="0"/>
              <w:spacing w:before="20" w:after="20"/>
              <w:jc w:val="right"/>
              <w:rPr>
                <w:rFonts w:ascii="Arial" w:hAnsi="Arial" w:cs="Arial"/>
                <w:sz w:val="20"/>
                <w:szCs w:val="20"/>
                <w:lang w:val="es-ES"/>
              </w:rPr>
            </w:pPr>
            <w:r w:rsidRPr="009D3284">
              <w:rPr>
                <w:rFonts w:ascii="Arial" w:hAnsi="Arial" w:cs="Arial"/>
                <w:sz w:val="20"/>
                <w:szCs w:val="20"/>
                <w:lang w:val="es-ES"/>
              </w:rPr>
              <w:t>22</w:t>
            </w:r>
            <w:r>
              <w:rPr>
                <w:rFonts w:ascii="Arial" w:hAnsi="Arial" w:cs="Arial"/>
                <w:sz w:val="20"/>
                <w:szCs w:val="20"/>
                <w:lang w:val="es-ES"/>
              </w:rPr>
              <w:t>7.5</w:t>
            </w:r>
          </w:p>
        </w:tc>
        <w:tc>
          <w:tcPr>
            <w:tcW w:w="720" w:type="dxa"/>
          </w:tcPr>
          <w:p w:rsidRPr="001151D9" w:rsidR="00A43F55" w:rsidP="00732B1E" w:rsidRDefault="00A43F55" w14:paraId="6D56C744" w14:textId="77777777">
            <w:pPr>
              <w:autoSpaceDE w:val="0"/>
              <w:autoSpaceDN w:val="0"/>
              <w:adjustRightInd w:val="0"/>
              <w:spacing w:before="20" w:after="20"/>
              <w:jc w:val="right"/>
              <w:rPr>
                <w:rFonts w:ascii="Arial" w:hAnsi="Arial" w:cs="Arial"/>
                <w:bCs/>
                <w:sz w:val="20"/>
                <w:szCs w:val="20"/>
                <w:lang w:val="es-ES_tradnl"/>
              </w:rPr>
            </w:pPr>
            <w:r>
              <w:rPr>
                <w:rFonts w:ascii="Arial" w:hAnsi="Arial" w:cs="Arial"/>
                <w:bCs/>
                <w:sz w:val="20"/>
                <w:szCs w:val="20"/>
                <w:lang w:val="es-ES_tradnl"/>
              </w:rPr>
              <w:t>2022</w:t>
            </w:r>
          </w:p>
        </w:tc>
        <w:tc>
          <w:tcPr>
            <w:tcW w:w="3600" w:type="dxa"/>
          </w:tcPr>
          <w:p w:rsidRPr="001151D9" w:rsidR="00A43F55" w:rsidP="00732B1E" w:rsidRDefault="00A43F55" w14:paraId="35276E6B" w14:textId="77777777">
            <w:pPr>
              <w:autoSpaceDE w:val="0"/>
              <w:autoSpaceDN w:val="0"/>
              <w:adjustRightInd w:val="0"/>
              <w:spacing w:before="20" w:after="20"/>
              <w:rPr>
                <w:rFonts w:ascii="Arial" w:hAnsi="Arial" w:eastAsia="Arial" w:cs="Arial"/>
                <w:sz w:val="20"/>
                <w:szCs w:val="20"/>
                <w:lang w:val="es-ES"/>
              </w:rPr>
            </w:pPr>
            <w:r w:rsidRPr="00544542">
              <w:rPr>
                <w:rFonts w:ascii="Arial" w:hAnsi="Arial" w:eastAsia="Arial" w:cs="Arial"/>
                <w:sz w:val="20"/>
                <w:szCs w:val="20"/>
                <w:lang w:val="es-ES"/>
              </w:rPr>
              <w:t xml:space="preserve">Estadísticas vitales del DANE y Defunciones del </w:t>
            </w:r>
            <w:r>
              <w:rPr>
                <w:rFonts w:ascii="Arial" w:hAnsi="Arial" w:eastAsia="Arial" w:cs="Arial"/>
                <w:sz w:val="20"/>
                <w:szCs w:val="20"/>
                <w:lang w:val="es-ES"/>
              </w:rPr>
              <w:t xml:space="preserve">MSPS </w:t>
            </w:r>
          </w:p>
        </w:tc>
      </w:tr>
    </w:tbl>
    <w:p w:rsidR="00A43F55" w:rsidP="00A43F55" w:rsidRDefault="00A43F55" w14:paraId="28E78995" w14:textId="77777777">
      <w:pPr>
        <w:rPr>
          <w:rFonts w:ascii="Arial" w:hAnsi="Arial" w:cs="Arial"/>
          <w:sz w:val="18"/>
          <w:szCs w:val="18"/>
          <w:lang w:val="es-ES"/>
        </w:rPr>
      </w:pPr>
    </w:p>
    <w:p w:rsidR="00A43F55" w:rsidP="00A43F55" w:rsidRDefault="00A43F55" w14:paraId="23049E88" w14:textId="77777777">
      <w:pPr>
        <w:autoSpaceDE w:val="0"/>
        <w:autoSpaceDN w:val="0"/>
        <w:adjustRightInd w:val="0"/>
        <w:spacing w:before="120"/>
        <w:ind w:left="360"/>
        <w:jc w:val="center"/>
        <w:rPr>
          <w:rFonts w:ascii="Arial" w:hAnsi="Arial" w:cs="Arial"/>
          <w:b/>
          <w:bCs/>
          <w:smallCaps/>
          <w:sz w:val="20"/>
          <w:szCs w:val="20"/>
          <w:lang w:val="es-ES_tradnl"/>
        </w:rPr>
      </w:pPr>
    </w:p>
    <w:p w:rsidR="00A43F55" w:rsidP="00A43F55" w:rsidRDefault="00A43F55" w14:paraId="03427A49" w14:textId="77777777">
      <w:pPr>
        <w:autoSpaceDE w:val="0"/>
        <w:autoSpaceDN w:val="0"/>
        <w:adjustRightInd w:val="0"/>
        <w:spacing w:before="120"/>
        <w:ind w:left="360"/>
        <w:jc w:val="center"/>
        <w:rPr>
          <w:rFonts w:ascii="Arial" w:hAnsi="Arial" w:cs="Arial"/>
          <w:b/>
          <w:bCs/>
          <w:smallCaps/>
          <w:sz w:val="20"/>
          <w:szCs w:val="20"/>
          <w:lang w:val="es-ES_tradnl"/>
        </w:rPr>
      </w:pPr>
    </w:p>
    <w:p w:rsidRPr="00A409B5" w:rsidR="00E4589E" w:rsidP="00E4589E" w:rsidRDefault="00E4589E" w14:paraId="7CF393F2" w14:textId="77777777">
      <w:pPr>
        <w:keepNext/>
        <w:autoSpaceDE w:val="0"/>
        <w:autoSpaceDN w:val="0"/>
        <w:adjustRightInd w:val="0"/>
        <w:ind w:left="360"/>
        <w:jc w:val="center"/>
        <w:rPr>
          <w:rFonts w:ascii="Arial" w:hAnsi="Arial" w:cs="Arial"/>
          <w:b/>
          <w:bCs/>
          <w:smallCaps/>
          <w:lang w:val="es-ES_tradnl"/>
        </w:rPr>
      </w:pPr>
      <w:r w:rsidRPr="00A409B5">
        <w:rPr>
          <w:rFonts w:ascii="Arial" w:hAnsi="Arial" w:cs="Arial"/>
          <w:b/>
          <w:bCs/>
          <w:smallCaps/>
          <w:lang w:val="es-ES_tradnl"/>
        </w:rPr>
        <w:lastRenderedPageBreak/>
        <w:t>Resultados Esperados</w:t>
      </w:r>
    </w:p>
    <w:tbl>
      <w:tblPr>
        <w:tblStyle w:val="TableGrid"/>
        <w:tblW w:w="13765" w:type="dxa"/>
        <w:jc w:val="center"/>
        <w:tblLayout w:type="fixed"/>
        <w:tblLook w:val="04A0" w:firstRow="1" w:lastRow="0" w:firstColumn="1" w:lastColumn="0" w:noHBand="0" w:noVBand="1"/>
      </w:tblPr>
      <w:tblGrid>
        <w:gridCol w:w="2245"/>
        <w:gridCol w:w="1260"/>
        <w:gridCol w:w="1260"/>
        <w:gridCol w:w="720"/>
        <w:gridCol w:w="990"/>
        <w:gridCol w:w="990"/>
        <w:gridCol w:w="990"/>
        <w:gridCol w:w="1080"/>
        <w:gridCol w:w="2520"/>
        <w:gridCol w:w="1710"/>
      </w:tblGrid>
      <w:tr w:rsidRPr="00255351" w:rsidR="00E4589E" w:rsidTr="00732B1E" w14:paraId="615BEAB6" w14:textId="77777777">
        <w:trPr>
          <w:trHeight w:val="144"/>
          <w:tblHeader/>
          <w:jc w:val="center"/>
        </w:trPr>
        <w:tc>
          <w:tcPr>
            <w:tcW w:w="2245" w:type="dxa"/>
            <w:vMerge w:val="restart"/>
            <w:shd w:val="clear" w:color="auto" w:fill="D0CECE" w:themeFill="background2" w:themeFillShade="E6"/>
            <w:vAlign w:val="center"/>
          </w:tcPr>
          <w:p w:rsidRPr="00255351" w:rsidR="00E4589E" w:rsidP="00732B1E" w:rsidRDefault="00E4589E" w14:paraId="277FA666" w14:textId="77777777">
            <w:pPr>
              <w:keepNext/>
              <w:autoSpaceDE w:val="0"/>
              <w:autoSpaceDN w:val="0"/>
              <w:adjustRightInd w:val="0"/>
              <w:rPr>
                <w:rFonts w:ascii="Arial" w:hAnsi="Arial" w:cs="Arial"/>
                <w:b/>
                <w:sz w:val="20"/>
                <w:szCs w:val="20"/>
                <w:lang w:val="es-CO"/>
              </w:rPr>
            </w:pPr>
            <w:r w:rsidRPr="00255351">
              <w:rPr>
                <w:rFonts w:ascii="Arial" w:hAnsi="Arial" w:cs="Arial"/>
                <w:b/>
                <w:sz w:val="20"/>
                <w:szCs w:val="20"/>
                <w:lang w:val="es-CO"/>
              </w:rPr>
              <w:t>Resultados Esperados</w:t>
            </w:r>
          </w:p>
        </w:tc>
        <w:tc>
          <w:tcPr>
            <w:tcW w:w="1260" w:type="dxa"/>
            <w:vMerge w:val="restart"/>
            <w:shd w:val="clear" w:color="auto" w:fill="D0CECE" w:themeFill="background2" w:themeFillShade="E6"/>
            <w:vAlign w:val="center"/>
          </w:tcPr>
          <w:p w:rsidRPr="00255351" w:rsidR="00E4589E" w:rsidP="00732B1E" w:rsidRDefault="00E4589E" w14:paraId="671F57B7" w14:textId="77777777">
            <w:pPr>
              <w:keepNext/>
              <w:autoSpaceDE w:val="0"/>
              <w:autoSpaceDN w:val="0"/>
              <w:adjustRightInd w:val="0"/>
              <w:jc w:val="center"/>
              <w:rPr>
                <w:rFonts w:ascii="Arial" w:hAnsi="Arial" w:cs="Arial"/>
                <w:b/>
                <w:sz w:val="20"/>
                <w:szCs w:val="20"/>
                <w:lang w:val="es-CO"/>
              </w:rPr>
            </w:pPr>
            <w:r w:rsidRPr="00255351">
              <w:rPr>
                <w:rFonts w:ascii="Arial" w:hAnsi="Arial" w:cs="Arial"/>
                <w:b/>
                <w:sz w:val="20"/>
                <w:szCs w:val="20"/>
                <w:lang w:val="es-CO"/>
              </w:rPr>
              <w:t>Unidad de Medida</w:t>
            </w:r>
          </w:p>
        </w:tc>
        <w:tc>
          <w:tcPr>
            <w:tcW w:w="1980" w:type="dxa"/>
            <w:gridSpan w:val="2"/>
            <w:shd w:val="clear" w:color="auto" w:fill="D0CECE" w:themeFill="background2" w:themeFillShade="E6"/>
            <w:vAlign w:val="center"/>
          </w:tcPr>
          <w:p w:rsidRPr="00255351" w:rsidR="00E4589E" w:rsidP="00732B1E" w:rsidRDefault="00E4589E" w14:paraId="3874FE51" w14:textId="77777777">
            <w:pPr>
              <w:keepNext/>
              <w:autoSpaceDE w:val="0"/>
              <w:autoSpaceDN w:val="0"/>
              <w:adjustRightInd w:val="0"/>
              <w:jc w:val="center"/>
              <w:rPr>
                <w:rFonts w:ascii="Arial" w:hAnsi="Arial" w:cs="Arial"/>
                <w:b/>
                <w:sz w:val="20"/>
                <w:szCs w:val="20"/>
                <w:lang w:val="es-CO"/>
              </w:rPr>
            </w:pPr>
            <w:r w:rsidRPr="00255351">
              <w:rPr>
                <w:rFonts w:ascii="Arial" w:hAnsi="Arial" w:cs="Arial"/>
                <w:b/>
                <w:sz w:val="20"/>
                <w:szCs w:val="20"/>
                <w:lang w:val="es-CO"/>
              </w:rPr>
              <w:t>Línea de base</w:t>
            </w:r>
          </w:p>
        </w:tc>
        <w:tc>
          <w:tcPr>
            <w:tcW w:w="2970" w:type="dxa"/>
            <w:gridSpan w:val="3"/>
            <w:shd w:val="clear" w:color="auto" w:fill="D0CECE" w:themeFill="background2" w:themeFillShade="E6"/>
            <w:vAlign w:val="center"/>
          </w:tcPr>
          <w:p w:rsidRPr="00255351" w:rsidR="00E4589E" w:rsidP="00732B1E" w:rsidRDefault="00E4589E" w14:paraId="7B4D4669" w14:textId="77777777">
            <w:pPr>
              <w:keepNext/>
              <w:autoSpaceDE w:val="0"/>
              <w:autoSpaceDN w:val="0"/>
              <w:adjustRightInd w:val="0"/>
              <w:jc w:val="center"/>
              <w:rPr>
                <w:rFonts w:ascii="Arial" w:hAnsi="Arial" w:cs="Arial"/>
                <w:b/>
                <w:sz w:val="20"/>
                <w:szCs w:val="20"/>
                <w:lang w:val="es-CO"/>
              </w:rPr>
            </w:pPr>
            <w:r>
              <w:rPr>
                <w:rFonts w:ascii="Arial" w:hAnsi="Arial" w:cs="Arial"/>
                <w:b/>
                <w:sz w:val="20"/>
                <w:szCs w:val="20"/>
                <w:lang w:val="es-CO"/>
              </w:rPr>
              <w:t>Año</w:t>
            </w:r>
          </w:p>
        </w:tc>
        <w:tc>
          <w:tcPr>
            <w:tcW w:w="1080" w:type="dxa"/>
            <w:vMerge w:val="restart"/>
            <w:shd w:val="clear" w:color="auto" w:fill="D0CECE" w:themeFill="background2" w:themeFillShade="E6"/>
            <w:vAlign w:val="center"/>
          </w:tcPr>
          <w:p w:rsidRPr="00255351" w:rsidR="00E4589E" w:rsidP="00732B1E" w:rsidRDefault="00E4589E" w14:paraId="5E9313F1" w14:textId="77777777">
            <w:pPr>
              <w:keepNext/>
              <w:autoSpaceDE w:val="0"/>
              <w:autoSpaceDN w:val="0"/>
              <w:adjustRightInd w:val="0"/>
              <w:jc w:val="center"/>
              <w:rPr>
                <w:rFonts w:ascii="Arial" w:hAnsi="Arial" w:cs="Arial"/>
                <w:b/>
                <w:sz w:val="20"/>
                <w:szCs w:val="20"/>
                <w:lang w:val="es-CO"/>
              </w:rPr>
            </w:pPr>
            <w:r w:rsidRPr="00255351">
              <w:rPr>
                <w:rFonts w:ascii="Arial" w:hAnsi="Arial" w:cs="Arial"/>
                <w:b/>
                <w:sz w:val="20"/>
                <w:szCs w:val="20"/>
                <w:lang w:val="es-CO"/>
              </w:rPr>
              <w:t>Final del Proyecto</w:t>
            </w:r>
          </w:p>
        </w:tc>
        <w:tc>
          <w:tcPr>
            <w:tcW w:w="2520" w:type="dxa"/>
            <w:vMerge w:val="restart"/>
            <w:shd w:val="clear" w:color="auto" w:fill="D0CECE" w:themeFill="background2" w:themeFillShade="E6"/>
            <w:vAlign w:val="center"/>
          </w:tcPr>
          <w:p w:rsidRPr="00255351" w:rsidR="00E4589E" w:rsidP="00732B1E" w:rsidRDefault="00E4589E" w14:paraId="4B70F0AC" w14:textId="77777777">
            <w:pPr>
              <w:keepNext/>
              <w:autoSpaceDE w:val="0"/>
              <w:autoSpaceDN w:val="0"/>
              <w:adjustRightInd w:val="0"/>
              <w:jc w:val="center"/>
              <w:rPr>
                <w:rFonts w:ascii="Arial" w:hAnsi="Arial" w:cs="Arial"/>
                <w:b/>
                <w:sz w:val="20"/>
                <w:szCs w:val="20"/>
                <w:lang w:val="es-CO"/>
              </w:rPr>
            </w:pPr>
            <w:r w:rsidRPr="00255351">
              <w:rPr>
                <w:rFonts w:ascii="Arial" w:hAnsi="Arial" w:cs="Arial"/>
                <w:b/>
                <w:sz w:val="20"/>
                <w:szCs w:val="20"/>
                <w:lang w:val="es-CO"/>
              </w:rPr>
              <w:t>Medio de verificación</w:t>
            </w:r>
          </w:p>
        </w:tc>
        <w:tc>
          <w:tcPr>
            <w:tcW w:w="1710" w:type="dxa"/>
            <w:vMerge w:val="restart"/>
            <w:shd w:val="clear" w:color="auto" w:fill="D0CECE" w:themeFill="background2" w:themeFillShade="E6"/>
            <w:vAlign w:val="center"/>
          </w:tcPr>
          <w:p w:rsidRPr="00255351" w:rsidR="00E4589E" w:rsidP="00732B1E" w:rsidRDefault="00E4589E" w14:paraId="46CDD472" w14:textId="77777777">
            <w:pPr>
              <w:keepNext/>
              <w:autoSpaceDE w:val="0"/>
              <w:autoSpaceDN w:val="0"/>
              <w:adjustRightInd w:val="0"/>
              <w:jc w:val="center"/>
              <w:rPr>
                <w:rFonts w:ascii="Arial" w:hAnsi="Arial" w:cs="Arial"/>
                <w:b/>
                <w:sz w:val="20"/>
                <w:szCs w:val="20"/>
                <w:lang w:val="es-CO"/>
              </w:rPr>
            </w:pPr>
            <w:r w:rsidRPr="00255351">
              <w:rPr>
                <w:rFonts w:ascii="Arial" w:hAnsi="Arial" w:cs="Arial"/>
                <w:b/>
                <w:sz w:val="20"/>
                <w:szCs w:val="20"/>
                <w:lang w:val="es-CO"/>
              </w:rPr>
              <w:t>Indicador vinculado a desembolsos</w:t>
            </w:r>
          </w:p>
        </w:tc>
      </w:tr>
      <w:tr w:rsidRPr="00255351" w:rsidR="00E4589E" w:rsidTr="00732B1E" w14:paraId="54260893" w14:textId="77777777">
        <w:trPr>
          <w:trHeight w:val="144"/>
          <w:tblHeader/>
          <w:jc w:val="center"/>
        </w:trPr>
        <w:tc>
          <w:tcPr>
            <w:tcW w:w="2245" w:type="dxa"/>
            <w:vMerge/>
            <w:shd w:val="clear" w:color="auto" w:fill="D9D9D9" w:themeFill="background1" w:themeFillShade="D9"/>
            <w:vAlign w:val="center"/>
          </w:tcPr>
          <w:p w:rsidR="00E4589E" w:rsidP="00732B1E" w:rsidRDefault="00E4589E" w14:paraId="1E482508" w14:textId="77777777">
            <w:pPr>
              <w:keepNext/>
              <w:autoSpaceDE w:val="0"/>
              <w:autoSpaceDN w:val="0"/>
              <w:adjustRightInd w:val="0"/>
              <w:rPr>
                <w:rFonts w:ascii="Arial" w:hAnsi="Arial" w:cs="Arial"/>
                <w:sz w:val="20"/>
                <w:szCs w:val="20"/>
                <w:lang w:val="es-CO"/>
              </w:rPr>
            </w:pPr>
          </w:p>
        </w:tc>
        <w:tc>
          <w:tcPr>
            <w:tcW w:w="1260" w:type="dxa"/>
            <w:vMerge/>
            <w:shd w:val="clear" w:color="auto" w:fill="D9D9D9" w:themeFill="background1" w:themeFillShade="D9"/>
            <w:vAlign w:val="center"/>
          </w:tcPr>
          <w:p w:rsidR="00E4589E" w:rsidP="00732B1E" w:rsidRDefault="00E4589E" w14:paraId="50C1605F" w14:textId="77777777">
            <w:pPr>
              <w:keepNext/>
              <w:autoSpaceDE w:val="0"/>
              <w:autoSpaceDN w:val="0"/>
              <w:adjustRightInd w:val="0"/>
              <w:jc w:val="center"/>
              <w:rPr>
                <w:rFonts w:ascii="Arial" w:hAnsi="Arial" w:cs="Arial"/>
                <w:bCs/>
                <w:sz w:val="20"/>
                <w:szCs w:val="20"/>
                <w:lang w:val="es-CO"/>
              </w:rPr>
            </w:pPr>
          </w:p>
        </w:tc>
        <w:tc>
          <w:tcPr>
            <w:tcW w:w="1260" w:type="dxa"/>
            <w:shd w:val="clear" w:color="auto" w:fill="D9D9D9" w:themeFill="background1" w:themeFillShade="D9"/>
            <w:vAlign w:val="center"/>
          </w:tcPr>
          <w:p w:rsidR="00E4589E" w:rsidP="00732B1E" w:rsidRDefault="00E4589E" w14:paraId="259B0CC2" w14:textId="77777777">
            <w:pPr>
              <w:keepNext/>
              <w:autoSpaceDE w:val="0"/>
              <w:autoSpaceDN w:val="0"/>
              <w:adjustRightInd w:val="0"/>
              <w:jc w:val="center"/>
              <w:rPr>
                <w:rFonts w:ascii="Arial" w:hAnsi="Arial" w:cs="Arial"/>
                <w:sz w:val="20"/>
                <w:szCs w:val="20"/>
                <w:lang w:val="es-CO"/>
              </w:rPr>
            </w:pPr>
            <w:r w:rsidRPr="00255351">
              <w:rPr>
                <w:rFonts w:ascii="Arial" w:hAnsi="Arial" w:cs="Arial"/>
                <w:b/>
                <w:sz w:val="20"/>
                <w:szCs w:val="20"/>
                <w:lang w:val="es-CO"/>
              </w:rPr>
              <w:t>Valor</w:t>
            </w:r>
          </w:p>
        </w:tc>
        <w:tc>
          <w:tcPr>
            <w:tcW w:w="720" w:type="dxa"/>
            <w:shd w:val="clear" w:color="auto" w:fill="D9D9D9" w:themeFill="background1" w:themeFillShade="D9"/>
            <w:vAlign w:val="center"/>
          </w:tcPr>
          <w:p w:rsidRPr="00255351" w:rsidR="00E4589E" w:rsidP="00732B1E" w:rsidRDefault="00E4589E" w14:paraId="484525B3" w14:textId="77777777">
            <w:pPr>
              <w:keepNext/>
              <w:autoSpaceDE w:val="0"/>
              <w:autoSpaceDN w:val="0"/>
              <w:adjustRightInd w:val="0"/>
              <w:jc w:val="center"/>
              <w:rPr>
                <w:rFonts w:ascii="Arial" w:hAnsi="Arial" w:cs="Arial"/>
                <w:bCs/>
                <w:sz w:val="20"/>
                <w:szCs w:val="20"/>
                <w:lang w:val="es-CO"/>
              </w:rPr>
            </w:pPr>
            <w:r w:rsidRPr="00255351">
              <w:rPr>
                <w:rFonts w:ascii="Arial" w:hAnsi="Arial" w:cs="Arial"/>
                <w:b/>
                <w:sz w:val="20"/>
                <w:szCs w:val="20"/>
                <w:lang w:val="es-CO"/>
              </w:rPr>
              <w:t>Año</w:t>
            </w:r>
          </w:p>
        </w:tc>
        <w:tc>
          <w:tcPr>
            <w:tcW w:w="990" w:type="dxa"/>
            <w:shd w:val="clear" w:color="auto" w:fill="D9D9D9" w:themeFill="background1" w:themeFillShade="D9"/>
            <w:vAlign w:val="center"/>
          </w:tcPr>
          <w:p w:rsidR="00E4589E" w:rsidP="00732B1E" w:rsidRDefault="00E4589E" w14:paraId="1FC418D9" w14:textId="77777777">
            <w:pPr>
              <w:keepNext/>
              <w:autoSpaceDE w:val="0"/>
              <w:autoSpaceDN w:val="0"/>
              <w:adjustRightInd w:val="0"/>
              <w:jc w:val="center"/>
              <w:rPr>
                <w:rFonts w:ascii="Arial" w:hAnsi="Arial" w:cs="Arial"/>
                <w:sz w:val="20"/>
                <w:szCs w:val="20"/>
                <w:lang w:val="es-CO"/>
              </w:rPr>
            </w:pPr>
            <w:r w:rsidRPr="00255351">
              <w:rPr>
                <w:rFonts w:ascii="Arial" w:hAnsi="Arial" w:cs="Arial"/>
                <w:b/>
                <w:sz w:val="20"/>
                <w:szCs w:val="20"/>
                <w:lang w:val="es-CO"/>
              </w:rPr>
              <w:t>1</w:t>
            </w:r>
          </w:p>
        </w:tc>
        <w:tc>
          <w:tcPr>
            <w:tcW w:w="990" w:type="dxa"/>
            <w:shd w:val="clear" w:color="auto" w:fill="D9D9D9" w:themeFill="background1" w:themeFillShade="D9"/>
            <w:vAlign w:val="center"/>
          </w:tcPr>
          <w:p w:rsidRPr="00255351" w:rsidR="00E4589E" w:rsidP="00732B1E" w:rsidRDefault="00E4589E" w14:paraId="40FA07FC" w14:textId="77777777">
            <w:pPr>
              <w:keepNext/>
              <w:autoSpaceDE w:val="0"/>
              <w:autoSpaceDN w:val="0"/>
              <w:adjustRightInd w:val="0"/>
              <w:jc w:val="center"/>
              <w:rPr>
                <w:rFonts w:ascii="Arial" w:hAnsi="Arial" w:cs="Arial"/>
                <w:sz w:val="20"/>
                <w:szCs w:val="20"/>
                <w:lang w:val="es-CO"/>
              </w:rPr>
            </w:pPr>
            <w:r w:rsidRPr="00255351">
              <w:rPr>
                <w:rFonts w:ascii="Arial" w:hAnsi="Arial" w:cs="Arial"/>
                <w:b/>
                <w:sz w:val="20"/>
                <w:szCs w:val="20"/>
                <w:lang w:val="es-CO"/>
              </w:rPr>
              <w:t>2</w:t>
            </w:r>
          </w:p>
        </w:tc>
        <w:tc>
          <w:tcPr>
            <w:tcW w:w="990" w:type="dxa"/>
            <w:shd w:val="clear" w:color="auto" w:fill="D9D9D9" w:themeFill="background1" w:themeFillShade="D9"/>
            <w:vAlign w:val="center"/>
          </w:tcPr>
          <w:p w:rsidRPr="00255351" w:rsidR="00E4589E" w:rsidP="00732B1E" w:rsidRDefault="00E4589E" w14:paraId="53112F81" w14:textId="77777777">
            <w:pPr>
              <w:keepNext/>
              <w:autoSpaceDE w:val="0"/>
              <w:autoSpaceDN w:val="0"/>
              <w:adjustRightInd w:val="0"/>
              <w:jc w:val="center"/>
              <w:rPr>
                <w:rFonts w:ascii="Arial" w:hAnsi="Arial" w:cs="Arial"/>
                <w:sz w:val="20"/>
                <w:szCs w:val="20"/>
                <w:lang w:val="es-CO"/>
              </w:rPr>
            </w:pPr>
            <w:r w:rsidRPr="00255351">
              <w:rPr>
                <w:rFonts w:ascii="Arial" w:hAnsi="Arial" w:cs="Arial"/>
                <w:b/>
                <w:sz w:val="20"/>
                <w:szCs w:val="20"/>
                <w:lang w:val="es-CO"/>
              </w:rPr>
              <w:t>3</w:t>
            </w:r>
          </w:p>
        </w:tc>
        <w:tc>
          <w:tcPr>
            <w:tcW w:w="1080" w:type="dxa"/>
            <w:vMerge/>
            <w:shd w:val="clear" w:color="auto" w:fill="D9D9D9" w:themeFill="background1" w:themeFillShade="D9"/>
            <w:vAlign w:val="center"/>
          </w:tcPr>
          <w:p w:rsidRPr="00255351" w:rsidR="00E4589E" w:rsidP="00732B1E" w:rsidRDefault="00E4589E" w14:paraId="5558435A" w14:textId="77777777">
            <w:pPr>
              <w:keepNext/>
              <w:autoSpaceDE w:val="0"/>
              <w:autoSpaceDN w:val="0"/>
              <w:adjustRightInd w:val="0"/>
              <w:jc w:val="center"/>
              <w:rPr>
                <w:rFonts w:ascii="Arial" w:hAnsi="Arial" w:cs="Arial"/>
                <w:sz w:val="20"/>
                <w:szCs w:val="20"/>
                <w:lang w:val="es-CO"/>
              </w:rPr>
            </w:pPr>
          </w:p>
        </w:tc>
        <w:tc>
          <w:tcPr>
            <w:tcW w:w="2520" w:type="dxa"/>
            <w:vMerge/>
            <w:shd w:val="clear" w:color="auto" w:fill="D9D9D9" w:themeFill="background1" w:themeFillShade="D9"/>
            <w:vAlign w:val="center"/>
          </w:tcPr>
          <w:p w:rsidRPr="00544542" w:rsidR="00E4589E" w:rsidP="00732B1E" w:rsidRDefault="00E4589E" w14:paraId="361CA538" w14:textId="77777777">
            <w:pPr>
              <w:keepNext/>
              <w:autoSpaceDE w:val="0"/>
              <w:autoSpaceDN w:val="0"/>
              <w:adjustRightInd w:val="0"/>
              <w:rPr>
                <w:rFonts w:ascii="Arial" w:hAnsi="Arial" w:cs="Arial"/>
                <w:sz w:val="20"/>
                <w:szCs w:val="20"/>
                <w:lang w:val="es-ES"/>
              </w:rPr>
            </w:pPr>
          </w:p>
        </w:tc>
        <w:tc>
          <w:tcPr>
            <w:tcW w:w="1710" w:type="dxa"/>
            <w:vMerge/>
            <w:shd w:val="clear" w:color="auto" w:fill="D9D9D9" w:themeFill="background1" w:themeFillShade="D9"/>
            <w:vAlign w:val="center"/>
          </w:tcPr>
          <w:p w:rsidRPr="00255351" w:rsidR="00E4589E" w:rsidP="00732B1E" w:rsidRDefault="00E4589E" w14:paraId="03FB20CD" w14:textId="77777777">
            <w:pPr>
              <w:keepNext/>
              <w:autoSpaceDE w:val="0"/>
              <w:autoSpaceDN w:val="0"/>
              <w:adjustRightInd w:val="0"/>
              <w:jc w:val="center"/>
              <w:rPr>
                <w:rFonts w:ascii="Arial" w:hAnsi="Arial" w:cs="Arial"/>
                <w:bCs/>
                <w:sz w:val="20"/>
                <w:szCs w:val="20"/>
                <w:lang w:val="es-CO"/>
              </w:rPr>
            </w:pPr>
          </w:p>
        </w:tc>
      </w:tr>
      <w:tr w:rsidRPr="00255351" w:rsidR="00E4589E" w:rsidTr="00732B1E" w14:paraId="6921DB31" w14:textId="77777777">
        <w:trPr>
          <w:trHeight w:val="144"/>
          <w:jc w:val="center"/>
        </w:trPr>
        <w:tc>
          <w:tcPr>
            <w:tcW w:w="2245" w:type="dxa"/>
          </w:tcPr>
          <w:p w:rsidRPr="00255351" w:rsidR="00E4589E" w:rsidP="00732B1E" w:rsidRDefault="00E4589E" w14:paraId="5223E0C5" w14:textId="77777777">
            <w:pPr>
              <w:keepNext/>
              <w:autoSpaceDE w:val="0"/>
              <w:autoSpaceDN w:val="0"/>
              <w:adjustRightInd w:val="0"/>
              <w:rPr>
                <w:rFonts w:ascii="Arial" w:hAnsi="Arial" w:cs="Arial"/>
                <w:sz w:val="20"/>
                <w:szCs w:val="20"/>
                <w:highlight w:val="yellow"/>
                <w:lang w:val="es-CO"/>
              </w:rPr>
            </w:pPr>
            <w:r>
              <w:rPr>
                <w:rFonts w:ascii="Arial" w:hAnsi="Arial" w:cs="Arial"/>
                <w:sz w:val="20"/>
                <w:szCs w:val="20"/>
                <w:lang w:val="es-CO"/>
              </w:rPr>
              <w:t xml:space="preserve">1. </w:t>
            </w:r>
            <w:r w:rsidRPr="00255351">
              <w:rPr>
                <w:rFonts w:ascii="Arial" w:hAnsi="Arial" w:cs="Arial"/>
                <w:sz w:val="20"/>
                <w:szCs w:val="20"/>
                <w:lang w:val="es-CO"/>
              </w:rPr>
              <w:t xml:space="preserve">Ahorro </w:t>
            </w:r>
            <w:r>
              <w:rPr>
                <w:rFonts w:ascii="Arial" w:hAnsi="Arial" w:cs="Arial"/>
                <w:sz w:val="20"/>
                <w:szCs w:val="20"/>
                <w:lang w:val="es-CO"/>
              </w:rPr>
              <w:t xml:space="preserve">por valores máximos de recobro o techos presupuestales </w:t>
            </w:r>
            <w:r w:rsidRPr="00255351">
              <w:rPr>
                <w:rFonts w:ascii="Arial" w:hAnsi="Arial" w:cs="Arial"/>
                <w:sz w:val="20"/>
                <w:szCs w:val="20"/>
                <w:lang w:val="es-CO"/>
              </w:rPr>
              <w:t>en servicios y tecnologías no financiadas con la UPC en régimen contributivo</w:t>
            </w:r>
          </w:p>
        </w:tc>
        <w:tc>
          <w:tcPr>
            <w:tcW w:w="1260" w:type="dxa"/>
          </w:tcPr>
          <w:p w:rsidRPr="00255351" w:rsidR="00E4589E" w:rsidP="00732B1E" w:rsidRDefault="00E4589E" w14:paraId="4572B896" w14:textId="77777777">
            <w:pPr>
              <w:keepNext/>
              <w:autoSpaceDE w:val="0"/>
              <w:autoSpaceDN w:val="0"/>
              <w:adjustRightInd w:val="0"/>
              <w:jc w:val="center"/>
              <w:rPr>
                <w:rFonts w:ascii="Arial" w:hAnsi="Arial" w:cs="Arial"/>
                <w:bCs/>
                <w:sz w:val="20"/>
                <w:szCs w:val="20"/>
                <w:lang w:val="es-CO"/>
              </w:rPr>
            </w:pPr>
            <w:r>
              <w:rPr>
                <w:rFonts w:ascii="Arial" w:hAnsi="Arial" w:cs="Arial"/>
                <w:bCs/>
                <w:sz w:val="20"/>
                <w:szCs w:val="20"/>
                <w:lang w:val="es-CO"/>
              </w:rPr>
              <w:t>Miles de millones COP</w:t>
            </w:r>
          </w:p>
        </w:tc>
        <w:tc>
          <w:tcPr>
            <w:tcW w:w="1260" w:type="dxa"/>
            <w:vMerge w:val="restart"/>
            <w:vAlign w:val="center"/>
          </w:tcPr>
          <w:p w:rsidRPr="00255351" w:rsidR="00E4589E" w:rsidP="00732B1E" w:rsidRDefault="00E4589E" w14:paraId="5D203638" w14:textId="77777777">
            <w:pPr>
              <w:keepNext/>
              <w:autoSpaceDE w:val="0"/>
              <w:autoSpaceDN w:val="0"/>
              <w:adjustRightInd w:val="0"/>
              <w:jc w:val="center"/>
              <w:rPr>
                <w:rFonts w:ascii="Arial" w:hAnsi="Arial" w:cs="Arial"/>
                <w:bCs/>
                <w:sz w:val="20"/>
                <w:szCs w:val="20"/>
                <w:lang w:val="es-CO"/>
              </w:rPr>
            </w:pPr>
            <w:r>
              <w:rPr>
                <w:rFonts w:ascii="Arial" w:hAnsi="Arial" w:cs="Arial"/>
                <w:sz w:val="20"/>
                <w:szCs w:val="20"/>
                <w:lang w:val="es-CO"/>
              </w:rPr>
              <w:t>0</w:t>
            </w:r>
          </w:p>
        </w:tc>
        <w:tc>
          <w:tcPr>
            <w:tcW w:w="720" w:type="dxa"/>
            <w:vMerge w:val="restart"/>
            <w:vAlign w:val="center"/>
          </w:tcPr>
          <w:p w:rsidRPr="00255351" w:rsidR="00E4589E" w:rsidP="00732B1E" w:rsidRDefault="00E4589E" w14:paraId="37CCF97B" w14:textId="77777777">
            <w:pPr>
              <w:keepNext/>
              <w:autoSpaceDE w:val="0"/>
              <w:autoSpaceDN w:val="0"/>
              <w:adjustRightInd w:val="0"/>
              <w:jc w:val="center"/>
              <w:rPr>
                <w:rFonts w:ascii="Arial" w:hAnsi="Arial" w:cs="Arial"/>
                <w:bCs/>
                <w:sz w:val="20"/>
                <w:szCs w:val="20"/>
                <w:lang w:val="es-CO"/>
              </w:rPr>
            </w:pPr>
            <w:r w:rsidRPr="00255351">
              <w:rPr>
                <w:rFonts w:ascii="Arial" w:hAnsi="Arial" w:cs="Arial"/>
                <w:bCs/>
                <w:sz w:val="20"/>
                <w:szCs w:val="20"/>
                <w:lang w:val="es-CO"/>
              </w:rPr>
              <w:t>2018</w:t>
            </w:r>
          </w:p>
        </w:tc>
        <w:tc>
          <w:tcPr>
            <w:tcW w:w="990" w:type="dxa"/>
            <w:vAlign w:val="center"/>
          </w:tcPr>
          <w:p w:rsidRPr="00255351" w:rsidR="00E4589E" w:rsidP="00732B1E" w:rsidRDefault="00E4589E" w14:paraId="4D8BB62E" w14:textId="77777777">
            <w:pPr>
              <w:keepNext/>
              <w:autoSpaceDE w:val="0"/>
              <w:autoSpaceDN w:val="0"/>
              <w:adjustRightInd w:val="0"/>
              <w:jc w:val="center"/>
              <w:rPr>
                <w:rFonts w:ascii="Arial" w:hAnsi="Arial" w:cs="Arial"/>
                <w:bCs/>
                <w:sz w:val="20"/>
                <w:szCs w:val="20"/>
                <w:lang w:val="es-CO"/>
              </w:rPr>
            </w:pPr>
            <w:r>
              <w:rPr>
                <w:rFonts w:ascii="Arial" w:hAnsi="Arial" w:cs="Arial"/>
                <w:sz w:val="20"/>
                <w:szCs w:val="20"/>
                <w:lang w:val="es-CO"/>
              </w:rPr>
              <w:t>2</w:t>
            </w:r>
            <w:r w:rsidRPr="00255351">
              <w:rPr>
                <w:rFonts w:ascii="Arial" w:hAnsi="Arial" w:cs="Arial"/>
                <w:sz w:val="20"/>
                <w:szCs w:val="20"/>
                <w:lang w:val="es-CO"/>
              </w:rPr>
              <w:t>0</w:t>
            </w:r>
          </w:p>
        </w:tc>
        <w:tc>
          <w:tcPr>
            <w:tcW w:w="990" w:type="dxa"/>
            <w:vAlign w:val="center"/>
          </w:tcPr>
          <w:p w:rsidRPr="00255351" w:rsidR="00E4589E" w:rsidP="00732B1E" w:rsidRDefault="00E4589E" w14:paraId="03D8DC08" w14:textId="77777777">
            <w:pPr>
              <w:keepNext/>
              <w:autoSpaceDE w:val="0"/>
              <w:autoSpaceDN w:val="0"/>
              <w:adjustRightInd w:val="0"/>
              <w:jc w:val="center"/>
              <w:rPr>
                <w:rFonts w:ascii="Arial" w:hAnsi="Arial" w:cs="Arial"/>
                <w:bCs/>
                <w:sz w:val="20"/>
                <w:szCs w:val="20"/>
                <w:lang w:val="es-CO"/>
              </w:rPr>
            </w:pPr>
            <w:r w:rsidRPr="00255351">
              <w:rPr>
                <w:rFonts w:ascii="Arial" w:hAnsi="Arial" w:cs="Arial"/>
                <w:sz w:val="20"/>
                <w:szCs w:val="20"/>
                <w:lang w:val="es-CO"/>
              </w:rPr>
              <w:t>1</w:t>
            </w:r>
            <w:r>
              <w:rPr>
                <w:rFonts w:ascii="Arial" w:hAnsi="Arial" w:cs="Arial"/>
                <w:sz w:val="20"/>
                <w:szCs w:val="20"/>
                <w:lang w:val="es-CO"/>
              </w:rPr>
              <w:t>5</w:t>
            </w:r>
            <w:r w:rsidRPr="00255351">
              <w:rPr>
                <w:rFonts w:ascii="Arial" w:hAnsi="Arial" w:cs="Arial"/>
                <w:sz w:val="20"/>
                <w:szCs w:val="20"/>
                <w:lang w:val="es-CO"/>
              </w:rPr>
              <w:t>0</w:t>
            </w:r>
          </w:p>
        </w:tc>
        <w:tc>
          <w:tcPr>
            <w:tcW w:w="990" w:type="dxa"/>
            <w:vAlign w:val="center"/>
          </w:tcPr>
          <w:p w:rsidRPr="00255351" w:rsidR="00E4589E" w:rsidP="00732B1E" w:rsidRDefault="00E4589E" w14:paraId="317DBFCD" w14:textId="77777777">
            <w:pPr>
              <w:keepNext/>
              <w:autoSpaceDE w:val="0"/>
              <w:autoSpaceDN w:val="0"/>
              <w:adjustRightInd w:val="0"/>
              <w:jc w:val="center"/>
              <w:rPr>
                <w:rFonts w:ascii="Arial" w:hAnsi="Arial" w:cs="Arial"/>
                <w:bCs/>
                <w:sz w:val="20"/>
                <w:szCs w:val="20"/>
                <w:lang w:val="es-CO"/>
              </w:rPr>
            </w:pPr>
            <w:r w:rsidRPr="00255351">
              <w:rPr>
                <w:rFonts w:ascii="Arial" w:hAnsi="Arial" w:cs="Arial"/>
                <w:sz w:val="20"/>
                <w:szCs w:val="20"/>
                <w:lang w:val="es-CO"/>
              </w:rPr>
              <w:t>250</w:t>
            </w:r>
          </w:p>
        </w:tc>
        <w:tc>
          <w:tcPr>
            <w:tcW w:w="1080" w:type="dxa"/>
            <w:vAlign w:val="center"/>
          </w:tcPr>
          <w:p w:rsidRPr="00255351" w:rsidR="00E4589E" w:rsidP="00732B1E" w:rsidRDefault="00E4589E" w14:paraId="4033EB59" w14:textId="77777777">
            <w:pPr>
              <w:keepNext/>
              <w:autoSpaceDE w:val="0"/>
              <w:autoSpaceDN w:val="0"/>
              <w:adjustRightInd w:val="0"/>
              <w:jc w:val="center"/>
              <w:rPr>
                <w:rFonts w:ascii="Arial" w:hAnsi="Arial" w:cs="Arial"/>
                <w:bCs/>
                <w:sz w:val="20"/>
                <w:szCs w:val="20"/>
                <w:lang w:val="es-CO"/>
              </w:rPr>
            </w:pPr>
            <w:r w:rsidRPr="00255351">
              <w:rPr>
                <w:rFonts w:ascii="Arial" w:hAnsi="Arial" w:cs="Arial"/>
                <w:sz w:val="20"/>
                <w:szCs w:val="20"/>
                <w:lang w:val="es-CO"/>
              </w:rPr>
              <w:t>250</w:t>
            </w:r>
          </w:p>
        </w:tc>
        <w:tc>
          <w:tcPr>
            <w:tcW w:w="2520" w:type="dxa"/>
            <w:vAlign w:val="center"/>
          </w:tcPr>
          <w:p w:rsidRPr="00255351" w:rsidR="00E4589E" w:rsidP="00732B1E" w:rsidRDefault="00E4589E" w14:paraId="22D880F0" w14:textId="22572222">
            <w:pPr>
              <w:keepNext/>
              <w:autoSpaceDE w:val="0"/>
              <w:autoSpaceDN w:val="0"/>
              <w:adjustRightInd w:val="0"/>
              <w:jc w:val="center"/>
              <w:rPr>
                <w:rFonts w:ascii="Arial" w:hAnsi="Arial" w:cs="Arial"/>
                <w:bCs/>
                <w:sz w:val="20"/>
                <w:szCs w:val="20"/>
                <w:lang w:val="es-CO"/>
              </w:rPr>
            </w:pPr>
            <w:r w:rsidRPr="00544542">
              <w:rPr>
                <w:rFonts w:ascii="Arial" w:hAnsi="Arial" w:cs="Arial"/>
                <w:sz w:val="20"/>
                <w:szCs w:val="20"/>
                <w:lang w:val="es-ES"/>
              </w:rPr>
              <w:t>Base de datos de recobros de la Administradora de los Recursos del Sistema General de Seguridad Social en Salud (ADRES), posterior a la estandarización realizada por la Dirección de Beneficios, Costos y Tarifas del Aseguramiento en Salud del MSPS.</w:t>
            </w:r>
            <w:r>
              <w:rPr>
                <w:rFonts w:ascii="Arial" w:hAnsi="Arial" w:cs="Arial"/>
                <w:sz w:val="20"/>
                <w:szCs w:val="20"/>
                <w:lang w:val="es-ES"/>
              </w:rPr>
              <w:t xml:space="preserve"> </w:t>
            </w:r>
          </w:p>
        </w:tc>
        <w:tc>
          <w:tcPr>
            <w:tcW w:w="1710" w:type="dxa"/>
            <w:vAlign w:val="center"/>
          </w:tcPr>
          <w:p w:rsidRPr="00255351" w:rsidR="00E4589E" w:rsidP="00732B1E" w:rsidRDefault="00E4589E" w14:paraId="66D7353A" w14:textId="77777777">
            <w:pPr>
              <w:keepNext/>
              <w:autoSpaceDE w:val="0"/>
              <w:autoSpaceDN w:val="0"/>
              <w:adjustRightInd w:val="0"/>
              <w:jc w:val="center"/>
              <w:rPr>
                <w:rFonts w:ascii="Arial" w:hAnsi="Arial" w:cs="Arial"/>
                <w:bCs/>
                <w:sz w:val="20"/>
                <w:szCs w:val="20"/>
                <w:lang w:val="es-CO"/>
              </w:rPr>
            </w:pPr>
            <w:r w:rsidRPr="00255351">
              <w:rPr>
                <w:rFonts w:ascii="Arial" w:hAnsi="Arial" w:cs="Arial"/>
                <w:bCs/>
                <w:sz w:val="20"/>
                <w:szCs w:val="20"/>
                <w:lang w:val="es-CO"/>
              </w:rPr>
              <w:t>S</w:t>
            </w:r>
            <w:r>
              <w:rPr>
                <w:rFonts w:ascii="Arial" w:hAnsi="Arial" w:cs="Arial"/>
                <w:bCs/>
                <w:sz w:val="20"/>
                <w:szCs w:val="20"/>
                <w:lang w:val="es-CO"/>
              </w:rPr>
              <w:t>í</w:t>
            </w:r>
          </w:p>
        </w:tc>
      </w:tr>
      <w:tr w:rsidRPr="00255351" w:rsidR="00E4589E" w:rsidTr="00732B1E" w14:paraId="3BF3AB1E" w14:textId="77777777">
        <w:trPr>
          <w:trHeight w:val="144"/>
          <w:jc w:val="center"/>
        </w:trPr>
        <w:tc>
          <w:tcPr>
            <w:tcW w:w="2245" w:type="dxa"/>
            <w:shd w:val="clear" w:color="auto" w:fill="auto"/>
          </w:tcPr>
          <w:p w:rsidRPr="008033BE" w:rsidR="00E4589E" w:rsidP="00732B1E" w:rsidRDefault="00E4589E" w14:paraId="52E2E0EF" w14:textId="03C5387D">
            <w:pPr>
              <w:autoSpaceDE w:val="0"/>
              <w:autoSpaceDN w:val="0"/>
              <w:adjustRightInd w:val="0"/>
              <w:rPr>
                <w:rFonts w:ascii="Arial" w:hAnsi="Arial" w:cs="Arial"/>
                <w:bCs/>
                <w:smallCaps/>
                <w:sz w:val="20"/>
                <w:szCs w:val="20"/>
                <w:lang w:val="es-CO"/>
              </w:rPr>
            </w:pPr>
            <w:r>
              <w:rPr>
                <w:rFonts w:ascii="Arial" w:hAnsi="Arial" w:cs="Arial"/>
                <w:sz w:val="20"/>
                <w:szCs w:val="20"/>
                <w:lang w:val="es-CO"/>
              </w:rPr>
              <w:t xml:space="preserve">2. </w:t>
            </w:r>
            <w:r w:rsidRPr="008033BE">
              <w:rPr>
                <w:rFonts w:ascii="Arial" w:hAnsi="Arial" w:cs="Arial"/>
                <w:sz w:val="20"/>
                <w:szCs w:val="20"/>
                <w:lang w:val="es-CO"/>
              </w:rPr>
              <w:t xml:space="preserve">Porcentaje de recobros por concepto de tecnologías no financiadas con la UPC del régimen contributivo prestados a </w:t>
            </w:r>
            <w:r w:rsidR="00C15A28">
              <w:rPr>
                <w:rFonts w:ascii="Arial" w:hAnsi="Arial" w:cs="Arial"/>
                <w:sz w:val="20"/>
                <w:szCs w:val="20"/>
                <w:lang w:val="es-CO"/>
              </w:rPr>
              <w:t>25</w:t>
            </w:r>
            <w:r w:rsidRPr="008033BE">
              <w:rPr>
                <w:rFonts w:ascii="Arial" w:hAnsi="Arial" w:cs="Arial"/>
                <w:sz w:val="20"/>
                <w:szCs w:val="20"/>
                <w:lang w:val="es-CO"/>
              </w:rPr>
              <w:t xml:space="preserve"> de </w:t>
            </w:r>
            <w:r w:rsidR="00C15A28">
              <w:rPr>
                <w:rFonts w:ascii="Arial" w:hAnsi="Arial" w:cs="Arial"/>
                <w:sz w:val="20"/>
                <w:szCs w:val="20"/>
                <w:lang w:val="es-CO"/>
              </w:rPr>
              <w:t>mayo</w:t>
            </w:r>
            <w:r w:rsidRPr="008033BE">
              <w:rPr>
                <w:rFonts w:ascii="Arial" w:hAnsi="Arial" w:cs="Arial"/>
                <w:sz w:val="20"/>
                <w:szCs w:val="20"/>
                <w:lang w:val="es-CO"/>
              </w:rPr>
              <w:t xml:space="preserve"> de 2019 saneados</w:t>
            </w:r>
          </w:p>
        </w:tc>
        <w:tc>
          <w:tcPr>
            <w:tcW w:w="1260" w:type="dxa"/>
            <w:vMerge w:val="restart"/>
            <w:shd w:val="clear" w:color="auto" w:fill="auto"/>
            <w:vAlign w:val="center"/>
          </w:tcPr>
          <w:p w:rsidRPr="001A45BE" w:rsidR="00E4589E" w:rsidP="00732B1E" w:rsidRDefault="00E4589E" w14:paraId="64DC0D82" w14:textId="77777777">
            <w:pPr>
              <w:autoSpaceDE w:val="0"/>
              <w:autoSpaceDN w:val="0"/>
              <w:adjustRightInd w:val="0"/>
              <w:jc w:val="center"/>
              <w:rPr>
                <w:rFonts w:ascii="Arial" w:hAnsi="Arial" w:cs="Arial"/>
                <w:bCs/>
                <w:sz w:val="18"/>
                <w:szCs w:val="18"/>
                <w:lang w:val="es-CO"/>
              </w:rPr>
            </w:pPr>
            <w:r w:rsidRPr="001A45BE">
              <w:rPr>
                <w:rFonts w:ascii="Arial" w:hAnsi="Arial" w:cs="Arial"/>
                <w:bCs/>
                <w:sz w:val="18"/>
                <w:szCs w:val="18"/>
                <w:lang w:val="es-CO"/>
              </w:rPr>
              <w:t>Porcentaje</w:t>
            </w:r>
          </w:p>
        </w:tc>
        <w:tc>
          <w:tcPr>
            <w:tcW w:w="1260" w:type="dxa"/>
            <w:vMerge/>
            <w:shd w:val="clear" w:color="auto" w:fill="auto"/>
          </w:tcPr>
          <w:p w:rsidRPr="008033BE" w:rsidR="00E4589E" w:rsidP="00732B1E" w:rsidRDefault="00E4589E" w14:paraId="68FF2883" w14:textId="77777777">
            <w:pPr>
              <w:autoSpaceDE w:val="0"/>
              <w:autoSpaceDN w:val="0"/>
              <w:adjustRightInd w:val="0"/>
              <w:jc w:val="center"/>
              <w:rPr>
                <w:rFonts w:ascii="Arial" w:hAnsi="Arial" w:cs="Arial"/>
                <w:bCs/>
                <w:sz w:val="20"/>
                <w:szCs w:val="20"/>
                <w:lang w:val="es-CO"/>
              </w:rPr>
            </w:pPr>
          </w:p>
        </w:tc>
        <w:tc>
          <w:tcPr>
            <w:tcW w:w="720" w:type="dxa"/>
            <w:vMerge/>
            <w:shd w:val="clear" w:color="auto" w:fill="auto"/>
            <w:vAlign w:val="center"/>
          </w:tcPr>
          <w:p w:rsidRPr="008033BE" w:rsidR="00E4589E" w:rsidP="00732B1E" w:rsidRDefault="00E4589E" w14:paraId="1FC22633" w14:textId="77777777">
            <w:pPr>
              <w:autoSpaceDE w:val="0"/>
              <w:autoSpaceDN w:val="0"/>
              <w:adjustRightInd w:val="0"/>
              <w:jc w:val="center"/>
              <w:rPr>
                <w:rFonts w:ascii="Arial" w:hAnsi="Arial" w:cs="Arial"/>
                <w:bCs/>
                <w:sz w:val="20"/>
                <w:szCs w:val="20"/>
                <w:lang w:val="es-CO"/>
              </w:rPr>
            </w:pPr>
          </w:p>
        </w:tc>
        <w:tc>
          <w:tcPr>
            <w:tcW w:w="990" w:type="dxa"/>
            <w:shd w:val="clear" w:color="auto" w:fill="auto"/>
            <w:vAlign w:val="center"/>
          </w:tcPr>
          <w:p w:rsidRPr="008033BE" w:rsidR="00E4589E" w:rsidP="00732B1E" w:rsidRDefault="00E4589E" w14:paraId="7640289F" w14:textId="77777777">
            <w:pPr>
              <w:autoSpaceDE w:val="0"/>
              <w:autoSpaceDN w:val="0"/>
              <w:adjustRightInd w:val="0"/>
              <w:jc w:val="center"/>
              <w:rPr>
                <w:rFonts w:ascii="Arial" w:hAnsi="Arial" w:cs="Arial"/>
                <w:bCs/>
                <w:sz w:val="20"/>
                <w:szCs w:val="20"/>
                <w:lang w:val="es-CO"/>
              </w:rPr>
            </w:pPr>
            <w:r w:rsidRPr="008033BE">
              <w:rPr>
                <w:rFonts w:ascii="Arial" w:hAnsi="Arial" w:cs="Arial"/>
                <w:bCs/>
                <w:sz w:val="20"/>
                <w:szCs w:val="20"/>
                <w:lang w:val="es-CO"/>
              </w:rPr>
              <w:t>25</w:t>
            </w:r>
          </w:p>
        </w:tc>
        <w:tc>
          <w:tcPr>
            <w:tcW w:w="990" w:type="dxa"/>
            <w:shd w:val="clear" w:color="auto" w:fill="auto"/>
            <w:vAlign w:val="center"/>
          </w:tcPr>
          <w:p w:rsidRPr="008033BE" w:rsidR="00E4589E" w:rsidP="00732B1E" w:rsidRDefault="00E4589E" w14:paraId="16636183" w14:textId="77777777">
            <w:pPr>
              <w:autoSpaceDE w:val="0"/>
              <w:autoSpaceDN w:val="0"/>
              <w:adjustRightInd w:val="0"/>
              <w:jc w:val="center"/>
              <w:rPr>
                <w:rFonts w:ascii="Arial" w:hAnsi="Arial" w:cs="Arial"/>
                <w:bCs/>
                <w:sz w:val="20"/>
                <w:szCs w:val="20"/>
                <w:lang w:val="es-CO"/>
              </w:rPr>
            </w:pPr>
            <w:r w:rsidRPr="008033BE">
              <w:rPr>
                <w:rFonts w:ascii="Arial" w:hAnsi="Arial" w:cs="Arial"/>
                <w:bCs/>
                <w:sz w:val="20"/>
                <w:szCs w:val="20"/>
                <w:lang w:val="es-CO"/>
              </w:rPr>
              <w:t>50</w:t>
            </w:r>
          </w:p>
        </w:tc>
        <w:tc>
          <w:tcPr>
            <w:tcW w:w="990" w:type="dxa"/>
            <w:shd w:val="clear" w:color="auto" w:fill="auto"/>
            <w:vAlign w:val="center"/>
          </w:tcPr>
          <w:p w:rsidRPr="008033BE" w:rsidR="00E4589E" w:rsidP="00732B1E" w:rsidRDefault="00E4589E" w14:paraId="7DA09AE7" w14:textId="77777777">
            <w:pPr>
              <w:autoSpaceDE w:val="0"/>
              <w:autoSpaceDN w:val="0"/>
              <w:adjustRightInd w:val="0"/>
              <w:jc w:val="center"/>
              <w:rPr>
                <w:rFonts w:ascii="Arial" w:hAnsi="Arial" w:cs="Arial"/>
                <w:bCs/>
                <w:sz w:val="20"/>
                <w:szCs w:val="20"/>
                <w:lang w:val="es-CO"/>
              </w:rPr>
            </w:pPr>
            <w:r w:rsidRPr="008033BE">
              <w:rPr>
                <w:rFonts w:ascii="Arial" w:hAnsi="Arial" w:cs="Arial"/>
                <w:bCs/>
                <w:sz w:val="20"/>
                <w:szCs w:val="20"/>
                <w:lang w:val="es-CO"/>
              </w:rPr>
              <w:t>75</w:t>
            </w:r>
          </w:p>
        </w:tc>
        <w:tc>
          <w:tcPr>
            <w:tcW w:w="1080" w:type="dxa"/>
            <w:shd w:val="clear" w:color="auto" w:fill="auto"/>
            <w:vAlign w:val="center"/>
          </w:tcPr>
          <w:p w:rsidRPr="008033BE" w:rsidR="00E4589E" w:rsidP="00732B1E" w:rsidRDefault="00E4589E" w14:paraId="15639897" w14:textId="77777777">
            <w:pPr>
              <w:autoSpaceDE w:val="0"/>
              <w:autoSpaceDN w:val="0"/>
              <w:adjustRightInd w:val="0"/>
              <w:jc w:val="center"/>
              <w:rPr>
                <w:rFonts w:ascii="Arial" w:hAnsi="Arial" w:cs="Arial"/>
                <w:bCs/>
                <w:sz w:val="20"/>
                <w:szCs w:val="20"/>
                <w:lang w:val="es-CO"/>
              </w:rPr>
            </w:pPr>
            <w:r w:rsidRPr="008033BE">
              <w:rPr>
                <w:rFonts w:ascii="Arial" w:hAnsi="Arial" w:cs="Arial"/>
                <w:bCs/>
                <w:sz w:val="20"/>
                <w:szCs w:val="20"/>
                <w:lang w:val="es-CO"/>
              </w:rPr>
              <w:t>100</w:t>
            </w:r>
          </w:p>
        </w:tc>
        <w:tc>
          <w:tcPr>
            <w:tcW w:w="2520" w:type="dxa"/>
            <w:vMerge w:val="restart"/>
            <w:shd w:val="clear" w:color="auto" w:fill="auto"/>
            <w:vAlign w:val="center"/>
          </w:tcPr>
          <w:p w:rsidRPr="008033BE" w:rsidR="00E4589E" w:rsidP="00732B1E" w:rsidRDefault="00E4589E" w14:paraId="28E19852" w14:textId="77777777">
            <w:pPr>
              <w:autoSpaceDE w:val="0"/>
              <w:autoSpaceDN w:val="0"/>
              <w:adjustRightInd w:val="0"/>
              <w:rPr>
                <w:rFonts w:ascii="Arial" w:hAnsi="Arial" w:cs="Arial"/>
                <w:bCs/>
                <w:sz w:val="20"/>
                <w:szCs w:val="20"/>
                <w:lang w:val="es-CO"/>
              </w:rPr>
            </w:pPr>
            <w:r w:rsidRPr="008033BE">
              <w:rPr>
                <w:rFonts w:ascii="Arial" w:hAnsi="Arial" w:cs="Arial"/>
                <w:bCs/>
                <w:sz w:val="20"/>
                <w:szCs w:val="20"/>
                <w:lang w:val="es-CO"/>
              </w:rPr>
              <w:t>Informe de ejecución del acuerdo de punto final</w:t>
            </w:r>
            <w:r>
              <w:rPr>
                <w:rFonts w:ascii="Arial" w:hAnsi="Arial" w:cs="Arial"/>
                <w:bCs/>
                <w:sz w:val="20"/>
                <w:szCs w:val="20"/>
                <w:lang w:val="es-CO"/>
              </w:rPr>
              <w:t xml:space="preserve"> por parte de la Dirección de Financiamiento Sectorial del MSPS.</w:t>
            </w:r>
          </w:p>
        </w:tc>
        <w:tc>
          <w:tcPr>
            <w:tcW w:w="1710" w:type="dxa"/>
            <w:vMerge w:val="restart"/>
            <w:shd w:val="clear" w:color="auto" w:fill="auto"/>
            <w:vAlign w:val="center"/>
          </w:tcPr>
          <w:p w:rsidRPr="008033BE" w:rsidR="00E4589E" w:rsidP="00732B1E" w:rsidRDefault="00E4589E" w14:paraId="719D55DB" w14:textId="77777777">
            <w:pPr>
              <w:autoSpaceDE w:val="0"/>
              <w:autoSpaceDN w:val="0"/>
              <w:adjustRightInd w:val="0"/>
              <w:jc w:val="center"/>
              <w:rPr>
                <w:rFonts w:ascii="Arial" w:hAnsi="Arial" w:cs="Arial"/>
                <w:bCs/>
                <w:sz w:val="20"/>
                <w:szCs w:val="20"/>
                <w:lang w:val="es-CO"/>
              </w:rPr>
            </w:pPr>
            <w:r w:rsidRPr="008033BE">
              <w:rPr>
                <w:rFonts w:ascii="Arial" w:hAnsi="Arial" w:cs="Arial"/>
                <w:bCs/>
                <w:sz w:val="20"/>
                <w:szCs w:val="20"/>
                <w:lang w:val="es-CO"/>
              </w:rPr>
              <w:t>No</w:t>
            </w:r>
          </w:p>
        </w:tc>
      </w:tr>
      <w:tr w:rsidRPr="009D3284" w:rsidR="00E4589E" w:rsidTr="00732B1E" w14:paraId="3744AD5C" w14:textId="77777777">
        <w:trPr>
          <w:trHeight w:val="144"/>
          <w:jc w:val="center"/>
        </w:trPr>
        <w:tc>
          <w:tcPr>
            <w:tcW w:w="2245" w:type="dxa"/>
          </w:tcPr>
          <w:p w:rsidRPr="009D3284" w:rsidR="00E4589E" w:rsidP="00732B1E" w:rsidRDefault="00E4589E" w14:paraId="0DF881C8" w14:textId="77777777">
            <w:pPr>
              <w:autoSpaceDE w:val="0"/>
              <w:autoSpaceDN w:val="0"/>
              <w:adjustRightInd w:val="0"/>
              <w:rPr>
                <w:rFonts w:ascii="Arial" w:hAnsi="Arial" w:cs="Arial"/>
                <w:sz w:val="20"/>
                <w:szCs w:val="20"/>
                <w:lang w:val="es-CO"/>
              </w:rPr>
            </w:pPr>
            <w:r>
              <w:rPr>
                <w:rFonts w:ascii="Arial" w:hAnsi="Arial" w:cs="Arial"/>
                <w:sz w:val="20"/>
                <w:szCs w:val="20"/>
                <w:lang w:val="es-CO"/>
              </w:rPr>
              <w:t xml:space="preserve">3. </w:t>
            </w:r>
            <w:r w:rsidRPr="009D3284">
              <w:rPr>
                <w:rFonts w:ascii="Arial" w:hAnsi="Arial" w:cs="Arial"/>
                <w:sz w:val="20"/>
                <w:szCs w:val="20"/>
                <w:lang w:val="es-CO"/>
              </w:rPr>
              <w:t>Porcentaje de cuentas por pagar de las entidades territoriales por concepto de tecnologías no financiados con cargo a la UPC del régimen subsidiado prestados a 31 de diciembre de 2019 pagadas</w:t>
            </w:r>
          </w:p>
        </w:tc>
        <w:tc>
          <w:tcPr>
            <w:tcW w:w="1260" w:type="dxa"/>
            <w:vMerge/>
          </w:tcPr>
          <w:p w:rsidR="00E4589E" w:rsidP="00732B1E" w:rsidRDefault="00E4589E" w14:paraId="11978E01" w14:textId="77777777">
            <w:pPr>
              <w:autoSpaceDE w:val="0"/>
              <w:autoSpaceDN w:val="0"/>
              <w:adjustRightInd w:val="0"/>
              <w:jc w:val="center"/>
              <w:rPr>
                <w:rFonts w:ascii="Arial" w:hAnsi="Arial" w:cs="Arial"/>
                <w:bCs/>
                <w:sz w:val="20"/>
                <w:szCs w:val="20"/>
                <w:lang w:val="es-CO"/>
              </w:rPr>
            </w:pPr>
          </w:p>
        </w:tc>
        <w:tc>
          <w:tcPr>
            <w:tcW w:w="1260" w:type="dxa"/>
            <w:vMerge/>
          </w:tcPr>
          <w:p w:rsidRPr="00255351" w:rsidR="00E4589E" w:rsidP="00732B1E" w:rsidRDefault="00E4589E" w14:paraId="7E2F869D" w14:textId="77777777">
            <w:pPr>
              <w:autoSpaceDE w:val="0"/>
              <w:autoSpaceDN w:val="0"/>
              <w:adjustRightInd w:val="0"/>
              <w:jc w:val="center"/>
              <w:rPr>
                <w:rFonts w:ascii="Arial" w:hAnsi="Arial" w:cs="Arial"/>
                <w:bCs/>
                <w:sz w:val="20"/>
                <w:szCs w:val="20"/>
                <w:lang w:val="es-CO"/>
              </w:rPr>
            </w:pPr>
          </w:p>
        </w:tc>
        <w:tc>
          <w:tcPr>
            <w:tcW w:w="720" w:type="dxa"/>
            <w:vMerge/>
            <w:vAlign w:val="center"/>
          </w:tcPr>
          <w:p w:rsidRPr="00255351" w:rsidR="00E4589E" w:rsidP="00732B1E" w:rsidRDefault="00E4589E" w14:paraId="004C3577" w14:textId="77777777">
            <w:pPr>
              <w:autoSpaceDE w:val="0"/>
              <w:autoSpaceDN w:val="0"/>
              <w:adjustRightInd w:val="0"/>
              <w:jc w:val="center"/>
              <w:rPr>
                <w:rFonts w:ascii="Arial" w:hAnsi="Arial" w:cs="Arial"/>
                <w:bCs/>
                <w:sz w:val="20"/>
                <w:szCs w:val="20"/>
                <w:lang w:val="es-CO"/>
              </w:rPr>
            </w:pPr>
          </w:p>
        </w:tc>
        <w:tc>
          <w:tcPr>
            <w:tcW w:w="990" w:type="dxa"/>
            <w:vAlign w:val="center"/>
          </w:tcPr>
          <w:p w:rsidR="00E4589E" w:rsidP="00732B1E" w:rsidRDefault="00E4589E" w14:paraId="06ABD699" w14:textId="77777777">
            <w:pPr>
              <w:autoSpaceDE w:val="0"/>
              <w:autoSpaceDN w:val="0"/>
              <w:adjustRightInd w:val="0"/>
              <w:jc w:val="center"/>
              <w:rPr>
                <w:rFonts w:ascii="Arial" w:hAnsi="Arial" w:cs="Arial"/>
                <w:bCs/>
                <w:sz w:val="20"/>
                <w:szCs w:val="20"/>
                <w:lang w:val="es-CO"/>
              </w:rPr>
            </w:pPr>
            <w:r>
              <w:rPr>
                <w:rFonts w:ascii="Arial" w:hAnsi="Arial" w:cs="Arial"/>
                <w:bCs/>
                <w:sz w:val="20"/>
                <w:szCs w:val="20"/>
                <w:lang w:val="es-CO"/>
              </w:rPr>
              <w:t>20</w:t>
            </w:r>
          </w:p>
        </w:tc>
        <w:tc>
          <w:tcPr>
            <w:tcW w:w="990" w:type="dxa"/>
            <w:vAlign w:val="center"/>
          </w:tcPr>
          <w:p w:rsidR="00E4589E" w:rsidP="00732B1E" w:rsidRDefault="00E4589E" w14:paraId="09546030" w14:textId="77777777">
            <w:pPr>
              <w:autoSpaceDE w:val="0"/>
              <w:autoSpaceDN w:val="0"/>
              <w:adjustRightInd w:val="0"/>
              <w:jc w:val="center"/>
              <w:rPr>
                <w:rFonts w:ascii="Arial" w:hAnsi="Arial" w:cs="Arial"/>
                <w:bCs/>
                <w:sz w:val="20"/>
                <w:szCs w:val="20"/>
                <w:lang w:val="es-CO"/>
              </w:rPr>
            </w:pPr>
            <w:r>
              <w:rPr>
                <w:rFonts w:ascii="Arial" w:hAnsi="Arial" w:cs="Arial"/>
                <w:bCs/>
                <w:sz w:val="20"/>
                <w:szCs w:val="20"/>
                <w:lang w:val="es-CO"/>
              </w:rPr>
              <w:t>40</w:t>
            </w:r>
          </w:p>
        </w:tc>
        <w:tc>
          <w:tcPr>
            <w:tcW w:w="990" w:type="dxa"/>
            <w:vAlign w:val="center"/>
          </w:tcPr>
          <w:p w:rsidR="00E4589E" w:rsidP="00732B1E" w:rsidRDefault="00E4589E" w14:paraId="04FAC090" w14:textId="77777777">
            <w:pPr>
              <w:autoSpaceDE w:val="0"/>
              <w:autoSpaceDN w:val="0"/>
              <w:adjustRightInd w:val="0"/>
              <w:jc w:val="center"/>
              <w:rPr>
                <w:rFonts w:ascii="Arial" w:hAnsi="Arial" w:cs="Arial"/>
                <w:bCs/>
                <w:sz w:val="20"/>
                <w:szCs w:val="20"/>
                <w:lang w:val="es-CO"/>
              </w:rPr>
            </w:pPr>
            <w:r>
              <w:rPr>
                <w:rFonts w:ascii="Arial" w:hAnsi="Arial" w:cs="Arial"/>
                <w:bCs/>
                <w:sz w:val="20"/>
                <w:szCs w:val="20"/>
                <w:lang w:val="es-CO"/>
              </w:rPr>
              <w:t>60</w:t>
            </w:r>
          </w:p>
        </w:tc>
        <w:tc>
          <w:tcPr>
            <w:tcW w:w="1080" w:type="dxa"/>
            <w:vAlign w:val="center"/>
          </w:tcPr>
          <w:p w:rsidR="00E4589E" w:rsidP="00732B1E" w:rsidRDefault="00E4589E" w14:paraId="22BA0233" w14:textId="77777777">
            <w:pPr>
              <w:autoSpaceDE w:val="0"/>
              <w:autoSpaceDN w:val="0"/>
              <w:adjustRightInd w:val="0"/>
              <w:jc w:val="center"/>
              <w:rPr>
                <w:rFonts w:ascii="Arial" w:hAnsi="Arial" w:cs="Arial"/>
                <w:bCs/>
                <w:sz w:val="20"/>
                <w:szCs w:val="20"/>
                <w:lang w:val="es-CO"/>
              </w:rPr>
            </w:pPr>
            <w:r>
              <w:rPr>
                <w:rFonts w:ascii="Arial" w:hAnsi="Arial" w:cs="Arial"/>
                <w:bCs/>
                <w:sz w:val="20"/>
                <w:szCs w:val="20"/>
                <w:lang w:val="es-CO"/>
              </w:rPr>
              <w:t>60</w:t>
            </w:r>
          </w:p>
        </w:tc>
        <w:tc>
          <w:tcPr>
            <w:tcW w:w="2520" w:type="dxa"/>
            <w:vMerge/>
            <w:vAlign w:val="center"/>
          </w:tcPr>
          <w:p w:rsidRPr="00255351" w:rsidR="00E4589E" w:rsidP="00732B1E" w:rsidRDefault="00E4589E" w14:paraId="54F31FB4" w14:textId="77777777">
            <w:pPr>
              <w:autoSpaceDE w:val="0"/>
              <w:autoSpaceDN w:val="0"/>
              <w:adjustRightInd w:val="0"/>
              <w:rPr>
                <w:rFonts w:ascii="Arial" w:hAnsi="Arial" w:cs="Arial"/>
                <w:bCs/>
                <w:sz w:val="20"/>
                <w:szCs w:val="20"/>
                <w:lang w:val="es-CO"/>
              </w:rPr>
            </w:pPr>
          </w:p>
        </w:tc>
        <w:tc>
          <w:tcPr>
            <w:tcW w:w="1710" w:type="dxa"/>
            <w:vMerge/>
            <w:vAlign w:val="center"/>
          </w:tcPr>
          <w:p w:rsidRPr="00255351" w:rsidR="00E4589E" w:rsidP="00732B1E" w:rsidRDefault="00E4589E" w14:paraId="0E142E66" w14:textId="77777777">
            <w:pPr>
              <w:autoSpaceDE w:val="0"/>
              <w:autoSpaceDN w:val="0"/>
              <w:adjustRightInd w:val="0"/>
              <w:jc w:val="center"/>
              <w:rPr>
                <w:rFonts w:ascii="Arial" w:hAnsi="Arial" w:cs="Arial"/>
                <w:bCs/>
                <w:sz w:val="20"/>
                <w:szCs w:val="20"/>
                <w:lang w:val="es-CO"/>
              </w:rPr>
            </w:pPr>
          </w:p>
        </w:tc>
      </w:tr>
      <w:tr w:rsidRPr="00255351" w:rsidR="00E4589E" w:rsidTr="00732B1E" w14:paraId="5DBE5105" w14:textId="77777777">
        <w:trPr>
          <w:trHeight w:val="144"/>
          <w:jc w:val="center"/>
        </w:trPr>
        <w:tc>
          <w:tcPr>
            <w:tcW w:w="2245" w:type="dxa"/>
          </w:tcPr>
          <w:p w:rsidRPr="00DB6A5F" w:rsidR="00E4589E" w:rsidP="00732B1E" w:rsidRDefault="00E4589E" w14:paraId="60BB8600" w14:textId="4014C77C">
            <w:pPr>
              <w:autoSpaceDE w:val="0"/>
              <w:autoSpaceDN w:val="0"/>
              <w:adjustRightInd w:val="0"/>
              <w:rPr>
                <w:rFonts w:ascii="Arial" w:hAnsi="Arial" w:cs="Arial"/>
                <w:sz w:val="20"/>
                <w:szCs w:val="20"/>
                <w:lang w:val="es-CO"/>
              </w:rPr>
            </w:pPr>
            <w:r>
              <w:rPr>
                <w:rFonts w:ascii="Arial" w:hAnsi="Arial" w:cs="Arial"/>
                <w:sz w:val="20"/>
                <w:szCs w:val="20"/>
                <w:lang w:val="es-CO"/>
              </w:rPr>
              <w:t xml:space="preserve">4. </w:t>
            </w:r>
            <w:r w:rsidR="00C15A28">
              <w:rPr>
                <w:rFonts w:ascii="Arial" w:hAnsi="Arial" w:cs="Arial"/>
                <w:sz w:val="20"/>
                <w:szCs w:val="20"/>
                <w:lang w:val="es-CO"/>
              </w:rPr>
              <w:t>Número de departamentos/distritos a</w:t>
            </w:r>
            <w:r>
              <w:rPr>
                <w:rFonts w:ascii="Arial" w:hAnsi="Arial" w:cs="Arial"/>
                <w:sz w:val="20"/>
                <w:szCs w:val="20"/>
                <w:lang w:val="es-CO"/>
              </w:rPr>
              <w:t xml:space="preserve"> los cuales se les hace seguimiento de </w:t>
            </w:r>
            <w:r>
              <w:rPr>
                <w:rFonts w:ascii="Arial" w:hAnsi="Arial" w:cs="Arial"/>
                <w:sz w:val="20"/>
                <w:szCs w:val="20"/>
                <w:lang w:val="es-CO"/>
              </w:rPr>
              <w:lastRenderedPageBreak/>
              <w:t>actividades programáticas de promoción y mantenimiento</w:t>
            </w:r>
            <w:r w:rsidRPr="00DB6A5F">
              <w:rPr>
                <w:rFonts w:ascii="Arial" w:hAnsi="Arial" w:cs="Arial"/>
                <w:sz w:val="20"/>
                <w:szCs w:val="20"/>
                <w:lang w:val="es-CO"/>
              </w:rPr>
              <w:t xml:space="preserve"> </w:t>
            </w:r>
            <w:r>
              <w:rPr>
                <w:rFonts w:ascii="Arial" w:hAnsi="Arial" w:cs="Arial"/>
                <w:sz w:val="20"/>
                <w:szCs w:val="20"/>
                <w:lang w:val="es-CO"/>
              </w:rPr>
              <w:t>de la salud en el marco de los acuerdos MAITE a través del sistema de información del MSPS</w:t>
            </w:r>
            <w:r>
              <w:rPr>
                <w:rStyle w:val="FootnoteReference"/>
                <w:rFonts w:ascii="Arial" w:hAnsi="Arial" w:cs="Arial"/>
                <w:szCs w:val="20"/>
                <w:lang w:val="es-CO"/>
              </w:rPr>
              <w:footnoteReference w:id="10"/>
            </w:r>
          </w:p>
        </w:tc>
        <w:tc>
          <w:tcPr>
            <w:tcW w:w="1260" w:type="dxa"/>
          </w:tcPr>
          <w:p w:rsidRPr="00255351" w:rsidR="00E4589E" w:rsidP="00732B1E" w:rsidRDefault="00E4589E" w14:paraId="15109734" w14:textId="77777777">
            <w:pPr>
              <w:autoSpaceDE w:val="0"/>
              <w:autoSpaceDN w:val="0"/>
              <w:adjustRightInd w:val="0"/>
              <w:jc w:val="center"/>
              <w:rPr>
                <w:rFonts w:ascii="Arial" w:hAnsi="Arial" w:cs="Arial"/>
                <w:sz w:val="20"/>
                <w:szCs w:val="20"/>
                <w:lang w:val="es-CO"/>
              </w:rPr>
            </w:pPr>
            <w:r>
              <w:rPr>
                <w:rFonts w:ascii="Arial" w:hAnsi="Arial" w:cs="Arial"/>
                <w:sz w:val="20"/>
                <w:szCs w:val="20"/>
                <w:lang w:val="es-CO"/>
              </w:rPr>
              <w:lastRenderedPageBreak/>
              <w:t>Número de departamentos/ distrito</w:t>
            </w:r>
          </w:p>
        </w:tc>
        <w:tc>
          <w:tcPr>
            <w:tcW w:w="1260" w:type="dxa"/>
            <w:vMerge w:val="restart"/>
            <w:vAlign w:val="center"/>
          </w:tcPr>
          <w:p w:rsidRPr="00255351" w:rsidR="00E4589E" w:rsidP="00732B1E" w:rsidRDefault="00E4589E" w14:paraId="38855A44" w14:textId="77777777">
            <w:pPr>
              <w:autoSpaceDE w:val="0"/>
              <w:autoSpaceDN w:val="0"/>
              <w:adjustRightInd w:val="0"/>
              <w:jc w:val="center"/>
              <w:rPr>
                <w:rFonts w:ascii="Arial" w:hAnsi="Arial" w:cs="Arial"/>
                <w:bCs/>
                <w:sz w:val="20"/>
                <w:szCs w:val="20"/>
                <w:lang w:val="es-CO"/>
              </w:rPr>
            </w:pPr>
            <w:r>
              <w:rPr>
                <w:rFonts w:ascii="Arial" w:hAnsi="Arial" w:cs="Arial"/>
                <w:bCs/>
                <w:sz w:val="20"/>
                <w:szCs w:val="20"/>
                <w:lang w:val="es-CO"/>
              </w:rPr>
              <w:t>0</w:t>
            </w:r>
          </w:p>
        </w:tc>
        <w:tc>
          <w:tcPr>
            <w:tcW w:w="720" w:type="dxa"/>
            <w:vMerge w:val="restart"/>
            <w:vAlign w:val="center"/>
          </w:tcPr>
          <w:p w:rsidRPr="00255351" w:rsidR="00E4589E" w:rsidP="00732B1E" w:rsidRDefault="00E4589E" w14:paraId="6EE4BB44" w14:textId="77777777">
            <w:pPr>
              <w:autoSpaceDE w:val="0"/>
              <w:autoSpaceDN w:val="0"/>
              <w:adjustRightInd w:val="0"/>
              <w:jc w:val="center"/>
              <w:rPr>
                <w:rFonts w:ascii="Arial" w:hAnsi="Arial" w:cs="Arial"/>
                <w:bCs/>
                <w:sz w:val="20"/>
                <w:szCs w:val="20"/>
                <w:lang w:val="es-CO"/>
              </w:rPr>
            </w:pPr>
            <w:r>
              <w:rPr>
                <w:rFonts w:ascii="Arial" w:hAnsi="Arial" w:cs="Arial"/>
                <w:bCs/>
                <w:sz w:val="20"/>
                <w:szCs w:val="20"/>
                <w:lang w:val="es-CO"/>
              </w:rPr>
              <w:t>2019</w:t>
            </w:r>
          </w:p>
        </w:tc>
        <w:tc>
          <w:tcPr>
            <w:tcW w:w="990" w:type="dxa"/>
            <w:vAlign w:val="center"/>
          </w:tcPr>
          <w:p w:rsidRPr="00255351" w:rsidR="00E4589E" w:rsidP="00732B1E" w:rsidRDefault="00E4589E" w14:paraId="57F1145E" w14:textId="77777777">
            <w:pPr>
              <w:autoSpaceDE w:val="0"/>
              <w:autoSpaceDN w:val="0"/>
              <w:adjustRightInd w:val="0"/>
              <w:jc w:val="center"/>
              <w:rPr>
                <w:rFonts w:ascii="Arial" w:hAnsi="Arial" w:cs="Arial"/>
                <w:bCs/>
                <w:sz w:val="20"/>
                <w:szCs w:val="20"/>
                <w:lang w:val="es-CO"/>
              </w:rPr>
            </w:pPr>
            <w:r>
              <w:rPr>
                <w:rFonts w:ascii="Arial" w:hAnsi="Arial" w:cs="Arial"/>
                <w:bCs/>
                <w:sz w:val="20"/>
                <w:szCs w:val="20"/>
                <w:lang w:val="es-CO"/>
              </w:rPr>
              <w:t>2</w:t>
            </w:r>
          </w:p>
        </w:tc>
        <w:tc>
          <w:tcPr>
            <w:tcW w:w="990" w:type="dxa"/>
            <w:vAlign w:val="center"/>
          </w:tcPr>
          <w:p w:rsidRPr="00255351" w:rsidR="00E4589E" w:rsidP="00732B1E" w:rsidRDefault="00E4589E" w14:paraId="56A72CF1" w14:textId="77777777">
            <w:pPr>
              <w:autoSpaceDE w:val="0"/>
              <w:autoSpaceDN w:val="0"/>
              <w:adjustRightInd w:val="0"/>
              <w:jc w:val="center"/>
              <w:rPr>
                <w:rFonts w:ascii="Arial" w:hAnsi="Arial" w:cs="Arial"/>
                <w:bCs/>
                <w:sz w:val="20"/>
                <w:szCs w:val="20"/>
                <w:lang w:val="es-CO"/>
              </w:rPr>
            </w:pPr>
            <w:r>
              <w:rPr>
                <w:rFonts w:ascii="Arial" w:hAnsi="Arial" w:cs="Arial"/>
                <w:bCs/>
                <w:sz w:val="20"/>
                <w:szCs w:val="20"/>
                <w:lang w:val="es-CO"/>
              </w:rPr>
              <w:t>5</w:t>
            </w:r>
          </w:p>
        </w:tc>
        <w:tc>
          <w:tcPr>
            <w:tcW w:w="990" w:type="dxa"/>
            <w:vAlign w:val="center"/>
          </w:tcPr>
          <w:p w:rsidRPr="00255351" w:rsidR="00E4589E" w:rsidP="00732B1E" w:rsidRDefault="00E4589E" w14:paraId="66740EBD" w14:textId="77777777">
            <w:pPr>
              <w:autoSpaceDE w:val="0"/>
              <w:autoSpaceDN w:val="0"/>
              <w:adjustRightInd w:val="0"/>
              <w:jc w:val="center"/>
              <w:rPr>
                <w:rFonts w:ascii="Arial" w:hAnsi="Arial" w:cs="Arial"/>
                <w:bCs/>
                <w:sz w:val="20"/>
                <w:szCs w:val="20"/>
                <w:lang w:val="es-CO"/>
              </w:rPr>
            </w:pPr>
            <w:r>
              <w:rPr>
                <w:rFonts w:ascii="Arial" w:hAnsi="Arial" w:cs="Arial"/>
                <w:bCs/>
                <w:sz w:val="20"/>
                <w:szCs w:val="20"/>
                <w:lang w:val="es-CO"/>
              </w:rPr>
              <w:t>10</w:t>
            </w:r>
          </w:p>
        </w:tc>
        <w:tc>
          <w:tcPr>
            <w:tcW w:w="1080" w:type="dxa"/>
            <w:vAlign w:val="center"/>
          </w:tcPr>
          <w:p w:rsidRPr="00255351" w:rsidR="00E4589E" w:rsidP="00732B1E" w:rsidRDefault="00E4589E" w14:paraId="0D6645CD" w14:textId="77777777">
            <w:pPr>
              <w:autoSpaceDE w:val="0"/>
              <w:autoSpaceDN w:val="0"/>
              <w:adjustRightInd w:val="0"/>
              <w:jc w:val="center"/>
              <w:rPr>
                <w:rFonts w:ascii="Arial" w:hAnsi="Arial" w:cs="Arial"/>
                <w:bCs/>
                <w:sz w:val="20"/>
                <w:szCs w:val="20"/>
                <w:lang w:val="es-CO"/>
              </w:rPr>
            </w:pPr>
            <w:r>
              <w:rPr>
                <w:rFonts w:ascii="Arial" w:hAnsi="Arial" w:cs="Arial"/>
                <w:bCs/>
                <w:sz w:val="20"/>
                <w:szCs w:val="20"/>
                <w:lang w:val="es-CO"/>
              </w:rPr>
              <w:t>10</w:t>
            </w:r>
          </w:p>
        </w:tc>
        <w:tc>
          <w:tcPr>
            <w:tcW w:w="2520" w:type="dxa"/>
          </w:tcPr>
          <w:p w:rsidRPr="00255351" w:rsidR="00E4589E" w:rsidP="00732B1E" w:rsidRDefault="00E4589E" w14:paraId="2790747C" w14:textId="77777777">
            <w:pPr>
              <w:autoSpaceDE w:val="0"/>
              <w:autoSpaceDN w:val="0"/>
              <w:adjustRightInd w:val="0"/>
              <w:rPr>
                <w:rFonts w:ascii="Arial" w:hAnsi="Arial" w:cs="Arial"/>
                <w:bCs/>
                <w:sz w:val="20"/>
                <w:szCs w:val="20"/>
                <w:lang w:val="es-CO"/>
              </w:rPr>
            </w:pPr>
            <w:r>
              <w:rPr>
                <w:rFonts w:ascii="Arial" w:hAnsi="Arial" w:cs="Arial"/>
                <w:bCs/>
                <w:sz w:val="20"/>
                <w:szCs w:val="20"/>
                <w:lang w:val="es-CO"/>
              </w:rPr>
              <w:t xml:space="preserve">Informe de verificación de indicador de desembolso del DNP que incluya: Reporte de actividades </w:t>
            </w:r>
            <w:r>
              <w:rPr>
                <w:rFonts w:ascii="Arial" w:hAnsi="Arial" w:cs="Arial"/>
                <w:bCs/>
                <w:sz w:val="20"/>
                <w:szCs w:val="20"/>
                <w:lang w:val="es-CO"/>
              </w:rPr>
              <w:lastRenderedPageBreak/>
              <w:t xml:space="preserve">programáticas trimestral del MSPS y acta de seguimiento trimestral por cada entidad territorial. </w:t>
            </w:r>
          </w:p>
        </w:tc>
        <w:tc>
          <w:tcPr>
            <w:tcW w:w="1710" w:type="dxa"/>
          </w:tcPr>
          <w:p w:rsidRPr="00255351" w:rsidR="00E4589E" w:rsidP="00732B1E" w:rsidRDefault="00E4589E" w14:paraId="6BD17690" w14:textId="77777777">
            <w:pPr>
              <w:autoSpaceDE w:val="0"/>
              <w:autoSpaceDN w:val="0"/>
              <w:adjustRightInd w:val="0"/>
              <w:jc w:val="center"/>
              <w:rPr>
                <w:rFonts w:ascii="Arial" w:hAnsi="Arial" w:cs="Arial"/>
                <w:bCs/>
                <w:sz w:val="20"/>
                <w:szCs w:val="20"/>
                <w:lang w:val="es-CO"/>
              </w:rPr>
            </w:pPr>
            <w:r w:rsidRPr="00255351">
              <w:rPr>
                <w:rFonts w:ascii="Arial" w:hAnsi="Arial" w:cs="Arial"/>
                <w:bCs/>
                <w:sz w:val="20"/>
                <w:szCs w:val="20"/>
                <w:lang w:val="es-CO"/>
              </w:rPr>
              <w:lastRenderedPageBreak/>
              <w:t>Sí</w:t>
            </w:r>
          </w:p>
        </w:tc>
      </w:tr>
      <w:tr w:rsidRPr="00512E13" w:rsidR="00E4589E" w:rsidTr="00732B1E" w14:paraId="25B5EC65" w14:textId="77777777">
        <w:trPr>
          <w:trHeight w:val="144"/>
          <w:jc w:val="center"/>
        </w:trPr>
        <w:tc>
          <w:tcPr>
            <w:tcW w:w="2245" w:type="dxa"/>
          </w:tcPr>
          <w:p w:rsidRPr="00512E13" w:rsidR="00E4589E" w:rsidP="00732B1E" w:rsidRDefault="00E4589E" w14:paraId="69371D6E" w14:textId="7835C319">
            <w:pPr>
              <w:autoSpaceDE w:val="0"/>
              <w:autoSpaceDN w:val="0"/>
              <w:adjustRightInd w:val="0"/>
              <w:rPr>
                <w:rFonts w:ascii="Arial" w:hAnsi="Arial" w:cs="Arial"/>
                <w:sz w:val="20"/>
                <w:szCs w:val="20"/>
                <w:lang w:val="es-CO"/>
              </w:rPr>
            </w:pPr>
            <w:r>
              <w:rPr>
                <w:rFonts w:ascii="Arial" w:hAnsi="Arial" w:cs="Arial"/>
                <w:sz w:val="20"/>
                <w:szCs w:val="20"/>
                <w:lang w:val="es-CO"/>
              </w:rPr>
              <w:t xml:space="preserve">5. </w:t>
            </w:r>
            <w:r w:rsidR="00C15A28">
              <w:rPr>
                <w:rFonts w:ascii="Arial" w:hAnsi="Arial" w:cs="Arial"/>
                <w:sz w:val="20"/>
                <w:szCs w:val="20"/>
                <w:lang w:val="es-CO"/>
              </w:rPr>
              <w:t>Número de entidades u</w:t>
            </w:r>
            <w:r w:rsidRPr="00512E13">
              <w:rPr>
                <w:rFonts w:ascii="Arial" w:hAnsi="Arial" w:cs="Arial"/>
                <w:sz w:val="20"/>
                <w:szCs w:val="20"/>
                <w:lang w:val="es-CO"/>
              </w:rPr>
              <w:t xml:space="preserve">suarias de la </w:t>
            </w:r>
            <w:r>
              <w:rPr>
                <w:rFonts w:ascii="Arial" w:hAnsi="Arial" w:cs="Arial"/>
                <w:sz w:val="20"/>
                <w:szCs w:val="20"/>
                <w:lang w:val="es-CO"/>
              </w:rPr>
              <w:t>herramienta de seguimiento nominal</w:t>
            </w:r>
          </w:p>
        </w:tc>
        <w:tc>
          <w:tcPr>
            <w:tcW w:w="1260" w:type="dxa"/>
          </w:tcPr>
          <w:p w:rsidRPr="0054784E" w:rsidR="00E4589E" w:rsidP="00732B1E" w:rsidRDefault="00E4589E" w14:paraId="02710564" w14:textId="74A2F704">
            <w:pPr>
              <w:autoSpaceDE w:val="0"/>
              <w:autoSpaceDN w:val="0"/>
              <w:adjustRightInd w:val="0"/>
              <w:jc w:val="center"/>
              <w:rPr>
                <w:rFonts w:ascii="Arial" w:hAnsi="Arial" w:cs="Arial"/>
                <w:sz w:val="20"/>
                <w:szCs w:val="20"/>
                <w:lang w:val="pt-BR"/>
              </w:rPr>
            </w:pPr>
            <w:r w:rsidRPr="0054784E">
              <w:rPr>
                <w:rFonts w:ascii="Arial" w:hAnsi="Arial" w:cs="Arial"/>
                <w:sz w:val="20"/>
                <w:szCs w:val="20"/>
                <w:lang w:val="pt-BR"/>
              </w:rPr>
              <w:t>Número de entidades (EPS</w:t>
            </w:r>
            <w:r w:rsidR="00C15A28">
              <w:rPr>
                <w:rFonts w:ascii="Arial" w:hAnsi="Arial" w:cs="Arial"/>
                <w:sz w:val="20"/>
                <w:szCs w:val="20"/>
                <w:lang w:val="pt-BR"/>
              </w:rPr>
              <w:t xml:space="preserve"> y</w:t>
            </w:r>
            <w:r w:rsidRPr="0054784E">
              <w:rPr>
                <w:rFonts w:ascii="Arial" w:hAnsi="Arial" w:cs="Arial"/>
                <w:sz w:val="20"/>
                <w:szCs w:val="20"/>
                <w:lang w:val="pt-BR"/>
              </w:rPr>
              <w:t xml:space="preserve"> IPS)</w:t>
            </w:r>
          </w:p>
        </w:tc>
        <w:tc>
          <w:tcPr>
            <w:tcW w:w="1260" w:type="dxa"/>
            <w:vMerge/>
          </w:tcPr>
          <w:p w:rsidRPr="005911F2" w:rsidR="00E4589E" w:rsidP="00732B1E" w:rsidRDefault="00E4589E" w14:paraId="44E88D8B" w14:textId="77777777">
            <w:pPr>
              <w:autoSpaceDE w:val="0"/>
              <w:autoSpaceDN w:val="0"/>
              <w:adjustRightInd w:val="0"/>
              <w:jc w:val="center"/>
              <w:rPr>
                <w:rFonts w:ascii="Arial" w:hAnsi="Arial" w:cs="Arial"/>
                <w:bCs/>
                <w:sz w:val="20"/>
                <w:szCs w:val="20"/>
                <w:lang w:val="pt-BR"/>
              </w:rPr>
            </w:pPr>
          </w:p>
        </w:tc>
        <w:tc>
          <w:tcPr>
            <w:tcW w:w="720" w:type="dxa"/>
            <w:vMerge/>
          </w:tcPr>
          <w:p w:rsidRPr="005911F2" w:rsidR="00E4589E" w:rsidP="00732B1E" w:rsidRDefault="00E4589E" w14:paraId="288ADA87" w14:textId="77777777">
            <w:pPr>
              <w:autoSpaceDE w:val="0"/>
              <w:autoSpaceDN w:val="0"/>
              <w:adjustRightInd w:val="0"/>
              <w:jc w:val="center"/>
              <w:rPr>
                <w:rFonts w:ascii="Arial" w:hAnsi="Arial" w:cs="Arial"/>
                <w:bCs/>
                <w:sz w:val="20"/>
                <w:szCs w:val="20"/>
                <w:lang w:val="pt-BR"/>
              </w:rPr>
            </w:pPr>
          </w:p>
        </w:tc>
        <w:tc>
          <w:tcPr>
            <w:tcW w:w="990" w:type="dxa"/>
            <w:vAlign w:val="center"/>
          </w:tcPr>
          <w:p w:rsidRPr="00512E13" w:rsidR="00E4589E" w:rsidP="00732B1E" w:rsidRDefault="00E4589E" w14:paraId="71EE2D07" w14:textId="77777777">
            <w:pPr>
              <w:autoSpaceDE w:val="0"/>
              <w:autoSpaceDN w:val="0"/>
              <w:adjustRightInd w:val="0"/>
              <w:jc w:val="center"/>
              <w:rPr>
                <w:rFonts w:ascii="Arial" w:hAnsi="Arial" w:cs="Arial"/>
                <w:bCs/>
                <w:sz w:val="20"/>
                <w:szCs w:val="20"/>
                <w:lang w:val="es-CO"/>
              </w:rPr>
            </w:pPr>
            <w:r>
              <w:rPr>
                <w:rFonts w:ascii="Arial" w:hAnsi="Arial" w:cs="Arial"/>
                <w:bCs/>
                <w:sz w:val="20"/>
                <w:szCs w:val="20"/>
                <w:lang w:val="es-CO"/>
              </w:rPr>
              <w:t>6</w:t>
            </w:r>
          </w:p>
        </w:tc>
        <w:tc>
          <w:tcPr>
            <w:tcW w:w="990" w:type="dxa"/>
            <w:vAlign w:val="center"/>
          </w:tcPr>
          <w:p w:rsidRPr="00512E13" w:rsidR="00E4589E" w:rsidP="00732B1E" w:rsidRDefault="00E4589E" w14:paraId="59426A64" w14:textId="77777777">
            <w:pPr>
              <w:autoSpaceDE w:val="0"/>
              <w:autoSpaceDN w:val="0"/>
              <w:adjustRightInd w:val="0"/>
              <w:jc w:val="center"/>
              <w:rPr>
                <w:rFonts w:ascii="Arial" w:hAnsi="Arial" w:cs="Arial"/>
                <w:bCs/>
                <w:sz w:val="20"/>
                <w:szCs w:val="20"/>
                <w:lang w:val="es-CO"/>
              </w:rPr>
            </w:pPr>
            <w:r>
              <w:rPr>
                <w:rFonts w:ascii="Arial" w:hAnsi="Arial" w:cs="Arial"/>
                <w:bCs/>
                <w:sz w:val="20"/>
                <w:szCs w:val="20"/>
                <w:lang w:val="es-CO"/>
              </w:rPr>
              <w:t>15</w:t>
            </w:r>
          </w:p>
        </w:tc>
        <w:tc>
          <w:tcPr>
            <w:tcW w:w="990" w:type="dxa"/>
            <w:vAlign w:val="center"/>
          </w:tcPr>
          <w:p w:rsidRPr="00512E13" w:rsidR="00E4589E" w:rsidP="00732B1E" w:rsidRDefault="00E4589E" w14:paraId="63F85A1D" w14:textId="77777777">
            <w:pPr>
              <w:autoSpaceDE w:val="0"/>
              <w:autoSpaceDN w:val="0"/>
              <w:adjustRightInd w:val="0"/>
              <w:jc w:val="center"/>
              <w:rPr>
                <w:rFonts w:ascii="Arial" w:hAnsi="Arial" w:cs="Arial"/>
                <w:bCs/>
                <w:sz w:val="20"/>
                <w:szCs w:val="20"/>
                <w:lang w:val="es-CO"/>
              </w:rPr>
            </w:pPr>
            <w:r>
              <w:rPr>
                <w:rFonts w:ascii="Arial" w:hAnsi="Arial" w:cs="Arial"/>
                <w:bCs/>
                <w:sz w:val="20"/>
                <w:szCs w:val="20"/>
                <w:lang w:val="es-CO"/>
              </w:rPr>
              <w:t>30</w:t>
            </w:r>
          </w:p>
        </w:tc>
        <w:tc>
          <w:tcPr>
            <w:tcW w:w="1080" w:type="dxa"/>
            <w:vAlign w:val="center"/>
          </w:tcPr>
          <w:p w:rsidRPr="00512E13" w:rsidR="00E4589E" w:rsidP="00732B1E" w:rsidRDefault="00E4589E" w14:paraId="49A5F7EE" w14:textId="77777777">
            <w:pPr>
              <w:autoSpaceDE w:val="0"/>
              <w:autoSpaceDN w:val="0"/>
              <w:adjustRightInd w:val="0"/>
              <w:jc w:val="center"/>
              <w:rPr>
                <w:rFonts w:ascii="Arial" w:hAnsi="Arial" w:cs="Arial"/>
                <w:bCs/>
                <w:sz w:val="20"/>
                <w:szCs w:val="20"/>
                <w:lang w:val="es-CO"/>
              </w:rPr>
            </w:pPr>
            <w:r>
              <w:rPr>
                <w:rFonts w:ascii="Arial" w:hAnsi="Arial" w:cs="Arial"/>
                <w:bCs/>
                <w:sz w:val="20"/>
                <w:szCs w:val="20"/>
                <w:lang w:val="es-CO"/>
              </w:rPr>
              <w:t>30</w:t>
            </w:r>
          </w:p>
        </w:tc>
        <w:tc>
          <w:tcPr>
            <w:tcW w:w="2520" w:type="dxa"/>
            <w:vMerge w:val="restart"/>
            <w:vAlign w:val="center"/>
          </w:tcPr>
          <w:p w:rsidRPr="00512E13" w:rsidR="00E4589E" w:rsidP="00732B1E" w:rsidRDefault="00E4589E" w14:paraId="78C3768B" w14:textId="1E3013E3">
            <w:pPr>
              <w:autoSpaceDE w:val="0"/>
              <w:autoSpaceDN w:val="0"/>
              <w:adjustRightInd w:val="0"/>
              <w:rPr>
                <w:rFonts w:ascii="Arial" w:hAnsi="Arial" w:cs="Arial"/>
                <w:bCs/>
                <w:sz w:val="20"/>
                <w:szCs w:val="20"/>
                <w:lang w:val="es-CO"/>
              </w:rPr>
            </w:pPr>
            <w:r>
              <w:rPr>
                <w:rFonts w:ascii="Arial" w:hAnsi="Arial" w:cs="Arial"/>
                <w:bCs/>
                <w:sz w:val="20"/>
                <w:szCs w:val="20"/>
                <w:lang w:val="es-CO"/>
              </w:rPr>
              <w:t>Informe de implementación de la herramienta nominal del MSPS.</w:t>
            </w:r>
          </w:p>
        </w:tc>
        <w:tc>
          <w:tcPr>
            <w:tcW w:w="1710" w:type="dxa"/>
            <w:vAlign w:val="center"/>
          </w:tcPr>
          <w:p w:rsidRPr="00512E13" w:rsidR="00E4589E" w:rsidP="00732B1E" w:rsidRDefault="00E4589E" w14:paraId="7DA7B41E" w14:textId="77777777">
            <w:pPr>
              <w:autoSpaceDE w:val="0"/>
              <w:autoSpaceDN w:val="0"/>
              <w:adjustRightInd w:val="0"/>
              <w:jc w:val="center"/>
              <w:rPr>
                <w:rFonts w:ascii="Arial" w:hAnsi="Arial" w:cs="Arial"/>
                <w:bCs/>
                <w:sz w:val="20"/>
                <w:szCs w:val="20"/>
                <w:lang w:val="es-CO"/>
              </w:rPr>
            </w:pPr>
            <w:r>
              <w:rPr>
                <w:rFonts w:ascii="Arial" w:hAnsi="Arial" w:cs="Arial"/>
                <w:bCs/>
                <w:sz w:val="20"/>
                <w:szCs w:val="20"/>
                <w:lang w:val="es-CO"/>
              </w:rPr>
              <w:t>No</w:t>
            </w:r>
          </w:p>
        </w:tc>
      </w:tr>
      <w:tr w:rsidRPr="00255351" w:rsidR="00E4589E" w:rsidTr="00732B1E" w14:paraId="7B07B09A" w14:textId="77777777">
        <w:trPr>
          <w:trHeight w:val="144"/>
          <w:jc w:val="center"/>
        </w:trPr>
        <w:tc>
          <w:tcPr>
            <w:tcW w:w="2245" w:type="dxa"/>
          </w:tcPr>
          <w:p w:rsidRPr="00255351" w:rsidR="00E4589E" w:rsidP="00732B1E" w:rsidRDefault="00E4589E" w14:paraId="4F3A9E28" w14:textId="77777777">
            <w:pPr>
              <w:autoSpaceDE w:val="0"/>
              <w:autoSpaceDN w:val="0"/>
              <w:adjustRightInd w:val="0"/>
              <w:rPr>
                <w:rFonts w:ascii="Arial" w:hAnsi="Arial" w:cs="Arial"/>
                <w:sz w:val="20"/>
                <w:szCs w:val="20"/>
                <w:lang w:val="es-CO"/>
              </w:rPr>
            </w:pPr>
            <w:r>
              <w:rPr>
                <w:rFonts w:ascii="Arial" w:hAnsi="Arial" w:cs="Arial"/>
                <w:sz w:val="20"/>
                <w:szCs w:val="20"/>
                <w:lang w:val="es-CO"/>
              </w:rPr>
              <w:t xml:space="preserve">6. </w:t>
            </w:r>
            <w:r w:rsidRPr="00255351">
              <w:rPr>
                <w:rFonts w:ascii="Arial" w:hAnsi="Arial" w:cs="Arial"/>
                <w:sz w:val="20"/>
                <w:szCs w:val="20"/>
                <w:lang w:val="es-CO"/>
              </w:rPr>
              <w:t xml:space="preserve">Proporción de personas </w:t>
            </w:r>
            <w:r>
              <w:rPr>
                <w:rFonts w:ascii="Arial" w:hAnsi="Arial" w:cs="Arial"/>
                <w:sz w:val="20"/>
                <w:szCs w:val="20"/>
                <w:lang w:val="es-CO"/>
              </w:rPr>
              <w:t xml:space="preserve">de treinta años o más en cada territorio priorizado para el Componente 2 </w:t>
            </w:r>
            <w:r w:rsidRPr="00255351">
              <w:rPr>
                <w:rFonts w:ascii="Arial" w:hAnsi="Arial" w:cs="Arial"/>
                <w:sz w:val="20"/>
                <w:szCs w:val="20"/>
                <w:lang w:val="es-CO"/>
              </w:rPr>
              <w:t>con tamizaje para riesgo cardiovascular y metabólico</w:t>
            </w:r>
          </w:p>
        </w:tc>
        <w:tc>
          <w:tcPr>
            <w:tcW w:w="1260" w:type="dxa"/>
            <w:vMerge w:val="restart"/>
            <w:vAlign w:val="center"/>
          </w:tcPr>
          <w:p w:rsidRPr="00BA304D" w:rsidR="00E4589E" w:rsidP="00732B1E" w:rsidRDefault="00E4589E" w14:paraId="16D2389B" w14:textId="77777777">
            <w:pPr>
              <w:autoSpaceDE w:val="0"/>
              <w:autoSpaceDN w:val="0"/>
              <w:adjustRightInd w:val="0"/>
              <w:jc w:val="center"/>
              <w:rPr>
                <w:rFonts w:ascii="Arial" w:hAnsi="Arial" w:cs="Arial"/>
                <w:sz w:val="20"/>
                <w:szCs w:val="20"/>
                <w:lang w:val="es-CO"/>
              </w:rPr>
            </w:pPr>
            <w:r>
              <w:rPr>
                <w:rFonts w:ascii="Arial" w:hAnsi="Arial" w:cs="Arial"/>
                <w:sz w:val="20"/>
                <w:szCs w:val="20"/>
                <w:lang w:val="es-CO"/>
              </w:rPr>
              <w:t>P</w:t>
            </w:r>
            <w:r w:rsidRPr="00BA304D">
              <w:rPr>
                <w:rFonts w:ascii="Arial" w:hAnsi="Arial" w:cs="Arial"/>
                <w:sz w:val="20"/>
                <w:szCs w:val="20"/>
                <w:lang w:val="es-CO"/>
              </w:rPr>
              <w:t>orcentaje</w:t>
            </w:r>
            <w:r>
              <w:rPr>
                <w:rFonts w:ascii="Arial" w:hAnsi="Arial" w:cs="Arial"/>
                <w:sz w:val="20"/>
                <w:szCs w:val="20"/>
                <w:lang w:val="es-CO"/>
              </w:rPr>
              <w:t xml:space="preserve"> en cada territorio</w:t>
            </w:r>
          </w:p>
        </w:tc>
        <w:tc>
          <w:tcPr>
            <w:tcW w:w="1260" w:type="dxa"/>
            <w:vAlign w:val="center"/>
          </w:tcPr>
          <w:p w:rsidRPr="00BA304D" w:rsidR="00E4589E" w:rsidP="00732B1E" w:rsidRDefault="00E4589E" w14:paraId="19D23E25" w14:textId="77777777">
            <w:pPr>
              <w:autoSpaceDE w:val="0"/>
              <w:autoSpaceDN w:val="0"/>
              <w:adjustRightInd w:val="0"/>
              <w:jc w:val="center"/>
              <w:rPr>
                <w:rFonts w:ascii="Arial" w:hAnsi="Arial" w:cs="Arial"/>
                <w:smallCaps/>
                <w:sz w:val="20"/>
                <w:szCs w:val="20"/>
                <w:lang w:val="es-CO"/>
              </w:rPr>
            </w:pPr>
            <w:r w:rsidRPr="00BA304D">
              <w:rPr>
                <w:rFonts w:ascii="Arial" w:hAnsi="Arial" w:cs="Arial"/>
                <w:smallCaps/>
                <w:sz w:val="20"/>
                <w:szCs w:val="20"/>
                <w:lang w:val="es-CO"/>
              </w:rPr>
              <w:t>1,67%*</w:t>
            </w:r>
            <w:r>
              <w:rPr>
                <w:rFonts w:ascii="Arial" w:hAnsi="Arial" w:cs="Arial"/>
                <w:smallCaps/>
                <w:sz w:val="20"/>
                <w:szCs w:val="20"/>
                <w:lang w:val="es-CO"/>
              </w:rPr>
              <w:t>**</w:t>
            </w:r>
          </w:p>
        </w:tc>
        <w:tc>
          <w:tcPr>
            <w:tcW w:w="720" w:type="dxa"/>
            <w:vAlign w:val="center"/>
          </w:tcPr>
          <w:p w:rsidRPr="00BA304D" w:rsidR="00E4589E" w:rsidP="00732B1E" w:rsidRDefault="00E4589E" w14:paraId="31A6CEE2" w14:textId="77777777">
            <w:pPr>
              <w:autoSpaceDE w:val="0"/>
              <w:autoSpaceDN w:val="0"/>
              <w:adjustRightInd w:val="0"/>
              <w:jc w:val="center"/>
              <w:rPr>
                <w:rFonts w:ascii="Arial" w:hAnsi="Arial" w:cs="Arial"/>
                <w:smallCaps/>
                <w:sz w:val="20"/>
                <w:szCs w:val="20"/>
                <w:lang w:val="es-CO"/>
              </w:rPr>
            </w:pPr>
            <w:r w:rsidRPr="00BA304D">
              <w:rPr>
                <w:rFonts w:ascii="Arial" w:hAnsi="Arial" w:cs="Arial"/>
                <w:smallCaps/>
                <w:sz w:val="20"/>
                <w:szCs w:val="20"/>
                <w:lang w:val="es-CO"/>
              </w:rPr>
              <w:t>2018</w:t>
            </w:r>
          </w:p>
        </w:tc>
        <w:tc>
          <w:tcPr>
            <w:tcW w:w="990" w:type="dxa"/>
            <w:vAlign w:val="center"/>
          </w:tcPr>
          <w:p w:rsidRPr="00BA304D" w:rsidR="00E4589E" w:rsidP="004C6708" w:rsidRDefault="00E4589E" w14:paraId="675B8BD7" w14:textId="77777777">
            <w:pPr>
              <w:autoSpaceDE w:val="0"/>
              <w:autoSpaceDN w:val="0"/>
              <w:adjustRightInd w:val="0"/>
              <w:jc w:val="center"/>
              <w:rPr>
                <w:rFonts w:ascii="Arial" w:hAnsi="Arial" w:cs="Arial"/>
                <w:smallCaps/>
                <w:sz w:val="20"/>
                <w:szCs w:val="20"/>
                <w:lang w:val="es-CO"/>
              </w:rPr>
            </w:pPr>
            <w:r w:rsidRPr="00BA304D">
              <w:rPr>
                <w:rFonts w:ascii="Arial" w:hAnsi="Arial" w:cs="Arial"/>
                <w:smallCaps/>
                <w:sz w:val="20"/>
                <w:szCs w:val="20"/>
                <w:lang w:val="es-CO"/>
              </w:rPr>
              <w:t>5%</w:t>
            </w:r>
          </w:p>
        </w:tc>
        <w:tc>
          <w:tcPr>
            <w:tcW w:w="990" w:type="dxa"/>
            <w:vAlign w:val="center"/>
          </w:tcPr>
          <w:p w:rsidRPr="00BA304D" w:rsidR="00E4589E" w:rsidP="004C6708" w:rsidRDefault="00E4589E" w14:paraId="3E10ABD8" w14:textId="77777777">
            <w:pPr>
              <w:autoSpaceDE w:val="0"/>
              <w:autoSpaceDN w:val="0"/>
              <w:adjustRightInd w:val="0"/>
              <w:jc w:val="center"/>
              <w:rPr>
                <w:rFonts w:ascii="Arial" w:hAnsi="Arial" w:cs="Arial"/>
                <w:smallCaps/>
                <w:sz w:val="20"/>
                <w:szCs w:val="20"/>
                <w:lang w:val="es-CO"/>
              </w:rPr>
            </w:pPr>
            <w:r w:rsidRPr="00BA304D">
              <w:rPr>
                <w:rFonts w:ascii="Arial" w:hAnsi="Arial" w:cs="Arial"/>
                <w:smallCaps/>
                <w:sz w:val="20"/>
                <w:szCs w:val="20"/>
                <w:lang w:val="es-CO"/>
              </w:rPr>
              <w:t>10%</w:t>
            </w:r>
          </w:p>
        </w:tc>
        <w:tc>
          <w:tcPr>
            <w:tcW w:w="990" w:type="dxa"/>
            <w:vAlign w:val="center"/>
          </w:tcPr>
          <w:p w:rsidRPr="00BA304D" w:rsidR="00E4589E" w:rsidP="004C6708" w:rsidRDefault="00E4589E" w14:paraId="209D5729" w14:textId="77777777">
            <w:pPr>
              <w:autoSpaceDE w:val="0"/>
              <w:autoSpaceDN w:val="0"/>
              <w:adjustRightInd w:val="0"/>
              <w:jc w:val="center"/>
              <w:rPr>
                <w:rFonts w:ascii="Arial" w:hAnsi="Arial" w:cs="Arial"/>
                <w:smallCaps/>
                <w:sz w:val="20"/>
                <w:szCs w:val="20"/>
                <w:lang w:val="es-CO"/>
              </w:rPr>
            </w:pPr>
            <w:r w:rsidRPr="00BA304D">
              <w:rPr>
                <w:rFonts w:ascii="Arial" w:hAnsi="Arial" w:cs="Arial"/>
                <w:smallCaps/>
                <w:sz w:val="20"/>
                <w:szCs w:val="20"/>
                <w:lang w:val="es-CO"/>
              </w:rPr>
              <w:t>40%</w:t>
            </w:r>
          </w:p>
        </w:tc>
        <w:tc>
          <w:tcPr>
            <w:tcW w:w="1080" w:type="dxa"/>
            <w:vAlign w:val="center"/>
          </w:tcPr>
          <w:p w:rsidRPr="00BA304D" w:rsidR="00E4589E" w:rsidP="004C6708" w:rsidRDefault="00E4589E" w14:paraId="4F2583A1" w14:textId="77777777">
            <w:pPr>
              <w:autoSpaceDE w:val="0"/>
              <w:autoSpaceDN w:val="0"/>
              <w:adjustRightInd w:val="0"/>
              <w:jc w:val="center"/>
              <w:rPr>
                <w:rFonts w:ascii="Arial" w:hAnsi="Arial" w:cs="Arial"/>
                <w:smallCaps/>
                <w:sz w:val="20"/>
                <w:szCs w:val="20"/>
                <w:lang w:val="es-CO"/>
              </w:rPr>
            </w:pPr>
            <w:r w:rsidRPr="00BA304D">
              <w:rPr>
                <w:rFonts w:ascii="Arial" w:hAnsi="Arial" w:cs="Arial"/>
                <w:smallCaps/>
                <w:sz w:val="20"/>
                <w:szCs w:val="20"/>
                <w:lang w:val="es-CO"/>
              </w:rPr>
              <w:t>40%</w:t>
            </w:r>
          </w:p>
        </w:tc>
        <w:tc>
          <w:tcPr>
            <w:tcW w:w="2520" w:type="dxa"/>
            <w:vMerge/>
          </w:tcPr>
          <w:p w:rsidRPr="00255351" w:rsidR="00E4589E" w:rsidP="00732B1E" w:rsidRDefault="00E4589E" w14:paraId="6D37991E" w14:textId="77777777">
            <w:pPr>
              <w:autoSpaceDE w:val="0"/>
              <w:autoSpaceDN w:val="0"/>
              <w:adjustRightInd w:val="0"/>
              <w:rPr>
                <w:rFonts w:ascii="Arial" w:hAnsi="Arial" w:cs="Arial"/>
                <w:b/>
                <w:bCs/>
                <w:smallCaps/>
                <w:sz w:val="20"/>
                <w:szCs w:val="20"/>
                <w:lang w:val="es-CO"/>
              </w:rPr>
            </w:pPr>
          </w:p>
        </w:tc>
        <w:tc>
          <w:tcPr>
            <w:tcW w:w="1710" w:type="dxa"/>
            <w:vMerge w:val="restart"/>
            <w:vAlign w:val="center"/>
          </w:tcPr>
          <w:p w:rsidRPr="00255351" w:rsidR="00E4589E" w:rsidP="00732B1E" w:rsidRDefault="00E4589E" w14:paraId="08FA07BE" w14:textId="77777777">
            <w:pPr>
              <w:autoSpaceDE w:val="0"/>
              <w:autoSpaceDN w:val="0"/>
              <w:adjustRightInd w:val="0"/>
              <w:jc w:val="center"/>
              <w:rPr>
                <w:rFonts w:ascii="Arial" w:hAnsi="Arial" w:cs="Arial"/>
                <w:sz w:val="20"/>
                <w:szCs w:val="20"/>
                <w:lang w:val="es-CO"/>
              </w:rPr>
            </w:pPr>
            <w:r w:rsidRPr="00255351">
              <w:rPr>
                <w:rFonts w:ascii="Arial" w:hAnsi="Arial" w:cs="Arial"/>
                <w:sz w:val="20"/>
                <w:szCs w:val="20"/>
                <w:lang w:val="es-CO"/>
              </w:rPr>
              <w:t>No</w:t>
            </w:r>
          </w:p>
        </w:tc>
      </w:tr>
      <w:tr w:rsidRPr="007B48F2" w:rsidR="00E4589E" w:rsidTr="00732B1E" w14:paraId="76331E68" w14:textId="77777777">
        <w:trPr>
          <w:trHeight w:val="144"/>
          <w:jc w:val="center"/>
        </w:trPr>
        <w:tc>
          <w:tcPr>
            <w:tcW w:w="2245" w:type="dxa"/>
          </w:tcPr>
          <w:p w:rsidRPr="00255351" w:rsidR="00E4589E" w:rsidP="00732B1E" w:rsidRDefault="00E4589E" w14:paraId="710F0711" w14:textId="77777777">
            <w:pPr>
              <w:autoSpaceDE w:val="0"/>
              <w:autoSpaceDN w:val="0"/>
              <w:adjustRightInd w:val="0"/>
              <w:rPr>
                <w:rFonts w:ascii="Arial" w:hAnsi="Arial" w:cs="Arial"/>
                <w:sz w:val="20"/>
                <w:szCs w:val="20"/>
                <w:lang w:val="es-CO"/>
              </w:rPr>
            </w:pPr>
            <w:r>
              <w:rPr>
                <w:rFonts w:ascii="Arial" w:hAnsi="Arial" w:cs="Arial"/>
                <w:sz w:val="20"/>
                <w:szCs w:val="20"/>
                <w:lang w:val="es-CO"/>
              </w:rPr>
              <w:t xml:space="preserve">7. </w:t>
            </w:r>
            <w:r w:rsidRPr="00255351">
              <w:rPr>
                <w:rFonts w:ascii="Arial" w:hAnsi="Arial" w:cs="Arial"/>
                <w:sz w:val="20"/>
                <w:szCs w:val="20"/>
                <w:lang w:val="es-CO"/>
              </w:rPr>
              <w:t>Proporción de gestantes con captación temprana al control prenatal</w:t>
            </w:r>
            <w:r>
              <w:rPr>
                <w:rFonts w:ascii="Arial" w:hAnsi="Arial" w:cs="Arial"/>
                <w:sz w:val="20"/>
                <w:szCs w:val="20"/>
                <w:lang w:val="es-CO"/>
              </w:rPr>
              <w:t xml:space="preserve"> (semana 12) en cada territorio priorizado para el Componente 2</w:t>
            </w:r>
          </w:p>
        </w:tc>
        <w:tc>
          <w:tcPr>
            <w:tcW w:w="1260" w:type="dxa"/>
            <w:vMerge/>
          </w:tcPr>
          <w:p w:rsidRPr="00BA304D" w:rsidR="00E4589E" w:rsidP="00732B1E" w:rsidRDefault="00E4589E" w14:paraId="688F1295" w14:textId="77777777">
            <w:pPr>
              <w:autoSpaceDE w:val="0"/>
              <w:autoSpaceDN w:val="0"/>
              <w:adjustRightInd w:val="0"/>
              <w:jc w:val="center"/>
              <w:rPr>
                <w:rFonts w:ascii="Arial" w:hAnsi="Arial" w:cs="Arial"/>
                <w:sz w:val="20"/>
                <w:szCs w:val="20"/>
                <w:lang w:val="es-CO"/>
              </w:rPr>
            </w:pPr>
          </w:p>
        </w:tc>
        <w:tc>
          <w:tcPr>
            <w:tcW w:w="1260" w:type="dxa"/>
          </w:tcPr>
          <w:p w:rsidRPr="00BA304D" w:rsidR="00E4589E" w:rsidP="00732B1E" w:rsidRDefault="00E4589E" w14:paraId="53C8BE43" w14:textId="77777777">
            <w:pPr>
              <w:autoSpaceDE w:val="0"/>
              <w:autoSpaceDN w:val="0"/>
              <w:adjustRightInd w:val="0"/>
              <w:jc w:val="center"/>
              <w:rPr>
                <w:rFonts w:ascii="Arial" w:hAnsi="Arial" w:cs="Arial"/>
                <w:smallCaps/>
                <w:sz w:val="20"/>
                <w:szCs w:val="20"/>
                <w:lang w:val="es-CO"/>
              </w:rPr>
            </w:pPr>
            <w:r w:rsidRPr="00BA304D">
              <w:rPr>
                <w:rFonts w:ascii="Arial" w:hAnsi="Arial" w:cs="Arial"/>
                <w:smallCaps/>
                <w:sz w:val="20"/>
                <w:szCs w:val="20"/>
                <w:lang w:val="es-CO"/>
              </w:rPr>
              <w:t>24,51%*</w:t>
            </w:r>
            <w:r>
              <w:rPr>
                <w:rFonts w:ascii="Arial" w:hAnsi="Arial" w:cs="Arial"/>
                <w:smallCaps/>
                <w:sz w:val="20"/>
                <w:szCs w:val="20"/>
                <w:lang w:val="es-CO"/>
              </w:rPr>
              <w:t>**</w:t>
            </w:r>
          </w:p>
        </w:tc>
        <w:tc>
          <w:tcPr>
            <w:tcW w:w="720" w:type="dxa"/>
            <w:vMerge w:val="restart"/>
            <w:vAlign w:val="center"/>
          </w:tcPr>
          <w:p w:rsidRPr="00BA304D" w:rsidR="00E4589E" w:rsidP="00732B1E" w:rsidRDefault="00E4589E" w14:paraId="5737EBE7" w14:textId="77777777">
            <w:pPr>
              <w:autoSpaceDE w:val="0"/>
              <w:autoSpaceDN w:val="0"/>
              <w:adjustRightInd w:val="0"/>
              <w:jc w:val="center"/>
              <w:rPr>
                <w:rFonts w:ascii="Arial" w:hAnsi="Arial" w:cs="Arial"/>
                <w:smallCaps/>
                <w:sz w:val="20"/>
                <w:szCs w:val="20"/>
                <w:lang w:val="es-CO"/>
              </w:rPr>
            </w:pPr>
            <w:r w:rsidRPr="00BA304D">
              <w:rPr>
                <w:rFonts w:ascii="Arial" w:hAnsi="Arial" w:cs="Arial"/>
                <w:smallCaps/>
                <w:sz w:val="20"/>
                <w:szCs w:val="20"/>
                <w:lang w:val="es-CO"/>
              </w:rPr>
              <w:t>2018</w:t>
            </w:r>
          </w:p>
        </w:tc>
        <w:tc>
          <w:tcPr>
            <w:tcW w:w="990" w:type="dxa"/>
          </w:tcPr>
          <w:p w:rsidRPr="00BA304D" w:rsidR="00E4589E" w:rsidP="004C6708" w:rsidRDefault="00E4589E" w14:paraId="1761D569" w14:textId="77777777">
            <w:pPr>
              <w:autoSpaceDE w:val="0"/>
              <w:autoSpaceDN w:val="0"/>
              <w:adjustRightInd w:val="0"/>
              <w:jc w:val="center"/>
              <w:rPr>
                <w:rFonts w:ascii="Arial" w:hAnsi="Arial" w:cs="Arial"/>
                <w:smallCaps/>
                <w:sz w:val="20"/>
                <w:szCs w:val="20"/>
                <w:lang w:val="es-CO"/>
              </w:rPr>
            </w:pPr>
            <w:r>
              <w:rPr>
                <w:rFonts w:ascii="Arial" w:hAnsi="Arial" w:cs="Arial"/>
                <w:smallCaps/>
                <w:sz w:val="20"/>
                <w:szCs w:val="20"/>
                <w:lang w:val="es-CO"/>
              </w:rPr>
              <w:t>-</w:t>
            </w:r>
          </w:p>
        </w:tc>
        <w:tc>
          <w:tcPr>
            <w:tcW w:w="990" w:type="dxa"/>
          </w:tcPr>
          <w:p w:rsidRPr="00BA304D" w:rsidR="00E4589E" w:rsidP="004C6708" w:rsidRDefault="00E4589E" w14:paraId="1F44E47B" w14:textId="77777777">
            <w:pPr>
              <w:autoSpaceDE w:val="0"/>
              <w:autoSpaceDN w:val="0"/>
              <w:adjustRightInd w:val="0"/>
              <w:jc w:val="center"/>
              <w:rPr>
                <w:rFonts w:ascii="Arial" w:hAnsi="Arial" w:cs="Arial"/>
                <w:smallCaps/>
                <w:sz w:val="20"/>
                <w:szCs w:val="20"/>
                <w:lang w:val="es-CO"/>
              </w:rPr>
            </w:pPr>
            <w:r>
              <w:rPr>
                <w:rFonts w:ascii="Arial" w:hAnsi="Arial" w:cs="Arial"/>
                <w:smallCaps/>
                <w:sz w:val="20"/>
                <w:szCs w:val="20"/>
                <w:lang w:val="es-CO"/>
              </w:rPr>
              <w:t>4</w:t>
            </w:r>
            <w:r w:rsidRPr="00BA304D">
              <w:rPr>
                <w:rFonts w:ascii="Arial" w:hAnsi="Arial" w:cs="Arial"/>
                <w:smallCaps/>
                <w:sz w:val="20"/>
                <w:szCs w:val="20"/>
                <w:lang w:val="es-CO"/>
              </w:rPr>
              <w:t>0%</w:t>
            </w:r>
          </w:p>
        </w:tc>
        <w:tc>
          <w:tcPr>
            <w:tcW w:w="990" w:type="dxa"/>
          </w:tcPr>
          <w:p w:rsidRPr="00BA304D" w:rsidR="00E4589E" w:rsidP="004C6708" w:rsidRDefault="00E4589E" w14:paraId="30FDF32A" w14:textId="77777777">
            <w:pPr>
              <w:autoSpaceDE w:val="0"/>
              <w:autoSpaceDN w:val="0"/>
              <w:adjustRightInd w:val="0"/>
              <w:jc w:val="center"/>
              <w:rPr>
                <w:rFonts w:ascii="Arial" w:hAnsi="Arial" w:cs="Arial"/>
                <w:smallCaps/>
                <w:sz w:val="20"/>
                <w:szCs w:val="20"/>
                <w:lang w:val="es-CO"/>
              </w:rPr>
            </w:pPr>
            <w:r>
              <w:rPr>
                <w:rFonts w:ascii="Arial" w:hAnsi="Arial" w:cs="Arial"/>
                <w:smallCaps/>
                <w:sz w:val="20"/>
                <w:szCs w:val="20"/>
                <w:lang w:val="es-CO"/>
              </w:rPr>
              <w:t>5</w:t>
            </w:r>
            <w:r w:rsidRPr="00BA304D">
              <w:rPr>
                <w:rFonts w:ascii="Arial" w:hAnsi="Arial" w:cs="Arial"/>
                <w:smallCaps/>
                <w:sz w:val="20"/>
                <w:szCs w:val="20"/>
                <w:lang w:val="es-CO"/>
              </w:rPr>
              <w:t>0%</w:t>
            </w:r>
          </w:p>
        </w:tc>
        <w:tc>
          <w:tcPr>
            <w:tcW w:w="1080" w:type="dxa"/>
          </w:tcPr>
          <w:p w:rsidRPr="00BA304D" w:rsidR="00E4589E" w:rsidP="004C6708" w:rsidRDefault="00E4589E" w14:paraId="196659BE" w14:textId="77777777">
            <w:pPr>
              <w:autoSpaceDE w:val="0"/>
              <w:autoSpaceDN w:val="0"/>
              <w:adjustRightInd w:val="0"/>
              <w:jc w:val="center"/>
              <w:rPr>
                <w:rFonts w:ascii="Arial" w:hAnsi="Arial" w:cs="Arial"/>
                <w:smallCaps/>
                <w:sz w:val="20"/>
                <w:szCs w:val="20"/>
                <w:lang w:val="es-CO"/>
              </w:rPr>
            </w:pPr>
            <w:r>
              <w:rPr>
                <w:rFonts w:ascii="Arial" w:hAnsi="Arial" w:cs="Arial"/>
                <w:smallCaps/>
                <w:sz w:val="20"/>
                <w:szCs w:val="20"/>
                <w:lang w:val="es-CO"/>
              </w:rPr>
              <w:t>5</w:t>
            </w:r>
            <w:r w:rsidRPr="00BA304D">
              <w:rPr>
                <w:rFonts w:ascii="Arial" w:hAnsi="Arial" w:cs="Arial"/>
                <w:smallCaps/>
                <w:sz w:val="20"/>
                <w:szCs w:val="20"/>
                <w:lang w:val="es-CO"/>
              </w:rPr>
              <w:t>0%</w:t>
            </w:r>
          </w:p>
        </w:tc>
        <w:tc>
          <w:tcPr>
            <w:tcW w:w="2520" w:type="dxa"/>
            <w:vMerge/>
          </w:tcPr>
          <w:p w:rsidRPr="00255351" w:rsidR="00E4589E" w:rsidP="00732B1E" w:rsidRDefault="00E4589E" w14:paraId="068D8C71" w14:textId="77777777">
            <w:pPr>
              <w:autoSpaceDE w:val="0"/>
              <w:autoSpaceDN w:val="0"/>
              <w:adjustRightInd w:val="0"/>
              <w:rPr>
                <w:rFonts w:ascii="Arial" w:hAnsi="Arial" w:cs="Arial"/>
                <w:b/>
                <w:bCs/>
                <w:smallCaps/>
                <w:sz w:val="20"/>
                <w:szCs w:val="20"/>
                <w:lang w:val="es-CO"/>
              </w:rPr>
            </w:pPr>
          </w:p>
        </w:tc>
        <w:tc>
          <w:tcPr>
            <w:tcW w:w="1710" w:type="dxa"/>
            <w:vMerge/>
          </w:tcPr>
          <w:p w:rsidRPr="00255351" w:rsidR="00E4589E" w:rsidP="00732B1E" w:rsidRDefault="00E4589E" w14:paraId="7F518A49" w14:textId="77777777">
            <w:pPr>
              <w:autoSpaceDE w:val="0"/>
              <w:autoSpaceDN w:val="0"/>
              <w:adjustRightInd w:val="0"/>
              <w:jc w:val="center"/>
              <w:rPr>
                <w:rFonts w:ascii="Arial" w:hAnsi="Arial" w:cs="Arial"/>
                <w:sz w:val="20"/>
                <w:szCs w:val="20"/>
                <w:lang w:val="es-CO"/>
              </w:rPr>
            </w:pPr>
          </w:p>
        </w:tc>
      </w:tr>
      <w:tr w:rsidRPr="007B48F2" w:rsidR="00E4589E" w:rsidTr="00732B1E" w14:paraId="4ACA6624" w14:textId="77777777">
        <w:trPr>
          <w:trHeight w:val="144"/>
          <w:jc w:val="center"/>
        </w:trPr>
        <w:tc>
          <w:tcPr>
            <w:tcW w:w="2245" w:type="dxa"/>
          </w:tcPr>
          <w:p w:rsidRPr="00255351" w:rsidR="00E4589E" w:rsidP="00732B1E" w:rsidRDefault="00E4589E" w14:paraId="222280C8" w14:textId="0F941B19">
            <w:pPr>
              <w:autoSpaceDE w:val="0"/>
              <w:autoSpaceDN w:val="0"/>
              <w:adjustRightInd w:val="0"/>
              <w:rPr>
                <w:rFonts w:ascii="Arial" w:hAnsi="Arial" w:cs="Arial"/>
                <w:sz w:val="20"/>
                <w:szCs w:val="20"/>
                <w:lang w:val="es-CO"/>
              </w:rPr>
            </w:pPr>
            <w:r>
              <w:rPr>
                <w:rFonts w:ascii="Arial" w:hAnsi="Arial" w:cs="Arial"/>
                <w:sz w:val="20"/>
                <w:szCs w:val="20"/>
                <w:lang w:val="es-CO"/>
              </w:rPr>
              <w:t xml:space="preserve">8. </w:t>
            </w:r>
            <w:r w:rsidRPr="00255351">
              <w:rPr>
                <w:rFonts w:ascii="Arial" w:hAnsi="Arial" w:cs="Arial"/>
                <w:sz w:val="20"/>
                <w:szCs w:val="20"/>
                <w:lang w:val="es-CO"/>
              </w:rPr>
              <w:t>Proporción de mujeres entre 25 y 65</w:t>
            </w:r>
            <w:r w:rsidR="004C6708">
              <w:rPr>
                <w:rFonts w:ascii="Arial" w:hAnsi="Arial" w:cs="Arial"/>
                <w:sz w:val="20"/>
                <w:szCs w:val="20"/>
                <w:lang w:val="es-CO"/>
              </w:rPr>
              <w:t> </w:t>
            </w:r>
            <w:r w:rsidRPr="00255351">
              <w:rPr>
                <w:rFonts w:ascii="Arial" w:hAnsi="Arial" w:cs="Arial"/>
                <w:sz w:val="20"/>
                <w:szCs w:val="20"/>
                <w:lang w:val="es-CO"/>
              </w:rPr>
              <w:t xml:space="preserve">años tamizadas para cáncer de cuello uterino con cualquier </w:t>
            </w:r>
            <w:r w:rsidRPr="00255351">
              <w:rPr>
                <w:rFonts w:ascii="Arial" w:hAnsi="Arial" w:cs="Arial"/>
                <w:sz w:val="20"/>
                <w:szCs w:val="20"/>
                <w:lang w:val="es-CO"/>
              </w:rPr>
              <w:lastRenderedPageBreak/>
              <w:t>prueba de tamización</w:t>
            </w:r>
            <w:r>
              <w:rPr>
                <w:rFonts w:ascii="Arial" w:hAnsi="Arial" w:cs="Arial"/>
                <w:sz w:val="20"/>
                <w:szCs w:val="20"/>
                <w:lang w:val="es-CO"/>
              </w:rPr>
              <w:t xml:space="preserve"> en los territorios priorizados para el </w:t>
            </w:r>
            <w:r w:rsidR="004C6708">
              <w:rPr>
                <w:rFonts w:ascii="Arial" w:hAnsi="Arial" w:cs="Arial"/>
                <w:sz w:val="20"/>
                <w:szCs w:val="20"/>
                <w:lang w:val="es-CO"/>
              </w:rPr>
              <w:t>C</w:t>
            </w:r>
            <w:r>
              <w:rPr>
                <w:rFonts w:ascii="Arial" w:hAnsi="Arial" w:cs="Arial"/>
                <w:sz w:val="20"/>
                <w:szCs w:val="20"/>
                <w:lang w:val="es-CO"/>
              </w:rPr>
              <w:t>omponente 2</w:t>
            </w:r>
          </w:p>
        </w:tc>
        <w:tc>
          <w:tcPr>
            <w:tcW w:w="1260" w:type="dxa"/>
            <w:vMerge/>
          </w:tcPr>
          <w:p w:rsidRPr="00BA304D" w:rsidR="00E4589E" w:rsidP="00732B1E" w:rsidRDefault="00E4589E" w14:paraId="20B33C05" w14:textId="77777777">
            <w:pPr>
              <w:autoSpaceDE w:val="0"/>
              <w:autoSpaceDN w:val="0"/>
              <w:adjustRightInd w:val="0"/>
              <w:jc w:val="center"/>
              <w:rPr>
                <w:rFonts w:ascii="Arial" w:hAnsi="Arial" w:cs="Arial"/>
                <w:sz w:val="20"/>
                <w:szCs w:val="20"/>
                <w:lang w:val="es-CO"/>
              </w:rPr>
            </w:pPr>
          </w:p>
        </w:tc>
        <w:tc>
          <w:tcPr>
            <w:tcW w:w="1260" w:type="dxa"/>
          </w:tcPr>
          <w:p w:rsidRPr="00BA304D" w:rsidR="00E4589E" w:rsidP="00732B1E" w:rsidRDefault="00E4589E" w14:paraId="17124A9C" w14:textId="77777777">
            <w:pPr>
              <w:autoSpaceDE w:val="0"/>
              <w:autoSpaceDN w:val="0"/>
              <w:adjustRightInd w:val="0"/>
              <w:jc w:val="center"/>
              <w:rPr>
                <w:rFonts w:ascii="Arial" w:hAnsi="Arial" w:cs="Arial"/>
                <w:smallCaps/>
                <w:sz w:val="20"/>
                <w:szCs w:val="20"/>
                <w:lang w:val="es-CO"/>
              </w:rPr>
            </w:pPr>
            <w:r w:rsidRPr="00BA304D">
              <w:rPr>
                <w:rFonts w:ascii="Arial" w:hAnsi="Arial" w:cs="Arial"/>
                <w:smallCaps/>
                <w:sz w:val="20"/>
                <w:szCs w:val="20"/>
                <w:lang w:val="es-CO"/>
              </w:rPr>
              <w:t>20,22%*</w:t>
            </w:r>
            <w:r>
              <w:rPr>
                <w:rFonts w:ascii="Arial" w:hAnsi="Arial" w:cs="Arial"/>
                <w:smallCaps/>
                <w:sz w:val="20"/>
                <w:szCs w:val="20"/>
                <w:lang w:val="es-CO"/>
              </w:rPr>
              <w:t>**</w:t>
            </w:r>
          </w:p>
        </w:tc>
        <w:tc>
          <w:tcPr>
            <w:tcW w:w="720" w:type="dxa"/>
            <w:vMerge/>
          </w:tcPr>
          <w:p w:rsidRPr="00BA304D" w:rsidR="00E4589E" w:rsidP="00732B1E" w:rsidRDefault="00E4589E" w14:paraId="33C4FE64" w14:textId="77777777">
            <w:pPr>
              <w:autoSpaceDE w:val="0"/>
              <w:autoSpaceDN w:val="0"/>
              <w:adjustRightInd w:val="0"/>
              <w:jc w:val="center"/>
              <w:rPr>
                <w:rFonts w:ascii="Arial" w:hAnsi="Arial" w:cs="Arial"/>
                <w:smallCaps/>
                <w:sz w:val="20"/>
                <w:szCs w:val="20"/>
                <w:lang w:val="es-CO"/>
              </w:rPr>
            </w:pPr>
          </w:p>
        </w:tc>
        <w:tc>
          <w:tcPr>
            <w:tcW w:w="990" w:type="dxa"/>
          </w:tcPr>
          <w:p w:rsidRPr="00BA304D" w:rsidR="00E4589E" w:rsidP="004C6708" w:rsidRDefault="00E4589E" w14:paraId="27601341" w14:textId="77777777">
            <w:pPr>
              <w:autoSpaceDE w:val="0"/>
              <w:autoSpaceDN w:val="0"/>
              <w:adjustRightInd w:val="0"/>
              <w:jc w:val="center"/>
              <w:rPr>
                <w:rFonts w:ascii="Arial" w:hAnsi="Arial" w:cs="Arial"/>
                <w:smallCaps/>
                <w:sz w:val="20"/>
                <w:szCs w:val="20"/>
                <w:lang w:val="es-CO"/>
              </w:rPr>
            </w:pPr>
            <w:r w:rsidRPr="00BA304D">
              <w:rPr>
                <w:rFonts w:ascii="Arial" w:hAnsi="Arial" w:cs="Arial"/>
                <w:smallCaps/>
                <w:sz w:val="20"/>
                <w:szCs w:val="20"/>
                <w:lang w:val="es-CO"/>
              </w:rPr>
              <w:t>25%</w:t>
            </w:r>
          </w:p>
        </w:tc>
        <w:tc>
          <w:tcPr>
            <w:tcW w:w="990" w:type="dxa"/>
          </w:tcPr>
          <w:p w:rsidRPr="00BA304D" w:rsidR="00E4589E" w:rsidP="004C6708" w:rsidRDefault="00E4589E" w14:paraId="2BCF5EAF" w14:textId="77777777">
            <w:pPr>
              <w:autoSpaceDE w:val="0"/>
              <w:autoSpaceDN w:val="0"/>
              <w:adjustRightInd w:val="0"/>
              <w:jc w:val="center"/>
              <w:rPr>
                <w:rFonts w:ascii="Arial" w:hAnsi="Arial" w:cs="Arial"/>
                <w:smallCaps/>
                <w:sz w:val="20"/>
                <w:szCs w:val="20"/>
                <w:lang w:val="es-CO"/>
              </w:rPr>
            </w:pPr>
            <w:r w:rsidRPr="00BA304D">
              <w:rPr>
                <w:rFonts w:ascii="Arial" w:hAnsi="Arial" w:cs="Arial"/>
                <w:smallCaps/>
                <w:sz w:val="20"/>
                <w:szCs w:val="20"/>
                <w:lang w:val="es-CO"/>
              </w:rPr>
              <w:t>30%</w:t>
            </w:r>
          </w:p>
        </w:tc>
        <w:tc>
          <w:tcPr>
            <w:tcW w:w="990" w:type="dxa"/>
          </w:tcPr>
          <w:p w:rsidRPr="00BA304D" w:rsidR="00E4589E" w:rsidP="004C6708" w:rsidRDefault="00E4589E" w14:paraId="4D7030A5" w14:textId="77777777">
            <w:pPr>
              <w:autoSpaceDE w:val="0"/>
              <w:autoSpaceDN w:val="0"/>
              <w:adjustRightInd w:val="0"/>
              <w:jc w:val="center"/>
              <w:rPr>
                <w:rFonts w:ascii="Arial" w:hAnsi="Arial" w:cs="Arial"/>
                <w:smallCaps/>
                <w:sz w:val="20"/>
                <w:szCs w:val="20"/>
                <w:lang w:val="es-CO"/>
              </w:rPr>
            </w:pPr>
            <w:r w:rsidRPr="00BA304D">
              <w:rPr>
                <w:rFonts w:ascii="Arial" w:hAnsi="Arial" w:cs="Arial"/>
                <w:smallCaps/>
                <w:sz w:val="20"/>
                <w:szCs w:val="20"/>
                <w:lang w:val="es-CO"/>
              </w:rPr>
              <w:t>50%</w:t>
            </w:r>
          </w:p>
        </w:tc>
        <w:tc>
          <w:tcPr>
            <w:tcW w:w="1080" w:type="dxa"/>
          </w:tcPr>
          <w:p w:rsidRPr="00BA304D" w:rsidR="00E4589E" w:rsidP="004C6708" w:rsidRDefault="00E4589E" w14:paraId="6407184F" w14:textId="77777777">
            <w:pPr>
              <w:autoSpaceDE w:val="0"/>
              <w:autoSpaceDN w:val="0"/>
              <w:adjustRightInd w:val="0"/>
              <w:jc w:val="center"/>
              <w:rPr>
                <w:rFonts w:ascii="Arial" w:hAnsi="Arial" w:cs="Arial"/>
                <w:smallCaps/>
                <w:sz w:val="20"/>
                <w:szCs w:val="20"/>
                <w:lang w:val="es-CO"/>
              </w:rPr>
            </w:pPr>
            <w:r w:rsidRPr="00BA304D">
              <w:rPr>
                <w:rFonts w:ascii="Arial" w:hAnsi="Arial" w:cs="Arial"/>
                <w:smallCaps/>
                <w:sz w:val="20"/>
                <w:szCs w:val="20"/>
                <w:lang w:val="es-CO"/>
              </w:rPr>
              <w:t>50%</w:t>
            </w:r>
          </w:p>
        </w:tc>
        <w:tc>
          <w:tcPr>
            <w:tcW w:w="2520" w:type="dxa"/>
            <w:vMerge/>
          </w:tcPr>
          <w:p w:rsidRPr="00255351" w:rsidR="00E4589E" w:rsidP="00732B1E" w:rsidRDefault="00E4589E" w14:paraId="7F3C7DE4" w14:textId="77777777">
            <w:pPr>
              <w:autoSpaceDE w:val="0"/>
              <w:autoSpaceDN w:val="0"/>
              <w:adjustRightInd w:val="0"/>
              <w:rPr>
                <w:rFonts w:ascii="Arial" w:hAnsi="Arial" w:cs="Arial"/>
                <w:b/>
                <w:bCs/>
                <w:smallCaps/>
                <w:sz w:val="20"/>
                <w:szCs w:val="20"/>
                <w:lang w:val="es-CO"/>
              </w:rPr>
            </w:pPr>
          </w:p>
        </w:tc>
        <w:tc>
          <w:tcPr>
            <w:tcW w:w="1710" w:type="dxa"/>
            <w:vMerge/>
          </w:tcPr>
          <w:p w:rsidRPr="00255351" w:rsidR="00E4589E" w:rsidP="00732B1E" w:rsidRDefault="00E4589E" w14:paraId="4EB682F2" w14:textId="77777777">
            <w:pPr>
              <w:autoSpaceDE w:val="0"/>
              <w:autoSpaceDN w:val="0"/>
              <w:adjustRightInd w:val="0"/>
              <w:jc w:val="center"/>
              <w:rPr>
                <w:rFonts w:ascii="Arial" w:hAnsi="Arial" w:cs="Arial"/>
                <w:sz w:val="20"/>
                <w:szCs w:val="20"/>
                <w:lang w:val="es-CO"/>
              </w:rPr>
            </w:pPr>
          </w:p>
        </w:tc>
      </w:tr>
      <w:tr w:rsidRPr="00255351" w:rsidR="00E4589E" w:rsidTr="00732B1E" w14:paraId="347480BE" w14:textId="77777777">
        <w:trPr>
          <w:trHeight w:val="144"/>
          <w:jc w:val="center"/>
        </w:trPr>
        <w:tc>
          <w:tcPr>
            <w:tcW w:w="2245" w:type="dxa"/>
          </w:tcPr>
          <w:p w:rsidRPr="00255351" w:rsidR="00E4589E" w:rsidP="00732B1E" w:rsidRDefault="00E4589E" w14:paraId="51BD3FF4" w14:textId="77777777">
            <w:pPr>
              <w:autoSpaceDE w:val="0"/>
              <w:autoSpaceDN w:val="0"/>
              <w:adjustRightInd w:val="0"/>
              <w:rPr>
                <w:rFonts w:ascii="Arial" w:hAnsi="Arial" w:cs="Arial"/>
                <w:sz w:val="20"/>
                <w:szCs w:val="20"/>
                <w:lang w:val="es-CO"/>
              </w:rPr>
            </w:pPr>
            <w:r>
              <w:rPr>
                <w:rFonts w:ascii="Arial" w:hAnsi="Arial" w:cs="Arial"/>
                <w:sz w:val="20"/>
                <w:szCs w:val="20"/>
                <w:lang w:val="es-CO"/>
              </w:rPr>
              <w:t>9. I</w:t>
            </w:r>
            <w:r w:rsidRPr="00255351">
              <w:rPr>
                <w:rFonts w:ascii="Arial" w:hAnsi="Arial" w:cs="Arial"/>
                <w:sz w:val="20"/>
                <w:szCs w:val="20"/>
                <w:lang w:val="es-CO"/>
              </w:rPr>
              <w:t>nmigrante</w:t>
            </w:r>
            <w:r>
              <w:rPr>
                <w:rStyle w:val="FootnoteReference"/>
                <w:rFonts w:ascii="Arial" w:hAnsi="Arial" w:cs="Arial"/>
                <w:szCs w:val="20"/>
                <w:lang w:val="es-CO"/>
              </w:rPr>
              <w:footnoteReference w:id="11"/>
            </w:r>
            <w:r w:rsidRPr="00255351">
              <w:rPr>
                <w:rFonts w:ascii="Arial" w:hAnsi="Arial" w:cs="Arial"/>
                <w:sz w:val="20"/>
                <w:szCs w:val="20"/>
                <w:lang w:val="es-CO"/>
              </w:rPr>
              <w:t xml:space="preserve"> </w:t>
            </w:r>
            <w:r>
              <w:rPr>
                <w:rFonts w:ascii="Arial" w:hAnsi="Arial" w:cs="Arial"/>
                <w:sz w:val="20"/>
                <w:szCs w:val="20"/>
                <w:lang w:val="es-CO"/>
              </w:rPr>
              <w:t>afiliados</w:t>
            </w:r>
            <w:r>
              <w:rPr>
                <w:rStyle w:val="FootnoteReference"/>
                <w:rFonts w:ascii="Arial" w:hAnsi="Arial" w:cs="Arial"/>
                <w:szCs w:val="20"/>
                <w:lang w:val="es-CO"/>
              </w:rPr>
              <w:footnoteReference w:id="12"/>
            </w:r>
          </w:p>
        </w:tc>
        <w:tc>
          <w:tcPr>
            <w:tcW w:w="1260" w:type="dxa"/>
          </w:tcPr>
          <w:p w:rsidRPr="00255351" w:rsidR="00E4589E" w:rsidP="00732B1E" w:rsidRDefault="00E4589E" w14:paraId="644B5B6A" w14:textId="77777777">
            <w:pPr>
              <w:autoSpaceDE w:val="0"/>
              <w:autoSpaceDN w:val="0"/>
              <w:adjustRightInd w:val="0"/>
              <w:jc w:val="center"/>
              <w:rPr>
                <w:rFonts w:ascii="Arial" w:hAnsi="Arial" w:cs="Arial"/>
                <w:sz w:val="20"/>
                <w:szCs w:val="20"/>
                <w:lang w:val="es-CO"/>
              </w:rPr>
            </w:pPr>
            <w:r w:rsidRPr="00255351">
              <w:rPr>
                <w:rFonts w:ascii="Arial" w:hAnsi="Arial" w:cs="Arial"/>
                <w:sz w:val="20"/>
                <w:szCs w:val="20"/>
                <w:lang w:val="es-CO"/>
              </w:rPr>
              <w:t xml:space="preserve">Número </w:t>
            </w:r>
          </w:p>
        </w:tc>
        <w:tc>
          <w:tcPr>
            <w:tcW w:w="1260" w:type="dxa"/>
          </w:tcPr>
          <w:p w:rsidRPr="00255351" w:rsidR="00E4589E" w:rsidP="00732B1E" w:rsidRDefault="00E4589E" w14:paraId="39FEE14D" w14:textId="77777777">
            <w:pPr>
              <w:autoSpaceDE w:val="0"/>
              <w:autoSpaceDN w:val="0"/>
              <w:adjustRightInd w:val="0"/>
              <w:jc w:val="right"/>
              <w:rPr>
                <w:rFonts w:ascii="Arial" w:hAnsi="Arial" w:cs="Arial"/>
                <w:bCs/>
                <w:sz w:val="20"/>
                <w:szCs w:val="20"/>
                <w:lang w:val="es-CO"/>
              </w:rPr>
            </w:pPr>
            <w:r w:rsidRPr="00255351">
              <w:rPr>
                <w:rFonts w:ascii="Arial" w:hAnsi="Arial" w:cs="Arial"/>
                <w:bCs/>
                <w:sz w:val="20"/>
                <w:szCs w:val="20"/>
                <w:lang w:val="es-CO"/>
              </w:rPr>
              <w:t>115.928</w:t>
            </w:r>
          </w:p>
        </w:tc>
        <w:tc>
          <w:tcPr>
            <w:tcW w:w="720" w:type="dxa"/>
          </w:tcPr>
          <w:p w:rsidRPr="00255351" w:rsidR="00E4589E" w:rsidP="00732B1E" w:rsidRDefault="00E4589E" w14:paraId="0216211E" w14:textId="77777777">
            <w:pPr>
              <w:autoSpaceDE w:val="0"/>
              <w:autoSpaceDN w:val="0"/>
              <w:adjustRightInd w:val="0"/>
              <w:jc w:val="right"/>
              <w:rPr>
                <w:rFonts w:ascii="Arial" w:hAnsi="Arial" w:cs="Arial"/>
                <w:bCs/>
                <w:sz w:val="20"/>
                <w:szCs w:val="20"/>
                <w:lang w:val="es-CO"/>
              </w:rPr>
            </w:pPr>
            <w:r w:rsidRPr="00255351">
              <w:rPr>
                <w:rFonts w:ascii="Arial" w:hAnsi="Arial" w:cs="Arial"/>
                <w:bCs/>
                <w:sz w:val="20"/>
                <w:szCs w:val="20"/>
                <w:lang w:val="es-CO"/>
              </w:rPr>
              <w:t>2019</w:t>
            </w:r>
          </w:p>
        </w:tc>
        <w:tc>
          <w:tcPr>
            <w:tcW w:w="990" w:type="dxa"/>
          </w:tcPr>
          <w:p w:rsidRPr="00255351" w:rsidR="00E4589E" w:rsidP="00732B1E" w:rsidRDefault="00E4589E" w14:paraId="26011CB8" w14:textId="77777777">
            <w:pPr>
              <w:autoSpaceDE w:val="0"/>
              <w:autoSpaceDN w:val="0"/>
              <w:adjustRightInd w:val="0"/>
              <w:jc w:val="right"/>
              <w:rPr>
                <w:rFonts w:ascii="Arial" w:hAnsi="Arial" w:cs="Arial"/>
                <w:bCs/>
                <w:sz w:val="20"/>
                <w:szCs w:val="20"/>
                <w:lang w:val="es-CO"/>
              </w:rPr>
            </w:pPr>
            <w:r>
              <w:rPr>
                <w:rFonts w:ascii="Arial" w:hAnsi="Arial" w:cs="Arial"/>
                <w:bCs/>
                <w:sz w:val="20"/>
                <w:szCs w:val="20"/>
                <w:lang w:val="es-CO"/>
              </w:rPr>
              <w:t>220.000</w:t>
            </w:r>
          </w:p>
        </w:tc>
        <w:tc>
          <w:tcPr>
            <w:tcW w:w="990" w:type="dxa"/>
          </w:tcPr>
          <w:p w:rsidRPr="00255351" w:rsidR="00E4589E" w:rsidP="00732B1E" w:rsidRDefault="00E4589E" w14:paraId="13B787C1" w14:textId="77777777">
            <w:pPr>
              <w:autoSpaceDE w:val="0"/>
              <w:autoSpaceDN w:val="0"/>
              <w:adjustRightInd w:val="0"/>
              <w:jc w:val="right"/>
              <w:rPr>
                <w:rFonts w:ascii="Arial" w:hAnsi="Arial" w:cs="Arial"/>
                <w:bCs/>
                <w:sz w:val="20"/>
                <w:szCs w:val="20"/>
                <w:lang w:val="es-CO"/>
              </w:rPr>
            </w:pPr>
            <w:r>
              <w:rPr>
                <w:rFonts w:ascii="Arial" w:hAnsi="Arial" w:cs="Arial"/>
                <w:bCs/>
                <w:sz w:val="20"/>
                <w:szCs w:val="20"/>
                <w:lang w:val="es-CO"/>
              </w:rPr>
              <w:t>320.000</w:t>
            </w:r>
          </w:p>
        </w:tc>
        <w:tc>
          <w:tcPr>
            <w:tcW w:w="990" w:type="dxa"/>
          </w:tcPr>
          <w:p w:rsidRPr="00255351" w:rsidR="00E4589E" w:rsidP="00732B1E" w:rsidRDefault="00E4589E" w14:paraId="02DFB77B" w14:textId="77777777">
            <w:pPr>
              <w:autoSpaceDE w:val="0"/>
              <w:autoSpaceDN w:val="0"/>
              <w:adjustRightInd w:val="0"/>
              <w:jc w:val="right"/>
              <w:rPr>
                <w:rFonts w:ascii="Arial" w:hAnsi="Arial" w:cs="Arial"/>
                <w:bCs/>
                <w:sz w:val="20"/>
                <w:szCs w:val="20"/>
                <w:lang w:val="es-CO"/>
              </w:rPr>
            </w:pPr>
            <w:r w:rsidRPr="00713491">
              <w:rPr>
                <w:rFonts w:ascii="Arial" w:hAnsi="Arial" w:cs="Arial"/>
                <w:bCs/>
                <w:sz w:val="20"/>
                <w:szCs w:val="20"/>
                <w:lang w:val="es-CO"/>
              </w:rPr>
              <w:t>425.000</w:t>
            </w:r>
          </w:p>
        </w:tc>
        <w:tc>
          <w:tcPr>
            <w:tcW w:w="1080" w:type="dxa"/>
          </w:tcPr>
          <w:p w:rsidRPr="00255351" w:rsidR="00E4589E" w:rsidP="00732B1E" w:rsidRDefault="00E4589E" w14:paraId="5B8E9E48" w14:textId="77777777">
            <w:pPr>
              <w:autoSpaceDE w:val="0"/>
              <w:autoSpaceDN w:val="0"/>
              <w:adjustRightInd w:val="0"/>
              <w:jc w:val="right"/>
              <w:rPr>
                <w:rFonts w:ascii="Arial" w:hAnsi="Arial" w:cs="Arial"/>
                <w:bCs/>
                <w:sz w:val="20"/>
                <w:szCs w:val="20"/>
                <w:lang w:val="es-CO"/>
              </w:rPr>
            </w:pPr>
            <w:r>
              <w:rPr>
                <w:rFonts w:ascii="Arial" w:hAnsi="Arial" w:cs="Arial"/>
                <w:bCs/>
                <w:sz w:val="20"/>
                <w:szCs w:val="20"/>
                <w:lang w:val="es-CO"/>
              </w:rPr>
              <w:t>425</w:t>
            </w:r>
            <w:r w:rsidRPr="00255351">
              <w:rPr>
                <w:rFonts w:ascii="Arial" w:hAnsi="Arial" w:cs="Arial"/>
                <w:bCs/>
                <w:sz w:val="20"/>
                <w:szCs w:val="20"/>
                <w:lang w:val="es-CO"/>
              </w:rPr>
              <w:t>.000</w:t>
            </w:r>
          </w:p>
        </w:tc>
        <w:tc>
          <w:tcPr>
            <w:tcW w:w="2520" w:type="dxa"/>
          </w:tcPr>
          <w:p w:rsidRPr="00255351" w:rsidR="00E4589E" w:rsidP="00732B1E" w:rsidRDefault="00E4589E" w14:paraId="095B1DA2" w14:textId="77777777">
            <w:pPr>
              <w:autoSpaceDE w:val="0"/>
              <w:autoSpaceDN w:val="0"/>
              <w:adjustRightInd w:val="0"/>
              <w:rPr>
                <w:rFonts w:ascii="Arial" w:hAnsi="Arial" w:cs="Arial"/>
                <w:bCs/>
                <w:sz w:val="20"/>
                <w:szCs w:val="20"/>
                <w:lang w:val="es-CO"/>
              </w:rPr>
            </w:pPr>
            <w:r w:rsidRPr="00544542">
              <w:rPr>
                <w:rFonts w:ascii="Arial" w:hAnsi="Arial" w:eastAsia="Arial" w:cs="Arial"/>
                <w:sz w:val="20"/>
                <w:szCs w:val="20"/>
                <w:lang w:val="es-ES"/>
              </w:rPr>
              <w:t>BDUA del MSPS.</w:t>
            </w:r>
          </w:p>
        </w:tc>
        <w:tc>
          <w:tcPr>
            <w:tcW w:w="1710" w:type="dxa"/>
          </w:tcPr>
          <w:p w:rsidRPr="00255351" w:rsidR="00E4589E" w:rsidP="00732B1E" w:rsidRDefault="00E4589E" w14:paraId="078C826F" w14:textId="77777777">
            <w:pPr>
              <w:autoSpaceDE w:val="0"/>
              <w:autoSpaceDN w:val="0"/>
              <w:adjustRightInd w:val="0"/>
              <w:jc w:val="center"/>
              <w:rPr>
                <w:rFonts w:ascii="Arial" w:hAnsi="Arial" w:cs="Arial"/>
                <w:bCs/>
                <w:sz w:val="20"/>
                <w:szCs w:val="20"/>
                <w:lang w:val="es-CO"/>
              </w:rPr>
            </w:pPr>
            <w:r w:rsidRPr="00255351">
              <w:rPr>
                <w:rFonts w:ascii="Arial" w:hAnsi="Arial" w:cs="Arial"/>
                <w:bCs/>
                <w:sz w:val="20"/>
                <w:szCs w:val="20"/>
                <w:lang w:val="es-CO"/>
              </w:rPr>
              <w:t>Sí</w:t>
            </w:r>
          </w:p>
        </w:tc>
      </w:tr>
      <w:tr w:rsidRPr="00255351" w:rsidR="00E4589E" w:rsidTr="00732B1E" w14:paraId="39532946" w14:textId="77777777">
        <w:trPr>
          <w:trHeight w:val="144"/>
          <w:jc w:val="center"/>
        </w:trPr>
        <w:tc>
          <w:tcPr>
            <w:tcW w:w="2245" w:type="dxa"/>
          </w:tcPr>
          <w:p w:rsidRPr="00B73046" w:rsidR="00E4589E" w:rsidP="00732B1E" w:rsidRDefault="00E4589E" w14:paraId="747BB723" w14:textId="77777777">
            <w:pPr>
              <w:autoSpaceDE w:val="0"/>
              <w:autoSpaceDN w:val="0"/>
              <w:adjustRightInd w:val="0"/>
              <w:rPr>
                <w:rFonts w:ascii="Arial" w:hAnsi="Arial" w:cs="Arial"/>
                <w:b/>
                <w:bCs/>
                <w:smallCaps/>
                <w:sz w:val="20"/>
                <w:szCs w:val="20"/>
                <w:lang w:val="es-CO"/>
              </w:rPr>
            </w:pPr>
            <w:r>
              <w:rPr>
                <w:rFonts w:ascii="Arial" w:hAnsi="Arial" w:cs="Arial"/>
                <w:sz w:val="20"/>
                <w:szCs w:val="20"/>
                <w:lang w:val="es-CO"/>
              </w:rPr>
              <w:t xml:space="preserve">10. </w:t>
            </w:r>
            <w:r w:rsidRPr="00B73046">
              <w:rPr>
                <w:rFonts w:ascii="Arial" w:hAnsi="Arial" w:cs="Arial"/>
                <w:sz w:val="20"/>
                <w:szCs w:val="20"/>
                <w:lang w:val="es-CO"/>
              </w:rPr>
              <w:t>Atenciones en salud</w:t>
            </w:r>
            <w:r>
              <w:rPr>
                <w:rFonts w:ascii="Arial" w:hAnsi="Arial" w:cs="Arial"/>
                <w:sz w:val="20"/>
                <w:szCs w:val="20"/>
                <w:lang w:val="es-CO"/>
              </w:rPr>
              <w:t xml:space="preserve"> </w:t>
            </w:r>
            <w:r w:rsidRPr="00713491">
              <w:rPr>
                <w:rFonts w:ascii="Arial" w:hAnsi="Arial" w:cs="Arial"/>
                <w:sz w:val="20"/>
                <w:szCs w:val="20"/>
                <w:lang w:val="es-CO"/>
              </w:rPr>
              <w:t>obstétricas</w:t>
            </w:r>
            <w:r w:rsidRPr="00B73046">
              <w:rPr>
                <w:rFonts w:ascii="Arial" w:hAnsi="Arial" w:cs="Arial"/>
                <w:sz w:val="20"/>
                <w:szCs w:val="20"/>
                <w:lang w:val="es-CO"/>
              </w:rPr>
              <w:t xml:space="preserve"> para inmigrantes</w:t>
            </w:r>
            <w:r>
              <w:rPr>
                <w:rFonts w:ascii="Arial" w:hAnsi="Arial" w:cs="Arial"/>
                <w:sz w:val="20"/>
                <w:szCs w:val="20"/>
                <w:lang w:val="es-CO"/>
              </w:rPr>
              <w:t xml:space="preserve"> no afiliados</w:t>
            </w:r>
          </w:p>
        </w:tc>
        <w:tc>
          <w:tcPr>
            <w:tcW w:w="1260" w:type="dxa"/>
          </w:tcPr>
          <w:p w:rsidRPr="00B73046" w:rsidR="00E4589E" w:rsidP="00732B1E" w:rsidRDefault="00E4589E" w14:paraId="492DA9CF" w14:textId="77777777">
            <w:pPr>
              <w:autoSpaceDE w:val="0"/>
              <w:autoSpaceDN w:val="0"/>
              <w:adjustRightInd w:val="0"/>
              <w:jc w:val="center"/>
              <w:rPr>
                <w:rFonts w:ascii="Arial" w:hAnsi="Arial" w:cs="Arial"/>
                <w:b/>
                <w:bCs/>
                <w:smallCaps/>
                <w:sz w:val="20"/>
                <w:szCs w:val="20"/>
                <w:lang w:val="es-CO"/>
              </w:rPr>
            </w:pPr>
            <w:r w:rsidRPr="00B73046">
              <w:rPr>
                <w:rFonts w:ascii="Arial" w:hAnsi="Arial" w:cs="Arial"/>
                <w:sz w:val="20"/>
                <w:szCs w:val="20"/>
                <w:lang w:val="es-CO"/>
              </w:rPr>
              <w:t xml:space="preserve">Número </w:t>
            </w:r>
          </w:p>
        </w:tc>
        <w:tc>
          <w:tcPr>
            <w:tcW w:w="1260" w:type="dxa"/>
          </w:tcPr>
          <w:p w:rsidRPr="00B73046" w:rsidR="00E4589E" w:rsidP="00732B1E" w:rsidRDefault="00E4589E" w14:paraId="77D839D8" w14:textId="77777777">
            <w:pPr>
              <w:autoSpaceDE w:val="0"/>
              <w:autoSpaceDN w:val="0"/>
              <w:adjustRightInd w:val="0"/>
              <w:jc w:val="right"/>
              <w:rPr>
                <w:rFonts w:ascii="Arial" w:hAnsi="Arial" w:cs="Arial"/>
                <w:smallCaps/>
                <w:sz w:val="20"/>
                <w:szCs w:val="20"/>
                <w:lang w:val="es-CO"/>
              </w:rPr>
            </w:pPr>
            <w:r>
              <w:rPr>
                <w:rFonts w:ascii="Arial" w:hAnsi="Arial" w:cs="Arial"/>
                <w:smallCaps/>
                <w:sz w:val="20"/>
                <w:szCs w:val="20"/>
                <w:lang w:val="es-CO"/>
              </w:rPr>
              <w:t>0</w:t>
            </w:r>
          </w:p>
        </w:tc>
        <w:tc>
          <w:tcPr>
            <w:tcW w:w="720" w:type="dxa"/>
          </w:tcPr>
          <w:p w:rsidRPr="00B73046" w:rsidR="00E4589E" w:rsidP="00732B1E" w:rsidRDefault="00E4589E" w14:paraId="3D3016E5" w14:textId="77777777">
            <w:pPr>
              <w:autoSpaceDE w:val="0"/>
              <w:autoSpaceDN w:val="0"/>
              <w:adjustRightInd w:val="0"/>
              <w:jc w:val="right"/>
              <w:rPr>
                <w:rFonts w:ascii="Arial" w:hAnsi="Arial" w:cs="Arial"/>
                <w:bCs/>
                <w:sz w:val="20"/>
                <w:szCs w:val="20"/>
                <w:lang w:val="es-CO"/>
              </w:rPr>
            </w:pPr>
            <w:r>
              <w:rPr>
                <w:rFonts w:ascii="Arial" w:hAnsi="Arial" w:cs="Arial"/>
                <w:bCs/>
                <w:sz w:val="20"/>
                <w:szCs w:val="20"/>
                <w:lang w:val="es-CO"/>
              </w:rPr>
              <w:t>2018</w:t>
            </w:r>
          </w:p>
        </w:tc>
        <w:tc>
          <w:tcPr>
            <w:tcW w:w="990" w:type="dxa"/>
          </w:tcPr>
          <w:p w:rsidRPr="00B73046" w:rsidR="00E4589E" w:rsidP="00732B1E" w:rsidRDefault="00E4589E" w14:paraId="78EB19BE" w14:textId="77777777">
            <w:pPr>
              <w:autoSpaceDE w:val="0"/>
              <w:autoSpaceDN w:val="0"/>
              <w:adjustRightInd w:val="0"/>
              <w:jc w:val="right"/>
              <w:rPr>
                <w:rFonts w:ascii="Arial" w:hAnsi="Arial" w:cs="Arial"/>
                <w:bCs/>
                <w:sz w:val="20"/>
                <w:szCs w:val="20"/>
                <w:lang w:val="es-CO"/>
              </w:rPr>
            </w:pPr>
            <w:r w:rsidRPr="00B73046">
              <w:rPr>
                <w:rFonts w:ascii="Arial" w:hAnsi="Arial" w:cs="Arial"/>
                <w:bCs/>
                <w:sz w:val="20"/>
                <w:szCs w:val="20"/>
                <w:lang w:val="es-CO"/>
              </w:rPr>
              <w:t>-</w:t>
            </w:r>
          </w:p>
        </w:tc>
        <w:tc>
          <w:tcPr>
            <w:tcW w:w="990" w:type="dxa"/>
          </w:tcPr>
          <w:p w:rsidRPr="00B73046" w:rsidR="00E4589E" w:rsidP="00732B1E" w:rsidRDefault="00E4589E" w14:paraId="6E4783F5" w14:textId="77777777">
            <w:pPr>
              <w:autoSpaceDE w:val="0"/>
              <w:autoSpaceDN w:val="0"/>
              <w:adjustRightInd w:val="0"/>
              <w:jc w:val="right"/>
              <w:rPr>
                <w:rFonts w:ascii="Arial" w:hAnsi="Arial" w:cs="Arial"/>
                <w:bCs/>
                <w:sz w:val="20"/>
                <w:szCs w:val="20"/>
                <w:lang w:val="es-CO"/>
              </w:rPr>
            </w:pPr>
            <w:r>
              <w:rPr>
                <w:rFonts w:ascii="Arial" w:hAnsi="Arial" w:cs="Arial"/>
                <w:bCs/>
                <w:sz w:val="20"/>
                <w:szCs w:val="20"/>
                <w:lang w:val="es-CO"/>
              </w:rPr>
              <w:t>9.5</w:t>
            </w:r>
            <w:r w:rsidRPr="00B73046">
              <w:rPr>
                <w:rFonts w:ascii="Arial" w:hAnsi="Arial" w:cs="Arial"/>
                <w:bCs/>
                <w:sz w:val="20"/>
                <w:szCs w:val="20"/>
                <w:lang w:val="es-CO"/>
              </w:rPr>
              <w:t>00</w:t>
            </w:r>
          </w:p>
        </w:tc>
        <w:tc>
          <w:tcPr>
            <w:tcW w:w="990" w:type="dxa"/>
          </w:tcPr>
          <w:p w:rsidRPr="00B73046" w:rsidR="00E4589E" w:rsidP="00732B1E" w:rsidRDefault="00E4589E" w14:paraId="489E4A9C" w14:textId="77777777">
            <w:pPr>
              <w:autoSpaceDE w:val="0"/>
              <w:autoSpaceDN w:val="0"/>
              <w:adjustRightInd w:val="0"/>
              <w:jc w:val="right"/>
              <w:rPr>
                <w:rFonts w:ascii="Arial" w:hAnsi="Arial" w:cs="Arial"/>
                <w:bCs/>
                <w:sz w:val="20"/>
                <w:szCs w:val="20"/>
                <w:lang w:val="es-CO"/>
              </w:rPr>
            </w:pPr>
            <w:r>
              <w:rPr>
                <w:rFonts w:ascii="Arial" w:hAnsi="Arial" w:cs="Arial"/>
                <w:bCs/>
                <w:sz w:val="20"/>
                <w:szCs w:val="20"/>
                <w:lang w:val="es-CO"/>
              </w:rPr>
              <w:t>9</w:t>
            </w:r>
            <w:r w:rsidRPr="00B73046">
              <w:rPr>
                <w:rFonts w:ascii="Arial" w:hAnsi="Arial" w:cs="Arial"/>
                <w:bCs/>
                <w:sz w:val="20"/>
                <w:szCs w:val="20"/>
                <w:lang w:val="es-CO"/>
              </w:rPr>
              <w:t>.</w:t>
            </w:r>
            <w:r>
              <w:rPr>
                <w:rFonts w:ascii="Arial" w:hAnsi="Arial" w:cs="Arial"/>
                <w:bCs/>
                <w:sz w:val="20"/>
                <w:szCs w:val="20"/>
                <w:lang w:val="es-CO"/>
              </w:rPr>
              <w:t>5</w:t>
            </w:r>
            <w:r w:rsidRPr="00B73046">
              <w:rPr>
                <w:rFonts w:ascii="Arial" w:hAnsi="Arial" w:cs="Arial"/>
                <w:bCs/>
                <w:sz w:val="20"/>
                <w:szCs w:val="20"/>
                <w:lang w:val="es-CO"/>
              </w:rPr>
              <w:t>00</w:t>
            </w:r>
          </w:p>
        </w:tc>
        <w:tc>
          <w:tcPr>
            <w:tcW w:w="1080" w:type="dxa"/>
          </w:tcPr>
          <w:p w:rsidRPr="00B73046" w:rsidR="00E4589E" w:rsidP="00732B1E" w:rsidRDefault="00E4589E" w14:paraId="7BA11F34" w14:textId="77777777">
            <w:pPr>
              <w:autoSpaceDE w:val="0"/>
              <w:autoSpaceDN w:val="0"/>
              <w:adjustRightInd w:val="0"/>
              <w:jc w:val="right"/>
              <w:rPr>
                <w:rFonts w:ascii="Arial" w:hAnsi="Arial" w:cs="Arial"/>
                <w:bCs/>
                <w:sz w:val="20"/>
                <w:szCs w:val="20"/>
                <w:lang w:val="es-CO"/>
              </w:rPr>
            </w:pPr>
            <w:r>
              <w:rPr>
                <w:rFonts w:ascii="Arial" w:hAnsi="Arial" w:cs="Arial"/>
                <w:bCs/>
                <w:sz w:val="20"/>
                <w:szCs w:val="20"/>
                <w:lang w:val="es-CO"/>
              </w:rPr>
              <w:t>19</w:t>
            </w:r>
            <w:r w:rsidRPr="00B73046">
              <w:rPr>
                <w:rFonts w:ascii="Arial" w:hAnsi="Arial" w:cs="Arial"/>
                <w:bCs/>
                <w:sz w:val="20"/>
                <w:szCs w:val="20"/>
                <w:lang w:val="es-CO"/>
              </w:rPr>
              <w:t>.000</w:t>
            </w:r>
          </w:p>
        </w:tc>
        <w:tc>
          <w:tcPr>
            <w:tcW w:w="2520" w:type="dxa"/>
          </w:tcPr>
          <w:p w:rsidRPr="00B73046" w:rsidR="00E4589E" w:rsidP="00732B1E" w:rsidRDefault="00E4589E" w14:paraId="6F371A9A" w14:textId="77777777">
            <w:pPr>
              <w:autoSpaceDE w:val="0"/>
              <w:autoSpaceDN w:val="0"/>
              <w:adjustRightInd w:val="0"/>
              <w:rPr>
                <w:rFonts w:ascii="Arial" w:hAnsi="Arial" w:cs="Arial"/>
                <w:bCs/>
                <w:sz w:val="20"/>
                <w:szCs w:val="20"/>
                <w:lang w:val="es-CO"/>
              </w:rPr>
            </w:pPr>
            <w:r>
              <w:rPr>
                <w:rFonts w:ascii="Arial" w:hAnsi="Arial" w:cs="Arial"/>
                <w:bCs/>
                <w:sz w:val="20"/>
                <w:szCs w:val="20"/>
                <w:lang w:val="es-CO"/>
              </w:rPr>
              <w:t>Informe del MSPS con base en proceso de auditoría de pagos.</w:t>
            </w:r>
          </w:p>
        </w:tc>
        <w:tc>
          <w:tcPr>
            <w:tcW w:w="1710" w:type="dxa"/>
          </w:tcPr>
          <w:p w:rsidRPr="00B73046" w:rsidR="00E4589E" w:rsidP="00732B1E" w:rsidRDefault="00E4589E" w14:paraId="30048AF2" w14:textId="77777777">
            <w:pPr>
              <w:autoSpaceDE w:val="0"/>
              <w:autoSpaceDN w:val="0"/>
              <w:adjustRightInd w:val="0"/>
              <w:jc w:val="center"/>
              <w:rPr>
                <w:rFonts w:ascii="Arial" w:hAnsi="Arial" w:cs="Arial"/>
                <w:b/>
                <w:bCs/>
                <w:smallCaps/>
                <w:sz w:val="20"/>
                <w:szCs w:val="20"/>
                <w:lang w:val="es-CO"/>
              </w:rPr>
            </w:pPr>
            <w:r w:rsidRPr="00B73046">
              <w:rPr>
                <w:rFonts w:ascii="Arial" w:hAnsi="Arial" w:cs="Arial"/>
                <w:bCs/>
                <w:sz w:val="20"/>
                <w:szCs w:val="20"/>
                <w:lang w:val="es-CO"/>
              </w:rPr>
              <w:t>No</w:t>
            </w:r>
          </w:p>
        </w:tc>
      </w:tr>
    </w:tbl>
    <w:p w:rsidR="00E4589E" w:rsidP="00E4589E" w:rsidRDefault="00E4589E" w14:paraId="46634795" w14:textId="77777777">
      <w:pPr>
        <w:autoSpaceDE w:val="0"/>
        <w:autoSpaceDN w:val="0"/>
        <w:adjustRightInd w:val="0"/>
        <w:spacing w:before="20" w:after="20"/>
        <w:rPr>
          <w:rFonts w:ascii="Arial" w:hAnsi="Arial" w:cs="Arial"/>
          <w:sz w:val="18"/>
          <w:szCs w:val="18"/>
          <w:lang w:val="es-CO"/>
        </w:rPr>
      </w:pPr>
      <w:r w:rsidRPr="00BA304D">
        <w:rPr>
          <w:rFonts w:ascii="Arial" w:hAnsi="Arial" w:cs="Arial"/>
          <w:sz w:val="20"/>
          <w:szCs w:val="20"/>
          <w:lang w:val="es-CO"/>
        </w:rPr>
        <w:t>*</w:t>
      </w:r>
      <w:r>
        <w:rPr>
          <w:rFonts w:ascii="Arial" w:hAnsi="Arial" w:cs="Arial"/>
          <w:sz w:val="20"/>
          <w:szCs w:val="20"/>
          <w:lang w:val="es-CO"/>
        </w:rPr>
        <w:t>**</w:t>
      </w:r>
      <w:r w:rsidRPr="00BA304D">
        <w:rPr>
          <w:rFonts w:ascii="Arial" w:hAnsi="Arial" w:cs="Arial"/>
          <w:sz w:val="20"/>
          <w:szCs w:val="20"/>
          <w:lang w:val="es-CO"/>
        </w:rPr>
        <w:t xml:space="preserve"> </w:t>
      </w:r>
      <w:r w:rsidRPr="00654AF2">
        <w:rPr>
          <w:rFonts w:ascii="Arial" w:hAnsi="Arial" w:cs="Arial"/>
          <w:sz w:val="18"/>
          <w:szCs w:val="18"/>
          <w:lang w:val="es-CO"/>
        </w:rPr>
        <w:t>Cálculo inicial sujeto a ajustes una vez se haya desarrollado y desplegado la herramienta de seguimiento con base en RIPS</w:t>
      </w:r>
      <w:r>
        <w:rPr>
          <w:rFonts w:ascii="Arial" w:hAnsi="Arial" w:cs="Arial"/>
          <w:sz w:val="18"/>
          <w:szCs w:val="18"/>
          <w:lang w:val="es-CO"/>
        </w:rPr>
        <w:t>.</w:t>
      </w:r>
    </w:p>
    <w:p w:rsidRPr="00C01727" w:rsidR="00484BB3" w:rsidP="00A43F55" w:rsidRDefault="00484BB3" w14:paraId="0068607D" w14:textId="56CFDDCB">
      <w:pPr>
        <w:keepNext/>
        <w:keepLines/>
        <w:spacing w:before="120"/>
        <w:jc w:val="center"/>
        <w:rPr>
          <w:rFonts w:ascii="Arial" w:hAnsi="Arial" w:cs="Arial"/>
          <w:b/>
          <w:bCs/>
          <w:smallCaps/>
          <w:sz w:val="20"/>
          <w:szCs w:val="20"/>
          <w:lang w:val="es-CO"/>
        </w:rPr>
      </w:pPr>
    </w:p>
    <w:p w:rsidRPr="00483F16" w:rsidR="000B48B9" w:rsidP="000B48B9" w:rsidRDefault="000B48B9" w14:paraId="199E92D2" w14:textId="77777777">
      <w:pPr>
        <w:autoSpaceDE w:val="0"/>
        <w:autoSpaceDN w:val="0"/>
        <w:adjustRightInd w:val="0"/>
        <w:spacing w:before="120"/>
        <w:ind w:left="360"/>
        <w:jc w:val="center"/>
        <w:rPr>
          <w:rFonts w:ascii="Arial" w:hAnsi="Arial" w:cs="Arial"/>
          <w:b/>
          <w:bCs/>
          <w:smallCaps/>
          <w:sz w:val="20"/>
          <w:szCs w:val="20"/>
          <w:lang w:val="pt-BR"/>
        </w:rPr>
      </w:pPr>
      <w:r w:rsidRPr="00483F16">
        <w:rPr>
          <w:rFonts w:ascii="Arial" w:hAnsi="Arial" w:cs="Arial"/>
          <w:b/>
          <w:bCs/>
          <w:smallCaps/>
          <w:sz w:val="20"/>
          <w:szCs w:val="20"/>
          <w:lang w:val="pt-BR"/>
        </w:rPr>
        <w:t>Indicadores Vinculados a desembolso (US</w:t>
      </w:r>
      <w:r>
        <w:rPr>
          <w:rFonts w:ascii="Arial" w:hAnsi="Arial" w:cs="Arial"/>
          <w:b/>
          <w:bCs/>
          <w:smallCaps/>
          <w:sz w:val="20"/>
          <w:szCs w:val="20"/>
          <w:lang w:val="pt-BR"/>
        </w:rPr>
        <w:t xml:space="preserve">$ </w:t>
      </w:r>
      <w:r w:rsidRPr="005911F2">
        <w:rPr>
          <w:rFonts w:ascii="Arial" w:hAnsi="Arial" w:cs="Arial"/>
          <w:b/>
          <w:bCs/>
          <w:smallCaps/>
          <w:sz w:val="20"/>
          <w:szCs w:val="20"/>
          <w:lang w:val="es-ES"/>
        </w:rPr>
        <w:t>millones</w:t>
      </w:r>
      <w:r>
        <w:rPr>
          <w:rFonts w:ascii="Arial" w:hAnsi="Arial" w:cs="Arial"/>
          <w:b/>
          <w:bCs/>
          <w:smallCaps/>
          <w:sz w:val="20"/>
          <w:szCs w:val="20"/>
          <w:lang w:val="pt-BR"/>
        </w:rPr>
        <w:t>)</w:t>
      </w:r>
    </w:p>
    <w:tbl>
      <w:tblPr>
        <w:tblStyle w:val="TableGrid"/>
        <w:tblW w:w="13675" w:type="dxa"/>
        <w:jc w:val="center"/>
        <w:tblLook w:val="04A0" w:firstRow="1" w:lastRow="0" w:firstColumn="1" w:lastColumn="0" w:noHBand="0" w:noVBand="1"/>
      </w:tblPr>
      <w:tblGrid>
        <w:gridCol w:w="3099"/>
        <w:gridCol w:w="984"/>
        <w:gridCol w:w="864"/>
        <w:gridCol w:w="1272"/>
        <w:gridCol w:w="1095"/>
        <w:gridCol w:w="883"/>
        <w:gridCol w:w="1272"/>
        <w:gridCol w:w="1095"/>
        <w:gridCol w:w="920"/>
        <w:gridCol w:w="1093"/>
        <w:gridCol w:w="1098"/>
      </w:tblGrid>
      <w:tr w:rsidRPr="00255351" w:rsidR="000B48B9" w:rsidTr="00CA2ECC" w14:paraId="43C18FB7" w14:textId="77777777">
        <w:trPr>
          <w:trHeight w:val="284"/>
          <w:tblHeader/>
          <w:jc w:val="center"/>
        </w:trPr>
        <w:tc>
          <w:tcPr>
            <w:tcW w:w="3505" w:type="dxa"/>
            <w:vMerge w:val="restart"/>
            <w:shd w:val="clear" w:color="auto" w:fill="D0CECE" w:themeFill="background2" w:themeFillShade="E6"/>
            <w:vAlign w:val="center"/>
          </w:tcPr>
          <w:p w:rsidRPr="00255351" w:rsidR="000B48B9" w:rsidP="00732B1E" w:rsidRDefault="000B48B9" w14:paraId="73733E87" w14:textId="77777777">
            <w:pPr>
              <w:autoSpaceDE w:val="0"/>
              <w:autoSpaceDN w:val="0"/>
              <w:adjustRightInd w:val="0"/>
              <w:spacing w:before="20" w:after="20"/>
              <w:jc w:val="center"/>
              <w:rPr>
                <w:rFonts w:ascii="Arial" w:hAnsi="Arial" w:cs="Arial"/>
                <w:b/>
                <w:sz w:val="20"/>
                <w:szCs w:val="20"/>
                <w:lang w:val="es-CO"/>
              </w:rPr>
            </w:pPr>
            <w:r w:rsidRPr="00255351">
              <w:rPr>
                <w:rFonts w:ascii="Arial" w:hAnsi="Arial" w:cs="Arial"/>
                <w:b/>
                <w:sz w:val="20"/>
                <w:szCs w:val="20"/>
                <w:lang w:val="es-CO"/>
              </w:rPr>
              <w:t>Resultados Esperados</w:t>
            </w:r>
          </w:p>
        </w:tc>
        <w:tc>
          <w:tcPr>
            <w:tcW w:w="2685" w:type="dxa"/>
            <w:gridSpan w:val="3"/>
            <w:shd w:val="clear" w:color="auto" w:fill="D0CECE" w:themeFill="background2" w:themeFillShade="E6"/>
          </w:tcPr>
          <w:p w:rsidR="000B48B9" w:rsidP="00732B1E" w:rsidRDefault="000B48B9" w14:paraId="2732C2BF" w14:textId="77777777">
            <w:pPr>
              <w:autoSpaceDE w:val="0"/>
              <w:autoSpaceDN w:val="0"/>
              <w:adjustRightInd w:val="0"/>
              <w:spacing w:before="20" w:after="20"/>
              <w:jc w:val="center"/>
              <w:rPr>
                <w:rFonts w:ascii="Arial" w:hAnsi="Arial" w:cs="Arial"/>
                <w:b/>
                <w:sz w:val="20"/>
                <w:szCs w:val="20"/>
                <w:lang w:val="es-CO"/>
              </w:rPr>
            </w:pPr>
            <w:r>
              <w:rPr>
                <w:rFonts w:ascii="Arial" w:hAnsi="Arial" w:cs="Arial"/>
                <w:b/>
                <w:sz w:val="20"/>
                <w:szCs w:val="20"/>
                <w:lang w:val="es-CO"/>
              </w:rPr>
              <w:t>Año 1</w:t>
            </w:r>
          </w:p>
        </w:tc>
        <w:tc>
          <w:tcPr>
            <w:tcW w:w="3150" w:type="dxa"/>
            <w:gridSpan w:val="3"/>
            <w:shd w:val="clear" w:color="auto" w:fill="D0CECE" w:themeFill="background2" w:themeFillShade="E6"/>
          </w:tcPr>
          <w:p w:rsidR="000B48B9" w:rsidP="00732B1E" w:rsidRDefault="000B48B9" w14:paraId="6165DD0C" w14:textId="77777777">
            <w:pPr>
              <w:autoSpaceDE w:val="0"/>
              <w:autoSpaceDN w:val="0"/>
              <w:adjustRightInd w:val="0"/>
              <w:spacing w:before="20" w:after="20"/>
              <w:jc w:val="center"/>
              <w:rPr>
                <w:rFonts w:ascii="Arial" w:hAnsi="Arial" w:cs="Arial"/>
                <w:b/>
                <w:sz w:val="20"/>
                <w:szCs w:val="20"/>
                <w:lang w:val="es-CO"/>
              </w:rPr>
            </w:pPr>
            <w:r>
              <w:rPr>
                <w:rFonts w:ascii="Arial" w:hAnsi="Arial" w:cs="Arial"/>
                <w:b/>
                <w:sz w:val="20"/>
                <w:szCs w:val="20"/>
                <w:lang w:val="es-CO"/>
              </w:rPr>
              <w:t>Año 2</w:t>
            </w:r>
          </w:p>
        </w:tc>
        <w:tc>
          <w:tcPr>
            <w:tcW w:w="3165" w:type="dxa"/>
            <w:gridSpan w:val="3"/>
            <w:shd w:val="clear" w:color="auto" w:fill="D0CECE" w:themeFill="background2" w:themeFillShade="E6"/>
          </w:tcPr>
          <w:p w:rsidR="000B48B9" w:rsidP="00732B1E" w:rsidRDefault="000B48B9" w14:paraId="1BDDF006" w14:textId="77777777">
            <w:pPr>
              <w:autoSpaceDE w:val="0"/>
              <w:autoSpaceDN w:val="0"/>
              <w:adjustRightInd w:val="0"/>
              <w:spacing w:before="20" w:after="20"/>
              <w:jc w:val="center"/>
              <w:rPr>
                <w:rFonts w:ascii="Arial" w:hAnsi="Arial" w:cs="Arial"/>
                <w:b/>
                <w:sz w:val="20"/>
                <w:szCs w:val="20"/>
                <w:lang w:val="es-CO"/>
              </w:rPr>
            </w:pPr>
            <w:r>
              <w:rPr>
                <w:rFonts w:ascii="Arial" w:hAnsi="Arial" w:cs="Arial"/>
                <w:b/>
                <w:sz w:val="20"/>
                <w:szCs w:val="20"/>
                <w:lang w:val="es-CO"/>
              </w:rPr>
              <w:t>Año 3</w:t>
            </w:r>
          </w:p>
        </w:tc>
        <w:tc>
          <w:tcPr>
            <w:tcW w:w="1170" w:type="dxa"/>
            <w:vMerge w:val="restart"/>
            <w:shd w:val="clear" w:color="auto" w:fill="D0CECE" w:themeFill="background2" w:themeFillShade="E6"/>
            <w:vAlign w:val="center"/>
          </w:tcPr>
          <w:p w:rsidRPr="00255351" w:rsidR="000B48B9" w:rsidP="00732B1E" w:rsidRDefault="000B48B9" w14:paraId="2C4DE7C7" w14:textId="77777777">
            <w:pPr>
              <w:autoSpaceDE w:val="0"/>
              <w:autoSpaceDN w:val="0"/>
              <w:adjustRightInd w:val="0"/>
              <w:spacing w:before="20" w:after="20"/>
              <w:jc w:val="center"/>
              <w:rPr>
                <w:rFonts w:ascii="Arial" w:hAnsi="Arial" w:cs="Arial"/>
                <w:b/>
                <w:sz w:val="20"/>
                <w:szCs w:val="20"/>
                <w:lang w:val="es-CO"/>
              </w:rPr>
            </w:pPr>
            <w:r>
              <w:rPr>
                <w:rFonts w:ascii="Arial" w:hAnsi="Arial" w:cs="Arial"/>
                <w:b/>
                <w:sz w:val="20"/>
                <w:szCs w:val="20"/>
                <w:lang w:val="es-CO"/>
              </w:rPr>
              <w:t xml:space="preserve">Monto total </w:t>
            </w:r>
          </w:p>
        </w:tc>
      </w:tr>
      <w:tr w:rsidRPr="00255351" w:rsidR="000B48B9" w:rsidTr="00CA2ECC" w14:paraId="5A3CE76D" w14:textId="77777777">
        <w:trPr>
          <w:trHeight w:val="304"/>
          <w:tblHeader/>
          <w:jc w:val="center"/>
        </w:trPr>
        <w:tc>
          <w:tcPr>
            <w:tcW w:w="3505" w:type="dxa"/>
            <w:vMerge/>
            <w:shd w:val="clear" w:color="auto" w:fill="D0CECE" w:themeFill="background2" w:themeFillShade="E6"/>
          </w:tcPr>
          <w:p w:rsidRPr="00255351" w:rsidR="000B48B9" w:rsidP="00732B1E" w:rsidRDefault="000B48B9" w14:paraId="73B331D3" w14:textId="77777777">
            <w:pPr>
              <w:autoSpaceDE w:val="0"/>
              <w:autoSpaceDN w:val="0"/>
              <w:adjustRightInd w:val="0"/>
              <w:spacing w:before="20" w:after="20"/>
              <w:rPr>
                <w:rFonts w:ascii="Arial" w:hAnsi="Arial" w:cs="Arial"/>
                <w:b/>
                <w:bCs/>
                <w:smallCaps/>
                <w:sz w:val="20"/>
                <w:szCs w:val="20"/>
                <w:lang w:val="es-CO"/>
              </w:rPr>
            </w:pPr>
          </w:p>
        </w:tc>
        <w:tc>
          <w:tcPr>
            <w:tcW w:w="773" w:type="dxa"/>
            <w:shd w:val="clear" w:color="auto" w:fill="D0CECE" w:themeFill="background2" w:themeFillShade="E6"/>
            <w:vAlign w:val="center"/>
          </w:tcPr>
          <w:p w:rsidRPr="00255351" w:rsidR="000B48B9" w:rsidP="00732B1E" w:rsidRDefault="000B48B9" w14:paraId="3C8B5D65" w14:textId="77777777">
            <w:pPr>
              <w:autoSpaceDE w:val="0"/>
              <w:autoSpaceDN w:val="0"/>
              <w:adjustRightInd w:val="0"/>
              <w:spacing w:before="20" w:after="20"/>
              <w:jc w:val="center"/>
              <w:rPr>
                <w:rFonts w:ascii="Arial" w:hAnsi="Arial" w:cs="Arial"/>
                <w:b/>
                <w:bCs/>
                <w:smallCaps/>
                <w:sz w:val="20"/>
                <w:szCs w:val="20"/>
                <w:lang w:val="es-CO"/>
              </w:rPr>
            </w:pPr>
            <w:r>
              <w:rPr>
                <w:rFonts w:ascii="Arial" w:hAnsi="Arial" w:cs="Arial"/>
                <w:b/>
                <w:bCs/>
                <w:smallCaps/>
                <w:sz w:val="20"/>
                <w:szCs w:val="20"/>
                <w:lang w:val="es-CO"/>
              </w:rPr>
              <w:t>Meta</w:t>
            </w:r>
          </w:p>
        </w:tc>
        <w:tc>
          <w:tcPr>
            <w:tcW w:w="873" w:type="dxa"/>
            <w:shd w:val="clear" w:color="auto" w:fill="D0CECE" w:themeFill="background2" w:themeFillShade="E6"/>
            <w:vAlign w:val="center"/>
          </w:tcPr>
          <w:p w:rsidRPr="00255351" w:rsidR="000B48B9" w:rsidP="00732B1E" w:rsidRDefault="000B48B9" w14:paraId="498ABB57" w14:textId="77777777">
            <w:pPr>
              <w:autoSpaceDE w:val="0"/>
              <w:autoSpaceDN w:val="0"/>
              <w:adjustRightInd w:val="0"/>
              <w:spacing w:before="20" w:after="20"/>
              <w:jc w:val="center"/>
              <w:rPr>
                <w:rFonts w:ascii="Arial" w:hAnsi="Arial" w:cs="Arial"/>
                <w:b/>
                <w:bCs/>
                <w:smallCaps/>
                <w:sz w:val="20"/>
                <w:szCs w:val="20"/>
                <w:lang w:val="es-CO"/>
              </w:rPr>
            </w:pPr>
            <w:r>
              <w:rPr>
                <w:rFonts w:ascii="Arial" w:hAnsi="Arial" w:cs="Arial"/>
                <w:b/>
                <w:bCs/>
                <w:smallCaps/>
                <w:sz w:val="20"/>
                <w:szCs w:val="20"/>
                <w:lang w:val="es-CO"/>
              </w:rPr>
              <w:t xml:space="preserve">Monto </w:t>
            </w:r>
          </w:p>
        </w:tc>
        <w:tc>
          <w:tcPr>
            <w:tcW w:w="1039" w:type="dxa"/>
            <w:shd w:val="clear" w:color="auto" w:fill="D0CECE" w:themeFill="background2" w:themeFillShade="E6"/>
          </w:tcPr>
          <w:p w:rsidR="000B48B9" w:rsidP="00732B1E" w:rsidRDefault="000B48B9" w14:paraId="6A41D5AA" w14:textId="77777777">
            <w:pPr>
              <w:autoSpaceDE w:val="0"/>
              <w:autoSpaceDN w:val="0"/>
              <w:adjustRightInd w:val="0"/>
              <w:spacing w:before="20" w:after="20"/>
              <w:jc w:val="center"/>
              <w:rPr>
                <w:rFonts w:ascii="Arial" w:hAnsi="Arial" w:cs="Arial"/>
                <w:b/>
                <w:bCs/>
                <w:smallCaps/>
                <w:sz w:val="20"/>
                <w:szCs w:val="20"/>
                <w:lang w:val="es-CO"/>
              </w:rPr>
            </w:pPr>
            <w:r>
              <w:rPr>
                <w:rFonts w:ascii="Arial" w:hAnsi="Arial" w:cs="Arial"/>
                <w:b/>
                <w:bCs/>
                <w:smallCaps/>
                <w:sz w:val="20"/>
                <w:szCs w:val="20"/>
                <w:lang w:val="es-CO"/>
              </w:rPr>
              <w:t>Fuente</w:t>
            </w:r>
          </w:p>
        </w:tc>
        <w:tc>
          <w:tcPr>
            <w:tcW w:w="1095" w:type="dxa"/>
            <w:shd w:val="clear" w:color="auto" w:fill="D0CECE" w:themeFill="background2" w:themeFillShade="E6"/>
            <w:vAlign w:val="center"/>
          </w:tcPr>
          <w:p w:rsidRPr="00255351" w:rsidR="000B48B9" w:rsidP="00732B1E" w:rsidRDefault="000B48B9" w14:paraId="7AAECB86" w14:textId="77777777">
            <w:pPr>
              <w:autoSpaceDE w:val="0"/>
              <w:autoSpaceDN w:val="0"/>
              <w:adjustRightInd w:val="0"/>
              <w:spacing w:before="20" w:after="20"/>
              <w:jc w:val="center"/>
              <w:rPr>
                <w:rFonts w:ascii="Arial" w:hAnsi="Arial" w:cs="Arial"/>
                <w:b/>
                <w:bCs/>
                <w:smallCaps/>
                <w:sz w:val="20"/>
                <w:szCs w:val="20"/>
                <w:lang w:val="es-CO"/>
              </w:rPr>
            </w:pPr>
            <w:r>
              <w:rPr>
                <w:rFonts w:ascii="Arial" w:hAnsi="Arial" w:cs="Arial"/>
                <w:b/>
                <w:bCs/>
                <w:smallCaps/>
                <w:sz w:val="20"/>
                <w:szCs w:val="20"/>
                <w:lang w:val="es-CO"/>
              </w:rPr>
              <w:t>Meta</w:t>
            </w:r>
          </w:p>
        </w:tc>
        <w:tc>
          <w:tcPr>
            <w:tcW w:w="900" w:type="dxa"/>
            <w:shd w:val="clear" w:color="auto" w:fill="D0CECE" w:themeFill="background2" w:themeFillShade="E6"/>
            <w:vAlign w:val="center"/>
          </w:tcPr>
          <w:p w:rsidRPr="00255351" w:rsidR="000B48B9" w:rsidP="00732B1E" w:rsidRDefault="000B48B9" w14:paraId="1EC2BBAF" w14:textId="77777777">
            <w:pPr>
              <w:autoSpaceDE w:val="0"/>
              <w:autoSpaceDN w:val="0"/>
              <w:adjustRightInd w:val="0"/>
              <w:spacing w:before="20" w:after="20"/>
              <w:jc w:val="center"/>
              <w:rPr>
                <w:rFonts w:ascii="Arial" w:hAnsi="Arial" w:cs="Arial"/>
                <w:b/>
                <w:bCs/>
                <w:smallCaps/>
                <w:sz w:val="20"/>
                <w:szCs w:val="20"/>
                <w:lang w:val="es-CO"/>
              </w:rPr>
            </w:pPr>
            <w:r>
              <w:rPr>
                <w:rFonts w:ascii="Arial" w:hAnsi="Arial" w:cs="Arial"/>
                <w:b/>
                <w:bCs/>
                <w:smallCaps/>
                <w:sz w:val="20"/>
                <w:szCs w:val="20"/>
                <w:lang w:val="es-CO"/>
              </w:rPr>
              <w:t xml:space="preserve">Monto </w:t>
            </w:r>
          </w:p>
        </w:tc>
        <w:tc>
          <w:tcPr>
            <w:tcW w:w="1155" w:type="dxa"/>
            <w:shd w:val="clear" w:color="auto" w:fill="D0CECE" w:themeFill="background2" w:themeFillShade="E6"/>
          </w:tcPr>
          <w:p w:rsidR="000B48B9" w:rsidP="00732B1E" w:rsidRDefault="000B48B9" w14:paraId="2FA6E08C" w14:textId="77777777">
            <w:pPr>
              <w:autoSpaceDE w:val="0"/>
              <w:autoSpaceDN w:val="0"/>
              <w:adjustRightInd w:val="0"/>
              <w:spacing w:before="20" w:after="20"/>
              <w:jc w:val="center"/>
              <w:rPr>
                <w:rFonts w:ascii="Arial" w:hAnsi="Arial" w:cs="Arial"/>
                <w:b/>
                <w:bCs/>
                <w:smallCaps/>
                <w:sz w:val="20"/>
                <w:szCs w:val="20"/>
                <w:lang w:val="es-CO"/>
              </w:rPr>
            </w:pPr>
            <w:r>
              <w:rPr>
                <w:rFonts w:ascii="Arial" w:hAnsi="Arial" w:cs="Arial"/>
                <w:b/>
                <w:bCs/>
                <w:smallCaps/>
                <w:sz w:val="20"/>
                <w:szCs w:val="20"/>
                <w:lang w:val="es-CO"/>
              </w:rPr>
              <w:t>Fuente</w:t>
            </w:r>
          </w:p>
        </w:tc>
        <w:tc>
          <w:tcPr>
            <w:tcW w:w="1095" w:type="dxa"/>
            <w:shd w:val="clear" w:color="auto" w:fill="D0CECE" w:themeFill="background2" w:themeFillShade="E6"/>
            <w:vAlign w:val="center"/>
          </w:tcPr>
          <w:p w:rsidRPr="00255351" w:rsidR="000B48B9" w:rsidP="00732B1E" w:rsidRDefault="000B48B9" w14:paraId="300128A3" w14:textId="77777777">
            <w:pPr>
              <w:autoSpaceDE w:val="0"/>
              <w:autoSpaceDN w:val="0"/>
              <w:adjustRightInd w:val="0"/>
              <w:spacing w:before="20" w:after="20"/>
              <w:jc w:val="center"/>
              <w:rPr>
                <w:rFonts w:ascii="Arial" w:hAnsi="Arial" w:cs="Arial"/>
                <w:b/>
                <w:bCs/>
                <w:smallCaps/>
                <w:sz w:val="20"/>
                <w:szCs w:val="20"/>
                <w:lang w:val="es-CO"/>
              </w:rPr>
            </w:pPr>
            <w:r>
              <w:rPr>
                <w:rFonts w:ascii="Arial" w:hAnsi="Arial" w:cs="Arial"/>
                <w:b/>
                <w:bCs/>
                <w:smallCaps/>
                <w:sz w:val="20"/>
                <w:szCs w:val="20"/>
                <w:lang w:val="es-CO"/>
              </w:rPr>
              <w:t>Meta</w:t>
            </w:r>
          </w:p>
        </w:tc>
        <w:tc>
          <w:tcPr>
            <w:tcW w:w="953" w:type="dxa"/>
            <w:shd w:val="clear" w:color="auto" w:fill="D0CECE" w:themeFill="background2" w:themeFillShade="E6"/>
            <w:vAlign w:val="center"/>
          </w:tcPr>
          <w:p w:rsidRPr="00255351" w:rsidR="000B48B9" w:rsidP="00732B1E" w:rsidRDefault="000B48B9" w14:paraId="3780BD86" w14:textId="77777777">
            <w:pPr>
              <w:autoSpaceDE w:val="0"/>
              <w:autoSpaceDN w:val="0"/>
              <w:adjustRightInd w:val="0"/>
              <w:spacing w:before="20" w:after="20"/>
              <w:jc w:val="center"/>
              <w:rPr>
                <w:rFonts w:ascii="Arial" w:hAnsi="Arial" w:cs="Arial"/>
                <w:b/>
                <w:bCs/>
                <w:smallCaps/>
                <w:sz w:val="20"/>
                <w:szCs w:val="20"/>
                <w:lang w:val="es-CO"/>
              </w:rPr>
            </w:pPr>
            <w:r>
              <w:rPr>
                <w:rFonts w:ascii="Arial" w:hAnsi="Arial" w:cs="Arial"/>
                <w:b/>
                <w:bCs/>
                <w:smallCaps/>
                <w:sz w:val="20"/>
                <w:szCs w:val="20"/>
                <w:lang w:val="es-CO"/>
              </w:rPr>
              <w:t xml:space="preserve">Monto </w:t>
            </w:r>
          </w:p>
        </w:tc>
        <w:tc>
          <w:tcPr>
            <w:tcW w:w="1117" w:type="dxa"/>
            <w:shd w:val="clear" w:color="auto" w:fill="D0CECE" w:themeFill="background2" w:themeFillShade="E6"/>
          </w:tcPr>
          <w:p w:rsidRPr="00255351" w:rsidR="000B48B9" w:rsidP="00732B1E" w:rsidRDefault="000B48B9" w14:paraId="60F37C05" w14:textId="77777777">
            <w:pPr>
              <w:autoSpaceDE w:val="0"/>
              <w:autoSpaceDN w:val="0"/>
              <w:adjustRightInd w:val="0"/>
              <w:spacing w:before="20" w:after="20"/>
              <w:rPr>
                <w:rFonts w:ascii="Arial" w:hAnsi="Arial" w:cs="Arial"/>
                <w:b/>
                <w:bCs/>
                <w:smallCaps/>
                <w:sz w:val="20"/>
                <w:szCs w:val="20"/>
                <w:lang w:val="es-CO"/>
              </w:rPr>
            </w:pPr>
            <w:r>
              <w:rPr>
                <w:rFonts w:ascii="Arial" w:hAnsi="Arial" w:cs="Arial"/>
                <w:b/>
                <w:bCs/>
                <w:smallCaps/>
                <w:sz w:val="20"/>
                <w:szCs w:val="20"/>
                <w:lang w:val="es-CO"/>
              </w:rPr>
              <w:t>Fuente</w:t>
            </w:r>
          </w:p>
        </w:tc>
        <w:tc>
          <w:tcPr>
            <w:tcW w:w="1170" w:type="dxa"/>
            <w:vMerge/>
          </w:tcPr>
          <w:p w:rsidRPr="00255351" w:rsidR="000B48B9" w:rsidP="00732B1E" w:rsidRDefault="000B48B9" w14:paraId="77E9AA73" w14:textId="77777777">
            <w:pPr>
              <w:autoSpaceDE w:val="0"/>
              <w:autoSpaceDN w:val="0"/>
              <w:adjustRightInd w:val="0"/>
              <w:spacing w:before="20" w:after="20"/>
              <w:rPr>
                <w:rFonts w:ascii="Arial" w:hAnsi="Arial" w:cs="Arial"/>
                <w:b/>
                <w:bCs/>
                <w:smallCaps/>
                <w:sz w:val="20"/>
                <w:szCs w:val="20"/>
                <w:lang w:val="es-CO"/>
              </w:rPr>
            </w:pPr>
          </w:p>
        </w:tc>
      </w:tr>
      <w:tr w:rsidRPr="0074515C" w:rsidR="000B48B9" w:rsidTr="004C6708" w14:paraId="0F338354" w14:textId="77777777">
        <w:trPr>
          <w:trHeight w:val="144"/>
          <w:jc w:val="center"/>
        </w:trPr>
        <w:tc>
          <w:tcPr>
            <w:tcW w:w="3505" w:type="dxa"/>
          </w:tcPr>
          <w:p w:rsidRPr="00255351" w:rsidR="000B48B9" w:rsidP="00732B1E" w:rsidRDefault="000B48B9" w14:paraId="6D871EEE" w14:textId="77777777">
            <w:pPr>
              <w:autoSpaceDE w:val="0"/>
              <w:autoSpaceDN w:val="0"/>
              <w:adjustRightInd w:val="0"/>
              <w:spacing w:before="20" w:after="20"/>
              <w:rPr>
                <w:rFonts w:ascii="Arial" w:hAnsi="Arial" w:cs="Arial"/>
                <w:sz w:val="20"/>
                <w:szCs w:val="20"/>
                <w:highlight w:val="yellow"/>
                <w:lang w:val="es-CO"/>
              </w:rPr>
            </w:pPr>
            <w:r>
              <w:rPr>
                <w:rFonts w:ascii="Arial" w:hAnsi="Arial" w:cs="Arial"/>
                <w:sz w:val="20"/>
                <w:szCs w:val="20"/>
                <w:lang w:val="es-CO"/>
              </w:rPr>
              <w:t xml:space="preserve">1. </w:t>
            </w:r>
            <w:r w:rsidRPr="00255351">
              <w:rPr>
                <w:rFonts w:ascii="Arial" w:hAnsi="Arial" w:cs="Arial"/>
                <w:sz w:val="20"/>
                <w:szCs w:val="20"/>
                <w:lang w:val="es-CO"/>
              </w:rPr>
              <w:t xml:space="preserve">Ahorro </w:t>
            </w:r>
            <w:r>
              <w:rPr>
                <w:rFonts w:ascii="Arial" w:hAnsi="Arial" w:cs="Arial"/>
                <w:sz w:val="20"/>
                <w:szCs w:val="20"/>
                <w:lang w:val="es-CO"/>
              </w:rPr>
              <w:t xml:space="preserve">por valores máximos de recobro o techos presupuestales </w:t>
            </w:r>
            <w:r w:rsidRPr="00255351">
              <w:rPr>
                <w:rFonts w:ascii="Arial" w:hAnsi="Arial" w:cs="Arial"/>
                <w:sz w:val="20"/>
                <w:szCs w:val="20"/>
                <w:lang w:val="es-CO"/>
              </w:rPr>
              <w:t>en servicios y tecnologías no financiadas con la UPC en régimen contributivo</w:t>
            </w:r>
            <w:r>
              <w:rPr>
                <w:rFonts w:ascii="Arial" w:hAnsi="Arial" w:cs="Arial"/>
                <w:sz w:val="20"/>
                <w:szCs w:val="20"/>
                <w:lang w:val="es-CO"/>
              </w:rPr>
              <w:t xml:space="preserve"> </w:t>
            </w:r>
            <w:r>
              <w:rPr>
                <w:rFonts w:ascii="Arial" w:hAnsi="Arial" w:cs="Arial"/>
                <w:b/>
                <w:bCs/>
                <w:smallCaps/>
                <w:sz w:val="20"/>
                <w:szCs w:val="20"/>
                <w:lang w:val="es-CO"/>
              </w:rPr>
              <w:t>(miles de millones)</w:t>
            </w:r>
          </w:p>
        </w:tc>
        <w:tc>
          <w:tcPr>
            <w:tcW w:w="773" w:type="dxa"/>
            <w:vAlign w:val="center"/>
          </w:tcPr>
          <w:p w:rsidRPr="00255351" w:rsidR="000B48B9" w:rsidP="00732B1E" w:rsidRDefault="000B48B9" w14:paraId="73BA8499" w14:textId="77777777">
            <w:pPr>
              <w:autoSpaceDE w:val="0"/>
              <w:autoSpaceDN w:val="0"/>
              <w:adjustRightInd w:val="0"/>
              <w:spacing w:before="20" w:after="20"/>
              <w:jc w:val="center"/>
              <w:rPr>
                <w:rFonts w:ascii="Arial" w:hAnsi="Arial" w:cs="Arial"/>
                <w:sz w:val="20"/>
                <w:szCs w:val="20"/>
                <w:lang w:val="es-CO"/>
              </w:rPr>
            </w:pPr>
            <w:r>
              <w:rPr>
                <w:rFonts w:ascii="Arial" w:hAnsi="Arial" w:cs="Arial"/>
                <w:sz w:val="20"/>
                <w:szCs w:val="20"/>
                <w:lang w:val="es-CO"/>
              </w:rPr>
              <w:t>COP$20</w:t>
            </w:r>
          </w:p>
        </w:tc>
        <w:tc>
          <w:tcPr>
            <w:tcW w:w="873" w:type="dxa"/>
            <w:vAlign w:val="center"/>
          </w:tcPr>
          <w:p w:rsidRPr="00255351" w:rsidR="000B48B9" w:rsidP="00732B1E" w:rsidRDefault="000B48B9" w14:paraId="557DD066" w14:textId="77777777">
            <w:pPr>
              <w:autoSpaceDE w:val="0"/>
              <w:autoSpaceDN w:val="0"/>
              <w:adjustRightInd w:val="0"/>
              <w:spacing w:before="20" w:after="20"/>
              <w:jc w:val="center"/>
              <w:rPr>
                <w:rFonts w:ascii="Arial" w:hAnsi="Arial" w:cs="Arial"/>
                <w:sz w:val="20"/>
                <w:szCs w:val="20"/>
                <w:lang w:val="es-CO"/>
              </w:rPr>
            </w:pPr>
            <w:r>
              <w:rPr>
                <w:rFonts w:ascii="Arial" w:hAnsi="Arial" w:cs="Arial"/>
                <w:sz w:val="20"/>
                <w:szCs w:val="20"/>
                <w:lang w:val="es-CO"/>
              </w:rPr>
              <w:t>17.5</w:t>
            </w:r>
          </w:p>
        </w:tc>
        <w:tc>
          <w:tcPr>
            <w:tcW w:w="1039" w:type="dxa"/>
            <w:vAlign w:val="center"/>
          </w:tcPr>
          <w:p w:rsidR="000B48B9" w:rsidP="00732B1E" w:rsidRDefault="000B48B9" w14:paraId="56B0CBC5" w14:textId="77777777">
            <w:pPr>
              <w:autoSpaceDE w:val="0"/>
              <w:autoSpaceDN w:val="0"/>
              <w:adjustRightInd w:val="0"/>
              <w:spacing w:before="20" w:after="20"/>
              <w:jc w:val="center"/>
              <w:rPr>
                <w:rFonts w:ascii="Arial" w:hAnsi="Arial" w:cs="Arial"/>
                <w:sz w:val="20"/>
                <w:szCs w:val="20"/>
                <w:lang w:val="es-CO"/>
              </w:rPr>
            </w:pPr>
            <w:r>
              <w:rPr>
                <w:rFonts w:ascii="Arial" w:hAnsi="Arial" w:cs="Arial"/>
                <w:sz w:val="20"/>
                <w:szCs w:val="20"/>
                <w:lang w:val="es-CO"/>
              </w:rPr>
              <w:t>Capital Ordinario</w:t>
            </w:r>
          </w:p>
        </w:tc>
        <w:tc>
          <w:tcPr>
            <w:tcW w:w="1095" w:type="dxa"/>
            <w:vAlign w:val="center"/>
          </w:tcPr>
          <w:p w:rsidRPr="00255351" w:rsidR="000B48B9" w:rsidP="00732B1E" w:rsidRDefault="000B48B9" w14:paraId="578621ED" w14:textId="77777777">
            <w:pPr>
              <w:autoSpaceDE w:val="0"/>
              <w:autoSpaceDN w:val="0"/>
              <w:adjustRightInd w:val="0"/>
              <w:spacing w:before="20" w:after="20"/>
              <w:jc w:val="center"/>
              <w:rPr>
                <w:rFonts w:ascii="Arial" w:hAnsi="Arial" w:cs="Arial"/>
                <w:sz w:val="20"/>
                <w:szCs w:val="20"/>
                <w:lang w:val="es-CO"/>
              </w:rPr>
            </w:pPr>
            <w:r>
              <w:rPr>
                <w:rFonts w:ascii="Arial" w:hAnsi="Arial" w:cs="Arial"/>
                <w:sz w:val="20"/>
                <w:szCs w:val="20"/>
                <w:lang w:val="es-CO"/>
              </w:rPr>
              <w:t>COP$150</w:t>
            </w:r>
          </w:p>
        </w:tc>
        <w:tc>
          <w:tcPr>
            <w:tcW w:w="900" w:type="dxa"/>
            <w:vAlign w:val="center"/>
          </w:tcPr>
          <w:p w:rsidRPr="00255351" w:rsidR="000B48B9" w:rsidP="00732B1E" w:rsidRDefault="000B48B9" w14:paraId="4FD06760" w14:textId="77777777">
            <w:pPr>
              <w:autoSpaceDE w:val="0"/>
              <w:autoSpaceDN w:val="0"/>
              <w:adjustRightInd w:val="0"/>
              <w:spacing w:before="20" w:after="20"/>
              <w:jc w:val="center"/>
              <w:rPr>
                <w:rFonts w:ascii="Arial" w:hAnsi="Arial" w:cs="Arial"/>
                <w:sz w:val="20"/>
                <w:szCs w:val="20"/>
                <w:lang w:val="es-CO"/>
              </w:rPr>
            </w:pPr>
            <w:r>
              <w:rPr>
                <w:rFonts w:ascii="Arial" w:hAnsi="Arial" w:cs="Arial"/>
                <w:sz w:val="20"/>
                <w:szCs w:val="20"/>
                <w:lang w:val="es-CO"/>
              </w:rPr>
              <w:t>17.5</w:t>
            </w:r>
          </w:p>
        </w:tc>
        <w:tc>
          <w:tcPr>
            <w:tcW w:w="1155" w:type="dxa"/>
            <w:vAlign w:val="center"/>
          </w:tcPr>
          <w:p w:rsidR="000B48B9" w:rsidP="00732B1E" w:rsidRDefault="000B48B9" w14:paraId="091AA565" w14:textId="77777777">
            <w:pPr>
              <w:autoSpaceDE w:val="0"/>
              <w:autoSpaceDN w:val="0"/>
              <w:adjustRightInd w:val="0"/>
              <w:spacing w:before="20" w:after="20"/>
              <w:jc w:val="center"/>
              <w:rPr>
                <w:rFonts w:ascii="Arial" w:hAnsi="Arial" w:cs="Arial"/>
                <w:sz w:val="20"/>
                <w:szCs w:val="20"/>
                <w:lang w:val="es-CO"/>
              </w:rPr>
            </w:pPr>
            <w:r>
              <w:rPr>
                <w:rFonts w:ascii="Arial" w:hAnsi="Arial" w:cs="Arial"/>
                <w:sz w:val="20"/>
                <w:szCs w:val="20"/>
                <w:lang w:val="es-CO"/>
              </w:rPr>
              <w:t>Capital Ordinario</w:t>
            </w:r>
          </w:p>
        </w:tc>
        <w:tc>
          <w:tcPr>
            <w:tcW w:w="1095" w:type="dxa"/>
            <w:vAlign w:val="center"/>
          </w:tcPr>
          <w:p w:rsidRPr="00255351" w:rsidR="000B48B9" w:rsidP="00732B1E" w:rsidRDefault="000B48B9" w14:paraId="5E47CD29" w14:textId="77777777">
            <w:pPr>
              <w:autoSpaceDE w:val="0"/>
              <w:autoSpaceDN w:val="0"/>
              <w:adjustRightInd w:val="0"/>
              <w:spacing w:before="20" w:after="20"/>
              <w:jc w:val="center"/>
              <w:rPr>
                <w:rFonts w:ascii="Arial" w:hAnsi="Arial" w:cs="Arial"/>
                <w:sz w:val="20"/>
                <w:szCs w:val="20"/>
                <w:lang w:val="es-CO"/>
              </w:rPr>
            </w:pPr>
            <w:r>
              <w:rPr>
                <w:rFonts w:ascii="Arial" w:hAnsi="Arial" w:cs="Arial"/>
                <w:sz w:val="20"/>
                <w:szCs w:val="20"/>
                <w:lang w:val="es-CO"/>
              </w:rPr>
              <w:t>COP$250</w:t>
            </w:r>
          </w:p>
        </w:tc>
        <w:tc>
          <w:tcPr>
            <w:tcW w:w="953" w:type="dxa"/>
            <w:vAlign w:val="center"/>
          </w:tcPr>
          <w:p w:rsidRPr="00255351" w:rsidR="000B48B9" w:rsidP="00732B1E" w:rsidRDefault="000B48B9" w14:paraId="039683F3" w14:textId="77777777">
            <w:pPr>
              <w:autoSpaceDE w:val="0"/>
              <w:autoSpaceDN w:val="0"/>
              <w:adjustRightInd w:val="0"/>
              <w:spacing w:before="20" w:after="20"/>
              <w:jc w:val="center"/>
              <w:rPr>
                <w:rFonts w:ascii="Arial" w:hAnsi="Arial" w:cs="Arial"/>
                <w:sz w:val="20"/>
                <w:szCs w:val="20"/>
                <w:lang w:val="es-CO"/>
              </w:rPr>
            </w:pPr>
            <w:r>
              <w:rPr>
                <w:rFonts w:ascii="Arial" w:hAnsi="Arial" w:cs="Arial"/>
                <w:sz w:val="20"/>
                <w:szCs w:val="20"/>
                <w:lang w:val="es-CO"/>
              </w:rPr>
              <w:t>40</w:t>
            </w:r>
          </w:p>
        </w:tc>
        <w:tc>
          <w:tcPr>
            <w:tcW w:w="1117" w:type="dxa"/>
            <w:vAlign w:val="center"/>
          </w:tcPr>
          <w:p w:rsidR="000B48B9" w:rsidP="00732B1E" w:rsidRDefault="000B48B9" w14:paraId="4050C3E4" w14:textId="77777777">
            <w:pPr>
              <w:autoSpaceDE w:val="0"/>
              <w:autoSpaceDN w:val="0"/>
              <w:adjustRightInd w:val="0"/>
              <w:spacing w:before="20" w:after="20"/>
              <w:jc w:val="center"/>
              <w:rPr>
                <w:rFonts w:ascii="Arial" w:hAnsi="Arial" w:cs="Arial"/>
                <w:sz w:val="20"/>
                <w:szCs w:val="20"/>
                <w:lang w:val="es-CO"/>
              </w:rPr>
            </w:pPr>
            <w:r>
              <w:rPr>
                <w:rFonts w:ascii="Arial" w:hAnsi="Arial" w:cs="Arial"/>
                <w:sz w:val="20"/>
                <w:szCs w:val="20"/>
                <w:lang w:val="es-CO"/>
              </w:rPr>
              <w:t>Capital Ordinario</w:t>
            </w:r>
          </w:p>
        </w:tc>
        <w:tc>
          <w:tcPr>
            <w:tcW w:w="1170" w:type="dxa"/>
            <w:vAlign w:val="center"/>
          </w:tcPr>
          <w:p w:rsidRPr="00255351" w:rsidR="000B48B9" w:rsidP="00732B1E" w:rsidRDefault="000B48B9" w14:paraId="7577C7A9" w14:textId="77777777">
            <w:pPr>
              <w:autoSpaceDE w:val="0"/>
              <w:autoSpaceDN w:val="0"/>
              <w:adjustRightInd w:val="0"/>
              <w:spacing w:before="20" w:after="20"/>
              <w:jc w:val="center"/>
              <w:rPr>
                <w:rFonts w:ascii="Arial" w:hAnsi="Arial" w:cs="Arial"/>
                <w:bCs/>
                <w:sz w:val="20"/>
                <w:szCs w:val="20"/>
                <w:lang w:val="es-CO"/>
              </w:rPr>
            </w:pPr>
            <w:r>
              <w:rPr>
                <w:rFonts w:ascii="Arial" w:hAnsi="Arial" w:cs="Arial"/>
                <w:sz w:val="20"/>
                <w:szCs w:val="20"/>
                <w:lang w:val="es-CO"/>
              </w:rPr>
              <w:t>75</w:t>
            </w:r>
          </w:p>
        </w:tc>
      </w:tr>
      <w:tr w:rsidRPr="0074515C" w:rsidR="000B48B9" w:rsidTr="00CA2ECC" w14:paraId="1FD7F4C3" w14:textId="77777777">
        <w:trPr>
          <w:trHeight w:val="144"/>
          <w:jc w:val="center"/>
        </w:trPr>
        <w:tc>
          <w:tcPr>
            <w:tcW w:w="3505" w:type="dxa"/>
          </w:tcPr>
          <w:p w:rsidRPr="00DB6A5F" w:rsidR="000B48B9" w:rsidP="00732B1E" w:rsidRDefault="000B48B9" w14:paraId="4641D467" w14:textId="77777777">
            <w:pPr>
              <w:autoSpaceDE w:val="0"/>
              <w:autoSpaceDN w:val="0"/>
              <w:adjustRightInd w:val="0"/>
              <w:spacing w:before="20" w:after="20"/>
              <w:rPr>
                <w:rFonts w:ascii="Arial" w:hAnsi="Arial" w:cs="Arial"/>
                <w:sz w:val="20"/>
                <w:szCs w:val="20"/>
                <w:lang w:val="es-CO"/>
              </w:rPr>
            </w:pPr>
            <w:r>
              <w:rPr>
                <w:rFonts w:ascii="Arial" w:hAnsi="Arial" w:cs="Arial"/>
                <w:sz w:val="20"/>
                <w:szCs w:val="20"/>
                <w:lang w:val="es-CO"/>
              </w:rPr>
              <w:t>2. Número de departamentos/distrito a los cuales se les hace seguimiento de actividades programáticas de promoción y mantenimiento</w:t>
            </w:r>
            <w:r w:rsidRPr="00DB6A5F">
              <w:rPr>
                <w:rFonts w:ascii="Arial" w:hAnsi="Arial" w:cs="Arial"/>
                <w:sz w:val="20"/>
                <w:szCs w:val="20"/>
                <w:lang w:val="es-CO"/>
              </w:rPr>
              <w:t xml:space="preserve"> </w:t>
            </w:r>
            <w:r>
              <w:rPr>
                <w:rFonts w:ascii="Arial" w:hAnsi="Arial" w:cs="Arial"/>
                <w:sz w:val="20"/>
                <w:szCs w:val="20"/>
                <w:lang w:val="es-CO"/>
              </w:rPr>
              <w:t>de la salud en el marco de los acuerdos MAITE a través del sistema de información del MSPS</w:t>
            </w:r>
            <w:r>
              <w:rPr>
                <w:rStyle w:val="FootnoteReference"/>
                <w:rFonts w:ascii="Arial" w:hAnsi="Arial" w:cs="Arial"/>
                <w:szCs w:val="20"/>
                <w:lang w:val="es-CO"/>
              </w:rPr>
              <w:footnoteReference w:id="13"/>
            </w:r>
          </w:p>
        </w:tc>
        <w:tc>
          <w:tcPr>
            <w:tcW w:w="773" w:type="dxa"/>
            <w:vAlign w:val="center"/>
          </w:tcPr>
          <w:p w:rsidR="000B48B9" w:rsidP="00732B1E" w:rsidRDefault="000B48B9" w14:paraId="667E57AC" w14:textId="77777777">
            <w:pPr>
              <w:autoSpaceDE w:val="0"/>
              <w:autoSpaceDN w:val="0"/>
              <w:adjustRightInd w:val="0"/>
              <w:spacing w:before="20" w:after="20"/>
              <w:jc w:val="center"/>
              <w:rPr>
                <w:rFonts w:ascii="Arial" w:hAnsi="Arial" w:cs="Arial"/>
                <w:bCs/>
                <w:sz w:val="20"/>
                <w:szCs w:val="20"/>
                <w:lang w:val="es-CO"/>
              </w:rPr>
            </w:pPr>
            <w:r>
              <w:rPr>
                <w:rFonts w:ascii="Arial" w:hAnsi="Arial" w:cs="Arial"/>
                <w:bCs/>
                <w:sz w:val="20"/>
                <w:szCs w:val="20"/>
                <w:lang w:val="es-CO"/>
              </w:rPr>
              <w:t>2</w:t>
            </w:r>
          </w:p>
        </w:tc>
        <w:tc>
          <w:tcPr>
            <w:tcW w:w="873" w:type="dxa"/>
            <w:vAlign w:val="center"/>
          </w:tcPr>
          <w:p w:rsidR="000B48B9" w:rsidP="00732B1E" w:rsidRDefault="000B48B9" w14:paraId="17F63CAD" w14:textId="77777777">
            <w:pPr>
              <w:autoSpaceDE w:val="0"/>
              <w:autoSpaceDN w:val="0"/>
              <w:adjustRightInd w:val="0"/>
              <w:spacing w:before="20" w:after="20"/>
              <w:jc w:val="center"/>
              <w:rPr>
                <w:rFonts w:ascii="Arial" w:hAnsi="Arial" w:cs="Arial"/>
                <w:bCs/>
                <w:sz w:val="20"/>
                <w:szCs w:val="20"/>
                <w:lang w:val="es-CO"/>
              </w:rPr>
            </w:pPr>
            <w:r>
              <w:rPr>
                <w:rFonts w:ascii="Arial" w:hAnsi="Arial" w:cs="Arial"/>
                <w:bCs/>
                <w:sz w:val="20"/>
                <w:szCs w:val="20"/>
                <w:lang w:val="es-CO"/>
              </w:rPr>
              <w:t>7.5</w:t>
            </w:r>
          </w:p>
        </w:tc>
        <w:tc>
          <w:tcPr>
            <w:tcW w:w="1039" w:type="dxa"/>
            <w:vAlign w:val="center"/>
          </w:tcPr>
          <w:p w:rsidR="000B48B9" w:rsidP="00732B1E" w:rsidRDefault="000B48B9" w14:paraId="5C826E7F" w14:textId="77777777">
            <w:pPr>
              <w:autoSpaceDE w:val="0"/>
              <w:autoSpaceDN w:val="0"/>
              <w:adjustRightInd w:val="0"/>
              <w:spacing w:before="20" w:after="20"/>
              <w:jc w:val="center"/>
              <w:rPr>
                <w:rFonts w:ascii="Arial" w:hAnsi="Arial" w:cs="Arial"/>
                <w:bCs/>
                <w:sz w:val="20"/>
                <w:szCs w:val="20"/>
                <w:lang w:val="es-CO"/>
              </w:rPr>
            </w:pPr>
            <w:r>
              <w:rPr>
                <w:rFonts w:ascii="Arial" w:hAnsi="Arial" w:cs="Arial"/>
                <w:sz w:val="20"/>
                <w:szCs w:val="20"/>
                <w:lang w:val="es-CO"/>
              </w:rPr>
              <w:t>Capital Ordinario</w:t>
            </w:r>
          </w:p>
        </w:tc>
        <w:tc>
          <w:tcPr>
            <w:tcW w:w="1095" w:type="dxa"/>
            <w:vAlign w:val="center"/>
          </w:tcPr>
          <w:p w:rsidR="000B48B9" w:rsidP="00732B1E" w:rsidRDefault="000B48B9" w14:paraId="12D5DA14" w14:textId="77777777">
            <w:pPr>
              <w:autoSpaceDE w:val="0"/>
              <w:autoSpaceDN w:val="0"/>
              <w:adjustRightInd w:val="0"/>
              <w:spacing w:before="20" w:after="20"/>
              <w:jc w:val="center"/>
              <w:rPr>
                <w:rFonts w:ascii="Arial" w:hAnsi="Arial" w:cs="Arial"/>
                <w:bCs/>
                <w:sz w:val="20"/>
                <w:szCs w:val="20"/>
                <w:lang w:val="es-CO"/>
              </w:rPr>
            </w:pPr>
            <w:r>
              <w:rPr>
                <w:rFonts w:ascii="Arial" w:hAnsi="Arial" w:cs="Arial"/>
                <w:bCs/>
                <w:sz w:val="20"/>
                <w:szCs w:val="20"/>
                <w:lang w:val="es-CO"/>
              </w:rPr>
              <w:t>5</w:t>
            </w:r>
          </w:p>
        </w:tc>
        <w:tc>
          <w:tcPr>
            <w:tcW w:w="900" w:type="dxa"/>
            <w:vAlign w:val="center"/>
          </w:tcPr>
          <w:p w:rsidR="000B48B9" w:rsidP="00732B1E" w:rsidRDefault="000B48B9" w14:paraId="311BDFDF" w14:textId="77777777">
            <w:pPr>
              <w:autoSpaceDE w:val="0"/>
              <w:autoSpaceDN w:val="0"/>
              <w:adjustRightInd w:val="0"/>
              <w:spacing w:before="20" w:after="20"/>
              <w:jc w:val="center"/>
              <w:rPr>
                <w:rFonts w:ascii="Arial" w:hAnsi="Arial" w:cs="Arial"/>
                <w:bCs/>
                <w:sz w:val="20"/>
                <w:szCs w:val="20"/>
                <w:lang w:val="es-CO"/>
              </w:rPr>
            </w:pPr>
            <w:r>
              <w:rPr>
                <w:rFonts w:ascii="Arial" w:hAnsi="Arial" w:cs="Arial"/>
                <w:bCs/>
                <w:sz w:val="20"/>
                <w:szCs w:val="20"/>
                <w:lang w:val="es-CO"/>
              </w:rPr>
              <w:t>7.5</w:t>
            </w:r>
          </w:p>
        </w:tc>
        <w:tc>
          <w:tcPr>
            <w:tcW w:w="1155" w:type="dxa"/>
            <w:vAlign w:val="center"/>
          </w:tcPr>
          <w:p w:rsidR="000B48B9" w:rsidP="00732B1E" w:rsidRDefault="000B48B9" w14:paraId="1568471B" w14:textId="77777777">
            <w:pPr>
              <w:autoSpaceDE w:val="0"/>
              <w:autoSpaceDN w:val="0"/>
              <w:adjustRightInd w:val="0"/>
              <w:spacing w:before="20" w:after="20"/>
              <w:jc w:val="center"/>
              <w:rPr>
                <w:rFonts w:ascii="Arial" w:hAnsi="Arial" w:cs="Arial"/>
                <w:bCs/>
                <w:sz w:val="20"/>
                <w:szCs w:val="20"/>
                <w:lang w:val="es-CO"/>
              </w:rPr>
            </w:pPr>
            <w:r>
              <w:rPr>
                <w:rFonts w:ascii="Arial" w:hAnsi="Arial" w:cs="Arial"/>
                <w:sz w:val="20"/>
                <w:szCs w:val="20"/>
                <w:lang w:val="es-CO"/>
              </w:rPr>
              <w:t>Capital Ordinario</w:t>
            </w:r>
          </w:p>
        </w:tc>
        <w:tc>
          <w:tcPr>
            <w:tcW w:w="1095" w:type="dxa"/>
            <w:vAlign w:val="center"/>
          </w:tcPr>
          <w:p w:rsidR="000B48B9" w:rsidP="00732B1E" w:rsidRDefault="000B48B9" w14:paraId="5C7C8929" w14:textId="77777777">
            <w:pPr>
              <w:autoSpaceDE w:val="0"/>
              <w:autoSpaceDN w:val="0"/>
              <w:adjustRightInd w:val="0"/>
              <w:spacing w:before="20" w:after="20"/>
              <w:jc w:val="center"/>
              <w:rPr>
                <w:rFonts w:ascii="Arial" w:hAnsi="Arial" w:cs="Arial"/>
                <w:bCs/>
                <w:sz w:val="20"/>
                <w:szCs w:val="20"/>
                <w:lang w:val="es-CO"/>
              </w:rPr>
            </w:pPr>
            <w:r>
              <w:rPr>
                <w:rFonts w:ascii="Arial" w:hAnsi="Arial" w:cs="Arial"/>
                <w:bCs/>
                <w:sz w:val="20"/>
                <w:szCs w:val="20"/>
                <w:lang w:val="es-CO"/>
              </w:rPr>
              <w:t>10</w:t>
            </w:r>
          </w:p>
        </w:tc>
        <w:tc>
          <w:tcPr>
            <w:tcW w:w="953" w:type="dxa"/>
            <w:vAlign w:val="center"/>
          </w:tcPr>
          <w:p w:rsidR="000B48B9" w:rsidP="00732B1E" w:rsidRDefault="000B48B9" w14:paraId="30A6C622" w14:textId="77777777">
            <w:pPr>
              <w:autoSpaceDE w:val="0"/>
              <w:autoSpaceDN w:val="0"/>
              <w:adjustRightInd w:val="0"/>
              <w:spacing w:before="20" w:after="20"/>
              <w:jc w:val="center"/>
              <w:rPr>
                <w:rFonts w:ascii="Arial" w:hAnsi="Arial" w:cs="Arial"/>
                <w:bCs/>
                <w:sz w:val="20"/>
                <w:szCs w:val="20"/>
                <w:lang w:val="es-CO"/>
              </w:rPr>
            </w:pPr>
            <w:r>
              <w:rPr>
                <w:rFonts w:ascii="Arial" w:hAnsi="Arial" w:cs="Arial"/>
                <w:bCs/>
                <w:sz w:val="20"/>
                <w:szCs w:val="20"/>
                <w:lang w:val="es-CO"/>
              </w:rPr>
              <w:t>10</w:t>
            </w:r>
          </w:p>
        </w:tc>
        <w:tc>
          <w:tcPr>
            <w:tcW w:w="1117" w:type="dxa"/>
            <w:vAlign w:val="center"/>
          </w:tcPr>
          <w:p w:rsidR="000B48B9" w:rsidP="00732B1E" w:rsidRDefault="000B48B9" w14:paraId="090BD0D5" w14:textId="77777777">
            <w:pPr>
              <w:autoSpaceDE w:val="0"/>
              <w:autoSpaceDN w:val="0"/>
              <w:adjustRightInd w:val="0"/>
              <w:spacing w:before="20" w:after="20"/>
              <w:jc w:val="center"/>
              <w:rPr>
                <w:rFonts w:ascii="Arial" w:hAnsi="Arial" w:cs="Arial"/>
                <w:bCs/>
                <w:sz w:val="20"/>
                <w:szCs w:val="20"/>
                <w:lang w:val="es-CO"/>
              </w:rPr>
            </w:pPr>
            <w:r>
              <w:rPr>
                <w:rFonts w:ascii="Arial" w:hAnsi="Arial" w:cs="Arial"/>
                <w:sz w:val="20"/>
                <w:szCs w:val="20"/>
                <w:lang w:val="es-CO"/>
              </w:rPr>
              <w:t>Capital Ordinario</w:t>
            </w:r>
          </w:p>
        </w:tc>
        <w:tc>
          <w:tcPr>
            <w:tcW w:w="1170" w:type="dxa"/>
            <w:vAlign w:val="center"/>
          </w:tcPr>
          <w:p w:rsidRPr="00255351" w:rsidR="000B48B9" w:rsidP="00732B1E" w:rsidRDefault="000B48B9" w14:paraId="255743FD" w14:textId="77777777">
            <w:pPr>
              <w:autoSpaceDE w:val="0"/>
              <w:autoSpaceDN w:val="0"/>
              <w:adjustRightInd w:val="0"/>
              <w:spacing w:before="20" w:after="20"/>
              <w:jc w:val="center"/>
              <w:rPr>
                <w:rFonts w:ascii="Arial" w:hAnsi="Arial" w:cs="Arial"/>
                <w:bCs/>
                <w:sz w:val="20"/>
                <w:szCs w:val="20"/>
                <w:lang w:val="es-CO"/>
              </w:rPr>
            </w:pPr>
            <w:r>
              <w:rPr>
                <w:rFonts w:ascii="Arial" w:hAnsi="Arial" w:cs="Arial"/>
                <w:bCs/>
                <w:sz w:val="20"/>
                <w:szCs w:val="20"/>
                <w:lang w:val="es-CO"/>
              </w:rPr>
              <w:t>25</w:t>
            </w:r>
          </w:p>
        </w:tc>
      </w:tr>
      <w:tr w:rsidRPr="00493223" w:rsidR="000B48B9" w:rsidTr="004C6708" w14:paraId="7DBD3E10" w14:textId="77777777">
        <w:trPr>
          <w:trHeight w:val="144"/>
          <w:jc w:val="center"/>
        </w:trPr>
        <w:tc>
          <w:tcPr>
            <w:tcW w:w="3505" w:type="dxa"/>
            <w:vMerge w:val="restart"/>
          </w:tcPr>
          <w:p w:rsidRPr="00255351" w:rsidR="000B48B9" w:rsidP="00732B1E" w:rsidRDefault="000B48B9" w14:paraId="3AD5AAFE" w14:textId="77777777">
            <w:pPr>
              <w:autoSpaceDE w:val="0"/>
              <w:autoSpaceDN w:val="0"/>
              <w:adjustRightInd w:val="0"/>
              <w:spacing w:before="20" w:after="20"/>
              <w:rPr>
                <w:rFonts w:ascii="Arial" w:hAnsi="Arial" w:cs="Arial"/>
                <w:sz w:val="20"/>
                <w:szCs w:val="20"/>
                <w:lang w:val="es-CO"/>
              </w:rPr>
            </w:pPr>
            <w:r>
              <w:rPr>
                <w:rFonts w:ascii="Arial" w:hAnsi="Arial" w:cs="Arial"/>
                <w:sz w:val="20"/>
                <w:szCs w:val="20"/>
                <w:lang w:val="es-CO"/>
              </w:rPr>
              <w:lastRenderedPageBreak/>
              <w:t xml:space="preserve">3. </w:t>
            </w:r>
            <w:r w:rsidRPr="00255351">
              <w:rPr>
                <w:rFonts w:ascii="Arial" w:hAnsi="Arial" w:cs="Arial"/>
                <w:sz w:val="20"/>
                <w:szCs w:val="20"/>
                <w:lang w:val="es-CO"/>
              </w:rPr>
              <w:t>Población inmigrante</w:t>
            </w:r>
            <w:r>
              <w:rPr>
                <w:rStyle w:val="FootnoteReference"/>
                <w:rFonts w:ascii="Arial" w:hAnsi="Arial" w:cs="Arial"/>
                <w:szCs w:val="20"/>
                <w:lang w:val="es-CO"/>
              </w:rPr>
              <w:footnoteReference w:id="14"/>
            </w:r>
            <w:r w:rsidRPr="00255351">
              <w:rPr>
                <w:rFonts w:ascii="Arial" w:hAnsi="Arial" w:cs="Arial"/>
                <w:sz w:val="20"/>
                <w:szCs w:val="20"/>
                <w:lang w:val="es-CO"/>
              </w:rPr>
              <w:t xml:space="preserve"> </w:t>
            </w:r>
            <w:r>
              <w:rPr>
                <w:rFonts w:ascii="Arial" w:hAnsi="Arial" w:cs="Arial"/>
                <w:sz w:val="20"/>
                <w:szCs w:val="20"/>
                <w:lang w:val="es-CO"/>
              </w:rPr>
              <w:t>afiliada</w:t>
            </w:r>
            <w:r>
              <w:rPr>
                <w:rStyle w:val="FootnoteReference"/>
                <w:rFonts w:ascii="Arial" w:hAnsi="Arial" w:cs="Arial"/>
                <w:szCs w:val="20"/>
                <w:lang w:val="es-CO"/>
              </w:rPr>
              <w:footnoteReference w:id="15"/>
            </w:r>
          </w:p>
        </w:tc>
        <w:tc>
          <w:tcPr>
            <w:tcW w:w="773" w:type="dxa"/>
            <w:vMerge w:val="restart"/>
            <w:vAlign w:val="center"/>
          </w:tcPr>
          <w:p w:rsidR="000B48B9" w:rsidP="00732B1E" w:rsidRDefault="000B48B9" w14:paraId="320D970F" w14:textId="77777777">
            <w:pPr>
              <w:autoSpaceDE w:val="0"/>
              <w:autoSpaceDN w:val="0"/>
              <w:adjustRightInd w:val="0"/>
              <w:spacing w:before="20" w:after="20"/>
              <w:jc w:val="center"/>
              <w:rPr>
                <w:rFonts w:ascii="Arial" w:hAnsi="Arial" w:cs="Arial"/>
                <w:bCs/>
                <w:sz w:val="20"/>
                <w:szCs w:val="20"/>
                <w:lang w:val="es-CO"/>
              </w:rPr>
            </w:pPr>
            <w:r>
              <w:rPr>
                <w:rFonts w:ascii="Arial" w:hAnsi="Arial" w:cs="Arial"/>
                <w:bCs/>
                <w:sz w:val="20"/>
                <w:szCs w:val="20"/>
                <w:lang w:val="es-CO"/>
              </w:rPr>
              <w:t>220,000</w:t>
            </w:r>
          </w:p>
        </w:tc>
        <w:tc>
          <w:tcPr>
            <w:tcW w:w="873" w:type="dxa"/>
            <w:vAlign w:val="center"/>
          </w:tcPr>
          <w:p w:rsidR="000B48B9" w:rsidP="00732B1E" w:rsidRDefault="000B48B9" w14:paraId="4E68EA8C" w14:textId="77777777">
            <w:pPr>
              <w:autoSpaceDE w:val="0"/>
              <w:autoSpaceDN w:val="0"/>
              <w:adjustRightInd w:val="0"/>
              <w:spacing w:before="20" w:after="20"/>
              <w:jc w:val="center"/>
              <w:rPr>
                <w:rFonts w:ascii="Arial" w:hAnsi="Arial" w:cs="Arial"/>
                <w:bCs/>
                <w:sz w:val="20"/>
                <w:szCs w:val="20"/>
                <w:lang w:val="es-CO"/>
              </w:rPr>
            </w:pPr>
            <w:r>
              <w:rPr>
                <w:rFonts w:ascii="Arial" w:hAnsi="Arial" w:cs="Arial"/>
                <w:bCs/>
                <w:sz w:val="20"/>
                <w:szCs w:val="20"/>
                <w:lang w:val="es-CO"/>
              </w:rPr>
              <w:t>25</w:t>
            </w:r>
          </w:p>
        </w:tc>
        <w:tc>
          <w:tcPr>
            <w:tcW w:w="1039" w:type="dxa"/>
            <w:vAlign w:val="center"/>
          </w:tcPr>
          <w:p w:rsidR="000B48B9" w:rsidP="00732B1E" w:rsidRDefault="000B48B9" w14:paraId="29FADD5E" w14:textId="77777777">
            <w:pPr>
              <w:autoSpaceDE w:val="0"/>
              <w:autoSpaceDN w:val="0"/>
              <w:adjustRightInd w:val="0"/>
              <w:spacing w:before="20" w:after="20"/>
              <w:jc w:val="center"/>
              <w:rPr>
                <w:rFonts w:ascii="Arial" w:hAnsi="Arial" w:cs="Arial"/>
                <w:bCs/>
                <w:sz w:val="20"/>
                <w:szCs w:val="20"/>
                <w:lang w:val="es-CO"/>
              </w:rPr>
            </w:pPr>
            <w:r>
              <w:rPr>
                <w:rFonts w:ascii="Arial" w:hAnsi="Arial" w:cs="Arial"/>
                <w:sz w:val="20"/>
                <w:szCs w:val="20"/>
                <w:lang w:val="es-CO"/>
              </w:rPr>
              <w:t>Capital Ordinario</w:t>
            </w:r>
          </w:p>
        </w:tc>
        <w:tc>
          <w:tcPr>
            <w:tcW w:w="1095" w:type="dxa"/>
            <w:vMerge w:val="restart"/>
            <w:vAlign w:val="center"/>
          </w:tcPr>
          <w:p w:rsidR="000B48B9" w:rsidP="00732B1E" w:rsidRDefault="000B48B9" w14:paraId="180B3731" w14:textId="77777777">
            <w:pPr>
              <w:autoSpaceDE w:val="0"/>
              <w:autoSpaceDN w:val="0"/>
              <w:adjustRightInd w:val="0"/>
              <w:spacing w:before="20" w:after="20"/>
              <w:jc w:val="center"/>
              <w:rPr>
                <w:rFonts w:ascii="Arial" w:hAnsi="Arial" w:cs="Arial"/>
                <w:bCs/>
                <w:sz w:val="20"/>
                <w:szCs w:val="20"/>
                <w:lang w:val="es-CO"/>
              </w:rPr>
            </w:pPr>
            <w:r>
              <w:rPr>
                <w:rFonts w:ascii="Arial" w:hAnsi="Arial" w:cs="Arial"/>
                <w:bCs/>
                <w:sz w:val="20"/>
                <w:szCs w:val="20"/>
                <w:lang w:val="es-CO"/>
              </w:rPr>
              <w:t>320,000</w:t>
            </w:r>
          </w:p>
        </w:tc>
        <w:tc>
          <w:tcPr>
            <w:tcW w:w="900" w:type="dxa"/>
            <w:vAlign w:val="center"/>
          </w:tcPr>
          <w:p w:rsidR="000B48B9" w:rsidP="00732B1E" w:rsidRDefault="000B48B9" w14:paraId="015116B1" w14:textId="77777777">
            <w:pPr>
              <w:autoSpaceDE w:val="0"/>
              <w:autoSpaceDN w:val="0"/>
              <w:adjustRightInd w:val="0"/>
              <w:spacing w:before="20" w:after="20"/>
              <w:jc w:val="center"/>
              <w:rPr>
                <w:rFonts w:ascii="Arial" w:hAnsi="Arial" w:cs="Arial"/>
                <w:bCs/>
                <w:sz w:val="20"/>
                <w:szCs w:val="20"/>
                <w:lang w:val="es-CO"/>
              </w:rPr>
            </w:pPr>
            <w:r>
              <w:rPr>
                <w:rFonts w:ascii="Arial" w:hAnsi="Arial" w:cs="Arial"/>
                <w:bCs/>
                <w:sz w:val="20"/>
                <w:szCs w:val="20"/>
                <w:lang w:val="es-CO"/>
              </w:rPr>
              <w:t>25</w:t>
            </w:r>
          </w:p>
        </w:tc>
        <w:tc>
          <w:tcPr>
            <w:tcW w:w="1155" w:type="dxa"/>
            <w:vAlign w:val="center"/>
          </w:tcPr>
          <w:p w:rsidR="000B48B9" w:rsidP="00732B1E" w:rsidRDefault="000B48B9" w14:paraId="1EE02725" w14:textId="77777777">
            <w:pPr>
              <w:autoSpaceDE w:val="0"/>
              <w:autoSpaceDN w:val="0"/>
              <w:adjustRightInd w:val="0"/>
              <w:spacing w:before="20" w:after="20"/>
              <w:jc w:val="center"/>
              <w:rPr>
                <w:rFonts w:ascii="Arial" w:hAnsi="Arial" w:cs="Arial"/>
                <w:bCs/>
                <w:sz w:val="20"/>
                <w:szCs w:val="20"/>
                <w:lang w:val="es-CO"/>
              </w:rPr>
            </w:pPr>
            <w:r>
              <w:rPr>
                <w:rFonts w:ascii="Arial" w:hAnsi="Arial" w:cs="Arial"/>
                <w:sz w:val="20"/>
                <w:szCs w:val="20"/>
                <w:lang w:val="es-CO"/>
              </w:rPr>
              <w:t>Capital Ordinario</w:t>
            </w:r>
          </w:p>
        </w:tc>
        <w:tc>
          <w:tcPr>
            <w:tcW w:w="1095" w:type="dxa"/>
            <w:vMerge w:val="restart"/>
            <w:vAlign w:val="center"/>
          </w:tcPr>
          <w:p w:rsidR="000B48B9" w:rsidP="00732B1E" w:rsidRDefault="000B48B9" w14:paraId="184A7BAE" w14:textId="77777777">
            <w:pPr>
              <w:autoSpaceDE w:val="0"/>
              <w:autoSpaceDN w:val="0"/>
              <w:adjustRightInd w:val="0"/>
              <w:spacing w:before="20" w:after="20"/>
              <w:jc w:val="center"/>
              <w:rPr>
                <w:rFonts w:ascii="Arial" w:hAnsi="Arial" w:cs="Arial"/>
                <w:bCs/>
                <w:sz w:val="20"/>
                <w:szCs w:val="20"/>
                <w:lang w:val="es-CO"/>
              </w:rPr>
            </w:pPr>
            <w:r>
              <w:rPr>
                <w:rFonts w:ascii="Arial" w:hAnsi="Arial" w:cs="Arial"/>
                <w:bCs/>
                <w:sz w:val="20"/>
                <w:szCs w:val="20"/>
                <w:lang w:val="es-CO"/>
              </w:rPr>
              <w:t>-</w:t>
            </w:r>
          </w:p>
        </w:tc>
        <w:tc>
          <w:tcPr>
            <w:tcW w:w="953" w:type="dxa"/>
            <w:vAlign w:val="center"/>
          </w:tcPr>
          <w:p w:rsidR="000B48B9" w:rsidP="00732B1E" w:rsidRDefault="000B48B9" w14:paraId="7C777AE4" w14:textId="77777777">
            <w:pPr>
              <w:autoSpaceDE w:val="0"/>
              <w:autoSpaceDN w:val="0"/>
              <w:adjustRightInd w:val="0"/>
              <w:spacing w:before="20" w:after="20"/>
              <w:jc w:val="center"/>
              <w:rPr>
                <w:rFonts w:ascii="Arial" w:hAnsi="Arial" w:cs="Arial"/>
                <w:bCs/>
                <w:sz w:val="20"/>
                <w:szCs w:val="20"/>
                <w:lang w:val="es-CO"/>
              </w:rPr>
            </w:pPr>
            <w:r>
              <w:rPr>
                <w:rFonts w:ascii="Arial" w:hAnsi="Arial" w:cs="Arial"/>
                <w:bCs/>
                <w:sz w:val="20"/>
                <w:szCs w:val="20"/>
                <w:lang w:val="es-CO"/>
              </w:rPr>
              <w:t>-</w:t>
            </w:r>
          </w:p>
        </w:tc>
        <w:tc>
          <w:tcPr>
            <w:tcW w:w="1117" w:type="dxa"/>
            <w:vAlign w:val="center"/>
          </w:tcPr>
          <w:p w:rsidR="000B48B9" w:rsidP="00732B1E" w:rsidRDefault="000B48B9" w14:paraId="0EB279A0" w14:textId="77777777">
            <w:pPr>
              <w:autoSpaceDE w:val="0"/>
              <w:autoSpaceDN w:val="0"/>
              <w:adjustRightInd w:val="0"/>
              <w:spacing w:before="20" w:after="20"/>
              <w:jc w:val="center"/>
              <w:rPr>
                <w:rFonts w:ascii="Arial" w:hAnsi="Arial" w:cs="Arial"/>
                <w:bCs/>
                <w:sz w:val="20"/>
                <w:szCs w:val="20"/>
                <w:lang w:val="es-CO"/>
              </w:rPr>
            </w:pPr>
            <w:r>
              <w:rPr>
                <w:rFonts w:ascii="Arial" w:hAnsi="Arial" w:cs="Arial"/>
                <w:bCs/>
                <w:sz w:val="20"/>
                <w:szCs w:val="20"/>
                <w:lang w:val="es-CO"/>
              </w:rPr>
              <w:t>-</w:t>
            </w:r>
          </w:p>
        </w:tc>
        <w:tc>
          <w:tcPr>
            <w:tcW w:w="1170" w:type="dxa"/>
            <w:vAlign w:val="center"/>
          </w:tcPr>
          <w:p w:rsidRPr="00255351" w:rsidR="000B48B9" w:rsidP="00BF17E5" w:rsidRDefault="000B48B9" w14:paraId="6FF0A37F" w14:textId="77777777">
            <w:pPr>
              <w:autoSpaceDE w:val="0"/>
              <w:autoSpaceDN w:val="0"/>
              <w:adjustRightInd w:val="0"/>
              <w:spacing w:before="20" w:after="20"/>
              <w:jc w:val="right"/>
              <w:rPr>
                <w:rFonts w:ascii="Arial" w:hAnsi="Arial" w:cs="Arial"/>
                <w:bCs/>
                <w:sz w:val="20"/>
                <w:szCs w:val="20"/>
                <w:lang w:val="es-CO"/>
              </w:rPr>
            </w:pPr>
            <w:r>
              <w:rPr>
                <w:rFonts w:ascii="Arial" w:hAnsi="Arial" w:cs="Arial"/>
                <w:bCs/>
                <w:sz w:val="20"/>
                <w:szCs w:val="20"/>
                <w:lang w:val="es-CO"/>
              </w:rPr>
              <w:t>50</w:t>
            </w:r>
          </w:p>
        </w:tc>
      </w:tr>
      <w:tr w:rsidRPr="00493223" w:rsidR="000B48B9" w:rsidTr="004C6708" w14:paraId="22645CEA" w14:textId="77777777">
        <w:trPr>
          <w:trHeight w:val="144"/>
          <w:jc w:val="center"/>
        </w:trPr>
        <w:tc>
          <w:tcPr>
            <w:tcW w:w="3505" w:type="dxa"/>
            <w:vMerge/>
          </w:tcPr>
          <w:p w:rsidR="000B48B9" w:rsidP="00732B1E" w:rsidRDefault="000B48B9" w14:paraId="6002E0A0" w14:textId="77777777">
            <w:pPr>
              <w:autoSpaceDE w:val="0"/>
              <w:autoSpaceDN w:val="0"/>
              <w:adjustRightInd w:val="0"/>
              <w:spacing w:before="20" w:after="20"/>
              <w:rPr>
                <w:rFonts w:ascii="Arial" w:hAnsi="Arial" w:cs="Arial"/>
                <w:sz w:val="20"/>
                <w:szCs w:val="20"/>
                <w:lang w:val="es-CO"/>
              </w:rPr>
            </w:pPr>
          </w:p>
        </w:tc>
        <w:tc>
          <w:tcPr>
            <w:tcW w:w="773" w:type="dxa"/>
            <w:vMerge/>
            <w:vAlign w:val="center"/>
          </w:tcPr>
          <w:p w:rsidR="000B48B9" w:rsidP="00732B1E" w:rsidRDefault="000B48B9" w14:paraId="69703ADB" w14:textId="77777777">
            <w:pPr>
              <w:autoSpaceDE w:val="0"/>
              <w:autoSpaceDN w:val="0"/>
              <w:adjustRightInd w:val="0"/>
              <w:spacing w:before="20" w:after="20"/>
              <w:jc w:val="center"/>
              <w:rPr>
                <w:rFonts w:ascii="Arial" w:hAnsi="Arial" w:cs="Arial"/>
                <w:bCs/>
                <w:sz w:val="20"/>
                <w:szCs w:val="20"/>
                <w:lang w:val="es-CO"/>
              </w:rPr>
            </w:pPr>
          </w:p>
        </w:tc>
        <w:tc>
          <w:tcPr>
            <w:tcW w:w="873" w:type="dxa"/>
            <w:vAlign w:val="center"/>
          </w:tcPr>
          <w:p w:rsidR="000B48B9" w:rsidP="00732B1E" w:rsidRDefault="006B791F" w14:paraId="118ED082" w14:textId="666A06CE">
            <w:pPr>
              <w:autoSpaceDE w:val="0"/>
              <w:autoSpaceDN w:val="0"/>
              <w:adjustRightInd w:val="0"/>
              <w:spacing w:before="20" w:after="20"/>
              <w:jc w:val="center"/>
              <w:rPr>
                <w:rFonts w:ascii="Arial" w:hAnsi="Arial" w:cs="Arial"/>
                <w:bCs/>
                <w:sz w:val="20"/>
                <w:szCs w:val="20"/>
                <w:lang w:val="es-CO"/>
              </w:rPr>
            </w:pPr>
            <w:r>
              <w:rPr>
                <w:rFonts w:ascii="Arial" w:hAnsi="Arial" w:cs="Arial"/>
                <w:bCs/>
                <w:sz w:val="20"/>
                <w:szCs w:val="20"/>
                <w:lang w:val="es-CO"/>
              </w:rPr>
              <w:t>5.862*</w:t>
            </w:r>
          </w:p>
        </w:tc>
        <w:tc>
          <w:tcPr>
            <w:tcW w:w="1039" w:type="dxa"/>
            <w:vAlign w:val="center"/>
          </w:tcPr>
          <w:p w:rsidR="000B48B9" w:rsidP="00732B1E" w:rsidRDefault="006B791F" w14:paraId="2EE1C2C0" w14:textId="262FCB84">
            <w:pPr>
              <w:autoSpaceDE w:val="0"/>
              <w:autoSpaceDN w:val="0"/>
              <w:adjustRightInd w:val="0"/>
              <w:spacing w:before="20" w:after="20"/>
              <w:jc w:val="center"/>
              <w:rPr>
                <w:rFonts w:ascii="Arial" w:hAnsi="Arial" w:cs="Arial"/>
                <w:bCs/>
                <w:sz w:val="20"/>
                <w:szCs w:val="20"/>
                <w:lang w:val="es-CO"/>
              </w:rPr>
            </w:pPr>
            <w:r>
              <w:rPr>
                <w:rFonts w:ascii="Arial" w:hAnsi="Arial" w:cs="Arial"/>
                <w:bCs/>
                <w:sz w:val="20"/>
                <w:szCs w:val="20"/>
                <w:lang w:val="es-CO"/>
              </w:rPr>
              <w:t>GRF/PSG**</w:t>
            </w:r>
          </w:p>
        </w:tc>
        <w:tc>
          <w:tcPr>
            <w:tcW w:w="1095" w:type="dxa"/>
            <w:vMerge/>
            <w:vAlign w:val="center"/>
          </w:tcPr>
          <w:p w:rsidR="000B48B9" w:rsidP="00732B1E" w:rsidRDefault="000B48B9" w14:paraId="25F90A15" w14:textId="77777777">
            <w:pPr>
              <w:autoSpaceDE w:val="0"/>
              <w:autoSpaceDN w:val="0"/>
              <w:adjustRightInd w:val="0"/>
              <w:spacing w:before="20" w:after="20"/>
              <w:jc w:val="center"/>
              <w:rPr>
                <w:rFonts w:ascii="Arial" w:hAnsi="Arial" w:cs="Arial"/>
                <w:bCs/>
                <w:sz w:val="20"/>
                <w:szCs w:val="20"/>
                <w:lang w:val="es-CO"/>
              </w:rPr>
            </w:pPr>
          </w:p>
        </w:tc>
        <w:tc>
          <w:tcPr>
            <w:tcW w:w="900" w:type="dxa"/>
            <w:vAlign w:val="center"/>
          </w:tcPr>
          <w:p w:rsidR="000B48B9" w:rsidP="00732B1E" w:rsidRDefault="006B791F" w14:paraId="5E04824C" w14:textId="6FDB7ED3">
            <w:pPr>
              <w:autoSpaceDE w:val="0"/>
              <w:autoSpaceDN w:val="0"/>
              <w:adjustRightInd w:val="0"/>
              <w:spacing w:before="20" w:after="20"/>
              <w:jc w:val="center"/>
              <w:rPr>
                <w:rFonts w:ascii="Arial" w:hAnsi="Arial" w:cs="Arial"/>
                <w:bCs/>
                <w:sz w:val="20"/>
                <w:szCs w:val="20"/>
                <w:lang w:val="es-CO"/>
              </w:rPr>
            </w:pPr>
            <w:r>
              <w:rPr>
                <w:rFonts w:ascii="Arial" w:hAnsi="Arial" w:cs="Arial"/>
                <w:bCs/>
                <w:sz w:val="20"/>
                <w:szCs w:val="20"/>
                <w:lang w:val="es-CO"/>
              </w:rPr>
              <w:t>5.863*</w:t>
            </w:r>
          </w:p>
        </w:tc>
        <w:tc>
          <w:tcPr>
            <w:tcW w:w="1155" w:type="dxa"/>
            <w:vAlign w:val="center"/>
          </w:tcPr>
          <w:p w:rsidR="000B48B9" w:rsidP="00732B1E" w:rsidRDefault="006B791F" w14:paraId="6E078010" w14:textId="212FC455">
            <w:pPr>
              <w:autoSpaceDE w:val="0"/>
              <w:autoSpaceDN w:val="0"/>
              <w:adjustRightInd w:val="0"/>
              <w:spacing w:before="20" w:after="20"/>
              <w:jc w:val="center"/>
              <w:rPr>
                <w:rFonts w:ascii="Arial" w:hAnsi="Arial" w:cs="Arial"/>
                <w:bCs/>
                <w:sz w:val="20"/>
                <w:szCs w:val="20"/>
                <w:lang w:val="es-CO"/>
              </w:rPr>
            </w:pPr>
            <w:r>
              <w:rPr>
                <w:rFonts w:ascii="Arial" w:hAnsi="Arial" w:cs="Arial"/>
                <w:bCs/>
                <w:sz w:val="20"/>
                <w:szCs w:val="20"/>
                <w:lang w:val="es-CO"/>
              </w:rPr>
              <w:t>GRF/PSG**</w:t>
            </w:r>
          </w:p>
        </w:tc>
        <w:tc>
          <w:tcPr>
            <w:tcW w:w="1095" w:type="dxa"/>
            <w:vMerge/>
            <w:vAlign w:val="center"/>
          </w:tcPr>
          <w:p w:rsidR="000B48B9" w:rsidP="00732B1E" w:rsidRDefault="000B48B9" w14:paraId="30C8D994" w14:textId="77777777">
            <w:pPr>
              <w:autoSpaceDE w:val="0"/>
              <w:autoSpaceDN w:val="0"/>
              <w:adjustRightInd w:val="0"/>
              <w:spacing w:before="20" w:after="20"/>
              <w:jc w:val="center"/>
              <w:rPr>
                <w:rFonts w:ascii="Arial" w:hAnsi="Arial" w:cs="Arial"/>
                <w:bCs/>
                <w:sz w:val="20"/>
                <w:szCs w:val="20"/>
                <w:lang w:val="es-CO"/>
              </w:rPr>
            </w:pPr>
          </w:p>
        </w:tc>
        <w:tc>
          <w:tcPr>
            <w:tcW w:w="953" w:type="dxa"/>
            <w:vAlign w:val="center"/>
          </w:tcPr>
          <w:p w:rsidR="000B48B9" w:rsidP="00732B1E" w:rsidRDefault="006B791F" w14:paraId="244FCEAC" w14:textId="78588741">
            <w:pPr>
              <w:autoSpaceDE w:val="0"/>
              <w:autoSpaceDN w:val="0"/>
              <w:adjustRightInd w:val="0"/>
              <w:spacing w:before="20" w:after="20"/>
              <w:jc w:val="center"/>
              <w:rPr>
                <w:rFonts w:ascii="Arial" w:hAnsi="Arial" w:cs="Arial"/>
                <w:bCs/>
                <w:sz w:val="20"/>
                <w:szCs w:val="20"/>
                <w:lang w:val="es-CO"/>
              </w:rPr>
            </w:pPr>
            <w:r>
              <w:rPr>
                <w:rFonts w:ascii="Arial" w:hAnsi="Arial" w:cs="Arial"/>
                <w:bCs/>
                <w:sz w:val="20"/>
                <w:szCs w:val="20"/>
                <w:lang w:val="es-CO"/>
              </w:rPr>
              <w:t>-</w:t>
            </w:r>
          </w:p>
        </w:tc>
        <w:tc>
          <w:tcPr>
            <w:tcW w:w="1117" w:type="dxa"/>
            <w:vAlign w:val="center"/>
          </w:tcPr>
          <w:p w:rsidR="000B48B9" w:rsidP="00732B1E" w:rsidRDefault="006B791F" w14:paraId="24B85009" w14:textId="7749B123">
            <w:pPr>
              <w:autoSpaceDE w:val="0"/>
              <w:autoSpaceDN w:val="0"/>
              <w:adjustRightInd w:val="0"/>
              <w:spacing w:before="20" w:after="20"/>
              <w:jc w:val="center"/>
              <w:rPr>
                <w:rFonts w:ascii="Arial" w:hAnsi="Arial" w:cs="Arial"/>
                <w:bCs/>
                <w:sz w:val="20"/>
                <w:szCs w:val="20"/>
                <w:lang w:val="es-CO"/>
              </w:rPr>
            </w:pPr>
            <w:r>
              <w:rPr>
                <w:rFonts w:ascii="Arial" w:hAnsi="Arial" w:cs="Arial"/>
                <w:bCs/>
                <w:sz w:val="20"/>
                <w:szCs w:val="20"/>
                <w:lang w:val="es-CO"/>
              </w:rPr>
              <w:t>-</w:t>
            </w:r>
          </w:p>
        </w:tc>
        <w:tc>
          <w:tcPr>
            <w:tcW w:w="1170" w:type="dxa"/>
            <w:vAlign w:val="center"/>
          </w:tcPr>
          <w:p w:rsidR="000B48B9" w:rsidP="00BF17E5" w:rsidRDefault="000B48B9" w14:paraId="4DE341E9" w14:textId="77777777">
            <w:pPr>
              <w:autoSpaceDE w:val="0"/>
              <w:autoSpaceDN w:val="0"/>
              <w:adjustRightInd w:val="0"/>
              <w:spacing w:before="20" w:after="20"/>
              <w:jc w:val="right"/>
              <w:rPr>
                <w:rFonts w:ascii="Arial" w:hAnsi="Arial" w:cs="Arial"/>
                <w:bCs/>
                <w:sz w:val="20"/>
                <w:szCs w:val="20"/>
                <w:lang w:val="es-CO"/>
              </w:rPr>
            </w:pPr>
            <w:r>
              <w:rPr>
                <w:rFonts w:ascii="Arial" w:hAnsi="Arial" w:cs="Arial"/>
                <w:bCs/>
                <w:sz w:val="20"/>
                <w:szCs w:val="20"/>
                <w:lang w:val="es-CO"/>
              </w:rPr>
              <w:t>11.725</w:t>
            </w:r>
          </w:p>
        </w:tc>
      </w:tr>
      <w:tr w:rsidRPr="00493223" w:rsidR="000B48B9" w:rsidTr="004C6708" w14:paraId="3CBBC633" w14:textId="77777777">
        <w:trPr>
          <w:trHeight w:val="144"/>
          <w:jc w:val="center"/>
        </w:trPr>
        <w:tc>
          <w:tcPr>
            <w:tcW w:w="3505" w:type="dxa"/>
            <w:shd w:val="clear" w:color="auto" w:fill="D0CECE" w:themeFill="background2" w:themeFillShade="E6"/>
          </w:tcPr>
          <w:p w:rsidRPr="00D426D7" w:rsidR="000B48B9" w:rsidP="00732B1E" w:rsidRDefault="000B48B9" w14:paraId="7F4D4B9B" w14:textId="77777777">
            <w:pPr>
              <w:autoSpaceDE w:val="0"/>
              <w:autoSpaceDN w:val="0"/>
              <w:adjustRightInd w:val="0"/>
              <w:spacing w:before="20" w:after="20"/>
              <w:rPr>
                <w:rFonts w:ascii="Arial" w:hAnsi="Arial" w:cs="Arial"/>
                <w:b/>
                <w:bCs/>
                <w:sz w:val="20"/>
                <w:szCs w:val="20"/>
                <w:lang w:val="es-CO"/>
              </w:rPr>
            </w:pPr>
            <w:r w:rsidRPr="00D426D7">
              <w:rPr>
                <w:rFonts w:ascii="Arial" w:hAnsi="Arial" w:cs="Arial"/>
                <w:b/>
                <w:bCs/>
                <w:sz w:val="20"/>
                <w:szCs w:val="20"/>
                <w:lang w:val="es-CO"/>
              </w:rPr>
              <w:t>Total</w:t>
            </w:r>
          </w:p>
        </w:tc>
        <w:tc>
          <w:tcPr>
            <w:tcW w:w="773" w:type="dxa"/>
            <w:shd w:val="clear" w:color="auto" w:fill="D0CECE" w:themeFill="background2" w:themeFillShade="E6"/>
            <w:vAlign w:val="center"/>
          </w:tcPr>
          <w:p w:rsidR="000B48B9" w:rsidP="00732B1E" w:rsidRDefault="000B48B9" w14:paraId="535A67E7" w14:textId="77777777">
            <w:pPr>
              <w:autoSpaceDE w:val="0"/>
              <w:autoSpaceDN w:val="0"/>
              <w:adjustRightInd w:val="0"/>
              <w:spacing w:before="20" w:after="20"/>
              <w:jc w:val="center"/>
              <w:rPr>
                <w:rFonts w:ascii="Arial" w:hAnsi="Arial" w:cs="Arial"/>
                <w:bCs/>
                <w:sz w:val="20"/>
                <w:szCs w:val="20"/>
                <w:lang w:val="es-CO"/>
              </w:rPr>
            </w:pPr>
          </w:p>
        </w:tc>
        <w:tc>
          <w:tcPr>
            <w:tcW w:w="873" w:type="dxa"/>
            <w:shd w:val="clear" w:color="auto" w:fill="D0CECE" w:themeFill="background2" w:themeFillShade="E6"/>
            <w:vAlign w:val="center"/>
          </w:tcPr>
          <w:p w:rsidR="000B48B9" w:rsidP="00732B1E" w:rsidRDefault="006B791F" w14:paraId="4E50E6A7" w14:textId="36E4EBB5">
            <w:pPr>
              <w:autoSpaceDE w:val="0"/>
              <w:autoSpaceDN w:val="0"/>
              <w:adjustRightInd w:val="0"/>
              <w:spacing w:before="20" w:after="20"/>
              <w:jc w:val="center"/>
              <w:rPr>
                <w:rFonts w:ascii="Arial" w:hAnsi="Arial" w:cs="Arial"/>
                <w:bCs/>
                <w:sz w:val="20"/>
                <w:szCs w:val="20"/>
                <w:lang w:val="es-CO"/>
              </w:rPr>
            </w:pPr>
            <w:r>
              <w:rPr>
                <w:rFonts w:ascii="Arial" w:hAnsi="Arial" w:cs="Arial"/>
                <w:bCs/>
                <w:sz w:val="20"/>
                <w:szCs w:val="20"/>
                <w:lang w:val="es-CO"/>
              </w:rPr>
              <w:t>55.862</w:t>
            </w:r>
          </w:p>
        </w:tc>
        <w:tc>
          <w:tcPr>
            <w:tcW w:w="1039" w:type="dxa"/>
            <w:shd w:val="clear" w:color="auto" w:fill="D0CECE" w:themeFill="background2" w:themeFillShade="E6"/>
            <w:vAlign w:val="center"/>
          </w:tcPr>
          <w:p w:rsidR="000B48B9" w:rsidP="00732B1E" w:rsidRDefault="000B48B9" w14:paraId="10AD776D" w14:textId="77777777">
            <w:pPr>
              <w:autoSpaceDE w:val="0"/>
              <w:autoSpaceDN w:val="0"/>
              <w:adjustRightInd w:val="0"/>
              <w:spacing w:before="20" w:after="20"/>
              <w:jc w:val="center"/>
              <w:rPr>
                <w:rFonts w:ascii="Arial" w:hAnsi="Arial" w:cs="Arial"/>
                <w:bCs/>
                <w:sz w:val="20"/>
                <w:szCs w:val="20"/>
                <w:lang w:val="es-CO"/>
              </w:rPr>
            </w:pPr>
          </w:p>
        </w:tc>
        <w:tc>
          <w:tcPr>
            <w:tcW w:w="1095" w:type="dxa"/>
            <w:shd w:val="clear" w:color="auto" w:fill="D0CECE" w:themeFill="background2" w:themeFillShade="E6"/>
            <w:vAlign w:val="center"/>
          </w:tcPr>
          <w:p w:rsidR="000B48B9" w:rsidP="00732B1E" w:rsidRDefault="000B48B9" w14:paraId="69CB5382" w14:textId="77777777">
            <w:pPr>
              <w:autoSpaceDE w:val="0"/>
              <w:autoSpaceDN w:val="0"/>
              <w:adjustRightInd w:val="0"/>
              <w:spacing w:before="20" w:after="20"/>
              <w:jc w:val="center"/>
              <w:rPr>
                <w:rFonts w:ascii="Arial" w:hAnsi="Arial" w:cs="Arial"/>
                <w:bCs/>
                <w:sz w:val="20"/>
                <w:szCs w:val="20"/>
                <w:lang w:val="es-CO"/>
              </w:rPr>
            </w:pPr>
          </w:p>
        </w:tc>
        <w:tc>
          <w:tcPr>
            <w:tcW w:w="900" w:type="dxa"/>
            <w:shd w:val="clear" w:color="auto" w:fill="D0CECE" w:themeFill="background2" w:themeFillShade="E6"/>
            <w:vAlign w:val="center"/>
          </w:tcPr>
          <w:p w:rsidR="000B48B9" w:rsidP="00732B1E" w:rsidRDefault="000B48B9" w14:paraId="384F83EF" w14:textId="53DE1ECD">
            <w:pPr>
              <w:autoSpaceDE w:val="0"/>
              <w:autoSpaceDN w:val="0"/>
              <w:adjustRightInd w:val="0"/>
              <w:spacing w:before="20" w:after="20"/>
              <w:jc w:val="center"/>
              <w:rPr>
                <w:rFonts w:ascii="Arial" w:hAnsi="Arial" w:cs="Arial"/>
                <w:bCs/>
                <w:sz w:val="20"/>
                <w:szCs w:val="20"/>
                <w:lang w:val="es-CO"/>
              </w:rPr>
            </w:pPr>
            <w:r>
              <w:rPr>
                <w:rFonts w:ascii="Arial" w:hAnsi="Arial" w:cs="Arial"/>
                <w:bCs/>
                <w:sz w:val="20"/>
                <w:szCs w:val="20"/>
                <w:lang w:val="es-CO"/>
              </w:rPr>
              <w:t>55.86</w:t>
            </w:r>
            <w:r w:rsidR="006B791F">
              <w:rPr>
                <w:rFonts w:ascii="Arial" w:hAnsi="Arial" w:cs="Arial"/>
                <w:bCs/>
                <w:sz w:val="20"/>
                <w:szCs w:val="20"/>
                <w:lang w:val="es-CO"/>
              </w:rPr>
              <w:t>3</w:t>
            </w:r>
          </w:p>
        </w:tc>
        <w:tc>
          <w:tcPr>
            <w:tcW w:w="1155" w:type="dxa"/>
            <w:shd w:val="clear" w:color="auto" w:fill="D0CECE" w:themeFill="background2" w:themeFillShade="E6"/>
            <w:vAlign w:val="center"/>
          </w:tcPr>
          <w:p w:rsidR="000B48B9" w:rsidP="00732B1E" w:rsidRDefault="000B48B9" w14:paraId="5D853C44" w14:textId="77777777">
            <w:pPr>
              <w:autoSpaceDE w:val="0"/>
              <w:autoSpaceDN w:val="0"/>
              <w:adjustRightInd w:val="0"/>
              <w:spacing w:before="20" w:after="20"/>
              <w:jc w:val="center"/>
              <w:rPr>
                <w:rFonts w:ascii="Arial" w:hAnsi="Arial" w:cs="Arial"/>
                <w:bCs/>
                <w:sz w:val="20"/>
                <w:szCs w:val="20"/>
                <w:lang w:val="es-CO"/>
              </w:rPr>
            </w:pPr>
          </w:p>
        </w:tc>
        <w:tc>
          <w:tcPr>
            <w:tcW w:w="1095" w:type="dxa"/>
            <w:shd w:val="clear" w:color="auto" w:fill="D0CECE" w:themeFill="background2" w:themeFillShade="E6"/>
            <w:vAlign w:val="center"/>
          </w:tcPr>
          <w:p w:rsidR="000B48B9" w:rsidP="00732B1E" w:rsidRDefault="000B48B9" w14:paraId="5B65F1BD" w14:textId="77777777">
            <w:pPr>
              <w:autoSpaceDE w:val="0"/>
              <w:autoSpaceDN w:val="0"/>
              <w:adjustRightInd w:val="0"/>
              <w:spacing w:before="20" w:after="20"/>
              <w:jc w:val="center"/>
              <w:rPr>
                <w:rFonts w:ascii="Arial" w:hAnsi="Arial" w:cs="Arial"/>
                <w:bCs/>
                <w:sz w:val="20"/>
                <w:szCs w:val="20"/>
                <w:lang w:val="es-CO"/>
              </w:rPr>
            </w:pPr>
          </w:p>
        </w:tc>
        <w:tc>
          <w:tcPr>
            <w:tcW w:w="953" w:type="dxa"/>
            <w:shd w:val="clear" w:color="auto" w:fill="D0CECE" w:themeFill="background2" w:themeFillShade="E6"/>
            <w:vAlign w:val="center"/>
          </w:tcPr>
          <w:p w:rsidR="000B48B9" w:rsidP="00732B1E" w:rsidRDefault="000B48B9" w14:paraId="70F7D538" w14:textId="56C08E2C">
            <w:pPr>
              <w:autoSpaceDE w:val="0"/>
              <w:autoSpaceDN w:val="0"/>
              <w:adjustRightInd w:val="0"/>
              <w:spacing w:before="20" w:after="20"/>
              <w:jc w:val="center"/>
              <w:rPr>
                <w:rFonts w:ascii="Arial" w:hAnsi="Arial" w:cs="Arial"/>
                <w:bCs/>
                <w:sz w:val="20"/>
                <w:szCs w:val="20"/>
                <w:lang w:val="es-CO"/>
              </w:rPr>
            </w:pPr>
            <w:r>
              <w:rPr>
                <w:rFonts w:ascii="Arial" w:hAnsi="Arial" w:cs="Arial"/>
                <w:bCs/>
                <w:sz w:val="20"/>
                <w:szCs w:val="20"/>
                <w:lang w:val="es-CO"/>
              </w:rPr>
              <w:t>5</w:t>
            </w:r>
            <w:r w:rsidR="006B791F">
              <w:rPr>
                <w:rFonts w:ascii="Arial" w:hAnsi="Arial" w:cs="Arial"/>
                <w:bCs/>
                <w:sz w:val="20"/>
                <w:szCs w:val="20"/>
                <w:lang w:val="es-CO"/>
              </w:rPr>
              <w:t>0</w:t>
            </w:r>
          </w:p>
        </w:tc>
        <w:tc>
          <w:tcPr>
            <w:tcW w:w="1117" w:type="dxa"/>
            <w:shd w:val="clear" w:color="auto" w:fill="D0CECE" w:themeFill="background2" w:themeFillShade="E6"/>
            <w:vAlign w:val="center"/>
          </w:tcPr>
          <w:p w:rsidR="000B48B9" w:rsidP="00732B1E" w:rsidRDefault="000B48B9" w14:paraId="6EBBC552" w14:textId="77777777">
            <w:pPr>
              <w:autoSpaceDE w:val="0"/>
              <w:autoSpaceDN w:val="0"/>
              <w:adjustRightInd w:val="0"/>
              <w:spacing w:before="20" w:after="20"/>
              <w:jc w:val="center"/>
              <w:rPr>
                <w:rFonts w:ascii="Arial" w:hAnsi="Arial" w:cs="Arial"/>
                <w:bCs/>
                <w:sz w:val="20"/>
                <w:szCs w:val="20"/>
                <w:lang w:val="es-CO"/>
              </w:rPr>
            </w:pPr>
          </w:p>
        </w:tc>
        <w:tc>
          <w:tcPr>
            <w:tcW w:w="1170" w:type="dxa"/>
            <w:shd w:val="clear" w:color="auto" w:fill="D0CECE" w:themeFill="background2" w:themeFillShade="E6"/>
            <w:vAlign w:val="center"/>
          </w:tcPr>
          <w:p w:rsidR="000B48B9" w:rsidP="00BF17E5" w:rsidRDefault="000B48B9" w14:paraId="348DBDEC" w14:textId="77777777">
            <w:pPr>
              <w:autoSpaceDE w:val="0"/>
              <w:autoSpaceDN w:val="0"/>
              <w:adjustRightInd w:val="0"/>
              <w:spacing w:before="20" w:after="20"/>
              <w:jc w:val="right"/>
              <w:rPr>
                <w:rFonts w:ascii="Arial" w:hAnsi="Arial" w:cs="Arial"/>
                <w:bCs/>
                <w:sz w:val="20"/>
                <w:szCs w:val="20"/>
                <w:lang w:val="es-CO"/>
              </w:rPr>
            </w:pPr>
            <w:r>
              <w:rPr>
                <w:rFonts w:ascii="Arial" w:hAnsi="Arial" w:cs="Arial"/>
                <w:bCs/>
                <w:sz w:val="20"/>
                <w:szCs w:val="20"/>
                <w:lang w:val="es-CO"/>
              </w:rPr>
              <w:t>161.725</w:t>
            </w:r>
          </w:p>
        </w:tc>
      </w:tr>
    </w:tbl>
    <w:p w:rsidR="000B48B9" w:rsidP="000B48B9" w:rsidRDefault="000B48B9" w14:paraId="0AAF669A" w14:textId="049343F7">
      <w:pPr>
        <w:autoSpaceDE w:val="0"/>
        <w:autoSpaceDN w:val="0"/>
        <w:adjustRightInd w:val="0"/>
        <w:spacing w:before="20" w:after="20"/>
        <w:rPr>
          <w:rFonts w:ascii="Arial" w:hAnsi="Arial" w:cs="Arial"/>
          <w:sz w:val="18"/>
          <w:szCs w:val="18"/>
          <w:lang w:val="es-CO"/>
        </w:rPr>
      </w:pPr>
      <w:r>
        <w:rPr>
          <w:rFonts w:ascii="Arial" w:hAnsi="Arial" w:cs="Arial"/>
          <w:sz w:val="18"/>
          <w:szCs w:val="18"/>
          <w:lang w:val="es-CO"/>
        </w:rPr>
        <w:t xml:space="preserve">* De los cuales corresponde a </w:t>
      </w:r>
      <w:r w:rsidRPr="00CD03D4">
        <w:rPr>
          <w:rFonts w:ascii="Arial" w:hAnsi="Arial" w:cs="Arial"/>
          <w:sz w:val="18"/>
          <w:szCs w:val="18"/>
          <w:lang w:val="es-CO"/>
        </w:rPr>
        <w:t>GRF USD4.81</w:t>
      </w:r>
      <w:r>
        <w:rPr>
          <w:rFonts w:ascii="Arial" w:hAnsi="Arial" w:cs="Arial"/>
          <w:sz w:val="18"/>
          <w:szCs w:val="18"/>
          <w:lang w:val="es-CO"/>
        </w:rPr>
        <w:t>25 millones</w:t>
      </w:r>
      <w:r w:rsidRPr="00CD03D4">
        <w:rPr>
          <w:rFonts w:ascii="Arial" w:hAnsi="Arial" w:cs="Arial"/>
          <w:sz w:val="18"/>
          <w:szCs w:val="18"/>
          <w:lang w:val="es-CO"/>
        </w:rPr>
        <w:t xml:space="preserve"> </w:t>
      </w:r>
      <w:r>
        <w:rPr>
          <w:rFonts w:ascii="Arial" w:hAnsi="Arial" w:cs="Arial"/>
          <w:sz w:val="18"/>
          <w:szCs w:val="18"/>
          <w:lang w:val="es-CO"/>
        </w:rPr>
        <w:t xml:space="preserve">y a </w:t>
      </w:r>
      <w:r w:rsidRPr="00CD03D4">
        <w:rPr>
          <w:rFonts w:ascii="Arial" w:hAnsi="Arial" w:cs="Arial"/>
          <w:sz w:val="18"/>
          <w:szCs w:val="18"/>
          <w:lang w:val="es-CO"/>
        </w:rPr>
        <w:t>PSG USD1.050</w:t>
      </w:r>
      <w:r>
        <w:rPr>
          <w:rFonts w:ascii="Arial" w:hAnsi="Arial" w:cs="Arial"/>
          <w:sz w:val="18"/>
          <w:szCs w:val="18"/>
          <w:lang w:val="es-CO"/>
        </w:rPr>
        <w:t xml:space="preserve"> millones</w:t>
      </w:r>
    </w:p>
    <w:p w:rsidRPr="007A2A98" w:rsidR="000B48B9" w:rsidP="000B48B9" w:rsidRDefault="000B48B9" w14:paraId="05FFCDC8" w14:textId="77777777">
      <w:pPr>
        <w:autoSpaceDE w:val="0"/>
        <w:autoSpaceDN w:val="0"/>
        <w:adjustRightInd w:val="0"/>
        <w:spacing w:before="20" w:after="20"/>
        <w:rPr>
          <w:rFonts w:ascii="Arial" w:hAnsi="Arial" w:cs="Arial"/>
          <w:sz w:val="18"/>
          <w:szCs w:val="18"/>
          <w:lang w:val="es-CO"/>
        </w:rPr>
      </w:pPr>
      <w:r w:rsidRPr="007A2A98">
        <w:rPr>
          <w:rFonts w:ascii="Arial" w:hAnsi="Arial" w:cs="Arial"/>
          <w:sz w:val="18"/>
          <w:szCs w:val="18"/>
          <w:lang w:val="es-CO"/>
        </w:rPr>
        <w:t>*</w:t>
      </w:r>
      <w:r>
        <w:rPr>
          <w:rFonts w:ascii="Arial" w:hAnsi="Arial" w:cs="Arial"/>
          <w:sz w:val="18"/>
          <w:szCs w:val="18"/>
          <w:lang w:val="es-CO"/>
        </w:rPr>
        <w:t>*Los recursos de GRF y PSG, s</w:t>
      </w:r>
      <w:r w:rsidRPr="007A2A98">
        <w:rPr>
          <w:rFonts w:ascii="Arial" w:hAnsi="Arial" w:cs="Arial"/>
          <w:sz w:val="18"/>
          <w:szCs w:val="18"/>
          <w:lang w:val="es-CO"/>
        </w:rPr>
        <w:t>e desembolsarán a inicios del año posterior al cumplimiento de la meta.</w:t>
      </w:r>
    </w:p>
    <w:p w:rsidRPr="00BA7F63" w:rsidR="00484BB3" w:rsidP="00A43F55" w:rsidRDefault="00484BB3" w14:paraId="22ACB607" w14:textId="77777777">
      <w:pPr>
        <w:keepNext/>
        <w:keepLines/>
        <w:spacing w:before="120"/>
        <w:jc w:val="center"/>
        <w:rPr>
          <w:rFonts w:ascii="Arial" w:hAnsi="Arial" w:cs="Arial"/>
          <w:b/>
          <w:bCs/>
          <w:smallCaps/>
          <w:sz w:val="20"/>
          <w:szCs w:val="20"/>
          <w:lang w:val="es-CO"/>
        </w:rPr>
      </w:pPr>
    </w:p>
    <w:p w:rsidRPr="00627F09" w:rsidR="00677124" w:rsidP="00677124" w:rsidRDefault="00677124" w14:paraId="5A1678DA" w14:textId="77777777">
      <w:pPr>
        <w:keepNext/>
        <w:keepLines/>
        <w:jc w:val="center"/>
        <w:rPr>
          <w:rFonts w:ascii="Arial" w:hAnsi="Arial" w:cs="Arial"/>
          <w:b/>
          <w:bCs/>
          <w:smallCaps/>
          <w:lang w:val="es-ES"/>
        </w:rPr>
      </w:pPr>
      <w:r w:rsidRPr="00627F09">
        <w:rPr>
          <w:rFonts w:ascii="Arial" w:hAnsi="Arial" w:cs="Arial"/>
          <w:b/>
          <w:bCs/>
          <w:smallCaps/>
          <w:lang w:val="es-ES"/>
        </w:rPr>
        <w:t>Productos</w:t>
      </w:r>
    </w:p>
    <w:tbl>
      <w:tblPr>
        <w:tblStyle w:val="TableGrid"/>
        <w:tblW w:w="14324" w:type="dxa"/>
        <w:jc w:val="center"/>
        <w:tblCellMar>
          <w:left w:w="115" w:type="dxa"/>
          <w:right w:w="115" w:type="dxa"/>
        </w:tblCellMar>
        <w:tblLook w:val="04A0" w:firstRow="1" w:lastRow="0" w:firstColumn="1" w:lastColumn="0" w:noHBand="0" w:noVBand="1"/>
      </w:tblPr>
      <w:tblGrid>
        <w:gridCol w:w="4578"/>
        <w:gridCol w:w="1793"/>
        <w:gridCol w:w="831"/>
        <w:gridCol w:w="719"/>
        <w:gridCol w:w="540"/>
        <w:gridCol w:w="629"/>
        <w:gridCol w:w="630"/>
        <w:gridCol w:w="720"/>
        <w:gridCol w:w="3884"/>
      </w:tblGrid>
      <w:tr w:rsidRPr="00A409B5" w:rsidR="00C15A28" w:rsidTr="00C15A28" w14:paraId="775C6A0D" w14:textId="77777777">
        <w:trPr>
          <w:trHeight w:val="20"/>
          <w:tblHeader/>
          <w:jc w:val="center"/>
        </w:trPr>
        <w:tc>
          <w:tcPr>
            <w:tcW w:w="4585" w:type="dxa"/>
            <w:vMerge w:val="restart"/>
            <w:shd w:val="clear" w:color="auto" w:fill="D9D9D9" w:themeFill="background1" w:themeFillShade="D9"/>
            <w:vAlign w:val="center"/>
          </w:tcPr>
          <w:p w:rsidRPr="004C6708" w:rsidR="00C15A28" w:rsidP="00564AA1" w:rsidRDefault="00C15A28" w14:paraId="2B273A1C" w14:textId="77777777">
            <w:pPr>
              <w:keepNext/>
              <w:keepLines/>
              <w:spacing w:before="20" w:after="20"/>
              <w:jc w:val="center"/>
              <w:rPr>
                <w:rFonts w:ascii="Arial" w:hAnsi="Arial" w:cs="Arial"/>
                <w:b/>
                <w:sz w:val="20"/>
                <w:szCs w:val="20"/>
                <w:lang w:val="es-ES"/>
              </w:rPr>
            </w:pPr>
            <w:r w:rsidRPr="004C6708">
              <w:rPr>
                <w:rFonts w:ascii="Arial" w:hAnsi="Arial" w:cs="Arial"/>
                <w:b/>
                <w:sz w:val="20"/>
                <w:szCs w:val="20"/>
                <w:lang w:val="es-ES"/>
              </w:rPr>
              <w:t>Productos</w:t>
            </w:r>
          </w:p>
        </w:tc>
        <w:tc>
          <w:tcPr>
            <w:tcW w:w="1794" w:type="dxa"/>
            <w:vMerge w:val="restart"/>
            <w:shd w:val="clear" w:color="auto" w:fill="D9D9D9" w:themeFill="background1" w:themeFillShade="D9"/>
            <w:vAlign w:val="center"/>
          </w:tcPr>
          <w:p w:rsidRPr="004C6708" w:rsidR="00C15A28" w:rsidP="00564AA1" w:rsidRDefault="00C15A28" w14:paraId="1AED01C4" w14:textId="77777777">
            <w:pPr>
              <w:keepNext/>
              <w:keepLines/>
              <w:spacing w:before="20" w:after="20"/>
              <w:jc w:val="center"/>
              <w:rPr>
                <w:rFonts w:ascii="Arial" w:hAnsi="Arial" w:cs="Arial"/>
                <w:b/>
                <w:sz w:val="20"/>
                <w:szCs w:val="20"/>
                <w:lang w:val="es-ES"/>
              </w:rPr>
            </w:pPr>
            <w:r w:rsidRPr="004C6708">
              <w:rPr>
                <w:rFonts w:ascii="Arial" w:hAnsi="Arial" w:cs="Arial"/>
                <w:b/>
                <w:sz w:val="20"/>
                <w:szCs w:val="20"/>
                <w:lang w:val="es-ES"/>
              </w:rPr>
              <w:t>Unidad de Medida</w:t>
            </w:r>
          </w:p>
        </w:tc>
        <w:tc>
          <w:tcPr>
            <w:tcW w:w="1536" w:type="dxa"/>
            <w:gridSpan w:val="2"/>
            <w:shd w:val="clear" w:color="auto" w:fill="D9D9D9" w:themeFill="background1" w:themeFillShade="D9"/>
            <w:vAlign w:val="center"/>
          </w:tcPr>
          <w:p w:rsidRPr="004C6708" w:rsidR="00C15A28" w:rsidP="00564AA1" w:rsidRDefault="00C15A28" w14:paraId="11697B85" w14:textId="77777777">
            <w:pPr>
              <w:keepNext/>
              <w:keepLines/>
              <w:spacing w:before="20" w:after="20"/>
              <w:jc w:val="center"/>
              <w:rPr>
                <w:rFonts w:ascii="Arial" w:hAnsi="Arial" w:cs="Arial"/>
                <w:b/>
                <w:sz w:val="20"/>
                <w:szCs w:val="20"/>
                <w:lang w:val="es-ES"/>
              </w:rPr>
            </w:pPr>
            <w:r w:rsidRPr="004C6708">
              <w:rPr>
                <w:rFonts w:ascii="Arial" w:hAnsi="Arial" w:cs="Arial"/>
                <w:b/>
                <w:sz w:val="20"/>
                <w:szCs w:val="20"/>
                <w:lang w:val="es-ES"/>
              </w:rPr>
              <w:t>Línea de base</w:t>
            </w:r>
          </w:p>
        </w:tc>
        <w:tc>
          <w:tcPr>
            <w:tcW w:w="1800" w:type="dxa"/>
            <w:gridSpan w:val="3"/>
            <w:shd w:val="clear" w:color="auto" w:fill="D9D9D9" w:themeFill="background1" w:themeFillShade="D9"/>
            <w:vAlign w:val="center"/>
          </w:tcPr>
          <w:p w:rsidRPr="004C6708" w:rsidR="00C15A28" w:rsidP="00564AA1" w:rsidRDefault="00C15A28" w14:paraId="16B46374" w14:textId="77777777">
            <w:pPr>
              <w:keepNext/>
              <w:keepLines/>
              <w:spacing w:before="20" w:after="20"/>
              <w:jc w:val="center"/>
              <w:rPr>
                <w:rFonts w:ascii="Arial" w:hAnsi="Arial" w:cs="Arial"/>
                <w:b/>
                <w:sz w:val="20"/>
                <w:szCs w:val="20"/>
                <w:lang w:val="es-ES"/>
              </w:rPr>
            </w:pPr>
            <w:r w:rsidRPr="004C6708">
              <w:rPr>
                <w:rFonts w:ascii="Arial" w:hAnsi="Arial" w:cs="Arial"/>
                <w:b/>
                <w:sz w:val="20"/>
                <w:szCs w:val="20"/>
                <w:lang w:val="es-ES"/>
              </w:rPr>
              <w:t>Año</w:t>
            </w:r>
          </w:p>
        </w:tc>
        <w:tc>
          <w:tcPr>
            <w:tcW w:w="720" w:type="dxa"/>
            <w:vMerge w:val="restart"/>
            <w:shd w:val="clear" w:color="auto" w:fill="D9D9D9" w:themeFill="background1" w:themeFillShade="D9"/>
            <w:vAlign w:val="center"/>
          </w:tcPr>
          <w:p w:rsidRPr="004C6708" w:rsidR="00C15A28" w:rsidP="00564AA1" w:rsidRDefault="00C15A28" w14:paraId="21580D38" w14:textId="77777777">
            <w:pPr>
              <w:keepNext/>
              <w:keepLines/>
              <w:spacing w:before="20" w:after="20"/>
              <w:jc w:val="center"/>
              <w:rPr>
                <w:rFonts w:ascii="Arial" w:hAnsi="Arial" w:cs="Arial"/>
                <w:b/>
                <w:sz w:val="20"/>
                <w:szCs w:val="20"/>
                <w:lang w:val="es-ES"/>
              </w:rPr>
            </w:pPr>
            <w:r w:rsidRPr="004C6708">
              <w:rPr>
                <w:rFonts w:ascii="Arial" w:hAnsi="Arial" w:cs="Arial"/>
                <w:b/>
                <w:sz w:val="20"/>
                <w:szCs w:val="20"/>
                <w:lang w:val="es-ES"/>
              </w:rPr>
              <w:t>Meta</w:t>
            </w:r>
          </w:p>
        </w:tc>
        <w:tc>
          <w:tcPr>
            <w:tcW w:w="3889" w:type="dxa"/>
            <w:vMerge w:val="restart"/>
            <w:shd w:val="clear" w:color="auto" w:fill="D9D9D9" w:themeFill="background1" w:themeFillShade="D9"/>
          </w:tcPr>
          <w:p w:rsidRPr="004C6708" w:rsidR="00C15A28" w:rsidP="00564AA1" w:rsidRDefault="00C15A28" w14:paraId="49FFDA09" w14:textId="77777777">
            <w:pPr>
              <w:keepNext/>
              <w:keepLines/>
              <w:spacing w:before="20" w:after="20"/>
              <w:jc w:val="center"/>
              <w:rPr>
                <w:rFonts w:ascii="Arial" w:hAnsi="Arial" w:cs="Arial"/>
                <w:b/>
                <w:sz w:val="20"/>
                <w:szCs w:val="20"/>
                <w:lang w:val="es-ES"/>
              </w:rPr>
            </w:pPr>
            <w:r w:rsidRPr="004C6708">
              <w:rPr>
                <w:rFonts w:ascii="Arial" w:hAnsi="Arial" w:cs="Arial"/>
                <w:b/>
                <w:sz w:val="20"/>
                <w:szCs w:val="20"/>
                <w:lang w:val="es-ES"/>
              </w:rPr>
              <w:t>Fuente de verificación</w:t>
            </w:r>
          </w:p>
        </w:tc>
      </w:tr>
      <w:tr w:rsidRPr="001A45BE" w:rsidR="00C15A28" w:rsidTr="00C15A28" w14:paraId="09EC1D83" w14:textId="77777777">
        <w:trPr>
          <w:trHeight w:val="20"/>
          <w:tblHeader/>
          <w:jc w:val="center"/>
        </w:trPr>
        <w:tc>
          <w:tcPr>
            <w:tcW w:w="4585" w:type="dxa"/>
            <w:vMerge/>
            <w:shd w:val="clear" w:color="auto" w:fill="D9D9D9" w:themeFill="background1" w:themeFillShade="D9"/>
          </w:tcPr>
          <w:p w:rsidRPr="004C6708" w:rsidR="00C15A28" w:rsidP="00564AA1" w:rsidRDefault="00C15A28" w14:paraId="2F5D6C4F" w14:textId="77777777">
            <w:pPr>
              <w:keepNext/>
              <w:keepLines/>
              <w:spacing w:before="20" w:after="20"/>
              <w:rPr>
                <w:rFonts w:ascii="Arial" w:hAnsi="Arial" w:cs="Arial"/>
                <w:sz w:val="20"/>
                <w:szCs w:val="20"/>
                <w:lang w:val="es-ES"/>
              </w:rPr>
            </w:pPr>
          </w:p>
        </w:tc>
        <w:tc>
          <w:tcPr>
            <w:tcW w:w="1794" w:type="dxa"/>
            <w:vMerge/>
            <w:shd w:val="clear" w:color="auto" w:fill="D9D9D9" w:themeFill="background1" w:themeFillShade="D9"/>
            <w:vAlign w:val="center"/>
          </w:tcPr>
          <w:p w:rsidRPr="004C6708" w:rsidR="00C15A28" w:rsidP="00564AA1" w:rsidRDefault="00C15A28" w14:paraId="2E10E8A5" w14:textId="77777777">
            <w:pPr>
              <w:keepNext/>
              <w:keepLines/>
              <w:spacing w:before="20" w:after="20"/>
              <w:jc w:val="center"/>
              <w:rPr>
                <w:rFonts w:ascii="Arial" w:hAnsi="Arial" w:cs="Arial"/>
                <w:sz w:val="20"/>
                <w:szCs w:val="20"/>
                <w:lang w:val="es-ES"/>
              </w:rPr>
            </w:pPr>
          </w:p>
        </w:tc>
        <w:tc>
          <w:tcPr>
            <w:tcW w:w="817" w:type="dxa"/>
            <w:shd w:val="clear" w:color="auto" w:fill="D9D9D9" w:themeFill="background1" w:themeFillShade="D9"/>
          </w:tcPr>
          <w:p w:rsidRPr="004C6708" w:rsidR="00C15A28" w:rsidP="00564AA1" w:rsidRDefault="00C15A28" w14:paraId="59B9C287" w14:textId="77777777">
            <w:pPr>
              <w:keepNext/>
              <w:keepLines/>
              <w:spacing w:before="20" w:after="20"/>
              <w:jc w:val="center"/>
              <w:rPr>
                <w:rFonts w:ascii="Arial" w:hAnsi="Arial" w:cs="Arial"/>
                <w:sz w:val="20"/>
                <w:szCs w:val="20"/>
                <w:lang w:val="es-ES"/>
              </w:rPr>
            </w:pPr>
            <w:r w:rsidRPr="004C6708">
              <w:rPr>
                <w:rFonts w:ascii="Arial" w:hAnsi="Arial" w:cs="Arial"/>
                <w:b/>
                <w:lang w:val="es-ES"/>
              </w:rPr>
              <w:t>Valor</w:t>
            </w:r>
          </w:p>
        </w:tc>
        <w:tc>
          <w:tcPr>
            <w:tcW w:w="719" w:type="dxa"/>
            <w:shd w:val="clear" w:color="auto" w:fill="D9D9D9" w:themeFill="background1" w:themeFillShade="D9"/>
          </w:tcPr>
          <w:p w:rsidRPr="004C6708" w:rsidR="00C15A28" w:rsidP="00564AA1" w:rsidRDefault="00C15A28" w14:paraId="4668A4E9" w14:textId="77777777">
            <w:pPr>
              <w:keepNext/>
              <w:keepLines/>
              <w:spacing w:before="20" w:after="20"/>
              <w:jc w:val="center"/>
              <w:rPr>
                <w:rFonts w:ascii="Arial" w:hAnsi="Arial" w:cs="Arial"/>
                <w:sz w:val="20"/>
                <w:szCs w:val="20"/>
                <w:lang w:val="es-ES"/>
              </w:rPr>
            </w:pPr>
            <w:r w:rsidRPr="004C6708">
              <w:rPr>
                <w:rFonts w:ascii="Arial" w:hAnsi="Arial" w:cs="Arial"/>
                <w:b/>
                <w:lang w:val="es-ES"/>
              </w:rPr>
              <w:t>Año</w:t>
            </w:r>
          </w:p>
        </w:tc>
        <w:tc>
          <w:tcPr>
            <w:tcW w:w="540" w:type="dxa"/>
            <w:shd w:val="clear" w:color="auto" w:fill="D9D9D9" w:themeFill="background1" w:themeFillShade="D9"/>
            <w:vAlign w:val="center"/>
          </w:tcPr>
          <w:p w:rsidRPr="004C6708" w:rsidR="00C15A28" w:rsidP="00564AA1" w:rsidRDefault="00C15A28" w14:paraId="378B5FC1" w14:textId="77777777">
            <w:pPr>
              <w:keepNext/>
              <w:keepLines/>
              <w:spacing w:before="20" w:after="20"/>
              <w:jc w:val="center"/>
              <w:rPr>
                <w:rFonts w:ascii="Arial" w:hAnsi="Arial" w:cs="Arial"/>
                <w:b/>
                <w:bCs/>
                <w:sz w:val="20"/>
                <w:szCs w:val="20"/>
                <w:lang w:val="es-ES"/>
              </w:rPr>
            </w:pPr>
            <w:r w:rsidRPr="004C6708">
              <w:rPr>
                <w:rFonts w:ascii="Arial" w:hAnsi="Arial" w:cs="Arial"/>
                <w:b/>
                <w:bCs/>
                <w:sz w:val="20"/>
                <w:szCs w:val="20"/>
                <w:lang w:val="es-ES"/>
              </w:rPr>
              <w:t>1</w:t>
            </w:r>
          </w:p>
        </w:tc>
        <w:tc>
          <w:tcPr>
            <w:tcW w:w="630" w:type="dxa"/>
            <w:shd w:val="clear" w:color="auto" w:fill="D9D9D9" w:themeFill="background1" w:themeFillShade="D9"/>
            <w:vAlign w:val="center"/>
          </w:tcPr>
          <w:p w:rsidRPr="004C6708" w:rsidR="00C15A28" w:rsidP="00564AA1" w:rsidRDefault="00C15A28" w14:paraId="78E5322C" w14:textId="77777777">
            <w:pPr>
              <w:keepNext/>
              <w:keepLines/>
              <w:spacing w:before="20" w:after="20"/>
              <w:jc w:val="center"/>
              <w:rPr>
                <w:rFonts w:ascii="Arial" w:hAnsi="Arial" w:cs="Arial"/>
                <w:b/>
                <w:bCs/>
                <w:sz w:val="20"/>
                <w:szCs w:val="20"/>
                <w:lang w:val="es-ES"/>
              </w:rPr>
            </w:pPr>
            <w:r w:rsidRPr="004C6708">
              <w:rPr>
                <w:rFonts w:ascii="Arial" w:hAnsi="Arial" w:cs="Arial"/>
                <w:b/>
                <w:bCs/>
                <w:sz w:val="20"/>
                <w:szCs w:val="20"/>
                <w:lang w:val="es-ES"/>
              </w:rPr>
              <w:t>2</w:t>
            </w:r>
          </w:p>
        </w:tc>
        <w:tc>
          <w:tcPr>
            <w:tcW w:w="630" w:type="dxa"/>
            <w:shd w:val="clear" w:color="auto" w:fill="D9D9D9" w:themeFill="background1" w:themeFillShade="D9"/>
            <w:vAlign w:val="center"/>
          </w:tcPr>
          <w:p w:rsidRPr="004C6708" w:rsidR="00C15A28" w:rsidP="00564AA1" w:rsidRDefault="00C15A28" w14:paraId="0BC2B1A2" w14:textId="77777777">
            <w:pPr>
              <w:keepNext/>
              <w:keepLines/>
              <w:spacing w:before="20" w:after="20"/>
              <w:jc w:val="center"/>
              <w:rPr>
                <w:rFonts w:ascii="Arial" w:hAnsi="Arial" w:cs="Arial"/>
                <w:b/>
                <w:bCs/>
                <w:sz w:val="20"/>
                <w:szCs w:val="20"/>
                <w:lang w:val="es-ES"/>
              </w:rPr>
            </w:pPr>
            <w:r w:rsidRPr="004C6708">
              <w:rPr>
                <w:rFonts w:ascii="Arial" w:hAnsi="Arial" w:cs="Arial"/>
                <w:b/>
                <w:bCs/>
                <w:sz w:val="20"/>
                <w:szCs w:val="20"/>
                <w:lang w:val="es-ES"/>
              </w:rPr>
              <w:t>3</w:t>
            </w:r>
          </w:p>
        </w:tc>
        <w:tc>
          <w:tcPr>
            <w:tcW w:w="720" w:type="dxa"/>
            <w:vMerge/>
            <w:shd w:val="clear" w:color="auto" w:fill="D9D9D9" w:themeFill="background1" w:themeFillShade="D9"/>
            <w:vAlign w:val="center"/>
          </w:tcPr>
          <w:p w:rsidRPr="004C6708" w:rsidR="00C15A28" w:rsidP="00564AA1" w:rsidRDefault="00C15A28" w14:paraId="472539D7" w14:textId="77777777">
            <w:pPr>
              <w:keepNext/>
              <w:keepLines/>
              <w:spacing w:before="20" w:after="20"/>
              <w:jc w:val="center"/>
              <w:rPr>
                <w:rFonts w:ascii="Arial" w:hAnsi="Arial" w:cs="Arial"/>
                <w:sz w:val="20"/>
                <w:szCs w:val="20"/>
                <w:lang w:val="es-ES"/>
              </w:rPr>
            </w:pPr>
          </w:p>
        </w:tc>
        <w:tc>
          <w:tcPr>
            <w:tcW w:w="3889" w:type="dxa"/>
            <w:vMerge/>
            <w:shd w:val="clear" w:color="auto" w:fill="D9D9D9" w:themeFill="background1" w:themeFillShade="D9"/>
          </w:tcPr>
          <w:p w:rsidRPr="004C6708" w:rsidR="00C15A28" w:rsidP="00564AA1" w:rsidRDefault="00C15A28" w14:paraId="7A28CA77" w14:textId="77777777">
            <w:pPr>
              <w:keepNext/>
              <w:keepLines/>
              <w:spacing w:before="20" w:after="20"/>
              <w:jc w:val="center"/>
              <w:rPr>
                <w:rFonts w:ascii="Arial" w:hAnsi="Arial" w:cs="Arial"/>
                <w:sz w:val="20"/>
                <w:szCs w:val="20"/>
                <w:lang w:val="es-ES"/>
              </w:rPr>
            </w:pPr>
          </w:p>
        </w:tc>
      </w:tr>
      <w:tr w:rsidRPr="00BA4044" w:rsidR="00C15A28" w:rsidTr="00564AA1" w14:paraId="00E1C7BB" w14:textId="77777777">
        <w:trPr>
          <w:trHeight w:val="20"/>
          <w:jc w:val="center"/>
        </w:trPr>
        <w:tc>
          <w:tcPr>
            <w:tcW w:w="14324" w:type="dxa"/>
            <w:gridSpan w:val="9"/>
            <w:shd w:val="clear" w:color="auto" w:fill="D0CECE" w:themeFill="background2" w:themeFillShade="E6"/>
          </w:tcPr>
          <w:p w:rsidRPr="004C6708" w:rsidR="00C15A28" w:rsidP="00564AA1" w:rsidRDefault="00C15A28" w14:paraId="4234DBD1" w14:textId="77777777">
            <w:pPr>
              <w:keepNext/>
              <w:keepLines/>
              <w:spacing w:before="20" w:after="20"/>
              <w:rPr>
                <w:rFonts w:ascii="Arial" w:hAnsi="Arial" w:cs="Arial"/>
                <w:b/>
                <w:sz w:val="20"/>
                <w:szCs w:val="20"/>
                <w:lang w:val="es-ES"/>
              </w:rPr>
            </w:pPr>
            <w:r w:rsidRPr="004C6708">
              <w:rPr>
                <w:rFonts w:ascii="Arial" w:hAnsi="Arial" w:cs="Arial"/>
                <w:b/>
                <w:sz w:val="20"/>
                <w:szCs w:val="20"/>
                <w:lang w:val="es-ES"/>
              </w:rPr>
              <w:t>Componente 1: Gestión del gasto de servicios y tecnologías no financiados con la UPC</w:t>
            </w:r>
          </w:p>
        </w:tc>
      </w:tr>
      <w:tr w:rsidRPr="000F3366" w:rsidR="00C15A28" w:rsidTr="00C15A28" w14:paraId="23021D73" w14:textId="77777777">
        <w:trPr>
          <w:trHeight w:val="737"/>
          <w:jc w:val="center"/>
        </w:trPr>
        <w:tc>
          <w:tcPr>
            <w:tcW w:w="4585" w:type="dxa"/>
          </w:tcPr>
          <w:p w:rsidRPr="004C6708" w:rsidR="00C15A28" w:rsidP="00564AA1" w:rsidRDefault="00C15A28" w14:paraId="70B80C80" w14:textId="746C6382">
            <w:pPr>
              <w:keepNext/>
              <w:keepLines/>
              <w:spacing w:before="20" w:after="20"/>
              <w:rPr>
                <w:rFonts w:ascii="Arial" w:hAnsi="Arial" w:cs="Arial"/>
                <w:sz w:val="20"/>
                <w:szCs w:val="20"/>
                <w:lang w:val="es-ES"/>
              </w:rPr>
            </w:pPr>
            <w:r w:rsidRPr="004C6708">
              <w:rPr>
                <w:rFonts w:ascii="Arial" w:hAnsi="Arial" w:cs="Arial"/>
                <w:sz w:val="20"/>
                <w:szCs w:val="20"/>
                <w:lang w:val="es-ES"/>
              </w:rPr>
              <w:t>1.1. Metodología para el cálculo de VMR y pago de servicios y tecnologías no financiados con la Unidad de Pago por Capitación (UPC) por parte del MSPS</w:t>
            </w:r>
          </w:p>
        </w:tc>
        <w:tc>
          <w:tcPr>
            <w:tcW w:w="1794" w:type="dxa"/>
            <w:vAlign w:val="center"/>
          </w:tcPr>
          <w:p w:rsidRPr="004C6708" w:rsidR="00C15A28" w:rsidP="00564AA1" w:rsidRDefault="00C15A28" w14:paraId="5FC473D9" w14:textId="77777777">
            <w:pPr>
              <w:keepNext/>
              <w:keepLines/>
              <w:spacing w:before="20" w:after="20"/>
              <w:jc w:val="center"/>
              <w:rPr>
                <w:rFonts w:ascii="Arial" w:hAnsi="Arial" w:cs="Arial"/>
                <w:sz w:val="20"/>
                <w:szCs w:val="20"/>
                <w:lang w:val="es-ES"/>
              </w:rPr>
            </w:pPr>
            <w:r w:rsidRPr="004C6708">
              <w:rPr>
                <w:rFonts w:ascii="Arial" w:hAnsi="Arial" w:cs="Arial"/>
                <w:sz w:val="20"/>
                <w:szCs w:val="20"/>
                <w:lang w:val="es-ES"/>
              </w:rPr>
              <w:t>#Metodologías</w:t>
            </w:r>
          </w:p>
        </w:tc>
        <w:tc>
          <w:tcPr>
            <w:tcW w:w="817" w:type="dxa"/>
            <w:vMerge w:val="restart"/>
            <w:vAlign w:val="center"/>
          </w:tcPr>
          <w:p w:rsidRPr="004C6708" w:rsidR="00C15A28" w:rsidP="00564AA1" w:rsidRDefault="00C15A28" w14:paraId="0E9D400D" w14:textId="77777777">
            <w:pPr>
              <w:keepNext/>
              <w:keepLines/>
              <w:spacing w:before="20" w:after="20"/>
              <w:jc w:val="center"/>
              <w:rPr>
                <w:rFonts w:ascii="Arial" w:hAnsi="Arial" w:cs="Arial"/>
                <w:sz w:val="20"/>
                <w:szCs w:val="20"/>
                <w:lang w:val="es-ES"/>
              </w:rPr>
            </w:pPr>
            <w:r w:rsidRPr="004C6708">
              <w:rPr>
                <w:rFonts w:ascii="Arial" w:hAnsi="Arial" w:cs="Arial"/>
                <w:sz w:val="20"/>
                <w:szCs w:val="20"/>
                <w:lang w:val="es-ES"/>
              </w:rPr>
              <w:t>0</w:t>
            </w:r>
          </w:p>
        </w:tc>
        <w:tc>
          <w:tcPr>
            <w:tcW w:w="719" w:type="dxa"/>
            <w:vMerge w:val="restart"/>
            <w:vAlign w:val="center"/>
          </w:tcPr>
          <w:p w:rsidRPr="004C6708" w:rsidR="00C15A28" w:rsidP="00564AA1" w:rsidRDefault="00C15A28" w14:paraId="41AEDBA2" w14:textId="77777777">
            <w:pPr>
              <w:keepNext/>
              <w:keepLines/>
              <w:spacing w:before="20" w:after="20"/>
              <w:jc w:val="center"/>
              <w:rPr>
                <w:rFonts w:ascii="Arial" w:hAnsi="Arial" w:cs="Arial"/>
                <w:sz w:val="20"/>
                <w:szCs w:val="20"/>
                <w:lang w:val="es-ES"/>
              </w:rPr>
            </w:pPr>
            <w:r w:rsidRPr="004C6708">
              <w:rPr>
                <w:rFonts w:ascii="Arial" w:hAnsi="Arial" w:cs="Arial"/>
                <w:sz w:val="20"/>
                <w:szCs w:val="20"/>
                <w:lang w:val="es-ES"/>
              </w:rPr>
              <w:t>2018</w:t>
            </w:r>
          </w:p>
        </w:tc>
        <w:tc>
          <w:tcPr>
            <w:tcW w:w="540" w:type="dxa"/>
            <w:vAlign w:val="center"/>
          </w:tcPr>
          <w:p w:rsidRPr="004C6708" w:rsidR="00C15A28" w:rsidP="00564AA1" w:rsidRDefault="00C15A28" w14:paraId="6C2CB66F" w14:textId="77777777">
            <w:pPr>
              <w:keepNext/>
              <w:keepLines/>
              <w:spacing w:before="20" w:after="20"/>
              <w:jc w:val="center"/>
              <w:rPr>
                <w:rFonts w:ascii="Arial" w:hAnsi="Arial" w:cs="Arial"/>
                <w:sz w:val="20"/>
                <w:szCs w:val="20"/>
                <w:lang w:val="es-ES"/>
              </w:rPr>
            </w:pPr>
            <w:r w:rsidRPr="004C6708">
              <w:rPr>
                <w:rFonts w:ascii="Arial" w:hAnsi="Arial" w:cs="Arial"/>
                <w:sz w:val="20"/>
                <w:szCs w:val="20"/>
                <w:lang w:val="es-ES"/>
              </w:rPr>
              <w:t>1</w:t>
            </w:r>
          </w:p>
        </w:tc>
        <w:tc>
          <w:tcPr>
            <w:tcW w:w="630" w:type="dxa"/>
            <w:vAlign w:val="center"/>
          </w:tcPr>
          <w:p w:rsidRPr="004C6708" w:rsidR="00C15A28" w:rsidP="00564AA1" w:rsidRDefault="00C15A28" w14:paraId="0A5F9F56" w14:textId="77777777">
            <w:pPr>
              <w:keepNext/>
              <w:keepLines/>
              <w:spacing w:before="20" w:after="20"/>
              <w:jc w:val="center"/>
              <w:rPr>
                <w:rFonts w:ascii="Arial" w:hAnsi="Arial" w:cs="Arial"/>
                <w:sz w:val="20"/>
                <w:szCs w:val="20"/>
                <w:lang w:val="es-ES"/>
              </w:rPr>
            </w:pPr>
            <w:r w:rsidRPr="004C6708">
              <w:rPr>
                <w:rFonts w:ascii="Arial" w:hAnsi="Arial" w:cs="Arial"/>
                <w:sz w:val="20"/>
                <w:szCs w:val="20"/>
                <w:lang w:val="es-ES"/>
              </w:rPr>
              <w:t>0</w:t>
            </w:r>
          </w:p>
        </w:tc>
        <w:tc>
          <w:tcPr>
            <w:tcW w:w="630" w:type="dxa"/>
            <w:vAlign w:val="center"/>
          </w:tcPr>
          <w:p w:rsidRPr="004C6708" w:rsidR="00C15A28" w:rsidP="00564AA1" w:rsidRDefault="00C15A28" w14:paraId="11706602" w14:textId="77777777">
            <w:pPr>
              <w:keepNext/>
              <w:keepLines/>
              <w:spacing w:before="20" w:after="20"/>
              <w:jc w:val="center"/>
              <w:rPr>
                <w:rFonts w:ascii="Arial" w:hAnsi="Arial" w:cs="Arial"/>
                <w:sz w:val="20"/>
                <w:szCs w:val="20"/>
                <w:lang w:val="es-ES"/>
              </w:rPr>
            </w:pPr>
            <w:r w:rsidRPr="004C6708">
              <w:rPr>
                <w:rFonts w:ascii="Arial" w:hAnsi="Arial" w:cs="Arial"/>
                <w:sz w:val="20"/>
                <w:szCs w:val="20"/>
                <w:lang w:val="es-ES"/>
              </w:rPr>
              <w:t>0</w:t>
            </w:r>
          </w:p>
        </w:tc>
        <w:tc>
          <w:tcPr>
            <w:tcW w:w="720" w:type="dxa"/>
            <w:vAlign w:val="center"/>
          </w:tcPr>
          <w:p w:rsidRPr="004C6708" w:rsidR="00C15A28" w:rsidP="00564AA1" w:rsidRDefault="00C15A28" w14:paraId="2006244F" w14:textId="77777777">
            <w:pPr>
              <w:keepNext/>
              <w:keepLines/>
              <w:spacing w:before="20" w:after="20"/>
              <w:jc w:val="center"/>
              <w:rPr>
                <w:rFonts w:ascii="Arial" w:hAnsi="Arial" w:cs="Arial"/>
                <w:sz w:val="20"/>
                <w:szCs w:val="20"/>
                <w:lang w:val="es-ES"/>
              </w:rPr>
            </w:pPr>
            <w:r w:rsidRPr="004C6708">
              <w:rPr>
                <w:rFonts w:ascii="Arial" w:hAnsi="Arial" w:cs="Arial"/>
                <w:sz w:val="20"/>
                <w:szCs w:val="20"/>
                <w:lang w:val="es-ES"/>
              </w:rPr>
              <w:t>1</w:t>
            </w:r>
          </w:p>
        </w:tc>
        <w:tc>
          <w:tcPr>
            <w:tcW w:w="3889" w:type="dxa"/>
          </w:tcPr>
          <w:p w:rsidRPr="004C6708" w:rsidR="00C15A28" w:rsidP="00564AA1" w:rsidRDefault="00C15A28" w14:paraId="26ABAC6A" w14:textId="77777777">
            <w:pPr>
              <w:keepNext/>
              <w:keepLines/>
              <w:spacing w:before="20" w:after="20"/>
              <w:rPr>
                <w:rFonts w:ascii="Arial" w:hAnsi="Arial" w:cs="Arial"/>
                <w:sz w:val="20"/>
                <w:szCs w:val="20"/>
                <w:lang w:val="es-ES"/>
              </w:rPr>
            </w:pPr>
            <w:r w:rsidRPr="004C6708">
              <w:rPr>
                <w:rFonts w:ascii="Arial" w:hAnsi="Arial" w:cs="Arial"/>
                <w:sz w:val="20"/>
                <w:szCs w:val="20"/>
                <w:lang w:val="es-ES"/>
              </w:rPr>
              <w:t>Resolución expedida por el MSPS, confirmada en el informe semestral de avance.</w:t>
            </w:r>
          </w:p>
        </w:tc>
      </w:tr>
      <w:tr w:rsidRPr="000F3366" w:rsidR="00C15A28" w:rsidTr="00C15A28" w14:paraId="5D257B06" w14:textId="77777777">
        <w:trPr>
          <w:trHeight w:val="20"/>
          <w:jc w:val="center"/>
        </w:trPr>
        <w:tc>
          <w:tcPr>
            <w:tcW w:w="4585" w:type="dxa"/>
          </w:tcPr>
          <w:p w:rsidRPr="004C6708" w:rsidR="00C15A28" w:rsidP="00564AA1" w:rsidRDefault="00C15A28" w14:paraId="23308E6F" w14:textId="0FC2014D">
            <w:pPr>
              <w:spacing w:before="20" w:after="20"/>
              <w:rPr>
                <w:rFonts w:ascii="Arial" w:hAnsi="Arial" w:cs="Arial"/>
                <w:sz w:val="20"/>
                <w:szCs w:val="20"/>
                <w:lang w:val="es-ES"/>
              </w:rPr>
            </w:pPr>
            <w:r w:rsidRPr="004C6708">
              <w:rPr>
                <w:rFonts w:ascii="Arial" w:hAnsi="Arial" w:cs="Arial"/>
                <w:sz w:val="20"/>
                <w:szCs w:val="20"/>
                <w:lang w:val="es-ES"/>
              </w:rPr>
              <w:t>1.2. Definición del listado de grupos relevantes con sus VMR para el reconocimiento y pago de servicios y tecnologías no financiados con la UPC por parte del MSPS</w:t>
            </w:r>
          </w:p>
        </w:tc>
        <w:tc>
          <w:tcPr>
            <w:tcW w:w="1794" w:type="dxa"/>
          </w:tcPr>
          <w:p w:rsidRPr="004C6708" w:rsidR="00C15A28" w:rsidP="00564AA1" w:rsidRDefault="00C15A28" w14:paraId="18D50102" w14:textId="77777777">
            <w:pPr>
              <w:spacing w:before="20" w:after="20"/>
              <w:jc w:val="center"/>
              <w:rPr>
                <w:rFonts w:ascii="Arial" w:hAnsi="Arial" w:cs="Arial"/>
                <w:sz w:val="20"/>
                <w:szCs w:val="20"/>
                <w:lang w:val="es-ES"/>
              </w:rPr>
            </w:pPr>
            <w:r w:rsidRPr="004C6708">
              <w:rPr>
                <w:rFonts w:ascii="Arial" w:hAnsi="Arial" w:cs="Arial"/>
                <w:sz w:val="20"/>
                <w:szCs w:val="20"/>
                <w:lang w:val="es-ES"/>
              </w:rPr>
              <w:t>#Listados</w:t>
            </w:r>
          </w:p>
        </w:tc>
        <w:tc>
          <w:tcPr>
            <w:tcW w:w="817" w:type="dxa"/>
            <w:vMerge/>
          </w:tcPr>
          <w:p w:rsidRPr="004C6708" w:rsidR="00C15A28" w:rsidP="00564AA1" w:rsidRDefault="00C15A28" w14:paraId="3E94648C" w14:textId="77777777">
            <w:pPr>
              <w:spacing w:before="20" w:after="20"/>
              <w:jc w:val="center"/>
              <w:rPr>
                <w:rFonts w:ascii="Arial" w:hAnsi="Arial" w:cs="Arial"/>
                <w:sz w:val="20"/>
                <w:szCs w:val="20"/>
                <w:lang w:val="es-ES"/>
              </w:rPr>
            </w:pPr>
          </w:p>
        </w:tc>
        <w:tc>
          <w:tcPr>
            <w:tcW w:w="719" w:type="dxa"/>
            <w:vMerge/>
          </w:tcPr>
          <w:p w:rsidRPr="004C6708" w:rsidR="00C15A28" w:rsidP="00564AA1" w:rsidRDefault="00C15A28" w14:paraId="5DE218E3" w14:textId="77777777">
            <w:pPr>
              <w:spacing w:before="20" w:after="20"/>
              <w:jc w:val="center"/>
              <w:rPr>
                <w:rFonts w:ascii="Arial" w:hAnsi="Arial" w:cs="Arial"/>
                <w:sz w:val="20"/>
                <w:szCs w:val="20"/>
                <w:lang w:val="es-ES"/>
              </w:rPr>
            </w:pPr>
          </w:p>
        </w:tc>
        <w:tc>
          <w:tcPr>
            <w:tcW w:w="540" w:type="dxa"/>
          </w:tcPr>
          <w:p w:rsidRPr="004C6708" w:rsidR="00C15A28" w:rsidP="00564AA1" w:rsidRDefault="00C15A28" w14:paraId="45E1A7FD" w14:textId="77777777">
            <w:pPr>
              <w:spacing w:before="20" w:after="20"/>
              <w:jc w:val="center"/>
              <w:rPr>
                <w:rFonts w:ascii="Arial" w:hAnsi="Arial" w:cs="Arial"/>
                <w:sz w:val="20"/>
                <w:szCs w:val="20"/>
                <w:lang w:val="es-ES"/>
              </w:rPr>
            </w:pPr>
            <w:r w:rsidRPr="004C6708">
              <w:rPr>
                <w:rFonts w:ascii="Arial" w:hAnsi="Arial" w:cs="Arial"/>
                <w:sz w:val="20"/>
                <w:szCs w:val="20"/>
                <w:lang w:val="es-ES"/>
              </w:rPr>
              <w:t>2</w:t>
            </w:r>
          </w:p>
        </w:tc>
        <w:tc>
          <w:tcPr>
            <w:tcW w:w="630" w:type="dxa"/>
          </w:tcPr>
          <w:p w:rsidRPr="004C6708" w:rsidR="00C15A28" w:rsidP="00564AA1" w:rsidRDefault="00C15A28" w14:paraId="7CF6617C" w14:textId="77777777">
            <w:pPr>
              <w:spacing w:before="20" w:after="20"/>
              <w:jc w:val="center"/>
              <w:rPr>
                <w:rFonts w:ascii="Arial" w:hAnsi="Arial" w:cs="Arial"/>
                <w:sz w:val="20"/>
                <w:szCs w:val="20"/>
                <w:lang w:val="es-ES"/>
              </w:rPr>
            </w:pPr>
            <w:r w:rsidRPr="004C6708">
              <w:rPr>
                <w:rFonts w:ascii="Arial" w:hAnsi="Arial" w:cs="Arial"/>
                <w:sz w:val="20"/>
                <w:szCs w:val="20"/>
                <w:lang w:val="es-ES"/>
              </w:rPr>
              <w:t>0</w:t>
            </w:r>
          </w:p>
        </w:tc>
        <w:tc>
          <w:tcPr>
            <w:tcW w:w="630" w:type="dxa"/>
          </w:tcPr>
          <w:p w:rsidRPr="004C6708" w:rsidR="00C15A28" w:rsidP="00564AA1" w:rsidRDefault="00C15A28" w14:paraId="1306C451" w14:textId="77777777">
            <w:pPr>
              <w:spacing w:before="20" w:after="20"/>
              <w:jc w:val="center"/>
              <w:rPr>
                <w:rFonts w:ascii="Arial" w:hAnsi="Arial" w:cs="Arial"/>
                <w:sz w:val="20"/>
                <w:szCs w:val="20"/>
                <w:lang w:val="es-ES"/>
              </w:rPr>
            </w:pPr>
            <w:r w:rsidRPr="004C6708">
              <w:rPr>
                <w:rFonts w:ascii="Arial" w:hAnsi="Arial" w:cs="Arial"/>
                <w:sz w:val="20"/>
                <w:szCs w:val="20"/>
                <w:lang w:val="es-ES"/>
              </w:rPr>
              <w:t>0</w:t>
            </w:r>
          </w:p>
        </w:tc>
        <w:tc>
          <w:tcPr>
            <w:tcW w:w="720" w:type="dxa"/>
          </w:tcPr>
          <w:p w:rsidRPr="004C6708" w:rsidR="00C15A28" w:rsidP="00564AA1" w:rsidRDefault="00C15A28" w14:paraId="05A60B0E" w14:textId="77777777">
            <w:pPr>
              <w:spacing w:before="20" w:after="20"/>
              <w:jc w:val="center"/>
              <w:rPr>
                <w:rFonts w:ascii="Arial" w:hAnsi="Arial" w:cs="Arial"/>
                <w:sz w:val="20"/>
                <w:szCs w:val="20"/>
                <w:lang w:val="es-ES"/>
              </w:rPr>
            </w:pPr>
            <w:r w:rsidRPr="004C6708">
              <w:rPr>
                <w:rFonts w:ascii="Arial" w:hAnsi="Arial" w:cs="Arial"/>
                <w:sz w:val="20"/>
                <w:szCs w:val="20"/>
                <w:lang w:val="es-ES"/>
              </w:rPr>
              <w:t>2</w:t>
            </w:r>
          </w:p>
        </w:tc>
        <w:tc>
          <w:tcPr>
            <w:tcW w:w="3889" w:type="dxa"/>
          </w:tcPr>
          <w:p w:rsidRPr="004C6708" w:rsidR="00C15A28" w:rsidP="00564AA1" w:rsidRDefault="00C15A28" w14:paraId="4E02D155" w14:textId="77777777">
            <w:pPr>
              <w:spacing w:before="20" w:after="20"/>
              <w:rPr>
                <w:rFonts w:ascii="Arial" w:hAnsi="Arial" w:cs="Arial"/>
                <w:sz w:val="20"/>
                <w:szCs w:val="20"/>
                <w:lang w:val="es-ES"/>
              </w:rPr>
            </w:pPr>
            <w:r w:rsidRPr="004C6708">
              <w:rPr>
                <w:rFonts w:ascii="Arial" w:hAnsi="Arial" w:cs="Arial"/>
                <w:sz w:val="20"/>
                <w:szCs w:val="20"/>
                <w:lang w:val="es-ES"/>
              </w:rPr>
              <w:t>Resolución expedida por el MSPS, confirmada en el informe semestral de avance.</w:t>
            </w:r>
          </w:p>
        </w:tc>
      </w:tr>
      <w:tr w:rsidRPr="000F3366" w:rsidR="00C15A28" w:rsidTr="00C15A28" w14:paraId="40EC1403" w14:textId="77777777">
        <w:trPr>
          <w:trHeight w:val="20"/>
          <w:jc w:val="center"/>
        </w:trPr>
        <w:tc>
          <w:tcPr>
            <w:tcW w:w="4585" w:type="dxa"/>
          </w:tcPr>
          <w:p w:rsidRPr="004C6708" w:rsidR="00C15A28" w:rsidP="00564AA1" w:rsidRDefault="00C15A28" w14:paraId="01ED8A86" w14:textId="64188A50">
            <w:pPr>
              <w:spacing w:before="20" w:after="20"/>
              <w:rPr>
                <w:rFonts w:ascii="Arial" w:hAnsi="Arial" w:cs="Arial"/>
                <w:sz w:val="20"/>
                <w:szCs w:val="20"/>
                <w:lang w:val="es-ES"/>
              </w:rPr>
            </w:pPr>
            <w:r w:rsidRPr="004C6708">
              <w:rPr>
                <w:rFonts w:ascii="Arial" w:hAnsi="Arial" w:cs="Arial"/>
                <w:sz w:val="20"/>
                <w:szCs w:val="20"/>
                <w:lang w:val="es-ES"/>
              </w:rPr>
              <w:t>1.3. Adopción de los VMR en los sistemas de ADRES</w:t>
            </w:r>
          </w:p>
        </w:tc>
        <w:tc>
          <w:tcPr>
            <w:tcW w:w="1794" w:type="dxa"/>
          </w:tcPr>
          <w:p w:rsidRPr="004C6708" w:rsidR="00C15A28" w:rsidP="00564AA1" w:rsidRDefault="00C15A28" w14:paraId="10E7D507" w14:textId="77777777">
            <w:pPr>
              <w:spacing w:before="20" w:after="20"/>
              <w:jc w:val="center"/>
              <w:rPr>
                <w:rFonts w:ascii="Arial" w:hAnsi="Arial" w:cs="Arial"/>
                <w:sz w:val="20"/>
                <w:szCs w:val="20"/>
                <w:lang w:val="es-ES"/>
              </w:rPr>
            </w:pPr>
            <w:r w:rsidRPr="004C6708">
              <w:rPr>
                <w:rFonts w:ascii="Arial" w:hAnsi="Arial" w:cs="Arial"/>
                <w:sz w:val="20"/>
                <w:szCs w:val="20"/>
                <w:lang w:val="es-ES"/>
              </w:rPr>
              <w:t>#Sistema</w:t>
            </w:r>
          </w:p>
        </w:tc>
        <w:tc>
          <w:tcPr>
            <w:tcW w:w="817" w:type="dxa"/>
            <w:vMerge/>
          </w:tcPr>
          <w:p w:rsidRPr="004C6708" w:rsidR="00C15A28" w:rsidP="00564AA1" w:rsidRDefault="00C15A28" w14:paraId="28E436AD" w14:textId="77777777">
            <w:pPr>
              <w:spacing w:before="20" w:after="20"/>
              <w:jc w:val="center"/>
              <w:rPr>
                <w:rFonts w:ascii="Arial" w:hAnsi="Arial" w:cs="Arial"/>
                <w:sz w:val="20"/>
                <w:szCs w:val="20"/>
                <w:lang w:val="es-ES"/>
              </w:rPr>
            </w:pPr>
          </w:p>
        </w:tc>
        <w:tc>
          <w:tcPr>
            <w:tcW w:w="719" w:type="dxa"/>
            <w:vMerge w:val="restart"/>
            <w:vAlign w:val="center"/>
          </w:tcPr>
          <w:p w:rsidRPr="004C6708" w:rsidR="00C15A28" w:rsidP="00564AA1" w:rsidRDefault="00C15A28" w14:paraId="5612601D" w14:textId="77777777">
            <w:pPr>
              <w:spacing w:before="20" w:after="20"/>
              <w:jc w:val="center"/>
              <w:rPr>
                <w:rFonts w:ascii="Arial" w:hAnsi="Arial" w:cs="Arial"/>
                <w:sz w:val="20"/>
                <w:szCs w:val="20"/>
                <w:lang w:val="es-ES"/>
              </w:rPr>
            </w:pPr>
            <w:r w:rsidRPr="004C6708">
              <w:rPr>
                <w:rFonts w:ascii="Arial" w:hAnsi="Arial" w:cs="Arial"/>
                <w:sz w:val="20"/>
                <w:szCs w:val="20"/>
                <w:lang w:val="es-ES"/>
              </w:rPr>
              <w:t>2019</w:t>
            </w:r>
          </w:p>
        </w:tc>
        <w:tc>
          <w:tcPr>
            <w:tcW w:w="540" w:type="dxa"/>
          </w:tcPr>
          <w:p w:rsidRPr="004C6708" w:rsidR="00C15A28" w:rsidP="00564AA1" w:rsidRDefault="00C15A28" w14:paraId="19FE2D80" w14:textId="77777777">
            <w:pPr>
              <w:spacing w:before="20" w:after="20"/>
              <w:jc w:val="center"/>
              <w:rPr>
                <w:rFonts w:ascii="Arial" w:hAnsi="Arial" w:cs="Arial"/>
                <w:sz w:val="20"/>
                <w:szCs w:val="20"/>
                <w:lang w:val="es-ES"/>
              </w:rPr>
            </w:pPr>
            <w:r w:rsidRPr="004C6708">
              <w:rPr>
                <w:rFonts w:ascii="Arial" w:hAnsi="Arial" w:cs="Arial"/>
                <w:sz w:val="20"/>
                <w:szCs w:val="20"/>
                <w:lang w:val="es-ES"/>
              </w:rPr>
              <w:t>1</w:t>
            </w:r>
          </w:p>
        </w:tc>
        <w:tc>
          <w:tcPr>
            <w:tcW w:w="630" w:type="dxa"/>
          </w:tcPr>
          <w:p w:rsidRPr="004C6708" w:rsidR="00C15A28" w:rsidP="00564AA1" w:rsidRDefault="00C15A28" w14:paraId="47244FBB" w14:textId="77777777">
            <w:pPr>
              <w:spacing w:before="20" w:after="20"/>
              <w:jc w:val="center"/>
              <w:rPr>
                <w:rFonts w:ascii="Arial" w:hAnsi="Arial" w:cs="Arial"/>
                <w:sz w:val="20"/>
                <w:szCs w:val="20"/>
                <w:lang w:val="es-ES"/>
              </w:rPr>
            </w:pPr>
            <w:r w:rsidRPr="004C6708">
              <w:rPr>
                <w:rFonts w:ascii="Arial" w:hAnsi="Arial" w:cs="Arial"/>
                <w:sz w:val="20"/>
                <w:szCs w:val="20"/>
                <w:lang w:val="es-ES"/>
              </w:rPr>
              <w:t>0</w:t>
            </w:r>
          </w:p>
        </w:tc>
        <w:tc>
          <w:tcPr>
            <w:tcW w:w="630" w:type="dxa"/>
          </w:tcPr>
          <w:p w:rsidRPr="004C6708" w:rsidR="00C15A28" w:rsidP="00564AA1" w:rsidRDefault="00C15A28" w14:paraId="571396AB" w14:textId="77777777">
            <w:pPr>
              <w:spacing w:before="20" w:after="20"/>
              <w:jc w:val="center"/>
              <w:rPr>
                <w:rFonts w:ascii="Arial" w:hAnsi="Arial" w:cs="Arial"/>
                <w:sz w:val="20"/>
                <w:szCs w:val="20"/>
                <w:lang w:val="es-ES"/>
              </w:rPr>
            </w:pPr>
            <w:r w:rsidRPr="004C6708">
              <w:rPr>
                <w:rFonts w:ascii="Arial" w:hAnsi="Arial" w:cs="Arial"/>
                <w:sz w:val="20"/>
                <w:szCs w:val="20"/>
                <w:lang w:val="es-ES"/>
              </w:rPr>
              <w:t>0</w:t>
            </w:r>
          </w:p>
        </w:tc>
        <w:tc>
          <w:tcPr>
            <w:tcW w:w="720" w:type="dxa"/>
          </w:tcPr>
          <w:p w:rsidRPr="004C6708" w:rsidR="00C15A28" w:rsidP="00564AA1" w:rsidRDefault="00C15A28" w14:paraId="258800E1" w14:textId="77777777">
            <w:pPr>
              <w:spacing w:before="20" w:after="20"/>
              <w:jc w:val="center"/>
              <w:rPr>
                <w:rFonts w:ascii="Arial" w:hAnsi="Arial" w:cs="Arial"/>
                <w:sz w:val="20"/>
                <w:szCs w:val="20"/>
                <w:lang w:val="es-ES"/>
              </w:rPr>
            </w:pPr>
            <w:r w:rsidRPr="004C6708">
              <w:rPr>
                <w:rFonts w:ascii="Arial" w:hAnsi="Arial" w:cs="Arial"/>
                <w:sz w:val="20"/>
                <w:szCs w:val="20"/>
                <w:lang w:val="es-ES"/>
              </w:rPr>
              <w:t>1</w:t>
            </w:r>
          </w:p>
        </w:tc>
        <w:tc>
          <w:tcPr>
            <w:tcW w:w="3889" w:type="dxa"/>
          </w:tcPr>
          <w:p w:rsidRPr="004C6708" w:rsidR="00C15A28" w:rsidP="00564AA1" w:rsidRDefault="00C15A28" w14:paraId="6D967AA6" w14:textId="77777777">
            <w:pPr>
              <w:spacing w:before="20" w:after="20"/>
              <w:rPr>
                <w:rFonts w:ascii="Arial" w:hAnsi="Arial" w:cs="Arial"/>
                <w:sz w:val="20"/>
                <w:szCs w:val="20"/>
                <w:lang w:val="es-ES"/>
              </w:rPr>
            </w:pPr>
            <w:r w:rsidRPr="004C6708">
              <w:rPr>
                <w:rFonts w:ascii="Arial" w:hAnsi="Arial" w:cs="Arial"/>
                <w:sz w:val="20"/>
                <w:szCs w:val="20"/>
                <w:lang w:val="es-ES"/>
              </w:rPr>
              <w:t>Informe de ADRES, donde adoptan los VMR para efectos del pago de servicios no financiados por la UPC, confirmado en el informe semestral de avance.</w:t>
            </w:r>
          </w:p>
        </w:tc>
      </w:tr>
      <w:tr w:rsidRPr="000F3366" w:rsidR="00C15A28" w:rsidTr="00C15A28" w14:paraId="4A02E6A8" w14:textId="77777777">
        <w:trPr>
          <w:trHeight w:val="20"/>
          <w:jc w:val="center"/>
        </w:trPr>
        <w:tc>
          <w:tcPr>
            <w:tcW w:w="4585" w:type="dxa"/>
          </w:tcPr>
          <w:p w:rsidRPr="004C6708" w:rsidR="00C15A28" w:rsidP="00564AA1" w:rsidRDefault="00C15A28" w14:paraId="3BC88B89" w14:textId="1C7EF95B">
            <w:pPr>
              <w:spacing w:before="20" w:after="20"/>
              <w:rPr>
                <w:rFonts w:ascii="Arial" w:hAnsi="Arial" w:cs="Arial"/>
                <w:sz w:val="20"/>
                <w:szCs w:val="20"/>
                <w:lang w:val="es-ES"/>
              </w:rPr>
            </w:pPr>
            <w:r w:rsidRPr="004C6708">
              <w:rPr>
                <w:rFonts w:ascii="Arial" w:hAnsi="Arial" w:cs="Arial"/>
                <w:sz w:val="20"/>
                <w:szCs w:val="20"/>
                <w:lang w:val="es-ES"/>
              </w:rPr>
              <w:t>1.4. Metodología de Techos presupuestales basados en VMR para EPS</w:t>
            </w:r>
          </w:p>
        </w:tc>
        <w:tc>
          <w:tcPr>
            <w:tcW w:w="1794" w:type="dxa"/>
          </w:tcPr>
          <w:p w:rsidRPr="004C6708" w:rsidR="00C15A28" w:rsidP="00564AA1" w:rsidRDefault="00C15A28" w14:paraId="179DD572" w14:textId="77777777">
            <w:pPr>
              <w:spacing w:before="20" w:after="20"/>
              <w:jc w:val="center"/>
              <w:rPr>
                <w:rFonts w:ascii="Arial" w:hAnsi="Arial" w:cs="Arial"/>
                <w:sz w:val="20"/>
                <w:szCs w:val="20"/>
                <w:lang w:val="es-ES"/>
              </w:rPr>
            </w:pPr>
            <w:r w:rsidRPr="004C6708">
              <w:rPr>
                <w:rFonts w:ascii="Arial" w:hAnsi="Arial" w:cs="Arial"/>
                <w:sz w:val="20"/>
                <w:szCs w:val="20"/>
                <w:lang w:val="es-ES"/>
              </w:rPr>
              <w:t>#Metodologías</w:t>
            </w:r>
          </w:p>
        </w:tc>
        <w:tc>
          <w:tcPr>
            <w:tcW w:w="817" w:type="dxa"/>
            <w:vMerge/>
          </w:tcPr>
          <w:p w:rsidRPr="004C6708" w:rsidR="00C15A28" w:rsidP="00564AA1" w:rsidRDefault="00C15A28" w14:paraId="1D12459E" w14:textId="77777777">
            <w:pPr>
              <w:spacing w:before="20" w:after="20"/>
              <w:jc w:val="center"/>
              <w:rPr>
                <w:rFonts w:ascii="Arial" w:hAnsi="Arial" w:cs="Arial"/>
                <w:sz w:val="20"/>
                <w:szCs w:val="20"/>
                <w:lang w:val="es-ES"/>
              </w:rPr>
            </w:pPr>
          </w:p>
        </w:tc>
        <w:tc>
          <w:tcPr>
            <w:tcW w:w="719" w:type="dxa"/>
            <w:vMerge/>
          </w:tcPr>
          <w:p w:rsidRPr="004C6708" w:rsidR="00C15A28" w:rsidP="00564AA1" w:rsidRDefault="00C15A28" w14:paraId="610571A6" w14:textId="77777777">
            <w:pPr>
              <w:spacing w:before="20" w:after="20"/>
              <w:jc w:val="center"/>
              <w:rPr>
                <w:rFonts w:ascii="Arial" w:hAnsi="Arial" w:cs="Arial"/>
                <w:sz w:val="20"/>
                <w:szCs w:val="20"/>
                <w:lang w:val="es-ES"/>
              </w:rPr>
            </w:pPr>
          </w:p>
        </w:tc>
        <w:tc>
          <w:tcPr>
            <w:tcW w:w="540" w:type="dxa"/>
          </w:tcPr>
          <w:p w:rsidRPr="004C6708" w:rsidR="00C15A28" w:rsidP="00564AA1" w:rsidRDefault="00C15A28" w14:paraId="28E5D070" w14:textId="77777777">
            <w:pPr>
              <w:spacing w:before="20" w:after="20"/>
              <w:jc w:val="center"/>
              <w:rPr>
                <w:rFonts w:ascii="Arial" w:hAnsi="Arial" w:cs="Arial"/>
                <w:sz w:val="20"/>
                <w:szCs w:val="20"/>
                <w:lang w:val="es-ES"/>
              </w:rPr>
            </w:pPr>
            <w:r w:rsidRPr="004C6708">
              <w:rPr>
                <w:rFonts w:ascii="Arial" w:hAnsi="Arial" w:cs="Arial"/>
                <w:sz w:val="20"/>
                <w:szCs w:val="20"/>
                <w:lang w:val="es-ES"/>
              </w:rPr>
              <w:t>1</w:t>
            </w:r>
          </w:p>
        </w:tc>
        <w:tc>
          <w:tcPr>
            <w:tcW w:w="630" w:type="dxa"/>
          </w:tcPr>
          <w:p w:rsidRPr="004C6708" w:rsidR="00C15A28" w:rsidP="00564AA1" w:rsidRDefault="00C15A28" w14:paraId="137A1814" w14:textId="77777777">
            <w:pPr>
              <w:spacing w:before="20" w:after="20"/>
              <w:jc w:val="center"/>
              <w:rPr>
                <w:rFonts w:ascii="Arial" w:hAnsi="Arial" w:cs="Arial"/>
                <w:sz w:val="20"/>
                <w:szCs w:val="20"/>
                <w:lang w:val="es-ES"/>
              </w:rPr>
            </w:pPr>
            <w:r w:rsidRPr="004C6708">
              <w:rPr>
                <w:rFonts w:ascii="Arial" w:hAnsi="Arial" w:cs="Arial"/>
                <w:sz w:val="20"/>
                <w:szCs w:val="20"/>
                <w:lang w:val="es-ES"/>
              </w:rPr>
              <w:t>0</w:t>
            </w:r>
          </w:p>
        </w:tc>
        <w:tc>
          <w:tcPr>
            <w:tcW w:w="630" w:type="dxa"/>
          </w:tcPr>
          <w:p w:rsidRPr="004C6708" w:rsidR="00C15A28" w:rsidP="00564AA1" w:rsidRDefault="00C15A28" w14:paraId="4DFA845E" w14:textId="77777777">
            <w:pPr>
              <w:spacing w:before="20" w:after="20"/>
              <w:jc w:val="center"/>
              <w:rPr>
                <w:rFonts w:ascii="Arial" w:hAnsi="Arial" w:cs="Arial"/>
                <w:sz w:val="20"/>
                <w:szCs w:val="20"/>
                <w:lang w:val="es-ES"/>
              </w:rPr>
            </w:pPr>
            <w:r w:rsidRPr="004C6708">
              <w:rPr>
                <w:rFonts w:ascii="Arial" w:hAnsi="Arial" w:cs="Arial"/>
                <w:sz w:val="20"/>
                <w:szCs w:val="20"/>
                <w:lang w:val="es-ES"/>
              </w:rPr>
              <w:t>0</w:t>
            </w:r>
          </w:p>
        </w:tc>
        <w:tc>
          <w:tcPr>
            <w:tcW w:w="720" w:type="dxa"/>
          </w:tcPr>
          <w:p w:rsidRPr="004C6708" w:rsidR="00C15A28" w:rsidP="00564AA1" w:rsidRDefault="00C15A28" w14:paraId="1EB4E078" w14:textId="77777777">
            <w:pPr>
              <w:spacing w:before="20" w:after="20"/>
              <w:jc w:val="center"/>
              <w:rPr>
                <w:rFonts w:ascii="Arial" w:hAnsi="Arial" w:cs="Arial"/>
                <w:sz w:val="20"/>
                <w:szCs w:val="20"/>
                <w:lang w:val="es-ES"/>
              </w:rPr>
            </w:pPr>
            <w:r w:rsidRPr="004C6708">
              <w:rPr>
                <w:rFonts w:ascii="Arial" w:hAnsi="Arial" w:cs="Arial"/>
                <w:sz w:val="20"/>
                <w:szCs w:val="20"/>
                <w:lang w:val="es-ES"/>
              </w:rPr>
              <w:t>1</w:t>
            </w:r>
          </w:p>
        </w:tc>
        <w:tc>
          <w:tcPr>
            <w:tcW w:w="3889" w:type="dxa"/>
          </w:tcPr>
          <w:p w:rsidRPr="004C6708" w:rsidR="00C15A28" w:rsidP="00564AA1" w:rsidRDefault="00C15A28" w14:paraId="1C1418AA" w14:textId="77777777">
            <w:pPr>
              <w:spacing w:before="20" w:after="20"/>
              <w:rPr>
                <w:rFonts w:ascii="Arial" w:hAnsi="Arial" w:cs="Arial"/>
                <w:sz w:val="20"/>
                <w:szCs w:val="20"/>
                <w:lang w:val="es-ES"/>
              </w:rPr>
            </w:pPr>
            <w:r w:rsidRPr="004C6708">
              <w:rPr>
                <w:rFonts w:ascii="Arial" w:hAnsi="Arial" w:cs="Arial"/>
                <w:sz w:val="20"/>
                <w:szCs w:val="20"/>
                <w:lang w:val="es-ES"/>
              </w:rPr>
              <w:t>Resolución expedida por el MSPS, confirmada en el informe semestral de avance.</w:t>
            </w:r>
          </w:p>
        </w:tc>
      </w:tr>
      <w:tr w:rsidRPr="000F3366" w:rsidR="00C15A28" w:rsidTr="00C15A28" w14:paraId="5E3BEFEB" w14:textId="77777777">
        <w:trPr>
          <w:trHeight w:val="20"/>
          <w:jc w:val="center"/>
        </w:trPr>
        <w:tc>
          <w:tcPr>
            <w:tcW w:w="4585" w:type="dxa"/>
          </w:tcPr>
          <w:p w:rsidR="00C15A28" w:rsidP="00564AA1" w:rsidRDefault="00C15A28" w14:paraId="6C579E02" w14:textId="77777777">
            <w:pPr>
              <w:spacing w:before="20" w:after="20"/>
              <w:rPr>
                <w:rFonts w:ascii="Arial" w:hAnsi="Arial" w:cs="Arial"/>
                <w:sz w:val="20"/>
                <w:szCs w:val="20"/>
                <w:lang w:val="es-ES"/>
              </w:rPr>
            </w:pPr>
            <w:r>
              <w:rPr>
                <w:rFonts w:ascii="Arial" w:hAnsi="Arial" w:cs="Arial"/>
                <w:sz w:val="20"/>
                <w:szCs w:val="20"/>
                <w:lang w:val="es-ES"/>
              </w:rPr>
              <w:t>1.5. Adopción de los techos presupuestales en los sistemas de ADRES</w:t>
            </w:r>
          </w:p>
        </w:tc>
        <w:tc>
          <w:tcPr>
            <w:tcW w:w="1794" w:type="dxa"/>
          </w:tcPr>
          <w:p w:rsidRPr="005627D9" w:rsidR="00C15A28" w:rsidP="00564AA1" w:rsidRDefault="00C15A28" w14:paraId="7855B0E7" w14:textId="77777777">
            <w:pPr>
              <w:spacing w:before="20" w:after="20"/>
              <w:jc w:val="center"/>
              <w:rPr>
                <w:rFonts w:ascii="Arial" w:hAnsi="Arial" w:cs="Arial"/>
                <w:sz w:val="20"/>
                <w:szCs w:val="20"/>
                <w:lang w:val="es-ES"/>
              </w:rPr>
            </w:pPr>
            <w:r>
              <w:rPr>
                <w:rFonts w:ascii="Arial" w:hAnsi="Arial" w:cs="Arial"/>
                <w:sz w:val="20"/>
                <w:szCs w:val="20"/>
                <w:lang w:val="es-ES"/>
              </w:rPr>
              <w:t>#Sistema</w:t>
            </w:r>
          </w:p>
        </w:tc>
        <w:tc>
          <w:tcPr>
            <w:tcW w:w="817" w:type="dxa"/>
            <w:vMerge/>
          </w:tcPr>
          <w:p w:rsidRPr="005627D9" w:rsidR="00C15A28" w:rsidP="00564AA1" w:rsidRDefault="00C15A28" w14:paraId="0A7089A1" w14:textId="77777777">
            <w:pPr>
              <w:spacing w:before="20" w:after="20"/>
              <w:jc w:val="center"/>
              <w:rPr>
                <w:rFonts w:ascii="Arial" w:hAnsi="Arial" w:cs="Arial"/>
                <w:sz w:val="20"/>
                <w:szCs w:val="20"/>
                <w:lang w:val="es-ES"/>
              </w:rPr>
            </w:pPr>
          </w:p>
        </w:tc>
        <w:tc>
          <w:tcPr>
            <w:tcW w:w="719" w:type="dxa"/>
            <w:vMerge/>
          </w:tcPr>
          <w:p w:rsidRPr="005627D9" w:rsidR="00C15A28" w:rsidP="00564AA1" w:rsidRDefault="00C15A28" w14:paraId="1A5C94C5" w14:textId="77777777">
            <w:pPr>
              <w:spacing w:before="20" w:after="20"/>
              <w:jc w:val="center"/>
              <w:rPr>
                <w:rFonts w:ascii="Arial" w:hAnsi="Arial" w:cs="Arial"/>
                <w:sz w:val="20"/>
                <w:szCs w:val="20"/>
                <w:lang w:val="es-ES"/>
              </w:rPr>
            </w:pPr>
          </w:p>
        </w:tc>
        <w:tc>
          <w:tcPr>
            <w:tcW w:w="540" w:type="dxa"/>
          </w:tcPr>
          <w:p w:rsidRPr="005627D9" w:rsidR="00C15A28" w:rsidP="00564AA1" w:rsidRDefault="00C15A28" w14:paraId="6CC414A4" w14:textId="77777777">
            <w:pPr>
              <w:spacing w:before="20" w:after="20"/>
              <w:jc w:val="center"/>
              <w:rPr>
                <w:rFonts w:ascii="Arial" w:hAnsi="Arial" w:cs="Arial"/>
                <w:sz w:val="20"/>
                <w:szCs w:val="20"/>
                <w:lang w:val="es-ES"/>
              </w:rPr>
            </w:pPr>
            <w:r>
              <w:rPr>
                <w:rFonts w:ascii="Arial" w:hAnsi="Arial" w:cs="Arial"/>
                <w:sz w:val="20"/>
                <w:szCs w:val="20"/>
                <w:lang w:val="es-ES"/>
              </w:rPr>
              <w:t>0</w:t>
            </w:r>
          </w:p>
        </w:tc>
        <w:tc>
          <w:tcPr>
            <w:tcW w:w="630" w:type="dxa"/>
          </w:tcPr>
          <w:p w:rsidRPr="005627D9" w:rsidR="00C15A28" w:rsidP="00564AA1" w:rsidRDefault="00C15A28" w14:paraId="3958D7EE" w14:textId="77777777">
            <w:pPr>
              <w:spacing w:before="20" w:after="20"/>
              <w:jc w:val="center"/>
              <w:rPr>
                <w:rFonts w:ascii="Arial" w:hAnsi="Arial" w:cs="Arial"/>
                <w:sz w:val="20"/>
                <w:szCs w:val="20"/>
                <w:lang w:val="es-ES"/>
              </w:rPr>
            </w:pPr>
            <w:r>
              <w:rPr>
                <w:rFonts w:ascii="Arial" w:hAnsi="Arial" w:cs="Arial"/>
                <w:sz w:val="20"/>
                <w:szCs w:val="20"/>
                <w:lang w:val="es-ES"/>
              </w:rPr>
              <w:t>1</w:t>
            </w:r>
          </w:p>
        </w:tc>
        <w:tc>
          <w:tcPr>
            <w:tcW w:w="630" w:type="dxa"/>
          </w:tcPr>
          <w:p w:rsidRPr="005627D9" w:rsidR="00C15A28" w:rsidP="00564AA1" w:rsidRDefault="00C15A28" w14:paraId="2060A526" w14:textId="77777777">
            <w:pPr>
              <w:spacing w:before="20" w:after="20"/>
              <w:jc w:val="center"/>
              <w:rPr>
                <w:rFonts w:ascii="Arial" w:hAnsi="Arial" w:cs="Arial"/>
                <w:sz w:val="20"/>
                <w:szCs w:val="20"/>
                <w:lang w:val="es-ES"/>
              </w:rPr>
            </w:pPr>
            <w:r>
              <w:rPr>
                <w:rFonts w:ascii="Arial" w:hAnsi="Arial" w:cs="Arial"/>
                <w:sz w:val="20"/>
                <w:szCs w:val="20"/>
                <w:lang w:val="es-ES"/>
              </w:rPr>
              <w:t>0</w:t>
            </w:r>
          </w:p>
        </w:tc>
        <w:tc>
          <w:tcPr>
            <w:tcW w:w="720" w:type="dxa"/>
          </w:tcPr>
          <w:p w:rsidRPr="005627D9" w:rsidR="00C15A28" w:rsidP="00564AA1" w:rsidRDefault="00C15A28" w14:paraId="36AC548F" w14:textId="77777777">
            <w:pPr>
              <w:spacing w:before="20" w:after="20"/>
              <w:jc w:val="center"/>
              <w:rPr>
                <w:rFonts w:ascii="Arial" w:hAnsi="Arial" w:cs="Arial"/>
                <w:sz w:val="20"/>
                <w:szCs w:val="20"/>
                <w:lang w:val="es-ES"/>
              </w:rPr>
            </w:pPr>
            <w:r>
              <w:rPr>
                <w:rFonts w:ascii="Arial" w:hAnsi="Arial" w:cs="Arial"/>
                <w:sz w:val="20"/>
                <w:szCs w:val="20"/>
                <w:lang w:val="es-ES"/>
              </w:rPr>
              <w:t>1</w:t>
            </w:r>
          </w:p>
        </w:tc>
        <w:tc>
          <w:tcPr>
            <w:tcW w:w="3889" w:type="dxa"/>
          </w:tcPr>
          <w:p w:rsidR="00C15A28" w:rsidP="00564AA1" w:rsidRDefault="00C15A28" w14:paraId="0C34BCCE" w14:textId="77777777">
            <w:pPr>
              <w:spacing w:before="20" w:after="20"/>
              <w:rPr>
                <w:rFonts w:ascii="Arial" w:hAnsi="Arial" w:cs="Arial"/>
                <w:sz w:val="20"/>
                <w:szCs w:val="20"/>
                <w:lang w:val="es-ES"/>
              </w:rPr>
            </w:pPr>
            <w:r>
              <w:rPr>
                <w:rFonts w:ascii="Arial" w:hAnsi="Arial" w:cs="Arial"/>
                <w:sz w:val="20"/>
                <w:szCs w:val="20"/>
                <w:lang w:val="es-ES"/>
              </w:rPr>
              <w:t xml:space="preserve">Informe de ADRES, donde adoptan los Techos Presupuestales para efectos de pago de servicios no financiados por la </w:t>
            </w:r>
            <w:r>
              <w:rPr>
                <w:rFonts w:ascii="Arial" w:hAnsi="Arial" w:cs="Arial"/>
                <w:sz w:val="20"/>
                <w:szCs w:val="20"/>
                <w:lang w:val="es-ES"/>
              </w:rPr>
              <w:lastRenderedPageBreak/>
              <w:t xml:space="preserve">UPC, </w:t>
            </w:r>
            <w:r w:rsidRPr="00544542">
              <w:rPr>
                <w:rFonts w:ascii="Arial" w:hAnsi="Arial" w:cs="Arial"/>
                <w:sz w:val="20"/>
                <w:szCs w:val="20"/>
                <w:lang w:val="es-ES"/>
              </w:rPr>
              <w:t>confirmado en el informe semestral de avance.</w:t>
            </w:r>
          </w:p>
        </w:tc>
      </w:tr>
      <w:tr w:rsidRPr="000F3366" w:rsidR="00C15A28" w:rsidTr="00C15A28" w14:paraId="1A3F4450" w14:textId="77777777">
        <w:trPr>
          <w:trHeight w:val="20"/>
          <w:jc w:val="center"/>
        </w:trPr>
        <w:tc>
          <w:tcPr>
            <w:tcW w:w="4585" w:type="dxa"/>
            <w:shd w:val="clear" w:color="auto" w:fill="auto"/>
          </w:tcPr>
          <w:p w:rsidRPr="00A64B50" w:rsidR="00C15A28" w:rsidP="00564AA1" w:rsidRDefault="00C15A28" w14:paraId="3C6FF658" w14:textId="77777777">
            <w:pPr>
              <w:spacing w:before="20" w:after="20"/>
              <w:rPr>
                <w:rFonts w:ascii="Arial" w:hAnsi="Arial" w:cs="Arial"/>
                <w:sz w:val="20"/>
                <w:szCs w:val="20"/>
                <w:lang w:val="es-ES"/>
              </w:rPr>
            </w:pPr>
            <w:r>
              <w:rPr>
                <w:rFonts w:ascii="Arial" w:hAnsi="Arial" w:cs="Arial"/>
                <w:sz w:val="20"/>
                <w:szCs w:val="20"/>
                <w:lang w:val="es-ES"/>
              </w:rPr>
              <w:lastRenderedPageBreak/>
              <w:t>1.6. Reglamentación del artículo 237 de la Ley del Plan de Desarrollo que define el mecanismo de saneamiento de deudas por concepto de servicios y tecnologías no financiados con la UPC del RC</w:t>
            </w:r>
          </w:p>
        </w:tc>
        <w:tc>
          <w:tcPr>
            <w:tcW w:w="1794" w:type="dxa"/>
            <w:shd w:val="clear" w:color="auto" w:fill="auto"/>
          </w:tcPr>
          <w:p w:rsidR="00C15A28" w:rsidP="00564AA1" w:rsidRDefault="00C15A28" w14:paraId="2E4A5DFE" w14:textId="77777777">
            <w:pPr>
              <w:spacing w:before="20" w:after="20"/>
              <w:jc w:val="center"/>
              <w:rPr>
                <w:rFonts w:ascii="Arial" w:hAnsi="Arial" w:cs="Arial"/>
                <w:sz w:val="20"/>
                <w:szCs w:val="20"/>
                <w:lang w:val="es-ES"/>
              </w:rPr>
            </w:pPr>
            <w:r>
              <w:rPr>
                <w:rFonts w:ascii="Arial" w:hAnsi="Arial" w:cs="Arial"/>
                <w:sz w:val="20"/>
                <w:szCs w:val="20"/>
                <w:lang w:val="es-ES"/>
              </w:rPr>
              <w:t>#Decreto</w:t>
            </w:r>
          </w:p>
        </w:tc>
        <w:tc>
          <w:tcPr>
            <w:tcW w:w="817" w:type="dxa"/>
            <w:vMerge w:val="restart"/>
            <w:shd w:val="clear" w:color="auto" w:fill="auto"/>
            <w:vAlign w:val="center"/>
          </w:tcPr>
          <w:p w:rsidR="00C15A28" w:rsidP="00564AA1" w:rsidRDefault="00C15A28" w14:paraId="7604B2CF" w14:textId="77777777">
            <w:pPr>
              <w:spacing w:before="20" w:after="20"/>
              <w:jc w:val="center"/>
              <w:rPr>
                <w:rFonts w:ascii="Arial" w:hAnsi="Arial" w:cs="Arial"/>
                <w:sz w:val="20"/>
                <w:szCs w:val="20"/>
                <w:lang w:val="es-ES"/>
              </w:rPr>
            </w:pPr>
            <w:r>
              <w:rPr>
                <w:rFonts w:ascii="Arial" w:hAnsi="Arial" w:cs="Arial"/>
                <w:sz w:val="20"/>
                <w:szCs w:val="20"/>
                <w:lang w:val="es-ES"/>
              </w:rPr>
              <w:t>0</w:t>
            </w:r>
          </w:p>
        </w:tc>
        <w:tc>
          <w:tcPr>
            <w:tcW w:w="719" w:type="dxa"/>
            <w:vMerge w:val="restart"/>
            <w:shd w:val="clear" w:color="auto" w:fill="auto"/>
            <w:vAlign w:val="center"/>
          </w:tcPr>
          <w:p w:rsidR="00C15A28" w:rsidP="00564AA1" w:rsidRDefault="00C15A28" w14:paraId="2D4CB1BA" w14:textId="77777777">
            <w:pPr>
              <w:spacing w:before="20" w:after="20"/>
              <w:jc w:val="center"/>
              <w:rPr>
                <w:rFonts w:ascii="Arial" w:hAnsi="Arial" w:cs="Arial"/>
                <w:sz w:val="20"/>
                <w:szCs w:val="20"/>
                <w:lang w:val="es-ES"/>
              </w:rPr>
            </w:pPr>
            <w:r>
              <w:rPr>
                <w:rFonts w:ascii="Arial" w:hAnsi="Arial" w:cs="Arial"/>
                <w:sz w:val="20"/>
                <w:szCs w:val="20"/>
                <w:lang w:val="es-ES"/>
              </w:rPr>
              <w:t>2019</w:t>
            </w:r>
          </w:p>
        </w:tc>
        <w:tc>
          <w:tcPr>
            <w:tcW w:w="540" w:type="dxa"/>
            <w:shd w:val="clear" w:color="auto" w:fill="auto"/>
          </w:tcPr>
          <w:p w:rsidR="00C15A28" w:rsidP="00564AA1" w:rsidRDefault="00C15A28" w14:paraId="724AF03A" w14:textId="77777777">
            <w:pPr>
              <w:spacing w:before="20" w:after="20"/>
              <w:jc w:val="center"/>
              <w:rPr>
                <w:rFonts w:ascii="Arial" w:hAnsi="Arial" w:cs="Arial"/>
                <w:sz w:val="20"/>
                <w:szCs w:val="20"/>
                <w:lang w:val="es-ES"/>
              </w:rPr>
            </w:pPr>
            <w:r>
              <w:rPr>
                <w:rFonts w:ascii="Arial" w:hAnsi="Arial" w:cs="Arial"/>
                <w:sz w:val="20"/>
                <w:szCs w:val="20"/>
                <w:lang w:val="es-ES"/>
              </w:rPr>
              <w:t>1</w:t>
            </w:r>
          </w:p>
        </w:tc>
        <w:tc>
          <w:tcPr>
            <w:tcW w:w="630" w:type="dxa"/>
            <w:shd w:val="clear" w:color="auto" w:fill="auto"/>
          </w:tcPr>
          <w:p w:rsidR="00C15A28" w:rsidP="00564AA1" w:rsidRDefault="00C15A28" w14:paraId="3FEEE219" w14:textId="77777777">
            <w:pPr>
              <w:spacing w:before="20" w:after="20"/>
              <w:jc w:val="center"/>
              <w:rPr>
                <w:rFonts w:ascii="Arial" w:hAnsi="Arial" w:cs="Arial"/>
                <w:sz w:val="20"/>
                <w:szCs w:val="20"/>
                <w:lang w:val="es-ES"/>
              </w:rPr>
            </w:pPr>
            <w:r>
              <w:rPr>
                <w:rFonts w:ascii="Arial" w:hAnsi="Arial" w:cs="Arial"/>
                <w:sz w:val="20"/>
                <w:szCs w:val="20"/>
                <w:lang w:val="es-ES"/>
              </w:rPr>
              <w:t>0</w:t>
            </w:r>
          </w:p>
        </w:tc>
        <w:tc>
          <w:tcPr>
            <w:tcW w:w="630" w:type="dxa"/>
            <w:shd w:val="clear" w:color="auto" w:fill="auto"/>
          </w:tcPr>
          <w:p w:rsidR="00C15A28" w:rsidP="00564AA1" w:rsidRDefault="00C15A28" w14:paraId="4A64AAD4" w14:textId="77777777">
            <w:pPr>
              <w:spacing w:before="20" w:after="20"/>
              <w:jc w:val="center"/>
              <w:rPr>
                <w:rFonts w:ascii="Arial" w:hAnsi="Arial" w:cs="Arial"/>
                <w:sz w:val="20"/>
                <w:szCs w:val="20"/>
                <w:lang w:val="es-ES"/>
              </w:rPr>
            </w:pPr>
            <w:r>
              <w:rPr>
                <w:rFonts w:ascii="Arial" w:hAnsi="Arial" w:cs="Arial"/>
                <w:sz w:val="20"/>
                <w:szCs w:val="20"/>
                <w:lang w:val="es-ES"/>
              </w:rPr>
              <w:t>0</w:t>
            </w:r>
          </w:p>
        </w:tc>
        <w:tc>
          <w:tcPr>
            <w:tcW w:w="720" w:type="dxa"/>
            <w:shd w:val="clear" w:color="auto" w:fill="auto"/>
          </w:tcPr>
          <w:p w:rsidR="00C15A28" w:rsidP="00564AA1" w:rsidRDefault="00C15A28" w14:paraId="12FA6760" w14:textId="77777777">
            <w:pPr>
              <w:spacing w:before="20" w:after="20"/>
              <w:jc w:val="center"/>
              <w:rPr>
                <w:rFonts w:ascii="Arial" w:hAnsi="Arial" w:cs="Arial"/>
                <w:sz w:val="20"/>
                <w:szCs w:val="20"/>
                <w:lang w:val="es-ES"/>
              </w:rPr>
            </w:pPr>
            <w:r>
              <w:rPr>
                <w:rFonts w:ascii="Arial" w:hAnsi="Arial" w:cs="Arial"/>
                <w:sz w:val="20"/>
                <w:szCs w:val="20"/>
                <w:lang w:val="es-ES"/>
              </w:rPr>
              <w:t>1</w:t>
            </w:r>
          </w:p>
        </w:tc>
        <w:tc>
          <w:tcPr>
            <w:tcW w:w="3889" w:type="dxa"/>
          </w:tcPr>
          <w:p w:rsidR="00C15A28" w:rsidP="00564AA1" w:rsidRDefault="00C15A28" w14:paraId="2B5C97FB" w14:textId="77777777">
            <w:pPr>
              <w:spacing w:before="20" w:after="20"/>
              <w:rPr>
                <w:rFonts w:ascii="Arial" w:hAnsi="Arial" w:cs="Arial"/>
                <w:sz w:val="20"/>
                <w:szCs w:val="20"/>
                <w:lang w:val="es-ES"/>
              </w:rPr>
            </w:pPr>
            <w:r>
              <w:rPr>
                <w:rFonts w:ascii="Arial" w:hAnsi="Arial" w:cs="Arial"/>
                <w:sz w:val="20"/>
                <w:szCs w:val="20"/>
                <w:lang w:val="es-ES"/>
              </w:rPr>
              <w:t xml:space="preserve">Decreto expedido por el presidente de la República, </w:t>
            </w:r>
            <w:r w:rsidRPr="00544542">
              <w:rPr>
                <w:rFonts w:ascii="Arial" w:hAnsi="Arial" w:cs="Arial"/>
                <w:sz w:val="20"/>
                <w:szCs w:val="20"/>
                <w:lang w:val="es-ES"/>
              </w:rPr>
              <w:t>confirmado en el informe semestral de avance.</w:t>
            </w:r>
          </w:p>
        </w:tc>
      </w:tr>
      <w:tr w:rsidRPr="000F3366" w:rsidR="00C15A28" w:rsidTr="00C15A28" w14:paraId="3353012D" w14:textId="77777777">
        <w:trPr>
          <w:trHeight w:val="20"/>
          <w:jc w:val="center"/>
        </w:trPr>
        <w:tc>
          <w:tcPr>
            <w:tcW w:w="4585" w:type="dxa"/>
            <w:shd w:val="clear" w:color="auto" w:fill="auto"/>
          </w:tcPr>
          <w:p w:rsidRPr="00A64B50" w:rsidR="00C15A28" w:rsidP="00564AA1" w:rsidRDefault="00C15A28" w14:paraId="082C7986" w14:textId="77777777">
            <w:pPr>
              <w:spacing w:before="20" w:after="20"/>
              <w:rPr>
                <w:rFonts w:ascii="Arial" w:hAnsi="Arial" w:cs="Arial"/>
                <w:sz w:val="20"/>
                <w:szCs w:val="20"/>
                <w:lang w:val="es-ES"/>
              </w:rPr>
            </w:pPr>
            <w:r>
              <w:rPr>
                <w:rFonts w:ascii="Arial" w:hAnsi="Arial" w:cs="Arial"/>
                <w:sz w:val="20"/>
                <w:szCs w:val="20"/>
                <w:lang w:val="es-ES"/>
              </w:rPr>
              <w:t xml:space="preserve">1.7. </w:t>
            </w:r>
            <w:r w:rsidRPr="00A64B50">
              <w:rPr>
                <w:rFonts w:ascii="Arial" w:hAnsi="Arial" w:cs="Arial"/>
                <w:sz w:val="20"/>
                <w:szCs w:val="20"/>
                <w:lang w:val="es-ES"/>
              </w:rPr>
              <w:t xml:space="preserve">Contratos </w:t>
            </w:r>
            <w:r>
              <w:rPr>
                <w:rFonts w:ascii="Arial" w:hAnsi="Arial" w:cs="Arial"/>
                <w:sz w:val="20"/>
                <w:szCs w:val="20"/>
                <w:lang w:val="es-ES"/>
              </w:rPr>
              <w:t xml:space="preserve">de transacción </w:t>
            </w:r>
            <w:r w:rsidRPr="00A64B50">
              <w:rPr>
                <w:rFonts w:ascii="Arial" w:hAnsi="Arial" w:cs="Arial"/>
                <w:sz w:val="20"/>
                <w:szCs w:val="20"/>
                <w:lang w:val="es-ES"/>
              </w:rPr>
              <w:t>entre EPS y ADRES para</w:t>
            </w:r>
            <w:r>
              <w:rPr>
                <w:rFonts w:ascii="Arial" w:hAnsi="Arial" w:cs="Arial"/>
                <w:sz w:val="20"/>
                <w:szCs w:val="20"/>
                <w:lang w:val="es-ES"/>
              </w:rPr>
              <w:t xml:space="preserve"> </w:t>
            </w:r>
            <w:r w:rsidRPr="00A64B50">
              <w:rPr>
                <w:rFonts w:ascii="Arial" w:hAnsi="Arial" w:cs="Arial"/>
                <w:sz w:val="20"/>
                <w:szCs w:val="20"/>
                <w:lang w:val="es-ES"/>
              </w:rPr>
              <w:t>saneamiento de deudas</w:t>
            </w:r>
            <w:r>
              <w:rPr>
                <w:rFonts w:ascii="Arial" w:hAnsi="Arial" w:cs="Arial"/>
                <w:sz w:val="20"/>
                <w:szCs w:val="20"/>
                <w:lang w:val="es-ES"/>
              </w:rPr>
              <w:t xml:space="preserve"> por concepto de servicios y tecnologías no financiados con la UPC del régimen contributivo</w:t>
            </w:r>
            <w:r w:rsidRPr="00A64B50">
              <w:rPr>
                <w:rFonts w:ascii="Arial" w:hAnsi="Arial" w:cs="Arial"/>
                <w:sz w:val="20"/>
                <w:szCs w:val="20"/>
                <w:lang w:val="es-ES"/>
              </w:rPr>
              <w:t xml:space="preserve"> firmados</w:t>
            </w:r>
          </w:p>
        </w:tc>
        <w:tc>
          <w:tcPr>
            <w:tcW w:w="1794" w:type="dxa"/>
            <w:shd w:val="clear" w:color="auto" w:fill="auto"/>
          </w:tcPr>
          <w:p w:rsidR="00C15A28" w:rsidP="00564AA1" w:rsidRDefault="00C15A28" w14:paraId="2D3EAF98" w14:textId="77777777">
            <w:pPr>
              <w:spacing w:before="20" w:after="20"/>
              <w:jc w:val="center"/>
              <w:rPr>
                <w:rFonts w:ascii="Arial" w:hAnsi="Arial" w:cs="Arial"/>
                <w:sz w:val="20"/>
                <w:szCs w:val="20"/>
                <w:lang w:val="es-ES"/>
              </w:rPr>
            </w:pPr>
            <w:r>
              <w:rPr>
                <w:rFonts w:ascii="Arial" w:hAnsi="Arial" w:cs="Arial"/>
                <w:sz w:val="20"/>
                <w:szCs w:val="20"/>
                <w:lang w:val="es-ES"/>
              </w:rPr>
              <w:t xml:space="preserve">Número </w:t>
            </w:r>
          </w:p>
        </w:tc>
        <w:tc>
          <w:tcPr>
            <w:tcW w:w="817" w:type="dxa"/>
            <w:vMerge/>
            <w:shd w:val="clear" w:color="auto" w:fill="auto"/>
            <w:vAlign w:val="center"/>
          </w:tcPr>
          <w:p w:rsidR="00C15A28" w:rsidP="00564AA1" w:rsidRDefault="00C15A28" w14:paraId="58E3309C" w14:textId="77777777">
            <w:pPr>
              <w:spacing w:before="20" w:after="20"/>
              <w:jc w:val="center"/>
              <w:rPr>
                <w:rFonts w:ascii="Arial" w:hAnsi="Arial" w:cs="Arial"/>
                <w:sz w:val="20"/>
                <w:szCs w:val="20"/>
                <w:lang w:val="es-ES"/>
              </w:rPr>
            </w:pPr>
          </w:p>
        </w:tc>
        <w:tc>
          <w:tcPr>
            <w:tcW w:w="719" w:type="dxa"/>
            <w:vMerge/>
            <w:shd w:val="clear" w:color="auto" w:fill="auto"/>
            <w:vAlign w:val="center"/>
          </w:tcPr>
          <w:p w:rsidR="00C15A28" w:rsidP="00564AA1" w:rsidRDefault="00C15A28" w14:paraId="1ECCBB13" w14:textId="77777777">
            <w:pPr>
              <w:spacing w:before="20" w:after="20"/>
              <w:jc w:val="center"/>
              <w:rPr>
                <w:rFonts w:ascii="Arial" w:hAnsi="Arial" w:cs="Arial"/>
                <w:sz w:val="20"/>
                <w:szCs w:val="20"/>
                <w:lang w:val="es-ES"/>
              </w:rPr>
            </w:pPr>
          </w:p>
        </w:tc>
        <w:tc>
          <w:tcPr>
            <w:tcW w:w="540" w:type="dxa"/>
            <w:shd w:val="clear" w:color="auto" w:fill="auto"/>
          </w:tcPr>
          <w:p w:rsidRPr="00D5769E" w:rsidR="00C15A28" w:rsidP="00564AA1" w:rsidRDefault="00C15A28" w14:paraId="2F3178AF" w14:textId="77777777">
            <w:pPr>
              <w:spacing w:before="20" w:after="20"/>
              <w:jc w:val="center"/>
              <w:rPr>
                <w:rFonts w:ascii="Arial" w:hAnsi="Arial" w:cs="Arial"/>
                <w:sz w:val="20"/>
                <w:szCs w:val="20"/>
                <w:lang w:val="es-ES"/>
              </w:rPr>
            </w:pPr>
            <w:r>
              <w:rPr>
                <w:rFonts w:ascii="Arial" w:hAnsi="Arial" w:cs="Arial"/>
                <w:sz w:val="20"/>
                <w:szCs w:val="20"/>
                <w:lang w:val="es-ES"/>
              </w:rPr>
              <w:t>0</w:t>
            </w:r>
          </w:p>
        </w:tc>
        <w:tc>
          <w:tcPr>
            <w:tcW w:w="630" w:type="dxa"/>
            <w:shd w:val="clear" w:color="auto" w:fill="auto"/>
          </w:tcPr>
          <w:p w:rsidRPr="00D5769E" w:rsidR="00C15A28" w:rsidP="00564AA1" w:rsidRDefault="00C15A28" w14:paraId="17EF8E92" w14:textId="77777777">
            <w:pPr>
              <w:spacing w:before="20" w:after="20"/>
              <w:jc w:val="center"/>
              <w:rPr>
                <w:rFonts w:ascii="Arial" w:hAnsi="Arial" w:cs="Arial"/>
                <w:sz w:val="20"/>
                <w:szCs w:val="20"/>
                <w:lang w:val="es-ES"/>
              </w:rPr>
            </w:pPr>
            <w:r>
              <w:rPr>
                <w:rFonts w:ascii="Arial" w:hAnsi="Arial" w:cs="Arial"/>
                <w:sz w:val="20"/>
                <w:szCs w:val="20"/>
                <w:lang w:val="es-ES"/>
              </w:rPr>
              <w:t>4</w:t>
            </w:r>
          </w:p>
        </w:tc>
        <w:tc>
          <w:tcPr>
            <w:tcW w:w="630" w:type="dxa"/>
            <w:shd w:val="clear" w:color="auto" w:fill="auto"/>
          </w:tcPr>
          <w:p w:rsidRPr="00D5769E" w:rsidR="00C15A28" w:rsidP="00564AA1" w:rsidRDefault="00C15A28" w14:paraId="5C3D24F8" w14:textId="77777777">
            <w:pPr>
              <w:spacing w:before="20" w:after="20"/>
              <w:jc w:val="center"/>
              <w:rPr>
                <w:rFonts w:ascii="Arial" w:hAnsi="Arial" w:cs="Arial"/>
                <w:sz w:val="20"/>
                <w:szCs w:val="20"/>
                <w:lang w:val="es-ES"/>
              </w:rPr>
            </w:pPr>
            <w:r>
              <w:rPr>
                <w:rFonts w:ascii="Arial" w:hAnsi="Arial" w:cs="Arial"/>
                <w:sz w:val="20"/>
                <w:szCs w:val="20"/>
                <w:lang w:val="es-ES"/>
              </w:rPr>
              <w:t>6</w:t>
            </w:r>
          </w:p>
        </w:tc>
        <w:tc>
          <w:tcPr>
            <w:tcW w:w="720" w:type="dxa"/>
            <w:shd w:val="clear" w:color="auto" w:fill="auto"/>
          </w:tcPr>
          <w:p w:rsidRPr="00D5769E" w:rsidR="00C15A28" w:rsidP="00564AA1" w:rsidRDefault="00C15A28" w14:paraId="30C02532" w14:textId="77777777">
            <w:pPr>
              <w:spacing w:before="20" w:after="20"/>
              <w:jc w:val="center"/>
              <w:rPr>
                <w:rFonts w:ascii="Arial" w:hAnsi="Arial" w:cs="Arial"/>
                <w:sz w:val="20"/>
                <w:szCs w:val="20"/>
                <w:lang w:val="es-ES"/>
              </w:rPr>
            </w:pPr>
            <w:r>
              <w:rPr>
                <w:rFonts w:ascii="Arial" w:hAnsi="Arial" w:cs="Arial"/>
                <w:sz w:val="20"/>
                <w:szCs w:val="20"/>
                <w:lang w:val="es-ES"/>
              </w:rPr>
              <w:t>10</w:t>
            </w:r>
          </w:p>
        </w:tc>
        <w:tc>
          <w:tcPr>
            <w:tcW w:w="3889" w:type="dxa"/>
          </w:tcPr>
          <w:p w:rsidR="00C15A28" w:rsidP="00564AA1" w:rsidRDefault="00C15A28" w14:paraId="565FC69B" w14:textId="77777777">
            <w:pPr>
              <w:spacing w:before="20" w:after="20"/>
              <w:rPr>
                <w:rFonts w:ascii="Arial" w:hAnsi="Arial" w:cs="Arial"/>
                <w:sz w:val="20"/>
                <w:szCs w:val="20"/>
                <w:lang w:val="es-ES"/>
              </w:rPr>
            </w:pPr>
            <w:r>
              <w:rPr>
                <w:rFonts w:ascii="Arial" w:hAnsi="Arial" w:cs="Arial"/>
                <w:sz w:val="20"/>
                <w:szCs w:val="20"/>
                <w:lang w:val="es-ES"/>
              </w:rPr>
              <w:t xml:space="preserve">Informe de MSPS de ejecución de recursos de contratos de saneamiento de deuda de servicios no financiados con la UPC entre EPS y ADRES, </w:t>
            </w:r>
            <w:r w:rsidRPr="00544542">
              <w:rPr>
                <w:rFonts w:ascii="Arial" w:hAnsi="Arial" w:cs="Arial"/>
                <w:sz w:val="20"/>
                <w:szCs w:val="20"/>
                <w:lang w:val="es-ES"/>
              </w:rPr>
              <w:t>confirmado en el informe semestral de avance.</w:t>
            </w:r>
          </w:p>
        </w:tc>
      </w:tr>
      <w:tr w:rsidRPr="000F3366" w:rsidR="00C15A28" w:rsidTr="00C15A28" w14:paraId="2E4E90B7" w14:textId="77777777">
        <w:trPr>
          <w:trHeight w:val="20"/>
          <w:jc w:val="center"/>
        </w:trPr>
        <w:tc>
          <w:tcPr>
            <w:tcW w:w="4585" w:type="dxa"/>
            <w:shd w:val="clear" w:color="auto" w:fill="auto"/>
          </w:tcPr>
          <w:p w:rsidRPr="00A64B50" w:rsidR="00C15A28" w:rsidP="00564AA1" w:rsidRDefault="00C15A28" w14:paraId="1260DF29" w14:textId="77777777">
            <w:pPr>
              <w:spacing w:before="20" w:after="20"/>
              <w:rPr>
                <w:rFonts w:ascii="Arial" w:hAnsi="Arial" w:cs="Arial"/>
                <w:sz w:val="20"/>
                <w:szCs w:val="20"/>
                <w:lang w:val="es-ES"/>
              </w:rPr>
            </w:pPr>
            <w:r>
              <w:rPr>
                <w:rFonts w:ascii="Arial" w:hAnsi="Arial" w:cs="Arial"/>
                <w:sz w:val="20"/>
                <w:szCs w:val="20"/>
                <w:lang w:val="es-ES"/>
              </w:rPr>
              <w:t>1.8. Reglamentación del artículo 238 de la Ley del Plan de Desarrollo mediante el cual se define el mecanismo de evaluación del esfuerzo fiscal de las Entidades Territoriales y la cofinanciación de la Nación para el saneamiento de deudas por concepto de servicios y tecnologías no financiados con la UPC del régimen subsidiado</w:t>
            </w:r>
          </w:p>
        </w:tc>
        <w:tc>
          <w:tcPr>
            <w:tcW w:w="1794" w:type="dxa"/>
            <w:shd w:val="clear" w:color="auto" w:fill="auto"/>
          </w:tcPr>
          <w:p w:rsidR="00C15A28" w:rsidP="00564AA1" w:rsidRDefault="00C15A28" w14:paraId="295DEA22" w14:textId="77777777">
            <w:pPr>
              <w:spacing w:before="20" w:after="20"/>
              <w:jc w:val="center"/>
              <w:rPr>
                <w:rFonts w:ascii="Arial" w:hAnsi="Arial" w:cs="Arial"/>
                <w:sz w:val="20"/>
                <w:szCs w:val="20"/>
                <w:lang w:val="es-ES"/>
              </w:rPr>
            </w:pPr>
            <w:r>
              <w:rPr>
                <w:rFonts w:ascii="Arial" w:hAnsi="Arial" w:cs="Arial"/>
                <w:sz w:val="20"/>
                <w:szCs w:val="20"/>
                <w:lang w:val="es-ES"/>
              </w:rPr>
              <w:t>Número</w:t>
            </w:r>
          </w:p>
        </w:tc>
        <w:tc>
          <w:tcPr>
            <w:tcW w:w="817" w:type="dxa"/>
            <w:vMerge/>
            <w:shd w:val="clear" w:color="auto" w:fill="auto"/>
            <w:vAlign w:val="center"/>
          </w:tcPr>
          <w:p w:rsidR="00C15A28" w:rsidP="00564AA1" w:rsidRDefault="00C15A28" w14:paraId="12EBE3B6" w14:textId="77777777">
            <w:pPr>
              <w:spacing w:before="20" w:after="20"/>
              <w:jc w:val="center"/>
              <w:rPr>
                <w:rFonts w:ascii="Arial" w:hAnsi="Arial" w:cs="Arial"/>
                <w:sz w:val="20"/>
                <w:szCs w:val="20"/>
                <w:lang w:val="es-ES"/>
              </w:rPr>
            </w:pPr>
          </w:p>
        </w:tc>
        <w:tc>
          <w:tcPr>
            <w:tcW w:w="719" w:type="dxa"/>
            <w:vMerge/>
            <w:shd w:val="clear" w:color="auto" w:fill="auto"/>
            <w:vAlign w:val="center"/>
          </w:tcPr>
          <w:p w:rsidR="00C15A28" w:rsidP="00564AA1" w:rsidRDefault="00C15A28" w14:paraId="7E8B69EC" w14:textId="77777777">
            <w:pPr>
              <w:spacing w:before="20" w:after="20"/>
              <w:jc w:val="center"/>
              <w:rPr>
                <w:rFonts w:ascii="Arial" w:hAnsi="Arial" w:cs="Arial"/>
                <w:sz w:val="20"/>
                <w:szCs w:val="20"/>
                <w:lang w:val="es-ES"/>
              </w:rPr>
            </w:pPr>
          </w:p>
        </w:tc>
        <w:tc>
          <w:tcPr>
            <w:tcW w:w="540" w:type="dxa"/>
            <w:shd w:val="clear" w:color="auto" w:fill="auto"/>
          </w:tcPr>
          <w:p w:rsidRPr="00D5769E" w:rsidR="00C15A28" w:rsidP="00564AA1" w:rsidRDefault="00C15A28" w14:paraId="456B7467" w14:textId="77777777">
            <w:pPr>
              <w:spacing w:before="20" w:after="20"/>
              <w:jc w:val="center"/>
              <w:rPr>
                <w:rFonts w:ascii="Arial" w:hAnsi="Arial" w:cs="Arial"/>
                <w:sz w:val="20"/>
                <w:szCs w:val="20"/>
                <w:lang w:val="es-ES"/>
              </w:rPr>
            </w:pPr>
            <w:r>
              <w:rPr>
                <w:rFonts w:ascii="Arial" w:hAnsi="Arial" w:cs="Arial"/>
                <w:sz w:val="20"/>
                <w:szCs w:val="20"/>
                <w:lang w:val="es-ES"/>
              </w:rPr>
              <w:t>1</w:t>
            </w:r>
          </w:p>
        </w:tc>
        <w:tc>
          <w:tcPr>
            <w:tcW w:w="630" w:type="dxa"/>
            <w:shd w:val="clear" w:color="auto" w:fill="auto"/>
          </w:tcPr>
          <w:p w:rsidRPr="00D5769E" w:rsidR="00C15A28" w:rsidP="00564AA1" w:rsidRDefault="00C15A28" w14:paraId="465D5C06" w14:textId="77777777">
            <w:pPr>
              <w:spacing w:before="20" w:after="20"/>
              <w:jc w:val="center"/>
              <w:rPr>
                <w:rFonts w:ascii="Arial" w:hAnsi="Arial" w:cs="Arial"/>
                <w:sz w:val="20"/>
                <w:szCs w:val="20"/>
                <w:lang w:val="es-ES"/>
              </w:rPr>
            </w:pPr>
            <w:r>
              <w:rPr>
                <w:rFonts w:ascii="Arial" w:hAnsi="Arial" w:cs="Arial"/>
                <w:sz w:val="20"/>
                <w:szCs w:val="20"/>
                <w:lang w:val="es-ES"/>
              </w:rPr>
              <w:t>0</w:t>
            </w:r>
          </w:p>
        </w:tc>
        <w:tc>
          <w:tcPr>
            <w:tcW w:w="630" w:type="dxa"/>
            <w:shd w:val="clear" w:color="auto" w:fill="auto"/>
          </w:tcPr>
          <w:p w:rsidRPr="00D5769E" w:rsidR="00C15A28" w:rsidP="00564AA1" w:rsidRDefault="00C15A28" w14:paraId="06A02C66" w14:textId="77777777">
            <w:pPr>
              <w:spacing w:before="20" w:after="20"/>
              <w:jc w:val="center"/>
              <w:rPr>
                <w:rFonts w:ascii="Arial" w:hAnsi="Arial" w:cs="Arial"/>
                <w:sz w:val="20"/>
                <w:szCs w:val="20"/>
                <w:lang w:val="es-ES"/>
              </w:rPr>
            </w:pPr>
            <w:r>
              <w:rPr>
                <w:rFonts w:ascii="Arial" w:hAnsi="Arial" w:cs="Arial"/>
                <w:sz w:val="20"/>
                <w:szCs w:val="20"/>
                <w:lang w:val="es-ES"/>
              </w:rPr>
              <w:t>0</w:t>
            </w:r>
          </w:p>
        </w:tc>
        <w:tc>
          <w:tcPr>
            <w:tcW w:w="720" w:type="dxa"/>
            <w:shd w:val="clear" w:color="auto" w:fill="auto"/>
          </w:tcPr>
          <w:p w:rsidRPr="00D5769E" w:rsidR="00C15A28" w:rsidP="00564AA1" w:rsidRDefault="00C15A28" w14:paraId="49D3ECD7" w14:textId="77777777">
            <w:pPr>
              <w:spacing w:before="20" w:after="20"/>
              <w:jc w:val="center"/>
              <w:rPr>
                <w:rFonts w:ascii="Arial" w:hAnsi="Arial" w:cs="Arial"/>
                <w:sz w:val="20"/>
                <w:szCs w:val="20"/>
                <w:lang w:val="es-ES"/>
              </w:rPr>
            </w:pPr>
            <w:r>
              <w:rPr>
                <w:rFonts w:ascii="Arial" w:hAnsi="Arial" w:cs="Arial"/>
                <w:sz w:val="20"/>
                <w:szCs w:val="20"/>
                <w:lang w:val="es-ES"/>
              </w:rPr>
              <w:t>1</w:t>
            </w:r>
          </w:p>
        </w:tc>
        <w:tc>
          <w:tcPr>
            <w:tcW w:w="3889" w:type="dxa"/>
          </w:tcPr>
          <w:p w:rsidRPr="00D5769E" w:rsidR="00C15A28" w:rsidP="00564AA1" w:rsidRDefault="00C15A28" w14:paraId="6231DF40" w14:textId="77777777">
            <w:pPr>
              <w:spacing w:before="20" w:after="20"/>
              <w:rPr>
                <w:rFonts w:ascii="Arial" w:hAnsi="Arial" w:cs="Arial"/>
                <w:sz w:val="20"/>
                <w:szCs w:val="20"/>
                <w:lang w:val="es-ES"/>
              </w:rPr>
            </w:pPr>
            <w:r>
              <w:rPr>
                <w:rFonts w:ascii="Arial" w:hAnsi="Arial" w:cs="Arial"/>
                <w:sz w:val="20"/>
                <w:szCs w:val="20"/>
                <w:lang w:val="es-ES"/>
              </w:rPr>
              <w:t xml:space="preserve">Decreto expedido por el presidente de la República, </w:t>
            </w:r>
            <w:r w:rsidRPr="00544542">
              <w:rPr>
                <w:rFonts w:ascii="Arial" w:hAnsi="Arial" w:cs="Arial"/>
                <w:sz w:val="20"/>
                <w:szCs w:val="20"/>
                <w:lang w:val="es-ES"/>
              </w:rPr>
              <w:t>confirmado en el informe semestral de avance.</w:t>
            </w:r>
          </w:p>
        </w:tc>
      </w:tr>
      <w:tr w:rsidRPr="0074515C" w:rsidR="00C15A28" w:rsidTr="00564AA1" w14:paraId="3A5DB02B" w14:textId="77777777">
        <w:trPr>
          <w:trHeight w:val="20"/>
          <w:jc w:val="center"/>
        </w:trPr>
        <w:tc>
          <w:tcPr>
            <w:tcW w:w="14324" w:type="dxa"/>
            <w:gridSpan w:val="9"/>
            <w:shd w:val="clear" w:color="auto" w:fill="D9D9D9" w:themeFill="background1" w:themeFillShade="D9"/>
          </w:tcPr>
          <w:p w:rsidRPr="00F306BD" w:rsidR="00C15A28" w:rsidP="00564AA1" w:rsidRDefault="00C15A28" w14:paraId="171276A1" w14:textId="77777777">
            <w:pPr>
              <w:spacing w:before="20" w:after="20"/>
              <w:rPr>
                <w:rFonts w:ascii="Arial" w:hAnsi="Arial" w:cs="Arial"/>
                <w:b/>
                <w:sz w:val="20"/>
                <w:szCs w:val="20"/>
                <w:lang w:val="es-ES"/>
              </w:rPr>
            </w:pPr>
            <w:r w:rsidRPr="00F306BD">
              <w:rPr>
                <w:rFonts w:ascii="Arial" w:hAnsi="Arial" w:cs="Arial"/>
                <w:b/>
                <w:sz w:val="20"/>
                <w:szCs w:val="20"/>
                <w:lang w:val="es-ES"/>
              </w:rPr>
              <w:t xml:space="preserve">Componente 2: </w:t>
            </w:r>
            <w:r>
              <w:rPr>
                <w:rFonts w:ascii="Arial" w:hAnsi="Arial" w:cs="Arial"/>
                <w:b/>
                <w:sz w:val="20"/>
                <w:szCs w:val="20"/>
                <w:lang w:val="es-ES"/>
              </w:rPr>
              <w:t>Modelo de Acción Integral Territorial -MAITE</w:t>
            </w:r>
          </w:p>
        </w:tc>
      </w:tr>
      <w:tr w:rsidRPr="000F3366" w:rsidR="00C15A28" w:rsidTr="00C15A28" w14:paraId="4BD665FF" w14:textId="77777777">
        <w:trPr>
          <w:trHeight w:val="20"/>
          <w:jc w:val="center"/>
        </w:trPr>
        <w:tc>
          <w:tcPr>
            <w:tcW w:w="4585" w:type="dxa"/>
          </w:tcPr>
          <w:p w:rsidRPr="00B43F6F" w:rsidR="00C15A28" w:rsidP="00564AA1" w:rsidRDefault="00C15A28" w14:paraId="373C2582" w14:textId="77777777">
            <w:pPr>
              <w:spacing w:before="20" w:after="20"/>
              <w:rPr>
                <w:rFonts w:ascii="Arial" w:hAnsi="Arial" w:cs="Arial"/>
                <w:sz w:val="20"/>
                <w:szCs w:val="20"/>
                <w:lang w:val="es-ES"/>
              </w:rPr>
            </w:pPr>
            <w:r>
              <w:rPr>
                <w:rFonts w:ascii="Arial" w:hAnsi="Arial" w:cs="Arial"/>
                <w:sz w:val="20"/>
                <w:szCs w:val="20"/>
                <w:lang w:val="es-ES"/>
              </w:rPr>
              <w:t>2.1. Reglamentación que determina el MAITE</w:t>
            </w:r>
          </w:p>
        </w:tc>
        <w:tc>
          <w:tcPr>
            <w:tcW w:w="1794" w:type="dxa"/>
          </w:tcPr>
          <w:p w:rsidR="00C15A28" w:rsidP="00564AA1" w:rsidRDefault="00C15A28" w14:paraId="1977B56F" w14:textId="77777777">
            <w:pPr>
              <w:spacing w:before="20" w:after="20"/>
              <w:jc w:val="center"/>
              <w:rPr>
                <w:rFonts w:ascii="Arial" w:hAnsi="Arial" w:cs="Arial"/>
                <w:sz w:val="20"/>
                <w:szCs w:val="20"/>
                <w:lang w:val="es-ES"/>
              </w:rPr>
            </w:pPr>
            <w:r>
              <w:rPr>
                <w:rFonts w:ascii="Arial" w:hAnsi="Arial" w:cs="Arial"/>
                <w:sz w:val="20"/>
                <w:szCs w:val="20"/>
                <w:lang w:val="es-ES"/>
              </w:rPr>
              <w:t>#Resolución</w:t>
            </w:r>
          </w:p>
        </w:tc>
        <w:tc>
          <w:tcPr>
            <w:tcW w:w="817" w:type="dxa"/>
          </w:tcPr>
          <w:p w:rsidR="00C15A28" w:rsidP="00564AA1" w:rsidRDefault="00C15A28" w14:paraId="2078288F" w14:textId="77777777">
            <w:pPr>
              <w:spacing w:before="20" w:after="20"/>
              <w:jc w:val="center"/>
              <w:rPr>
                <w:rFonts w:ascii="Arial" w:hAnsi="Arial" w:cs="Arial"/>
                <w:sz w:val="20"/>
                <w:szCs w:val="20"/>
                <w:lang w:val="es-ES"/>
              </w:rPr>
            </w:pPr>
            <w:r>
              <w:rPr>
                <w:rFonts w:ascii="Arial" w:hAnsi="Arial" w:cs="Arial"/>
                <w:sz w:val="20"/>
                <w:szCs w:val="20"/>
                <w:lang w:val="es-ES"/>
              </w:rPr>
              <w:t>0</w:t>
            </w:r>
          </w:p>
        </w:tc>
        <w:tc>
          <w:tcPr>
            <w:tcW w:w="719" w:type="dxa"/>
          </w:tcPr>
          <w:p w:rsidR="00C15A28" w:rsidP="00564AA1" w:rsidRDefault="00C15A28" w14:paraId="3CB8C97F" w14:textId="77777777">
            <w:pPr>
              <w:spacing w:before="20" w:after="20"/>
              <w:jc w:val="center"/>
              <w:rPr>
                <w:rFonts w:ascii="Arial" w:hAnsi="Arial" w:cs="Arial"/>
                <w:sz w:val="20"/>
                <w:szCs w:val="20"/>
                <w:lang w:val="es-ES"/>
              </w:rPr>
            </w:pPr>
            <w:r>
              <w:rPr>
                <w:rFonts w:ascii="Arial" w:hAnsi="Arial" w:cs="Arial"/>
                <w:sz w:val="20"/>
                <w:szCs w:val="20"/>
                <w:lang w:val="es-ES"/>
              </w:rPr>
              <w:t>2018</w:t>
            </w:r>
          </w:p>
        </w:tc>
        <w:tc>
          <w:tcPr>
            <w:tcW w:w="540" w:type="dxa"/>
          </w:tcPr>
          <w:p w:rsidR="00C15A28" w:rsidP="00564AA1" w:rsidRDefault="00C15A28" w14:paraId="1816D4EC" w14:textId="77777777">
            <w:pPr>
              <w:spacing w:before="20" w:after="20"/>
              <w:jc w:val="center"/>
              <w:rPr>
                <w:rFonts w:ascii="Arial" w:hAnsi="Arial" w:cs="Arial"/>
                <w:sz w:val="20"/>
                <w:szCs w:val="20"/>
                <w:lang w:val="es-ES"/>
              </w:rPr>
            </w:pPr>
            <w:r>
              <w:rPr>
                <w:rFonts w:ascii="Arial" w:hAnsi="Arial" w:cs="Arial"/>
                <w:sz w:val="20"/>
                <w:szCs w:val="20"/>
                <w:lang w:val="es-ES"/>
              </w:rPr>
              <w:t>1</w:t>
            </w:r>
          </w:p>
        </w:tc>
        <w:tc>
          <w:tcPr>
            <w:tcW w:w="630" w:type="dxa"/>
          </w:tcPr>
          <w:p w:rsidR="00C15A28" w:rsidP="00564AA1" w:rsidRDefault="00C15A28" w14:paraId="3EF315A9" w14:textId="77777777">
            <w:pPr>
              <w:spacing w:before="20" w:after="20"/>
              <w:jc w:val="center"/>
              <w:rPr>
                <w:rFonts w:ascii="Arial" w:hAnsi="Arial" w:cs="Arial"/>
                <w:sz w:val="20"/>
                <w:szCs w:val="20"/>
                <w:lang w:val="es-ES"/>
              </w:rPr>
            </w:pPr>
            <w:r>
              <w:rPr>
                <w:rFonts w:ascii="Arial" w:hAnsi="Arial" w:cs="Arial"/>
                <w:sz w:val="20"/>
                <w:szCs w:val="20"/>
                <w:lang w:val="es-ES"/>
              </w:rPr>
              <w:t>0</w:t>
            </w:r>
          </w:p>
        </w:tc>
        <w:tc>
          <w:tcPr>
            <w:tcW w:w="630" w:type="dxa"/>
          </w:tcPr>
          <w:p w:rsidR="00C15A28" w:rsidP="00564AA1" w:rsidRDefault="00C15A28" w14:paraId="0E92C984" w14:textId="77777777">
            <w:pPr>
              <w:spacing w:before="20" w:after="20"/>
              <w:jc w:val="center"/>
              <w:rPr>
                <w:rFonts w:ascii="Arial" w:hAnsi="Arial" w:cs="Arial"/>
                <w:sz w:val="20"/>
                <w:szCs w:val="20"/>
                <w:lang w:val="es-ES"/>
              </w:rPr>
            </w:pPr>
            <w:r>
              <w:rPr>
                <w:rFonts w:ascii="Arial" w:hAnsi="Arial" w:cs="Arial"/>
                <w:sz w:val="20"/>
                <w:szCs w:val="20"/>
                <w:lang w:val="es-ES"/>
              </w:rPr>
              <w:t>0</w:t>
            </w:r>
          </w:p>
        </w:tc>
        <w:tc>
          <w:tcPr>
            <w:tcW w:w="720" w:type="dxa"/>
          </w:tcPr>
          <w:p w:rsidR="00C15A28" w:rsidP="00564AA1" w:rsidRDefault="00C15A28" w14:paraId="30498D9E" w14:textId="77777777">
            <w:pPr>
              <w:spacing w:before="20" w:after="20"/>
              <w:jc w:val="center"/>
              <w:rPr>
                <w:rFonts w:ascii="Arial" w:hAnsi="Arial" w:cs="Arial"/>
                <w:sz w:val="20"/>
                <w:szCs w:val="20"/>
                <w:lang w:val="es-ES"/>
              </w:rPr>
            </w:pPr>
            <w:r>
              <w:rPr>
                <w:rFonts w:ascii="Arial" w:hAnsi="Arial" w:cs="Arial"/>
                <w:sz w:val="20"/>
                <w:szCs w:val="20"/>
                <w:lang w:val="es-ES"/>
              </w:rPr>
              <w:t>1</w:t>
            </w:r>
          </w:p>
        </w:tc>
        <w:tc>
          <w:tcPr>
            <w:tcW w:w="3889" w:type="dxa"/>
          </w:tcPr>
          <w:p w:rsidR="00C15A28" w:rsidP="00564AA1" w:rsidRDefault="00C15A28" w14:paraId="10CAB6E0" w14:textId="77777777">
            <w:pPr>
              <w:spacing w:before="20" w:after="20"/>
              <w:rPr>
                <w:rFonts w:ascii="Arial" w:hAnsi="Arial" w:cs="Arial"/>
                <w:sz w:val="20"/>
                <w:szCs w:val="20"/>
                <w:lang w:val="es-ES"/>
              </w:rPr>
            </w:pPr>
            <w:r w:rsidRPr="00544542">
              <w:rPr>
                <w:rFonts w:ascii="Arial" w:hAnsi="Arial" w:cs="Arial"/>
                <w:sz w:val="20"/>
                <w:szCs w:val="20"/>
                <w:lang w:val="es-ES"/>
              </w:rPr>
              <w:t>Resolución expedida por el MSPS, confirmada en el informe semestral de avance.</w:t>
            </w:r>
          </w:p>
        </w:tc>
      </w:tr>
      <w:tr w:rsidRPr="000F3366" w:rsidR="00C15A28" w:rsidTr="00C15A28" w14:paraId="38530B6F" w14:textId="77777777">
        <w:trPr>
          <w:trHeight w:val="20"/>
          <w:jc w:val="center"/>
        </w:trPr>
        <w:tc>
          <w:tcPr>
            <w:tcW w:w="4585" w:type="dxa"/>
          </w:tcPr>
          <w:p w:rsidR="00C15A28" w:rsidP="00564AA1" w:rsidRDefault="00C15A28" w14:paraId="7B13D16F" w14:textId="77777777">
            <w:pPr>
              <w:spacing w:before="20" w:after="20"/>
              <w:rPr>
                <w:rFonts w:ascii="Arial" w:hAnsi="Arial" w:cs="Arial"/>
                <w:sz w:val="20"/>
                <w:szCs w:val="20"/>
                <w:lang w:val="es-CO"/>
              </w:rPr>
            </w:pPr>
            <w:r>
              <w:rPr>
                <w:rFonts w:ascii="Arial" w:hAnsi="Arial" w:cs="Arial"/>
                <w:sz w:val="20"/>
                <w:szCs w:val="20"/>
                <w:lang w:val="es-ES"/>
              </w:rPr>
              <w:t xml:space="preserve">2.2. </w:t>
            </w:r>
            <w:r w:rsidRPr="00B43F6F">
              <w:rPr>
                <w:rFonts w:ascii="Arial" w:hAnsi="Arial" w:cs="Arial"/>
                <w:sz w:val="20"/>
                <w:szCs w:val="20"/>
                <w:lang w:val="es-ES"/>
              </w:rPr>
              <w:t xml:space="preserve">Diagnósticos por entidad territorial en materia de </w:t>
            </w:r>
            <w:r>
              <w:rPr>
                <w:rFonts w:ascii="Arial" w:hAnsi="Arial" w:cs="Arial"/>
                <w:sz w:val="20"/>
                <w:szCs w:val="20"/>
                <w:lang w:val="es-CO"/>
              </w:rPr>
              <w:t xml:space="preserve">actividades programáticas </w:t>
            </w:r>
            <w:r w:rsidRPr="00DB6A5F">
              <w:rPr>
                <w:rFonts w:ascii="Arial" w:hAnsi="Arial" w:cs="Arial"/>
                <w:sz w:val="20"/>
                <w:szCs w:val="20"/>
                <w:lang w:val="es-CO"/>
              </w:rPr>
              <w:t>de promoción y mantenimiento</w:t>
            </w:r>
            <w:r>
              <w:rPr>
                <w:rFonts w:ascii="Arial" w:hAnsi="Arial" w:cs="Arial"/>
                <w:sz w:val="20"/>
                <w:szCs w:val="20"/>
                <w:lang w:val="es-CO"/>
              </w:rPr>
              <w:t xml:space="preserve"> de la Salud</w:t>
            </w:r>
          </w:p>
        </w:tc>
        <w:tc>
          <w:tcPr>
            <w:tcW w:w="1794" w:type="dxa"/>
          </w:tcPr>
          <w:p w:rsidR="00C15A28" w:rsidP="00564AA1" w:rsidRDefault="00C15A28" w14:paraId="42567B72" w14:textId="77777777">
            <w:pPr>
              <w:spacing w:before="20" w:after="20"/>
              <w:jc w:val="center"/>
              <w:rPr>
                <w:rFonts w:ascii="Arial" w:hAnsi="Arial" w:cs="Arial"/>
                <w:sz w:val="20"/>
                <w:szCs w:val="20"/>
                <w:lang w:val="es-ES"/>
              </w:rPr>
            </w:pPr>
            <w:r>
              <w:rPr>
                <w:rFonts w:ascii="Arial" w:hAnsi="Arial" w:cs="Arial"/>
                <w:sz w:val="20"/>
                <w:szCs w:val="20"/>
                <w:lang w:val="es-ES"/>
              </w:rPr>
              <w:t>#Diagnósticos</w:t>
            </w:r>
          </w:p>
        </w:tc>
        <w:tc>
          <w:tcPr>
            <w:tcW w:w="817" w:type="dxa"/>
          </w:tcPr>
          <w:p w:rsidR="00C15A28" w:rsidP="00564AA1" w:rsidRDefault="00C15A28" w14:paraId="0ACAA274" w14:textId="77777777">
            <w:pPr>
              <w:spacing w:before="20" w:after="20"/>
              <w:jc w:val="center"/>
              <w:rPr>
                <w:rFonts w:ascii="Arial" w:hAnsi="Arial" w:cs="Arial"/>
                <w:sz w:val="20"/>
                <w:szCs w:val="20"/>
                <w:lang w:val="es-ES"/>
              </w:rPr>
            </w:pPr>
            <w:r>
              <w:rPr>
                <w:rFonts w:ascii="Arial" w:hAnsi="Arial" w:cs="Arial"/>
                <w:sz w:val="20"/>
                <w:szCs w:val="20"/>
                <w:lang w:val="es-ES"/>
              </w:rPr>
              <w:t>0</w:t>
            </w:r>
          </w:p>
        </w:tc>
        <w:tc>
          <w:tcPr>
            <w:tcW w:w="719" w:type="dxa"/>
          </w:tcPr>
          <w:p w:rsidR="00C15A28" w:rsidP="00564AA1" w:rsidRDefault="00C15A28" w14:paraId="1AC6EE0C" w14:textId="77777777">
            <w:pPr>
              <w:spacing w:before="20" w:after="20"/>
              <w:jc w:val="center"/>
              <w:rPr>
                <w:rFonts w:ascii="Arial" w:hAnsi="Arial" w:cs="Arial"/>
                <w:sz w:val="20"/>
                <w:szCs w:val="20"/>
                <w:lang w:val="es-ES"/>
              </w:rPr>
            </w:pPr>
            <w:r>
              <w:rPr>
                <w:rFonts w:ascii="Arial" w:hAnsi="Arial" w:cs="Arial"/>
                <w:sz w:val="20"/>
                <w:szCs w:val="20"/>
                <w:lang w:val="es-ES"/>
              </w:rPr>
              <w:t>2019</w:t>
            </w:r>
          </w:p>
        </w:tc>
        <w:tc>
          <w:tcPr>
            <w:tcW w:w="540" w:type="dxa"/>
          </w:tcPr>
          <w:p w:rsidR="00C15A28" w:rsidP="00564AA1" w:rsidRDefault="00C15A28" w14:paraId="5CA6F4C9" w14:textId="77777777">
            <w:pPr>
              <w:spacing w:before="20" w:after="20"/>
              <w:jc w:val="center"/>
              <w:rPr>
                <w:rFonts w:ascii="Arial" w:hAnsi="Arial" w:cs="Arial"/>
                <w:sz w:val="20"/>
                <w:szCs w:val="20"/>
                <w:lang w:val="es-ES"/>
              </w:rPr>
            </w:pPr>
            <w:r>
              <w:rPr>
                <w:rFonts w:ascii="Arial" w:hAnsi="Arial" w:cs="Arial"/>
                <w:sz w:val="20"/>
                <w:szCs w:val="20"/>
                <w:lang w:val="es-ES"/>
              </w:rPr>
              <w:t>2</w:t>
            </w:r>
          </w:p>
        </w:tc>
        <w:tc>
          <w:tcPr>
            <w:tcW w:w="630" w:type="dxa"/>
          </w:tcPr>
          <w:p w:rsidR="00C15A28" w:rsidP="00564AA1" w:rsidRDefault="00C15A28" w14:paraId="0C09A63A" w14:textId="77777777">
            <w:pPr>
              <w:spacing w:before="20" w:after="20"/>
              <w:jc w:val="center"/>
              <w:rPr>
                <w:rFonts w:ascii="Arial" w:hAnsi="Arial" w:cs="Arial"/>
                <w:sz w:val="20"/>
                <w:szCs w:val="20"/>
                <w:lang w:val="es-ES"/>
              </w:rPr>
            </w:pPr>
            <w:r>
              <w:rPr>
                <w:rFonts w:ascii="Arial" w:hAnsi="Arial" w:cs="Arial"/>
                <w:sz w:val="20"/>
                <w:szCs w:val="20"/>
                <w:lang w:val="es-ES"/>
              </w:rPr>
              <w:t>5</w:t>
            </w:r>
          </w:p>
        </w:tc>
        <w:tc>
          <w:tcPr>
            <w:tcW w:w="630" w:type="dxa"/>
          </w:tcPr>
          <w:p w:rsidR="00C15A28" w:rsidP="00564AA1" w:rsidRDefault="00C15A28" w14:paraId="693AC56D" w14:textId="77777777">
            <w:pPr>
              <w:spacing w:before="20" w:after="20"/>
              <w:jc w:val="center"/>
              <w:rPr>
                <w:rFonts w:ascii="Arial" w:hAnsi="Arial" w:cs="Arial"/>
                <w:sz w:val="20"/>
                <w:szCs w:val="20"/>
                <w:lang w:val="es-ES"/>
              </w:rPr>
            </w:pPr>
            <w:r>
              <w:rPr>
                <w:rFonts w:ascii="Arial" w:hAnsi="Arial" w:cs="Arial"/>
                <w:sz w:val="20"/>
                <w:szCs w:val="20"/>
                <w:lang w:val="es-ES"/>
              </w:rPr>
              <w:t>10</w:t>
            </w:r>
          </w:p>
        </w:tc>
        <w:tc>
          <w:tcPr>
            <w:tcW w:w="720" w:type="dxa"/>
          </w:tcPr>
          <w:p w:rsidR="00C15A28" w:rsidP="00564AA1" w:rsidRDefault="00C15A28" w14:paraId="0EB4D5F2" w14:textId="77777777">
            <w:pPr>
              <w:spacing w:before="20" w:after="20"/>
              <w:jc w:val="center"/>
              <w:rPr>
                <w:rFonts w:ascii="Arial" w:hAnsi="Arial" w:cs="Arial"/>
                <w:sz w:val="20"/>
                <w:szCs w:val="20"/>
                <w:lang w:val="es-ES"/>
              </w:rPr>
            </w:pPr>
            <w:r>
              <w:rPr>
                <w:rFonts w:ascii="Arial" w:hAnsi="Arial" w:cs="Arial"/>
                <w:sz w:val="20"/>
                <w:szCs w:val="20"/>
                <w:lang w:val="es-ES"/>
              </w:rPr>
              <w:t>10</w:t>
            </w:r>
          </w:p>
        </w:tc>
        <w:tc>
          <w:tcPr>
            <w:tcW w:w="3889" w:type="dxa"/>
          </w:tcPr>
          <w:p w:rsidR="00C15A28" w:rsidP="00564AA1" w:rsidRDefault="00C15A28" w14:paraId="4A80553E" w14:textId="77777777">
            <w:pPr>
              <w:spacing w:before="20" w:after="20"/>
              <w:rPr>
                <w:rFonts w:ascii="Arial" w:hAnsi="Arial" w:cs="Arial"/>
                <w:sz w:val="20"/>
                <w:szCs w:val="20"/>
                <w:lang w:val="es-ES"/>
              </w:rPr>
            </w:pPr>
            <w:r w:rsidRPr="00544542">
              <w:rPr>
                <w:rFonts w:ascii="Arial" w:hAnsi="Arial" w:cs="Arial"/>
                <w:sz w:val="20"/>
                <w:szCs w:val="20"/>
                <w:lang w:val="es-ES"/>
              </w:rPr>
              <w:t>Informe semestral de avance</w:t>
            </w:r>
            <w:r>
              <w:rPr>
                <w:rFonts w:ascii="Arial" w:hAnsi="Arial" w:cs="Arial"/>
                <w:sz w:val="20"/>
                <w:szCs w:val="20"/>
                <w:lang w:val="es-ES"/>
              </w:rPr>
              <w:t xml:space="preserve"> que contenga el documento de diagnóstico territorial de la Dirección de Promoción y Prevención.</w:t>
            </w:r>
          </w:p>
        </w:tc>
      </w:tr>
      <w:tr w:rsidRPr="000F3366" w:rsidR="00C15A28" w:rsidTr="00C15A28" w14:paraId="4488383D" w14:textId="77777777">
        <w:trPr>
          <w:trHeight w:val="20"/>
          <w:jc w:val="center"/>
        </w:trPr>
        <w:tc>
          <w:tcPr>
            <w:tcW w:w="4585" w:type="dxa"/>
          </w:tcPr>
          <w:p w:rsidR="00C15A28" w:rsidP="00564AA1" w:rsidRDefault="00C15A28" w14:paraId="64EA67FB" w14:textId="77777777">
            <w:pPr>
              <w:spacing w:before="20" w:after="20"/>
              <w:rPr>
                <w:rFonts w:ascii="Arial" w:hAnsi="Arial" w:cs="Arial"/>
                <w:sz w:val="20"/>
                <w:szCs w:val="20"/>
                <w:lang w:val="es-CO"/>
              </w:rPr>
            </w:pPr>
            <w:r>
              <w:rPr>
                <w:rFonts w:ascii="Arial" w:hAnsi="Arial" w:cs="Arial"/>
                <w:sz w:val="20"/>
                <w:szCs w:val="20"/>
                <w:lang w:val="es-ES"/>
              </w:rPr>
              <w:t xml:space="preserve">2.3. </w:t>
            </w:r>
            <w:r w:rsidRPr="00B43F6F">
              <w:rPr>
                <w:rFonts w:ascii="Arial" w:hAnsi="Arial" w:cs="Arial"/>
                <w:sz w:val="20"/>
                <w:szCs w:val="20"/>
                <w:lang w:val="es-ES"/>
              </w:rPr>
              <w:t xml:space="preserve">Planes de acción territorial firmados </w:t>
            </w:r>
            <w:r>
              <w:rPr>
                <w:rFonts w:ascii="Arial" w:hAnsi="Arial" w:cs="Arial"/>
                <w:sz w:val="20"/>
                <w:szCs w:val="20"/>
                <w:lang w:val="es-ES"/>
              </w:rPr>
              <w:t>entre</w:t>
            </w:r>
            <w:r w:rsidRPr="00B43F6F">
              <w:rPr>
                <w:rFonts w:ascii="Arial" w:hAnsi="Arial" w:cs="Arial"/>
                <w:sz w:val="20"/>
                <w:szCs w:val="20"/>
                <w:lang w:val="es-ES"/>
              </w:rPr>
              <w:t xml:space="preserve"> </w:t>
            </w:r>
            <w:r>
              <w:rPr>
                <w:rFonts w:ascii="Arial" w:hAnsi="Arial" w:cs="Arial"/>
                <w:sz w:val="20"/>
                <w:szCs w:val="20"/>
                <w:lang w:val="es-ES"/>
              </w:rPr>
              <w:t>E</w:t>
            </w:r>
            <w:r w:rsidRPr="00B43F6F">
              <w:rPr>
                <w:rFonts w:ascii="Arial" w:hAnsi="Arial" w:cs="Arial"/>
                <w:sz w:val="20"/>
                <w:szCs w:val="20"/>
                <w:lang w:val="es-ES"/>
              </w:rPr>
              <w:t xml:space="preserve">ntidades </w:t>
            </w:r>
            <w:r>
              <w:rPr>
                <w:rFonts w:ascii="Arial" w:hAnsi="Arial" w:cs="Arial"/>
                <w:sz w:val="20"/>
                <w:szCs w:val="20"/>
                <w:lang w:val="es-ES"/>
              </w:rPr>
              <w:t>T</w:t>
            </w:r>
            <w:r w:rsidRPr="00B43F6F">
              <w:rPr>
                <w:rFonts w:ascii="Arial" w:hAnsi="Arial" w:cs="Arial"/>
                <w:sz w:val="20"/>
                <w:szCs w:val="20"/>
                <w:lang w:val="es-ES"/>
              </w:rPr>
              <w:t>erritoriales</w:t>
            </w:r>
            <w:r>
              <w:rPr>
                <w:rFonts w:ascii="Arial" w:hAnsi="Arial" w:cs="Arial"/>
                <w:sz w:val="20"/>
                <w:szCs w:val="20"/>
                <w:lang w:val="es-ES"/>
              </w:rPr>
              <w:t xml:space="preserve"> y </w:t>
            </w:r>
            <w:r w:rsidRPr="00B43F6F">
              <w:rPr>
                <w:rFonts w:ascii="Arial" w:hAnsi="Arial" w:cs="Arial"/>
                <w:sz w:val="20"/>
                <w:szCs w:val="20"/>
                <w:lang w:val="es-ES"/>
              </w:rPr>
              <w:t>MSPS</w:t>
            </w:r>
            <w:r>
              <w:rPr>
                <w:rFonts w:ascii="Arial" w:hAnsi="Arial" w:cs="Arial"/>
                <w:sz w:val="20"/>
                <w:szCs w:val="20"/>
                <w:lang w:val="es-ES"/>
              </w:rPr>
              <w:t xml:space="preserve"> que contemplen metas de </w:t>
            </w:r>
            <w:r>
              <w:rPr>
                <w:rFonts w:ascii="Arial" w:hAnsi="Arial" w:cs="Arial"/>
                <w:sz w:val="20"/>
                <w:szCs w:val="20"/>
                <w:lang w:val="es-CO"/>
              </w:rPr>
              <w:t xml:space="preserve">actividades programáticas </w:t>
            </w:r>
            <w:r w:rsidRPr="00DB6A5F">
              <w:rPr>
                <w:rFonts w:ascii="Arial" w:hAnsi="Arial" w:cs="Arial"/>
                <w:sz w:val="20"/>
                <w:szCs w:val="20"/>
                <w:lang w:val="es-CO"/>
              </w:rPr>
              <w:t>de promoción y mantenimiento</w:t>
            </w:r>
            <w:r>
              <w:rPr>
                <w:rFonts w:ascii="Arial" w:hAnsi="Arial" w:cs="Arial"/>
                <w:sz w:val="20"/>
                <w:szCs w:val="20"/>
                <w:lang w:val="es-CO"/>
              </w:rPr>
              <w:t xml:space="preserve"> de la salud</w:t>
            </w:r>
          </w:p>
        </w:tc>
        <w:tc>
          <w:tcPr>
            <w:tcW w:w="1794" w:type="dxa"/>
          </w:tcPr>
          <w:p w:rsidR="00C15A28" w:rsidP="00564AA1" w:rsidRDefault="00C15A28" w14:paraId="0FA3ED0A" w14:textId="77777777">
            <w:pPr>
              <w:spacing w:before="20" w:after="20"/>
              <w:jc w:val="center"/>
              <w:rPr>
                <w:rFonts w:ascii="Arial" w:hAnsi="Arial" w:cs="Arial"/>
                <w:sz w:val="20"/>
                <w:szCs w:val="20"/>
                <w:lang w:val="es-ES"/>
              </w:rPr>
            </w:pPr>
            <w:r>
              <w:rPr>
                <w:rFonts w:ascii="Arial" w:hAnsi="Arial" w:cs="Arial"/>
                <w:sz w:val="20"/>
                <w:szCs w:val="20"/>
                <w:lang w:val="es-ES"/>
              </w:rPr>
              <w:t xml:space="preserve">Número </w:t>
            </w:r>
          </w:p>
        </w:tc>
        <w:tc>
          <w:tcPr>
            <w:tcW w:w="817" w:type="dxa"/>
            <w:vMerge w:val="restart"/>
            <w:vAlign w:val="center"/>
          </w:tcPr>
          <w:p w:rsidR="00C15A28" w:rsidP="00564AA1" w:rsidRDefault="00C15A28" w14:paraId="1EC95ED8" w14:textId="77777777">
            <w:pPr>
              <w:spacing w:before="20" w:after="20"/>
              <w:jc w:val="center"/>
              <w:rPr>
                <w:rFonts w:ascii="Arial" w:hAnsi="Arial" w:cs="Arial"/>
                <w:sz w:val="20"/>
                <w:szCs w:val="20"/>
                <w:lang w:val="es-ES"/>
              </w:rPr>
            </w:pPr>
            <w:r>
              <w:rPr>
                <w:rFonts w:ascii="Arial" w:hAnsi="Arial" w:cs="Arial"/>
                <w:sz w:val="20"/>
                <w:szCs w:val="20"/>
                <w:lang w:val="es-ES"/>
              </w:rPr>
              <w:t>0</w:t>
            </w:r>
          </w:p>
        </w:tc>
        <w:tc>
          <w:tcPr>
            <w:tcW w:w="719" w:type="dxa"/>
            <w:vMerge w:val="restart"/>
            <w:vAlign w:val="center"/>
          </w:tcPr>
          <w:p w:rsidR="00C15A28" w:rsidP="00564AA1" w:rsidRDefault="00C15A28" w14:paraId="2E483F83" w14:textId="77777777">
            <w:pPr>
              <w:spacing w:before="20" w:after="20"/>
              <w:jc w:val="center"/>
              <w:rPr>
                <w:rFonts w:ascii="Arial" w:hAnsi="Arial" w:cs="Arial"/>
                <w:sz w:val="20"/>
                <w:szCs w:val="20"/>
                <w:lang w:val="es-ES"/>
              </w:rPr>
            </w:pPr>
            <w:r>
              <w:rPr>
                <w:rFonts w:ascii="Arial" w:hAnsi="Arial" w:cs="Arial"/>
                <w:sz w:val="20"/>
                <w:szCs w:val="20"/>
                <w:lang w:val="es-ES"/>
              </w:rPr>
              <w:t>2019</w:t>
            </w:r>
          </w:p>
        </w:tc>
        <w:tc>
          <w:tcPr>
            <w:tcW w:w="540" w:type="dxa"/>
          </w:tcPr>
          <w:p w:rsidR="00C15A28" w:rsidP="00564AA1" w:rsidRDefault="00C15A28" w14:paraId="24B96387" w14:textId="77777777">
            <w:pPr>
              <w:spacing w:before="20" w:after="20"/>
              <w:jc w:val="center"/>
              <w:rPr>
                <w:rFonts w:ascii="Arial" w:hAnsi="Arial" w:cs="Arial"/>
                <w:sz w:val="20"/>
                <w:szCs w:val="20"/>
                <w:lang w:val="es-ES"/>
              </w:rPr>
            </w:pPr>
            <w:r>
              <w:rPr>
                <w:rFonts w:ascii="Arial" w:hAnsi="Arial" w:cs="Arial"/>
                <w:sz w:val="20"/>
                <w:szCs w:val="20"/>
                <w:lang w:val="es-ES"/>
              </w:rPr>
              <w:t>2</w:t>
            </w:r>
          </w:p>
        </w:tc>
        <w:tc>
          <w:tcPr>
            <w:tcW w:w="630" w:type="dxa"/>
          </w:tcPr>
          <w:p w:rsidR="00C15A28" w:rsidP="00564AA1" w:rsidRDefault="00C15A28" w14:paraId="772BEAD6" w14:textId="77777777">
            <w:pPr>
              <w:spacing w:before="20" w:after="20"/>
              <w:jc w:val="center"/>
              <w:rPr>
                <w:rFonts w:ascii="Arial" w:hAnsi="Arial" w:cs="Arial"/>
                <w:sz w:val="20"/>
                <w:szCs w:val="20"/>
                <w:lang w:val="es-ES"/>
              </w:rPr>
            </w:pPr>
            <w:r>
              <w:rPr>
                <w:rFonts w:ascii="Arial" w:hAnsi="Arial" w:cs="Arial"/>
                <w:sz w:val="20"/>
                <w:szCs w:val="20"/>
                <w:lang w:val="es-ES"/>
              </w:rPr>
              <w:t>5</w:t>
            </w:r>
          </w:p>
        </w:tc>
        <w:tc>
          <w:tcPr>
            <w:tcW w:w="630" w:type="dxa"/>
          </w:tcPr>
          <w:p w:rsidR="00C15A28" w:rsidP="00564AA1" w:rsidRDefault="00C15A28" w14:paraId="6ADD07CE" w14:textId="77777777">
            <w:pPr>
              <w:spacing w:before="20" w:after="20"/>
              <w:jc w:val="center"/>
              <w:rPr>
                <w:rFonts w:ascii="Arial" w:hAnsi="Arial" w:cs="Arial"/>
                <w:sz w:val="20"/>
                <w:szCs w:val="20"/>
                <w:lang w:val="es-ES"/>
              </w:rPr>
            </w:pPr>
            <w:r>
              <w:rPr>
                <w:rFonts w:ascii="Arial" w:hAnsi="Arial" w:cs="Arial"/>
                <w:sz w:val="20"/>
                <w:szCs w:val="20"/>
                <w:lang w:val="es-ES"/>
              </w:rPr>
              <w:t>10</w:t>
            </w:r>
          </w:p>
        </w:tc>
        <w:tc>
          <w:tcPr>
            <w:tcW w:w="720" w:type="dxa"/>
          </w:tcPr>
          <w:p w:rsidR="00C15A28" w:rsidP="00564AA1" w:rsidRDefault="00C15A28" w14:paraId="3C81519D" w14:textId="77777777">
            <w:pPr>
              <w:spacing w:before="20" w:after="20"/>
              <w:jc w:val="center"/>
              <w:rPr>
                <w:rFonts w:ascii="Arial" w:hAnsi="Arial" w:cs="Arial"/>
                <w:sz w:val="20"/>
                <w:szCs w:val="20"/>
                <w:lang w:val="es-ES"/>
              </w:rPr>
            </w:pPr>
            <w:r>
              <w:rPr>
                <w:rFonts w:ascii="Arial" w:hAnsi="Arial" w:cs="Arial"/>
                <w:sz w:val="20"/>
                <w:szCs w:val="20"/>
                <w:lang w:val="es-ES"/>
              </w:rPr>
              <w:t>10</w:t>
            </w:r>
          </w:p>
        </w:tc>
        <w:tc>
          <w:tcPr>
            <w:tcW w:w="3889" w:type="dxa"/>
          </w:tcPr>
          <w:p w:rsidR="00C15A28" w:rsidP="00564AA1" w:rsidRDefault="00C15A28" w14:paraId="4824BD8A" w14:textId="77777777">
            <w:pPr>
              <w:spacing w:before="20" w:after="20"/>
              <w:rPr>
                <w:rFonts w:ascii="Arial" w:hAnsi="Arial" w:cs="Arial"/>
                <w:sz w:val="20"/>
                <w:szCs w:val="20"/>
                <w:lang w:val="es-ES"/>
              </w:rPr>
            </w:pPr>
            <w:r w:rsidRPr="00544542">
              <w:rPr>
                <w:rFonts w:ascii="Arial" w:hAnsi="Arial" w:cs="Arial"/>
                <w:sz w:val="20"/>
                <w:szCs w:val="20"/>
                <w:lang w:val="es-ES"/>
              </w:rPr>
              <w:t>Informe semestral de avance</w:t>
            </w:r>
            <w:r>
              <w:rPr>
                <w:rFonts w:ascii="Arial" w:hAnsi="Arial" w:cs="Arial"/>
                <w:sz w:val="20"/>
                <w:szCs w:val="20"/>
                <w:lang w:val="es-ES"/>
              </w:rPr>
              <w:t xml:space="preserve"> con Planes de acción territorial firmados.</w:t>
            </w:r>
          </w:p>
        </w:tc>
      </w:tr>
      <w:tr w:rsidRPr="000F3366" w:rsidR="00C15A28" w:rsidTr="00C15A28" w14:paraId="2C487590" w14:textId="77777777">
        <w:trPr>
          <w:trHeight w:val="20"/>
          <w:jc w:val="center"/>
        </w:trPr>
        <w:tc>
          <w:tcPr>
            <w:tcW w:w="4585" w:type="dxa"/>
          </w:tcPr>
          <w:p w:rsidRPr="005627D9" w:rsidR="00C15A28" w:rsidP="00564AA1" w:rsidRDefault="00C15A28" w14:paraId="38E26596" w14:textId="77777777">
            <w:pPr>
              <w:spacing w:before="20" w:after="20"/>
              <w:rPr>
                <w:rFonts w:ascii="Arial" w:hAnsi="Arial" w:cs="Arial"/>
                <w:sz w:val="20"/>
                <w:szCs w:val="20"/>
                <w:lang w:val="es-ES"/>
              </w:rPr>
            </w:pPr>
            <w:r>
              <w:rPr>
                <w:rFonts w:ascii="Arial" w:hAnsi="Arial" w:cs="Arial"/>
                <w:sz w:val="20"/>
                <w:szCs w:val="20"/>
                <w:lang w:val="es-CO"/>
              </w:rPr>
              <w:t>2.4. S</w:t>
            </w:r>
            <w:r w:rsidRPr="00DB6A5F">
              <w:rPr>
                <w:rFonts w:ascii="Arial" w:hAnsi="Arial" w:cs="Arial"/>
                <w:sz w:val="20"/>
                <w:szCs w:val="20"/>
                <w:lang w:val="es-CO"/>
              </w:rPr>
              <w:t xml:space="preserve">istema de información de seguimiento de </w:t>
            </w:r>
            <w:r>
              <w:rPr>
                <w:rFonts w:ascii="Arial" w:hAnsi="Arial" w:cs="Arial"/>
                <w:sz w:val="20"/>
                <w:szCs w:val="20"/>
                <w:lang w:val="es-CO"/>
              </w:rPr>
              <w:t xml:space="preserve">actividades programáticas </w:t>
            </w:r>
            <w:r w:rsidRPr="00DB6A5F">
              <w:rPr>
                <w:rFonts w:ascii="Arial" w:hAnsi="Arial" w:cs="Arial"/>
                <w:sz w:val="20"/>
                <w:szCs w:val="20"/>
                <w:lang w:val="es-CO"/>
              </w:rPr>
              <w:t>de promoción y mantenimiento</w:t>
            </w:r>
            <w:r w:rsidRPr="007E6C51">
              <w:rPr>
                <w:rFonts w:ascii="Arial" w:hAnsi="Arial" w:cs="Arial"/>
                <w:sz w:val="20"/>
                <w:szCs w:val="20"/>
                <w:vertAlign w:val="superscript"/>
                <w:lang w:val="es-CO"/>
              </w:rPr>
              <w:t>4</w:t>
            </w:r>
          </w:p>
        </w:tc>
        <w:tc>
          <w:tcPr>
            <w:tcW w:w="1794" w:type="dxa"/>
          </w:tcPr>
          <w:p w:rsidRPr="005627D9" w:rsidR="00C15A28" w:rsidP="00564AA1" w:rsidRDefault="00C15A28" w14:paraId="605FF4C5" w14:textId="77777777">
            <w:pPr>
              <w:spacing w:before="20" w:after="20"/>
              <w:jc w:val="center"/>
              <w:rPr>
                <w:rFonts w:ascii="Arial" w:hAnsi="Arial" w:cs="Arial"/>
                <w:sz w:val="20"/>
                <w:szCs w:val="20"/>
                <w:lang w:val="es-ES"/>
              </w:rPr>
            </w:pPr>
            <w:r>
              <w:rPr>
                <w:rFonts w:ascii="Arial" w:hAnsi="Arial" w:cs="Arial"/>
                <w:sz w:val="20"/>
                <w:szCs w:val="20"/>
                <w:lang w:val="es-ES"/>
              </w:rPr>
              <w:t>#Sistema</w:t>
            </w:r>
          </w:p>
        </w:tc>
        <w:tc>
          <w:tcPr>
            <w:tcW w:w="817" w:type="dxa"/>
            <w:vMerge/>
            <w:vAlign w:val="center"/>
          </w:tcPr>
          <w:p w:rsidRPr="005627D9" w:rsidR="00C15A28" w:rsidP="00564AA1" w:rsidRDefault="00C15A28" w14:paraId="5C3E1C21" w14:textId="77777777">
            <w:pPr>
              <w:spacing w:before="20" w:after="20"/>
              <w:jc w:val="center"/>
              <w:rPr>
                <w:rFonts w:ascii="Arial" w:hAnsi="Arial" w:cs="Arial"/>
                <w:sz w:val="20"/>
                <w:szCs w:val="20"/>
                <w:lang w:val="es-ES"/>
              </w:rPr>
            </w:pPr>
          </w:p>
        </w:tc>
        <w:tc>
          <w:tcPr>
            <w:tcW w:w="719" w:type="dxa"/>
            <w:vMerge/>
            <w:vAlign w:val="center"/>
          </w:tcPr>
          <w:p w:rsidRPr="005627D9" w:rsidR="00C15A28" w:rsidP="00564AA1" w:rsidRDefault="00C15A28" w14:paraId="55CA13C6" w14:textId="77777777">
            <w:pPr>
              <w:spacing w:before="20" w:after="20"/>
              <w:jc w:val="center"/>
              <w:rPr>
                <w:rFonts w:ascii="Arial" w:hAnsi="Arial" w:cs="Arial"/>
                <w:sz w:val="20"/>
                <w:szCs w:val="20"/>
                <w:lang w:val="es-ES"/>
              </w:rPr>
            </w:pPr>
          </w:p>
        </w:tc>
        <w:tc>
          <w:tcPr>
            <w:tcW w:w="540" w:type="dxa"/>
          </w:tcPr>
          <w:p w:rsidRPr="005627D9" w:rsidR="00C15A28" w:rsidP="00564AA1" w:rsidRDefault="00C15A28" w14:paraId="44658173" w14:textId="77777777">
            <w:pPr>
              <w:spacing w:before="20" w:after="20"/>
              <w:jc w:val="center"/>
              <w:rPr>
                <w:rFonts w:ascii="Arial" w:hAnsi="Arial" w:cs="Arial"/>
                <w:sz w:val="20"/>
                <w:szCs w:val="20"/>
                <w:lang w:val="es-ES"/>
              </w:rPr>
            </w:pPr>
            <w:r>
              <w:rPr>
                <w:rFonts w:ascii="Arial" w:hAnsi="Arial" w:cs="Arial"/>
                <w:sz w:val="20"/>
                <w:szCs w:val="20"/>
                <w:lang w:val="es-ES"/>
              </w:rPr>
              <w:t>1</w:t>
            </w:r>
          </w:p>
        </w:tc>
        <w:tc>
          <w:tcPr>
            <w:tcW w:w="630" w:type="dxa"/>
          </w:tcPr>
          <w:p w:rsidRPr="005627D9" w:rsidR="00C15A28" w:rsidP="00564AA1" w:rsidRDefault="00C15A28" w14:paraId="0523EF8C" w14:textId="77777777">
            <w:pPr>
              <w:spacing w:before="20" w:after="20"/>
              <w:jc w:val="center"/>
              <w:rPr>
                <w:rFonts w:ascii="Arial" w:hAnsi="Arial" w:cs="Arial"/>
                <w:sz w:val="20"/>
                <w:szCs w:val="20"/>
                <w:lang w:val="es-ES"/>
              </w:rPr>
            </w:pPr>
            <w:r>
              <w:rPr>
                <w:rFonts w:ascii="Arial" w:hAnsi="Arial" w:cs="Arial"/>
                <w:sz w:val="20"/>
                <w:szCs w:val="20"/>
                <w:lang w:val="es-ES"/>
              </w:rPr>
              <w:t>0</w:t>
            </w:r>
          </w:p>
        </w:tc>
        <w:tc>
          <w:tcPr>
            <w:tcW w:w="630" w:type="dxa"/>
          </w:tcPr>
          <w:p w:rsidRPr="005627D9" w:rsidR="00C15A28" w:rsidP="00564AA1" w:rsidRDefault="00C15A28" w14:paraId="4EA98E5F" w14:textId="77777777">
            <w:pPr>
              <w:spacing w:before="20" w:after="20"/>
              <w:jc w:val="center"/>
              <w:rPr>
                <w:rFonts w:ascii="Arial" w:hAnsi="Arial" w:cs="Arial"/>
                <w:sz w:val="20"/>
                <w:szCs w:val="20"/>
                <w:lang w:val="es-ES"/>
              </w:rPr>
            </w:pPr>
            <w:r>
              <w:rPr>
                <w:rFonts w:ascii="Arial" w:hAnsi="Arial" w:cs="Arial"/>
                <w:sz w:val="20"/>
                <w:szCs w:val="20"/>
                <w:lang w:val="es-ES"/>
              </w:rPr>
              <w:t>0</w:t>
            </w:r>
          </w:p>
        </w:tc>
        <w:tc>
          <w:tcPr>
            <w:tcW w:w="720" w:type="dxa"/>
          </w:tcPr>
          <w:p w:rsidRPr="005627D9" w:rsidR="00C15A28" w:rsidP="00564AA1" w:rsidRDefault="00C15A28" w14:paraId="59C7BB69" w14:textId="77777777">
            <w:pPr>
              <w:spacing w:before="20" w:after="20"/>
              <w:jc w:val="center"/>
              <w:rPr>
                <w:rFonts w:ascii="Arial" w:hAnsi="Arial" w:cs="Arial"/>
                <w:sz w:val="20"/>
                <w:szCs w:val="20"/>
                <w:lang w:val="es-ES"/>
              </w:rPr>
            </w:pPr>
            <w:r>
              <w:rPr>
                <w:rFonts w:ascii="Arial" w:hAnsi="Arial" w:cs="Arial"/>
                <w:sz w:val="20"/>
                <w:szCs w:val="20"/>
                <w:lang w:val="es-ES"/>
              </w:rPr>
              <w:t>1</w:t>
            </w:r>
          </w:p>
        </w:tc>
        <w:tc>
          <w:tcPr>
            <w:tcW w:w="3889" w:type="dxa"/>
          </w:tcPr>
          <w:p w:rsidR="00C15A28" w:rsidP="00564AA1" w:rsidRDefault="00C15A28" w14:paraId="5E6D905F" w14:textId="77777777">
            <w:pPr>
              <w:spacing w:before="20" w:after="20"/>
              <w:rPr>
                <w:rFonts w:ascii="Arial" w:hAnsi="Arial" w:cs="Arial"/>
                <w:sz w:val="20"/>
                <w:szCs w:val="20"/>
                <w:lang w:val="es-ES"/>
              </w:rPr>
            </w:pPr>
            <w:r w:rsidRPr="00544542">
              <w:rPr>
                <w:rFonts w:ascii="Arial" w:hAnsi="Arial" w:cs="Arial"/>
                <w:sz w:val="20"/>
                <w:szCs w:val="20"/>
                <w:lang w:val="es-ES"/>
              </w:rPr>
              <w:t>Informe semestral de avance</w:t>
            </w:r>
            <w:r>
              <w:rPr>
                <w:rFonts w:ascii="Arial" w:hAnsi="Arial" w:cs="Arial"/>
                <w:sz w:val="20"/>
                <w:szCs w:val="20"/>
                <w:lang w:val="es-ES"/>
              </w:rPr>
              <w:t xml:space="preserve"> con Informe de la Oficina de Tecnología de Información del MSPS.</w:t>
            </w:r>
          </w:p>
        </w:tc>
      </w:tr>
      <w:tr w:rsidRPr="000F3366" w:rsidR="00C15A28" w:rsidTr="00C15A28" w14:paraId="0170CDD0" w14:textId="77777777">
        <w:trPr>
          <w:trHeight w:val="20"/>
          <w:jc w:val="center"/>
        </w:trPr>
        <w:tc>
          <w:tcPr>
            <w:tcW w:w="4585" w:type="dxa"/>
          </w:tcPr>
          <w:p w:rsidRPr="00B43F6F" w:rsidR="00C15A28" w:rsidP="00564AA1" w:rsidRDefault="00C15A28" w14:paraId="72D2E21C" w14:textId="77777777">
            <w:pPr>
              <w:spacing w:before="20" w:after="20"/>
              <w:rPr>
                <w:rFonts w:ascii="Arial" w:hAnsi="Arial" w:cs="Arial"/>
                <w:sz w:val="20"/>
                <w:szCs w:val="20"/>
                <w:lang w:val="es-CO"/>
              </w:rPr>
            </w:pPr>
            <w:r>
              <w:rPr>
                <w:rFonts w:ascii="Arial" w:hAnsi="Arial" w:cs="Arial"/>
                <w:sz w:val="20"/>
                <w:szCs w:val="20"/>
                <w:lang w:val="es-CO"/>
              </w:rPr>
              <w:lastRenderedPageBreak/>
              <w:t xml:space="preserve">2.5. Asistencia técnica en ET a las cuales se realiza seguimiento de actividades programáticas </w:t>
            </w:r>
            <w:r w:rsidRPr="00DB6A5F">
              <w:rPr>
                <w:rFonts w:ascii="Arial" w:hAnsi="Arial" w:cs="Arial"/>
                <w:sz w:val="20"/>
                <w:szCs w:val="20"/>
                <w:lang w:val="es-CO"/>
              </w:rPr>
              <w:t>de promoción y mantenimiento</w:t>
            </w:r>
            <w:r>
              <w:rPr>
                <w:rFonts w:ascii="Arial" w:hAnsi="Arial" w:cs="Arial"/>
                <w:sz w:val="20"/>
                <w:szCs w:val="20"/>
                <w:lang w:val="es-CO"/>
              </w:rPr>
              <w:t xml:space="preserve"> </w:t>
            </w:r>
          </w:p>
        </w:tc>
        <w:tc>
          <w:tcPr>
            <w:tcW w:w="1794" w:type="dxa"/>
          </w:tcPr>
          <w:p w:rsidRPr="00887E63" w:rsidR="00C15A28" w:rsidP="00564AA1" w:rsidRDefault="00C15A28" w14:paraId="1F395358" w14:textId="77777777">
            <w:pPr>
              <w:spacing w:before="20" w:after="20"/>
              <w:jc w:val="center"/>
              <w:rPr>
                <w:rFonts w:ascii="Arial" w:hAnsi="Arial" w:cs="Arial"/>
                <w:sz w:val="20"/>
                <w:szCs w:val="20"/>
                <w:lang w:val="es-CO"/>
              </w:rPr>
            </w:pPr>
            <w:r>
              <w:rPr>
                <w:rFonts w:ascii="Arial" w:hAnsi="Arial" w:cs="Arial"/>
                <w:sz w:val="20"/>
                <w:szCs w:val="20"/>
                <w:lang w:val="es-CO"/>
              </w:rPr>
              <w:t>Número de entidades territoriales</w:t>
            </w:r>
          </w:p>
        </w:tc>
        <w:tc>
          <w:tcPr>
            <w:tcW w:w="817" w:type="dxa"/>
            <w:vMerge/>
            <w:vAlign w:val="center"/>
          </w:tcPr>
          <w:p w:rsidR="00C15A28" w:rsidP="00564AA1" w:rsidRDefault="00C15A28" w14:paraId="753F2484" w14:textId="77777777">
            <w:pPr>
              <w:spacing w:before="20" w:after="20"/>
              <w:jc w:val="center"/>
              <w:rPr>
                <w:rFonts w:ascii="Arial" w:hAnsi="Arial" w:cs="Arial"/>
                <w:sz w:val="20"/>
                <w:szCs w:val="20"/>
                <w:lang w:val="es-ES"/>
              </w:rPr>
            </w:pPr>
          </w:p>
        </w:tc>
        <w:tc>
          <w:tcPr>
            <w:tcW w:w="719" w:type="dxa"/>
            <w:vMerge/>
            <w:vAlign w:val="center"/>
          </w:tcPr>
          <w:p w:rsidR="00C15A28" w:rsidP="00564AA1" w:rsidRDefault="00C15A28" w14:paraId="1268DC15" w14:textId="77777777">
            <w:pPr>
              <w:spacing w:before="20" w:after="20"/>
              <w:jc w:val="center"/>
              <w:rPr>
                <w:rFonts w:ascii="Arial" w:hAnsi="Arial" w:cs="Arial"/>
                <w:sz w:val="20"/>
                <w:szCs w:val="20"/>
                <w:lang w:val="es-ES"/>
              </w:rPr>
            </w:pPr>
          </w:p>
        </w:tc>
        <w:tc>
          <w:tcPr>
            <w:tcW w:w="540" w:type="dxa"/>
            <w:vAlign w:val="center"/>
          </w:tcPr>
          <w:p w:rsidR="00C15A28" w:rsidP="00564AA1" w:rsidRDefault="00C15A28" w14:paraId="5BCFDC7B" w14:textId="77777777">
            <w:pPr>
              <w:spacing w:before="20" w:after="20"/>
              <w:jc w:val="center"/>
              <w:rPr>
                <w:rFonts w:ascii="Arial" w:hAnsi="Arial" w:cs="Arial"/>
                <w:sz w:val="20"/>
                <w:szCs w:val="20"/>
                <w:lang w:val="es-ES"/>
              </w:rPr>
            </w:pPr>
            <w:r>
              <w:rPr>
                <w:rFonts w:ascii="Arial" w:hAnsi="Arial" w:cs="Arial"/>
                <w:sz w:val="20"/>
                <w:szCs w:val="20"/>
                <w:lang w:val="es-ES"/>
              </w:rPr>
              <w:t>2</w:t>
            </w:r>
          </w:p>
        </w:tc>
        <w:tc>
          <w:tcPr>
            <w:tcW w:w="630" w:type="dxa"/>
            <w:vAlign w:val="center"/>
          </w:tcPr>
          <w:p w:rsidR="00C15A28" w:rsidP="00564AA1" w:rsidRDefault="00C15A28" w14:paraId="504A4621" w14:textId="77777777">
            <w:pPr>
              <w:spacing w:before="20" w:after="20"/>
              <w:jc w:val="center"/>
              <w:rPr>
                <w:rFonts w:ascii="Arial" w:hAnsi="Arial" w:cs="Arial"/>
                <w:sz w:val="20"/>
                <w:szCs w:val="20"/>
                <w:lang w:val="es-ES"/>
              </w:rPr>
            </w:pPr>
            <w:r>
              <w:rPr>
                <w:rFonts w:ascii="Arial" w:hAnsi="Arial" w:cs="Arial"/>
                <w:sz w:val="20"/>
                <w:szCs w:val="20"/>
                <w:lang w:val="es-ES"/>
              </w:rPr>
              <w:t>5</w:t>
            </w:r>
          </w:p>
        </w:tc>
        <w:tc>
          <w:tcPr>
            <w:tcW w:w="630" w:type="dxa"/>
            <w:vAlign w:val="center"/>
          </w:tcPr>
          <w:p w:rsidR="00C15A28" w:rsidP="00564AA1" w:rsidRDefault="00C15A28" w14:paraId="4C714BF6" w14:textId="77777777">
            <w:pPr>
              <w:spacing w:before="20" w:after="20"/>
              <w:jc w:val="center"/>
              <w:rPr>
                <w:rFonts w:ascii="Arial" w:hAnsi="Arial" w:cs="Arial"/>
                <w:sz w:val="20"/>
                <w:szCs w:val="20"/>
                <w:lang w:val="es-ES"/>
              </w:rPr>
            </w:pPr>
            <w:r>
              <w:rPr>
                <w:rFonts w:ascii="Arial" w:hAnsi="Arial" w:cs="Arial"/>
                <w:sz w:val="20"/>
                <w:szCs w:val="20"/>
                <w:lang w:val="es-ES"/>
              </w:rPr>
              <w:t>10</w:t>
            </w:r>
          </w:p>
        </w:tc>
        <w:tc>
          <w:tcPr>
            <w:tcW w:w="720" w:type="dxa"/>
            <w:vAlign w:val="center"/>
          </w:tcPr>
          <w:p w:rsidR="00C15A28" w:rsidP="00564AA1" w:rsidRDefault="00C15A28" w14:paraId="317BEC64" w14:textId="77777777">
            <w:pPr>
              <w:spacing w:before="20" w:after="20"/>
              <w:jc w:val="center"/>
              <w:rPr>
                <w:rFonts w:ascii="Arial" w:hAnsi="Arial" w:cs="Arial"/>
                <w:sz w:val="20"/>
                <w:szCs w:val="20"/>
                <w:lang w:val="es-ES"/>
              </w:rPr>
            </w:pPr>
            <w:r>
              <w:rPr>
                <w:rFonts w:ascii="Arial" w:hAnsi="Arial" w:cs="Arial"/>
                <w:sz w:val="20"/>
                <w:szCs w:val="20"/>
                <w:lang w:val="es-ES"/>
              </w:rPr>
              <w:t>10</w:t>
            </w:r>
          </w:p>
        </w:tc>
        <w:tc>
          <w:tcPr>
            <w:tcW w:w="3889" w:type="dxa"/>
          </w:tcPr>
          <w:p w:rsidR="00C15A28" w:rsidP="00564AA1" w:rsidRDefault="00C15A28" w14:paraId="7A2891DD" w14:textId="77777777">
            <w:pPr>
              <w:spacing w:before="20" w:after="20"/>
              <w:rPr>
                <w:rFonts w:ascii="Arial" w:hAnsi="Arial" w:cs="Arial"/>
                <w:sz w:val="20"/>
                <w:szCs w:val="20"/>
                <w:lang w:val="es-ES"/>
              </w:rPr>
            </w:pPr>
            <w:r w:rsidRPr="00713491">
              <w:rPr>
                <w:rFonts w:ascii="Arial" w:hAnsi="Arial" w:cs="Arial"/>
                <w:sz w:val="20"/>
                <w:szCs w:val="20"/>
                <w:lang w:val="es-ES"/>
              </w:rPr>
              <w:t>Actas de reuniones de asistencia técnica del MSPS</w:t>
            </w:r>
            <w:r>
              <w:rPr>
                <w:rFonts w:ascii="Arial" w:hAnsi="Arial" w:cs="Arial"/>
                <w:sz w:val="20"/>
                <w:szCs w:val="20"/>
                <w:lang w:val="es-ES"/>
              </w:rPr>
              <w:t>.</w:t>
            </w:r>
          </w:p>
        </w:tc>
      </w:tr>
      <w:tr w:rsidRPr="00BA4044" w:rsidR="00C15A28" w:rsidTr="00564AA1" w14:paraId="5B6F2D5F" w14:textId="77777777">
        <w:trPr>
          <w:trHeight w:val="20"/>
          <w:jc w:val="center"/>
        </w:trPr>
        <w:tc>
          <w:tcPr>
            <w:tcW w:w="14324" w:type="dxa"/>
            <w:gridSpan w:val="9"/>
            <w:shd w:val="clear" w:color="auto" w:fill="D9D9D9" w:themeFill="background1" w:themeFillShade="D9"/>
          </w:tcPr>
          <w:p w:rsidRPr="00674B3A" w:rsidR="00C15A28" w:rsidP="00564AA1" w:rsidRDefault="00C15A28" w14:paraId="5F946839" w14:textId="77777777">
            <w:pPr>
              <w:keepNext/>
              <w:keepLines/>
              <w:spacing w:before="20" w:after="20"/>
              <w:rPr>
                <w:rFonts w:ascii="Arial" w:hAnsi="Arial" w:cs="Arial"/>
                <w:b/>
                <w:sz w:val="20"/>
                <w:szCs w:val="20"/>
                <w:lang w:val="es-ES"/>
              </w:rPr>
            </w:pPr>
            <w:r w:rsidRPr="00674B3A">
              <w:rPr>
                <w:rFonts w:ascii="Arial" w:hAnsi="Arial" w:cs="Arial"/>
                <w:b/>
                <w:sz w:val="20"/>
                <w:szCs w:val="20"/>
                <w:lang w:val="es-ES"/>
              </w:rPr>
              <w:t xml:space="preserve">Componente 3: </w:t>
            </w:r>
            <w:r>
              <w:rPr>
                <w:rFonts w:ascii="Arial" w:hAnsi="Arial" w:cs="Arial"/>
                <w:b/>
                <w:sz w:val="20"/>
                <w:szCs w:val="20"/>
                <w:lang w:val="es-ES"/>
              </w:rPr>
              <w:t>Cobertura de aseguramiento y servicios para población migrante</w:t>
            </w:r>
          </w:p>
        </w:tc>
      </w:tr>
      <w:tr w:rsidRPr="000F3366" w:rsidR="00C15A28" w:rsidTr="00C15A28" w14:paraId="09377C11" w14:textId="77777777">
        <w:trPr>
          <w:trHeight w:val="20"/>
          <w:jc w:val="center"/>
        </w:trPr>
        <w:tc>
          <w:tcPr>
            <w:tcW w:w="4585" w:type="dxa"/>
          </w:tcPr>
          <w:p w:rsidRPr="00B43F6F" w:rsidR="00C15A28" w:rsidP="00564AA1" w:rsidRDefault="00C15A28" w14:paraId="532C7292" w14:textId="77777777">
            <w:pPr>
              <w:keepNext/>
              <w:keepLines/>
              <w:spacing w:before="20" w:after="20"/>
              <w:rPr>
                <w:rFonts w:ascii="Arial" w:hAnsi="Arial" w:cs="Arial"/>
                <w:sz w:val="20"/>
                <w:szCs w:val="20"/>
                <w:lang w:val="es-CO"/>
              </w:rPr>
            </w:pPr>
            <w:r>
              <w:rPr>
                <w:rFonts w:ascii="Arial" w:hAnsi="Arial" w:cs="Arial"/>
                <w:sz w:val="20"/>
                <w:szCs w:val="20"/>
                <w:lang w:val="es-CO"/>
              </w:rPr>
              <w:t>3.1. Encuesta sobre la situación en salud de la población inmigrante</w:t>
            </w:r>
          </w:p>
        </w:tc>
        <w:tc>
          <w:tcPr>
            <w:tcW w:w="1794" w:type="dxa"/>
            <w:vAlign w:val="center"/>
          </w:tcPr>
          <w:p w:rsidRPr="005627D9" w:rsidR="00C15A28" w:rsidP="00564AA1" w:rsidRDefault="00C15A28" w14:paraId="6B343BCE" w14:textId="77777777">
            <w:pPr>
              <w:keepNext/>
              <w:keepLines/>
              <w:spacing w:before="20" w:after="20"/>
              <w:jc w:val="center"/>
              <w:rPr>
                <w:rFonts w:ascii="Arial" w:hAnsi="Arial" w:cs="Arial"/>
                <w:sz w:val="20"/>
                <w:szCs w:val="20"/>
                <w:lang w:val="es-ES"/>
              </w:rPr>
            </w:pPr>
            <w:r>
              <w:rPr>
                <w:rFonts w:ascii="Arial" w:hAnsi="Arial" w:cs="Arial"/>
                <w:sz w:val="20"/>
                <w:szCs w:val="20"/>
                <w:lang w:val="es-ES"/>
              </w:rPr>
              <w:t>Número</w:t>
            </w:r>
          </w:p>
        </w:tc>
        <w:tc>
          <w:tcPr>
            <w:tcW w:w="817" w:type="dxa"/>
            <w:vMerge w:val="restart"/>
            <w:vAlign w:val="center"/>
          </w:tcPr>
          <w:p w:rsidRPr="005627D9" w:rsidR="00C15A28" w:rsidP="00564AA1" w:rsidRDefault="00C15A28" w14:paraId="4DE735D6" w14:textId="77777777">
            <w:pPr>
              <w:keepNext/>
              <w:keepLines/>
              <w:spacing w:before="20" w:after="20"/>
              <w:jc w:val="center"/>
              <w:rPr>
                <w:rFonts w:ascii="Arial" w:hAnsi="Arial" w:cs="Arial"/>
                <w:sz w:val="20"/>
                <w:szCs w:val="20"/>
                <w:lang w:val="es-ES"/>
              </w:rPr>
            </w:pPr>
            <w:r>
              <w:rPr>
                <w:rFonts w:ascii="Arial" w:hAnsi="Arial" w:cs="Arial"/>
                <w:sz w:val="20"/>
                <w:szCs w:val="20"/>
                <w:lang w:val="es-ES"/>
              </w:rPr>
              <w:t>0</w:t>
            </w:r>
          </w:p>
        </w:tc>
        <w:tc>
          <w:tcPr>
            <w:tcW w:w="719" w:type="dxa"/>
            <w:vMerge w:val="restart"/>
            <w:vAlign w:val="center"/>
          </w:tcPr>
          <w:p w:rsidRPr="005627D9" w:rsidR="00C15A28" w:rsidP="00564AA1" w:rsidRDefault="00C15A28" w14:paraId="3A093114" w14:textId="77777777">
            <w:pPr>
              <w:keepNext/>
              <w:keepLines/>
              <w:spacing w:before="20" w:after="20"/>
              <w:jc w:val="center"/>
              <w:rPr>
                <w:rFonts w:ascii="Arial" w:hAnsi="Arial" w:cs="Arial"/>
                <w:sz w:val="20"/>
                <w:szCs w:val="20"/>
                <w:lang w:val="es-ES"/>
              </w:rPr>
            </w:pPr>
            <w:r>
              <w:rPr>
                <w:rFonts w:ascii="Arial" w:hAnsi="Arial" w:cs="Arial"/>
                <w:sz w:val="20"/>
                <w:szCs w:val="20"/>
                <w:lang w:val="es-ES"/>
              </w:rPr>
              <w:t>2018</w:t>
            </w:r>
          </w:p>
        </w:tc>
        <w:tc>
          <w:tcPr>
            <w:tcW w:w="540" w:type="dxa"/>
            <w:vMerge w:val="restart"/>
            <w:vAlign w:val="center"/>
          </w:tcPr>
          <w:p w:rsidRPr="005627D9" w:rsidR="00C15A28" w:rsidP="00564AA1" w:rsidRDefault="00C15A28" w14:paraId="0DAC9A0B" w14:textId="77777777">
            <w:pPr>
              <w:keepNext/>
              <w:keepLines/>
              <w:spacing w:before="20" w:after="20"/>
              <w:jc w:val="center"/>
              <w:rPr>
                <w:rFonts w:ascii="Arial" w:hAnsi="Arial" w:cs="Arial"/>
                <w:sz w:val="20"/>
                <w:szCs w:val="20"/>
                <w:lang w:val="es-ES"/>
              </w:rPr>
            </w:pPr>
            <w:r>
              <w:rPr>
                <w:rFonts w:ascii="Arial" w:hAnsi="Arial" w:cs="Arial"/>
                <w:sz w:val="20"/>
                <w:szCs w:val="20"/>
                <w:lang w:val="es-ES"/>
              </w:rPr>
              <w:t>1</w:t>
            </w:r>
          </w:p>
        </w:tc>
        <w:tc>
          <w:tcPr>
            <w:tcW w:w="630" w:type="dxa"/>
            <w:vMerge w:val="restart"/>
            <w:vAlign w:val="center"/>
          </w:tcPr>
          <w:p w:rsidRPr="005627D9" w:rsidR="00C15A28" w:rsidP="00564AA1" w:rsidRDefault="00C15A28" w14:paraId="319E604E" w14:textId="77777777">
            <w:pPr>
              <w:keepNext/>
              <w:keepLines/>
              <w:spacing w:before="20" w:after="20"/>
              <w:jc w:val="center"/>
              <w:rPr>
                <w:rFonts w:ascii="Arial" w:hAnsi="Arial" w:cs="Arial"/>
                <w:sz w:val="20"/>
                <w:szCs w:val="20"/>
                <w:lang w:val="es-ES"/>
              </w:rPr>
            </w:pPr>
            <w:r>
              <w:rPr>
                <w:rFonts w:ascii="Arial" w:hAnsi="Arial" w:cs="Arial"/>
                <w:sz w:val="20"/>
                <w:szCs w:val="20"/>
                <w:lang w:val="es-ES"/>
              </w:rPr>
              <w:t>0</w:t>
            </w:r>
          </w:p>
        </w:tc>
        <w:tc>
          <w:tcPr>
            <w:tcW w:w="630" w:type="dxa"/>
            <w:vAlign w:val="center"/>
          </w:tcPr>
          <w:p w:rsidRPr="005627D9" w:rsidR="00C15A28" w:rsidP="00564AA1" w:rsidRDefault="00C15A28" w14:paraId="23E14EAE" w14:textId="77777777">
            <w:pPr>
              <w:keepNext/>
              <w:keepLines/>
              <w:spacing w:before="20" w:after="20"/>
              <w:jc w:val="center"/>
              <w:rPr>
                <w:rFonts w:ascii="Arial" w:hAnsi="Arial" w:cs="Arial"/>
                <w:sz w:val="20"/>
                <w:szCs w:val="20"/>
                <w:lang w:val="es-ES"/>
              </w:rPr>
            </w:pPr>
            <w:r>
              <w:rPr>
                <w:rFonts w:ascii="Arial" w:hAnsi="Arial" w:cs="Arial"/>
                <w:sz w:val="20"/>
                <w:szCs w:val="20"/>
                <w:lang w:val="es-ES"/>
              </w:rPr>
              <w:t>1</w:t>
            </w:r>
          </w:p>
        </w:tc>
        <w:tc>
          <w:tcPr>
            <w:tcW w:w="720" w:type="dxa"/>
            <w:vAlign w:val="center"/>
          </w:tcPr>
          <w:p w:rsidRPr="005627D9" w:rsidR="00C15A28" w:rsidP="00564AA1" w:rsidRDefault="00C15A28" w14:paraId="1594217C" w14:textId="77777777">
            <w:pPr>
              <w:keepNext/>
              <w:keepLines/>
              <w:spacing w:before="20" w:after="20"/>
              <w:jc w:val="center"/>
              <w:rPr>
                <w:rFonts w:ascii="Arial" w:hAnsi="Arial" w:cs="Arial"/>
                <w:sz w:val="20"/>
                <w:szCs w:val="20"/>
                <w:lang w:val="es-ES"/>
              </w:rPr>
            </w:pPr>
            <w:r>
              <w:rPr>
                <w:rFonts w:ascii="Arial" w:hAnsi="Arial" w:cs="Arial"/>
                <w:sz w:val="20"/>
                <w:szCs w:val="20"/>
                <w:lang w:val="es-ES"/>
              </w:rPr>
              <w:t>2</w:t>
            </w:r>
          </w:p>
        </w:tc>
        <w:tc>
          <w:tcPr>
            <w:tcW w:w="3889" w:type="dxa"/>
          </w:tcPr>
          <w:p w:rsidR="00C15A28" w:rsidP="004C6708" w:rsidRDefault="00C15A28" w14:paraId="6ED55554" w14:textId="77777777">
            <w:pPr>
              <w:keepNext/>
              <w:keepLines/>
              <w:spacing w:before="20" w:after="20"/>
              <w:rPr>
                <w:rFonts w:ascii="Arial" w:hAnsi="Arial" w:cs="Arial"/>
                <w:sz w:val="20"/>
                <w:szCs w:val="20"/>
                <w:lang w:val="es-ES"/>
              </w:rPr>
            </w:pPr>
            <w:r w:rsidRPr="00544542">
              <w:rPr>
                <w:rFonts w:ascii="Arial" w:hAnsi="Arial" w:cs="Arial"/>
                <w:sz w:val="20"/>
                <w:szCs w:val="20"/>
                <w:lang w:val="es-ES"/>
              </w:rPr>
              <w:t>Informe semestral de avance</w:t>
            </w:r>
            <w:r>
              <w:rPr>
                <w:rFonts w:ascii="Arial" w:hAnsi="Arial" w:cs="Arial"/>
                <w:sz w:val="20"/>
                <w:szCs w:val="20"/>
                <w:lang w:val="es-ES"/>
              </w:rPr>
              <w:t xml:space="preserve"> con información de la encuesta sobre integración de los migrantes venezolanos y los retornados colombianos.</w:t>
            </w:r>
          </w:p>
        </w:tc>
      </w:tr>
      <w:tr w:rsidRPr="006C1E53" w:rsidR="00C15A28" w:rsidTr="00C15A28" w14:paraId="68D9C44A" w14:textId="77777777">
        <w:trPr>
          <w:trHeight w:val="774"/>
          <w:jc w:val="center"/>
        </w:trPr>
        <w:tc>
          <w:tcPr>
            <w:tcW w:w="4585" w:type="dxa"/>
          </w:tcPr>
          <w:p w:rsidRPr="00255351" w:rsidR="00C15A28" w:rsidP="00564AA1" w:rsidRDefault="00C15A28" w14:paraId="309F5817" w14:textId="77777777">
            <w:pPr>
              <w:spacing w:before="20" w:after="20"/>
              <w:rPr>
                <w:rFonts w:ascii="Arial" w:hAnsi="Arial" w:cs="Arial"/>
                <w:sz w:val="20"/>
                <w:szCs w:val="20"/>
                <w:lang w:val="es-CO"/>
              </w:rPr>
            </w:pPr>
            <w:r>
              <w:rPr>
                <w:rFonts w:ascii="Arial" w:hAnsi="Arial" w:cs="Arial"/>
                <w:sz w:val="20"/>
                <w:szCs w:val="20"/>
                <w:lang w:val="es-CO"/>
              </w:rPr>
              <w:t xml:space="preserve">3.2. Reglamentación de afiliación para inmigrantes venezolanos regulares </w:t>
            </w:r>
          </w:p>
        </w:tc>
        <w:tc>
          <w:tcPr>
            <w:tcW w:w="1794" w:type="dxa"/>
            <w:vAlign w:val="center"/>
          </w:tcPr>
          <w:p w:rsidRPr="00072531" w:rsidR="00C15A28" w:rsidP="00564AA1" w:rsidRDefault="00C15A28" w14:paraId="6C0341DF" w14:textId="77777777">
            <w:pPr>
              <w:spacing w:before="20" w:after="20"/>
              <w:jc w:val="center"/>
              <w:rPr>
                <w:rFonts w:ascii="Arial" w:hAnsi="Arial" w:cs="Arial"/>
                <w:sz w:val="20"/>
                <w:szCs w:val="20"/>
                <w:lang w:val="es-CO"/>
              </w:rPr>
            </w:pPr>
            <w:r>
              <w:rPr>
                <w:rFonts w:ascii="Arial" w:hAnsi="Arial" w:cs="Arial"/>
                <w:sz w:val="20"/>
                <w:szCs w:val="20"/>
                <w:lang w:val="es-CO"/>
              </w:rPr>
              <w:t>#Decreto</w:t>
            </w:r>
          </w:p>
        </w:tc>
        <w:tc>
          <w:tcPr>
            <w:tcW w:w="817" w:type="dxa"/>
            <w:vMerge/>
            <w:vAlign w:val="center"/>
          </w:tcPr>
          <w:p w:rsidRPr="00072531" w:rsidR="00C15A28" w:rsidP="00564AA1" w:rsidRDefault="00C15A28" w14:paraId="5402E7D8" w14:textId="77777777">
            <w:pPr>
              <w:spacing w:before="20" w:after="20"/>
              <w:jc w:val="center"/>
              <w:rPr>
                <w:rFonts w:ascii="Arial" w:hAnsi="Arial" w:cs="Arial"/>
                <w:bCs/>
                <w:sz w:val="20"/>
                <w:szCs w:val="20"/>
                <w:lang w:val="es-CO"/>
              </w:rPr>
            </w:pPr>
          </w:p>
        </w:tc>
        <w:tc>
          <w:tcPr>
            <w:tcW w:w="719" w:type="dxa"/>
            <w:vMerge/>
            <w:vAlign w:val="center"/>
          </w:tcPr>
          <w:p w:rsidR="00C15A28" w:rsidP="00564AA1" w:rsidRDefault="00C15A28" w14:paraId="0E852F99" w14:textId="77777777">
            <w:pPr>
              <w:spacing w:before="20" w:after="20"/>
              <w:jc w:val="center"/>
              <w:rPr>
                <w:rFonts w:ascii="Arial" w:hAnsi="Arial" w:cs="Arial"/>
                <w:bCs/>
                <w:sz w:val="20"/>
                <w:szCs w:val="20"/>
                <w:lang w:val="es-CO"/>
              </w:rPr>
            </w:pPr>
          </w:p>
        </w:tc>
        <w:tc>
          <w:tcPr>
            <w:tcW w:w="540" w:type="dxa"/>
            <w:vMerge/>
            <w:vAlign w:val="center"/>
          </w:tcPr>
          <w:p w:rsidR="00C15A28" w:rsidP="00564AA1" w:rsidRDefault="00C15A28" w14:paraId="267FCA2A" w14:textId="77777777">
            <w:pPr>
              <w:spacing w:before="20" w:after="20"/>
              <w:jc w:val="center"/>
              <w:rPr>
                <w:rFonts w:ascii="Arial" w:hAnsi="Arial" w:cs="Arial"/>
                <w:bCs/>
                <w:sz w:val="20"/>
                <w:szCs w:val="20"/>
                <w:lang w:val="es-CO"/>
              </w:rPr>
            </w:pPr>
          </w:p>
        </w:tc>
        <w:tc>
          <w:tcPr>
            <w:tcW w:w="630" w:type="dxa"/>
            <w:vMerge/>
            <w:vAlign w:val="center"/>
          </w:tcPr>
          <w:p w:rsidR="00C15A28" w:rsidP="00564AA1" w:rsidRDefault="00C15A28" w14:paraId="0F7B6EF9" w14:textId="77777777">
            <w:pPr>
              <w:spacing w:before="20" w:after="20"/>
              <w:jc w:val="center"/>
              <w:rPr>
                <w:rFonts w:ascii="Arial" w:hAnsi="Arial" w:cs="Arial"/>
                <w:bCs/>
                <w:sz w:val="20"/>
                <w:szCs w:val="20"/>
                <w:lang w:val="es-CO"/>
              </w:rPr>
            </w:pPr>
          </w:p>
        </w:tc>
        <w:tc>
          <w:tcPr>
            <w:tcW w:w="630" w:type="dxa"/>
            <w:vAlign w:val="center"/>
          </w:tcPr>
          <w:p w:rsidR="00C15A28" w:rsidP="00564AA1" w:rsidRDefault="00C15A28" w14:paraId="0D5D0566" w14:textId="77777777">
            <w:pPr>
              <w:spacing w:before="20" w:after="20"/>
              <w:jc w:val="center"/>
              <w:rPr>
                <w:rFonts w:ascii="Arial" w:hAnsi="Arial" w:cs="Arial"/>
                <w:bCs/>
                <w:sz w:val="20"/>
                <w:szCs w:val="20"/>
                <w:lang w:val="es-CO"/>
              </w:rPr>
            </w:pPr>
            <w:r>
              <w:rPr>
                <w:rFonts w:ascii="Arial" w:hAnsi="Arial" w:cs="Arial"/>
                <w:bCs/>
                <w:sz w:val="20"/>
                <w:szCs w:val="20"/>
                <w:lang w:val="es-CO"/>
              </w:rPr>
              <w:t>0</w:t>
            </w:r>
          </w:p>
        </w:tc>
        <w:tc>
          <w:tcPr>
            <w:tcW w:w="720" w:type="dxa"/>
            <w:vAlign w:val="center"/>
          </w:tcPr>
          <w:p w:rsidR="00C15A28" w:rsidP="00564AA1" w:rsidRDefault="00C15A28" w14:paraId="44A4E3B6" w14:textId="77777777">
            <w:pPr>
              <w:spacing w:before="20" w:after="20"/>
              <w:jc w:val="center"/>
              <w:rPr>
                <w:rFonts w:ascii="Arial" w:hAnsi="Arial" w:cs="Arial"/>
                <w:bCs/>
                <w:sz w:val="20"/>
                <w:szCs w:val="20"/>
                <w:lang w:val="es-CO"/>
              </w:rPr>
            </w:pPr>
            <w:r>
              <w:rPr>
                <w:rFonts w:ascii="Arial" w:hAnsi="Arial" w:cs="Arial"/>
                <w:bCs/>
                <w:sz w:val="20"/>
                <w:szCs w:val="20"/>
                <w:lang w:val="es-CO"/>
              </w:rPr>
              <w:t>1</w:t>
            </w:r>
          </w:p>
        </w:tc>
        <w:tc>
          <w:tcPr>
            <w:tcW w:w="3889" w:type="dxa"/>
          </w:tcPr>
          <w:p w:rsidR="00C15A28" w:rsidP="004C6708" w:rsidRDefault="00C15A28" w14:paraId="04C085CD" w14:textId="77777777">
            <w:pPr>
              <w:spacing w:before="20" w:after="20"/>
              <w:rPr>
                <w:rFonts w:ascii="Arial" w:hAnsi="Arial" w:cs="Arial"/>
                <w:bCs/>
                <w:sz w:val="20"/>
                <w:szCs w:val="20"/>
                <w:lang w:val="es-CO"/>
              </w:rPr>
            </w:pPr>
            <w:r w:rsidRPr="005C77CC">
              <w:rPr>
                <w:rFonts w:ascii="Arial" w:hAnsi="Arial" w:cs="Arial"/>
                <w:sz w:val="20"/>
                <w:szCs w:val="20"/>
                <w:lang w:val="es-ES"/>
              </w:rPr>
              <w:t xml:space="preserve">Decreto expedido por el presidente de la República, confirmado por el </w:t>
            </w:r>
            <w:r w:rsidRPr="009134CB">
              <w:rPr>
                <w:rFonts w:ascii="Arial" w:hAnsi="Arial" w:cs="Arial"/>
                <w:sz w:val="20"/>
                <w:szCs w:val="20"/>
                <w:lang w:val="es-ES"/>
              </w:rPr>
              <w:t>informe semestral de avance.</w:t>
            </w:r>
          </w:p>
        </w:tc>
      </w:tr>
      <w:tr w:rsidRPr="00023794" w:rsidR="00C15A28" w:rsidTr="00C15A28" w14:paraId="733C861B" w14:textId="77777777">
        <w:trPr>
          <w:trHeight w:val="20"/>
          <w:jc w:val="center"/>
        </w:trPr>
        <w:tc>
          <w:tcPr>
            <w:tcW w:w="4585" w:type="dxa"/>
          </w:tcPr>
          <w:p w:rsidRPr="00255351" w:rsidR="00C15A28" w:rsidP="00564AA1" w:rsidRDefault="00C15A28" w14:paraId="054C3B47" w14:textId="77777777">
            <w:pPr>
              <w:spacing w:before="20" w:after="20"/>
              <w:rPr>
                <w:rFonts w:ascii="Arial" w:hAnsi="Arial" w:cs="Arial"/>
                <w:sz w:val="20"/>
                <w:szCs w:val="20"/>
                <w:lang w:val="es-CO"/>
              </w:rPr>
            </w:pPr>
            <w:r>
              <w:rPr>
                <w:rFonts w:ascii="Arial" w:hAnsi="Arial" w:cs="Arial"/>
                <w:sz w:val="20"/>
                <w:szCs w:val="20"/>
                <w:lang w:val="es-CO"/>
              </w:rPr>
              <w:t xml:space="preserve">3.3. Estrategia para la afiliación de recién nacidos, niños y niñas al SGSS de padres no afiliados </w:t>
            </w:r>
          </w:p>
        </w:tc>
        <w:tc>
          <w:tcPr>
            <w:tcW w:w="1794" w:type="dxa"/>
            <w:vAlign w:val="center"/>
          </w:tcPr>
          <w:p w:rsidRPr="00072531" w:rsidR="00C15A28" w:rsidP="00564AA1" w:rsidRDefault="00C15A28" w14:paraId="588AD7F3" w14:textId="77777777">
            <w:pPr>
              <w:spacing w:before="20" w:after="20"/>
              <w:jc w:val="center"/>
              <w:rPr>
                <w:rFonts w:ascii="Arial" w:hAnsi="Arial" w:cs="Arial"/>
                <w:sz w:val="20"/>
                <w:szCs w:val="20"/>
                <w:lang w:val="es-CO"/>
              </w:rPr>
            </w:pPr>
            <w:r>
              <w:rPr>
                <w:rFonts w:ascii="Arial" w:hAnsi="Arial" w:cs="Arial"/>
                <w:sz w:val="20"/>
                <w:szCs w:val="20"/>
                <w:lang w:val="es-CO"/>
              </w:rPr>
              <w:t xml:space="preserve"> Número</w:t>
            </w:r>
          </w:p>
        </w:tc>
        <w:tc>
          <w:tcPr>
            <w:tcW w:w="817" w:type="dxa"/>
            <w:vMerge/>
            <w:vAlign w:val="center"/>
          </w:tcPr>
          <w:p w:rsidRPr="00072531" w:rsidR="00C15A28" w:rsidP="00564AA1" w:rsidRDefault="00C15A28" w14:paraId="618B7837" w14:textId="77777777">
            <w:pPr>
              <w:spacing w:before="20" w:after="20"/>
              <w:jc w:val="center"/>
              <w:rPr>
                <w:rFonts w:ascii="Arial" w:hAnsi="Arial" w:cs="Arial"/>
                <w:bCs/>
                <w:sz w:val="20"/>
                <w:szCs w:val="20"/>
                <w:lang w:val="es-CO"/>
              </w:rPr>
            </w:pPr>
          </w:p>
        </w:tc>
        <w:tc>
          <w:tcPr>
            <w:tcW w:w="719" w:type="dxa"/>
            <w:vMerge/>
            <w:vAlign w:val="center"/>
          </w:tcPr>
          <w:p w:rsidR="00C15A28" w:rsidP="00564AA1" w:rsidRDefault="00C15A28" w14:paraId="3E8FC83F" w14:textId="77777777">
            <w:pPr>
              <w:spacing w:before="20" w:after="20"/>
              <w:jc w:val="center"/>
              <w:rPr>
                <w:rFonts w:ascii="Arial" w:hAnsi="Arial" w:cs="Arial"/>
                <w:bCs/>
                <w:sz w:val="20"/>
                <w:szCs w:val="20"/>
                <w:lang w:val="es-CO"/>
              </w:rPr>
            </w:pPr>
          </w:p>
        </w:tc>
        <w:tc>
          <w:tcPr>
            <w:tcW w:w="540" w:type="dxa"/>
            <w:vMerge/>
            <w:vAlign w:val="center"/>
          </w:tcPr>
          <w:p w:rsidR="00C15A28" w:rsidP="00564AA1" w:rsidRDefault="00C15A28" w14:paraId="2D01F2CD" w14:textId="77777777">
            <w:pPr>
              <w:spacing w:before="20" w:after="20"/>
              <w:jc w:val="center"/>
              <w:rPr>
                <w:rFonts w:ascii="Arial" w:hAnsi="Arial" w:cs="Arial"/>
                <w:bCs/>
                <w:sz w:val="20"/>
                <w:szCs w:val="20"/>
                <w:lang w:val="es-CO"/>
              </w:rPr>
            </w:pPr>
          </w:p>
        </w:tc>
        <w:tc>
          <w:tcPr>
            <w:tcW w:w="630" w:type="dxa"/>
            <w:vMerge/>
            <w:vAlign w:val="center"/>
          </w:tcPr>
          <w:p w:rsidR="00C15A28" w:rsidP="00564AA1" w:rsidRDefault="00C15A28" w14:paraId="3ECC7B1D" w14:textId="77777777">
            <w:pPr>
              <w:spacing w:before="20" w:after="20"/>
              <w:jc w:val="center"/>
              <w:rPr>
                <w:rFonts w:ascii="Arial" w:hAnsi="Arial" w:cs="Arial"/>
                <w:bCs/>
                <w:sz w:val="20"/>
                <w:szCs w:val="20"/>
                <w:lang w:val="es-CO"/>
              </w:rPr>
            </w:pPr>
          </w:p>
        </w:tc>
        <w:tc>
          <w:tcPr>
            <w:tcW w:w="630" w:type="dxa"/>
            <w:vAlign w:val="center"/>
          </w:tcPr>
          <w:p w:rsidR="00C15A28" w:rsidP="00564AA1" w:rsidRDefault="00C15A28" w14:paraId="459BDCCE" w14:textId="77777777">
            <w:pPr>
              <w:spacing w:before="20" w:after="20"/>
              <w:jc w:val="center"/>
              <w:rPr>
                <w:rFonts w:ascii="Arial" w:hAnsi="Arial" w:cs="Arial"/>
                <w:bCs/>
                <w:sz w:val="20"/>
                <w:szCs w:val="20"/>
                <w:lang w:val="es-CO"/>
              </w:rPr>
            </w:pPr>
            <w:r>
              <w:rPr>
                <w:rFonts w:ascii="Arial" w:hAnsi="Arial" w:cs="Arial"/>
                <w:bCs/>
                <w:sz w:val="20"/>
                <w:szCs w:val="20"/>
                <w:lang w:val="es-CO"/>
              </w:rPr>
              <w:t>0</w:t>
            </w:r>
          </w:p>
        </w:tc>
        <w:tc>
          <w:tcPr>
            <w:tcW w:w="720" w:type="dxa"/>
            <w:vAlign w:val="center"/>
          </w:tcPr>
          <w:p w:rsidR="00C15A28" w:rsidP="00564AA1" w:rsidRDefault="00C15A28" w14:paraId="07729971" w14:textId="77777777">
            <w:pPr>
              <w:spacing w:before="20" w:after="20"/>
              <w:jc w:val="center"/>
              <w:rPr>
                <w:rFonts w:ascii="Arial" w:hAnsi="Arial" w:cs="Arial"/>
                <w:bCs/>
                <w:sz w:val="20"/>
                <w:szCs w:val="20"/>
                <w:lang w:val="es-CO"/>
              </w:rPr>
            </w:pPr>
            <w:r>
              <w:rPr>
                <w:rFonts w:ascii="Arial" w:hAnsi="Arial" w:cs="Arial"/>
                <w:bCs/>
                <w:sz w:val="20"/>
                <w:szCs w:val="20"/>
                <w:lang w:val="es-CO"/>
              </w:rPr>
              <w:t>1</w:t>
            </w:r>
          </w:p>
        </w:tc>
        <w:tc>
          <w:tcPr>
            <w:tcW w:w="3889" w:type="dxa"/>
          </w:tcPr>
          <w:p w:rsidR="00C15A28" w:rsidP="004C6708" w:rsidRDefault="00C15A28" w14:paraId="527525EB" w14:textId="77777777">
            <w:pPr>
              <w:spacing w:before="20" w:after="20"/>
              <w:rPr>
                <w:rFonts w:ascii="Arial" w:hAnsi="Arial" w:cs="Arial"/>
                <w:bCs/>
                <w:sz w:val="20"/>
                <w:szCs w:val="20"/>
                <w:lang w:val="es-CO"/>
              </w:rPr>
            </w:pPr>
            <w:r w:rsidRPr="00544542">
              <w:rPr>
                <w:rFonts w:ascii="Arial" w:hAnsi="Arial" w:cs="Arial"/>
                <w:sz w:val="20"/>
                <w:szCs w:val="20"/>
                <w:lang w:val="es-ES"/>
              </w:rPr>
              <w:t>Informe semestral de avance</w:t>
            </w:r>
            <w:r>
              <w:rPr>
                <w:rFonts w:ascii="Arial" w:hAnsi="Arial" w:cs="Arial"/>
                <w:sz w:val="20"/>
                <w:szCs w:val="20"/>
                <w:lang w:val="es-ES"/>
              </w:rPr>
              <w:t xml:space="preserve"> que contenga la </w:t>
            </w:r>
            <w:r>
              <w:rPr>
                <w:rFonts w:ascii="Arial" w:hAnsi="Arial" w:cs="Arial"/>
                <w:bCs/>
                <w:sz w:val="20"/>
                <w:szCs w:val="20"/>
                <w:lang w:val="es-CO"/>
              </w:rPr>
              <w:t>circular del Ministerio.</w:t>
            </w:r>
          </w:p>
        </w:tc>
      </w:tr>
      <w:tr w:rsidRPr="000F3366" w:rsidR="00C15A28" w:rsidTr="00C15A28" w14:paraId="6C5581E5" w14:textId="77777777">
        <w:trPr>
          <w:trHeight w:val="20"/>
          <w:jc w:val="center"/>
        </w:trPr>
        <w:tc>
          <w:tcPr>
            <w:tcW w:w="4585" w:type="dxa"/>
          </w:tcPr>
          <w:p w:rsidRPr="00255351" w:rsidR="00C15A28" w:rsidP="00564AA1" w:rsidRDefault="00C15A28" w14:paraId="73F19C90" w14:textId="77777777">
            <w:pPr>
              <w:spacing w:before="20" w:after="20"/>
              <w:rPr>
                <w:rFonts w:ascii="Arial" w:hAnsi="Arial" w:cs="Arial"/>
                <w:sz w:val="20"/>
                <w:szCs w:val="20"/>
                <w:lang w:val="es-CO"/>
              </w:rPr>
            </w:pPr>
            <w:r>
              <w:rPr>
                <w:rFonts w:ascii="Arial" w:hAnsi="Arial" w:cs="Arial"/>
                <w:sz w:val="20"/>
                <w:szCs w:val="20"/>
                <w:lang w:val="es-CO"/>
              </w:rPr>
              <w:t xml:space="preserve">3.4. </w:t>
            </w:r>
            <w:r w:rsidRPr="00255351">
              <w:rPr>
                <w:rFonts w:ascii="Arial" w:hAnsi="Arial" w:cs="Arial"/>
                <w:sz w:val="20"/>
                <w:szCs w:val="20"/>
                <w:lang w:val="es-CO"/>
              </w:rPr>
              <w:t xml:space="preserve">Estrategia de difusión de información sobre las rutas de afiliación y acceso a servicios de salud de población </w:t>
            </w:r>
            <w:r>
              <w:rPr>
                <w:rFonts w:ascii="Arial" w:hAnsi="Arial" w:cs="Arial"/>
                <w:sz w:val="20"/>
                <w:szCs w:val="20"/>
                <w:lang w:val="es-CO"/>
              </w:rPr>
              <w:t>in</w:t>
            </w:r>
            <w:r w:rsidRPr="00255351">
              <w:rPr>
                <w:rFonts w:ascii="Arial" w:hAnsi="Arial" w:cs="Arial"/>
                <w:sz w:val="20"/>
                <w:szCs w:val="20"/>
                <w:lang w:val="es-CO"/>
              </w:rPr>
              <w:t>migrante</w:t>
            </w:r>
            <w:r>
              <w:rPr>
                <w:rFonts w:ascii="Arial" w:hAnsi="Arial" w:cs="Arial"/>
                <w:sz w:val="20"/>
                <w:szCs w:val="20"/>
                <w:lang w:val="es-CO"/>
              </w:rPr>
              <w:t xml:space="preserve"> implementada</w:t>
            </w:r>
          </w:p>
        </w:tc>
        <w:tc>
          <w:tcPr>
            <w:tcW w:w="1794" w:type="dxa"/>
            <w:vAlign w:val="center"/>
          </w:tcPr>
          <w:p w:rsidRPr="00072531" w:rsidR="00C15A28" w:rsidP="00564AA1" w:rsidRDefault="00C15A28" w14:paraId="171029BD" w14:textId="77777777">
            <w:pPr>
              <w:spacing w:before="20" w:after="20"/>
              <w:jc w:val="center"/>
              <w:rPr>
                <w:rFonts w:ascii="Arial" w:hAnsi="Arial" w:cs="Arial"/>
                <w:sz w:val="20"/>
                <w:szCs w:val="20"/>
                <w:lang w:val="es-CO"/>
              </w:rPr>
            </w:pPr>
            <w:r w:rsidRPr="00072531">
              <w:rPr>
                <w:rFonts w:ascii="Arial" w:hAnsi="Arial" w:cs="Arial"/>
                <w:sz w:val="20"/>
                <w:szCs w:val="20"/>
                <w:lang w:val="es-CO"/>
              </w:rPr>
              <w:t>Número</w:t>
            </w:r>
          </w:p>
        </w:tc>
        <w:tc>
          <w:tcPr>
            <w:tcW w:w="817" w:type="dxa"/>
            <w:vMerge w:val="restart"/>
            <w:vAlign w:val="center"/>
          </w:tcPr>
          <w:p w:rsidRPr="00072531" w:rsidR="00C15A28" w:rsidP="00564AA1" w:rsidRDefault="00C15A28" w14:paraId="621E0103" w14:textId="77777777">
            <w:pPr>
              <w:spacing w:before="20" w:after="20"/>
              <w:jc w:val="center"/>
              <w:rPr>
                <w:rFonts w:ascii="Arial" w:hAnsi="Arial" w:cs="Arial"/>
                <w:bCs/>
                <w:sz w:val="20"/>
                <w:szCs w:val="20"/>
                <w:lang w:val="es-CO"/>
              </w:rPr>
            </w:pPr>
            <w:r w:rsidRPr="00072531">
              <w:rPr>
                <w:rFonts w:ascii="Arial" w:hAnsi="Arial" w:cs="Arial"/>
                <w:bCs/>
                <w:sz w:val="20"/>
                <w:szCs w:val="20"/>
                <w:lang w:val="es-CO"/>
              </w:rPr>
              <w:t>0</w:t>
            </w:r>
          </w:p>
        </w:tc>
        <w:tc>
          <w:tcPr>
            <w:tcW w:w="719" w:type="dxa"/>
            <w:vMerge w:val="restart"/>
            <w:vAlign w:val="center"/>
          </w:tcPr>
          <w:p w:rsidR="00C15A28" w:rsidP="00564AA1" w:rsidRDefault="00C15A28" w14:paraId="3419C9A0" w14:textId="77777777">
            <w:pPr>
              <w:spacing w:before="20" w:after="20"/>
              <w:jc w:val="center"/>
              <w:rPr>
                <w:rFonts w:ascii="Arial" w:hAnsi="Arial" w:cs="Arial"/>
                <w:bCs/>
                <w:sz w:val="20"/>
                <w:szCs w:val="20"/>
                <w:lang w:val="es-CO"/>
              </w:rPr>
            </w:pPr>
            <w:r>
              <w:rPr>
                <w:rFonts w:ascii="Arial" w:hAnsi="Arial" w:cs="Arial"/>
                <w:bCs/>
                <w:sz w:val="20"/>
                <w:szCs w:val="20"/>
                <w:lang w:val="es-CO"/>
              </w:rPr>
              <w:t>2019</w:t>
            </w:r>
          </w:p>
        </w:tc>
        <w:tc>
          <w:tcPr>
            <w:tcW w:w="540" w:type="dxa"/>
            <w:vAlign w:val="center"/>
          </w:tcPr>
          <w:p w:rsidR="00C15A28" w:rsidP="00564AA1" w:rsidRDefault="00C15A28" w14:paraId="5C58CA6D" w14:textId="77777777">
            <w:pPr>
              <w:spacing w:before="20" w:after="20"/>
              <w:jc w:val="center"/>
              <w:rPr>
                <w:rFonts w:ascii="Arial" w:hAnsi="Arial" w:cs="Arial"/>
                <w:bCs/>
                <w:sz w:val="20"/>
                <w:szCs w:val="20"/>
                <w:lang w:val="es-CO"/>
              </w:rPr>
            </w:pPr>
            <w:r>
              <w:rPr>
                <w:rFonts w:ascii="Arial" w:hAnsi="Arial" w:cs="Arial"/>
                <w:bCs/>
                <w:sz w:val="20"/>
                <w:szCs w:val="20"/>
                <w:lang w:val="es-CO"/>
              </w:rPr>
              <w:t>1</w:t>
            </w:r>
          </w:p>
        </w:tc>
        <w:tc>
          <w:tcPr>
            <w:tcW w:w="630" w:type="dxa"/>
            <w:vAlign w:val="center"/>
          </w:tcPr>
          <w:p w:rsidR="00C15A28" w:rsidP="00564AA1" w:rsidRDefault="00C15A28" w14:paraId="555AA67E" w14:textId="77777777">
            <w:pPr>
              <w:spacing w:before="20" w:after="20"/>
              <w:jc w:val="center"/>
              <w:rPr>
                <w:rFonts w:ascii="Arial" w:hAnsi="Arial" w:cs="Arial"/>
                <w:bCs/>
                <w:sz w:val="20"/>
                <w:szCs w:val="20"/>
                <w:lang w:val="es-CO"/>
              </w:rPr>
            </w:pPr>
            <w:r>
              <w:rPr>
                <w:rFonts w:ascii="Arial" w:hAnsi="Arial" w:cs="Arial"/>
                <w:bCs/>
                <w:sz w:val="20"/>
                <w:szCs w:val="20"/>
                <w:lang w:val="es-CO"/>
              </w:rPr>
              <w:t>-</w:t>
            </w:r>
          </w:p>
        </w:tc>
        <w:tc>
          <w:tcPr>
            <w:tcW w:w="630" w:type="dxa"/>
            <w:vAlign w:val="center"/>
          </w:tcPr>
          <w:p w:rsidR="00C15A28" w:rsidP="00564AA1" w:rsidRDefault="00C15A28" w14:paraId="11B20306" w14:textId="77777777">
            <w:pPr>
              <w:spacing w:before="20" w:after="20"/>
              <w:jc w:val="center"/>
              <w:rPr>
                <w:rFonts w:ascii="Arial" w:hAnsi="Arial" w:cs="Arial"/>
                <w:bCs/>
                <w:sz w:val="20"/>
                <w:szCs w:val="20"/>
                <w:lang w:val="es-CO"/>
              </w:rPr>
            </w:pPr>
            <w:r>
              <w:rPr>
                <w:rFonts w:ascii="Arial" w:hAnsi="Arial" w:cs="Arial"/>
                <w:bCs/>
                <w:sz w:val="20"/>
                <w:szCs w:val="20"/>
                <w:lang w:val="es-CO"/>
              </w:rPr>
              <w:t>-</w:t>
            </w:r>
          </w:p>
        </w:tc>
        <w:tc>
          <w:tcPr>
            <w:tcW w:w="720" w:type="dxa"/>
            <w:vAlign w:val="center"/>
          </w:tcPr>
          <w:p w:rsidR="00C15A28" w:rsidP="00564AA1" w:rsidRDefault="00C15A28" w14:paraId="752AA916" w14:textId="77777777">
            <w:pPr>
              <w:spacing w:before="20" w:after="20"/>
              <w:jc w:val="center"/>
              <w:rPr>
                <w:rFonts w:ascii="Arial" w:hAnsi="Arial" w:cs="Arial"/>
                <w:bCs/>
                <w:sz w:val="20"/>
                <w:szCs w:val="20"/>
                <w:lang w:val="es-CO"/>
              </w:rPr>
            </w:pPr>
            <w:r>
              <w:rPr>
                <w:rFonts w:ascii="Arial" w:hAnsi="Arial" w:cs="Arial"/>
                <w:bCs/>
                <w:sz w:val="20"/>
                <w:szCs w:val="20"/>
                <w:lang w:val="es-CO"/>
              </w:rPr>
              <w:t>1</w:t>
            </w:r>
          </w:p>
        </w:tc>
        <w:tc>
          <w:tcPr>
            <w:tcW w:w="3889" w:type="dxa"/>
          </w:tcPr>
          <w:p w:rsidR="00C15A28" w:rsidP="004C6708" w:rsidRDefault="00C15A28" w14:paraId="00A59BC5" w14:textId="77777777">
            <w:pPr>
              <w:spacing w:before="20" w:after="20"/>
              <w:rPr>
                <w:rFonts w:ascii="Arial" w:hAnsi="Arial" w:cs="Arial"/>
                <w:bCs/>
                <w:sz w:val="20"/>
                <w:szCs w:val="20"/>
                <w:lang w:val="es-CO"/>
              </w:rPr>
            </w:pPr>
            <w:r>
              <w:rPr>
                <w:rFonts w:ascii="Arial" w:hAnsi="Arial" w:cs="Arial"/>
                <w:bCs/>
                <w:sz w:val="20"/>
                <w:szCs w:val="20"/>
                <w:lang w:val="es-CO"/>
              </w:rPr>
              <w:t>Informe de implementación de la estrategia del MSPS.</w:t>
            </w:r>
          </w:p>
        </w:tc>
      </w:tr>
      <w:tr w:rsidRPr="00483F16" w:rsidR="00C15A28" w:rsidTr="00C15A28" w14:paraId="38D52295" w14:textId="77777777">
        <w:trPr>
          <w:trHeight w:val="20"/>
          <w:jc w:val="center"/>
        </w:trPr>
        <w:tc>
          <w:tcPr>
            <w:tcW w:w="4585" w:type="dxa"/>
          </w:tcPr>
          <w:p w:rsidR="00C15A28" w:rsidP="00564AA1" w:rsidRDefault="00C15A28" w14:paraId="27652A47" w14:textId="77777777">
            <w:pPr>
              <w:spacing w:before="20" w:after="20"/>
              <w:rPr>
                <w:rFonts w:ascii="Arial" w:hAnsi="Arial" w:cs="Arial"/>
                <w:sz w:val="20"/>
                <w:szCs w:val="20"/>
                <w:lang w:val="es-ES"/>
              </w:rPr>
            </w:pPr>
            <w:r>
              <w:rPr>
                <w:rFonts w:ascii="Arial" w:hAnsi="Arial" w:cs="Arial"/>
                <w:sz w:val="20"/>
                <w:szCs w:val="20"/>
                <w:lang w:val="es-ES"/>
              </w:rPr>
              <w:t xml:space="preserve">3.5. </w:t>
            </w:r>
            <w:r w:rsidRPr="00713491">
              <w:rPr>
                <w:rFonts w:ascii="Arial" w:hAnsi="Arial" w:cs="Arial"/>
                <w:sz w:val="20"/>
                <w:szCs w:val="20"/>
                <w:lang w:val="es-CO"/>
              </w:rPr>
              <w:t>Diseño de las atenciones individuales enfocadas en obstetricia que serán financiadas con los recursos no reembolsables</w:t>
            </w:r>
          </w:p>
        </w:tc>
        <w:tc>
          <w:tcPr>
            <w:tcW w:w="1794" w:type="dxa"/>
            <w:vAlign w:val="center"/>
          </w:tcPr>
          <w:p w:rsidR="00C15A28" w:rsidP="00564AA1" w:rsidRDefault="00C15A28" w14:paraId="6F139D03" w14:textId="77777777">
            <w:pPr>
              <w:spacing w:before="20" w:after="20"/>
              <w:jc w:val="center"/>
              <w:rPr>
                <w:rFonts w:ascii="Arial" w:hAnsi="Arial" w:cs="Arial"/>
                <w:sz w:val="20"/>
                <w:szCs w:val="20"/>
                <w:lang w:val="es-ES"/>
              </w:rPr>
            </w:pPr>
            <w:r>
              <w:rPr>
                <w:rFonts w:ascii="Arial" w:hAnsi="Arial" w:cs="Arial"/>
                <w:sz w:val="20"/>
                <w:szCs w:val="20"/>
                <w:lang w:val="es-ES"/>
              </w:rPr>
              <w:t>#Documento</w:t>
            </w:r>
          </w:p>
        </w:tc>
        <w:tc>
          <w:tcPr>
            <w:tcW w:w="817" w:type="dxa"/>
            <w:vMerge/>
            <w:vAlign w:val="center"/>
          </w:tcPr>
          <w:p w:rsidR="00C15A28" w:rsidP="00564AA1" w:rsidRDefault="00C15A28" w14:paraId="5E7B7745" w14:textId="77777777">
            <w:pPr>
              <w:spacing w:before="20" w:after="20"/>
              <w:jc w:val="center"/>
              <w:rPr>
                <w:rFonts w:ascii="Arial" w:hAnsi="Arial" w:cs="Arial"/>
                <w:sz w:val="20"/>
                <w:szCs w:val="20"/>
                <w:lang w:val="es-ES"/>
              </w:rPr>
            </w:pPr>
          </w:p>
        </w:tc>
        <w:tc>
          <w:tcPr>
            <w:tcW w:w="719" w:type="dxa"/>
            <w:vMerge/>
            <w:vAlign w:val="center"/>
          </w:tcPr>
          <w:p w:rsidR="00C15A28" w:rsidP="00564AA1" w:rsidRDefault="00C15A28" w14:paraId="419B8395" w14:textId="77777777">
            <w:pPr>
              <w:spacing w:before="20" w:after="20"/>
              <w:jc w:val="center"/>
              <w:rPr>
                <w:rFonts w:ascii="Arial" w:hAnsi="Arial" w:cs="Arial"/>
                <w:sz w:val="20"/>
                <w:szCs w:val="20"/>
                <w:lang w:val="es-ES"/>
              </w:rPr>
            </w:pPr>
          </w:p>
        </w:tc>
        <w:tc>
          <w:tcPr>
            <w:tcW w:w="540" w:type="dxa"/>
            <w:vAlign w:val="center"/>
          </w:tcPr>
          <w:p w:rsidR="00C15A28" w:rsidP="00564AA1" w:rsidRDefault="00C15A28" w14:paraId="0613CC17" w14:textId="77777777">
            <w:pPr>
              <w:spacing w:before="20" w:after="20"/>
              <w:jc w:val="center"/>
              <w:rPr>
                <w:rFonts w:ascii="Arial" w:hAnsi="Arial" w:cs="Arial"/>
                <w:sz w:val="20"/>
                <w:szCs w:val="20"/>
                <w:lang w:val="es-ES"/>
              </w:rPr>
            </w:pPr>
            <w:r>
              <w:rPr>
                <w:rFonts w:ascii="Arial" w:hAnsi="Arial" w:cs="Arial"/>
                <w:sz w:val="20"/>
                <w:szCs w:val="20"/>
                <w:lang w:val="es-ES"/>
              </w:rPr>
              <w:t>1</w:t>
            </w:r>
          </w:p>
        </w:tc>
        <w:tc>
          <w:tcPr>
            <w:tcW w:w="630" w:type="dxa"/>
            <w:vAlign w:val="center"/>
          </w:tcPr>
          <w:p w:rsidR="00C15A28" w:rsidP="00564AA1" w:rsidRDefault="00C15A28" w14:paraId="4089437B" w14:textId="77777777">
            <w:pPr>
              <w:spacing w:before="20" w:after="20"/>
              <w:jc w:val="center"/>
              <w:rPr>
                <w:rFonts w:ascii="Arial" w:hAnsi="Arial" w:cs="Arial"/>
                <w:sz w:val="20"/>
                <w:szCs w:val="20"/>
                <w:lang w:val="es-ES"/>
              </w:rPr>
            </w:pPr>
            <w:r>
              <w:rPr>
                <w:rFonts w:ascii="Arial" w:hAnsi="Arial" w:cs="Arial"/>
                <w:sz w:val="20"/>
                <w:szCs w:val="20"/>
                <w:lang w:val="es-ES"/>
              </w:rPr>
              <w:t>0</w:t>
            </w:r>
          </w:p>
        </w:tc>
        <w:tc>
          <w:tcPr>
            <w:tcW w:w="630" w:type="dxa"/>
            <w:vAlign w:val="center"/>
          </w:tcPr>
          <w:p w:rsidR="00C15A28" w:rsidP="00564AA1" w:rsidRDefault="00C15A28" w14:paraId="6CEE9734" w14:textId="77777777">
            <w:pPr>
              <w:spacing w:before="20" w:after="20"/>
              <w:jc w:val="center"/>
              <w:rPr>
                <w:rFonts w:ascii="Arial" w:hAnsi="Arial" w:cs="Arial"/>
                <w:sz w:val="20"/>
                <w:szCs w:val="20"/>
                <w:lang w:val="es-ES"/>
              </w:rPr>
            </w:pPr>
            <w:r>
              <w:rPr>
                <w:rFonts w:ascii="Arial" w:hAnsi="Arial" w:cs="Arial"/>
                <w:sz w:val="20"/>
                <w:szCs w:val="20"/>
                <w:lang w:val="es-ES"/>
              </w:rPr>
              <w:t>0</w:t>
            </w:r>
          </w:p>
        </w:tc>
        <w:tc>
          <w:tcPr>
            <w:tcW w:w="720" w:type="dxa"/>
            <w:vAlign w:val="center"/>
          </w:tcPr>
          <w:p w:rsidR="00C15A28" w:rsidP="00564AA1" w:rsidRDefault="00C15A28" w14:paraId="182B97B6" w14:textId="77777777">
            <w:pPr>
              <w:spacing w:before="20" w:after="20"/>
              <w:jc w:val="center"/>
              <w:rPr>
                <w:rFonts w:ascii="Arial" w:hAnsi="Arial" w:cs="Arial"/>
                <w:sz w:val="20"/>
                <w:szCs w:val="20"/>
                <w:lang w:val="es-ES"/>
              </w:rPr>
            </w:pPr>
            <w:r>
              <w:rPr>
                <w:rFonts w:ascii="Arial" w:hAnsi="Arial" w:cs="Arial"/>
                <w:sz w:val="20"/>
                <w:szCs w:val="20"/>
                <w:lang w:val="es-ES"/>
              </w:rPr>
              <w:t>1</w:t>
            </w:r>
          </w:p>
        </w:tc>
        <w:tc>
          <w:tcPr>
            <w:tcW w:w="3889" w:type="dxa"/>
          </w:tcPr>
          <w:p w:rsidR="00C15A28" w:rsidP="004C6708" w:rsidRDefault="00C15A28" w14:paraId="5B67D14B" w14:textId="77777777">
            <w:pPr>
              <w:spacing w:before="20" w:after="20"/>
              <w:rPr>
                <w:rFonts w:ascii="Arial" w:hAnsi="Arial" w:cs="Arial"/>
                <w:sz w:val="20"/>
                <w:szCs w:val="20"/>
                <w:lang w:val="es-ES"/>
              </w:rPr>
            </w:pPr>
            <w:r w:rsidRPr="00544542">
              <w:rPr>
                <w:rFonts w:ascii="Arial" w:hAnsi="Arial" w:cs="Arial"/>
                <w:sz w:val="20"/>
                <w:szCs w:val="20"/>
                <w:lang w:val="es-ES"/>
              </w:rPr>
              <w:t>Informe semestral de avance</w:t>
            </w:r>
            <w:r>
              <w:rPr>
                <w:rFonts w:ascii="Arial" w:hAnsi="Arial" w:cs="Arial"/>
                <w:sz w:val="20"/>
                <w:szCs w:val="20"/>
                <w:lang w:val="es-ES"/>
              </w:rPr>
              <w:t xml:space="preserve"> que contenga el Documento del MSPS.</w:t>
            </w:r>
          </w:p>
        </w:tc>
      </w:tr>
      <w:tr w:rsidRPr="000F3366" w:rsidR="00C15A28" w:rsidTr="00C15A28" w14:paraId="4B77A1A4" w14:textId="77777777">
        <w:trPr>
          <w:trHeight w:val="20"/>
          <w:jc w:val="center"/>
        </w:trPr>
        <w:tc>
          <w:tcPr>
            <w:tcW w:w="4585" w:type="dxa"/>
          </w:tcPr>
          <w:p w:rsidRPr="00023794" w:rsidR="00C15A28" w:rsidP="00564AA1" w:rsidRDefault="00C15A28" w14:paraId="639C7D07" w14:textId="77777777">
            <w:pPr>
              <w:spacing w:before="20" w:after="20"/>
              <w:rPr>
                <w:rFonts w:ascii="Arial" w:hAnsi="Arial" w:cs="Arial"/>
                <w:sz w:val="20"/>
                <w:szCs w:val="20"/>
                <w:lang w:val="es-CO"/>
              </w:rPr>
            </w:pPr>
            <w:r>
              <w:rPr>
                <w:rFonts w:ascii="Arial" w:hAnsi="Arial" w:cs="Arial"/>
                <w:sz w:val="20"/>
                <w:szCs w:val="20"/>
                <w:lang w:val="es-CO"/>
              </w:rPr>
              <w:t>3.6. Reglamentación de asignación de recursos a las ET que defina los criterios de priorización y el mecanismo de ejecución y control de los recursos</w:t>
            </w:r>
          </w:p>
        </w:tc>
        <w:tc>
          <w:tcPr>
            <w:tcW w:w="1794" w:type="dxa"/>
            <w:vAlign w:val="center"/>
          </w:tcPr>
          <w:p w:rsidR="00C15A28" w:rsidP="00564AA1" w:rsidRDefault="00C15A28" w14:paraId="057559A7" w14:textId="77777777">
            <w:pPr>
              <w:spacing w:before="20" w:after="20"/>
              <w:jc w:val="center"/>
              <w:rPr>
                <w:rFonts w:ascii="Arial" w:hAnsi="Arial" w:cs="Arial"/>
                <w:sz w:val="20"/>
                <w:szCs w:val="20"/>
                <w:lang w:val="es-ES"/>
              </w:rPr>
            </w:pPr>
            <w:r>
              <w:rPr>
                <w:rFonts w:ascii="Arial" w:hAnsi="Arial" w:cs="Arial"/>
                <w:sz w:val="20"/>
                <w:szCs w:val="20"/>
                <w:lang w:val="es-ES"/>
              </w:rPr>
              <w:t>#Resoluciones</w:t>
            </w:r>
          </w:p>
        </w:tc>
        <w:tc>
          <w:tcPr>
            <w:tcW w:w="817" w:type="dxa"/>
            <w:vMerge/>
            <w:vAlign w:val="center"/>
          </w:tcPr>
          <w:p w:rsidR="00C15A28" w:rsidP="00564AA1" w:rsidRDefault="00C15A28" w14:paraId="01FD028F" w14:textId="77777777">
            <w:pPr>
              <w:spacing w:before="20" w:after="20"/>
              <w:jc w:val="center"/>
              <w:rPr>
                <w:rFonts w:ascii="Arial" w:hAnsi="Arial" w:cs="Arial"/>
                <w:sz w:val="20"/>
                <w:szCs w:val="20"/>
                <w:lang w:val="es-ES"/>
              </w:rPr>
            </w:pPr>
          </w:p>
        </w:tc>
        <w:tc>
          <w:tcPr>
            <w:tcW w:w="719" w:type="dxa"/>
            <w:vMerge/>
            <w:vAlign w:val="center"/>
          </w:tcPr>
          <w:p w:rsidR="00C15A28" w:rsidP="00564AA1" w:rsidRDefault="00C15A28" w14:paraId="6257E5D7" w14:textId="77777777">
            <w:pPr>
              <w:spacing w:before="20" w:after="20"/>
              <w:jc w:val="center"/>
              <w:rPr>
                <w:rFonts w:ascii="Arial" w:hAnsi="Arial" w:cs="Arial"/>
                <w:sz w:val="20"/>
                <w:szCs w:val="20"/>
                <w:lang w:val="es-ES"/>
              </w:rPr>
            </w:pPr>
          </w:p>
        </w:tc>
        <w:tc>
          <w:tcPr>
            <w:tcW w:w="540" w:type="dxa"/>
            <w:vAlign w:val="center"/>
          </w:tcPr>
          <w:p w:rsidR="00C15A28" w:rsidP="00564AA1" w:rsidRDefault="00C15A28" w14:paraId="6119444B" w14:textId="77777777">
            <w:pPr>
              <w:spacing w:before="20" w:after="20"/>
              <w:jc w:val="center"/>
              <w:rPr>
                <w:rFonts w:ascii="Arial" w:hAnsi="Arial" w:cs="Arial"/>
                <w:sz w:val="20"/>
                <w:szCs w:val="20"/>
                <w:lang w:val="es-ES"/>
              </w:rPr>
            </w:pPr>
            <w:r>
              <w:rPr>
                <w:rFonts w:ascii="Arial" w:hAnsi="Arial" w:cs="Arial"/>
                <w:sz w:val="20"/>
                <w:szCs w:val="20"/>
                <w:lang w:val="es-ES"/>
              </w:rPr>
              <w:t>0</w:t>
            </w:r>
          </w:p>
        </w:tc>
        <w:tc>
          <w:tcPr>
            <w:tcW w:w="630" w:type="dxa"/>
            <w:vAlign w:val="center"/>
          </w:tcPr>
          <w:p w:rsidR="00C15A28" w:rsidP="00564AA1" w:rsidRDefault="00C15A28" w14:paraId="215DE443" w14:textId="77777777">
            <w:pPr>
              <w:spacing w:before="20" w:after="20"/>
              <w:jc w:val="center"/>
              <w:rPr>
                <w:rFonts w:ascii="Arial" w:hAnsi="Arial" w:cs="Arial"/>
                <w:sz w:val="20"/>
                <w:szCs w:val="20"/>
                <w:lang w:val="es-ES"/>
              </w:rPr>
            </w:pPr>
            <w:r>
              <w:rPr>
                <w:rFonts w:ascii="Arial" w:hAnsi="Arial" w:cs="Arial"/>
                <w:sz w:val="20"/>
                <w:szCs w:val="20"/>
                <w:lang w:val="es-ES"/>
              </w:rPr>
              <w:t>1</w:t>
            </w:r>
          </w:p>
        </w:tc>
        <w:tc>
          <w:tcPr>
            <w:tcW w:w="630" w:type="dxa"/>
            <w:vAlign w:val="center"/>
          </w:tcPr>
          <w:p w:rsidR="00C15A28" w:rsidP="00564AA1" w:rsidRDefault="00C15A28" w14:paraId="2A0AB136" w14:textId="77777777">
            <w:pPr>
              <w:spacing w:before="20" w:after="20"/>
              <w:jc w:val="center"/>
              <w:rPr>
                <w:rFonts w:ascii="Arial" w:hAnsi="Arial" w:cs="Arial"/>
                <w:sz w:val="20"/>
                <w:szCs w:val="20"/>
                <w:lang w:val="es-ES"/>
              </w:rPr>
            </w:pPr>
            <w:r>
              <w:rPr>
                <w:rFonts w:ascii="Arial" w:hAnsi="Arial" w:cs="Arial"/>
                <w:sz w:val="20"/>
                <w:szCs w:val="20"/>
                <w:lang w:val="es-ES"/>
              </w:rPr>
              <w:t>1</w:t>
            </w:r>
          </w:p>
        </w:tc>
        <w:tc>
          <w:tcPr>
            <w:tcW w:w="720" w:type="dxa"/>
            <w:vAlign w:val="center"/>
          </w:tcPr>
          <w:p w:rsidR="00C15A28" w:rsidP="00564AA1" w:rsidRDefault="00C15A28" w14:paraId="773D3A68" w14:textId="77777777">
            <w:pPr>
              <w:spacing w:before="20" w:after="20"/>
              <w:jc w:val="center"/>
              <w:rPr>
                <w:rFonts w:ascii="Arial" w:hAnsi="Arial" w:cs="Arial"/>
                <w:sz w:val="20"/>
                <w:szCs w:val="20"/>
                <w:lang w:val="es-ES"/>
              </w:rPr>
            </w:pPr>
            <w:r>
              <w:rPr>
                <w:rFonts w:ascii="Arial" w:hAnsi="Arial" w:cs="Arial"/>
                <w:sz w:val="20"/>
                <w:szCs w:val="20"/>
                <w:lang w:val="es-ES"/>
              </w:rPr>
              <w:t>2</w:t>
            </w:r>
          </w:p>
        </w:tc>
        <w:tc>
          <w:tcPr>
            <w:tcW w:w="3889" w:type="dxa"/>
          </w:tcPr>
          <w:p w:rsidR="00C15A28" w:rsidP="004C6708" w:rsidRDefault="00C15A28" w14:paraId="02F6A72A" w14:textId="77777777">
            <w:pPr>
              <w:spacing w:before="20" w:after="20"/>
              <w:rPr>
                <w:rFonts w:ascii="Arial" w:hAnsi="Arial" w:cs="Arial"/>
                <w:sz w:val="20"/>
                <w:szCs w:val="20"/>
                <w:lang w:val="es-ES"/>
              </w:rPr>
            </w:pPr>
            <w:r w:rsidRPr="00544542">
              <w:rPr>
                <w:rFonts w:ascii="Arial" w:hAnsi="Arial" w:cs="Arial"/>
                <w:sz w:val="20"/>
                <w:szCs w:val="20"/>
                <w:lang w:val="es-ES"/>
              </w:rPr>
              <w:t>Resolución expedida por el MSPS, confirmada en el informe semestral de avance.</w:t>
            </w:r>
          </w:p>
        </w:tc>
      </w:tr>
    </w:tbl>
    <w:p w:rsidRPr="00677124" w:rsidR="00A43F55" w:rsidP="00C15A28" w:rsidRDefault="00A43F55" w14:paraId="7E3D8539" w14:textId="75C2617F">
      <w:pPr>
        <w:autoSpaceDE w:val="0"/>
        <w:autoSpaceDN w:val="0"/>
        <w:adjustRightInd w:val="0"/>
        <w:rPr>
          <w:rFonts w:ascii="Arial" w:hAnsi="Arial" w:cs="Arial"/>
          <w:b/>
          <w:bCs/>
          <w:smallCaps/>
          <w:sz w:val="20"/>
          <w:szCs w:val="20"/>
          <w:lang w:val="es-CO"/>
        </w:rPr>
      </w:pPr>
    </w:p>
    <w:p w:rsidR="00A43F55" w:rsidP="00474B3E" w:rsidRDefault="00A43F55" w14:paraId="6936C8CD" w14:textId="77777777">
      <w:pPr>
        <w:autoSpaceDE w:val="0"/>
        <w:autoSpaceDN w:val="0"/>
        <w:adjustRightInd w:val="0"/>
        <w:jc w:val="center"/>
        <w:rPr>
          <w:rFonts w:ascii="Arial" w:hAnsi="Arial" w:cs="Arial"/>
          <w:b/>
          <w:bCs/>
          <w:smallCaps/>
          <w:sz w:val="20"/>
          <w:szCs w:val="20"/>
          <w:lang w:val="es-ES_tradnl"/>
        </w:rPr>
      </w:pPr>
    </w:p>
    <w:bookmarkEnd w:id="12"/>
    <w:p w:rsidRPr="00992519" w:rsidR="005E7E0F" w:rsidP="00164BDF" w:rsidRDefault="005E7E0F" w14:paraId="32EF56E3" w14:textId="77777777">
      <w:pPr>
        <w:spacing w:after="160" w:line="276" w:lineRule="auto"/>
        <w:jc w:val="both"/>
        <w:rPr>
          <w:rFonts w:ascii="Arial" w:hAnsi="Arial" w:cs="Arial"/>
          <w:b/>
          <w:sz w:val="22"/>
          <w:szCs w:val="22"/>
          <w:lang w:val="es-ES_tradnl" w:eastAsia="en-US"/>
        </w:rPr>
        <w:sectPr w:rsidRPr="00992519" w:rsidR="005E7E0F" w:rsidSect="005E7E0F">
          <w:pgSz w:w="15840" w:h="12240" w:orient="landscape"/>
          <w:pgMar w:top="1440" w:right="1440" w:bottom="1440" w:left="1440" w:header="720" w:footer="720" w:gutter="0"/>
          <w:pgNumType w:start="9"/>
          <w:cols w:space="720"/>
          <w:titlePg/>
          <w:docGrid w:linePitch="360"/>
        </w:sectPr>
      </w:pPr>
    </w:p>
    <w:p w:rsidRPr="00544542" w:rsidR="00A1159F" w:rsidP="007B464E" w:rsidRDefault="00A1159F" w14:paraId="02B75B36" w14:textId="4F4E85FD">
      <w:pPr>
        <w:pStyle w:val="Heading2"/>
      </w:pPr>
      <w:bookmarkStart w:name="_Toc524778485" w:id="13"/>
      <w:r w:rsidRPr="00544542">
        <w:lastRenderedPageBreak/>
        <w:t>Presentación de informes</w:t>
      </w:r>
      <w:bookmarkEnd w:id="13"/>
    </w:p>
    <w:p w:rsidRPr="00544542" w:rsidR="00A1159F" w:rsidP="00164BDF" w:rsidRDefault="00DC07B4" w14:paraId="4F32EB07" w14:textId="36F3BA19">
      <w:pPr>
        <w:pStyle w:val="AutoNumpara"/>
        <w:numPr>
          <w:ilvl w:val="0"/>
          <w:numId w:val="0"/>
        </w:numPr>
        <w:tabs>
          <w:tab w:val="left" w:pos="720"/>
        </w:tabs>
        <w:spacing w:line="276" w:lineRule="auto"/>
        <w:rPr>
          <w:rFonts w:cs="Arial"/>
          <w:noProof w:val="0"/>
          <w:sz w:val="22"/>
          <w:szCs w:val="22"/>
          <w:lang w:val="es-ES"/>
        </w:rPr>
      </w:pPr>
      <w:r w:rsidRPr="00544542">
        <w:rPr>
          <w:rFonts w:cs="Arial"/>
          <w:noProof w:val="0"/>
          <w:sz w:val="22"/>
          <w:szCs w:val="22"/>
          <w:lang w:val="es-ES"/>
        </w:rPr>
        <w:t xml:space="preserve">El OE es responsable del monitoreo y evaluación del Programa y es encargado de supervisar de manera continua la ejecución del programa y el cumplimiento de la matriz de resultados en los tiempos </w:t>
      </w:r>
      <w:r w:rsidRPr="00544542" w:rsidR="00333F68">
        <w:rPr>
          <w:rFonts w:cs="Arial"/>
          <w:noProof w:val="0"/>
          <w:sz w:val="22"/>
          <w:szCs w:val="22"/>
          <w:lang w:val="es-ES"/>
        </w:rPr>
        <w:t xml:space="preserve">y costos </w:t>
      </w:r>
      <w:r w:rsidRPr="00544542">
        <w:rPr>
          <w:rFonts w:cs="Arial"/>
          <w:noProof w:val="0"/>
          <w:sz w:val="22"/>
          <w:szCs w:val="22"/>
          <w:lang w:val="es-ES"/>
        </w:rPr>
        <w:t>previstos.</w:t>
      </w:r>
      <w:r w:rsidRPr="00544542" w:rsidR="00193619">
        <w:rPr>
          <w:rFonts w:cs="Arial"/>
          <w:noProof w:val="0"/>
          <w:sz w:val="22"/>
          <w:szCs w:val="22"/>
          <w:lang w:val="es-ES"/>
        </w:rPr>
        <w:t xml:space="preserve"> El OE presentará semestralmente al Banco la información de monitoreo requerida, dentro de los 60 días posteriores al fin de cada semestre. </w:t>
      </w:r>
      <w:r w:rsidRPr="00544542" w:rsidR="00A1159F">
        <w:rPr>
          <w:rFonts w:cs="Arial"/>
          <w:noProof w:val="0"/>
          <w:sz w:val="22"/>
          <w:szCs w:val="22"/>
          <w:lang w:val="es-ES"/>
        </w:rPr>
        <w:t xml:space="preserve">El monitoreo por parte </w:t>
      </w:r>
      <w:r w:rsidRPr="00544542" w:rsidR="004B4E5B">
        <w:rPr>
          <w:rFonts w:cs="Arial"/>
          <w:noProof w:val="0"/>
          <w:sz w:val="22"/>
          <w:szCs w:val="22"/>
          <w:lang w:val="es-ES"/>
        </w:rPr>
        <w:t>del</w:t>
      </w:r>
      <w:r w:rsidRPr="00544542" w:rsidR="00B61768">
        <w:rPr>
          <w:rFonts w:cs="Arial"/>
          <w:noProof w:val="0"/>
          <w:sz w:val="22"/>
          <w:szCs w:val="22"/>
          <w:lang w:val="es-ES"/>
        </w:rPr>
        <w:t xml:space="preserve"> OE </w:t>
      </w:r>
      <w:r w:rsidRPr="00544542" w:rsidR="00A1159F">
        <w:rPr>
          <w:rFonts w:cs="Arial"/>
          <w:noProof w:val="0"/>
          <w:sz w:val="22"/>
          <w:szCs w:val="22"/>
          <w:lang w:val="es-ES"/>
        </w:rPr>
        <w:t>se realizará sobre los indicadores presentados en la matriz de resultados, además de los instrumentos que se describen a continuación:</w:t>
      </w:r>
    </w:p>
    <w:p w:rsidR="00A1159F" w:rsidP="00164BDF" w:rsidRDefault="00A1159F" w14:paraId="19D71403" w14:textId="7CD0D96F">
      <w:pPr>
        <w:pStyle w:val="AutoNumpara"/>
        <w:numPr>
          <w:ilvl w:val="0"/>
          <w:numId w:val="0"/>
        </w:numPr>
        <w:tabs>
          <w:tab w:val="left" w:pos="720"/>
        </w:tabs>
        <w:spacing w:line="276" w:lineRule="auto"/>
        <w:rPr>
          <w:rFonts w:cs="Arial"/>
          <w:noProof w:val="0"/>
          <w:sz w:val="22"/>
          <w:szCs w:val="22"/>
          <w:lang w:val="es-ES"/>
        </w:rPr>
      </w:pPr>
      <w:r w:rsidRPr="00544542">
        <w:rPr>
          <w:rFonts w:cs="Arial"/>
          <w:bCs/>
          <w:noProof w:val="0"/>
          <w:sz w:val="22"/>
          <w:szCs w:val="22"/>
          <w:u w:val="single"/>
          <w:lang w:val="es-ES"/>
        </w:rPr>
        <w:t>Informes Semestrales de Avance</w:t>
      </w:r>
      <w:r w:rsidRPr="00544542">
        <w:rPr>
          <w:rFonts w:cs="Arial"/>
          <w:noProof w:val="0"/>
          <w:sz w:val="22"/>
          <w:szCs w:val="22"/>
          <w:u w:val="single"/>
          <w:lang w:val="es-ES"/>
        </w:rPr>
        <w:t>:</w:t>
      </w:r>
      <w:r w:rsidRPr="00544542">
        <w:rPr>
          <w:rFonts w:cs="Arial"/>
          <w:noProof w:val="0"/>
          <w:sz w:val="22"/>
          <w:szCs w:val="22"/>
          <w:lang w:val="es-ES"/>
        </w:rPr>
        <w:t xml:space="preserve"> El informe semestral sobre el progreso en la ejecución presentará una síntesis de los resultados alcanzados por componentes, analizando, además los riesgos del Programa. Presentarán además una visión consolidada de lecciones aprendidas, y conclusiones y recomendaciones destinadas a retroalimentar </w:t>
      </w:r>
      <w:r w:rsidRPr="00544542" w:rsidR="00613C7E">
        <w:rPr>
          <w:rFonts w:cs="Arial"/>
          <w:noProof w:val="0"/>
          <w:sz w:val="22"/>
          <w:szCs w:val="22"/>
          <w:lang w:val="es-ES"/>
        </w:rPr>
        <w:t xml:space="preserve">el </w:t>
      </w:r>
      <w:r w:rsidR="00674D6A">
        <w:rPr>
          <w:rFonts w:cs="Arial"/>
          <w:noProof w:val="0"/>
          <w:sz w:val="22"/>
          <w:szCs w:val="22"/>
          <w:lang w:val="es-ES"/>
        </w:rPr>
        <w:t>p</w:t>
      </w:r>
      <w:r w:rsidRPr="00544542">
        <w:rPr>
          <w:rFonts w:cs="Arial"/>
          <w:noProof w:val="0"/>
          <w:sz w:val="22"/>
          <w:szCs w:val="22"/>
          <w:lang w:val="es-ES"/>
        </w:rPr>
        <w:t xml:space="preserve">rograma. Con base a estos informes se realizarán reuniones de </w:t>
      </w:r>
      <w:r w:rsidRPr="00544542" w:rsidR="00613C7E">
        <w:rPr>
          <w:rFonts w:cs="Arial"/>
          <w:noProof w:val="0"/>
          <w:sz w:val="22"/>
          <w:szCs w:val="22"/>
          <w:lang w:val="es-ES"/>
        </w:rPr>
        <w:t>monitoreo</w:t>
      </w:r>
      <w:r w:rsidRPr="00544542">
        <w:rPr>
          <w:rFonts w:cs="Arial"/>
          <w:noProof w:val="0"/>
          <w:sz w:val="22"/>
          <w:szCs w:val="22"/>
          <w:lang w:val="es-ES"/>
        </w:rPr>
        <w:t xml:space="preserve"> conjunta</w:t>
      </w:r>
      <w:r w:rsidRPr="00544542" w:rsidR="00613C7E">
        <w:rPr>
          <w:rFonts w:cs="Arial"/>
          <w:noProof w:val="0"/>
          <w:sz w:val="22"/>
          <w:szCs w:val="22"/>
          <w:lang w:val="es-ES"/>
        </w:rPr>
        <w:t>s</w:t>
      </w:r>
      <w:r w:rsidRPr="00544542">
        <w:rPr>
          <w:rFonts w:cs="Arial"/>
          <w:noProof w:val="0"/>
          <w:sz w:val="22"/>
          <w:szCs w:val="22"/>
          <w:lang w:val="es-ES"/>
        </w:rPr>
        <w:t xml:space="preserve"> entre el ejecutor y el Banco dentro de los 60 días posteriores a su recepción.</w:t>
      </w:r>
    </w:p>
    <w:p w:rsidRPr="00544542" w:rsidR="00DD166A" w:rsidP="00164BDF" w:rsidRDefault="00DD166A" w14:paraId="7DA0ECE2" w14:textId="4A5F91CF">
      <w:pPr>
        <w:pStyle w:val="AutoNumpara"/>
        <w:numPr>
          <w:ilvl w:val="0"/>
          <w:numId w:val="0"/>
        </w:numPr>
        <w:tabs>
          <w:tab w:val="left" w:pos="720"/>
        </w:tabs>
        <w:spacing w:line="276" w:lineRule="auto"/>
        <w:rPr>
          <w:rFonts w:cs="Arial"/>
          <w:noProof w:val="0"/>
          <w:sz w:val="22"/>
          <w:szCs w:val="22"/>
          <w:lang w:val="es-ES"/>
        </w:rPr>
      </w:pPr>
      <w:r w:rsidRPr="001B7044">
        <w:rPr>
          <w:rFonts w:cs="Arial"/>
          <w:bCs/>
          <w:noProof w:val="0"/>
          <w:sz w:val="22"/>
          <w:szCs w:val="22"/>
          <w:u w:val="single"/>
          <w:lang w:val="es-ES"/>
        </w:rPr>
        <w:t xml:space="preserve">Informe al </w:t>
      </w:r>
      <w:r w:rsidRPr="001B7044" w:rsidR="004561C7">
        <w:rPr>
          <w:rFonts w:cs="Arial"/>
          <w:bCs/>
          <w:noProof w:val="0"/>
          <w:sz w:val="22"/>
          <w:szCs w:val="22"/>
          <w:u w:val="single"/>
          <w:lang w:val="es-ES"/>
        </w:rPr>
        <w:t>donante</w:t>
      </w:r>
      <w:r w:rsidR="008558F7">
        <w:rPr>
          <w:rFonts w:cs="Arial"/>
          <w:bCs/>
          <w:noProof w:val="0"/>
          <w:sz w:val="22"/>
          <w:szCs w:val="22"/>
          <w:u w:val="single"/>
          <w:lang w:val="es-ES"/>
        </w:rPr>
        <w:t xml:space="preserve"> (CO-</w:t>
      </w:r>
      <w:r w:rsidR="00677EB1">
        <w:rPr>
          <w:rFonts w:cs="Arial"/>
          <w:bCs/>
          <w:noProof w:val="0"/>
          <w:sz w:val="22"/>
          <w:szCs w:val="22"/>
          <w:u w:val="single"/>
          <w:lang w:val="es-ES"/>
        </w:rPr>
        <w:t>G1019)</w:t>
      </w:r>
      <w:r w:rsidRPr="001B7044" w:rsidR="004561C7">
        <w:rPr>
          <w:rFonts w:cs="Arial"/>
          <w:bCs/>
          <w:noProof w:val="0"/>
          <w:sz w:val="22"/>
          <w:szCs w:val="22"/>
          <w:u w:val="single"/>
          <w:lang w:val="es-ES"/>
        </w:rPr>
        <w:t>:</w:t>
      </w:r>
      <w:r w:rsidR="004561C7">
        <w:rPr>
          <w:rFonts w:cs="Arial"/>
          <w:noProof w:val="0"/>
          <w:sz w:val="22"/>
          <w:szCs w:val="22"/>
          <w:lang w:val="es-ES"/>
        </w:rPr>
        <w:t xml:space="preserve"> </w:t>
      </w:r>
      <w:r w:rsidR="00D31902">
        <w:rPr>
          <w:rFonts w:cs="Arial"/>
          <w:sz w:val="22"/>
          <w:szCs w:val="22"/>
        </w:rPr>
        <w:t>E</w:t>
      </w:r>
      <w:r w:rsidRPr="000E070B" w:rsidR="00D31902">
        <w:rPr>
          <w:rFonts w:cs="Arial"/>
          <w:sz w:val="22"/>
          <w:szCs w:val="22"/>
        </w:rPr>
        <w:t>l equipo del proyecto será responsab</w:t>
      </w:r>
      <w:r w:rsidR="00D31902">
        <w:rPr>
          <w:rFonts w:cs="Arial"/>
          <w:sz w:val="22"/>
          <w:szCs w:val="22"/>
        </w:rPr>
        <w:t>l</w:t>
      </w:r>
      <w:r w:rsidRPr="000E070B" w:rsidR="00D31902">
        <w:rPr>
          <w:rFonts w:cs="Arial"/>
          <w:sz w:val="22"/>
          <w:szCs w:val="22"/>
        </w:rPr>
        <w:t>e de la preparación y presentación al donante del informe del proyecto</w:t>
      </w:r>
      <w:r w:rsidR="00D31902">
        <w:rPr>
          <w:rFonts w:cs="Arial"/>
          <w:sz w:val="22"/>
          <w:szCs w:val="22"/>
        </w:rPr>
        <w:t>.</w:t>
      </w:r>
      <w:r w:rsidRPr="000E070B" w:rsidR="00D31902">
        <w:rPr>
          <w:rFonts w:cs="Arial"/>
          <w:sz w:val="22"/>
          <w:szCs w:val="22"/>
        </w:rPr>
        <w:t xml:space="preserve"> Si al final de la ejecución se cierra con un saldo positivo no comprometido y no gastado, el </w:t>
      </w:r>
      <w:r w:rsidR="00D31902">
        <w:rPr>
          <w:rFonts w:cs="Arial"/>
          <w:sz w:val="22"/>
          <w:szCs w:val="22"/>
        </w:rPr>
        <w:t>e</w:t>
      </w:r>
      <w:r w:rsidRPr="000E070B" w:rsidR="00D31902">
        <w:rPr>
          <w:rFonts w:cs="Arial"/>
          <w:sz w:val="22"/>
          <w:szCs w:val="22"/>
        </w:rPr>
        <w:t>quipo del proyecto será responsable de informar a ORP/GCM que transfiera el saldo no gastado según lo acordado por el donante y el Banco de conformidad con los términos del Acuerdo Administrativo PSG.</w:t>
      </w:r>
    </w:p>
    <w:p w:rsidRPr="00544542" w:rsidR="00A1159F" w:rsidP="00164BDF" w:rsidRDefault="00A1159F" w14:paraId="660CE1DC" w14:textId="2C988F2F">
      <w:pPr>
        <w:pStyle w:val="AutoNumpara"/>
        <w:numPr>
          <w:ilvl w:val="0"/>
          <w:numId w:val="0"/>
        </w:numPr>
        <w:tabs>
          <w:tab w:val="left" w:pos="720"/>
        </w:tabs>
        <w:spacing w:line="276" w:lineRule="auto"/>
        <w:rPr>
          <w:rFonts w:cs="Arial"/>
          <w:noProof w:val="0"/>
          <w:sz w:val="22"/>
          <w:szCs w:val="22"/>
          <w:lang w:val="es-ES"/>
        </w:rPr>
      </w:pPr>
      <w:r w:rsidRPr="00544542">
        <w:rPr>
          <w:rFonts w:cs="Arial"/>
          <w:bCs/>
          <w:noProof w:val="0"/>
          <w:sz w:val="22"/>
          <w:szCs w:val="22"/>
          <w:u w:val="single"/>
          <w:lang w:val="es-ES"/>
        </w:rPr>
        <w:t>Informe de Progreso del Monitoreo (PMR)</w:t>
      </w:r>
      <w:r w:rsidRPr="00544542">
        <w:rPr>
          <w:rFonts w:cs="Arial"/>
          <w:bCs/>
          <w:noProof w:val="0"/>
          <w:sz w:val="22"/>
          <w:szCs w:val="22"/>
          <w:lang w:val="es-ES"/>
        </w:rPr>
        <w:t xml:space="preserve">: </w:t>
      </w:r>
      <w:r w:rsidRPr="00544542">
        <w:rPr>
          <w:rFonts w:cs="Arial"/>
          <w:noProof w:val="0"/>
          <w:sz w:val="22"/>
          <w:szCs w:val="22"/>
          <w:lang w:val="es-ES"/>
        </w:rPr>
        <w:t xml:space="preserve">El desarrollo de la actividad de seguimiento está asociado directamente con las metas propuestas en la Matriz de Resultados del programa y las actividades establecidas en el PMR. La matriz de resultados incluye indicadores que tienen que ver con los resultados últimos esperados (indicadores de impacto), con resultados intermedios (indicadores de </w:t>
      </w:r>
      <w:r w:rsidRPr="00544542" w:rsidR="00203959">
        <w:rPr>
          <w:rFonts w:cs="Arial"/>
          <w:noProof w:val="0"/>
          <w:sz w:val="22"/>
          <w:szCs w:val="22"/>
          <w:lang w:val="es-ES"/>
        </w:rPr>
        <w:t>resultados</w:t>
      </w:r>
      <w:r w:rsidRPr="00544542">
        <w:rPr>
          <w:rFonts w:cs="Arial"/>
          <w:noProof w:val="0"/>
          <w:sz w:val="22"/>
          <w:szCs w:val="22"/>
          <w:lang w:val="es-ES"/>
        </w:rPr>
        <w:t>) y con actividades/procesos (indic</w:t>
      </w:r>
      <w:r w:rsidRPr="00544542" w:rsidR="005631F2">
        <w:rPr>
          <w:rFonts w:cs="Arial"/>
          <w:noProof w:val="0"/>
          <w:sz w:val="22"/>
          <w:szCs w:val="22"/>
          <w:lang w:val="es-ES"/>
        </w:rPr>
        <w:t>adores de productos</w:t>
      </w:r>
      <w:r w:rsidRPr="00544542">
        <w:rPr>
          <w:rFonts w:cs="Arial"/>
          <w:noProof w:val="0"/>
          <w:sz w:val="22"/>
          <w:szCs w:val="22"/>
          <w:lang w:val="es-ES"/>
        </w:rPr>
        <w:t>) que se ejecutarán durante el desarrollo del programa.  Estas actividades se reflejarán en el PMR</w:t>
      </w:r>
      <w:r w:rsidRPr="00544542" w:rsidR="00203959">
        <w:rPr>
          <w:rFonts w:cs="Arial"/>
          <w:noProof w:val="0"/>
          <w:sz w:val="22"/>
          <w:szCs w:val="22"/>
          <w:lang w:val="es-ES"/>
        </w:rPr>
        <w:t xml:space="preserve">. </w:t>
      </w:r>
      <w:r w:rsidRPr="00544542">
        <w:rPr>
          <w:rFonts w:cs="Arial"/>
          <w:noProof w:val="0"/>
          <w:sz w:val="22"/>
          <w:szCs w:val="22"/>
          <w:lang w:val="es-ES"/>
        </w:rPr>
        <w:t>La</w:t>
      </w:r>
      <w:r w:rsidR="006D7908">
        <w:rPr>
          <w:rFonts w:cs="Arial"/>
          <w:noProof w:val="0"/>
          <w:sz w:val="22"/>
          <w:szCs w:val="22"/>
          <w:lang w:val="es-ES"/>
        </w:rPr>
        <w:t> </w:t>
      </w:r>
      <w:r w:rsidRPr="00544542">
        <w:rPr>
          <w:rFonts w:cs="Arial"/>
          <w:noProof w:val="0"/>
          <w:sz w:val="22"/>
          <w:szCs w:val="22"/>
          <w:lang w:val="es-ES"/>
        </w:rPr>
        <w:t>información necesaria para el PMR tendrá una periodicidad semestral.</w:t>
      </w:r>
    </w:p>
    <w:p w:rsidR="009D7021" w:rsidP="00164BDF" w:rsidRDefault="000B2328" w14:paraId="0420B37E" w14:textId="42511316">
      <w:pPr>
        <w:pStyle w:val="AutoNumpara"/>
        <w:numPr>
          <w:ilvl w:val="0"/>
          <w:numId w:val="0"/>
        </w:numPr>
        <w:tabs>
          <w:tab w:val="left" w:pos="720"/>
        </w:tabs>
        <w:spacing w:line="276" w:lineRule="auto"/>
        <w:rPr>
          <w:rFonts w:cs="Arial"/>
          <w:sz w:val="22"/>
          <w:szCs w:val="22"/>
          <w:lang w:val="es-ES"/>
        </w:rPr>
      </w:pPr>
      <w:r w:rsidRPr="002C3F2D">
        <w:rPr>
          <w:rFonts w:cs="Arial"/>
          <w:noProof w:val="0"/>
          <w:sz w:val="22"/>
          <w:szCs w:val="22"/>
          <w:u w:val="single"/>
          <w:lang w:val="es-ES"/>
        </w:rPr>
        <w:t xml:space="preserve">Estados Financieros Auditados: </w:t>
      </w:r>
      <w:r w:rsidRPr="00D517B8" w:rsidR="002C3F2D">
        <w:rPr>
          <w:rFonts w:cs="Arial"/>
          <w:sz w:val="22"/>
          <w:szCs w:val="22"/>
          <w:lang w:val="es-ES"/>
        </w:rPr>
        <w:t>El</w:t>
      </w:r>
      <w:r w:rsidR="002C3F2D">
        <w:rPr>
          <w:rFonts w:cs="Arial"/>
          <w:sz w:val="22"/>
          <w:szCs w:val="22"/>
          <w:lang w:val="es-ES"/>
        </w:rPr>
        <w:t xml:space="preserve"> MSPS </w:t>
      </w:r>
      <w:r w:rsidRPr="00D517B8" w:rsidR="002C3F2D">
        <w:rPr>
          <w:rFonts w:cs="Arial"/>
          <w:sz w:val="22"/>
          <w:szCs w:val="22"/>
          <w:lang w:val="es-ES"/>
        </w:rPr>
        <w:t>deberá presentar anualmente</w:t>
      </w:r>
      <w:r w:rsidR="002C3F2D">
        <w:rPr>
          <w:rFonts w:cs="Arial"/>
          <w:sz w:val="22"/>
          <w:szCs w:val="22"/>
          <w:lang w:val="es-ES"/>
        </w:rPr>
        <w:t xml:space="preserve"> </w:t>
      </w:r>
      <w:r w:rsidRPr="007B2415" w:rsidR="002C3F2D">
        <w:rPr>
          <w:rFonts w:cs="Arial"/>
          <w:sz w:val="22"/>
          <w:szCs w:val="22"/>
        </w:rPr>
        <w:t>y hasta finalizar la operación</w:t>
      </w:r>
      <w:r w:rsidR="002C3F2D">
        <w:rPr>
          <w:rFonts w:cs="Arial"/>
          <w:sz w:val="22"/>
          <w:szCs w:val="22"/>
        </w:rPr>
        <w:t>,</w:t>
      </w:r>
      <w:r w:rsidRPr="00D517B8" w:rsidR="002C3F2D">
        <w:rPr>
          <w:rFonts w:cs="Arial"/>
          <w:sz w:val="22"/>
          <w:szCs w:val="22"/>
          <w:lang w:val="es-ES"/>
        </w:rPr>
        <w:t xml:space="preserve"> </w:t>
      </w:r>
      <w:r w:rsidR="002C3F2D">
        <w:rPr>
          <w:rFonts w:cs="Arial"/>
          <w:sz w:val="22"/>
          <w:szCs w:val="22"/>
          <w:lang w:val="es-ES"/>
        </w:rPr>
        <w:t xml:space="preserve">para los recursos del préstamo </w:t>
      </w:r>
      <w:r w:rsidRPr="00D517B8" w:rsidR="002C3F2D">
        <w:rPr>
          <w:rFonts w:cs="Arial"/>
          <w:sz w:val="22"/>
          <w:szCs w:val="22"/>
          <w:lang w:val="es-ES"/>
        </w:rPr>
        <w:t>los estados financieros auditados</w:t>
      </w:r>
      <w:r w:rsidR="002C3F2D">
        <w:rPr>
          <w:rFonts w:cs="Arial"/>
          <w:sz w:val="22"/>
          <w:szCs w:val="22"/>
          <w:lang w:val="es-ES"/>
        </w:rPr>
        <w:t xml:space="preserve"> de la ADRES y para los recursos no reembolsables (GRF y </w:t>
      </w:r>
      <w:r w:rsidR="009005DE">
        <w:rPr>
          <w:rFonts w:cs="Arial"/>
          <w:sz w:val="22"/>
          <w:szCs w:val="22"/>
          <w:lang w:val="es-ES"/>
        </w:rPr>
        <w:t>PSG</w:t>
      </w:r>
      <w:r w:rsidR="002C3F2D">
        <w:rPr>
          <w:rFonts w:cs="Arial"/>
          <w:sz w:val="22"/>
          <w:szCs w:val="22"/>
          <w:lang w:val="es-ES"/>
        </w:rPr>
        <w:t>) los estados financieros consolidados auditados del Proyecto, dentro de los 120 días siguientes al cierre de cada año</w:t>
      </w:r>
      <w:r w:rsidRPr="00D517B8" w:rsidR="002C3F2D">
        <w:rPr>
          <w:rFonts w:cs="Arial"/>
          <w:sz w:val="22"/>
          <w:szCs w:val="22"/>
          <w:lang w:val="es-ES"/>
        </w:rPr>
        <w:t>.</w:t>
      </w:r>
      <w:r w:rsidR="002C3F2D">
        <w:rPr>
          <w:rFonts w:cs="Arial"/>
          <w:sz w:val="22"/>
          <w:szCs w:val="22"/>
          <w:lang w:val="es-ES"/>
        </w:rPr>
        <w:t xml:space="preserve"> Dichos estados financieros, serán auditados por un auditor aceptable para el Banco. </w:t>
      </w:r>
    </w:p>
    <w:p w:rsidR="00C76E49" w:rsidP="00164BDF" w:rsidRDefault="00A1159F" w14:paraId="6D96EE22" w14:textId="4198206C">
      <w:pPr>
        <w:pStyle w:val="AutoNumpara"/>
        <w:numPr>
          <w:ilvl w:val="0"/>
          <w:numId w:val="0"/>
        </w:numPr>
        <w:tabs>
          <w:tab w:val="left" w:pos="720"/>
        </w:tabs>
        <w:spacing w:line="276" w:lineRule="auto"/>
        <w:rPr>
          <w:rFonts w:cs="Arial"/>
          <w:noProof w:val="0"/>
          <w:sz w:val="22"/>
          <w:szCs w:val="22"/>
          <w:lang w:val="es-ES"/>
        </w:rPr>
      </w:pPr>
      <w:r w:rsidRPr="00544542">
        <w:rPr>
          <w:rFonts w:cs="Arial"/>
          <w:bCs/>
          <w:noProof w:val="0"/>
          <w:sz w:val="22"/>
          <w:szCs w:val="22"/>
          <w:u w:val="single"/>
          <w:lang w:val="es-ES"/>
        </w:rPr>
        <w:t>Informe de Terminación de Proyecto (PCR):</w:t>
      </w:r>
      <w:r w:rsidRPr="00544542">
        <w:rPr>
          <w:rFonts w:cs="Arial"/>
          <w:bCs/>
          <w:noProof w:val="0"/>
          <w:sz w:val="22"/>
          <w:szCs w:val="22"/>
          <w:lang w:val="es-ES"/>
        </w:rPr>
        <w:t xml:space="preserve"> Al cierre de </w:t>
      </w:r>
      <w:r w:rsidRPr="00544542" w:rsidR="003B0180">
        <w:rPr>
          <w:rFonts w:cs="Arial"/>
          <w:bCs/>
          <w:noProof w:val="0"/>
          <w:sz w:val="22"/>
          <w:szCs w:val="22"/>
          <w:lang w:val="es-ES"/>
        </w:rPr>
        <w:t>programa</w:t>
      </w:r>
      <w:r w:rsidRPr="00544542">
        <w:rPr>
          <w:rFonts w:cs="Arial"/>
          <w:bCs/>
          <w:noProof w:val="0"/>
          <w:sz w:val="22"/>
          <w:szCs w:val="22"/>
          <w:lang w:val="es-ES"/>
        </w:rPr>
        <w:t xml:space="preserve"> s</w:t>
      </w:r>
      <w:r w:rsidRPr="00544542">
        <w:rPr>
          <w:rFonts w:cs="Arial"/>
          <w:noProof w:val="0"/>
          <w:sz w:val="22"/>
          <w:szCs w:val="22"/>
          <w:lang w:val="es-ES"/>
        </w:rPr>
        <w:t xml:space="preserve">erá elaborado por el equipo del Banco el documento PCR, con una evaluación ampliada de los progresos de los indicadores establecidos en la matriz de resultados durante el ciclo de vida del préstamo, que incluirá los resultados y aprendizajes de la implementación del </w:t>
      </w:r>
      <w:r w:rsidRPr="00544542" w:rsidR="003B0180">
        <w:rPr>
          <w:rFonts w:cs="Arial"/>
          <w:noProof w:val="0"/>
          <w:sz w:val="22"/>
          <w:szCs w:val="22"/>
          <w:lang w:val="es-ES"/>
        </w:rPr>
        <w:t>programa</w:t>
      </w:r>
      <w:r w:rsidRPr="00544542">
        <w:rPr>
          <w:rFonts w:cs="Arial"/>
          <w:noProof w:val="0"/>
          <w:sz w:val="22"/>
          <w:szCs w:val="22"/>
          <w:lang w:val="es-ES"/>
        </w:rPr>
        <w:t>.</w:t>
      </w:r>
    </w:p>
    <w:p w:rsidRPr="004C6708" w:rsidR="00474B3E" w:rsidP="009C49B0" w:rsidRDefault="00474B3E" w14:paraId="6F3457D3" w14:textId="77777777">
      <w:pPr>
        <w:pStyle w:val="AutoNumpara"/>
        <w:numPr>
          <w:ilvl w:val="0"/>
          <w:numId w:val="0"/>
        </w:numPr>
        <w:tabs>
          <w:tab w:val="left" w:pos="720"/>
        </w:tabs>
        <w:spacing w:after="0"/>
        <w:rPr>
          <w:rFonts w:cs="Arial"/>
          <w:noProof w:val="0"/>
          <w:sz w:val="20"/>
          <w:lang w:val="es-ES"/>
        </w:rPr>
      </w:pPr>
    </w:p>
    <w:p w:rsidRPr="002B7EE1" w:rsidR="00D52DBC" w:rsidP="00674D6A" w:rsidRDefault="00D52DBC" w14:paraId="00C5F7E3" w14:textId="4EA6EF59">
      <w:pPr>
        <w:keepNext/>
        <w:keepLines/>
        <w:jc w:val="center"/>
        <w:rPr>
          <w:rFonts w:ascii="Arial" w:hAnsi="Arial" w:eastAsia="Arial" w:cs="Arial"/>
          <w:b/>
          <w:bCs/>
          <w:sz w:val="22"/>
          <w:szCs w:val="22"/>
          <w:lang w:val="es-ES"/>
        </w:rPr>
      </w:pPr>
      <w:r w:rsidRPr="002B7EE1">
        <w:rPr>
          <w:rFonts w:ascii="Arial" w:hAnsi="Arial" w:eastAsia="Arial" w:cs="Arial"/>
          <w:b/>
          <w:bCs/>
          <w:sz w:val="22"/>
          <w:szCs w:val="22"/>
          <w:lang w:val="es-ES"/>
        </w:rPr>
        <w:t xml:space="preserve">Cuadro </w:t>
      </w:r>
      <w:r w:rsidR="003E383D">
        <w:rPr>
          <w:rFonts w:ascii="Arial" w:hAnsi="Arial" w:eastAsia="Arial" w:cs="Arial"/>
          <w:b/>
          <w:bCs/>
          <w:sz w:val="22"/>
          <w:szCs w:val="22"/>
          <w:lang w:val="es-ES"/>
        </w:rPr>
        <w:t>4</w:t>
      </w:r>
      <w:r w:rsidRPr="002B7EE1">
        <w:rPr>
          <w:rFonts w:ascii="Arial" w:hAnsi="Arial" w:eastAsia="Arial" w:cs="Arial"/>
          <w:b/>
          <w:bCs/>
          <w:sz w:val="22"/>
          <w:szCs w:val="22"/>
          <w:lang w:val="es-ES"/>
        </w:rPr>
        <w:t>. Cronograma, costos y responsables del Plan de Monitoreo</w:t>
      </w:r>
    </w:p>
    <w:tbl>
      <w:tblPr>
        <w:tblStyle w:val="TableGrid"/>
        <w:tblW w:w="10345" w:type="dxa"/>
        <w:jc w:val="center"/>
        <w:tblLook w:val="04A0" w:firstRow="1" w:lastRow="0" w:firstColumn="1" w:lastColumn="0" w:noHBand="0" w:noVBand="1"/>
      </w:tblPr>
      <w:tblGrid>
        <w:gridCol w:w="1607"/>
        <w:gridCol w:w="276"/>
        <w:gridCol w:w="335"/>
        <w:gridCol w:w="394"/>
        <w:gridCol w:w="420"/>
        <w:gridCol w:w="276"/>
        <w:gridCol w:w="335"/>
        <w:gridCol w:w="394"/>
        <w:gridCol w:w="420"/>
        <w:gridCol w:w="276"/>
        <w:gridCol w:w="335"/>
        <w:gridCol w:w="394"/>
        <w:gridCol w:w="420"/>
        <w:gridCol w:w="698"/>
        <w:gridCol w:w="1479"/>
        <w:gridCol w:w="889"/>
        <w:gridCol w:w="1487"/>
      </w:tblGrid>
      <w:tr w:rsidRPr="002B7EE1" w:rsidR="00BB664B" w:rsidTr="00CA2ECC" w14:paraId="29AF304F" w14:textId="77777777">
        <w:trPr>
          <w:trHeight w:val="278"/>
          <w:tblHeader/>
          <w:jc w:val="center"/>
        </w:trPr>
        <w:tc>
          <w:tcPr>
            <w:tcW w:w="1639" w:type="dxa"/>
            <w:vMerge w:val="restart"/>
            <w:vAlign w:val="center"/>
          </w:tcPr>
          <w:p w:rsidRPr="00CA2ECC" w:rsidR="00BB664B" w:rsidP="00482202" w:rsidRDefault="00BB664B" w14:paraId="712ACF18" w14:textId="77777777">
            <w:pPr>
              <w:pStyle w:val="Paragraph"/>
            </w:pPr>
            <w:r w:rsidRPr="00CA2ECC">
              <w:t>Producto</w:t>
            </w:r>
          </w:p>
        </w:tc>
        <w:tc>
          <w:tcPr>
            <w:tcW w:w="1388" w:type="dxa"/>
            <w:gridSpan w:val="4"/>
            <w:vAlign w:val="center"/>
          </w:tcPr>
          <w:p w:rsidRPr="00CA2ECC" w:rsidR="00BB664B" w:rsidP="00482202" w:rsidRDefault="00BB664B" w14:paraId="4CE0B25C" w14:textId="77777777">
            <w:pPr>
              <w:pStyle w:val="Paragraph"/>
            </w:pPr>
            <w:r w:rsidRPr="00CA2ECC">
              <w:t>2020</w:t>
            </w:r>
          </w:p>
        </w:tc>
        <w:tc>
          <w:tcPr>
            <w:tcW w:w="1391" w:type="dxa"/>
            <w:gridSpan w:val="4"/>
            <w:vAlign w:val="center"/>
          </w:tcPr>
          <w:p w:rsidRPr="00CA2ECC" w:rsidR="00BB664B" w:rsidP="00482202" w:rsidRDefault="00BB664B" w14:paraId="63275C52" w14:textId="77777777">
            <w:pPr>
              <w:pStyle w:val="Paragraph"/>
            </w:pPr>
            <w:r w:rsidRPr="00CA2ECC">
              <w:t>2021</w:t>
            </w:r>
          </w:p>
        </w:tc>
        <w:tc>
          <w:tcPr>
            <w:tcW w:w="1394" w:type="dxa"/>
            <w:gridSpan w:val="4"/>
            <w:vAlign w:val="center"/>
          </w:tcPr>
          <w:p w:rsidRPr="00CA2ECC" w:rsidR="00BB664B" w:rsidP="00482202" w:rsidRDefault="00BB664B" w14:paraId="7E6F7506" w14:textId="6853B42B">
            <w:pPr>
              <w:pStyle w:val="Paragraph"/>
            </w:pPr>
            <w:r w:rsidRPr="00CA2ECC">
              <w:t>2022</w:t>
            </w:r>
          </w:p>
        </w:tc>
        <w:tc>
          <w:tcPr>
            <w:tcW w:w="663" w:type="dxa"/>
            <w:vAlign w:val="center"/>
          </w:tcPr>
          <w:p w:rsidRPr="00CA2ECC" w:rsidR="00BB664B" w:rsidP="00482202" w:rsidRDefault="00BB664B" w14:paraId="5E9B3092" w14:textId="0FA15C5C">
            <w:pPr>
              <w:pStyle w:val="Paragraph"/>
            </w:pPr>
            <w:r w:rsidRPr="00CA2ECC">
              <w:t>2023</w:t>
            </w:r>
          </w:p>
        </w:tc>
        <w:tc>
          <w:tcPr>
            <w:tcW w:w="1463" w:type="dxa"/>
            <w:vMerge w:val="restart"/>
            <w:vAlign w:val="center"/>
          </w:tcPr>
          <w:p w:rsidRPr="00CA2ECC" w:rsidR="00BB664B" w:rsidP="00482202" w:rsidRDefault="00BB664B" w14:paraId="780D9B04" w14:textId="65B4A7EE">
            <w:pPr>
              <w:pStyle w:val="Paragraph"/>
            </w:pPr>
            <w:r w:rsidRPr="00CA2ECC">
              <w:t>Responsable</w:t>
            </w:r>
          </w:p>
        </w:tc>
        <w:tc>
          <w:tcPr>
            <w:tcW w:w="901" w:type="dxa"/>
            <w:vMerge w:val="restart"/>
            <w:vAlign w:val="center"/>
          </w:tcPr>
          <w:p w:rsidRPr="00CA2ECC" w:rsidR="00BB664B" w:rsidP="00482202" w:rsidRDefault="00BB664B" w14:paraId="3D00D181" w14:textId="77777777">
            <w:pPr>
              <w:pStyle w:val="Paragraph"/>
            </w:pPr>
            <w:r w:rsidRPr="00CA2ECC">
              <w:t>Costos (USD)</w:t>
            </w:r>
          </w:p>
        </w:tc>
        <w:tc>
          <w:tcPr>
            <w:tcW w:w="1506" w:type="dxa"/>
            <w:vMerge w:val="restart"/>
            <w:vAlign w:val="center"/>
          </w:tcPr>
          <w:p w:rsidRPr="00CA2ECC" w:rsidR="00BB664B" w:rsidP="00482202" w:rsidRDefault="00BB664B" w14:paraId="63720ED0" w14:textId="77777777">
            <w:pPr>
              <w:pStyle w:val="Paragraph"/>
            </w:pPr>
            <w:r w:rsidRPr="00CA2ECC">
              <w:t>Fuente</w:t>
            </w:r>
          </w:p>
        </w:tc>
      </w:tr>
      <w:tr w:rsidRPr="002B7EE1" w:rsidR="00BB664B" w:rsidTr="00CA2ECC" w14:paraId="0B66F5BC" w14:textId="77777777">
        <w:trPr>
          <w:trHeight w:val="332"/>
          <w:tblHeader/>
          <w:jc w:val="center"/>
        </w:trPr>
        <w:tc>
          <w:tcPr>
            <w:tcW w:w="1639" w:type="dxa"/>
            <w:vMerge/>
            <w:vAlign w:val="center"/>
          </w:tcPr>
          <w:p w:rsidRPr="00CA2ECC" w:rsidR="00BB664B" w:rsidP="00482202" w:rsidRDefault="00BB664B" w14:paraId="40DD0C02" w14:textId="77777777">
            <w:pPr>
              <w:pStyle w:val="Paragraph"/>
            </w:pPr>
          </w:p>
        </w:tc>
        <w:tc>
          <w:tcPr>
            <w:tcW w:w="272" w:type="dxa"/>
            <w:vAlign w:val="center"/>
          </w:tcPr>
          <w:p w:rsidRPr="00CA2ECC" w:rsidR="00BB664B" w:rsidP="00482202" w:rsidRDefault="00BB664B" w14:paraId="7611A52E" w14:textId="77777777">
            <w:pPr>
              <w:pStyle w:val="Paragraph"/>
            </w:pPr>
            <w:r w:rsidRPr="00CA2ECC">
              <w:t>I</w:t>
            </w:r>
          </w:p>
        </w:tc>
        <w:tc>
          <w:tcPr>
            <w:tcW w:w="0" w:type="auto"/>
            <w:vAlign w:val="center"/>
          </w:tcPr>
          <w:p w:rsidRPr="00CA2ECC" w:rsidR="00BB664B" w:rsidP="00482202" w:rsidRDefault="00BB664B" w14:paraId="1DFAD6D1" w14:textId="77777777">
            <w:pPr>
              <w:pStyle w:val="Paragraph"/>
            </w:pPr>
            <w:r w:rsidRPr="00CA2ECC">
              <w:t>II</w:t>
            </w:r>
          </w:p>
        </w:tc>
        <w:tc>
          <w:tcPr>
            <w:tcW w:w="0" w:type="auto"/>
            <w:vAlign w:val="center"/>
          </w:tcPr>
          <w:p w:rsidRPr="00CA2ECC" w:rsidR="00BB664B" w:rsidP="00482202" w:rsidRDefault="00BB664B" w14:paraId="3B0FC234" w14:textId="77777777">
            <w:pPr>
              <w:pStyle w:val="Paragraph"/>
            </w:pPr>
            <w:r w:rsidRPr="00CA2ECC">
              <w:t>III</w:t>
            </w:r>
          </w:p>
        </w:tc>
        <w:tc>
          <w:tcPr>
            <w:tcW w:w="0" w:type="auto"/>
            <w:vAlign w:val="center"/>
          </w:tcPr>
          <w:p w:rsidRPr="00CA2ECC" w:rsidR="00BB664B" w:rsidP="00482202" w:rsidRDefault="00BB664B" w14:paraId="669A1A28" w14:textId="77777777">
            <w:pPr>
              <w:pStyle w:val="Paragraph"/>
            </w:pPr>
            <w:r w:rsidRPr="00CA2ECC">
              <w:t>IV</w:t>
            </w:r>
          </w:p>
        </w:tc>
        <w:tc>
          <w:tcPr>
            <w:tcW w:w="0" w:type="auto"/>
            <w:vAlign w:val="center"/>
          </w:tcPr>
          <w:p w:rsidRPr="00CA2ECC" w:rsidR="00BB664B" w:rsidP="00482202" w:rsidRDefault="00BB664B" w14:paraId="40EA657F" w14:textId="77777777">
            <w:pPr>
              <w:pStyle w:val="Paragraph"/>
            </w:pPr>
            <w:r w:rsidRPr="00CA2ECC">
              <w:t>I</w:t>
            </w:r>
          </w:p>
        </w:tc>
        <w:tc>
          <w:tcPr>
            <w:tcW w:w="0" w:type="auto"/>
            <w:vAlign w:val="center"/>
          </w:tcPr>
          <w:p w:rsidRPr="00CA2ECC" w:rsidR="00BB664B" w:rsidP="00482202" w:rsidRDefault="00BB664B" w14:paraId="7B44815D" w14:textId="77777777">
            <w:pPr>
              <w:pStyle w:val="Paragraph"/>
            </w:pPr>
            <w:r w:rsidRPr="00CA2ECC">
              <w:t>II</w:t>
            </w:r>
          </w:p>
        </w:tc>
        <w:tc>
          <w:tcPr>
            <w:tcW w:w="0" w:type="auto"/>
            <w:vAlign w:val="center"/>
          </w:tcPr>
          <w:p w:rsidRPr="00CA2ECC" w:rsidR="00BB664B" w:rsidP="00482202" w:rsidRDefault="00BB664B" w14:paraId="0E23D0E3" w14:textId="77777777">
            <w:pPr>
              <w:pStyle w:val="Paragraph"/>
            </w:pPr>
            <w:r w:rsidRPr="00CA2ECC">
              <w:t>III</w:t>
            </w:r>
          </w:p>
        </w:tc>
        <w:tc>
          <w:tcPr>
            <w:tcW w:w="408" w:type="dxa"/>
            <w:vAlign w:val="center"/>
          </w:tcPr>
          <w:p w:rsidRPr="00CA2ECC" w:rsidR="00BB664B" w:rsidP="00482202" w:rsidRDefault="00BB664B" w14:paraId="0F1150EF" w14:textId="77777777">
            <w:pPr>
              <w:pStyle w:val="Paragraph"/>
            </w:pPr>
            <w:r w:rsidRPr="00CA2ECC">
              <w:t>IV</w:t>
            </w:r>
          </w:p>
        </w:tc>
        <w:tc>
          <w:tcPr>
            <w:tcW w:w="275" w:type="dxa"/>
            <w:vAlign w:val="center"/>
          </w:tcPr>
          <w:p w:rsidRPr="00CA2ECC" w:rsidR="00BB664B" w:rsidP="00482202" w:rsidRDefault="00BB664B" w14:paraId="0A7925AB" w14:textId="12FD8B57">
            <w:pPr>
              <w:pStyle w:val="Paragraph"/>
            </w:pPr>
            <w:r w:rsidRPr="00CA2ECC">
              <w:t>I</w:t>
            </w:r>
          </w:p>
        </w:tc>
        <w:tc>
          <w:tcPr>
            <w:tcW w:w="329" w:type="dxa"/>
            <w:vAlign w:val="center"/>
          </w:tcPr>
          <w:p w:rsidRPr="00CA2ECC" w:rsidR="00BB664B" w:rsidP="00482202" w:rsidRDefault="00BB664B" w14:paraId="7F1C602C" w14:textId="1FBF8FD4">
            <w:pPr>
              <w:pStyle w:val="Paragraph"/>
            </w:pPr>
            <w:r w:rsidRPr="00CA2ECC">
              <w:t>II</w:t>
            </w:r>
          </w:p>
        </w:tc>
        <w:tc>
          <w:tcPr>
            <w:tcW w:w="384" w:type="dxa"/>
            <w:vAlign w:val="center"/>
          </w:tcPr>
          <w:p w:rsidRPr="00CA2ECC" w:rsidR="00BB664B" w:rsidP="00482202" w:rsidRDefault="00BB664B" w14:paraId="10223558" w14:textId="23D73B7C">
            <w:pPr>
              <w:pStyle w:val="Paragraph"/>
            </w:pPr>
            <w:r w:rsidRPr="00CA2ECC">
              <w:t>III</w:t>
            </w:r>
          </w:p>
        </w:tc>
        <w:tc>
          <w:tcPr>
            <w:tcW w:w="406" w:type="dxa"/>
            <w:vAlign w:val="center"/>
          </w:tcPr>
          <w:p w:rsidRPr="00CA2ECC" w:rsidR="00BB664B" w:rsidP="00482202" w:rsidRDefault="00BB664B" w14:paraId="5B2F9554" w14:textId="2BA5EB3D">
            <w:pPr>
              <w:pStyle w:val="Paragraph"/>
            </w:pPr>
            <w:r w:rsidRPr="00CA2ECC">
              <w:t>IV</w:t>
            </w:r>
          </w:p>
        </w:tc>
        <w:tc>
          <w:tcPr>
            <w:tcW w:w="663" w:type="dxa"/>
            <w:vAlign w:val="center"/>
          </w:tcPr>
          <w:p w:rsidRPr="00CA2ECC" w:rsidR="00BB664B" w:rsidP="00482202" w:rsidRDefault="00BB664B" w14:paraId="4DB89179" w14:textId="3C60F3FD">
            <w:pPr>
              <w:pStyle w:val="Paragraph"/>
            </w:pPr>
            <w:r w:rsidRPr="00CA2ECC">
              <w:t>I</w:t>
            </w:r>
          </w:p>
        </w:tc>
        <w:tc>
          <w:tcPr>
            <w:tcW w:w="1463" w:type="dxa"/>
            <w:vMerge/>
            <w:vAlign w:val="center"/>
          </w:tcPr>
          <w:p w:rsidRPr="00CA2ECC" w:rsidR="00BB664B" w:rsidP="00482202" w:rsidRDefault="00BB664B" w14:paraId="265AAAB5" w14:textId="02A34C73">
            <w:pPr>
              <w:pStyle w:val="Paragraph"/>
            </w:pPr>
          </w:p>
        </w:tc>
        <w:tc>
          <w:tcPr>
            <w:tcW w:w="901" w:type="dxa"/>
            <w:vMerge/>
            <w:vAlign w:val="center"/>
          </w:tcPr>
          <w:p w:rsidRPr="00CA2ECC" w:rsidR="00BB664B" w:rsidP="00482202" w:rsidRDefault="00BB664B" w14:paraId="7F5398F9" w14:textId="77777777">
            <w:pPr>
              <w:pStyle w:val="Paragraph"/>
            </w:pPr>
          </w:p>
        </w:tc>
        <w:tc>
          <w:tcPr>
            <w:tcW w:w="1506" w:type="dxa"/>
            <w:vMerge/>
            <w:vAlign w:val="center"/>
          </w:tcPr>
          <w:p w:rsidRPr="00CA2ECC" w:rsidR="00BB664B" w:rsidP="00482202" w:rsidRDefault="00BB664B" w14:paraId="452083A4" w14:textId="77777777">
            <w:pPr>
              <w:pStyle w:val="Paragraph"/>
            </w:pPr>
          </w:p>
        </w:tc>
      </w:tr>
      <w:tr w:rsidRPr="002B7EE1" w:rsidR="00BB664B" w:rsidTr="00CA2ECC" w14:paraId="4EF345C2" w14:textId="77777777">
        <w:trPr>
          <w:jc w:val="center"/>
        </w:trPr>
        <w:tc>
          <w:tcPr>
            <w:tcW w:w="1639" w:type="dxa"/>
            <w:vAlign w:val="center"/>
          </w:tcPr>
          <w:p w:rsidRPr="00CA2ECC" w:rsidR="00BB664B" w:rsidP="00482202" w:rsidRDefault="00BB664B" w14:paraId="07EDE7E5" w14:textId="77777777">
            <w:pPr>
              <w:pStyle w:val="Paragraph"/>
            </w:pPr>
            <w:r w:rsidRPr="00CA2ECC">
              <w:t>Taller de arranque</w:t>
            </w:r>
          </w:p>
        </w:tc>
        <w:tc>
          <w:tcPr>
            <w:tcW w:w="272" w:type="dxa"/>
            <w:vAlign w:val="center"/>
          </w:tcPr>
          <w:p w:rsidRPr="00CA2ECC" w:rsidR="00BB664B" w:rsidP="00482202" w:rsidRDefault="00BB664B" w14:paraId="2C6781F3" w14:textId="77777777">
            <w:pPr>
              <w:pStyle w:val="Paragraph"/>
            </w:pPr>
          </w:p>
        </w:tc>
        <w:tc>
          <w:tcPr>
            <w:tcW w:w="0" w:type="auto"/>
            <w:vAlign w:val="center"/>
          </w:tcPr>
          <w:p w:rsidRPr="00CA2ECC" w:rsidR="00BB664B" w:rsidP="00482202" w:rsidRDefault="00BB664B" w14:paraId="19F112BC" w14:textId="77777777">
            <w:pPr>
              <w:pStyle w:val="Paragraph"/>
            </w:pPr>
          </w:p>
        </w:tc>
        <w:tc>
          <w:tcPr>
            <w:tcW w:w="0" w:type="auto"/>
            <w:shd w:val="clear" w:color="auto" w:fill="7F7F7F" w:themeFill="text1" w:themeFillTint="80"/>
            <w:vAlign w:val="center"/>
          </w:tcPr>
          <w:p w:rsidRPr="00CA2ECC" w:rsidR="00BB664B" w:rsidP="00482202" w:rsidRDefault="00BB664B" w14:paraId="50686666" w14:textId="77777777">
            <w:pPr>
              <w:pStyle w:val="Paragraph"/>
            </w:pPr>
          </w:p>
        </w:tc>
        <w:tc>
          <w:tcPr>
            <w:tcW w:w="0" w:type="auto"/>
            <w:vAlign w:val="center"/>
          </w:tcPr>
          <w:p w:rsidRPr="00CA2ECC" w:rsidR="00BB664B" w:rsidP="00482202" w:rsidRDefault="00BB664B" w14:paraId="502D486C" w14:textId="77777777">
            <w:pPr>
              <w:pStyle w:val="Paragraph"/>
            </w:pPr>
          </w:p>
        </w:tc>
        <w:tc>
          <w:tcPr>
            <w:tcW w:w="0" w:type="auto"/>
            <w:vAlign w:val="center"/>
          </w:tcPr>
          <w:p w:rsidRPr="00CA2ECC" w:rsidR="00BB664B" w:rsidP="00482202" w:rsidRDefault="00BB664B" w14:paraId="74402A41" w14:textId="77777777">
            <w:pPr>
              <w:pStyle w:val="Paragraph"/>
            </w:pPr>
          </w:p>
        </w:tc>
        <w:tc>
          <w:tcPr>
            <w:tcW w:w="0" w:type="auto"/>
            <w:vAlign w:val="center"/>
          </w:tcPr>
          <w:p w:rsidRPr="00CA2ECC" w:rsidR="00BB664B" w:rsidP="00482202" w:rsidRDefault="00BB664B" w14:paraId="5CA1E357" w14:textId="77777777">
            <w:pPr>
              <w:pStyle w:val="Paragraph"/>
            </w:pPr>
          </w:p>
        </w:tc>
        <w:tc>
          <w:tcPr>
            <w:tcW w:w="0" w:type="auto"/>
            <w:vAlign w:val="center"/>
          </w:tcPr>
          <w:p w:rsidRPr="00CA2ECC" w:rsidR="00BB664B" w:rsidP="00482202" w:rsidRDefault="00BB664B" w14:paraId="499B77D1" w14:textId="77777777">
            <w:pPr>
              <w:pStyle w:val="Paragraph"/>
            </w:pPr>
          </w:p>
        </w:tc>
        <w:tc>
          <w:tcPr>
            <w:tcW w:w="408" w:type="dxa"/>
            <w:vAlign w:val="center"/>
          </w:tcPr>
          <w:p w:rsidRPr="00CA2ECC" w:rsidR="00BB664B" w:rsidP="00482202" w:rsidRDefault="00BB664B" w14:paraId="6C506663" w14:textId="77777777">
            <w:pPr>
              <w:pStyle w:val="Paragraph"/>
            </w:pPr>
          </w:p>
        </w:tc>
        <w:tc>
          <w:tcPr>
            <w:tcW w:w="275" w:type="dxa"/>
          </w:tcPr>
          <w:p w:rsidRPr="00CA2ECC" w:rsidR="00BB664B" w:rsidP="00482202" w:rsidRDefault="00BB664B" w14:paraId="6B7AE2A4" w14:textId="77777777">
            <w:pPr>
              <w:pStyle w:val="Paragraph"/>
            </w:pPr>
          </w:p>
        </w:tc>
        <w:tc>
          <w:tcPr>
            <w:tcW w:w="329" w:type="dxa"/>
          </w:tcPr>
          <w:p w:rsidRPr="00CA2ECC" w:rsidR="00BB664B" w:rsidP="00482202" w:rsidRDefault="00BB664B" w14:paraId="3779D753" w14:textId="77777777">
            <w:pPr>
              <w:pStyle w:val="Paragraph"/>
            </w:pPr>
          </w:p>
        </w:tc>
        <w:tc>
          <w:tcPr>
            <w:tcW w:w="384" w:type="dxa"/>
          </w:tcPr>
          <w:p w:rsidRPr="00CA2ECC" w:rsidR="00BB664B" w:rsidP="00482202" w:rsidRDefault="00BB664B" w14:paraId="44FFBAE2" w14:textId="77777777">
            <w:pPr>
              <w:pStyle w:val="Paragraph"/>
            </w:pPr>
          </w:p>
        </w:tc>
        <w:tc>
          <w:tcPr>
            <w:tcW w:w="406" w:type="dxa"/>
          </w:tcPr>
          <w:p w:rsidRPr="00CA2ECC" w:rsidR="00BB664B" w:rsidP="00482202" w:rsidRDefault="00BB664B" w14:paraId="1E9CFE80" w14:textId="77777777">
            <w:pPr>
              <w:pStyle w:val="Paragraph"/>
            </w:pPr>
          </w:p>
        </w:tc>
        <w:tc>
          <w:tcPr>
            <w:tcW w:w="663" w:type="dxa"/>
          </w:tcPr>
          <w:p w:rsidRPr="00CA2ECC" w:rsidR="00BB664B" w:rsidP="00482202" w:rsidRDefault="00BB664B" w14:paraId="05DC4BD7" w14:textId="77777777">
            <w:pPr>
              <w:pStyle w:val="Paragraph"/>
            </w:pPr>
          </w:p>
        </w:tc>
        <w:tc>
          <w:tcPr>
            <w:tcW w:w="1463" w:type="dxa"/>
            <w:vAlign w:val="center"/>
          </w:tcPr>
          <w:p w:rsidRPr="00CA2ECC" w:rsidR="00BB664B" w:rsidP="00482202" w:rsidRDefault="00BB664B" w14:paraId="6374DF85" w14:textId="3CB1A38E">
            <w:pPr>
              <w:pStyle w:val="Paragraph"/>
            </w:pPr>
            <w:r w:rsidRPr="00CA2ECC">
              <w:t>BID</w:t>
            </w:r>
          </w:p>
        </w:tc>
        <w:tc>
          <w:tcPr>
            <w:tcW w:w="901" w:type="dxa"/>
            <w:vAlign w:val="center"/>
          </w:tcPr>
          <w:p w:rsidRPr="00CA2ECC" w:rsidR="00BB664B" w:rsidP="00482202" w:rsidRDefault="00BB664B" w14:paraId="15AFDF64" w14:textId="087EECE6">
            <w:pPr>
              <w:pStyle w:val="Paragraph"/>
            </w:pPr>
            <w:r w:rsidRPr="00CA2ECC">
              <w:t>4.000</w:t>
            </w:r>
          </w:p>
        </w:tc>
        <w:tc>
          <w:tcPr>
            <w:tcW w:w="1506" w:type="dxa"/>
            <w:vAlign w:val="center"/>
          </w:tcPr>
          <w:p w:rsidRPr="00CA2ECC" w:rsidR="00BB664B" w:rsidP="00482202" w:rsidRDefault="00BB664B" w14:paraId="1719AC4A" w14:textId="0A27C3E2">
            <w:pPr>
              <w:pStyle w:val="Paragraph"/>
            </w:pPr>
            <w:r w:rsidRPr="00CA2ECC">
              <w:t>BID</w:t>
            </w:r>
            <w:r w:rsidRPr="00CA2ECC" w:rsidR="00C236FC">
              <w:t>. Presupuesto transaccional CO-L1248</w:t>
            </w:r>
          </w:p>
        </w:tc>
      </w:tr>
      <w:tr w:rsidRPr="002B7EE1" w:rsidR="00BB664B" w:rsidTr="00CA2ECC" w14:paraId="21A1116F" w14:textId="77777777">
        <w:trPr>
          <w:jc w:val="center"/>
        </w:trPr>
        <w:tc>
          <w:tcPr>
            <w:tcW w:w="1639" w:type="dxa"/>
            <w:vAlign w:val="center"/>
          </w:tcPr>
          <w:p w:rsidRPr="00CA2ECC" w:rsidR="00BB664B" w:rsidP="00482202" w:rsidRDefault="00BB664B" w14:paraId="765B3D98" w14:textId="77777777">
            <w:pPr>
              <w:pStyle w:val="Paragraph"/>
            </w:pPr>
            <w:r w:rsidRPr="00CA2ECC">
              <w:lastRenderedPageBreak/>
              <w:t>Auditoría financiera</w:t>
            </w:r>
          </w:p>
        </w:tc>
        <w:tc>
          <w:tcPr>
            <w:tcW w:w="272" w:type="dxa"/>
            <w:shd w:val="clear" w:color="auto" w:fill="FFFFFF" w:themeFill="background1"/>
            <w:vAlign w:val="center"/>
          </w:tcPr>
          <w:p w:rsidRPr="00CA2ECC" w:rsidR="00BB664B" w:rsidP="00482202" w:rsidRDefault="00BB664B" w14:paraId="132CD2BE" w14:textId="77777777">
            <w:pPr>
              <w:pStyle w:val="Paragraph"/>
            </w:pPr>
          </w:p>
        </w:tc>
        <w:tc>
          <w:tcPr>
            <w:tcW w:w="0" w:type="auto"/>
            <w:vAlign w:val="center"/>
          </w:tcPr>
          <w:p w:rsidRPr="00CA2ECC" w:rsidR="00BB664B" w:rsidP="00482202" w:rsidRDefault="00BB664B" w14:paraId="399D6CD6" w14:textId="77777777">
            <w:pPr>
              <w:pStyle w:val="Paragraph"/>
            </w:pPr>
          </w:p>
        </w:tc>
        <w:tc>
          <w:tcPr>
            <w:tcW w:w="0" w:type="auto"/>
            <w:vAlign w:val="center"/>
          </w:tcPr>
          <w:p w:rsidRPr="00CA2ECC" w:rsidR="00BB664B" w:rsidP="00482202" w:rsidRDefault="00BB664B" w14:paraId="67650EDA" w14:textId="77777777">
            <w:pPr>
              <w:pStyle w:val="Paragraph"/>
            </w:pPr>
          </w:p>
        </w:tc>
        <w:tc>
          <w:tcPr>
            <w:tcW w:w="0" w:type="auto"/>
            <w:shd w:val="clear" w:color="auto" w:fill="FFFFFF" w:themeFill="background1"/>
            <w:vAlign w:val="center"/>
          </w:tcPr>
          <w:p w:rsidRPr="00CA2ECC" w:rsidR="00BB664B" w:rsidP="00482202" w:rsidRDefault="00BB664B" w14:paraId="2AF7BB7B" w14:textId="77777777">
            <w:pPr>
              <w:pStyle w:val="Paragraph"/>
            </w:pPr>
          </w:p>
        </w:tc>
        <w:tc>
          <w:tcPr>
            <w:tcW w:w="0" w:type="auto"/>
            <w:shd w:val="clear" w:color="auto" w:fill="7F7F7F" w:themeFill="text1" w:themeFillTint="80"/>
            <w:vAlign w:val="center"/>
          </w:tcPr>
          <w:p w:rsidRPr="00CA2ECC" w:rsidR="00BB664B" w:rsidP="00482202" w:rsidRDefault="00BB664B" w14:paraId="7CE021F1" w14:textId="77777777">
            <w:pPr>
              <w:pStyle w:val="Paragraph"/>
            </w:pPr>
          </w:p>
        </w:tc>
        <w:tc>
          <w:tcPr>
            <w:tcW w:w="0" w:type="auto"/>
            <w:vAlign w:val="center"/>
          </w:tcPr>
          <w:p w:rsidRPr="00CA2ECC" w:rsidR="00BB664B" w:rsidP="00482202" w:rsidRDefault="00BB664B" w14:paraId="3D830699" w14:textId="77777777">
            <w:pPr>
              <w:pStyle w:val="Paragraph"/>
            </w:pPr>
          </w:p>
        </w:tc>
        <w:tc>
          <w:tcPr>
            <w:tcW w:w="0" w:type="auto"/>
            <w:vAlign w:val="center"/>
          </w:tcPr>
          <w:p w:rsidRPr="00CA2ECC" w:rsidR="00BB664B" w:rsidP="00482202" w:rsidRDefault="00BB664B" w14:paraId="66A0F2B9" w14:textId="77777777">
            <w:pPr>
              <w:pStyle w:val="Paragraph"/>
            </w:pPr>
          </w:p>
        </w:tc>
        <w:tc>
          <w:tcPr>
            <w:tcW w:w="408" w:type="dxa"/>
            <w:shd w:val="clear" w:color="auto" w:fill="FFFFFF" w:themeFill="background1"/>
            <w:vAlign w:val="center"/>
          </w:tcPr>
          <w:p w:rsidRPr="00CA2ECC" w:rsidR="00BB664B" w:rsidP="00482202" w:rsidRDefault="00BB664B" w14:paraId="478C8690" w14:textId="77777777">
            <w:pPr>
              <w:pStyle w:val="Paragraph"/>
            </w:pPr>
          </w:p>
        </w:tc>
        <w:tc>
          <w:tcPr>
            <w:tcW w:w="275" w:type="dxa"/>
            <w:shd w:val="clear" w:color="auto" w:fill="7F7F7F" w:themeFill="text1" w:themeFillTint="80"/>
          </w:tcPr>
          <w:p w:rsidRPr="00CA2ECC" w:rsidR="00BB664B" w:rsidP="00482202" w:rsidRDefault="00BB664B" w14:paraId="32220C91" w14:textId="77777777">
            <w:pPr>
              <w:pStyle w:val="Paragraph"/>
            </w:pPr>
          </w:p>
        </w:tc>
        <w:tc>
          <w:tcPr>
            <w:tcW w:w="329" w:type="dxa"/>
          </w:tcPr>
          <w:p w:rsidRPr="00CA2ECC" w:rsidR="00BB664B" w:rsidP="00482202" w:rsidRDefault="00BB664B" w14:paraId="7C87C1AF" w14:textId="77777777">
            <w:pPr>
              <w:pStyle w:val="Paragraph"/>
            </w:pPr>
          </w:p>
        </w:tc>
        <w:tc>
          <w:tcPr>
            <w:tcW w:w="384" w:type="dxa"/>
          </w:tcPr>
          <w:p w:rsidRPr="00CA2ECC" w:rsidR="00BB664B" w:rsidP="00482202" w:rsidRDefault="00BB664B" w14:paraId="53B57E3F" w14:textId="77777777">
            <w:pPr>
              <w:pStyle w:val="Paragraph"/>
            </w:pPr>
          </w:p>
        </w:tc>
        <w:tc>
          <w:tcPr>
            <w:tcW w:w="406" w:type="dxa"/>
            <w:shd w:val="clear" w:color="auto" w:fill="auto"/>
          </w:tcPr>
          <w:p w:rsidRPr="00CA2ECC" w:rsidR="00BB664B" w:rsidP="00482202" w:rsidRDefault="00BB664B" w14:paraId="26F7E2EA" w14:textId="77777777">
            <w:pPr>
              <w:pStyle w:val="Paragraph"/>
            </w:pPr>
          </w:p>
        </w:tc>
        <w:tc>
          <w:tcPr>
            <w:tcW w:w="663" w:type="dxa"/>
            <w:shd w:val="clear" w:color="auto" w:fill="7F7F7F" w:themeFill="text1" w:themeFillTint="80"/>
          </w:tcPr>
          <w:p w:rsidRPr="00CA2ECC" w:rsidR="00BB664B" w:rsidP="00482202" w:rsidRDefault="00BB664B" w14:paraId="593BF5D3" w14:textId="77777777">
            <w:pPr>
              <w:pStyle w:val="Paragraph"/>
            </w:pPr>
          </w:p>
        </w:tc>
        <w:tc>
          <w:tcPr>
            <w:tcW w:w="1463" w:type="dxa"/>
            <w:vAlign w:val="center"/>
          </w:tcPr>
          <w:p w:rsidRPr="00CA2ECC" w:rsidR="00BB664B" w:rsidP="00482202" w:rsidRDefault="00BB664B" w14:paraId="7513169B" w14:textId="6F5634FE">
            <w:pPr>
              <w:pStyle w:val="Paragraph"/>
            </w:pPr>
            <w:r w:rsidRPr="00CA2ECC">
              <w:t>MSPS</w:t>
            </w:r>
          </w:p>
        </w:tc>
        <w:tc>
          <w:tcPr>
            <w:tcW w:w="901" w:type="dxa"/>
            <w:vAlign w:val="center"/>
          </w:tcPr>
          <w:p w:rsidRPr="00CA2ECC" w:rsidR="00BB664B" w:rsidP="00482202" w:rsidRDefault="00BB664B" w14:paraId="78571F68" w14:textId="4B1DF7D9">
            <w:pPr>
              <w:pStyle w:val="Paragraph"/>
            </w:pPr>
            <w:r w:rsidRPr="00CA2ECC">
              <w:t>-</w:t>
            </w:r>
          </w:p>
        </w:tc>
        <w:tc>
          <w:tcPr>
            <w:tcW w:w="1506" w:type="dxa"/>
            <w:vAlign w:val="center"/>
          </w:tcPr>
          <w:p w:rsidRPr="00CA2ECC" w:rsidR="00BB664B" w:rsidP="00482202" w:rsidRDefault="00BB664B" w14:paraId="415CD696" w14:textId="57BA273B">
            <w:pPr>
              <w:pStyle w:val="Paragraph"/>
            </w:pPr>
            <w:r w:rsidRPr="00CA2ECC">
              <w:t>-</w:t>
            </w:r>
          </w:p>
        </w:tc>
      </w:tr>
      <w:tr w:rsidRPr="002B7EE1" w:rsidR="00AC2DD3" w:rsidTr="00CA2ECC" w14:paraId="715569E7" w14:textId="77777777">
        <w:trPr>
          <w:jc w:val="center"/>
        </w:trPr>
        <w:tc>
          <w:tcPr>
            <w:tcW w:w="1639" w:type="dxa"/>
            <w:vAlign w:val="center"/>
          </w:tcPr>
          <w:p w:rsidRPr="00CA2ECC" w:rsidR="00BB664B" w:rsidP="00482202" w:rsidRDefault="00BB664B" w14:paraId="3B269A1A" w14:textId="77777777">
            <w:pPr>
              <w:pStyle w:val="Paragraph"/>
            </w:pPr>
            <w:r w:rsidRPr="00CA2ECC">
              <w:t>Informes semestrales</w:t>
            </w:r>
          </w:p>
        </w:tc>
        <w:tc>
          <w:tcPr>
            <w:tcW w:w="272" w:type="dxa"/>
            <w:shd w:val="clear" w:color="auto" w:fill="auto"/>
            <w:vAlign w:val="center"/>
          </w:tcPr>
          <w:p w:rsidRPr="00CA2ECC" w:rsidR="00BB664B" w:rsidP="00482202" w:rsidRDefault="00BB664B" w14:paraId="45203CD4" w14:textId="77777777">
            <w:pPr>
              <w:pStyle w:val="Paragraph"/>
            </w:pPr>
          </w:p>
        </w:tc>
        <w:tc>
          <w:tcPr>
            <w:tcW w:w="0" w:type="auto"/>
            <w:shd w:val="clear" w:color="auto" w:fill="auto"/>
            <w:vAlign w:val="center"/>
          </w:tcPr>
          <w:p w:rsidRPr="00CA2ECC" w:rsidR="00BB664B" w:rsidP="00482202" w:rsidRDefault="00BB664B" w14:paraId="00CA60AB" w14:textId="77777777">
            <w:pPr>
              <w:pStyle w:val="Paragraph"/>
            </w:pPr>
          </w:p>
        </w:tc>
        <w:tc>
          <w:tcPr>
            <w:tcW w:w="0" w:type="auto"/>
            <w:shd w:val="clear" w:color="auto" w:fill="auto"/>
            <w:vAlign w:val="center"/>
          </w:tcPr>
          <w:p w:rsidRPr="00CA2ECC" w:rsidR="00BB664B" w:rsidP="00482202" w:rsidRDefault="00BB664B" w14:paraId="6EEB36D1" w14:textId="77777777">
            <w:pPr>
              <w:pStyle w:val="Paragraph"/>
            </w:pPr>
          </w:p>
        </w:tc>
        <w:tc>
          <w:tcPr>
            <w:tcW w:w="0" w:type="auto"/>
            <w:shd w:val="clear" w:color="auto" w:fill="7F7F7F" w:themeFill="text1" w:themeFillTint="80"/>
            <w:vAlign w:val="center"/>
          </w:tcPr>
          <w:p w:rsidRPr="00CA2ECC" w:rsidR="00BB664B" w:rsidP="00482202" w:rsidRDefault="00BB664B" w14:paraId="50A2E0B1" w14:textId="77777777">
            <w:pPr>
              <w:pStyle w:val="Paragraph"/>
            </w:pPr>
          </w:p>
        </w:tc>
        <w:tc>
          <w:tcPr>
            <w:tcW w:w="0" w:type="auto"/>
            <w:shd w:val="clear" w:color="auto" w:fill="auto"/>
            <w:vAlign w:val="center"/>
          </w:tcPr>
          <w:p w:rsidRPr="00CA2ECC" w:rsidR="00BB664B" w:rsidP="00482202" w:rsidRDefault="00BB664B" w14:paraId="1392D9EB" w14:textId="77777777">
            <w:pPr>
              <w:pStyle w:val="Paragraph"/>
            </w:pPr>
          </w:p>
        </w:tc>
        <w:tc>
          <w:tcPr>
            <w:tcW w:w="0" w:type="auto"/>
            <w:shd w:val="clear" w:color="auto" w:fill="7F7F7F" w:themeFill="text1" w:themeFillTint="80"/>
            <w:vAlign w:val="center"/>
          </w:tcPr>
          <w:p w:rsidRPr="00CA2ECC" w:rsidR="00BB664B" w:rsidP="00482202" w:rsidRDefault="00BB664B" w14:paraId="03BECA44" w14:textId="77777777">
            <w:pPr>
              <w:pStyle w:val="Paragraph"/>
            </w:pPr>
          </w:p>
        </w:tc>
        <w:tc>
          <w:tcPr>
            <w:tcW w:w="0" w:type="auto"/>
            <w:shd w:val="clear" w:color="auto" w:fill="auto"/>
            <w:vAlign w:val="center"/>
          </w:tcPr>
          <w:p w:rsidRPr="00CA2ECC" w:rsidR="00BB664B" w:rsidP="00482202" w:rsidRDefault="00BB664B" w14:paraId="49624787" w14:textId="77777777">
            <w:pPr>
              <w:pStyle w:val="Paragraph"/>
            </w:pPr>
          </w:p>
        </w:tc>
        <w:tc>
          <w:tcPr>
            <w:tcW w:w="408" w:type="dxa"/>
            <w:shd w:val="clear" w:color="auto" w:fill="7F7F7F" w:themeFill="text1" w:themeFillTint="80"/>
            <w:vAlign w:val="center"/>
          </w:tcPr>
          <w:p w:rsidRPr="00CA2ECC" w:rsidR="00BB664B" w:rsidP="00482202" w:rsidRDefault="00BB664B" w14:paraId="5A5EE20E" w14:textId="77777777">
            <w:pPr>
              <w:pStyle w:val="Paragraph"/>
            </w:pPr>
          </w:p>
        </w:tc>
        <w:tc>
          <w:tcPr>
            <w:tcW w:w="275" w:type="dxa"/>
          </w:tcPr>
          <w:p w:rsidRPr="00CA2ECC" w:rsidR="00BB664B" w:rsidP="00482202" w:rsidRDefault="00BB664B" w14:paraId="08C1D1D9" w14:textId="77777777">
            <w:pPr>
              <w:pStyle w:val="Paragraph"/>
            </w:pPr>
          </w:p>
        </w:tc>
        <w:tc>
          <w:tcPr>
            <w:tcW w:w="329" w:type="dxa"/>
            <w:shd w:val="clear" w:color="auto" w:fill="7F7F7F" w:themeFill="text1" w:themeFillTint="80"/>
          </w:tcPr>
          <w:p w:rsidRPr="00CA2ECC" w:rsidR="00BB664B" w:rsidP="00482202" w:rsidRDefault="00BB664B" w14:paraId="46A10852" w14:textId="77777777">
            <w:pPr>
              <w:pStyle w:val="Paragraph"/>
            </w:pPr>
          </w:p>
        </w:tc>
        <w:tc>
          <w:tcPr>
            <w:tcW w:w="384" w:type="dxa"/>
          </w:tcPr>
          <w:p w:rsidRPr="00CA2ECC" w:rsidR="00BB664B" w:rsidP="00482202" w:rsidRDefault="00BB664B" w14:paraId="7CBA8A9B" w14:textId="77777777">
            <w:pPr>
              <w:pStyle w:val="Paragraph"/>
            </w:pPr>
          </w:p>
        </w:tc>
        <w:tc>
          <w:tcPr>
            <w:tcW w:w="406" w:type="dxa"/>
            <w:shd w:val="clear" w:color="auto" w:fill="7F7F7F" w:themeFill="text1" w:themeFillTint="80"/>
          </w:tcPr>
          <w:p w:rsidRPr="00CA2ECC" w:rsidR="00BB664B" w:rsidP="00482202" w:rsidRDefault="00BB664B" w14:paraId="4D5F11F3" w14:textId="77777777">
            <w:pPr>
              <w:pStyle w:val="Paragraph"/>
            </w:pPr>
          </w:p>
        </w:tc>
        <w:tc>
          <w:tcPr>
            <w:tcW w:w="663" w:type="dxa"/>
          </w:tcPr>
          <w:p w:rsidRPr="00CA2ECC" w:rsidR="00BB664B" w:rsidP="00482202" w:rsidRDefault="00BB664B" w14:paraId="3361E491" w14:textId="77777777">
            <w:pPr>
              <w:pStyle w:val="Paragraph"/>
            </w:pPr>
          </w:p>
        </w:tc>
        <w:tc>
          <w:tcPr>
            <w:tcW w:w="1463" w:type="dxa"/>
            <w:vAlign w:val="center"/>
          </w:tcPr>
          <w:p w:rsidRPr="00CA2ECC" w:rsidR="00BB664B" w:rsidP="00482202" w:rsidRDefault="00BB664B" w14:paraId="05130F07" w14:textId="6C527BBD">
            <w:pPr>
              <w:pStyle w:val="Paragraph"/>
            </w:pPr>
            <w:r w:rsidRPr="00CA2ECC">
              <w:t>MSPS</w:t>
            </w:r>
          </w:p>
        </w:tc>
        <w:tc>
          <w:tcPr>
            <w:tcW w:w="901" w:type="dxa"/>
            <w:vAlign w:val="center"/>
          </w:tcPr>
          <w:p w:rsidRPr="00CA2ECC" w:rsidR="00BB664B" w:rsidP="00482202" w:rsidRDefault="00BB664B" w14:paraId="47342E26" w14:textId="77777777">
            <w:pPr>
              <w:pStyle w:val="Paragraph"/>
            </w:pPr>
            <w:r w:rsidRPr="00CA2ECC">
              <w:t>-</w:t>
            </w:r>
          </w:p>
        </w:tc>
        <w:tc>
          <w:tcPr>
            <w:tcW w:w="1506" w:type="dxa"/>
            <w:vAlign w:val="center"/>
          </w:tcPr>
          <w:p w:rsidRPr="00CA2ECC" w:rsidR="00BB664B" w:rsidP="00482202" w:rsidRDefault="00BB664B" w14:paraId="37DB40E5" w14:textId="77777777">
            <w:pPr>
              <w:pStyle w:val="Paragraph"/>
            </w:pPr>
            <w:r w:rsidRPr="00CA2ECC">
              <w:t>-</w:t>
            </w:r>
          </w:p>
        </w:tc>
      </w:tr>
      <w:tr w:rsidRPr="002B7EE1" w:rsidR="00BB664B" w:rsidTr="00CA2ECC" w14:paraId="580F60A3" w14:textId="77777777">
        <w:trPr>
          <w:jc w:val="center"/>
        </w:trPr>
        <w:tc>
          <w:tcPr>
            <w:tcW w:w="1639" w:type="dxa"/>
            <w:vAlign w:val="center"/>
          </w:tcPr>
          <w:p w:rsidRPr="00CA2ECC" w:rsidR="00BB664B" w:rsidP="00482202" w:rsidRDefault="00BB664B" w14:paraId="74CCC584" w14:textId="77777777">
            <w:pPr>
              <w:pStyle w:val="Paragraph"/>
            </w:pPr>
            <w:r w:rsidRPr="00CA2ECC">
              <w:t>Misiones de administración</w:t>
            </w:r>
          </w:p>
        </w:tc>
        <w:tc>
          <w:tcPr>
            <w:tcW w:w="272" w:type="dxa"/>
            <w:vAlign w:val="center"/>
          </w:tcPr>
          <w:p w:rsidRPr="00CA2ECC" w:rsidR="00BB664B" w:rsidP="00482202" w:rsidRDefault="00BB664B" w14:paraId="2E98BFA9" w14:textId="77777777">
            <w:pPr>
              <w:pStyle w:val="Paragraph"/>
            </w:pPr>
          </w:p>
        </w:tc>
        <w:tc>
          <w:tcPr>
            <w:tcW w:w="0" w:type="auto"/>
            <w:shd w:val="clear" w:color="auto" w:fill="auto"/>
            <w:vAlign w:val="center"/>
          </w:tcPr>
          <w:p w:rsidRPr="00CA2ECC" w:rsidR="00BB664B" w:rsidP="00482202" w:rsidRDefault="00BB664B" w14:paraId="34FD9388" w14:textId="77777777">
            <w:pPr>
              <w:pStyle w:val="Paragraph"/>
            </w:pPr>
          </w:p>
        </w:tc>
        <w:tc>
          <w:tcPr>
            <w:tcW w:w="0" w:type="auto"/>
            <w:vAlign w:val="center"/>
          </w:tcPr>
          <w:p w:rsidRPr="00CA2ECC" w:rsidR="00BB664B" w:rsidP="00482202" w:rsidRDefault="00BB664B" w14:paraId="7F1199C6" w14:textId="77777777">
            <w:pPr>
              <w:pStyle w:val="Paragraph"/>
            </w:pPr>
          </w:p>
        </w:tc>
        <w:tc>
          <w:tcPr>
            <w:tcW w:w="0" w:type="auto"/>
            <w:shd w:val="clear" w:color="auto" w:fill="7F7F7F" w:themeFill="text1" w:themeFillTint="80"/>
            <w:vAlign w:val="center"/>
          </w:tcPr>
          <w:p w:rsidRPr="00CA2ECC" w:rsidR="00BB664B" w:rsidP="00482202" w:rsidRDefault="00BB664B" w14:paraId="61454B2C" w14:textId="77777777">
            <w:pPr>
              <w:pStyle w:val="Paragraph"/>
            </w:pPr>
          </w:p>
        </w:tc>
        <w:tc>
          <w:tcPr>
            <w:tcW w:w="0" w:type="auto"/>
            <w:vAlign w:val="center"/>
          </w:tcPr>
          <w:p w:rsidRPr="00CA2ECC" w:rsidR="00BB664B" w:rsidP="00482202" w:rsidRDefault="00BB664B" w14:paraId="3A61B5C5" w14:textId="77777777">
            <w:pPr>
              <w:pStyle w:val="Paragraph"/>
            </w:pPr>
          </w:p>
        </w:tc>
        <w:tc>
          <w:tcPr>
            <w:tcW w:w="0" w:type="auto"/>
            <w:shd w:val="clear" w:color="auto" w:fill="7F7F7F" w:themeFill="text1" w:themeFillTint="80"/>
            <w:vAlign w:val="center"/>
          </w:tcPr>
          <w:p w:rsidRPr="00CA2ECC" w:rsidR="00BB664B" w:rsidP="00482202" w:rsidRDefault="00BB664B" w14:paraId="518717CA" w14:textId="77777777">
            <w:pPr>
              <w:pStyle w:val="Paragraph"/>
            </w:pPr>
          </w:p>
        </w:tc>
        <w:tc>
          <w:tcPr>
            <w:tcW w:w="0" w:type="auto"/>
            <w:vAlign w:val="center"/>
          </w:tcPr>
          <w:p w:rsidRPr="00CA2ECC" w:rsidR="00BB664B" w:rsidP="00482202" w:rsidRDefault="00BB664B" w14:paraId="46A87653" w14:textId="77777777">
            <w:pPr>
              <w:pStyle w:val="Paragraph"/>
            </w:pPr>
          </w:p>
        </w:tc>
        <w:tc>
          <w:tcPr>
            <w:tcW w:w="408" w:type="dxa"/>
            <w:shd w:val="clear" w:color="auto" w:fill="7F7F7F" w:themeFill="text1" w:themeFillTint="80"/>
            <w:vAlign w:val="center"/>
          </w:tcPr>
          <w:p w:rsidRPr="00CA2ECC" w:rsidR="00BB664B" w:rsidP="00482202" w:rsidRDefault="00BB664B" w14:paraId="47D0351B" w14:textId="77777777">
            <w:pPr>
              <w:pStyle w:val="Paragraph"/>
            </w:pPr>
          </w:p>
        </w:tc>
        <w:tc>
          <w:tcPr>
            <w:tcW w:w="275" w:type="dxa"/>
          </w:tcPr>
          <w:p w:rsidRPr="00CA2ECC" w:rsidR="00BB664B" w:rsidP="00482202" w:rsidRDefault="00BB664B" w14:paraId="19979F1F" w14:textId="77777777">
            <w:pPr>
              <w:pStyle w:val="Paragraph"/>
            </w:pPr>
          </w:p>
        </w:tc>
        <w:tc>
          <w:tcPr>
            <w:tcW w:w="329" w:type="dxa"/>
            <w:shd w:val="clear" w:color="auto" w:fill="7F7F7F" w:themeFill="text1" w:themeFillTint="80"/>
          </w:tcPr>
          <w:p w:rsidRPr="00CA2ECC" w:rsidR="00BB664B" w:rsidP="00482202" w:rsidRDefault="00BB664B" w14:paraId="7DA1F33A" w14:textId="77777777">
            <w:pPr>
              <w:pStyle w:val="Paragraph"/>
            </w:pPr>
          </w:p>
        </w:tc>
        <w:tc>
          <w:tcPr>
            <w:tcW w:w="384" w:type="dxa"/>
          </w:tcPr>
          <w:p w:rsidRPr="00CA2ECC" w:rsidR="00BB664B" w:rsidP="00482202" w:rsidRDefault="00BB664B" w14:paraId="755792A9" w14:textId="77777777">
            <w:pPr>
              <w:pStyle w:val="Paragraph"/>
            </w:pPr>
          </w:p>
        </w:tc>
        <w:tc>
          <w:tcPr>
            <w:tcW w:w="406" w:type="dxa"/>
          </w:tcPr>
          <w:p w:rsidRPr="00CA2ECC" w:rsidR="00BB664B" w:rsidP="00482202" w:rsidRDefault="00BB664B" w14:paraId="68D34DFE" w14:textId="77777777">
            <w:pPr>
              <w:pStyle w:val="Paragraph"/>
            </w:pPr>
          </w:p>
        </w:tc>
        <w:tc>
          <w:tcPr>
            <w:tcW w:w="663" w:type="dxa"/>
          </w:tcPr>
          <w:p w:rsidRPr="00CA2ECC" w:rsidR="00BB664B" w:rsidP="00482202" w:rsidRDefault="00BB664B" w14:paraId="507F7125" w14:textId="77777777">
            <w:pPr>
              <w:pStyle w:val="Paragraph"/>
            </w:pPr>
          </w:p>
        </w:tc>
        <w:tc>
          <w:tcPr>
            <w:tcW w:w="1463" w:type="dxa"/>
            <w:vAlign w:val="center"/>
          </w:tcPr>
          <w:p w:rsidRPr="00CA2ECC" w:rsidR="00BB664B" w:rsidP="00482202" w:rsidRDefault="00BB664B" w14:paraId="19921651" w14:textId="4D8A5F86">
            <w:pPr>
              <w:pStyle w:val="Paragraph"/>
            </w:pPr>
            <w:r w:rsidRPr="00CA2ECC">
              <w:t>BID</w:t>
            </w:r>
          </w:p>
        </w:tc>
        <w:tc>
          <w:tcPr>
            <w:tcW w:w="901" w:type="dxa"/>
            <w:vAlign w:val="center"/>
          </w:tcPr>
          <w:p w:rsidRPr="00CA2ECC" w:rsidR="00BB664B" w:rsidP="00482202" w:rsidRDefault="00BB664B" w14:paraId="146EDC2C" w14:textId="7ACFBDE8">
            <w:pPr>
              <w:pStyle w:val="Paragraph"/>
            </w:pPr>
            <w:r w:rsidRPr="00CA2ECC">
              <w:t>20.000</w:t>
            </w:r>
          </w:p>
        </w:tc>
        <w:tc>
          <w:tcPr>
            <w:tcW w:w="1506" w:type="dxa"/>
            <w:vAlign w:val="center"/>
          </w:tcPr>
          <w:p w:rsidRPr="00CA2ECC" w:rsidR="00BB664B" w:rsidP="00482202" w:rsidRDefault="00BB664B" w14:paraId="7C01470B" w14:textId="25B427D4">
            <w:pPr>
              <w:pStyle w:val="Paragraph"/>
            </w:pPr>
            <w:r w:rsidRPr="00CA2ECC">
              <w:t>BID</w:t>
            </w:r>
            <w:r w:rsidRPr="00CA2ECC" w:rsidR="00C236FC">
              <w:t>. Presupuesto transaccional CO-L1248</w:t>
            </w:r>
          </w:p>
        </w:tc>
      </w:tr>
      <w:tr w:rsidRPr="002B7EE1" w:rsidR="00BB664B" w:rsidTr="00CA2ECC" w14:paraId="552AF128" w14:textId="77777777">
        <w:trPr>
          <w:jc w:val="center"/>
        </w:trPr>
        <w:tc>
          <w:tcPr>
            <w:tcW w:w="1639" w:type="dxa"/>
            <w:vAlign w:val="center"/>
          </w:tcPr>
          <w:p w:rsidRPr="00CA2ECC" w:rsidR="00BB664B" w:rsidP="00482202" w:rsidRDefault="00BB664B" w14:paraId="60FB3FEE" w14:textId="77777777">
            <w:pPr>
              <w:pStyle w:val="Paragraph"/>
            </w:pPr>
            <w:r w:rsidRPr="00CA2ECC">
              <w:t>Taller de cierre</w:t>
            </w:r>
          </w:p>
        </w:tc>
        <w:tc>
          <w:tcPr>
            <w:tcW w:w="272" w:type="dxa"/>
            <w:vAlign w:val="center"/>
          </w:tcPr>
          <w:p w:rsidRPr="00CA2ECC" w:rsidR="00BB664B" w:rsidP="00482202" w:rsidRDefault="00BB664B" w14:paraId="539EE091" w14:textId="77777777">
            <w:pPr>
              <w:pStyle w:val="Paragraph"/>
            </w:pPr>
          </w:p>
        </w:tc>
        <w:tc>
          <w:tcPr>
            <w:tcW w:w="0" w:type="auto"/>
            <w:vAlign w:val="center"/>
          </w:tcPr>
          <w:p w:rsidRPr="00CA2ECC" w:rsidR="00BB664B" w:rsidP="00482202" w:rsidRDefault="00BB664B" w14:paraId="1119F232" w14:textId="77777777">
            <w:pPr>
              <w:pStyle w:val="Paragraph"/>
            </w:pPr>
          </w:p>
        </w:tc>
        <w:tc>
          <w:tcPr>
            <w:tcW w:w="0" w:type="auto"/>
            <w:vAlign w:val="center"/>
          </w:tcPr>
          <w:p w:rsidRPr="00CA2ECC" w:rsidR="00BB664B" w:rsidP="00482202" w:rsidRDefault="00BB664B" w14:paraId="2B6D21A3" w14:textId="77777777">
            <w:pPr>
              <w:pStyle w:val="Paragraph"/>
            </w:pPr>
          </w:p>
        </w:tc>
        <w:tc>
          <w:tcPr>
            <w:tcW w:w="0" w:type="auto"/>
            <w:vAlign w:val="center"/>
          </w:tcPr>
          <w:p w:rsidRPr="00CA2ECC" w:rsidR="00BB664B" w:rsidP="00482202" w:rsidRDefault="00BB664B" w14:paraId="14B029E8" w14:textId="77777777">
            <w:pPr>
              <w:pStyle w:val="Paragraph"/>
            </w:pPr>
          </w:p>
        </w:tc>
        <w:tc>
          <w:tcPr>
            <w:tcW w:w="0" w:type="auto"/>
            <w:vAlign w:val="center"/>
          </w:tcPr>
          <w:p w:rsidRPr="00CA2ECC" w:rsidR="00BB664B" w:rsidP="00482202" w:rsidRDefault="00BB664B" w14:paraId="45446BE4" w14:textId="77777777">
            <w:pPr>
              <w:pStyle w:val="Paragraph"/>
            </w:pPr>
          </w:p>
        </w:tc>
        <w:tc>
          <w:tcPr>
            <w:tcW w:w="0" w:type="auto"/>
            <w:vAlign w:val="center"/>
          </w:tcPr>
          <w:p w:rsidRPr="00CA2ECC" w:rsidR="00BB664B" w:rsidP="00482202" w:rsidRDefault="00BB664B" w14:paraId="6CEBF606" w14:textId="77777777">
            <w:pPr>
              <w:pStyle w:val="Paragraph"/>
            </w:pPr>
          </w:p>
        </w:tc>
        <w:tc>
          <w:tcPr>
            <w:tcW w:w="0" w:type="auto"/>
            <w:vAlign w:val="center"/>
          </w:tcPr>
          <w:p w:rsidRPr="00CA2ECC" w:rsidR="00BB664B" w:rsidP="00482202" w:rsidRDefault="00BB664B" w14:paraId="334A291C" w14:textId="77777777">
            <w:pPr>
              <w:pStyle w:val="Paragraph"/>
            </w:pPr>
          </w:p>
        </w:tc>
        <w:tc>
          <w:tcPr>
            <w:tcW w:w="408" w:type="dxa"/>
            <w:shd w:val="clear" w:color="auto" w:fill="auto"/>
            <w:vAlign w:val="center"/>
          </w:tcPr>
          <w:p w:rsidRPr="00CA2ECC" w:rsidR="00BB664B" w:rsidP="00482202" w:rsidRDefault="00BB664B" w14:paraId="3F17E46C" w14:textId="77777777">
            <w:pPr>
              <w:pStyle w:val="Paragraph"/>
            </w:pPr>
          </w:p>
        </w:tc>
        <w:tc>
          <w:tcPr>
            <w:tcW w:w="275" w:type="dxa"/>
          </w:tcPr>
          <w:p w:rsidRPr="00CA2ECC" w:rsidR="00BB664B" w:rsidP="00482202" w:rsidRDefault="00BB664B" w14:paraId="2E00474E" w14:textId="77777777">
            <w:pPr>
              <w:pStyle w:val="Paragraph"/>
            </w:pPr>
          </w:p>
        </w:tc>
        <w:tc>
          <w:tcPr>
            <w:tcW w:w="329" w:type="dxa"/>
          </w:tcPr>
          <w:p w:rsidRPr="00CA2ECC" w:rsidR="00BB664B" w:rsidP="00482202" w:rsidRDefault="00BB664B" w14:paraId="2A1E3A94" w14:textId="77777777">
            <w:pPr>
              <w:pStyle w:val="Paragraph"/>
            </w:pPr>
          </w:p>
        </w:tc>
        <w:tc>
          <w:tcPr>
            <w:tcW w:w="384" w:type="dxa"/>
          </w:tcPr>
          <w:p w:rsidRPr="00CA2ECC" w:rsidR="00BB664B" w:rsidP="00482202" w:rsidRDefault="00BB664B" w14:paraId="5CDF7FEB" w14:textId="77777777">
            <w:pPr>
              <w:pStyle w:val="Paragraph"/>
            </w:pPr>
          </w:p>
        </w:tc>
        <w:tc>
          <w:tcPr>
            <w:tcW w:w="406" w:type="dxa"/>
            <w:shd w:val="clear" w:color="auto" w:fill="7F7F7F" w:themeFill="text1" w:themeFillTint="80"/>
          </w:tcPr>
          <w:p w:rsidRPr="00CA2ECC" w:rsidR="00BB664B" w:rsidP="00482202" w:rsidRDefault="00BB664B" w14:paraId="4FAD176F" w14:textId="77777777">
            <w:pPr>
              <w:pStyle w:val="Paragraph"/>
            </w:pPr>
          </w:p>
        </w:tc>
        <w:tc>
          <w:tcPr>
            <w:tcW w:w="663" w:type="dxa"/>
          </w:tcPr>
          <w:p w:rsidRPr="00CA2ECC" w:rsidR="00BB664B" w:rsidP="00482202" w:rsidRDefault="00BB664B" w14:paraId="448ECDD9" w14:textId="77777777">
            <w:pPr>
              <w:pStyle w:val="Paragraph"/>
            </w:pPr>
          </w:p>
        </w:tc>
        <w:tc>
          <w:tcPr>
            <w:tcW w:w="1463" w:type="dxa"/>
            <w:vAlign w:val="center"/>
          </w:tcPr>
          <w:p w:rsidRPr="00CA2ECC" w:rsidR="00BB664B" w:rsidP="00482202" w:rsidRDefault="00BB664B" w14:paraId="12A2E77E" w14:textId="44246DA3">
            <w:pPr>
              <w:pStyle w:val="Paragraph"/>
            </w:pPr>
            <w:r w:rsidRPr="00CA2ECC">
              <w:t>BID</w:t>
            </w:r>
          </w:p>
        </w:tc>
        <w:tc>
          <w:tcPr>
            <w:tcW w:w="901" w:type="dxa"/>
            <w:vAlign w:val="center"/>
          </w:tcPr>
          <w:p w:rsidRPr="00CA2ECC" w:rsidR="00BB664B" w:rsidP="00482202" w:rsidRDefault="00BB664B" w14:paraId="0E97819A" w14:textId="5DE32613">
            <w:pPr>
              <w:pStyle w:val="Paragraph"/>
            </w:pPr>
            <w:r w:rsidRPr="00CA2ECC">
              <w:t>4.000</w:t>
            </w:r>
          </w:p>
        </w:tc>
        <w:tc>
          <w:tcPr>
            <w:tcW w:w="1506" w:type="dxa"/>
            <w:vAlign w:val="center"/>
          </w:tcPr>
          <w:p w:rsidRPr="00CA2ECC" w:rsidR="00BB664B" w:rsidP="00482202" w:rsidRDefault="00BB664B" w14:paraId="6553A698" w14:textId="7FE52765">
            <w:pPr>
              <w:pStyle w:val="Paragraph"/>
            </w:pPr>
            <w:r w:rsidRPr="00CA2ECC">
              <w:t>BID</w:t>
            </w:r>
            <w:r w:rsidRPr="00CA2ECC" w:rsidR="00C236FC">
              <w:t>. Presupuesto transaccional CO-L1248</w:t>
            </w:r>
          </w:p>
        </w:tc>
      </w:tr>
    </w:tbl>
    <w:p w:rsidRPr="00544542" w:rsidR="00D52DBC" w:rsidP="00CA2ECC" w:rsidRDefault="00D52DBC" w14:paraId="732F1AFA" w14:textId="77777777">
      <w:pPr>
        <w:pStyle w:val="AutoNumpara"/>
        <w:keepNext/>
        <w:keepLines/>
        <w:numPr>
          <w:ilvl w:val="0"/>
          <w:numId w:val="0"/>
        </w:numPr>
        <w:tabs>
          <w:tab w:val="left" w:pos="720"/>
        </w:tabs>
        <w:spacing w:line="276" w:lineRule="auto"/>
        <w:rPr>
          <w:rFonts w:cs="Arial"/>
          <w:noProof w:val="0"/>
          <w:sz w:val="22"/>
          <w:szCs w:val="22"/>
          <w:lang w:val="es-ES"/>
        </w:rPr>
      </w:pPr>
    </w:p>
    <w:p w:rsidRPr="00544542" w:rsidR="0080571D" w:rsidP="00CA2ECC" w:rsidRDefault="0080571D" w14:paraId="0347C7B8" w14:textId="54EAE5B2">
      <w:pPr>
        <w:keepNext/>
        <w:keepLines/>
        <w:spacing w:after="160" w:line="276" w:lineRule="auto"/>
        <w:rPr>
          <w:rFonts w:ascii="Arial" w:hAnsi="Arial" w:cs="Arial"/>
          <w:sz w:val="4"/>
          <w:lang w:val="es-ES"/>
        </w:rPr>
      </w:pPr>
      <w:r w:rsidRPr="00544542">
        <w:rPr>
          <w:rFonts w:ascii="Arial" w:hAnsi="Arial" w:cs="Arial"/>
          <w:sz w:val="4"/>
          <w:lang w:val="es-ES"/>
        </w:rPr>
        <w:br w:type="page"/>
      </w:r>
    </w:p>
    <w:p w:rsidRPr="00544542" w:rsidR="0080571D" w:rsidP="00164BDF" w:rsidRDefault="0080571D" w14:paraId="527AC7E9" w14:textId="77777777">
      <w:pPr>
        <w:spacing w:before="120" w:after="120" w:line="276" w:lineRule="auto"/>
        <w:jc w:val="both"/>
        <w:rPr>
          <w:rFonts w:ascii="Arial" w:hAnsi="Arial" w:cs="Arial"/>
          <w:sz w:val="4"/>
          <w:lang w:val="es-ES"/>
        </w:rPr>
      </w:pPr>
    </w:p>
    <w:p w:rsidRPr="00544542" w:rsidR="00A1159F" w:rsidP="009D105A" w:rsidRDefault="00A1159F" w14:paraId="3D6B8DA9" w14:textId="77777777">
      <w:pPr>
        <w:pStyle w:val="Heading1"/>
        <w:numPr>
          <w:ilvl w:val="0"/>
          <w:numId w:val="8"/>
        </w:numPr>
      </w:pPr>
      <w:bookmarkStart w:name="_Toc524778487" w:id="14"/>
      <w:r w:rsidRPr="00544542">
        <w:t>Evaluación</w:t>
      </w:r>
      <w:bookmarkEnd w:id="14"/>
    </w:p>
    <w:p w:rsidRPr="00544542" w:rsidR="003142FE" w:rsidP="00164BDF" w:rsidRDefault="00156264" w14:paraId="46A1668D" w14:textId="224CE394">
      <w:pPr>
        <w:pStyle w:val="AutoNumpara"/>
        <w:numPr>
          <w:ilvl w:val="0"/>
          <w:numId w:val="0"/>
        </w:numPr>
        <w:tabs>
          <w:tab w:val="left" w:pos="720"/>
        </w:tabs>
        <w:spacing w:line="276" w:lineRule="auto"/>
        <w:rPr>
          <w:rFonts w:cs="Arial"/>
          <w:noProof w:val="0"/>
          <w:color w:val="000000"/>
          <w:sz w:val="22"/>
          <w:szCs w:val="22"/>
          <w:lang w:val="es-ES"/>
        </w:rPr>
      </w:pPr>
      <w:r w:rsidRPr="00544542">
        <w:rPr>
          <w:rFonts w:cs="Arial"/>
          <w:noProof w:val="0"/>
          <w:color w:val="000000"/>
          <w:sz w:val="22"/>
          <w:szCs w:val="22"/>
          <w:lang w:val="es-ES"/>
        </w:rPr>
        <w:t>L</w:t>
      </w:r>
      <w:r w:rsidRPr="00544542" w:rsidR="003142FE">
        <w:rPr>
          <w:rFonts w:cs="Arial"/>
          <w:noProof w:val="0"/>
          <w:color w:val="000000"/>
          <w:sz w:val="22"/>
          <w:szCs w:val="22"/>
          <w:lang w:val="es-ES"/>
        </w:rPr>
        <w:t xml:space="preserve">a estrategia de evaluación </w:t>
      </w:r>
      <w:r w:rsidRPr="00544542">
        <w:rPr>
          <w:rFonts w:cs="Arial"/>
          <w:noProof w:val="0"/>
          <w:color w:val="000000"/>
          <w:sz w:val="22"/>
          <w:szCs w:val="22"/>
          <w:lang w:val="es-ES"/>
        </w:rPr>
        <w:t xml:space="preserve">del programa </w:t>
      </w:r>
      <w:r w:rsidRPr="00544542" w:rsidR="003142FE">
        <w:rPr>
          <w:rFonts w:cs="Arial"/>
          <w:noProof w:val="0"/>
          <w:color w:val="000000"/>
          <w:sz w:val="22"/>
          <w:szCs w:val="22"/>
          <w:lang w:val="es-ES"/>
        </w:rPr>
        <w:t>está dividida en 4 partes</w:t>
      </w:r>
      <w:r w:rsidRPr="00544542">
        <w:rPr>
          <w:rFonts w:cs="Arial"/>
          <w:noProof w:val="0"/>
          <w:color w:val="000000"/>
          <w:sz w:val="22"/>
          <w:szCs w:val="22"/>
          <w:lang w:val="es-ES"/>
        </w:rPr>
        <w:t xml:space="preserve">, debido a las diferencias de objetivos específicos y población objetivo entre componentes. </w:t>
      </w:r>
    </w:p>
    <w:p w:rsidRPr="00544542" w:rsidR="00AC40AC" w:rsidP="00164BDF" w:rsidRDefault="00103CFD" w14:paraId="7AD33C96" w14:textId="181D42F3">
      <w:pPr>
        <w:pStyle w:val="AutoNumpara"/>
        <w:numPr>
          <w:ilvl w:val="0"/>
          <w:numId w:val="0"/>
        </w:numPr>
        <w:tabs>
          <w:tab w:val="left" w:pos="720"/>
        </w:tabs>
        <w:spacing w:line="276" w:lineRule="auto"/>
        <w:rPr>
          <w:rFonts w:cs="Arial"/>
          <w:noProof w:val="0"/>
          <w:color w:val="000000"/>
          <w:sz w:val="22"/>
          <w:szCs w:val="22"/>
          <w:lang w:val="es-ES"/>
        </w:rPr>
      </w:pPr>
      <w:r w:rsidRPr="00544542">
        <w:rPr>
          <w:rFonts w:cs="Arial"/>
          <w:b/>
          <w:noProof w:val="0"/>
          <w:color w:val="000000"/>
          <w:sz w:val="22"/>
          <w:szCs w:val="22"/>
          <w:lang w:val="es-ES"/>
        </w:rPr>
        <w:t>Componente 1</w:t>
      </w:r>
      <w:r w:rsidRPr="00544542">
        <w:rPr>
          <w:rFonts w:cs="Arial"/>
          <w:noProof w:val="0"/>
          <w:color w:val="000000"/>
          <w:sz w:val="22"/>
          <w:szCs w:val="22"/>
          <w:lang w:val="es-ES"/>
        </w:rPr>
        <w:t xml:space="preserve">. El componente </w:t>
      </w:r>
      <w:r w:rsidRPr="00544542" w:rsidR="00473D29">
        <w:rPr>
          <w:rFonts w:cs="Arial"/>
          <w:noProof w:val="0"/>
          <w:color w:val="000000"/>
          <w:sz w:val="22"/>
          <w:szCs w:val="22"/>
          <w:lang w:val="es-ES"/>
        </w:rPr>
        <w:t>“Mejoras en la gestión del gasto de servicios y tecnologías no financiados con la UPC</w:t>
      </w:r>
      <w:r w:rsidRPr="00544542" w:rsidR="00207384">
        <w:rPr>
          <w:rFonts w:cs="Arial"/>
          <w:noProof w:val="0"/>
          <w:color w:val="000000"/>
          <w:sz w:val="22"/>
          <w:szCs w:val="22"/>
          <w:lang w:val="es-ES"/>
        </w:rPr>
        <w:t>”</w:t>
      </w:r>
      <w:r w:rsidRPr="00544542">
        <w:rPr>
          <w:rFonts w:cs="Arial"/>
          <w:noProof w:val="0"/>
          <w:color w:val="000000"/>
          <w:sz w:val="22"/>
          <w:szCs w:val="22"/>
          <w:lang w:val="es-ES"/>
        </w:rPr>
        <w:t xml:space="preserve"> </w:t>
      </w:r>
      <w:r w:rsidRPr="00544542" w:rsidR="00473D29">
        <w:rPr>
          <w:rFonts w:cs="Arial"/>
          <w:noProof w:val="0"/>
          <w:color w:val="000000"/>
          <w:sz w:val="22"/>
          <w:szCs w:val="22"/>
          <w:lang w:val="es-ES"/>
        </w:rPr>
        <w:t xml:space="preserve">apunta a aliviar las presiones que afectan el gasto en salud por la prestación de servicios y tecnologías no financiadas con la UPC apoyando la implementación de la Estrategia de Punto Final. </w:t>
      </w:r>
      <w:r w:rsidRPr="00544542" w:rsidR="00AC40AC">
        <w:rPr>
          <w:rFonts w:cs="Arial"/>
          <w:noProof w:val="0"/>
          <w:color w:val="000000"/>
          <w:sz w:val="22"/>
          <w:szCs w:val="22"/>
          <w:lang w:val="es-ES"/>
        </w:rPr>
        <w:t xml:space="preserve">El IVD asociado con el </w:t>
      </w:r>
      <w:r w:rsidR="00CA2ECC">
        <w:rPr>
          <w:rFonts w:cs="Arial"/>
          <w:noProof w:val="0"/>
          <w:color w:val="000000"/>
          <w:sz w:val="22"/>
          <w:szCs w:val="22"/>
          <w:lang w:val="es-ES"/>
        </w:rPr>
        <w:t>C</w:t>
      </w:r>
      <w:r w:rsidRPr="00544542" w:rsidR="00AC40AC">
        <w:rPr>
          <w:rFonts w:cs="Arial"/>
          <w:noProof w:val="0"/>
          <w:color w:val="000000"/>
          <w:sz w:val="22"/>
          <w:szCs w:val="22"/>
          <w:lang w:val="es-ES"/>
        </w:rPr>
        <w:t xml:space="preserve">omponente 1 es “Ahorro por valores máximos de recobro en servicios y tecnologías no financiadas con la UPC en régimen contributivo”.  El costo del componente 1 corresponde a US$75 millones. </w:t>
      </w:r>
    </w:p>
    <w:p w:rsidRPr="00544542" w:rsidR="00007A3C" w:rsidP="00164BDF" w:rsidRDefault="00007A3C" w14:paraId="307B8409" w14:textId="465AFE7C">
      <w:pPr>
        <w:pStyle w:val="AutoNumpara"/>
        <w:numPr>
          <w:ilvl w:val="0"/>
          <w:numId w:val="0"/>
        </w:numPr>
        <w:tabs>
          <w:tab w:val="left" w:pos="720"/>
        </w:tabs>
        <w:spacing w:line="276" w:lineRule="auto"/>
        <w:rPr>
          <w:rFonts w:cs="Arial"/>
          <w:noProof w:val="0"/>
          <w:color w:val="000000"/>
          <w:sz w:val="22"/>
          <w:szCs w:val="22"/>
          <w:lang w:val="es-ES"/>
        </w:rPr>
      </w:pPr>
      <w:r w:rsidRPr="00544542">
        <w:rPr>
          <w:rFonts w:cs="Arial"/>
          <w:b/>
          <w:noProof w:val="0"/>
          <w:color w:val="000000"/>
          <w:sz w:val="22"/>
          <w:szCs w:val="22"/>
          <w:lang w:val="es-ES"/>
        </w:rPr>
        <w:t>Pregunta de evaluación y metodología (</w:t>
      </w:r>
      <w:r w:rsidRPr="00544542" w:rsidR="00493A41">
        <w:rPr>
          <w:rFonts w:cs="Arial"/>
          <w:b/>
          <w:noProof w:val="0"/>
          <w:color w:val="000000"/>
          <w:sz w:val="22"/>
          <w:szCs w:val="22"/>
          <w:lang w:val="es-ES"/>
        </w:rPr>
        <w:t xml:space="preserve">parte </w:t>
      </w:r>
      <w:r w:rsidRPr="00544542">
        <w:rPr>
          <w:rFonts w:cs="Arial"/>
          <w:b/>
          <w:noProof w:val="0"/>
          <w:color w:val="000000"/>
          <w:sz w:val="22"/>
          <w:szCs w:val="22"/>
          <w:lang w:val="es-ES"/>
        </w:rPr>
        <w:t>a).</w:t>
      </w:r>
      <w:r w:rsidRPr="00544542">
        <w:rPr>
          <w:rFonts w:cs="Arial"/>
          <w:noProof w:val="0"/>
          <w:color w:val="000000"/>
          <w:sz w:val="22"/>
          <w:szCs w:val="22"/>
          <w:lang w:val="es-ES"/>
        </w:rPr>
        <w:t xml:space="preserve"> </w:t>
      </w:r>
      <w:r w:rsidRPr="00544542" w:rsidR="00AC40AC">
        <w:rPr>
          <w:rFonts w:cs="Arial"/>
          <w:noProof w:val="0"/>
          <w:color w:val="000000"/>
          <w:sz w:val="22"/>
          <w:szCs w:val="22"/>
          <w:lang w:val="es-ES"/>
        </w:rPr>
        <w:t xml:space="preserve">El objetivo de </w:t>
      </w:r>
      <w:r w:rsidRPr="00544542" w:rsidR="002E61C9">
        <w:rPr>
          <w:rFonts w:cs="Arial"/>
          <w:noProof w:val="0"/>
          <w:color w:val="000000"/>
          <w:sz w:val="22"/>
          <w:szCs w:val="22"/>
          <w:lang w:val="es-ES"/>
        </w:rPr>
        <w:t xml:space="preserve">la </w:t>
      </w:r>
      <w:r w:rsidRPr="00544542" w:rsidR="00AC40AC">
        <w:rPr>
          <w:rFonts w:cs="Arial"/>
          <w:noProof w:val="0"/>
          <w:color w:val="000000"/>
          <w:sz w:val="22"/>
          <w:szCs w:val="22"/>
          <w:lang w:val="es-ES"/>
        </w:rPr>
        <w:t>evaluación es establecer si los ahorros generados por la implementación del componente 1</w:t>
      </w:r>
      <w:r w:rsidRPr="00544542" w:rsidR="00A164A2">
        <w:rPr>
          <w:rFonts w:cs="Arial"/>
          <w:noProof w:val="0"/>
          <w:color w:val="000000"/>
          <w:sz w:val="22"/>
          <w:szCs w:val="22"/>
          <w:lang w:val="es-ES"/>
        </w:rPr>
        <w:t xml:space="preserve">, que pueden considerarse como beneficios monetarios, </w:t>
      </w:r>
      <w:r w:rsidRPr="00544542" w:rsidR="00AC40AC">
        <w:rPr>
          <w:rFonts w:cs="Arial"/>
          <w:noProof w:val="0"/>
          <w:color w:val="000000"/>
          <w:sz w:val="22"/>
          <w:szCs w:val="22"/>
          <w:lang w:val="es-ES"/>
        </w:rPr>
        <w:t>son superiores a</w:t>
      </w:r>
      <w:r w:rsidRPr="00544542" w:rsidR="002E61C9">
        <w:rPr>
          <w:rFonts w:cs="Arial"/>
          <w:noProof w:val="0"/>
          <w:color w:val="000000"/>
          <w:sz w:val="22"/>
          <w:szCs w:val="22"/>
          <w:lang w:val="es-ES"/>
        </w:rPr>
        <w:t xml:space="preserve"> los </w:t>
      </w:r>
      <w:r w:rsidRPr="00544542" w:rsidR="00AC40AC">
        <w:rPr>
          <w:rFonts w:cs="Arial"/>
          <w:noProof w:val="0"/>
          <w:color w:val="000000"/>
          <w:sz w:val="22"/>
          <w:szCs w:val="22"/>
          <w:lang w:val="es-ES"/>
        </w:rPr>
        <w:t>costo</w:t>
      </w:r>
      <w:r w:rsidRPr="00544542" w:rsidR="002E61C9">
        <w:rPr>
          <w:rFonts w:cs="Arial"/>
          <w:noProof w:val="0"/>
          <w:color w:val="000000"/>
          <w:sz w:val="22"/>
          <w:szCs w:val="22"/>
          <w:lang w:val="es-ES"/>
        </w:rPr>
        <w:t>s</w:t>
      </w:r>
      <w:r w:rsidRPr="00544542" w:rsidR="00AC40AC">
        <w:rPr>
          <w:rFonts w:cs="Arial"/>
          <w:noProof w:val="0"/>
          <w:color w:val="000000"/>
          <w:sz w:val="22"/>
          <w:szCs w:val="22"/>
          <w:lang w:val="es-ES"/>
        </w:rPr>
        <w:t xml:space="preserve"> del componente.</w:t>
      </w:r>
      <w:r w:rsidRPr="00544542" w:rsidR="00A164A2">
        <w:rPr>
          <w:rFonts w:cs="Arial"/>
          <w:noProof w:val="0"/>
          <w:color w:val="000000"/>
          <w:sz w:val="22"/>
          <w:szCs w:val="22"/>
          <w:lang w:val="es-ES"/>
        </w:rPr>
        <w:t xml:space="preserve"> Por lo tanto, la pregunta de evaluación es: </w:t>
      </w:r>
      <w:r w:rsidRPr="00544542" w:rsidR="004B3973">
        <w:rPr>
          <w:rFonts w:cs="Arial"/>
          <w:noProof w:val="0"/>
          <w:color w:val="000000"/>
          <w:sz w:val="22"/>
          <w:szCs w:val="22"/>
          <w:lang w:val="es-ES"/>
        </w:rPr>
        <w:t>“</w:t>
      </w:r>
      <w:r w:rsidRPr="00544542" w:rsidR="0014541D">
        <w:rPr>
          <w:rFonts w:cs="Arial"/>
          <w:noProof w:val="0"/>
          <w:color w:val="000000"/>
          <w:sz w:val="22"/>
          <w:szCs w:val="22"/>
          <w:lang w:val="es-ES"/>
        </w:rPr>
        <w:t xml:space="preserve">Los beneficios monetarios asociados con los ahorros generados por la implementación del componente 1 son superiores a sus costos? </w:t>
      </w:r>
      <w:r w:rsidRPr="00544542" w:rsidR="00103CFD">
        <w:rPr>
          <w:rFonts w:cs="Arial"/>
          <w:noProof w:val="0"/>
          <w:color w:val="000000"/>
          <w:sz w:val="22"/>
          <w:szCs w:val="22"/>
          <w:lang w:val="es-ES"/>
        </w:rPr>
        <w:t xml:space="preserve">La metodología de evaluación es un análisis </w:t>
      </w:r>
      <w:proofErr w:type="spellStart"/>
      <w:r w:rsidRPr="00544542" w:rsidR="00EA465C">
        <w:rPr>
          <w:rFonts w:cs="Arial"/>
          <w:i/>
          <w:noProof w:val="0"/>
          <w:color w:val="000000"/>
          <w:sz w:val="22"/>
          <w:szCs w:val="22"/>
          <w:lang w:val="es-ES"/>
        </w:rPr>
        <w:t>ex</w:t>
      </w:r>
      <w:r w:rsidRPr="00544542" w:rsidR="00103CFD">
        <w:rPr>
          <w:rFonts w:cs="Arial"/>
          <w:i/>
          <w:noProof w:val="0"/>
          <w:color w:val="000000"/>
          <w:sz w:val="22"/>
          <w:szCs w:val="22"/>
          <w:lang w:val="es-ES"/>
        </w:rPr>
        <w:t>post</w:t>
      </w:r>
      <w:proofErr w:type="spellEnd"/>
      <w:r w:rsidRPr="00544542" w:rsidR="00103CFD">
        <w:rPr>
          <w:rFonts w:cs="Arial"/>
          <w:noProof w:val="0"/>
          <w:color w:val="000000"/>
          <w:sz w:val="22"/>
          <w:szCs w:val="22"/>
          <w:lang w:val="es-ES"/>
        </w:rPr>
        <w:t xml:space="preserve"> beneficios/costos que se realizará al final del periodo de desembolso del préstamo</w:t>
      </w:r>
      <w:r w:rsidRPr="00544542" w:rsidR="005539C2">
        <w:rPr>
          <w:rFonts w:cs="Arial"/>
          <w:noProof w:val="0"/>
          <w:color w:val="000000"/>
          <w:sz w:val="22"/>
          <w:szCs w:val="22"/>
          <w:lang w:val="es-ES"/>
        </w:rPr>
        <w:t xml:space="preserve"> (2022)</w:t>
      </w:r>
      <w:r w:rsidRPr="00544542" w:rsidR="00BA0D95">
        <w:rPr>
          <w:rFonts w:cs="Arial"/>
          <w:noProof w:val="0"/>
          <w:color w:val="000000"/>
          <w:sz w:val="22"/>
          <w:szCs w:val="22"/>
          <w:lang w:val="es-ES"/>
        </w:rPr>
        <w:t>.</w:t>
      </w:r>
      <w:r w:rsidRPr="00544542" w:rsidR="00103CFD">
        <w:rPr>
          <w:rFonts w:cs="Arial"/>
          <w:noProof w:val="0"/>
          <w:color w:val="000000"/>
          <w:sz w:val="22"/>
          <w:szCs w:val="22"/>
          <w:lang w:val="es-ES"/>
        </w:rPr>
        <w:t xml:space="preserve"> </w:t>
      </w:r>
    </w:p>
    <w:p w:rsidRPr="00544542" w:rsidR="000327DA" w:rsidP="000327DA" w:rsidRDefault="00007A3C" w14:paraId="7BCBB495" w14:textId="67D053D8">
      <w:pPr>
        <w:pStyle w:val="AutoNumpara"/>
        <w:numPr>
          <w:ilvl w:val="0"/>
          <w:numId w:val="0"/>
        </w:numPr>
        <w:tabs>
          <w:tab w:val="left" w:pos="720"/>
        </w:tabs>
        <w:spacing w:line="276" w:lineRule="auto"/>
        <w:rPr>
          <w:rFonts w:cs="Arial"/>
          <w:noProof w:val="0"/>
          <w:color w:val="000000"/>
          <w:sz w:val="22"/>
          <w:szCs w:val="22"/>
          <w:lang w:val="es-ES"/>
        </w:rPr>
      </w:pPr>
      <w:r w:rsidRPr="00544542">
        <w:rPr>
          <w:rFonts w:cs="Arial"/>
          <w:b/>
          <w:noProof w:val="0"/>
          <w:color w:val="000000"/>
          <w:sz w:val="22"/>
          <w:szCs w:val="22"/>
          <w:lang w:val="es-ES"/>
        </w:rPr>
        <w:t>Pregunta de evaluación y metodología (</w:t>
      </w:r>
      <w:r w:rsidRPr="00544542" w:rsidR="00493A41">
        <w:rPr>
          <w:rFonts w:cs="Arial"/>
          <w:b/>
          <w:noProof w:val="0"/>
          <w:color w:val="000000"/>
          <w:sz w:val="22"/>
          <w:szCs w:val="22"/>
          <w:lang w:val="es-ES"/>
        </w:rPr>
        <w:t xml:space="preserve">parte </w:t>
      </w:r>
      <w:r w:rsidRPr="00544542">
        <w:rPr>
          <w:rFonts w:cs="Arial"/>
          <w:b/>
          <w:noProof w:val="0"/>
          <w:color w:val="000000"/>
          <w:sz w:val="22"/>
          <w:szCs w:val="22"/>
          <w:lang w:val="es-ES"/>
        </w:rPr>
        <w:t xml:space="preserve">b). </w:t>
      </w:r>
      <w:r w:rsidRPr="00544542">
        <w:rPr>
          <w:rFonts w:cs="Arial"/>
          <w:noProof w:val="0"/>
          <w:color w:val="000000"/>
          <w:sz w:val="22"/>
          <w:szCs w:val="22"/>
          <w:lang w:val="es-ES"/>
        </w:rPr>
        <w:t xml:space="preserve">El </w:t>
      </w:r>
      <w:r w:rsidRPr="00544542" w:rsidR="005D7833">
        <w:rPr>
          <w:rFonts w:cs="Arial"/>
          <w:noProof w:val="0"/>
          <w:color w:val="000000"/>
          <w:sz w:val="22"/>
          <w:szCs w:val="22"/>
          <w:lang w:val="es-ES"/>
        </w:rPr>
        <w:t xml:space="preserve">análisis </w:t>
      </w:r>
      <w:proofErr w:type="spellStart"/>
      <w:r w:rsidRPr="00544542" w:rsidR="005D7833">
        <w:rPr>
          <w:rFonts w:cs="Arial"/>
          <w:i/>
          <w:noProof w:val="0"/>
          <w:color w:val="000000"/>
          <w:sz w:val="22"/>
          <w:szCs w:val="22"/>
          <w:lang w:val="es-ES"/>
        </w:rPr>
        <w:t>expost</w:t>
      </w:r>
      <w:proofErr w:type="spellEnd"/>
      <w:r w:rsidRPr="00544542" w:rsidR="005D7833">
        <w:rPr>
          <w:rFonts w:cs="Arial"/>
          <w:noProof w:val="0"/>
          <w:color w:val="000000"/>
          <w:sz w:val="22"/>
          <w:szCs w:val="22"/>
          <w:lang w:val="es-ES"/>
        </w:rPr>
        <w:t xml:space="preserve"> beneficios/costos será complementado con un análisis cualitativo basado en entrevistas semiestructuradas para actores clave de la Dirección de Regulación de Beneficios, Costos y Tarifas del Aseguramiento en Salud del MSPS y para los gestores de las EPS. El análisis cualitativo busca contestar a preguntas como: ¿Cuáles fueron las principales debilidades y los principales desafíos en </w:t>
      </w:r>
      <w:r w:rsidRPr="00544542" w:rsidR="001B5EFC">
        <w:rPr>
          <w:rFonts w:cs="Arial"/>
          <w:noProof w:val="0"/>
          <w:color w:val="000000"/>
          <w:sz w:val="22"/>
          <w:szCs w:val="22"/>
          <w:lang w:val="es-ES"/>
        </w:rPr>
        <w:t xml:space="preserve">el proceso de </w:t>
      </w:r>
      <w:r w:rsidRPr="00544542" w:rsidR="005D7833">
        <w:rPr>
          <w:rFonts w:cs="Arial"/>
          <w:noProof w:val="0"/>
          <w:color w:val="000000"/>
          <w:sz w:val="22"/>
          <w:szCs w:val="22"/>
          <w:lang w:val="es-ES"/>
        </w:rPr>
        <w:t xml:space="preserve">implementación de </w:t>
      </w:r>
      <w:r w:rsidRPr="00544542" w:rsidR="000327DA">
        <w:rPr>
          <w:rFonts w:cs="Arial"/>
          <w:noProof w:val="0"/>
          <w:color w:val="000000"/>
          <w:sz w:val="22"/>
          <w:szCs w:val="22"/>
          <w:lang w:val="es-ES"/>
        </w:rPr>
        <w:t xml:space="preserve">la metodología de </w:t>
      </w:r>
      <w:r w:rsidRPr="00544542" w:rsidR="005D7833">
        <w:rPr>
          <w:rFonts w:cs="Arial"/>
          <w:noProof w:val="0"/>
          <w:color w:val="000000"/>
          <w:sz w:val="22"/>
          <w:szCs w:val="22"/>
          <w:lang w:val="es-ES"/>
        </w:rPr>
        <w:t>valores máximos de recobro en servicios y tecnologías no financiadas con la UPC en régimen contributivo? ¿Y cuáles fueron las fortalezas y oportunidades? ¿Cuáles fueron las implicaciones de gestión para las EPS</w:t>
      </w:r>
      <w:r w:rsidRPr="00544542" w:rsidR="001B5EFC">
        <w:rPr>
          <w:rFonts w:cs="Arial"/>
          <w:noProof w:val="0"/>
          <w:color w:val="000000"/>
          <w:sz w:val="22"/>
          <w:szCs w:val="22"/>
          <w:lang w:val="es-ES"/>
        </w:rPr>
        <w:t xml:space="preserve">? </w:t>
      </w:r>
      <w:r w:rsidRPr="00544542" w:rsidR="009A71F1">
        <w:rPr>
          <w:rFonts w:cs="Arial"/>
          <w:noProof w:val="0"/>
          <w:color w:val="000000"/>
          <w:sz w:val="22"/>
          <w:szCs w:val="22"/>
          <w:lang w:val="es-ES"/>
        </w:rPr>
        <w:t xml:space="preserve"> El plan de evaluación incluye un análisis cualitativo</w:t>
      </w:r>
      <w:r w:rsidRPr="00544542" w:rsidR="000327DA">
        <w:rPr>
          <w:rFonts w:cs="Arial"/>
          <w:noProof w:val="0"/>
          <w:color w:val="000000"/>
          <w:sz w:val="22"/>
          <w:szCs w:val="22"/>
          <w:lang w:val="es-ES"/>
        </w:rPr>
        <w:t xml:space="preserve"> debido a que,</w:t>
      </w:r>
      <w:r w:rsidRPr="00544542" w:rsidR="009A71F1">
        <w:rPr>
          <w:rFonts w:cs="Arial"/>
          <w:noProof w:val="0"/>
          <w:color w:val="000000"/>
          <w:sz w:val="22"/>
          <w:szCs w:val="22"/>
          <w:lang w:val="es-ES"/>
        </w:rPr>
        <w:t xml:space="preserve"> en última instancia, el tema de interés es “cómo” </w:t>
      </w:r>
      <w:r w:rsidRPr="00544542" w:rsidR="000327DA">
        <w:rPr>
          <w:rFonts w:cs="Arial"/>
          <w:noProof w:val="0"/>
          <w:color w:val="000000"/>
          <w:sz w:val="22"/>
          <w:szCs w:val="22"/>
          <w:lang w:val="es-ES"/>
        </w:rPr>
        <w:t xml:space="preserve">es posible mejorar la gestión del gasto. Preguntas </w:t>
      </w:r>
      <w:r w:rsidRPr="00544542" w:rsidR="009A71F1">
        <w:rPr>
          <w:rFonts w:cs="Arial"/>
          <w:noProof w:val="0"/>
          <w:color w:val="000000"/>
          <w:sz w:val="22"/>
          <w:szCs w:val="22"/>
          <w:lang w:val="es-ES"/>
        </w:rPr>
        <w:t xml:space="preserve">centradas en el "cómo" pueden abordarse más incisivamente mediante </w:t>
      </w:r>
      <w:r w:rsidRPr="00544542" w:rsidR="000327DA">
        <w:rPr>
          <w:rFonts w:cs="Arial"/>
          <w:noProof w:val="0"/>
          <w:color w:val="000000"/>
          <w:sz w:val="22"/>
          <w:szCs w:val="22"/>
          <w:lang w:val="es-ES"/>
        </w:rPr>
        <w:t>análisis cualitativos y, además, e</w:t>
      </w:r>
      <w:r w:rsidRPr="00544542" w:rsidR="009A71F1">
        <w:rPr>
          <w:rFonts w:cs="Arial"/>
          <w:noProof w:val="0"/>
          <w:color w:val="000000"/>
          <w:sz w:val="22"/>
          <w:szCs w:val="22"/>
          <w:lang w:val="es-ES"/>
        </w:rPr>
        <w:t xml:space="preserve">l uso de múltiples métodos permite </w:t>
      </w:r>
      <w:r w:rsidRPr="00544542" w:rsidR="00853D51">
        <w:rPr>
          <w:rFonts w:cs="Arial"/>
          <w:noProof w:val="0"/>
          <w:color w:val="000000"/>
          <w:sz w:val="22"/>
          <w:szCs w:val="22"/>
          <w:lang w:val="es-ES"/>
        </w:rPr>
        <w:t xml:space="preserve">evaluar la intervención </w:t>
      </w:r>
      <w:r w:rsidRPr="00544542" w:rsidR="009A71F1">
        <w:rPr>
          <w:rFonts w:cs="Arial"/>
          <w:noProof w:val="0"/>
          <w:color w:val="000000"/>
          <w:sz w:val="22"/>
          <w:szCs w:val="22"/>
          <w:lang w:val="es-ES"/>
        </w:rPr>
        <w:t xml:space="preserve">desde diferentes </w:t>
      </w:r>
      <w:r w:rsidRPr="00544542" w:rsidR="000327DA">
        <w:rPr>
          <w:rFonts w:cs="Arial"/>
          <w:noProof w:val="0"/>
          <w:color w:val="000000"/>
          <w:sz w:val="22"/>
          <w:szCs w:val="22"/>
          <w:lang w:val="es-ES"/>
        </w:rPr>
        <w:t xml:space="preserve">perspectivas (Yin, 2008; </w:t>
      </w:r>
      <w:proofErr w:type="spellStart"/>
      <w:r w:rsidRPr="00544542" w:rsidR="000327DA">
        <w:rPr>
          <w:rFonts w:cs="Arial"/>
          <w:noProof w:val="0"/>
          <w:color w:val="000000"/>
          <w:sz w:val="22"/>
          <w:szCs w:val="22"/>
          <w:lang w:val="es-ES"/>
        </w:rPr>
        <w:t>Denscombe</w:t>
      </w:r>
      <w:proofErr w:type="spellEnd"/>
      <w:r w:rsidRPr="00544542" w:rsidR="000327DA">
        <w:rPr>
          <w:rFonts w:cs="Arial"/>
          <w:noProof w:val="0"/>
          <w:color w:val="000000"/>
          <w:sz w:val="22"/>
          <w:szCs w:val="22"/>
          <w:lang w:val="es-ES"/>
        </w:rPr>
        <w:t xml:space="preserve"> 2007). </w:t>
      </w:r>
    </w:p>
    <w:p w:rsidRPr="00544542" w:rsidR="009A71F1" w:rsidP="009C49B0" w:rsidRDefault="009A71F1" w14:paraId="34953140" w14:textId="2CE22C56">
      <w:pPr>
        <w:pStyle w:val="AutoNumpara"/>
        <w:numPr>
          <w:ilvl w:val="0"/>
          <w:numId w:val="0"/>
        </w:numPr>
        <w:tabs>
          <w:tab w:val="left" w:pos="720"/>
        </w:tabs>
        <w:rPr>
          <w:rFonts w:cs="Arial"/>
          <w:noProof w:val="0"/>
          <w:color w:val="000000"/>
          <w:sz w:val="22"/>
          <w:szCs w:val="22"/>
          <w:lang w:val="es-ES"/>
        </w:rPr>
      </w:pPr>
    </w:p>
    <w:p w:rsidRPr="00544542" w:rsidR="00257473" w:rsidP="00164BDF" w:rsidRDefault="008C4EFA" w14:paraId="4243988D" w14:textId="1407EEE6">
      <w:pPr>
        <w:pStyle w:val="AutoNumpara"/>
        <w:numPr>
          <w:ilvl w:val="0"/>
          <w:numId w:val="0"/>
        </w:numPr>
        <w:tabs>
          <w:tab w:val="left" w:pos="720"/>
        </w:tabs>
        <w:spacing w:line="276" w:lineRule="auto"/>
        <w:rPr>
          <w:rFonts w:cs="Arial"/>
          <w:sz w:val="22"/>
          <w:szCs w:val="22"/>
          <w:lang w:val="es-ES"/>
        </w:rPr>
      </w:pPr>
      <w:r w:rsidRPr="00544542">
        <w:rPr>
          <w:rFonts w:cs="Arial"/>
          <w:b/>
          <w:noProof w:val="0"/>
          <w:color w:val="000000"/>
          <w:sz w:val="22"/>
          <w:szCs w:val="22"/>
          <w:lang w:val="es-ES"/>
        </w:rPr>
        <w:t xml:space="preserve">Componente 2. </w:t>
      </w:r>
      <w:r w:rsidRPr="00544542" w:rsidR="00A21820">
        <w:rPr>
          <w:rFonts w:cs="Arial"/>
          <w:noProof w:val="0"/>
          <w:color w:val="000000"/>
          <w:sz w:val="22"/>
          <w:szCs w:val="22"/>
          <w:lang w:val="es-ES"/>
        </w:rPr>
        <w:t>El componente “Modelo de Acción Integral Territorial (MAITE)</w:t>
      </w:r>
      <w:r w:rsidR="00380734">
        <w:rPr>
          <w:rFonts w:cs="Arial"/>
          <w:noProof w:val="0"/>
          <w:color w:val="000000"/>
          <w:sz w:val="22"/>
          <w:szCs w:val="22"/>
          <w:lang w:val="es-ES"/>
        </w:rPr>
        <w:t>”</w:t>
      </w:r>
      <w:r w:rsidRPr="00544542" w:rsidR="00A21820">
        <w:rPr>
          <w:rFonts w:cs="Arial"/>
          <w:noProof w:val="0"/>
          <w:color w:val="000000"/>
          <w:sz w:val="22"/>
          <w:szCs w:val="22"/>
          <w:lang w:val="es-ES"/>
        </w:rPr>
        <w:t xml:space="preserve"> apunta </w:t>
      </w:r>
      <w:r w:rsidRPr="00544542" w:rsidR="0017764F">
        <w:rPr>
          <w:rFonts w:cs="Arial"/>
          <w:noProof w:val="0"/>
          <w:color w:val="000000"/>
          <w:sz w:val="22"/>
          <w:szCs w:val="22"/>
          <w:lang w:val="es-ES"/>
        </w:rPr>
        <w:t>a mejorar</w:t>
      </w:r>
      <w:r w:rsidRPr="00544542" w:rsidR="00A21820">
        <w:rPr>
          <w:rFonts w:cs="Arial"/>
          <w:noProof w:val="0"/>
          <w:color w:val="000000"/>
          <w:sz w:val="22"/>
          <w:szCs w:val="22"/>
          <w:lang w:val="es-ES"/>
        </w:rPr>
        <w:t xml:space="preserve"> la eficiencia y cobertura efectiva del SGSSS, a través de la implementación del MAITE. </w:t>
      </w:r>
      <w:r w:rsidRPr="00544542" w:rsidR="0017764F">
        <w:rPr>
          <w:rFonts w:cs="Arial"/>
          <w:noProof w:val="0"/>
          <w:color w:val="000000"/>
          <w:sz w:val="22"/>
          <w:szCs w:val="22"/>
          <w:lang w:val="es-ES"/>
        </w:rPr>
        <w:t>Los</w:t>
      </w:r>
      <w:r w:rsidR="00894604">
        <w:rPr>
          <w:rFonts w:cs="Arial"/>
          <w:noProof w:val="0"/>
          <w:color w:val="000000"/>
          <w:sz w:val="22"/>
          <w:szCs w:val="22"/>
          <w:lang w:val="es-ES"/>
        </w:rPr>
        <w:t> </w:t>
      </w:r>
      <w:r w:rsidRPr="00544542" w:rsidR="0017764F">
        <w:rPr>
          <w:rFonts w:cs="Arial"/>
          <w:noProof w:val="0"/>
          <w:color w:val="000000"/>
          <w:sz w:val="22"/>
          <w:szCs w:val="22"/>
          <w:lang w:val="es-ES"/>
        </w:rPr>
        <w:t xml:space="preserve">indicadores de resultados asociados con el componente 2 </w:t>
      </w:r>
      <w:r w:rsidRPr="00544542" w:rsidR="00A25611">
        <w:rPr>
          <w:rFonts w:cs="Arial"/>
          <w:noProof w:val="0"/>
          <w:color w:val="000000"/>
          <w:sz w:val="22"/>
          <w:szCs w:val="22"/>
          <w:lang w:val="es-ES"/>
        </w:rPr>
        <w:t>incluyen</w:t>
      </w:r>
      <w:r w:rsidRPr="00544542" w:rsidR="0017764F">
        <w:rPr>
          <w:rFonts w:cs="Arial"/>
          <w:noProof w:val="0"/>
          <w:color w:val="000000"/>
          <w:sz w:val="22"/>
          <w:szCs w:val="22"/>
          <w:lang w:val="es-ES"/>
        </w:rPr>
        <w:t xml:space="preserve">: </w:t>
      </w:r>
      <w:r w:rsidRPr="00544542" w:rsidR="00A25611">
        <w:rPr>
          <w:rFonts w:cs="Arial"/>
          <w:noProof w:val="0"/>
          <w:color w:val="000000"/>
          <w:sz w:val="22"/>
          <w:szCs w:val="22"/>
          <w:lang w:val="es-ES"/>
        </w:rPr>
        <w:t>“</w:t>
      </w:r>
      <w:r w:rsidRPr="00544542" w:rsidR="0017764F">
        <w:rPr>
          <w:rFonts w:cs="Arial"/>
          <w:noProof w:val="0"/>
          <w:color w:val="000000"/>
          <w:sz w:val="22"/>
          <w:szCs w:val="22"/>
          <w:lang w:val="es-ES"/>
        </w:rPr>
        <w:t>Proporción de personas de treinta años o más con tamizaje para riesgo cardiovascular y metabólico</w:t>
      </w:r>
      <w:r w:rsidRPr="00544542" w:rsidR="00A25611">
        <w:rPr>
          <w:rFonts w:cs="Arial"/>
          <w:noProof w:val="0"/>
          <w:color w:val="000000"/>
          <w:sz w:val="22"/>
          <w:szCs w:val="22"/>
          <w:lang w:val="es-ES"/>
        </w:rPr>
        <w:t>”;</w:t>
      </w:r>
      <w:r w:rsidRPr="00544542" w:rsidR="0017764F">
        <w:rPr>
          <w:rFonts w:cs="Arial"/>
          <w:noProof w:val="0"/>
          <w:color w:val="000000"/>
          <w:sz w:val="22"/>
          <w:szCs w:val="22"/>
          <w:lang w:val="es-ES"/>
        </w:rPr>
        <w:t xml:space="preserve"> </w:t>
      </w:r>
      <w:r w:rsidRPr="00544542" w:rsidR="00A25611">
        <w:rPr>
          <w:rFonts w:cs="Arial"/>
          <w:noProof w:val="0"/>
          <w:color w:val="000000"/>
          <w:sz w:val="22"/>
          <w:szCs w:val="22"/>
          <w:lang w:val="es-ES"/>
        </w:rPr>
        <w:t>“</w:t>
      </w:r>
      <w:r w:rsidRPr="00544542" w:rsidR="0017764F">
        <w:rPr>
          <w:rFonts w:cs="Arial"/>
          <w:noProof w:val="0"/>
          <w:color w:val="000000"/>
          <w:sz w:val="22"/>
          <w:szCs w:val="22"/>
          <w:lang w:val="es-ES"/>
        </w:rPr>
        <w:t>Proporción de gestantes con captación temprana al control prenatal (semana 12)</w:t>
      </w:r>
      <w:r w:rsidRPr="00544542" w:rsidR="00A25611">
        <w:rPr>
          <w:rFonts w:cs="Arial"/>
          <w:noProof w:val="0"/>
          <w:color w:val="000000"/>
          <w:sz w:val="22"/>
          <w:szCs w:val="22"/>
          <w:lang w:val="es-ES"/>
        </w:rPr>
        <w:t>”</w:t>
      </w:r>
      <w:r w:rsidRPr="00544542" w:rsidR="0017764F">
        <w:rPr>
          <w:rFonts w:cs="Arial"/>
          <w:noProof w:val="0"/>
          <w:color w:val="000000"/>
          <w:sz w:val="22"/>
          <w:szCs w:val="22"/>
          <w:lang w:val="es-ES"/>
        </w:rPr>
        <w:t xml:space="preserve">; </w:t>
      </w:r>
      <w:r w:rsidRPr="00544542" w:rsidR="00E818BD">
        <w:rPr>
          <w:rFonts w:cs="Arial"/>
          <w:noProof w:val="0"/>
          <w:color w:val="000000"/>
          <w:sz w:val="22"/>
          <w:szCs w:val="22"/>
          <w:lang w:val="es-ES"/>
        </w:rPr>
        <w:t xml:space="preserve">y </w:t>
      </w:r>
      <w:r w:rsidRPr="00544542" w:rsidR="00A25611">
        <w:rPr>
          <w:rFonts w:cs="Arial"/>
          <w:noProof w:val="0"/>
          <w:color w:val="000000"/>
          <w:sz w:val="22"/>
          <w:szCs w:val="22"/>
          <w:lang w:val="es-ES"/>
        </w:rPr>
        <w:t>“</w:t>
      </w:r>
      <w:r w:rsidRPr="00544542" w:rsidR="0017764F">
        <w:rPr>
          <w:rFonts w:cs="Arial"/>
          <w:noProof w:val="0"/>
          <w:color w:val="000000"/>
          <w:sz w:val="22"/>
          <w:szCs w:val="22"/>
          <w:lang w:val="es-ES"/>
        </w:rPr>
        <w:t>Proporción de mujeres entre 25 y 65 años tamizadas para cáncer de cuello uterino con cualquier prueba de tamización</w:t>
      </w:r>
      <w:r w:rsidRPr="00544542" w:rsidR="00A25611">
        <w:rPr>
          <w:rFonts w:cs="Arial"/>
          <w:noProof w:val="0"/>
          <w:color w:val="000000"/>
          <w:sz w:val="22"/>
          <w:szCs w:val="22"/>
          <w:lang w:val="es-ES"/>
        </w:rPr>
        <w:t xml:space="preserve">”. </w:t>
      </w:r>
      <w:r w:rsidRPr="00544542" w:rsidR="00E818BD">
        <w:rPr>
          <w:rFonts w:cs="Arial"/>
          <w:noProof w:val="0"/>
          <w:color w:val="000000"/>
          <w:sz w:val="22"/>
          <w:szCs w:val="22"/>
          <w:lang w:val="es-ES"/>
        </w:rPr>
        <w:t>Se</w:t>
      </w:r>
      <w:r w:rsidR="00894604">
        <w:rPr>
          <w:rFonts w:cs="Arial"/>
          <w:noProof w:val="0"/>
          <w:color w:val="000000"/>
          <w:sz w:val="22"/>
          <w:szCs w:val="22"/>
          <w:lang w:val="es-ES"/>
        </w:rPr>
        <w:t> </w:t>
      </w:r>
      <w:r w:rsidRPr="00544542" w:rsidR="00E818BD">
        <w:rPr>
          <w:rFonts w:cs="Arial"/>
          <w:noProof w:val="0"/>
          <w:color w:val="000000"/>
          <w:sz w:val="22"/>
          <w:szCs w:val="22"/>
          <w:lang w:val="es-ES"/>
        </w:rPr>
        <w:t>espera que la implementación del MAITE contribuya a mejorar estos indicadores.</w:t>
      </w:r>
      <w:r w:rsidRPr="00544542" w:rsidR="004A213B">
        <w:rPr>
          <w:rFonts w:cs="Arial"/>
          <w:noProof w:val="0"/>
          <w:color w:val="000000"/>
          <w:sz w:val="22"/>
          <w:szCs w:val="22"/>
          <w:lang w:val="es-ES"/>
        </w:rPr>
        <w:t xml:space="preserve"> </w:t>
      </w:r>
      <w:r w:rsidRPr="00544542" w:rsidR="00E818BD">
        <w:rPr>
          <w:rFonts w:cs="Arial"/>
          <w:noProof w:val="0"/>
          <w:color w:val="000000"/>
          <w:sz w:val="22"/>
          <w:szCs w:val="22"/>
          <w:lang w:val="es-ES"/>
        </w:rPr>
        <w:t xml:space="preserve">Una revisión de la </w:t>
      </w:r>
      <w:r w:rsidRPr="00544542" w:rsidR="00257473">
        <w:rPr>
          <w:rFonts w:cs="Arial"/>
          <w:sz w:val="22"/>
          <w:szCs w:val="22"/>
          <w:lang w:val="es-ES"/>
        </w:rPr>
        <w:t xml:space="preserve">literatura </w:t>
      </w:r>
      <w:r w:rsidRPr="00544542" w:rsidR="00487963">
        <w:rPr>
          <w:rFonts w:cs="Arial"/>
          <w:sz w:val="22"/>
          <w:szCs w:val="22"/>
          <w:lang w:val="es-ES"/>
        </w:rPr>
        <w:t xml:space="preserve">sobre </w:t>
      </w:r>
      <w:r w:rsidRPr="00544542" w:rsidR="00257473">
        <w:rPr>
          <w:rFonts w:cs="Arial"/>
          <w:sz w:val="22"/>
          <w:szCs w:val="22"/>
          <w:lang w:val="es-ES"/>
        </w:rPr>
        <w:t xml:space="preserve">el impacto de intervenciones basadas en modelos de atención integral con énfasis en atención primaria y promoción en países de bajo y mediano ingreso </w:t>
      </w:r>
      <w:r w:rsidRPr="00544542" w:rsidR="00487963">
        <w:rPr>
          <w:rFonts w:cs="Arial"/>
          <w:sz w:val="22"/>
          <w:szCs w:val="22"/>
          <w:lang w:val="es-ES"/>
        </w:rPr>
        <w:t>confirma</w:t>
      </w:r>
      <w:r w:rsidRPr="00544542" w:rsidR="00257473">
        <w:rPr>
          <w:rFonts w:cs="Arial"/>
          <w:sz w:val="22"/>
          <w:szCs w:val="22"/>
          <w:lang w:val="es-ES"/>
        </w:rPr>
        <w:t xml:space="preserve"> </w:t>
      </w:r>
      <w:r w:rsidRPr="00544542" w:rsidR="00E818BD">
        <w:rPr>
          <w:rFonts w:cs="Arial"/>
          <w:sz w:val="22"/>
          <w:szCs w:val="22"/>
          <w:lang w:val="es-ES"/>
        </w:rPr>
        <w:t>que estos modelos pueden llegar a determinar un</w:t>
      </w:r>
      <w:r w:rsidRPr="00544542" w:rsidR="00257473">
        <w:rPr>
          <w:rFonts w:cs="Arial"/>
          <w:sz w:val="22"/>
          <w:szCs w:val="22"/>
          <w:lang w:val="es-ES"/>
        </w:rPr>
        <w:t xml:space="preserve"> aumento marginal de </w:t>
      </w:r>
      <w:r w:rsidRPr="00544542" w:rsidR="00487963">
        <w:rPr>
          <w:rFonts w:cs="Arial"/>
          <w:sz w:val="22"/>
          <w:szCs w:val="22"/>
          <w:lang w:val="es-ES"/>
        </w:rPr>
        <w:t xml:space="preserve">la </w:t>
      </w:r>
      <w:r w:rsidRPr="00544542" w:rsidR="00257473">
        <w:rPr>
          <w:rFonts w:cs="Arial"/>
          <w:sz w:val="22"/>
          <w:szCs w:val="22"/>
          <w:lang w:val="es-ES"/>
        </w:rPr>
        <w:t xml:space="preserve">cobertura efectiva </w:t>
      </w:r>
      <w:r w:rsidRPr="00544542" w:rsidR="00E818BD">
        <w:rPr>
          <w:rFonts w:cs="Arial"/>
          <w:sz w:val="22"/>
          <w:szCs w:val="22"/>
          <w:lang w:val="es-ES"/>
        </w:rPr>
        <w:t xml:space="preserve">de </w:t>
      </w:r>
      <w:r w:rsidRPr="00544542" w:rsidR="00257473">
        <w:rPr>
          <w:rFonts w:cs="Arial"/>
          <w:sz w:val="22"/>
          <w:szCs w:val="22"/>
          <w:lang w:val="es-ES"/>
        </w:rPr>
        <w:t>hasta 15</w:t>
      </w:r>
      <w:r w:rsidR="004C6708">
        <w:rPr>
          <w:rFonts w:cs="Arial"/>
          <w:sz w:val="22"/>
          <w:szCs w:val="22"/>
          <w:lang w:val="es-ES"/>
        </w:rPr>
        <w:t> </w:t>
      </w:r>
      <w:r w:rsidRPr="00544542" w:rsidR="00257473">
        <w:rPr>
          <w:rFonts w:cs="Arial"/>
          <w:sz w:val="22"/>
          <w:szCs w:val="22"/>
          <w:lang w:val="es-ES"/>
        </w:rPr>
        <w:t xml:space="preserve">puntos porcentuales (Bhutta et al. 2008). </w:t>
      </w:r>
    </w:p>
    <w:p w:rsidRPr="00544542" w:rsidR="002416C7" w:rsidP="001F2A24" w:rsidRDefault="00423722" w14:paraId="393A8CD3" w14:textId="5A2120BC">
      <w:pPr>
        <w:pStyle w:val="AutoNumpara"/>
        <w:numPr>
          <w:ilvl w:val="0"/>
          <w:numId w:val="0"/>
        </w:numPr>
        <w:tabs>
          <w:tab w:val="left" w:pos="720"/>
        </w:tabs>
        <w:spacing w:line="276" w:lineRule="auto"/>
        <w:rPr>
          <w:rFonts w:cs="Arial"/>
          <w:sz w:val="22"/>
          <w:szCs w:val="22"/>
          <w:lang w:val="es-ES"/>
        </w:rPr>
      </w:pPr>
      <w:r w:rsidRPr="00544542">
        <w:rPr>
          <w:rFonts w:cs="Arial"/>
          <w:b/>
          <w:noProof w:val="0"/>
          <w:color w:val="000000"/>
          <w:sz w:val="22"/>
          <w:szCs w:val="22"/>
          <w:lang w:val="es-ES"/>
        </w:rPr>
        <w:lastRenderedPageBreak/>
        <w:t>Pregunta de evaluación y metodología (</w:t>
      </w:r>
      <w:r w:rsidRPr="00544542" w:rsidR="00493A41">
        <w:rPr>
          <w:rFonts w:cs="Arial"/>
          <w:b/>
          <w:noProof w:val="0"/>
          <w:color w:val="000000"/>
          <w:sz w:val="22"/>
          <w:szCs w:val="22"/>
          <w:lang w:val="es-ES"/>
        </w:rPr>
        <w:t xml:space="preserve">parte </w:t>
      </w:r>
      <w:r w:rsidRPr="00544542">
        <w:rPr>
          <w:rFonts w:cs="Arial"/>
          <w:b/>
          <w:noProof w:val="0"/>
          <w:color w:val="000000"/>
          <w:sz w:val="22"/>
          <w:szCs w:val="22"/>
          <w:lang w:val="es-ES"/>
        </w:rPr>
        <w:t>a).</w:t>
      </w:r>
      <w:r w:rsidRPr="00544542">
        <w:rPr>
          <w:rFonts w:cs="Arial"/>
          <w:noProof w:val="0"/>
          <w:color w:val="000000"/>
          <w:sz w:val="22"/>
          <w:szCs w:val="22"/>
          <w:lang w:val="es-ES"/>
        </w:rPr>
        <w:t xml:space="preserve"> </w:t>
      </w:r>
      <w:r w:rsidRPr="00544542" w:rsidR="00A920D8">
        <w:rPr>
          <w:rFonts w:cs="Arial"/>
          <w:sz w:val="22"/>
          <w:szCs w:val="22"/>
          <w:lang w:val="es-ES"/>
        </w:rPr>
        <w:t xml:space="preserve">Se plantea evaluar el </w:t>
      </w:r>
      <w:r w:rsidR="006D7908">
        <w:rPr>
          <w:rFonts w:cs="Arial"/>
          <w:sz w:val="22"/>
          <w:szCs w:val="22"/>
          <w:lang w:val="es-ES"/>
        </w:rPr>
        <w:t>C</w:t>
      </w:r>
      <w:r w:rsidRPr="00544542" w:rsidR="009C31CD">
        <w:rPr>
          <w:rFonts w:cs="Arial"/>
          <w:sz w:val="22"/>
          <w:szCs w:val="22"/>
          <w:lang w:val="es-ES"/>
        </w:rPr>
        <w:t xml:space="preserve">omponente 2 </w:t>
      </w:r>
      <w:r w:rsidRPr="00544542" w:rsidR="00A920D8">
        <w:rPr>
          <w:rFonts w:cs="Arial"/>
          <w:sz w:val="22"/>
          <w:szCs w:val="22"/>
          <w:lang w:val="es-ES"/>
        </w:rPr>
        <w:t>a partir de la metodología de antes y después (</w:t>
      </w:r>
      <w:r w:rsidRPr="00544542" w:rsidR="00A920D8">
        <w:rPr>
          <w:rFonts w:cs="Arial"/>
          <w:i/>
          <w:sz w:val="22"/>
          <w:szCs w:val="22"/>
          <w:lang w:val="es-ES"/>
        </w:rPr>
        <w:t>before and after</w:t>
      </w:r>
      <w:r w:rsidRPr="00544542" w:rsidR="00A920D8">
        <w:rPr>
          <w:rFonts w:cs="Arial"/>
          <w:sz w:val="22"/>
          <w:szCs w:val="22"/>
          <w:lang w:val="es-ES"/>
        </w:rPr>
        <w:t>, en inglés). En otras palabras, se propone evaluar la evolución de los indicadores de resultados seleccionados antes y después de la operación.</w:t>
      </w:r>
      <w:r w:rsidRPr="00544542" w:rsidR="009C31CD">
        <w:rPr>
          <w:rFonts w:cs="Arial"/>
          <w:sz w:val="22"/>
          <w:szCs w:val="22"/>
          <w:lang w:val="es-ES"/>
        </w:rPr>
        <w:t xml:space="preserve"> </w:t>
      </w:r>
      <w:r w:rsidRPr="00544542" w:rsidR="00917909">
        <w:rPr>
          <w:rFonts w:cs="Arial"/>
          <w:sz w:val="22"/>
          <w:szCs w:val="22"/>
          <w:lang w:val="es-ES"/>
        </w:rPr>
        <w:t xml:space="preserve">Metodologias alternativas basadas en la identificaion de un grupo de control (p. ej. </w:t>
      </w:r>
      <w:r w:rsidRPr="00544542" w:rsidR="00917909">
        <w:rPr>
          <w:rFonts w:cs="Arial"/>
          <w:i/>
          <w:sz w:val="22"/>
          <w:szCs w:val="22"/>
          <w:lang w:val="es-ES"/>
        </w:rPr>
        <w:t>Difference  in difference</w:t>
      </w:r>
      <w:r w:rsidRPr="00544542" w:rsidR="00917909">
        <w:rPr>
          <w:rFonts w:cs="Arial"/>
          <w:sz w:val="22"/>
          <w:szCs w:val="22"/>
          <w:lang w:val="es-ES"/>
        </w:rPr>
        <w:t xml:space="preserve"> y </w:t>
      </w:r>
      <w:r w:rsidRPr="00544542" w:rsidR="00917909">
        <w:rPr>
          <w:rFonts w:cs="Arial"/>
          <w:i/>
          <w:sz w:val="22"/>
          <w:szCs w:val="22"/>
          <w:lang w:val="es-ES"/>
        </w:rPr>
        <w:t>sythetic control</w:t>
      </w:r>
      <w:r w:rsidRPr="00544542" w:rsidR="00917909">
        <w:rPr>
          <w:rFonts w:cs="Arial"/>
          <w:sz w:val="22"/>
          <w:szCs w:val="22"/>
          <w:lang w:val="es-ES"/>
        </w:rPr>
        <w:t xml:space="preserve">) resultan inadecuatas, ya que </w:t>
      </w:r>
      <w:r w:rsidRPr="00544542" w:rsidR="009C31CD">
        <w:rPr>
          <w:rFonts w:cs="Arial"/>
          <w:sz w:val="22"/>
          <w:szCs w:val="22"/>
          <w:lang w:val="es-ES"/>
        </w:rPr>
        <w:t xml:space="preserve">el MAITE </w:t>
      </w:r>
      <w:r w:rsidRPr="00544542" w:rsidR="00BA74B1">
        <w:rPr>
          <w:rFonts w:cs="Arial"/>
          <w:sz w:val="22"/>
          <w:szCs w:val="22"/>
          <w:lang w:val="es-ES"/>
        </w:rPr>
        <w:t>se implementará a nivel nacional</w:t>
      </w:r>
      <w:r w:rsidRPr="00544542">
        <w:rPr>
          <w:rFonts w:cs="Arial"/>
          <w:sz w:val="22"/>
          <w:szCs w:val="22"/>
          <w:lang w:val="es-ES"/>
        </w:rPr>
        <w:t xml:space="preserve"> y, por lo tanto, es no </w:t>
      </w:r>
      <w:r w:rsidRPr="00544542" w:rsidR="00511CB9">
        <w:rPr>
          <w:rFonts w:cs="Arial"/>
          <w:sz w:val="22"/>
          <w:szCs w:val="22"/>
          <w:lang w:val="es-ES"/>
        </w:rPr>
        <w:t xml:space="preserve">es posible identificar </w:t>
      </w:r>
      <w:r w:rsidRPr="00544542">
        <w:rPr>
          <w:rFonts w:cs="Arial"/>
          <w:sz w:val="22"/>
          <w:szCs w:val="22"/>
          <w:lang w:val="es-ES"/>
        </w:rPr>
        <w:t xml:space="preserve">un grupo de control. </w:t>
      </w:r>
      <w:r w:rsidRPr="00544542" w:rsidR="00A920D8">
        <w:rPr>
          <w:rFonts w:cs="Arial"/>
          <w:sz w:val="22"/>
          <w:szCs w:val="22"/>
          <w:lang w:val="es-ES"/>
        </w:rPr>
        <w:t xml:space="preserve">La pregunta específica de evaluación </w:t>
      </w:r>
      <w:r w:rsidRPr="00544542" w:rsidR="00627256">
        <w:rPr>
          <w:rFonts w:cs="Arial"/>
          <w:sz w:val="22"/>
          <w:szCs w:val="22"/>
          <w:lang w:val="es-ES"/>
        </w:rPr>
        <w:t>es</w:t>
      </w:r>
      <w:r w:rsidRPr="00544542" w:rsidR="00A920D8">
        <w:rPr>
          <w:rFonts w:cs="Arial"/>
          <w:sz w:val="22"/>
          <w:szCs w:val="22"/>
          <w:lang w:val="es-ES"/>
        </w:rPr>
        <w:t>: ¿Cómo cambió el indicador "</w:t>
      </w:r>
      <w:r w:rsidRPr="00544542" w:rsidR="00627256">
        <w:rPr>
          <w:rFonts w:cs="Arial"/>
          <w:noProof w:val="0"/>
          <w:color w:val="000000"/>
          <w:sz w:val="22"/>
          <w:szCs w:val="22"/>
          <w:lang w:val="es-ES"/>
        </w:rPr>
        <w:t>Proporción de personas de treinta años o más con tamizaje para riesgo cardiovascular y metabólico”</w:t>
      </w:r>
      <w:r w:rsidRPr="00544542" w:rsidR="00627256">
        <w:rPr>
          <w:rFonts w:cs="Arial"/>
          <w:sz w:val="22"/>
          <w:szCs w:val="22"/>
          <w:lang w:val="es-ES"/>
        </w:rPr>
        <w:t xml:space="preserve">? </w:t>
      </w:r>
      <w:r w:rsidRPr="00544542" w:rsidR="00A920D8">
        <w:rPr>
          <w:rFonts w:cs="Arial"/>
          <w:sz w:val="22"/>
          <w:szCs w:val="22"/>
          <w:lang w:val="es-ES"/>
        </w:rPr>
        <w:t>La misma pregunta se puede replicar</w:t>
      </w:r>
      <w:r w:rsidRPr="00544542" w:rsidR="00627256">
        <w:rPr>
          <w:rFonts w:cs="Arial"/>
          <w:sz w:val="22"/>
          <w:szCs w:val="22"/>
          <w:lang w:val="es-ES"/>
        </w:rPr>
        <w:t xml:space="preserve"> a los otros indicadores de resultado asociados con el componente 2. </w:t>
      </w:r>
      <w:r w:rsidRPr="00544542" w:rsidR="00FA5AA1">
        <w:rPr>
          <w:rFonts w:cs="Arial"/>
          <w:sz w:val="22"/>
          <w:szCs w:val="22"/>
          <w:lang w:val="es-ES"/>
        </w:rPr>
        <w:t xml:space="preserve"> </w:t>
      </w:r>
      <w:r w:rsidRPr="00544542" w:rsidR="00FA5AA1">
        <w:rPr>
          <w:rFonts w:cs="Arial"/>
          <w:noProof w:val="0"/>
          <w:color w:val="000000"/>
          <w:sz w:val="22"/>
          <w:szCs w:val="22"/>
          <w:lang w:val="es-ES"/>
        </w:rPr>
        <w:t>La fuente de verificación es el registro de prestaciones individuales RIPS, que se actualiza de manera continua</w:t>
      </w:r>
      <w:r w:rsidRPr="00544542" w:rsidR="00FA5AA1">
        <w:rPr>
          <w:rFonts w:cs="Arial"/>
          <w:sz w:val="22"/>
          <w:szCs w:val="22"/>
          <w:lang w:val="es-ES"/>
        </w:rPr>
        <w:t xml:space="preserve">. Debido al enfoque territorial del MAITE, el indicador se calculará a nivel de departamentos, para todos </w:t>
      </w:r>
      <w:r w:rsidRPr="00544542" w:rsidR="00574D00">
        <w:rPr>
          <w:rFonts w:cs="Arial"/>
          <w:sz w:val="22"/>
          <w:szCs w:val="22"/>
          <w:lang w:val="es-ES"/>
        </w:rPr>
        <w:t xml:space="preserve">aquellos departamentos que </w:t>
      </w:r>
      <w:r w:rsidRPr="00544542" w:rsidR="00FA5AA1">
        <w:rPr>
          <w:rFonts w:cs="Arial"/>
          <w:sz w:val="22"/>
          <w:szCs w:val="22"/>
          <w:lang w:val="es-ES"/>
        </w:rPr>
        <w:t>hace</w:t>
      </w:r>
      <w:r w:rsidRPr="00544542" w:rsidR="00574D00">
        <w:rPr>
          <w:rFonts w:cs="Arial"/>
          <w:sz w:val="22"/>
          <w:szCs w:val="22"/>
          <w:lang w:val="es-ES"/>
        </w:rPr>
        <w:t>n</w:t>
      </w:r>
      <w:r w:rsidRPr="00544542" w:rsidR="00FA5AA1">
        <w:rPr>
          <w:rFonts w:cs="Arial"/>
          <w:sz w:val="22"/>
          <w:szCs w:val="22"/>
          <w:lang w:val="es-ES"/>
        </w:rPr>
        <w:t xml:space="preserve"> seguimiento de actividades programáticas de promoción y mantenimiento de la salud en el marco de los acuerdos MAITE a través del sistema de información del MSPS. </w:t>
      </w:r>
      <w:r w:rsidR="00713491">
        <w:rPr>
          <w:rFonts w:cs="Arial"/>
          <w:sz w:val="22"/>
          <w:szCs w:val="22"/>
          <w:lang w:val="es-ES"/>
        </w:rPr>
        <w:t xml:space="preserve">Inicialmente, se tiene previsto los siguientes </w:t>
      </w:r>
      <w:r w:rsidRPr="00544542" w:rsidR="002416C7">
        <w:rPr>
          <w:rFonts w:cs="Arial"/>
          <w:sz w:val="22"/>
          <w:szCs w:val="22"/>
          <w:lang w:val="es-ES"/>
        </w:rPr>
        <w:t>departamentos</w:t>
      </w:r>
      <w:r w:rsidRPr="00544542" w:rsidR="003D202B">
        <w:rPr>
          <w:rFonts w:cs="Arial"/>
          <w:sz w:val="22"/>
          <w:szCs w:val="22"/>
          <w:lang w:val="es-ES"/>
        </w:rPr>
        <w:t>:</w:t>
      </w:r>
      <w:r w:rsidRPr="00544542" w:rsidR="002416C7">
        <w:rPr>
          <w:rFonts w:cs="Arial"/>
          <w:sz w:val="22"/>
          <w:szCs w:val="22"/>
          <w:lang w:val="es-ES"/>
        </w:rPr>
        <w:t xml:space="preserve"> Amazonas, Guajira, San Andrés, Cesar, Chocó, Buenaventura, Tumaco, Vichada, Vaupues</w:t>
      </w:r>
      <w:r w:rsidR="00713491">
        <w:rPr>
          <w:rFonts w:cs="Arial"/>
          <w:sz w:val="22"/>
          <w:szCs w:val="22"/>
          <w:lang w:val="es-ES"/>
        </w:rPr>
        <w:t xml:space="preserve"> y</w:t>
      </w:r>
      <w:r w:rsidRPr="00544542" w:rsidR="002416C7">
        <w:rPr>
          <w:rFonts w:cs="Arial"/>
          <w:sz w:val="22"/>
          <w:szCs w:val="22"/>
          <w:lang w:val="es-ES"/>
        </w:rPr>
        <w:t xml:space="preserve"> Risaralda.</w:t>
      </w:r>
      <w:r w:rsidRPr="00544542" w:rsidR="000F57D0">
        <w:rPr>
          <w:rFonts w:cs="Arial"/>
          <w:noProof w:val="0"/>
          <w:color w:val="000000"/>
          <w:sz w:val="22"/>
          <w:szCs w:val="22"/>
          <w:lang w:val="es-ES"/>
        </w:rPr>
        <w:t xml:space="preserve"> </w:t>
      </w:r>
      <w:r w:rsidRPr="00544542" w:rsidR="00574D00">
        <w:rPr>
          <w:rFonts w:cs="Arial"/>
          <w:noProof w:val="0"/>
          <w:color w:val="000000"/>
          <w:sz w:val="22"/>
          <w:szCs w:val="22"/>
          <w:lang w:val="es-ES"/>
        </w:rPr>
        <w:t xml:space="preserve">Por lo tanto, la evaluación </w:t>
      </w:r>
      <w:r w:rsidR="003C7607">
        <w:rPr>
          <w:rFonts w:cs="Arial"/>
          <w:noProof w:val="0"/>
          <w:color w:val="000000"/>
          <w:sz w:val="22"/>
          <w:szCs w:val="22"/>
          <w:lang w:val="es-ES"/>
        </w:rPr>
        <w:t>incluye tanto un análisis agregado,</w:t>
      </w:r>
      <w:r w:rsidRPr="00544542" w:rsidR="00574D00">
        <w:rPr>
          <w:rFonts w:cs="Arial"/>
          <w:noProof w:val="0"/>
          <w:color w:val="000000"/>
          <w:sz w:val="22"/>
          <w:szCs w:val="22"/>
          <w:lang w:val="es-ES"/>
        </w:rPr>
        <w:t xml:space="preserve"> como un análisis comparativo entre departamentos. </w:t>
      </w:r>
    </w:p>
    <w:p w:rsidRPr="00544542" w:rsidR="002739F5" w:rsidP="003E2F88" w:rsidRDefault="00511CB9" w14:paraId="001653C6" w14:textId="26F98DB2">
      <w:pPr>
        <w:pStyle w:val="AutoNumpara"/>
        <w:numPr>
          <w:ilvl w:val="0"/>
          <w:numId w:val="0"/>
        </w:numPr>
        <w:spacing w:line="276" w:lineRule="auto"/>
        <w:rPr>
          <w:rFonts w:cs="Arial"/>
          <w:sz w:val="22"/>
          <w:szCs w:val="22"/>
          <w:lang w:val="es-ES"/>
        </w:rPr>
      </w:pPr>
      <w:r w:rsidRPr="00544542">
        <w:rPr>
          <w:rFonts w:cs="Arial"/>
          <w:b/>
          <w:noProof w:val="0"/>
          <w:color w:val="000000"/>
          <w:sz w:val="22"/>
          <w:szCs w:val="22"/>
          <w:lang w:val="es-ES"/>
        </w:rPr>
        <w:t>Pregunta de evaluación y metodología (</w:t>
      </w:r>
      <w:r w:rsidRPr="00544542" w:rsidR="00493A41">
        <w:rPr>
          <w:rFonts w:cs="Arial"/>
          <w:b/>
          <w:noProof w:val="0"/>
          <w:color w:val="000000"/>
          <w:sz w:val="22"/>
          <w:szCs w:val="22"/>
          <w:lang w:val="es-ES"/>
        </w:rPr>
        <w:t xml:space="preserve">parte </w:t>
      </w:r>
      <w:r w:rsidR="00B070C9">
        <w:rPr>
          <w:rFonts w:cs="Arial"/>
          <w:b/>
          <w:noProof w:val="0"/>
          <w:color w:val="000000"/>
          <w:sz w:val="22"/>
          <w:szCs w:val="22"/>
          <w:lang w:val="es-ES"/>
        </w:rPr>
        <w:t>b</w:t>
      </w:r>
      <w:r w:rsidRPr="00544542">
        <w:rPr>
          <w:rFonts w:cs="Arial"/>
          <w:b/>
          <w:noProof w:val="0"/>
          <w:color w:val="000000"/>
          <w:sz w:val="22"/>
          <w:szCs w:val="22"/>
          <w:lang w:val="es-ES"/>
        </w:rPr>
        <w:t xml:space="preserve">). </w:t>
      </w:r>
      <w:r w:rsidRPr="00544542" w:rsidR="00574D00">
        <w:rPr>
          <w:rFonts w:cs="Arial"/>
          <w:sz w:val="22"/>
          <w:szCs w:val="22"/>
          <w:lang w:val="es-ES"/>
        </w:rPr>
        <w:t>L</w:t>
      </w:r>
      <w:r w:rsidRPr="00544542">
        <w:rPr>
          <w:rFonts w:cs="Arial"/>
          <w:sz w:val="22"/>
          <w:szCs w:val="22"/>
          <w:lang w:val="es-ES"/>
        </w:rPr>
        <w:t xml:space="preserve">a metodología de antes y después </w:t>
      </w:r>
      <w:r w:rsidRPr="00544542">
        <w:rPr>
          <w:rFonts w:cs="Arial"/>
          <w:noProof w:val="0"/>
          <w:color w:val="000000"/>
          <w:sz w:val="22"/>
          <w:szCs w:val="22"/>
          <w:lang w:val="es-ES"/>
        </w:rPr>
        <w:t>será complementad</w:t>
      </w:r>
      <w:r w:rsidRPr="00544542" w:rsidR="002739F5">
        <w:rPr>
          <w:rFonts w:cs="Arial"/>
          <w:noProof w:val="0"/>
          <w:color w:val="000000"/>
          <w:sz w:val="22"/>
          <w:szCs w:val="22"/>
          <w:lang w:val="es-ES"/>
        </w:rPr>
        <w:t>a</w:t>
      </w:r>
      <w:r w:rsidRPr="00544542">
        <w:rPr>
          <w:rFonts w:cs="Arial"/>
          <w:noProof w:val="0"/>
          <w:color w:val="000000"/>
          <w:sz w:val="22"/>
          <w:szCs w:val="22"/>
          <w:lang w:val="es-ES"/>
        </w:rPr>
        <w:t xml:space="preserve"> con un análisis cualitativo basado en entrevistas semiestructuradas para</w:t>
      </w:r>
      <w:r w:rsidRPr="00544542" w:rsidR="004C2B55">
        <w:rPr>
          <w:rFonts w:cs="Arial"/>
          <w:noProof w:val="0"/>
          <w:color w:val="000000"/>
          <w:sz w:val="22"/>
          <w:szCs w:val="22"/>
          <w:lang w:val="es-ES"/>
        </w:rPr>
        <w:t xml:space="preserve"> </w:t>
      </w:r>
      <w:r w:rsidRPr="00544542">
        <w:rPr>
          <w:rFonts w:cs="Arial"/>
          <w:noProof w:val="0"/>
          <w:color w:val="000000"/>
          <w:sz w:val="22"/>
          <w:szCs w:val="22"/>
          <w:lang w:val="es-ES"/>
        </w:rPr>
        <w:t>los gerentes de las entidades (departamento, EPS, IPS)</w:t>
      </w:r>
      <w:r w:rsidRPr="00544542" w:rsidR="002739F5">
        <w:rPr>
          <w:rFonts w:cs="Arial"/>
          <w:noProof w:val="0"/>
          <w:color w:val="000000"/>
          <w:sz w:val="22"/>
          <w:szCs w:val="22"/>
          <w:lang w:val="es-ES"/>
        </w:rPr>
        <w:t>,</w:t>
      </w:r>
      <w:r w:rsidRPr="00544542">
        <w:rPr>
          <w:rFonts w:cs="Arial"/>
          <w:noProof w:val="0"/>
          <w:color w:val="000000"/>
          <w:sz w:val="22"/>
          <w:szCs w:val="22"/>
          <w:lang w:val="es-ES"/>
        </w:rPr>
        <w:t xml:space="preserve"> así como </w:t>
      </w:r>
      <w:r w:rsidRPr="00544542" w:rsidR="004C2B55">
        <w:rPr>
          <w:rFonts w:cs="Arial"/>
          <w:noProof w:val="0"/>
          <w:color w:val="000000"/>
          <w:sz w:val="22"/>
          <w:szCs w:val="22"/>
          <w:lang w:val="es-ES"/>
        </w:rPr>
        <w:t xml:space="preserve">para </w:t>
      </w:r>
      <w:r w:rsidRPr="00544542">
        <w:rPr>
          <w:rFonts w:cs="Arial"/>
          <w:noProof w:val="0"/>
          <w:color w:val="000000"/>
          <w:sz w:val="22"/>
          <w:szCs w:val="22"/>
          <w:lang w:val="es-ES"/>
        </w:rPr>
        <w:t xml:space="preserve">los actores claves involucrados </w:t>
      </w:r>
      <w:r w:rsidRPr="00544542" w:rsidR="002739F5">
        <w:rPr>
          <w:rFonts w:cs="Arial"/>
          <w:noProof w:val="0"/>
          <w:color w:val="000000"/>
          <w:sz w:val="22"/>
          <w:szCs w:val="22"/>
          <w:lang w:val="es-ES"/>
        </w:rPr>
        <w:t>en</w:t>
      </w:r>
      <w:r w:rsidRPr="00544542">
        <w:rPr>
          <w:rFonts w:cs="Arial"/>
          <w:noProof w:val="0"/>
          <w:color w:val="000000"/>
          <w:sz w:val="22"/>
          <w:szCs w:val="22"/>
          <w:lang w:val="es-ES"/>
        </w:rPr>
        <w:t xml:space="preserve"> la implementación del MAITE</w:t>
      </w:r>
      <w:r w:rsidRPr="00544542" w:rsidR="00A3260C">
        <w:rPr>
          <w:rFonts w:cs="Arial"/>
          <w:noProof w:val="0"/>
          <w:color w:val="000000"/>
          <w:sz w:val="22"/>
          <w:szCs w:val="22"/>
          <w:lang w:val="es-ES"/>
        </w:rPr>
        <w:t>.</w:t>
      </w:r>
      <w:r w:rsidRPr="00544542">
        <w:rPr>
          <w:rFonts w:cs="Arial"/>
          <w:noProof w:val="0"/>
          <w:color w:val="000000"/>
          <w:sz w:val="22"/>
          <w:szCs w:val="22"/>
          <w:lang w:val="es-ES"/>
        </w:rPr>
        <w:t xml:space="preserve"> </w:t>
      </w:r>
      <w:r w:rsidRPr="00544542" w:rsidR="002739F5">
        <w:rPr>
          <w:rFonts w:cs="Arial"/>
          <w:noProof w:val="0"/>
          <w:color w:val="000000"/>
          <w:sz w:val="22"/>
          <w:szCs w:val="22"/>
          <w:lang w:val="es-ES"/>
        </w:rPr>
        <w:t>Este análisis cualitativo se realizará en cuatro de los diez departamentos q</w:t>
      </w:r>
      <w:r w:rsidRPr="00544542" w:rsidR="002739F5">
        <w:rPr>
          <w:rFonts w:cs="Arial"/>
          <w:sz w:val="22"/>
          <w:szCs w:val="22"/>
          <w:lang w:val="es-ES"/>
        </w:rPr>
        <w:t xml:space="preserve">ue hacen seguimiento de actividades programáticas de promoción y mantenimiento de la salud en el marco de los acuerdos MAITE a través del sistema de información del MSPS. </w:t>
      </w:r>
      <w:r w:rsidRPr="00544542" w:rsidR="00EF7DF8">
        <w:rPr>
          <w:rFonts w:cs="Arial"/>
          <w:noProof w:val="0"/>
          <w:sz w:val="22"/>
          <w:szCs w:val="22"/>
          <w:lang w:val="es-ES"/>
        </w:rPr>
        <w:t xml:space="preserve">Considerando </w:t>
      </w:r>
      <w:r w:rsidRPr="00544542" w:rsidR="002739F5">
        <w:rPr>
          <w:rFonts w:cs="Arial"/>
          <w:noProof w:val="0"/>
          <w:sz w:val="22"/>
          <w:szCs w:val="22"/>
          <w:lang w:val="es-ES"/>
        </w:rPr>
        <w:t xml:space="preserve">el enfoque territorial del MAITE, el objetivo es ofrecer un </w:t>
      </w:r>
      <w:r w:rsidRPr="00544542" w:rsidR="00EF7DF8">
        <w:rPr>
          <w:rFonts w:cs="Arial"/>
          <w:noProof w:val="0"/>
          <w:sz w:val="22"/>
          <w:szCs w:val="22"/>
          <w:lang w:val="es-ES"/>
        </w:rPr>
        <w:t>análisis</w:t>
      </w:r>
      <w:r w:rsidRPr="00544542" w:rsidR="002739F5">
        <w:rPr>
          <w:rFonts w:cs="Arial"/>
          <w:noProof w:val="0"/>
          <w:sz w:val="22"/>
          <w:szCs w:val="22"/>
          <w:lang w:val="es-ES"/>
        </w:rPr>
        <w:t xml:space="preserve"> comparativo entre </w:t>
      </w:r>
      <w:r w:rsidRPr="00544542" w:rsidR="00EF7DF8">
        <w:rPr>
          <w:rFonts w:cs="Arial"/>
          <w:noProof w:val="0"/>
          <w:sz w:val="22"/>
          <w:szCs w:val="22"/>
          <w:lang w:val="es-ES"/>
        </w:rPr>
        <w:t>departamentos</w:t>
      </w:r>
      <w:r w:rsidRPr="00544542" w:rsidR="002739F5">
        <w:rPr>
          <w:rFonts w:cs="Arial"/>
          <w:noProof w:val="0"/>
          <w:sz w:val="22"/>
          <w:szCs w:val="22"/>
          <w:lang w:val="es-ES"/>
        </w:rPr>
        <w:t xml:space="preserve"> sobre el proceso de </w:t>
      </w:r>
      <w:r w:rsidRPr="00544542" w:rsidR="00EF7DF8">
        <w:rPr>
          <w:rFonts w:cs="Arial"/>
          <w:noProof w:val="0"/>
          <w:sz w:val="22"/>
          <w:szCs w:val="22"/>
          <w:lang w:val="es-ES"/>
        </w:rPr>
        <w:t>implementación</w:t>
      </w:r>
      <w:r w:rsidRPr="00544542" w:rsidR="002739F5">
        <w:rPr>
          <w:rFonts w:cs="Arial"/>
          <w:noProof w:val="0"/>
          <w:sz w:val="22"/>
          <w:szCs w:val="22"/>
          <w:lang w:val="es-ES"/>
        </w:rPr>
        <w:t xml:space="preserve"> del MAITE</w:t>
      </w:r>
      <w:r w:rsidRPr="00544542" w:rsidR="00EF7DF8">
        <w:rPr>
          <w:rFonts w:cs="Arial"/>
          <w:noProof w:val="0"/>
          <w:sz w:val="22"/>
          <w:szCs w:val="22"/>
          <w:lang w:val="es-ES"/>
        </w:rPr>
        <w:t>,</w:t>
      </w:r>
      <w:r w:rsidRPr="00544542" w:rsidR="00E84713">
        <w:rPr>
          <w:rFonts w:cs="Arial"/>
          <w:noProof w:val="0"/>
          <w:sz w:val="22"/>
          <w:szCs w:val="22"/>
          <w:lang w:val="es-ES"/>
        </w:rPr>
        <w:t xml:space="preserve"> </w:t>
      </w:r>
      <w:r w:rsidRPr="00544542" w:rsidR="00EF7DF8">
        <w:rPr>
          <w:rFonts w:cs="Arial"/>
          <w:noProof w:val="0"/>
          <w:sz w:val="22"/>
          <w:szCs w:val="22"/>
          <w:lang w:val="es-ES"/>
        </w:rPr>
        <w:t>para</w:t>
      </w:r>
      <w:r w:rsidRPr="00544542" w:rsidR="00E84713">
        <w:rPr>
          <w:rFonts w:cs="Arial"/>
          <w:noProof w:val="0"/>
          <w:sz w:val="22"/>
          <w:szCs w:val="22"/>
          <w:lang w:val="es-ES"/>
        </w:rPr>
        <w:t xml:space="preserve"> destacar factores de </w:t>
      </w:r>
      <w:r w:rsidRPr="00544542" w:rsidR="00EF7DF8">
        <w:rPr>
          <w:rFonts w:cs="Arial"/>
          <w:noProof w:val="0"/>
          <w:sz w:val="22"/>
          <w:szCs w:val="22"/>
          <w:lang w:val="es-ES"/>
        </w:rPr>
        <w:t>éxito</w:t>
      </w:r>
      <w:r w:rsidRPr="00544542" w:rsidR="00E84713">
        <w:rPr>
          <w:rFonts w:cs="Arial"/>
          <w:noProof w:val="0"/>
          <w:sz w:val="22"/>
          <w:szCs w:val="22"/>
          <w:lang w:val="es-ES"/>
        </w:rPr>
        <w:t xml:space="preserve"> </w:t>
      </w:r>
      <w:r w:rsidR="002A4F10">
        <w:rPr>
          <w:rFonts w:cs="Arial"/>
          <w:noProof w:val="0"/>
          <w:sz w:val="22"/>
          <w:szCs w:val="22"/>
          <w:lang w:val="es-ES"/>
        </w:rPr>
        <w:t xml:space="preserve">y desafíos </w:t>
      </w:r>
      <w:r w:rsidRPr="00544542" w:rsidR="00E84713">
        <w:rPr>
          <w:rFonts w:cs="Arial"/>
          <w:noProof w:val="0"/>
          <w:sz w:val="22"/>
          <w:szCs w:val="22"/>
          <w:lang w:val="es-ES"/>
        </w:rPr>
        <w:t xml:space="preserve">(p.ej. </w:t>
      </w:r>
      <w:r w:rsidRPr="00544542" w:rsidR="00EF7DF8">
        <w:rPr>
          <w:rFonts w:cs="Arial"/>
          <w:noProof w:val="0"/>
          <w:sz w:val="22"/>
          <w:szCs w:val="22"/>
          <w:lang w:val="es-ES"/>
        </w:rPr>
        <w:t>gestión</w:t>
      </w:r>
      <w:r w:rsidRPr="00544542" w:rsidR="00E84713">
        <w:rPr>
          <w:rFonts w:cs="Arial"/>
          <w:noProof w:val="0"/>
          <w:sz w:val="22"/>
          <w:szCs w:val="22"/>
          <w:lang w:val="es-ES"/>
        </w:rPr>
        <w:t xml:space="preserve"> territorial, calidad de los gerentes, calidad de los datos a </w:t>
      </w:r>
      <w:r w:rsidRPr="00544542" w:rsidR="00EF7DF8">
        <w:rPr>
          <w:rFonts w:cs="Arial"/>
          <w:noProof w:val="0"/>
          <w:sz w:val="22"/>
          <w:szCs w:val="22"/>
          <w:lang w:val="es-ES"/>
        </w:rPr>
        <w:t>disposición</w:t>
      </w:r>
      <w:r w:rsidRPr="00544542" w:rsidR="00E84713">
        <w:rPr>
          <w:rFonts w:cs="Arial"/>
          <w:noProof w:val="0"/>
          <w:sz w:val="22"/>
          <w:szCs w:val="22"/>
          <w:lang w:val="es-ES"/>
        </w:rPr>
        <w:t xml:space="preserve">, </w:t>
      </w:r>
      <w:r w:rsidR="00202BEB">
        <w:rPr>
          <w:rFonts w:cs="Arial"/>
          <w:noProof w:val="0"/>
          <w:sz w:val="22"/>
          <w:szCs w:val="22"/>
          <w:lang w:val="es-ES"/>
        </w:rPr>
        <w:t xml:space="preserve">nivel de implementación del sistema de información, </w:t>
      </w:r>
      <w:r w:rsidRPr="00544542" w:rsidR="00E84713">
        <w:rPr>
          <w:rFonts w:cs="Arial"/>
          <w:noProof w:val="0"/>
          <w:sz w:val="22"/>
          <w:szCs w:val="22"/>
          <w:lang w:val="es-ES"/>
        </w:rPr>
        <w:t>etc</w:t>
      </w:r>
      <w:r w:rsidRPr="00544542" w:rsidR="00EF7DF8">
        <w:rPr>
          <w:rFonts w:cs="Arial"/>
          <w:noProof w:val="0"/>
          <w:sz w:val="22"/>
          <w:szCs w:val="22"/>
          <w:lang w:val="es-ES"/>
        </w:rPr>
        <w:t>.</w:t>
      </w:r>
      <w:r w:rsidRPr="00544542" w:rsidR="00E84713">
        <w:rPr>
          <w:rFonts w:cs="Arial"/>
          <w:noProof w:val="0"/>
          <w:sz w:val="22"/>
          <w:szCs w:val="22"/>
          <w:lang w:val="es-ES"/>
        </w:rPr>
        <w:t xml:space="preserve">) y poder desarrollar lecciones aprendidas a nivel territorial. </w:t>
      </w:r>
      <w:r w:rsidRPr="00544542" w:rsidR="002739F5">
        <w:rPr>
          <w:rFonts w:cs="Arial"/>
          <w:noProof w:val="0"/>
          <w:sz w:val="22"/>
          <w:szCs w:val="22"/>
          <w:lang w:val="es-ES"/>
        </w:rPr>
        <w:t xml:space="preserve"> </w:t>
      </w:r>
      <w:r w:rsidRPr="00544542" w:rsidR="00EF7DF8">
        <w:rPr>
          <w:rFonts w:cs="Arial"/>
          <w:noProof w:val="0"/>
          <w:sz w:val="22"/>
          <w:szCs w:val="22"/>
          <w:lang w:val="es-ES"/>
        </w:rPr>
        <w:t xml:space="preserve">En particular, </w:t>
      </w:r>
      <w:r w:rsidRPr="00544542" w:rsidR="00EF7DF8">
        <w:rPr>
          <w:rFonts w:cs="Arial"/>
          <w:noProof w:val="0"/>
          <w:color w:val="000000"/>
          <w:sz w:val="22"/>
          <w:szCs w:val="22"/>
          <w:lang w:val="es-ES"/>
        </w:rPr>
        <w:t>e</w:t>
      </w:r>
      <w:r w:rsidRPr="00544542" w:rsidR="00450D05">
        <w:rPr>
          <w:rFonts w:cs="Arial"/>
          <w:noProof w:val="0"/>
          <w:color w:val="000000"/>
          <w:sz w:val="22"/>
          <w:szCs w:val="22"/>
          <w:lang w:val="es-ES"/>
        </w:rPr>
        <w:t>l análisis cualitativo busca contestar a preguntas como</w:t>
      </w:r>
      <w:r w:rsidRPr="00544542" w:rsidR="003E2F88">
        <w:rPr>
          <w:rFonts w:cs="Arial"/>
          <w:noProof w:val="0"/>
          <w:color w:val="000000"/>
          <w:sz w:val="22"/>
          <w:szCs w:val="22"/>
          <w:lang w:val="es-ES"/>
        </w:rPr>
        <w:t xml:space="preserve">: </w:t>
      </w:r>
      <w:r w:rsidRPr="00544542" w:rsidR="00450D05">
        <w:rPr>
          <w:rFonts w:cs="Arial"/>
          <w:noProof w:val="0"/>
          <w:color w:val="000000"/>
          <w:sz w:val="22"/>
          <w:szCs w:val="22"/>
          <w:lang w:val="es-ES"/>
        </w:rPr>
        <w:t>¿Cuáles fueron las principales debilidades y los principales desafíos en la implementación de las actividades programáticas de promoción y mantenimiento de la salud en el marco de</w:t>
      </w:r>
      <w:r w:rsidRPr="00544542" w:rsidR="00EF7DF8">
        <w:rPr>
          <w:rFonts w:cs="Arial"/>
          <w:noProof w:val="0"/>
          <w:color w:val="000000"/>
          <w:sz w:val="22"/>
          <w:szCs w:val="22"/>
          <w:lang w:val="es-ES"/>
        </w:rPr>
        <w:t>l</w:t>
      </w:r>
      <w:r w:rsidRPr="00544542" w:rsidR="00450D05">
        <w:rPr>
          <w:rFonts w:cs="Arial"/>
          <w:noProof w:val="0"/>
          <w:color w:val="000000"/>
          <w:sz w:val="22"/>
          <w:szCs w:val="22"/>
          <w:lang w:val="es-ES"/>
        </w:rPr>
        <w:t xml:space="preserve"> MAITE? ¿Y</w:t>
      </w:r>
      <w:r w:rsidR="00BF17E5">
        <w:rPr>
          <w:rFonts w:cs="Arial"/>
          <w:noProof w:val="0"/>
          <w:color w:val="000000"/>
          <w:sz w:val="22"/>
          <w:szCs w:val="22"/>
          <w:lang w:val="es-ES"/>
        </w:rPr>
        <w:t> </w:t>
      </w:r>
      <w:r w:rsidRPr="00544542" w:rsidR="00450D05">
        <w:rPr>
          <w:rFonts w:cs="Arial"/>
          <w:noProof w:val="0"/>
          <w:color w:val="000000"/>
          <w:sz w:val="22"/>
          <w:szCs w:val="22"/>
          <w:lang w:val="es-ES"/>
        </w:rPr>
        <w:t xml:space="preserve">cuáles son las fortalezas y </w:t>
      </w:r>
      <w:r w:rsidRPr="00544542" w:rsidR="005D7833">
        <w:rPr>
          <w:rFonts w:cs="Arial"/>
          <w:noProof w:val="0"/>
          <w:color w:val="000000"/>
          <w:sz w:val="22"/>
          <w:szCs w:val="22"/>
          <w:lang w:val="es-ES"/>
        </w:rPr>
        <w:t>oportunidades? ¿</w:t>
      </w:r>
      <w:r w:rsidRPr="00544542" w:rsidR="00450D05">
        <w:rPr>
          <w:rFonts w:cs="Arial"/>
          <w:noProof w:val="0"/>
          <w:color w:val="000000"/>
          <w:sz w:val="22"/>
          <w:szCs w:val="22"/>
          <w:lang w:val="es-ES"/>
        </w:rPr>
        <w:t xml:space="preserve">A través de cuales mecanismos organizacionales y gestiónales </w:t>
      </w:r>
      <w:r w:rsidRPr="00544542" w:rsidR="003E2F88">
        <w:rPr>
          <w:rFonts w:cs="Arial"/>
          <w:noProof w:val="0"/>
          <w:color w:val="000000"/>
          <w:sz w:val="22"/>
          <w:szCs w:val="22"/>
          <w:lang w:val="es-ES"/>
        </w:rPr>
        <w:t xml:space="preserve">la herramienta de seguimiento nominal contribuyó a mejoras en las actividades programáticas de promoción y mantenimiento de la salud en el marco de MAITE? </w:t>
      </w:r>
    </w:p>
    <w:p w:rsidRPr="00544542" w:rsidR="002739F5" w:rsidP="009C49B0" w:rsidRDefault="002739F5" w14:paraId="3A94B60C" w14:textId="77777777">
      <w:pPr>
        <w:pStyle w:val="AutoNumpara"/>
        <w:numPr>
          <w:ilvl w:val="0"/>
          <w:numId w:val="0"/>
        </w:numPr>
        <w:spacing w:after="0"/>
        <w:rPr>
          <w:rFonts w:cs="Arial"/>
          <w:noProof w:val="0"/>
          <w:color w:val="000000"/>
          <w:sz w:val="22"/>
          <w:szCs w:val="22"/>
          <w:lang w:val="es-ES"/>
        </w:rPr>
      </w:pPr>
    </w:p>
    <w:p w:rsidRPr="00544542" w:rsidR="00835E5A" w:rsidP="009C49B0" w:rsidRDefault="00156264" w14:paraId="6C9AB674" w14:textId="7015C727">
      <w:pPr>
        <w:pStyle w:val="AutoNumpara"/>
        <w:numPr>
          <w:ilvl w:val="0"/>
          <w:numId w:val="0"/>
        </w:numPr>
        <w:tabs>
          <w:tab w:val="left" w:pos="720"/>
        </w:tabs>
        <w:spacing w:before="0" w:line="276" w:lineRule="auto"/>
        <w:rPr>
          <w:rFonts w:cs="Arial"/>
          <w:noProof w:val="0"/>
          <w:color w:val="000000"/>
          <w:sz w:val="22"/>
          <w:szCs w:val="22"/>
          <w:lang w:val="es-ES"/>
        </w:rPr>
      </w:pPr>
      <w:r w:rsidRPr="00544542">
        <w:rPr>
          <w:rFonts w:cs="Arial"/>
          <w:b/>
          <w:noProof w:val="0"/>
          <w:color w:val="000000"/>
          <w:sz w:val="22"/>
          <w:szCs w:val="22"/>
          <w:lang w:val="es-ES"/>
        </w:rPr>
        <w:t>Componente 3.</w:t>
      </w:r>
      <w:r w:rsidRPr="00544542" w:rsidR="00835E5A">
        <w:rPr>
          <w:rFonts w:cs="Arial"/>
          <w:b/>
          <w:noProof w:val="0"/>
          <w:color w:val="000000"/>
          <w:sz w:val="22"/>
          <w:szCs w:val="22"/>
          <w:lang w:val="es-ES"/>
        </w:rPr>
        <w:t xml:space="preserve"> </w:t>
      </w:r>
      <w:r w:rsidRPr="00544542" w:rsidR="00835E5A">
        <w:rPr>
          <w:rFonts w:cs="Arial"/>
          <w:noProof w:val="0"/>
          <w:color w:val="000000"/>
          <w:sz w:val="22"/>
          <w:szCs w:val="22"/>
          <w:lang w:val="es-ES"/>
        </w:rPr>
        <w:t>El componente “Cobertura de aseguramiento y servicios para población inmigrante” apunta a mejorar la cobertura efectiva en salud de los inmigrantes a través de: (i) desarrollar instrumentos que permitan eliminar barreras de afiliación</w:t>
      </w:r>
      <w:r w:rsidR="009C49B0">
        <w:rPr>
          <w:rFonts w:cs="Arial"/>
          <w:noProof w:val="0"/>
          <w:color w:val="000000"/>
          <w:sz w:val="22"/>
          <w:szCs w:val="22"/>
          <w:lang w:val="es-ES"/>
        </w:rPr>
        <w:t>;</w:t>
      </w:r>
      <w:r w:rsidRPr="00544542" w:rsidR="00835E5A">
        <w:rPr>
          <w:rFonts w:cs="Arial"/>
          <w:noProof w:val="0"/>
          <w:color w:val="000000"/>
          <w:sz w:val="22"/>
          <w:szCs w:val="22"/>
          <w:lang w:val="es-ES"/>
        </w:rPr>
        <w:t xml:space="preserve"> (</w:t>
      </w:r>
      <w:proofErr w:type="spellStart"/>
      <w:r w:rsidRPr="00544542" w:rsidR="00835E5A">
        <w:rPr>
          <w:rFonts w:cs="Arial"/>
          <w:noProof w:val="0"/>
          <w:color w:val="000000"/>
          <w:sz w:val="22"/>
          <w:szCs w:val="22"/>
          <w:lang w:val="es-ES"/>
        </w:rPr>
        <w:t>ii</w:t>
      </w:r>
      <w:proofErr w:type="spellEnd"/>
      <w:r w:rsidRPr="00544542" w:rsidR="00835E5A">
        <w:rPr>
          <w:rFonts w:cs="Arial"/>
          <w:noProof w:val="0"/>
          <w:color w:val="000000"/>
          <w:sz w:val="22"/>
          <w:szCs w:val="22"/>
          <w:lang w:val="es-ES"/>
        </w:rPr>
        <w:t>) promover el aseguramiento en salud de población inmigrante regularizada; y (</w:t>
      </w:r>
      <w:proofErr w:type="spellStart"/>
      <w:r w:rsidRPr="00544542" w:rsidR="00835E5A">
        <w:rPr>
          <w:rFonts w:cs="Arial"/>
          <w:noProof w:val="0"/>
          <w:color w:val="000000"/>
          <w:sz w:val="22"/>
          <w:szCs w:val="22"/>
          <w:lang w:val="es-ES"/>
        </w:rPr>
        <w:t>iii</w:t>
      </w:r>
      <w:proofErr w:type="spellEnd"/>
      <w:r w:rsidRPr="00544542" w:rsidR="00835E5A">
        <w:rPr>
          <w:rFonts w:cs="Arial"/>
          <w:noProof w:val="0"/>
          <w:color w:val="000000"/>
          <w:sz w:val="22"/>
          <w:szCs w:val="22"/>
          <w:lang w:val="es-ES"/>
        </w:rPr>
        <w:t>) proveer servicios de salud a población inmigrante no afiliada.</w:t>
      </w:r>
      <w:r w:rsidRPr="00544542" w:rsidR="00493A41">
        <w:rPr>
          <w:rFonts w:cs="Arial"/>
          <w:noProof w:val="0"/>
          <w:color w:val="000000"/>
          <w:sz w:val="22"/>
          <w:szCs w:val="22"/>
          <w:lang w:val="es-ES"/>
        </w:rPr>
        <w:t xml:space="preserve"> </w:t>
      </w:r>
      <w:r w:rsidRPr="00544542" w:rsidR="00892BE9">
        <w:rPr>
          <w:rFonts w:cs="Arial"/>
          <w:noProof w:val="0"/>
          <w:color w:val="000000"/>
          <w:sz w:val="22"/>
          <w:szCs w:val="22"/>
          <w:lang w:val="es-ES"/>
        </w:rPr>
        <w:t xml:space="preserve">La evaluación del </w:t>
      </w:r>
      <w:r w:rsidR="003A18EC">
        <w:rPr>
          <w:rFonts w:cs="Arial"/>
          <w:noProof w:val="0"/>
          <w:color w:val="000000"/>
          <w:sz w:val="22"/>
          <w:szCs w:val="22"/>
          <w:lang w:val="es-ES"/>
        </w:rPr>
        <w:t>C</w:t>
      </w:r>
      <w:r w:rsidRPr="00544542" w:rsidR="00892BE9">
        <w:rPr>
          <w:rFonts w:cs="Arial"/>
          <w:noProof w:val="0"/>
          <w:color w:val="000000"/>
          <w:sz w:val="22"/>
          <w:szCs w:val="22"/>
          <w:lang w:val="es-ES"/>
        </w:rPr>
        <w:t xml:space="preserve">omponente 3 se enfoca en </w:t>
      </w:r>
      <w:r w:rsidR="007E1C28">
        <w:rPr>
          <w:rFonts w:cs="Arial"/>
          <w:noProof w:val="0"/>
          <w:color w:val="000000"/>
          <w:sz w:val="22"/>
          <w:szCs w:val="22"/>
          <w:lang w:val="es-ES"/>
        </w:rPr>
        <w:t xml:space="preserve">el IVD </w:t>
      </w:r>
      <w:r w:rsidRPr="00544542" w:rsidR="00493A41">
        <w:rPr>
          <w:rFonts w:cs="Arial"/>
          <w:noProof w:val="0"/>
          <w:color w:val="000000"/>
          <w:sz w:val="22"/>
          <w:szCs w:val="22"/>
          <w:lang w:val="es-ES"/>
        </w:rPr>
        <w:t>“Población inmigrante</w:t>
      </w:r>
      <w:r w:rsidRPr="00544542" w:rsidR="00493A41">
        <w:rPr>
          <w:rFonts w:cs="Arial"/>
          <w:noProof w:val="0"/>
          <w:color w:val="000000"/>
          <w:sz w:val="22"/>
          <w:szCs w:val="22"/>
          <w:vertAlign w:val="superscript"/>
          <w:lang w:val="es-ES"/>
        </w:rPr>
        <w:t xml:space="preserve"> </w:t>
      </w:r>
      <w:r w:rsidRPr="00544542" w:rsidR="00493A41">
        <w:rPr>
          <w:rFonts w:cs="Arial"/>
          <w:noProof w:val="0"/>
          <w:color w:val="000000"/>
          <w:sz w:val="22"/>
          <w:szCs w:val="22"/>
          <w:lang w:val="es-ES"/>
        </w:rPr>
        <w:t>afiliada”</w:t>
      </w:r>
      <w:r w:rsidR="007E1C28">
        <w:rPr>
          <w:rFonts w:cs="Arial"/>
          <w:noProof w:val="0"/>
          <w:color w:val="000000"/>
          <w:sz w:val="22"/>
          <w:szCs w:val="22"/>
          <w:lang w:val="es-ES"/>
        </w:rPr>
        <w:t xml:space="preserve">, que mide </w:t>
      </w:r>
      <w:r w:rsidRPr="007E1C28" w:rsidR="007E1C28">
        <w:rPr>
          <w:rFonts w:cs="Arial"/>
          <w:noProof w:val="0"/>
          <w:color w:val="000000"/>
          <w:sz w:val="22"/>
          <w:szCs w:val="22"/>
          <w:lang w:val="it-IT"/>
        </w:rPr>
        <w:t>mide el número de afiliados activos de nacionalidad venezolana con Permiso Especial de Permanencia (PEP) en Colombia.</w:t>
      </w:r>
    </w:p>
    <w:p w:rsidR="00600C96" w:rsidP="00892BE9" w:rsidRDefault="00493A41" w14:paraId="5E841A49" w14:textId="33100B27">
      <w:pPr>
        <w:pStyle w:val="AutoNumpara"/>
        <w:numPr>
          <w:ilvl w:val="0"/>
          <w:numId w:val="0"/>
        </w:numPr>
        <w:tabs>
          <w:tab w:val="left" w:pos="720"/>
        </w:tabs>
        <w:spacing w:line="276" w:lineRule="auto"/>
        <w:rPr>
          <w:rFonts w:cs="Arial"/>
          <w:noProof w:val="0"/>
          <w:color w:val="000000"/>
          <w:sz w:val="22"/>
          <w:szCs w:val="22"/>
          <w:lang w:val="es-ES"/>
        </w:rPr>
      </w:pPr>
      <w:r w:rsidRPr="00544542">
        <w:rPr>
          <w:rFonts w:cs="Arial"/>
          <w:b/>
          <w:noProof w:val="0"/>
          <w:color w:val="000000"/>
          <w:sz w:val="22"/>
          <w:szCs w:val="22"/>
          <w:lang w:val="es-ES"/>
        </w:rPr>
        <w:t xml:space="preserve">Pregunta de evaluación y metodología. </w:t>
      </w:r>
      <w:r w:rsidRPr="00544542" w:rsidR="00892BE9">
        <w:rPr>
          <w:rFonts w:cs="Arial"/>
          <w:noProof w:val="0"/>
          <w:color w:val="000000"/>
          <w:sz w:val="22"/>
          <w:szCs w:val="22"/>
          <w:lang w:val="es-ES"/>
        </w:rPr>
        <w:t>La literatura sobre el acceso a los servicios de salud para la población migrante destaca que, aunque los migrantes tengan cobertura en términos de</w:t>
      </w:r>
      <w:r w:rsidR="007E1C28">
        <w:rPr>
          <w:rFonts w:cs="Arial"/>
          <w:noProof w:val="0"/>
          <w:color w:val="000000"/>
          <w:sz w:val="22"/>
          <w:szCs w:val="22"/>
          <w:lang w:val="es-ES"/>
        </w:rPr>
        <w:t xml:space="preserve"> afiliación</w:t>
      </w:r>
      <w:r w:rsidRPr="00544542" w:rsidR="00892BE9">
        <w:rPr>
          <w:rFonts w:cs="Arial"/>
          <w:noProof w:val="0"/>
          <w:color w:val="000000"/>
          <w:sz w:val="22"/>
          <w:szCs w:val="22"/>
          <w:lang w:val="es-ES"/>
        </w:rPr>
        <w:t xml:space="preserve">, pueden enfrentarse con barreras que afectan </w:t>
      </w:r>
      <w:r w:rsidRPr="00544542" w:rsidR="00BB27CB">
        <w:rPr>
          <w:rFonts w:cs="Arial"/>
          <w:noProof w:val="0"/>
          <w:color w:val="000000"/>
          <w:sz w:val="22"/>
          <w:szCs w:val="22"/>
          <w:lang w:val="es-ES"/>
        </w:rPr>
        <w:t xml:space="preserve">su </w:t>
      </w:r>
      <w:r w:rsidRPr="00544542" w:rsidR="00892BE9">
        <w:rPr>
          <w:rFonts w:cs="Arial"/>
          <w:noProof w:val="0"/>
          <w:color w:val="000000"/>
          <w:sz w:val="22"/>
          <w:szCs w:val="22"/>
          <w:lang w:val="es-ES"/>
        </w:rPr>
        <w:t>cobertura efectiva</w:t>
      </w:r>
      <w:r w:rsidRPr="00544542" w:rsidR="00BB27CB">
        <w:rPr>
          <w:rFonts w:cs="Arial"/>
          <w:noProof w:val="0"/>
          <w:color w:val="000000"/>
          <w:sz w:val="22"/>
          <w:szCs w:val="22"/>
          <w:lang w:val="es-ES"/>
        </w:rPr>
        <w:t xml:space="preserve"> en términos de </w:t>
      </w:r>
      <w:r w:rsidRPr="00544542" w:rsidR="007734DC">
        <w:rPr>
          <w:rFonts w:cs="Arial"/>
          <w:noProof w:val="0"/>
          <w:color w:val="000000"/>
          <w:sz w:val="22"/>
          <w:szCs w:val="22"/>
          <w:lang w:val="es-ES"/>
        </w:rPr>
        <w:lastRenderedPageBreak/>
        <w:t xml:space="preserve">acceso a los </w:t>
      </w:r>
      <w:r w:rsidRPr="00544542" w:rsidR="00BB27CB">
        <w:rPr>
          <w:rFonts w:cs="Arial"/>
          <w:noProof w:val="0"/>
          <w:color w:val="000000"/>
          <w:sz w:val="22"/>
          <w:szCs w:val="22"/>
          <w:lang w:val="es-ES"/>
        </w:rPr>
        <w:t>servicios de salud</w:t>
      </w:r>
      <w:r w:rsidRPr="00544542" w:rsidR="00892BE9">
        <w:rPr>
          <w:rFonts w:cs="Arial"/>
          <w:noProof w:val="0"/>
          <w:color w:val="000000"/>
          <w:sz w:val="22"/>
          <w:szCs w:val="22"/>
          <w:lang w:val="es-ES"/>
        </w:rPr>
        <w:t xml:space="preserve">. Las principales barreras para </w:t>
      </w:r>
      <w:r w:rsidRPr="00544542" w:rsidR="00BB27CB">
        <w:rPr>
          <w:rFonts w:cs="Arial"/>
          <w:noProof w:val="0"/>
          <w:color w:val="000000"/>
          <w:sz w:val="22"/>
          <w:szCs w:val="22"/>
          <w:lang w:val="es-ES"/>
        </w:rPr>
        <w:t xml:space="preserve">la población </w:t>
      </w:r>
      <w:r w:rsidRPr="00544542" w:rsidR="00892BE9">
        <w:rPr>
          <w:rFonts w:cs="Arial"/>
          <w:noProof w:val="0"/>
          <w:color w:val="000000"/>
          <w:sz w:val="22"/>
          <w:szCs w:val="22"/>
          <w:lang w:val="es-ES"/>
        </w:rPr>
        <w:t>migrantes</w:t>
      </w:r>
      <w:r w:rsidRPr="00544542" w:rsidR="00BB27CB">
        <w:rPr>
          <w:rFonts w:cs="Arial"/>
          <w:noProof w:val="0"/>
          <w:color w:val="000000"/>
          <w:sz w:val="22"/>
          <w:szCs w:val="22"/>
          <w:lang w:val="es-ES"/>
        </w:rPr>
        <w:t xml:space="preserve"> “afiliada” incluyen</w:t>
      </w:r>
      <w:r w:rsidRPr="00544542" w:rsidR="00892BE9">
        <w:rPr>
          <w:rFonts w:cs="Arial"/>
          <w:noProof w:val="0"/>
          <w:color w:val="000000"/>
          <w:sz w:val="22"/>
          <w:szCs w:val="22"/>
          <w:lang w:val="es-ES"/>
        </w:rPr>
        <w:t>: barrera de lenguaje, barreras de conocimiento (los migrantes no conocen los servicios de salud a los cuales tienen derecho), barreras económicas (en el caso de copagos elevado), barreras de administración y organización (l</w:t>
      </w:r>
      <w:r w:rsidRPr="00544542" w:rsidR="00BB27CB">
        <w:rPr>
          <w:rFonts w:cs="Arial"/>
          <w:noProof w:val="0"/>
          <w:color w:val="000000"/>
          <w:sz w:val="22"/>
          <w:szCs w:val="22"/>
          <w:lang w:val="es-ES"/>
        </w:rPr>
        <w:t>o</w:t>
      </w:r>
      <w:r w:rsidRPr="00544542" w:rsidR="00892BE9">
        <w:rPr>
          <w:rFonts w:cs="Arial"/>
          <w:noProof w:val="0"/>
          <w:color w:val="000000"/>
          <w:sz w:val="22"/>
          <w:szCs w:val="22"/>
          <w:lang w:val="es-ES"/>
        </w:rPr>
        <w:t xml:space="preserve">s proveedores </w:t>
      </w:r>
      <w:r w:rsidRPr="00544542" w:rsidR="00BB27CB">
        <w:rPr>
          <w:rFonts w:cs="Arial"/>
          <w:noProof w:val="0"/>
          <w:color w:val="000000"/>
          <w:sz w:val="22"/>
          <w:szCs w:val="22"/>
          <w:lang w:val="es-ES"/>
        </w:rPr>
        <w:t>no</w:t>
      </w:r>
      <w:r w:rsidRPr="00544542" w:rsidR="00892BE9">
        <w:rPr>
          <w:rFonts w:cs="Arial"/>
          <w:noProof w:val="0"/>
          <w:color w:val="000000"/>
          <w:sz w:val="22"/>
          <w:szCs w:val="22"/>
          <w:lang w:val="es-ES"/>
        </w:rPr>
        <w:t xml:space="preserve"> tienen las capacidades gestiónales para manejar el incremento de demanda asociado con la afiliación de la población migrantes), barreras de discriminación</w:t>
      </w:r>
      <w:r w:rsidRPr="00544542" w:rsidR="00BB27CB">
        <w:rPr>
          <w:rFonts w:cs="Arial"/>
          <w:noProof w:val="0"/>
          <w:color w:val="000000"/>
          <w:sz w:val="22"/>
          <w:szCs w:val="22"/>
          <w:lang w:val="es-ES"/>
        </w:rPr>
        <w:t xml:space="preserve"> por parte del personal </w:t>
      </w:r>
      <w:r w:rsidRPr="00544542" w:rsidR="00A83115">
        <w:rPr>
          <w:rFonts w:cs="Arial"/>
          <w:noProof w:val="0"/>
          <w:color w:val="000000"/>
          <w:sz w:val="22"/>
          <w:szCs w:val="22"/>
          <w:lang w:val="es-ES"/>
        </w:rPr>
        <w:t>médico</w:t>
      </w:r>
      <w:r w:rsidR="00E30D98">
        <w:rPr>
          <w:rFonts w:cs="Arial"/>
          <w:noProof w:val="0"/>
          <w:color w:val="000000"/>
          <w:sz w:val="22"/>
          <w:szCs w:val="22"/>
          <w:lang w:val="es-ES"/>
        </w:rPr>
        <w:t xml:space="preserve"> (</w:t>
      </w:r>
      <w:r w:rsidRPr="00600C96" w:rsidR="00600C96">
        <w:rPr>
          <w:rFonts w:cs="Arial"/>
          <w:noProof w:val="0"/>
          <w:color w:val="000000"/>
          <w:sz w:val="22"/>
          <w:szCs w:val="22"/>
          <w:lang w:val="es-ES"/>
        </w:rPr>
        <w:t>Biswa</w:t>
      </w:r>
      <w:r w:rsidR="00600C96">
        <w:rPr>
          <w:rFonts w:cs="Arial"/>
          <w:noProof w:val="0"/>
          <w:color w:val="000000"/>
          <w:sz w:val="22"/>
          <w:szCs w:val="22"/>
          <w:lang w:val="es-ES"/>
        </w:rPr>
        <w:t>s et al,</w:t>
      </w:r>
      <w:r w:rsidR="00E30D98">
        <w:rPr>
          <w:rFonts w:cs="Arial"/>
          <w:noProof w:val="0"/>
          <w:color w:val="000000"/>
          <w:sz w:val="22"/>
          <w:szCs w:val="22"/>
          <w:lang w:val="es-ES"/>
        </w:rPr>
        <w:t xml:space="preserve"> </w:t>
      </w:r>
      <w:r w:rsidR="00600C96">
        <w:rPr>
          <w:rFonts w:cs="Arial"/>
          <w:noProof w:val="0"/>
          <w:color w:val="000000"/>
          <w:sz w:val="22"/>
          <w:szCs w:val="22"/>
          <w:lang w:val="es-ES"/>
        </w:rPr>
        <w:t xml:space="preserve">2012; </w:t>
      </w:r>
      <w:proofErr w:type="spellStart"/>
      <w:r w:rsidR="00600C96">
        <w:rPr>
          <w:rFonts w:cs="Arial"/>
          <w:noProof w:val="0"/>
          <w:color w:val="000000"/>
          <w:sz w:val="22"/>
          <w:szCs w:val="22"/>
          <w:lang w:val="es-ES"/>
        </w:rPr>
        <w:t>Chiarenza</w:t>
      </w:r>
      <w:proofErr w:type="spellEnd"/>
      <w:r w:rsidR="00600C96">
        <w:rPr>
          <w:rFonts w:cs="Arial"/>
          <w:noProof w:val="0"/>
          <w:color w:val="000000"/>
          <w:sz w:val="22"/>
          <w:szCs w:val="22"/>
          <w:lang w:val="es-ES"/>
        </w:rPr>
        <w:t xml:space="preserve"> et al., 2019</w:t>
      </w:r>
      <w:r w:rsidR="00E30D98">
        <w:rPr>
          <w:rFonts w:cs="Arial"/>
          <w:noProof w:val="0"/>
          <w:color w:val="000000"/>
          <w:sz w:val="22"/>
          <w:szCs w:val="22"/>
          <w:lang w:val="es-ES"/>
        </w:rPr>
        <w:t>;</w:t>
      </w:r>
      <w:r w:rsidR="00600C96">
        <w:rPr>
          <w:rFonts w:cs="Arial"/>
          <w:noProof w:val="0"/>
          <w:color w:val="000000"/>
          <w:sz w:val="22"/>
          <w:szCs w:val="22"/>
          <w:lang w:val="es-ES"/>
        </w:rPr>
        <w:t xml:space="preserve"> </w:t>
      </w:r>
      <w:r w:rsidRPr="00E30D98" w:rsidR="00E30D98">
        <w:rPr>
          <w:rFonts w:cs="Arial"/>
          <w:noProof w:val="0"/>
          <w:color w:val="000000"/>
          <w:sz w:val="22"/>
          <w:szCs w:val="22"/>
          <w:lang w:val="it-IT"/>
        </w:rPr>
        <w:t>Nørredam</w:t>
      </w:r>
      <w:r w:rsidR="00E30D98">
        <w:rPr>
          <w:rFonts w:cs="Arial"/>
          <w:noProof w:val="0"/>
          <w:color w:val="000000"/>
          <w:sz w:val="22"/>
          <w:szCs w:val="22"/>
          <w:lang w:val="it-IT"/>
        </w:rPr>
        <w:t xml:space="preserve"> et al 2011; WHO, 2018)</w:t>
      </w:r>
      <w:r w:rsidR="006D7908">
        <w:rPr>
          <w:rFonts w:cs="Arial"/>
          <w:noProof w:val="0"/>
          <w:color w:val="000000"/>
          <w:sz w:val="22"/>
          <w:szCs w:val="22"/>
          <w:lang w:val="it-IT"/>
        </w:rPr>
        <w:t>.</w:t>
      </w:r>
      <w:r w:rsidR="00E30D98">
        <w:rPr>
          <w:rFonts w:cs="Arial"/>
          <w:noProof w:val="0"/>
          <w:color w:val="000000"/>
          <w:sz w:val="22"/>
          <w:szCs w:val="22"/>
          <w:lang w:val="it-IT"/>
        </w:rPr>
        <w:t xml:space="preserve"> </w:t>
      </w:r>
    </w:p>
    <w:p w:rsidRPr="00FC7030" w:rsidR="00FC7030" w:rsidP="00642340" w:rsidRDefault="00BB27CB" w14:paraId="6B28DE90" w14:textId="0E861B6E">
      <w:pPr>
        <w:pStyle w:val="AutoNumpara"/>
        <w:numPr>
          <w:ilvl w:val="0"/>
          <w:numId w:val="0"/>
        </w:numPr>
        <w:tabs>
          <w:tab w:val="left" w:pos="720"/>
        </w:tabs>
        <w:spacing w:line="276" w:lineRule="auto"/>
        <w:rPr>
          <w:rFonts w:cs="Arial"/>
          <w:noProof w:val="0"/>
          <w:color w:val="000000"/>
          <w:sz w:val="22"/>
          <w:szCs w:val="22"/>
          <w:lang w:val="es-ES"/>
        </w:rPr>
      </w:pPr>
      <w:r w:rsidRPr="00544542">
        <w:rPr>
          <w:rFonts w:cs="Arial"/>
          <w:noProof w:val="0"/>
          <w:color w:val="000000"/>
          <w:sz w:val="22"/>
          <w:szCs w:val="22"/>
          <w:lang w:val="es-ES"/>
        </w:rPr>
        <w:t xml:space="preserve">Se plantea considerar estos elementos en la </w:t>
      </w:r>
      <w:r w:rsidRPr="00544542" w:rsidR="00544542">
        <w:rPr>
          <w:rFonts w:cs="Arial"/>
          <w:noProof w:val="0"/>
          <w:color w:val="000000"/>
          <w:sz w:val="22"/>
          <w:szCs w:val="22"/>
          <w:lang w:val="es-ES"/>
        </w:rPr>
        <w:t>ev</w:t>
      </w:r>
      <w:r w:rsidR="00544542">
        <w:rPr>
          <w:rFonts w:cs="Arial"/>
          <w:noProof w:val="0"/>
          <w:color w:val="000000"/>
          <w:sz w:val="22"/>
          <w:szCs w:val="22"/>
          <w:lang w:val="es-ES"/>
        </w:rPr>
        <w:t xml:space="preserve">aluación </w:t>
      </w:r>
      <w:r w:rsidRPr="00544542">
        <w:rPr>
          <w:rFonts w:cs="Arial"/>
          <w:noProof w:val="0"/>
          <w:color w:val="000000"/>
          <w:sz w:val="22"/>
          <w:szCs w:val="22"/>
          <w:lang w:val="es-ES"/>
        </w:rPr>
        <w:t xml:space="preserve">del componente 3 que se realizará a través de </w:t>
      </w:r>
      <w:r w:rsidRPr="00544542" w:rsidR="007734DC">
        <w:rPr>
          <w:rFonts w:cs="Arial"/>
          <w:noProof w:val="0"/>
          <w:color w:val="000000"/>
          <w:sz w:val="22"/>
          <w:szCs w:val="22"/>
          <w:lang w:val="es-ES"/>
        </w:rPr>
        <w:t xml:space="preserve">una metodología mixta </w:t>
      </w:r>
      <w:r w:rsidRPr="00544542" w:rsidR="00544542">
        <w:rPr>
          <w:rFonts w:cs="Arial"/>
          <w:noProof w:val="0"/>
          <w:color w:val="000000"/>
          <w:sz w:val="22"/>
          <w:szCs w:val="22"/>
          <w:lang w:val="es-ES"/>
        </w:rPr>
        <w:t>basada en</w:t>
      </w:r>
      <w:r w:rsidR="00B900FB">
        <w:rPr>
          <w:rFonts w:cs="Arial"/>
          <w:noProof w:val="0"/>
          <w:color w:val="000000"/>
          <w:sz w:val="22"/>
          <w:szCs w:val="22"/>
          <w:lang w:val="es-ES"/>
        </w:rPr>
        <w:t>: a)</w:t>
      </w:r>
      <w:r w:rsidRPr="00544542" w:rsidR="00544542">
        <w:rPr>
          <w:rFonts w:cs="Arial"/>
          <w:noProof w:val="0"/>
          <w:color w:val="000000"/>
          <w:sz w:val="22"/>
          <w:szCs w:val="22"/>
          <w:lang w:val="es-ES"/>
        </w:rPr>
        <w:t xml:space="preserve"> una </w:t>
      </w:r>
      <w:r w:rsidRPr="00544542" w:rsidR="007734DC">
        <w:rPr>
          <w:rFonts w:cs="Arial"/>
          <w:noProof w:val="0"/>
          <w:color w:val="000000"/>
          <w:sz w:val="22"/>
          <w:szCs w:val="22"/>
          <w:lang w:val="es-ES"/>
        </w:rPr>
        <w:t xml:space="preserve">evaluación </w:t>
      </w:r>
      <w:r w:rsidRPr="00544542" w:rsidR="007734DC">
        <w:rPr>
          <w:rFonts w:cs="Arial"/>
          <w:sz w:val="22"/>
          <w:szCs w:val="22"/>
          <w:lang w:val="es-ES"/>
        </w:rPr>
        <w:t>antes</w:t>
      </w:r>
      <w:r w:rsidRPr="00544542" w:rsidR="00493A41">
        <w:rPr>
          <w:rFonts w:cs="Arial"/>
          <w:sz w:val="22"/>
          <w:szCs w:val="22"/>
          <w:lang w:val="es-ES"/>
        </w:rPr>
        <w:t xml:space="preserve"> y después (</w:t>
      </w:r>
      <w:r w:rsidRPr="00544542" w:rsidR="00493A41">
        <w:rPr>
          <w:rFonts w:cs="Arial"/>
          <w:i/>
          <w:sz w:val="22"/>
          <w:szCs w:val="22"/>
          <w:lang w:val="es-ES"/>
        </w:rPr>
        <w:t>before and after</w:t>
      </w:r>
      <w:r w:rsidRPr="00544542" w:rsidR="00493A41">
        <w:rPr>
          <w:rFonts w:cs="Arial"/>
          <w:sz w:val="22"/>
          <w:szCs w:val="22"/>
          <w:lang w:val="es-ES"/>
        </w:rPr>
        <w:t>, en inglés)</w:t>
      </w:r>
      <w:r w:rsidRPr="00544542" w:rsidR="00140B65">
        <w:rPr>
          <w:rFonts w:cs="Arial"/>
          <w:sz w:val="22"/>
          <w:szCs w:val="22"/>
          <w:lang w:val="es-ES"/>
        </w:rPr>
        <w:t xml:space="preserve"> </w:t>
      </w:r>
      <w:r w:rsidRPr="00544542">
        <w:rPr>
          <w:rFonts w:cs="Arial"/>
          <w:sz w:val="22"/>
          <w:szCs w:val="22"/>
          <w:lang w:val="es-ES"/>
        </w:rPr>
        <w:t xml:space="preserve">para el indicador </w:t>
      </w:r>
      <w:r w:rsidRPr="00544542">
        <w:rPr>
          <w:rFonts w:cs="Arial"/>
          <w:noProof w:val="0"/>
          <w:color w:val="000000"/>
          <w:sz w:val="22"/>
          <w:szCs w:val="22"/>
          <w:lang w:val="es-ES"/>
        </w:rPr>
        <w:t>“Población inmigrante</w:t>
      </w:r>
      <w:r w:rsidRPr="00544542">
        <w:rPr>
          <w:rFonts w:cs="Arial"/>
          <w:noProof w:val="0"/>
          <w:color w:val="000000"/>
          <w:sz w:val="22"/>
          <w:szCs w:val="22"/>
          <w:vertAlign w:val="superscript"/>
          <w:lang w:val="es-ES"/>
        </w:rPr>
        <w:t xml:space="preserve"> </w:t>
      </w:r>
      <w:r w:rsidRPr="00544542">
        <w:rPr>
          <w:rFonts w:cs="Arial"/>
          <w:noProof w:val="0"/>
          <w:color w:val="000000"/>
          <w:sz w:val="22"/>
          <w:szCs w:val="22"/>
          <w:lang w:val="es-ES"/>
        </w:rPr>
        <w:t>afiliada”</w:t>
      </w:r>
      <w:r w:rsidR="00B900FB">
        <w:rPr>
          <w:rFonts w:cs="Arial"/>
          <w:noProof w:val="0"/>
          <w:color w:val="000000"/>
          <w:sz w:val="22"/>
          <w:szCs w:val="22"/>
          <w:lang w:val="es-ES"/>
        </w:rPr>
        <w:t xml:space="preserve">; y b) </w:t>
      </w:r>
      <w:r w:rsidRPr="00544542">
        <w:rPr>
          <w:rFonts w:cs="Arial"/>
          <w:noProof w:val="0"/>
          <w:color w:val="000000"/>
          <w:sz w:val="22"/>
          <w:szCs w:val="22"/>
          <w:lang w:val="es-ES"/>
        </w:rPr>
        <w:t xml:space="preserve">un análisis </w:t>
      </w:r>
      <w:r w:rsidRPr="00544542" w:rsidR="007734DC">
        <w:rPr>
          <w:rFonts w:cs="Arial"/>
          <w:noProof w:val="0"/>
          <w:color w:val="000000"/>
          <w:sz w:val="22"/>
          <w:szCs w:val="22"/>
          <w:lang w:val="es-ES"/>
        </w:rPr>
        <w:t xml:space="preserve">cualitativo </w:t>
      </w:r>
      <w:r w:rsidR="00014149">
        <w:rPr>
          <w:rFonts w:cs="Arial"/>
          <w:noProof w:val="0"/>
          <w:color w:val="000000"/>
          <w:sz w:val="22"/>
          <w:szCs w:val="22"/>
          <w:lang w:val="es-ES"/>
        </w:rPr>
        <w:t>sobre las</w:t>
      </w:r>
      <w:r w:rsidRPr="00544542" w:rsidR="007734DC">
        <w:rPr>
          <w:rFonts w:cs="Arial"/>
          <w:noProof w:val="0"/>
          <w:color w:val="000000"/>
          <w:sz w:val="22"/>
          <w:szCs w:val="22"/>
          <w:lang w:val="es-ES"/>
        </w:rPr>
        <w:t xml:space="preserve"> barreras que pueden afectar la cobertura efectiva en términos </w:t>
      </w:r>
      <w:r w:rsidRPr="00544542" w:rsidR="00014149">
        <w:rPr>
          <w:rFonts w:cs="Arial"/>
          <w:noProof w:val="0"/>
          <w:color w:val="000000"/>
          <w:sz w:val="22"/>
          <w:szCs w:val="22"/>
          <w:lang w:val="es-ES"/>
        </w:rPr>
        <w:t>de acceso a los servicios de salud</w:t>
      </w:r>
      <w:r w:rsidR="00014149">
        <w:rPr>
          <w:rFonts w:cs="Arial"/>
          <w:noProof w:val="0"/>
          <w:color w:val="000000"/>
          <w:sz w:val="22"/>
          <w:szCs w:val="22"/>
          <w:lang w:val="es-ES"/>
        </w:rPr>
        <w:t xml:space="preserve"> para la población inmigrante afiliada.  </w:t>
      </w:r>
      <w:r w:rsidR="007E42C2">
        <w:rPr>
          <w:rFonts w:cs="Arial"/>
          <w:noProof w:val="0"/>
          <w:color w:val="000000"/>
          <w:sz w:val="22"/>
          <w:szCs w:val="22"/>
          <w:lang w:val="es-ES"/>
        </w:rPr>
        <w:t>Por lo tanto, la</w:t>
      </w:r>
      <w:r w:rsidR="008907A8">
        <w:rPr>
          <w:rFonts w:cs="Arial"/>
          <w:noProof w:val="0"/>
          <w:color w:val="000000"/>
          <w:sz w:val="22"/>
          <w:szCs w:val="22"/>
          <w:lang w:val="es-ES"/>
        </w:rPr>
        <w:t>s</w:t>
      </w:r>
      <w:r w:rsidR="007E42C2">
        <w:rPr>
          <w:rFonts w:cs="Arial"/>
          <w:noProof w:val="0"/>
          <w:color w:val="000000"/>
          <w:sz w:val="22"/>
          <w:szCs w:val="22"/>
          <w:lang w:val="es-ES"/>
        </w:rPr>
        <w:t xml:space="preserve"> pregunta</w:t>
      </w:r>
      <w:r w:rsidR="008907A8">
        <w:rPr>
          <w:rFonts w:cs="Arial"/>
          <w:noProof w:val="0"/>
          <w:color w:val="000000"/>
          <w:sz w:val="22"/>
          <w:szCs w:val="22"/>
          <w:lang w:val="es-ES"/>
        </w:rPr>
        <w:t>s</w:t>
      </w:r>
      <w:r w:rsidR="007E42C2">
        <w:rPr>
          <w:rFonts w:cs="Arial"/>
          <w:noProof w:val="0"/>
          <w:color w:val="000000"/>
          <w:sz w:val="22"/>
          <w:szCs w:val="22"/>
          <w:lang w:val="es-ES"/>
        </w:rPr>
        <w:t xml:space="preserve"> de evaluación del análisis cualitativo </w:t>
      </w:r>
      <w:r w:rsidR="008907A8">
        <w:rPr>
          <w:rFonts w:cs="Arial"/>
          <w:noProof w:val="0"/>
          <w:color w:val="000000"/>
          <w:sz w:val="22"/>
          <w:szCs w:val="22"/>
          <w:lang w:val="es-ES"/>
        </w:rPr>
        <w:t>son</w:t>
      </w:r>
      <w:r w:rsidR="007E42C2">
        <w:rPr>
          <w:rFonts w:cs="Arial"/>
          <w:noProof w:val="0"/>
          <w:color w:val="000000"/>
          <w:sz w:val="22"/>
          <w:szCs w:val="22"/>
          <w:lang w:val="es-ES"/>
        </w:rPr>
        <w:t xml:space="preserve">: </w:t>
      </w:r>
      <w:r w:rsidR="00B46CA5">
        <w:rPr>
          <w:rFonts w:cs="Arial"/>
          <w:noProof w:val="0"/>
          <w:color w:val="000000"/>
          <w:sz w:val="22"/>
          <w:szCs w:val="22"/>
          <w:lang w:val="es-ES"/>
        </w:rPr>
        <w:t>“</w:t>
      </w:r>
      <w:r w:rsidR="007E42C2">
        <w:rPr>
          <w:rFonts w:cs="Arial"/>
          <w:noProof w:val="0"/>
          <w:color w:val="000000"/>
          <w:sz w:val="22"/>
          <w:szCs w:val="22"/>
          <w:lang w:val="es-ES"/>
        </w:rPr>
        <w:t xml:space="preserve">Existen barreras que afectan la </w:t>
      </w:r>
      <w:r w:rsidRPr="00544542" w:rsidR="007E42C2">
        <w:rPr>
          <w:rFonts w:cs="Arial"/>
          <w:noProof w:val="0"/>
          <w:color w:val="000000"/>
          <w:sz w:val="22"/>
          <w:szCs w:val="22"/>
          <w:lang w:val="es-ES"/>
        </w:rPr>
        <w:t>cobertura efectiva en términos de acceso a los servicios de salud</w:t>
      </w:r>
      <w:r w:rsidR="007E42C2">
        <w:rPr>
          <w:rFonts w:cs="Arial"/>
          <w:noProof w:val="0"/>
          <w:color w:val="000000"/>
          <w:sz w:val="22"/>
          <w:szCs w:val="22"/>
          <w:lang w:val="es-ES"/>
        </w:rPr>
        <w:t xml:space="preserve"> para la población inmigrante afiliada? ¿</w:t>
      </w:r>
      <w:r w:rsidR="00A83115">
        <w:rPr>
          <w:rFonts w:cs="Arial"/>
          <w:noProof w:val="0"/>
          <w:color w:val="000000"/>
          <w:sz w:val="22"/>
          <w:szCs w:val="22"/>
          <w:lang w:val="es-ES"/>
        </w:rPr>
        <w:t>Cuáles</w:t>
      </w:r>
      <w:r w:rsidR="007E42C2">
        <w:rPr>
          <w:rFonts w:cs="Arial"/>
          <w:noProof w:val="0"/>
          <w:color w:val="000000"/>
          <w:sz w:val="22"/>
          <w:szCs w:val="22"/>
          <w:lang w:val="es-ES"/>
        </w:rPr>
        <w:t xml:space="preserve"> son?</w:t>
      </w:r>
      <w:r w:rsidR="008907A8">
        <w:rPr>
          <w:rFonts w:cs="Arial"/>
          <w:noProof w:val="0"/>
          <w:color w:val="000000"/>
          <w:sz w:val="22"/>
          <w:szCs w:val="22"/>
          <w:lang w:val="es-ES"/>
        </w:rPr>
        <w:t xml:space="preserve"> ¿Como se pueden superar?</w:t>
      </w:r>
      <w:r w:rsidR="007E42C2">
        <w:rPr>
          <w:rFonts w:cs="Arial"/>
          <w:noProof w:val="0"/>
          <w:color w:val="000000"/>
          <w:sz w:val="22"/>
          <w:szCs w:val="22"/>
          <w:lang w:val="es-ES"/>
        </w:rPr>
        <w:t xml:space="preserve"> Los métodos de análisis incluyen entrevistas semiestructuradas</w:t>
      </w:r>
      <w:r w:rsidR="00FC7030">
        <w:rPr>
          <w:rFonts w:cs="Arial"/>
          <w:noProof w:val="0"/>
          <w:color w:val="000000"/>
          <w:sz w:val="22"/>
          <w:szCs w:val="22"/>
          <w:lang w:val="es-ES"/>
        </w:rPr>
        <w:t xml:space="preserve"> </w:t>
      </w:r>
      <w:r w:rsidR="007E42C2">
        <w:rPr>
          <w:rFonts w:cs="Arial"/>
          <w:noProof w:val="0"/>
          <w:color w:val="000000"/>
          <w:sz w:val="22"/>
          <w:szCs w:val="22"/>
          <w:lang w:val="es-ES"/>
        </w:rPr>
        <w:t xml:space="preserve">tanto para los migrantes afiliados, como para el personal </w:t>
      </w:r>
      <w:r w:rsidR="00A83115">
        <w:rPr>
          <w:rFonts w:cs="Arial"/>
          <w:noProof w:val="0"/>
          <w:color w:val="000000"/>
          <w:sz w:val="22"/>
          <w:szCs w:val="22"/>
          <w:lang w:val="es-ES"/>
        </w:rPr>
        <w:t>médico</w:t>
      </w:r>
      <w:r w:rsidR="00BD7A8D">
        <w:rPr>
          <w:rFonts w:cs="Arial"/>
          <w:noProof w:val="0"/>
          <w:color w:val="000000"/>
          <w:sz w:val="22"/>
          <w:szCs w:val="22"/>
          <w:lang w:val="es-ES"/>
        </w:rPr>
        <w:t>, administrativo,</w:t>
      </w:r>
      <w:r w:rsidR="007E42C2">
        <w:rPr>
          <w:rFonts w:cs="Arial"/>
          <w:noProof w:val="0"/>
          <w:color w:val="000000"/>
          <w:sz w:val="22"/>
          <w:szCs w:val="22"/>
          <w:lang w:val="es-ES"/>
        </w:rPr>
        <w:t xml:space="preserve"> </w:t>
      </w:r>
      <w:r w:rsidR="00BD7A8D">
        <w:rPr>
          <w:rFonts w:cs="Arial"/>
          <w:noProof w:val="0"/>
          <w:color w:val="000000"/>
          <w:sz w:val="22"/>
          <w:szCs w:val="22"/>
          <w:lang w:val="es-ES"/>
        </w:rPr>
        <w:t xml:space="preserve">y </w:t>
      </w:r>
      <w:r w:rsidR="007E42C2">
        <w:rPr>
          <w:rFonts w:cs="Arial"/>
          <w:noProof w:val="0"/>
          <w:color w:val="000000"/>
          <w:sz w:val="22"/>
          <w:szCs w:val="22"/>
          <w:lang w:val="es-ES"/>
        </w:rPr>
        <w:t xml:space="preserve">los gerentes de los </w:t>
      </w:r>
      <w:r w:rsidR="008F6435">
        <w:rPr>
          <w:rFonts w:cs="Arial"/>
          <w:noProof w:val="0"/>
          <w:color w:val="000000"/>
          <w:sz w:val="22"/>
          <w:szCs w:val="22"/>
          <w:lang w:val="es-ES"/>
        </w:rPr>
        <w:t>proveedores</w:t>
      </w:r>
      <w:r w:rsidR="007E42C2">
        <w:rPr>
          <w:rFonts w:cs="Arial"/>
          <w:noProof w:val="0"/>
          <w:color w:val="000000"/>
          <w:sz w:val="22"/>
          <w:szCs w:val="22"/>
          <w:lang w:val="es-ES"/>
        </w:rPr>
        <w:t xml:space="preserve"> de servicios de salud. </w:t>
      </w:r>
      <w:r w:rsidR="008F6435">
        <w:rPr>
          <w:rFonts w:cs="Arial"/>
          <w:noProof w:val="0"/>
          <w:color w:val="000000"/>
          <w:sz w:val="22"/>
          <w:szCs w:val="22"/>
          <w:lang w:val="es-ES"/>
        </w:rPr>
        <w:t>Asimismo</w:t>
      </w:r>
      <w:r w:rsidR="007E42C2">
        <w:rPr>
          <w:rFonts w:cs="Arial"/>
          <w:noProof w:val="0"/>
          <w:color w:val="000000"/>
          <w:sz w:val="22"/>
          <w:szCs w:val="22"/>
          <w:lang w:val="es-ES"/>
        </w:rPr>
        <w:t xml:space="preserve">, se </w:t>
      </w:r>
      <w:r w:rsidR="008F6435">
        <w:rPr>
          <w:rFonts w:cs="Arial"/>
          <w:noProof w:val="0"/>
          <w:color w:val="000000"/>
          <w:sz w:val="22"/>
          <w:szCs w:val="22"/>
          <w:lang w:val="es-ES"/>
        </w:rPr>
        <w:t>platea</w:t>
      </w:r>
      <w:r w:rsidR="007E42C2">
        <w:rPr>
          <w:rFonts w:cs="Arial"/>
          <w:noProof w:val="0"/>
          <w:color w:val="000000"/>
          <w:sz w:val="22"/>
          <w:szCs w:val="22"/>
          <w:lang w:val="es-ES"/>
        </w:rPr>
        <w:t xml:space="preserve"> realizar </w:t>
      </w:r>
      <w:proofErr w:type="spellStart"/>
      <w:r w:rsidRPr="007E42C2" w:rsidR="007E42C2">
        <w:rPr>
          <w:rFonts w:cs="Arial"/>
          <w:i/>
          <w:noProof w:val="0"/>
          <w:color w:val="000000"/>
          <w:sz w:val="22"/>
          <w:szCs w:val="22"/>
          <w:lang w:val="es-ES"/>
        </w:rPr>
        <w:t>focus</w:t>
      </w:r>
      <w:proofErr w:type="spellEnd"/>
      <w:r w:rsidRPr="007E42C2" w:rsidR="007E42C2">
        <w:rPr>
          <w:rFonts w:cs="Arial"/>
          <w:i/>
          <w:noProof w:val="0"/>
          <w:color w:val="000000"/>
          <w:sz w:val="22"/>
          <w:szCs w:val="22"/>
          <w:lang w:val="es-ES"/>
        </w:rPr>
        <w:t xml:space="preserve"> </w:t>
      </w:r>
      <w:proofErr w:type="spellStart"/>
      <w:r w:rsidRPr="007E42C2" w:rsidR="007E42C2">
        <w:rPr>
          <w:rFonts w:cs="Arial"/>
          <w:i/>
          <w:noProof w:val="0"/>
          <w:color w:val="000000"/>
          <w:sz w:val="22"/>
          <w:szCs w:val="22"/>
          <w:lang w:val="es-ES"/>
        </w:rPr>
        <w:t>group</w:t>
      </w:r>
      <w:r w:rsidR="00BD7A8D">
        <w:rPr>
          <w:rFonts w:cs="Arial"/>
          <w:i/>
          <w:noProof w:val="0"/>
          <w:color w:val="000000"/>
          <w:sz w:val="22"/>
          <w:szCs w:val="22"/>
          <w:lang w:val="es-ES"/>
        </w:rPr>
        <w:t>s</w:t>
      </w:r>
      <w:proofErr w:type="spellEnd"/>
      <w:r w:rsidR="008F6435">
        <w:rPr>
          <w:rFonts w:cs="Arial"/>
          <w:noProof w:val="0"/>
          <w:color w:val="000000"/>
          <w:sz w:val="22"/>
          <w:szCs w:val="22"/>
          <w:lang w:val="es-ES"/>
        </w:rPr>
        <w:t xml:space="preserve">, que prevén </w:t>
      </w:r>
      <w:r w:rsidR="00BD7A8D">
        <w:rPr>
          <w:rFonts w:cs="Arial"/>
          <w:noProof w:val="0"/>
          <w:color w:val="000000"/>
          <w:sz w:val="22"/>
          <w:szCs w:val="22"/>
          <w:lang w:val="es-ES"/>
        </w:rPr>
        <w:t>un</w:t>
      </w:r>
      <w:r w:rsidR="008F6435">
        <w:rPr>
          <w:rFonts w:cs="Arial"/>
          <w:noProof w:val="0"/>
          <w:color w:val="000000"/>
          <w:sz w:val="22"/>
          <w:szCs w:val="22"/>
          <w:lang w:val="es-ES"/>
        </w:rPr>
        <w:t xml:space="preserve"> análisis conjunto de las barreras </w:t>
      </w:r>
      <w:r w:rsidR="00A83115">
        <w:rPr>
          <w:rFonts w:cs="Arial"/>
          <w:noProof w:val="0"/>
          <w:color w:val="000000"/>
          <w:sz w:val="22"/>
          <w:szCs w:val="22"/>
          <w:lang w:val="es-ES"/>
        </w:rPr>
        <w:t>entre</w:t>
      </w:r>
      <w:r w:rsidR="008F6435">
        <w:rPr>
          <w:rFonts w:cs="Arial"/>
          <w:noProof w:val="0"/>
          <w:color w:val="000000"/>
          <w:sz w:val="22"/>
          <w:szCs w:val="22"/>
          <w:lang w:val="es-ES"/>
        </w:rPr>
        <w:t xml:space="preserve"> los distintos actores involucrados (migrantes afiliados, gestores, personal </w:t>
      </w:r>
      <w:r w:rsidR="00A83115">
        <w:rPr>
          <w:rFonts w:cs="Arial"/>
          <w:noProof w:val="0"/>
          <w:color w:val="000000"/>
          <w:sz w:val="22"/>
          <w:szCs w:val="22"/>
          <w:lang w:val="es-ES"/>
        </w:rPr>
        <w:t>médico</w:t>
      </w:r>
      <w:r w:rsidR="008F6435">
        <w:rPr>
          <w:rFonts w:cs="Arial"/>
          <w:noProof w:val="0"/>
          <w:color w:val="000000"/>
          <w:sz w:val="22"/>
          <w:szCs w:val="22"/>
          <w:lang w:val="es-ES"/>
        </w:rPr>
        <w:t xml:space="preserve">, personal administrativo). </w:t>
      </w:r>
      <w:r w:rsidR="00FC7030">
        <w:rPr>
          <w:rFonts w:cs="Arial"/>
          <w:noProof w:val="0"/>
          <w:color w:val="000000"/>
          <w:sz w:val="22"/>
          <w:szCs w:val="22"/>
          <w:lang w:val="es-ES"/>
        </w:rPr>
        <w:t xml:space="preserve">Los </w:t>
      </w:r>
      <w:proofErr w:type="spellStart"/>
      <w:r w:rsidRPr="00642340" w:rsidR="00FC7030">
        <w:rPr>
          <w:rFonts w:cs="Arial"/>
          <w:i/>
          <w:noProof w:val="0"/>
          <w:color w:val="000000"/>
          <w:sz w:val="22"/>
          <w:szCs w:val="22"/>
          <w:lang w:val="es-ES"/>
        </w:rPr>
        <w:t>focus</w:t>
      </w:r>
      <w:proofErr w:type="spellEnd"/>
      <w:r w:rsidRPr="00642340" w:rsidR="00FC7030">
        <w:rPr>
          <w:rFonts w:cs="Arial"/>
          <w:i/>
          <w:noProof w:val="0"/>
          <w:color w:val="000000"/>
          <w:sz w:val="22"/>
          <w:szCs w:val="22"/>
          <w:lang w:val="es-ES"/>
        </w:rPr>
        <w:t xml:space="preserve"> </w:t>
      </w:r>
      <w:proofErr w:type="spellStart"/>
      <w:r w:rsidRPr="00642340" w:rsidR="00FC7030">
        <w:rPr>
          <w:rFonts w:cs="Arial"/>
          <w:i/>
          <w:noProof w:val="0"/>
          <w:color w:val="000000"/>
          <w:sz w:val="22"/>
          <w:szCs w:val="22"/>
          <w:lang w:val="es-ES"/>
        </w:rPr>
        <w:t>groups</w:t>
      </w:r>
      <w:proofErr w:type="spellEnd"/>
      <w:r w:rsidR="00FC7030">
        <w:rPr>
          <w:rFonts w:cs="Arial"/>
          <w:noProof w:val="0"/>
          <w:color w:val="000000"/>
          <w:sz w:val="22"/>
          <w:szCs w:val="22"/>
          <w:lang w:val="es-ES"/>
        </w:rPr>
        <w:t xml:space="preserve"> complementan las entrevistas semiestructuradas en el </w:t>
      </w:r>
      <w:r w:rsidR="00642340">
        <w:rPr>
          <w:rFonts w:cs="Arial"/>
          <w:noProof w:val="0"/>
          <w:color w:val="000000"/>
          <w:sz w:val="22"/>
          <w:szCs w:val="22"/>
          <w:lang w:val="es-ES"/>
        </w:rPr>
        <w:t>análisis</w:t>
      </w:r>
      <w:r w:rsidR="00FC7030">
        <w:rPr>
          <w:rFonts w:cs="Arial"/>
          <w:noProof w:val="0"/>
          <w:color w:val="000000"/>
          <w:sz w:val="22"/>
          <w:szCs w:val="22"/>
          <w:lang w:val="es-ES"/>
        </w:rPr>
        <w:t xml:space="preserve"> de las barraras, ya que permiten</w:t>
      </w:r>
      <w:r w:rsidR="00642340">
        <w:rPr>
          <w:rFonts w:cs="Arial"/>
          <w:noProof w:val="0"/>
          <w:color w:val="000000"/>
          <w:sz w:val="22"/>
          <w:szCs w:val="22"/>
          <w:lang w:val="es-ES"/>
        </w:rPr>
        <w:t>: a)</w:t>
      </w:r>
      <w:r w:rsidR="00FC7030">
        <w:rPr>
          <w:rFonts w:cs="Arial"/>
          <w:noProof w:val="0"/>
          <w:color w:val="000000"/>
          <w:sz w:val="22"/>
          <w:szCs w:val="22"/>
          <w:lang w:val="es-ES"/>
        </w:rPr>
        <w:t xml:space="preserve"> </w:t>
      </w:r>
      <w:r w:rsidR="00642340">
        <w:rPr>
          <w:rFonts w:cs="Arial"/>
          <w:noProof w:val="0"/>
          <w:color w:val="000000"/>
          <w:sz w:val="22"/>
          <w:szCs w:val="22"/>
          <w:lang w:val="es-ES"/>
        </w:rPr>
        <w:t xml:space="preserve">tener una prospectiva más amplia, b) </w:t>
      </w:r>
      <w:r w:rsidR="00FC7030">
        <w:rPr>
          <w:rFonts w:cs="Arial"/>
          <w:noProof w:val="0"/>
          <w:color w:val="000000"/>
          <w:sz w:val="22"/>
          <w:szCs w:val="22"/>
          <w:lang w:val="es-ES"/>
        </w:rPr>
        <w:t>evaluar las reacciones de los distintos actores involucrados al mismo tiempo</w:t>
      </w:r>
      <w:r w:rsidR="00642340">
        <w:rPr>
          <w:rFonts w:cs="Arial"/>
          <w:noProof w:val="0"/>
          <w:color w:val="000000"/>
          <w:sz w:val="22"/>
          <w:szCs w:val="22"/>
          <w:lang w:val="es-ES"/>
        </w:rPr>
        <w:t>, c) facilitar</w:t>
      </w:r>
      <w:r w:rsidR="00FC7030">
        <w:rPr>
          <w:rFonts w:cs="Arial"/>
          <w:noProof w:val="0"/>
          <w:color w:val="000000"/>
          <w:sz w:val="22"/>
          <w:szCs w:val="22"/>
          <w:lang w:val="es-ES"/>
        </w:rPr>
        <w:t xml:space="preserve"> la </w:t>
      </w:r>
      <w:r w:rsidRPr="00FC7030" w:rsidR="00FC7030">
        <w:rPr>
          <w:rFonts w:cs="Arial"/>
          <w:noProof w:val="0"/>
          <w:color w:val="000000"/>
          <w:sz w:val="22"/>
          <w:szCs w:val="22"/>
          <w:lang w:val="es-ES"/>
        </w:rPr>
        <w:t xml:space="preserve">interacción entre </w:t>
      </w:r>
      <w:r w:rsidRPr="008907A8" w:rsidR="00FC7030">
        <w:rPr>
          <w:rFonts w:cs="Arial"/>
          <w:noProof w:val="0"/>
          <w:color w:val="000000"/>
          <w:sz w:val="22"/>
          <w:szCs w:val="22"/>
          <w:lang w:val="es-ES"/>
        </w:rPr>
        <w:t xml:space="preserve">los actores </w:t>
      </w:r>
      <w:r w:rsidRPr="008907A8" w:rsidR="00A83115">
        <w:rPr>
          <w:rFonts w:cs="Arial"/>
          <w:noProof w:val="0"/>
          <w:color w:val="000000"/>
          <w:sz w:val="22"/>
          <w:szCs w:val="22"/>
          <w:lang w:val="es-ES"/>
        </w:rPr>
        <w:t>involucrados</w:t>
      </w:r>
      <w:r w:rsidRPr="008907A8" w:rsidR="00FC7030">
        <w:rPr>
          <w:rFonts w:cs="Arial"/>
          <w:noProof w:val="0"/>
          <w:color w:val="000000"/>
          <w:sz w:val="22"/>
          <w:szCs w:val="22"/>
          <w:lang w:val="es-ES"/>
        </w:rPr>
        <w:t xml:space="preserve"> y el desarrollo de </w:t>
      </w:r>
      <w:r w:rsidRPr="008907A8" w:rsidR="008907A8">
        <w:rPr>
          <w:rFonts w:cs="Arial"/>
          <w:noProof w:val="0"/>
          <w:color w:val="000000"/>
          <w:sz w:val="22"/>
          <w:szCs w:val="22"/>
          <w:lang w:val="es-ES"/>
        </w:rPr>
        <w:t xml:space="preserve">propuestas de mejoras </w:t>
      </w:r>
      <w:r w:rsidRPr="008907A8" w:rsidR="00642340">
        <w:rPr>
          <w:rFonts w:cs="Arial"/>
          <w:noProof w:val="0"/>
          <w:color w:val="000000"/>
          <w:sz w:val="22"/>
          <w:szCs w:val="22"/>
          <w:lang w:val="es-ES"/>
        </w:rPr>
        <w:t>(</w:t>
      </w:r>
      <w:proofErr w:type="spellStart"/>
      <w:r w:rsidRPr="00642340" w:rsidR="00642340">
        <w:rPr>
          <w:rFonts w:cs="Arial"/>
          <w:noProof w:val="0"/>
          <w:color w:val="000000"/>
          <w:sz w:val="22"/>
          <w:szCs w:val="22"/>
          <w:lang w:val="es-ES"/>
        </w:rPr>
        <w:t>Kamberelis</w:t>
      </w:r>
      <w:proofErr w:type="spellEnd"/>
      <w:r w:rsidRPr="008907A8" w:rsidR="00642340">
        <w:rPr>
          <w:rFonts w:cs="Arial"/>
          <w:noProof w:val="0"/>
          <w:color w:val="000000"/>
          <w:sz w:val="22"/>
          <w:szCs w:val="22"/>
          <w:lang w:val="es-ES"/>
        </w:rPr>
        <w:t xml:space="preserve"> y </w:t>
      </w:r>
      <w:proofErr w:type="spellStart"/>
      <w:r w:rsidRPr="00642340" w:rsidR="00642340">
        <w:rPr>
          <w:rFonts w:cs="Arial"/>
          <w:noProof w:val="0"/>
          <w:color w:val="000000"/>
          <w:sz w:val="22"/>
          <w:szCs w:val="22"/>
          <w:lang w:val="es-ES"/>
        </w:rPr>
        <w:t>Dimitriadis</w:t>
      </w:r>
      <w:proofErr w:type="spellEnd"/>
      <w:r w:rsidRPr="00642340" w:rsidR="00642340">
        <w:rPr>
          <w:rFonts w:cs="Arial"/>
          <w:noProof w:val="0"/>
          <w:color w:val="000000"/>
          <w:sz w:val="22"/>
          <w:szCs w:val="22"/>
          <w:lang w:val="es-ES"/>
        </w:rPr>
        <w:t>, 2013).</w:t>
      </w:r>
    </w:p>
    <w:p w:rsidRPr="00BD7A8D" w:rsidR="00BD7A8D" w:rsidP="009C49B0" w:rsidRDefault="00BD7A8D" w14:paraId="610106DE" w14:textId="77777777">
      <w:pPr>
        <w:pStyle w:val="AutoNumpara"/>
        <w:numPr>
          <w:ilvl w:val="0"/>
          <w:numId w:val="0"/>
        </w:numPr>
        <w:tabs>
          <w:tab w:val="left" w:pos="720"/>
        </w:tabs>
        <w:spacing w:after="0" w:line="276" w:lineRule="auto"/>
        <w:rPr>
          <w:rFonts w:cs="Arial"/>
          <w:noProof w:val="0"/>
          <w:color w:val="000000"/>
          <w:sz w:val="22"/>
          <w:szCs w:val="22"/>
          <w:lang w:val="es-ES"/>
        </w:rPr>
      </w:pPr>
    </w:p>
    <w:p w:rsidRPr="00544542" w:rsidR="00333F68" w:rsidP="009C49B0" w:rsidRDefault="00156264" w14:paraId="67EE0EB4" w14:textId="5FCDF060">
      <w:pPr>
        <w:pStyle w:val="AutoNumpara"/>
        <w:numPr>
          <w:ilvl w:val="0"/>
          <w:numId w:val="0"/>
        </w:numPr>
        <w:tabs>
          <w:tab w:val="left" w:pos="720"/>
        </w:tabs>
        <w:spacing w:before="0" w:line="276" w:lineRule="auto"/>
        <w:rPr>
          <w:rFonts w:cs="Arial"/>
          <w:b/>
          <w:noProof w:val="0"/>
          <w:color w:val="000000"/>
          <w:sz w:val="22"/>
          <w:szCs w:val="22"/>
          <w:lang w:val="es-ES"/>
        </w:rPr>
      </w:pPr>
      <w:r w:rsidRPr="00544542">
        <w:rPr>
          <w:rFonts w:cs="Arial"/>
          <w:b/>
          <w:noProof w:val="0"/>
          <w:color w:val="000000"/>
          <w:sz w:val="22"/>
          <w:szCs w:val="22"/>
          <w:lang w:val="es-ES"/>
        </w:rPr>
        <w:t>Costo</w:t>
      </w:r>
      <w:r w:rsidRPr="00544542" w:rsidR="005268DA">
        <w:rPr>
          <w:rFonts w:cs="Arial"/>
          <w:b/>
          <w:noProof w:val="0"/>
          <w:color w:val="000000"/>
          <w:sz w:val="22"/>
          <w:szCs w:val="22"/>
          <w:lang w:val="es-ES"/>
        </w:rPr>
        <w:t>s</w:t>
      </w:r>
      <w:r w:rsidRPr="00544542" w:rsidR="00C8161E">
        <w:rPr>
          <w:rFonts w:cs="Arial"/>
          <w:b/>
          <w:noProof w:val="0"/>
          <w:color w:val="000000"/>
          <w:sz w:val="22"/>
          <w:szCs w:val="22"/>
          <w:lang w:val="es-ES"/>
        </w:rPr>
        <w:t xml:space="preserve"> de </w:t>
      </w:r>
      <w:r w:rsidRPr="00544542" w:rsidR="005268DA">
        <w:rPr>
          <w:rFonts w:cs="Arial"/>
          <w:b/>
          <w:noProof w:val="0"/>
          <w:color w:val="000000"/>
          <w:sz w:val="22"/>
          <w:szCs w:val="22"/>
          <w:lang w:val="es-ES"/>
        </w:rPr>
        <w:t xml:space="preserve">la </w:t>
      </w:r>
      <w:r w:rsidRPr="00544542" w:rsidR="00333F68">
        <w:rPr>
          <w:rFonts w:cs="Arial"/>
          <w:b/>
          <w:noProof w:val="0"/>
          <w:color w:val="000000"/>
          <w:sz w:val="22"/>
          <w:szCs w:val="22"/>
          <w:lang w:val="es-ES"/>
        </w:rPr>
        <w:t xml:space="preserve">evaluación </w:t>
      </w:r>
    </w:p>
    <w:p w:rsidRPr="00642340" w:rsidR="00EC755A" w:rsidP="00164BDF" w:rsidRDefault="004568C0" w14:paraId="2E18F22E" w14:textId="07CF951D">
      <w:pPr>
        <w:pStyle w:val="AutoNumpara"/>
        <w:numPr>
          <w:ilvl w:val="0"/>
          <w:numId w:val="0"/>
        </w:numPr>
        <w:tabs>
          <w:tab w:val="left" w:pos="720"/>
        </w:tabs>
        <w:spacing w:line="276" w:lineRule="auto"/>
        <w:rPr>
          <w:rFonts w:cs="Arial"/>
          <w:b/>
          <w:noProof w:val="0"/>
          <w:color w:val="000000"/>
          <w:sz w:val="22"/>
          <w:szCs w:val="22"/>
          <w:lang w:val="es-ES"/>
        </w:rPr>
      </w:pPr>
      <w:r w:rsidRPr="00544542">
        <w:rPr>
          <w:rFonts w:cs="Arial"/>
          <w:noProof w:val="0"/>
          <w:color w:val="000000"/>
          <w:sz w:val="22"/>
          <w:szCs w:val="22"/>
          <w:lang w:val="es-ES"/>
        </w:rPr>
        <w:t xml:space="preserve">El costo asociado </w:t>
      </w:r>
      <w:r w:rsidRPr="00544542" w:rsidR="00C8161E">
        <w:rPr>
          <w:rFonts w:cs="Arial"/>
          <w:noProof w:val="0"/>
          <w:color w:val="000000"/>
          <w:sz w:val="22"/>
          <w:szCs w:val="22"/>
          <w:lang w:val="es-ES"/>
        </w:rPr>
        <w:t xml:space="preserve">con la evaluación de </w:t>
      </w:r>
      <w:r w:rsidRPr="00544542">
        <w:rPr>
          <w:rFonts w:cs="Arial"/>
          <w:noProof w:val="0"/>
          <w:color w:val="000000"/>
          <w:sz w:val="22"/>
          <w:szCs w:val="22"/>
          <w:lang w:val="es-ES"/>
        </w:rPr>
        <w:t xml:space="preserve">cada componente </w:t>
      </w:r>
      <w:r w:rsidR="00AC2DD3">
        <w:rPr>
          <w:rFonts w:cs="Arial"/>
          <w:noProof w:val="0"/>
          <w:color w:val="000000"/>
          <w:sz w:val="22"/>
          <w:szCs w:val="22"/>
          <w:lang w:val="es-ES"/>
        </w:rPr>
        <w:t xml:space="preserve">se presenta en el Cuadro </w:t>
      </w:r>
      <w:r w:rsidR="002B7EE1">
        <w:rPr>
          <w:rFonts w:cs="Arial"/>
          <w:noProof w:val="0"/>
          <w:color w:val="000000"/>
          <w:sz w:val="22"/>
          <w:szCs w:val="22"/>
          <w:lang w:val="es-ES"/>
        </w:rPr>
        <w:t>8</w:t>
      </w:r>
      <w:r w:rsidRPr="00544542">
        <w:rPr>
          <w:rFonts w:cs="Arial"/>
          <w:noProof w:val="0"/>
          <w:color w:val="000000"/>
          <w:sz w:val="22"/>
          <w:szCs w:val="22"/>
          <w:lang w:val="es-ES"/>
        </w:rPr>
        <w:t xml:space="preserve">. </w:t>
      </w:r>
      <w:r w:rsidRPr="00544542" w:rsidR="00B91134">
        <w:rPr>
          <w:rFonts w:cs="Arial"/>
          <w:noProof w:val="0"/>
          <w:sz w:val="22"/>
          <w:szCs w:val="22"/>
          <w:lang w:val="es-ES"/>
        </w:rPr>
        <w:t>No se utiliza</w:t>
      </w:r>
      <w:r w:rsidRPr="00544542" w:rsidR="00430A69">
        <w:rPr>
          <w:rFonts w:cs="Arial"/>
          <w:noProof w:val="0"/>
          <w:sz w:val="22"/>
          <w:szCs w:val="22"/>
          <w:lang w:val="es-ES"/>
        </w:rPr>
        <w:t>rán</w:t>
      </w:r>
      <w:r w:rsidRPr="00544542" w:rsidR="00B91134">
        <w:rPr>
          <w:rFonts w:cs="Arial"/>
          <w:noProof w:val="0"/>
          <w:sz w:val="22"/>
          <w:szCs w:val="22"/>
          <w:lang w:val="es-ES"/>
        </w:rPr>
        <w:t xml:space="preserve"> recursos del préstamo para </w:t>
      </w:r>
      <w:r w:rsidR="007E42C2">
        <w:rPr>
          <w:rFonts w:cs="Arial"/>
          <w:noProof w:val="0"/>
          <w:sz w:val="22"/>
          <w:szCs w:val="22"/>
          <w:lang w:val="es-ES"/>
        </w:rPr>
        <w:t>financiar las</w:t>
      </w:r>
      <w:r w:rsidRPr="00544542" w:rsidR="00B91134">
        <w:rPr>
          <w:rFonts w:cs="Arial"/>
          <w:noProof w:val="0"/>
          <w:sz w:val="22"/>
          <w:szCs w:val="22"/>
          <w:lang w:val="es-ES"/>
        </w:rPr>
        <w:t xml:space="preserve"> actividades de evaluación.</w:t>
      </w:r>
      <w:r w:rsidRPr="00544542" w:rsidR="00B91134">
        <w:rPr>
          <w:rFonts w:cs="Arial"/>
          <w:b/>
          <w:noProof w:val="0"/>
          <w:color w:val="000000"/>
          <w:sz w:val="22"/>
          <w:szCs w:val="22"/>
          <w:lang w:val="es-ES"/>
        </w:rPr>
        <w:t xml:space="preserve"> </w:t>
      </w:r>
      <w:r w:rsidRPr="00544542" w:rsidR="00C8161E">
        <w:rPr>
          <w:rFonts w:cs="Arial"/>
          <w:noProof w:val="0"/>
          <w:color w:val="000000"/>
          <w:sz w:val="22"/>
          <w:szCs w:val="22"/>
          <w:lang w:val="es-ES"/>
        </w:rPr>
        <w:t>Sin embargo, se</w:t>
      </w:r>
      <w:r w:rsidR="009D7021">
        <w:rPr>
          <w:rFonts w:cs="Arial"/>
          <w:noProof w:val="0"/>
          <w:color w:val="000000"/>
          <w:sz w:val="22"/>
          <w:szCs w:val="22"/>
          <w:lang w:val="es-ES"/>
        </w:rPr>
        <w:t xml:space="preserve"> </w:t>
      </w:r>
      <w:r w:rsidRPr="00544542" w:rsidR="00C8161E">
        <w:rPr>
          <w:rFonts w:cs="Arial"/>
          <w:noProof w:val="0"/>
          <w:color w:val="000000"/>
          <w:sz w:val="22"/>
          <w:szCs w:val="22"/>
          <w:lang w:val="es-ES"/>
        </w:rPr>
        <w:t xml:space="preserve">utilizarán recursos </w:t>
      </w:r>
      <w:r w:rsidR="0084526D">
        <w:rPr>
          <w:rFonts w:cs="Arial"/>
          <w:noProof w:val="0"/>
          <w:color w:val="000000"/>
          <w:sz w:val="22"/>
          <w:szCs w:val="22"/>
          <w:lang w:val="es-ES"/>
        </w:rPr>
        <w:t>transaccionales de la operación.</w:t>
      </w:r>
      <w:r w:rsidRPr="00544542" w:rsidR="00C8161E">
        <w:rPr>
          <w:rFonts w:cs="Arial"/>
          <w:noProof w:val="0"/>
          <w:color w:val="000000"/>
          <w:sz w:val="22"/>
          <w:szCs w:val="22"/>
          <w:lang w:val="es-ES"/>
        </w:rPr>
        <w:t xml:space="preserve"> </w:t>
      </w:r>
    </w:p>
    <w:p w:rsidR="002B7EE1" w:rsidP="003A18EC" w:rsidRDefault="002B7EE1" w14:paraId="3D68C706" w14:textId="77777777">
      <w:pPr>
        <w:pStyle w:val="AutoNumpara"/>
        <w:numPr>
          <w:ilvl w:val="0"/>
          <w:numId w:val="0"/>
        </w:numPr>
        <w:tabs>
          <w:tab w:val="left" w:pos="720"/>
        </w:tabs>
        <w:spacing w:before="0" w:after="0"/>
        <w:rPr>
          <w:rFonts w:cs="Arial"/>
          <w:noProof w:val="0"/>
          <w:color w:val="000000"/>
          <w:sz w:val="22"/>
          <w:szCs w:val="22"/>
          <w:lang w:val="es-ES"/>
        </w:rPr>
      </w:pPr>
    </w:p>
    <w:p w:rsidRPr="00044CD3" w:rsidR="00AC2DD3" w:rsidP="00482202" w:rsidRDefault="00AC2DD3" w14:paraId="64D2DF46" w14:textId="75391706">
      <w:pPr>
        <w:pStyle w:val="Paragraph"/>
        <w:rPr>
          <w:noProof/>
        </w:rPr>
      </w:pPr>
      <w:bookmarkStart w:name="_Toc22488931" w:id="15"/>
      <w:bookmarkStart w:name="_Toc22665330" w:id="16"/>
      <w:r>
        <w:rPr>
          <w:noProof/>
        </w:rPr>
        <w:t xml:space="preserve">Cuadro </w:t>
      </w:r>
      <w:r w:rsidR="003E383D">
        <w:rPr>
          <w:noProof/>
        </w:rPr>
        <w:t>5</w:t>
      </w:r>
      <w:r w:rsidRPr="00044CD3">
        <w:rPr>
          <w:noProof/>
        </w:rPr>
        <w:t>. Presupuesto</w:t>
      </w:r>
      <w:r w:rsidR="00F13773">
        <w:rPr>
          <w:noProof/>
        </w:rPr>
        <w:t xml:space="preserve"> y cronograma</w:t>
      </w:r>
      <w:r w:rsidRPr="00044CD3">
        <w:rPr>
          <w:noProof/>
        </w:rPr>
        <w:t xml:space="preserve"> para </w:t>
      </w:r>
      <w:r>
        <w:rPr>
          <w:noProof/>
        </w:rPr>
        <w:t>la</w:t>
      </w:r>
      <w:r w:rsidRPr="00044CD3">
        <w:rPr>
          <w:noProof/>
        </w:rPr>
        <w:t xml:space="preserve"> evaluación</w:t>
      </w:r>
      <w:bookmarkEnd w:id="15"/>
      <w:bookmarkEnd w:id="16"/>
    </w:p>
    <w:tbl>
      <w:tblPr>
        <w:tblStyle w:val="TableGrid"/>
        <w:tblW w:w="7920" w:type="dxa"/>
        <w:jc w:val="center"/>
        <w:tblLook w:val="04A0" w:firstRow="1" w:lastRow="0" w:firstColumn="1" w:lastColumn="0" w:noHBand="0" w:noVBand="1"/>
      </w:tblPr>
      <w:tblGrid>
        <w:gridCol w:w="1968"/>
        <w:gridCol w:w="1165"/>
        <w:gridCol w:w="3450"/>
        <w:gridCol w:w="1337"/>
      </w:tblGrid>
      <w:tr w:rsidRPr="00044CD3" w:rsidR="00AC2DD3" w:rsidTr="004C6708" w14:paraId="2CE42DB9" w14:textId="77777777">
        <w:trPr>
          <w:trHeight w:val="611"/>
          <w:jc w:val="center"/>
        </w:trPr>
        <w:tc>
          <w:tcPr>
            <w:tcW w:w="1968" w:type="dxa"/>
            <w:shd w:val="clear" w:color="auto" w:fill="D5DCE4" w:themeFill="text2" w:themeFillTint="33"/>
            <w:vAlign w:val="center"/>
          </w:tcPr>
          <w:p w:rsidRPr="00044CD3" w:rsidR="00AC2DD3" w:rsidP="00DD618A" w:rsidRDefault="00AC2DD3" w14:paraId="08CC5B06" w14:textId="77777777">
            <w:pPr>
              <w:spacing w:after="40"/>
              <w:jc w:val="center"/>
              <w:rPr>
                <w:rFonts w:ascii="Arial" w:hAnsi="Arial" w:cs="Arial"/>
                <w:b/>
                <w:sz w:val="18"/>
                <w:szCs w:val="18"/>
                <w:lang w:val="es-ES_tradnl"/>
              </w:rPr>
            </w:pPr>
            <w:r w:rsidRPr="00044CD3">
              <w:rPr>
                <w:rFonts w:ascii="Arial" w:hAnsi="Arial" w:cs="Arial"/>
                <w:b/>
                <w:sz w:val="18"/>
                <w:szCs w:val="18"/>
                <w:lang w:val="es-ES_tradnl"/>
              </w:rPr>
              <w:t>Actividad</w:t>
            </w:r>
          </w:p>
        </w:tc>
        <w:tc>
          <w:tcPr>
            <w:tcW w:w="1165" w:type="dxa"/>
            <w:shd w:val="clear" w:color="auto" w:fill="D5DCE4" w:themeFill="text2" w:themeFillTint="33"/>
            <w:vAlign w:val="center"/>
          </w:tcPr>
          <w:p w:rsidRPr="00044CD3" w:rsidR="00AC2DD3" w:rsidP="00DD618A" w:rsidRDefault="00AC2DD3" w14:paraId="22CC9972" w14:textId="140799FE">
            <w:pPr>
              <w:spacing w:after="40"/>
              <w:jc w:val="center"/>
              <w:rPr>
                <w:rFonts w:ascii="Arial" w:hAnsi="Arial" w:cs="Arial"/>
                <w:b/>
                <w:sz w:val="18"/>
                <w:szCs w:val="18"/>
                <w:lang w:val="es-ES_tradnl"/>
              </w:rPr>
            </w:pPr>
            <w:r w:rsidRPr="00044CD3">
              <w:rPr>
                <w:rFonts w:ascii="Arial" w:hAnsi="Arial" w:cs="Arial"/>
                <w:b/>
                <w:sz w:val="18"/>
                <w:szCs w:val="18"/>
                <w:lang w:val="es-ES_tradnl"/>
              </w:rPr>
              <w:t>Costo</w:t>
            </w:r>
            <w:r w:rsidR="002B7EE1">
              <w:rPr>
                <w:rFonts w:ascii="Arial" w:hAnsi="Arial" w:cs="Arial"/>
                <w:b/>
                <w:sz w:val="18"/>
                <w:szCs w:val="18"/>
                <w:lang w:val="es-ES_tradnl"/>
              </w:rPr>
              <w:t xml:space="preserve"> US$</w:t>
            </w:r>
          </w:p>
        </w:tc>
        <w:tc>
          <w:tcPr>
            <w:tcW w:w="3450" w:type="dxa"/>
            <w:shd w:val="clear" w:color="auto" w:fill="D5DCE4" w:themeFill="text2" w:themeFillTint="33"/>
            <w:vAlign w:val="center"/>
          </w:tcPr>
          <w:p w:rsidRPr="00044CD3" w:rsidR="00AC2DD3" w:rsidP="00DD618A" w:rsidRDefault="00AC2DD3" w14:paraId="1E2780F5" w14:textId="77777777">
            <w:pPr>
              <w:spacing w:after="40"/>
              <w:jc w:val="center"/>
              <w:rPr>
                <w:rFonts w:ascii="Arial" w:hAnsi="Arial" w:cs="Arial"/>
                <w:b/>
                <w:sz w:val="18"/>
                <w:szCs w:val="18"/>
                <w:lang w:val="es-ES_tradnl"/>
              </w:rPr>
            </w:pPr>
            <w:r w:rsidRPr="00044CD3">
              <w:rPr>
                <w:rFonts w:ascii="Arial" w:hAnsi="Arial" w:cs="Arial"/>
                <w:b/>
                <w:sz w:val="18"/>
                <w:szCs w:val="18"/>
                <w:lang w:val="es-ES_tradnl"/>
              </w:rPr>
              <w:t>Fuente de financiamiento</w:t>
            </w:r>
          </w:p>
        </w:tc>
        <w:tc>
          <w:tcPr>
            <w:tcW w:w="1337" w:type="dxa"/>
            <w:shd w:val="clear" w:color="auto" w:fill="D5DCE4" w:themeFill="text2" w:themeFillTint="33"/>
            <w:vAlign w:val="center"/>
          </w:tcPr>
          <w:p w:rsidRPr="00044CD3" w:rsidR="00AC2DD3" w:rsidP="00DD618A" w:rsidRDefault="00AC2DD3" w14:paraId="6C8B08F9" w14:textId="77777777">
            <w:pPr>
              <w:spacing w:after="40"/>
              <w:jc w:val="center"/>
              <w:rPr>
                <w:rFonts w:ascii="Arial" w:hAnsi="Arial" w:cs="Arial"/>
                <w:b/>
                <w:sz w:val="18"/>
                <w:szCs w:val="18"/>
                <w:lang w:val="es-ES_tradnl"/>
              </w:rPr>
            </w:pPr>
            <w:r w:rsidRPr="00044CD3">
              <w:rPr>
                <w:rFonts w:ascii="Arial" w:hAnsi="Arial" w:cs="Arial"/>
                <w:b/>
                <w:sz w:val="18"/>
                <w:szCs w:val="18"/>
                <w:lang w:val="es-ES_tradnl"/>
              </w:rPr>
              <w:t>Responsable</w:t>
            </w:r>
          </w:p>
        </w:tc>
      </w:tr>
      <w:tr w:rsidRPr="00044CD3" w:rsidR="00AC2DD3" w:rsidTr="004C6708" w14:paraId="2E6D347E" w14:textId="77777777">
        <w:trPr>
          <w:jc w:val="center"/>
        </w:trPr>
        <w:tc>
          <w:tcPr>
            <w:tcW w:w="1968" w:type="dxa"/>
          </w:tcPr>
          <w:p w:rsidRPr="00044CD3" w:rsidR="00AC2DD3" w:rsidP="00DD618A" w:rsidRDefault="00C236FC" w14:paraId="48BAD006" w14:textId="0ECD4F47">
            <w:pPr>
              <w:spacing w:after="40"/>
              <w:rPr>
                <w:rFonts w:ascii="Arial" w:hAnsi="Arial" w:cs="Arial"/>
                <w:sz w:val="18"/>
                <w:szCs w:val="18"/>
                <w:lang w:val="es-ES_tradnl"/>
              </w:rPr>
            </w:pPr>
            <w:r>
              <w:rPr>
                <w:rFonts w:ascii="Arial" w:hAnsi="Arial" w:cs="Arial"/>
                <w:sz w:val="18"/>
                <w:szCs w:val="18"/>
                <w:lang w:val="es-ES_tradnl"/>
              </w:rPr>
              <w:t>Componente 1</w:t>
            </w:r>
          </w:p>
        </w:tc>
        <w:tc>
          <w:tcPr>
            <w:tcW w:w="1165" w:type="dxa"/>
          </w:tcPr>
          <w:p w:rsidRPr="00044CD3" w:rsidR="00AC2DD3" w:rsidP="009C49B0" w:rsidRDefault="00C236FC" w14:paraId="41CB4A66" w14:textId="071CD040">
            <w:pPr>
              <w:spacing w:after="40"/>
              <w:jc w:val="right"/>
              <w:rPr>
                <w:rFonts w:ascii="Arial" w:hAnsi="Arial" w:cs="Arial"/>
                <w:sz w:val="18"/>
                <w:szCs w:val="18"/>
                <w:lang w:val="es-ES_tradnl"/>
              </w:rPr>
            </w:pPr>
            <w:r>
              <w:rPr>
                <w:rFonts w:ascii="Arial" w:hAnsi="Arial" w:cs="Arial"/>
                <w:sz w:val="18"/>
                <w:szCs w:val="18"/>
                <w:lang w:val="es-ES_tradnl"/>
              </w:rPr>
              <w:t>4</w:t>
            </w:r>
            <w:r w:rsidRPr="00044CD3" w:rsidR="00AC2DD3">
              <w:rPr>
                <w:rFonts w:ascii="Arial" w:hAnsi="Arial" w:cs="Arial"/>
                <w:sz w:val="18"/>
                <w:szCs w:val="18"/>
                <w:lang w:val="es-ES_tradnl"/>
              </w:rPr>
              <w:t>.000</w:t>
            </w:r>
          </w:p>
        </w:tc>
        <w:tc>
          <w:tcPr>
            <w:tcW w:w="3450" w:type="dxa"/>
          </w:tcPr>
          <w:p w:rsidRPr="00044CD3" w:rsidR="00AC2DD3" w:rsidP="00DD618A" w:rsidRDefault="00AC2DD3" w14:paraId="2EF20B30" w14:textId="1449C96D">
            <w:pPr>
              <w:spacing w:after="40"/>
              <w:rPr>
                <w:rFonts w:ascii="Arial" w:hAnsi="Arial" w:cs="Arial"/>
                <w:sz w:val="18"/>
                <w:szCs w:val="18"/>
                <w:lang w:val="es-ES_tradnl"/>
              </w:rPr>
            </w:pPr>
            <w:r>
              <w:rPr>
                <w:rFonts w:ascii="Arial" w:hAnsi="Arial" w:cs="Arial"/>
                <w:sz w:val="18"/>
                <w:szCs w:val="18"/>
                <w:lang w:val="es-ES_tradnl"/>
              </w:rPr>
              <w:t>P</w:t>
            </w:r>
            <w:r w:rsidRPr="00044CD3">
              <w:rPr>
                <w:rFonts w:ascii="Arial" w:hAnsi="Arial" w:cs="Arial"/>
                <w:sz w:val="18"/>
                <w:szCs w:val="18"/>
                <w:lang w:val="es-ES_tradnl"/>
              </w:rPr>
              <w:t>resupuesto transaccional CO-L12</w:t>
            </w:r>
            <w:r>
              <w:rPr>
                <w:rFonts w:ascii="Arial" w:hAnsi="Arial" w:cs="Arial"/>
                <w:sz w:val="18"/>
                <w:szCs w:val="18"/>
                <w:lang w:val="es-ES_tradnl"/>
              </w:rPr>
              <w:t>48</w:t>
            </w:r>
          </w:p>
        </w:tc>
        <w:tc>
          <w:tcPr>
            <w:tcW w:w="1337" w:type="dxa"/>
          </w:tcPr>
          <w:p w:rsidRPr="00044CD3" w:rsidR="00AC2DD3" w:rsidP="00DD618A" w:rsidRDefault="00AC2DD3" w14:paraId="16A40C01" w14:textId="77777777">
            <w:pPr>
              <w:spacing w:after="40"/>
              <w:rPr>
                <w:rFonts w:ascii="Arial" w:hAnsi="Arial" w:cs="Arial"/>
                <w:sz w:val="18"/>
                <w:szCs w:val="18"/>
                <w:lang w:val="es-ES_tradnl"/>
              </w:rPr>
            </w:pPr>
            <w:r w:rsidRPr="00044CD3">
              <w:rPr>
                <w:rFonts w:ascii="Arial" w:hAnsi="Arial" w:cs="Arial"/>
                <w:sz w:val="18"/>
                <w:szCs w:val="18"/>
                <w:lang w:val="es-ES_tradnl"/>
              </w:rPr>
              <w:t>BID</w:t>
            </w:r>
          </w:p>
        </w:tc>
      </w:tr>
      <w:tr w:rsidRPr="00044CD3" w:rsidR="002B7EE1" w:rsidTr="004C6708" w14:paraId="548656E6" w14:textId="77777777">
        <w:trPr>
          <w:jc w:val="center"/>
        </w:trPr>
        <w:tc>
          <w:tcPr>
            <w:tcW w:w="1968" w:type="dxa"/>
          </w:tcPr>
          <w:p w:rsidR="002B7EE1" w:rsidP="00DD618A" w:rsidRDefault="00C236FC" w14:paraId="181CF8FA" w14:textId="695E6CB7">
            <w:pPr>
              <w:spacing w:after="40"/>
              <w:rPr>
                <w:rFonts w:ascii="Arial" w:hAnsi="Arial" w:cs="Arial"/>
                <w:sz w:val="18"/>
                <w:szCs w:val="18"/>
                <w:lang w:val="es-ES_tradnl"/>
              </w:rPr>
            </w:pPr>
            <w:r>
              <w:rPr>
                <w:rFonts w:ascii="Arial" w:hAnsi="Arial" w:cs="Arial"/>
                <w:sz w:val="18"/>
                <w:szCs w:val="18"/>
                <w:lang w:val="es-ES_tradnl"/>
              </w:rPr>
              <w:t>Componente 2</w:t>
            </w:r>
          </w:p>
        </w:tc>
        <w:tc>
          <w:tcPr>
            <w:tcW w:w="1165" w:type="dxa"/>
          </w:tcPr>
          <w:p w:rsidRPr="00044CD3" w:rsidR="002B7EE1" w:rsidP="009C49B0" w:rsidRDefault="00C236FC" w14:paraId="2A884824" w14:textId="4AB23728">
            <w:pPr>
              <w:spacing w:after="40"/>
              <w:jc w:val="right"/>
              <w:rPr>
                <w:rFonts w:ascii="Arial" w:hAnsi="Arial" w:cs="Arial"/>
                <w:sz w:val="18"/>
                <w:szCs w:val="18"/>
                <w:lang w:val="es-ES_tradnl"/>
              </w:rPr>
            </w:pPr>
            <w:r>
              <w:rPr>
                <w:rFonts w:ascii="Arial" w:hAnsi="Arial" w:cs="Arial"/>
                <w:sz w:val="18"/>
                <w:szCs w:val="18"/>
                <w:lang w:val="es-ES_tradnl"/>
              </w:rPr>
              <w:t>7</w:t>
            </w:r>
            <w:r w:rsidR="00F13773">
              <w:rPr>
                <w:rFonts w:ascii="Arial" w:hAnsi="Arial" w:cs="Arial"/>
                <w:sz w:val="18"/>
                <w:szCs w:val="18"/>
                <w:lang w:val="es-ES_tradnl"/>
              </w:rPr>
              <w:t>.000</w:t>
            </w:r>
          </w:p>
        </w:tc>
        <w:tc>
          <w:tcPr>
            <w:tcW w:w="3450" w:type="dxa"/>
          </w:tcPr>
          <w:p w:rsidR="002B7EE1" w:rsidP="00DD618A" w:rsidRDefault="002B7EE1" w14:paraId="49446532" w14:textId="6EF51E90">
            <w:pPr>
              <w:spacing w:after="40"/>
              <w:rPr>
                <w:rFonts w:ascii="Arial" w:hAnsi="Arial" w:cs="Arial"/>
                <w:sz w:val="18"/>
                <w:szCs w:val="18"/>
                <w:lang w:val="es-ES_tradnl"/>
              </w:rPr>
            </w:pPr>
            <w:r>
              <w:rPr>
                <w:rFonts w:ascii="Arial" w:hAnsi="Arial" w:cs="Arial"/>
                <w:sz w:val="18"/>
                <w:szCs w:val="18"/>
                <w:lang w:val="es-ES_tradnl"/>
              </w:rPr>
              <w:t>P</w:t>
            </w:r>
            <w:r w:rsidRPr="00044CD3">
              <w:rPr>
                <w:rFonts w:ascii="Arial" w:hAnsi="Arial" w:cs="Arial"/>
                <w:sz w:val="18"/>
                <w:szCs w:val="18"/>
                <w:lang w:val="es-ES_tradnl"/>
              </w:rPr>
              <w:t>resupuesto transaccional CO-L12</w:t>
            </w:r>
            <w:r>
              <w:rPr>
                <w:rFonts w:ascii="Arial" w:hAnsi="Arial" w:cs="Arial"/>
                <w:sz w:val="18"/>
                <w:szCs w:val="18"/>
                <w:lang w:val="es-ES_tradnl"/>
              </w:rPr>
              <w:t>48</w:t>
            </w:r>
          </w:p>
        </w:tc>
        <w:tc>
          <w:tcPr>
            <w:tcW w:w="1337" w:type="dxa"/>
          </w:tcPr>
          <w:p w:rsidRPr="00044CD3" w:rsidR="002B7EE1" w:rsidP="00DD618A" w:rsidRDefault="002B7EE1" w14:paraId="5FEAFA04" w14:textId="33ACBB9C">
            <w:pPr>
              <w:spacing w:after="40"/>
              <w:rPr>
                <w:rFonts w:ascii="Arial" w:hAnsi="Arial" w:cs="Arial"/>
                <w:sz w:val="18"/>
                <w:szCs w:val="18"/>
                <w:lang w:val="es-ES_tradnl"/>
              </w:rPr>
            </w:pPr>
            <w:r w:rsidRPr="00044CD3">
              <w:rPr>
                <w:rFonts w:ascii="Arial" w:hAnsi="Arial" w:cs="Arial"/>
                <w:sz w:val="18"/>
                <w:szCs w:val="18"/>
                <w:lang w:val="es-ES_tradnl"/>
              </w:rPr>
              <w:t>BID</w:t>
            </w:r>
          </w:p>
        </w:tc>
      </w:tr>
      <w:tr w:rsidRPr="00044CD3" w:rsidR="009D7021" w:rsidTr="004C6708" w14:paraId="33F5E371" w14:textId="77777777">
        <w:trPr>
          <w:jc w:val="center"/>
        </w:trPr>
        <w:tc>
          <w:tcPr>
            <w:tcW w:w="1968" w:type="dxa"/>
          </w:tcPr>
          <w:p w:rsidR="009D7021" w:rsidP="00DD618A" w:rsidRDefault="009D7021" w14:paraId="71838F26" w14:textId="6B6BA9AC">
            <w:pPr>
              <w:spacing w:after="40"/>
              <w:rPr>
                <w:rFonts w:ascii="Arial" w:hAnsi="Arial" w:cs="Arial"/>
                <w:sz w:val="18"/>
                <w:szCs w:val="18"/>
                <w:lang w:val="es-ES_tradnl"/>
              </w:rPr>
            </w:pPr>
            <w:r>
              <w:rPr>
                <w:rFonts w:ascii="Arial" w:hAnsi="Arial" w:cs="Arial"/>
                <w:sz w:val="18"/>
                <w:szCs w:val="18"/>
                <w:lang w:val="es-ES_tradnl"/>
              </w:rPr>
              <w:t>Componente 3</w:t>
            </w:r>
          </w:p>
        </w:tc>
        <w:tc>
          <w:tcPr>
            <w:tcW w:w="1165" w:type="dxa"/>
          </w:tcPr>
          <w:p w:rsidR="009D7021" w:rsidP="009C49B0" w:rsidRDefault="00C236FC" w14:paraId="5F17AA7A" w14:textId="41E34927">
            <w:pPr>
              <w:spacing w:after="40"/>
              <w:jc w:val="right"/>
              <w:rPr>
                <w:rFonts w:ascii="Arial" w:hAnsi="Arial" w:cs="Arial"/>
                <w:sz w:val="18"/>
                <w:szCs w:val="18"/>
                <w:lang w:val="es-ES_tradnl"/>
              </w:rPr>
            </w:pPr>
            <w:r>
              <w:rPr>
                <w:rFonts w:ascii="Arial" w:hAnsi="Arial" w:cs="Arial"/>
                <w:sz w:val="18"/>
                <w:szCs w:val="18"/>
                <w:lang w:val="es-ES_tradnl"/>
              </w:rPr>
              <w:t>13.000</w:t>
            </w:r>
          </w:p>
        </w:tc>
        <w:tc>
          <w:tcPr>
            <w:tcW w:w="3450" w:type="dxa"/>
          </w:tcPr>
          <w:p w:rsidR="009D7021" w:rsidP="00DD618A" w:rsidRDefault="009D7021" w14:paraId="29F3E5F6" w14:textId="228960B9">
            <w:pPr>
              <w:spacing w:after="40"/>
              <w:rPr>
                <w:rFonts w:ascii="Arial" w:hAnsi="Arial" w:cs="Arial"/>
                <w:sz w:val="18"/>
                <w:szCs w:val="18"/>
                <w:lang w:val="es-ES_tradnl"/>
              </w:rPr>
            </w:pPr>
            <w:r>
              <w:rPr>
                <w:rFonts w:ascii="Arial" w:hAnsi="Arial" w:cs="Arial"/>
                <w:sz w:val="18"/>
                <w:szCs w:val="18"/>
                <w:lang w:val="es-ES_tradnl"/>
              </w:rPr>
              <w:t>P</w:t>
            </w:r>
            <w:r w:rsidRPr="00044CD3">
              <w:rPr>
                <w:rFonts w:ascii="Arial" w:hAnsi="Arial" w:cs="Arial"/>
                <w:sz w:val="18"/>
                <w:szCs w:val="18"/>
                <w:lang w:val="es-ES_tradnl"/>
              </w:rPr>
              <w:t>resupuesto transaccional CO-L12</w:t>
            </w:r>
            <w:r>
              <w:rPr>
                <w:rFonts w:ascii="Arial" w:hAnsi="Arial" w:cs="Arial"/>
                <w:sz w:val="18"/>
                <w:szCs w:val="18"/>
                <w:lang w:val="es-ES_tradnl"/>
              </w:rPr>
              <w:t>48</w:t>
            </w:r>
          </w:p>
        </w:tc>
        <w:tc>
          <w:tcPr>
            <w:tcW w:w="1337" w:type="dxa"/>
          </w:tcPr>
          <w:p w:rsidRPr="00044CD3" w:rsidR="009D7021" w:rsidP="00DD618A" w:rsidRDefault="009D7021" w14:paraId="0CC9C777" w14:textId="00D07C31">
            <w:pPr>
              <w:spacing w:after="40"/>
              <w:rPr>
                <w:rFonts w:ascii="Arial" w:hAnsi="Arial" w:cs="Arial"/>
                <w:sz w:val="18"/>
                <w:szCs w:val="18"/>
                <w:lang w:val="es-ES_tradnl"/>
              </w:rPr>
            </w:pPr>
            <w:r>
              <w:rPr>
                <w:rFonts w:ascii="Arial" w:hAnsi="Arial" w:cs="Arial"/>
                <w:sz w:val="18"/>
                <w:szCs w:val="18"/>
                <w:lang w:val="es-ES_tradnl"/>
              </w:rPr>
              <w:t>BID</w:t>
            </w:r>
          </w:p>
        </w:tc>
      </w:tr>
    </w:tbl>
    <w:p w:rsidR="00AC2DD3" w:rsidP="00164BDF" w:rsidRDefault="00AC2DD3" w14:paraId="1A3DC242" w14:textId="77777777">
      <w:pPr>
        <w:pStyle w:val="AutoNumpara"/>
        <w:numPr>
          <w:ilvl w:val="0"/>
          <w:numId w:val="0"/>
        </w:numPr>
        <w:tabs>
          <w:tab w:val="left" w:pos="720"/>
        </w:tabs>
        <w:spacing w:line="276" w:lineRule="auto"/>
        <w:rPr>
          <w:rFonts w:cs="Arial"/>
          <w:noProof w:val="0"/>
          <w:color w:val="000000"/>
          <w:sz w:val="22"/>
          <w:szCs w:val="22"/>
          <w:lang w:val="es-ES"/>
        </w:rPr>
      </w:pPr>
    </w:p>
    <w:tbl>
      <w:tblPr>
        <w:tblW w:w="7731" w:type="dxa"/>
        <w:jc w:val="center"/>
        <w:tblLook w:val="04A0" w:firstRow="1" w:lastRow="0" w:firstColumn="1" w:lastColumn="0" w:noHBand="0" w:noVBand="1"/>
      </w:tblPr>
      <w:tblGrid>
        <w:gridCol w:w="3951"/>
        <w:gridCol w:w="461"/>
        <w:gridCol w:w="461"/>
        <w:gridCol w:w="575"/>
        <w:gridCol w:w="575"/>
        <w:gridCol w:w="427"/>
        <w:gridCol w:w="427"/>
        <w:gridCol w:w="427"/>
        <w:gridCol w:w="427"/>
      </w:tblGrid>
      <w:tr w:rsidRPr="003562D8" w:rsidR="00A83115" w:rsidTr="00A83115" w14:paraId="0771D08F" w14:textId="1DADC9E7">
        <w:trPr>
          <w:trHeight w:val="290"/>
          <w:jc w:val="center"/>
        </w:trPr>
        <w:tc>
          <w:tcPr>
            <w:tcW w:w="3951" w:type="dxa"/>
            <w:tcBorders>
              <w:top w:val="single" w:color="auto" w:sz="4" w:space="0"/>
              <w:left w:val="single" w:color="auto" w:sz="4" w:space="0"/>
              <w:right w:val="single" w:color="auto" w:sz="4" w:space="0"/>
            </w:tcBorders>
            <w:shd w:val="clear" w:color="auto" w:fill="D5DCE4" w:themeFill="text2" w:themeFillTint="33"/>
            <w:noWrap/>
            <w:vAlign w:val="bottom"/>
            <w:hideMark/>
          </w:tcPr>
          <w:p w:rsidRPr="003562D8" w:rsidR="00A83115" w:rsidP="00DD618A" w:rsidRDefault="00A83115" w14:paraId="4F30CF58" w14:textId="77777777">
            <w:pPr>
              <w:jc w:val="center"/>
              <w:rPr>
                <w:rFonts w:ascii="Arial" w:hAnsi="Arial" w:cs="Arial"/>
                <w:b/>
                <w:color w:val="000000"/>
                <w:sz w:val="18"/>
                <w:szCs w:val="18"/>
                <w:lang w:val="es-ES_tradnl"/>
              </w:rPr>
            </w:pPr>
            <w:r w:rsidRPr="003562D8">
              <w:rPr>
                <w:rFonts w:ascii="Arial" w:hAnsi="Arial" w:cs="Arial"/>
                <w:b/>
                <w:color w:val="000000"/>
                <w:sz w:val="18"/>
                <w:szCs w:val="18"/>
                <w:lang w:val="es-ES_tradnl"/>
              </w:rPr>
              <w:t>Mes</w:t>
            </w:r>
          </w:p>
        </w:tc>
        <w:tc>
          <w:tcPr>
            <w:tcW w:w="2072" w:type="dxa"/>
            <w:gridSpan w:val="4"/>
            <w:tcBorders>
              <w:top w:val="single" w:color="auto" w:sz="4" w:space="0"/>
              <w:left w:val="single" w:color="auto" w:sz="4" w:space="0"/>
              <w:bottom w:val="single" w:color="auto" w:sz="4" w:space="0"/>
              <w:right w:val="single" w:color="auto" w:sz="4" w:space="0"/>
            </w:tcBorders>
            <w:shd w:val="clear" w:color="auto" w:fill="D5DCE4" w:themeFill="text2" w:themeFillTint="33"/>
            <w:noWrap/>
            <w:vAlign w:val="bottom"/>
          </w:tcPr>
          <w:p w:rsidRPr="003562D8" w:rsidR="00A83115" w:rsidP="009C49B0" w:rsidRDefault="00A83115" w14:paraId="5A659E2B" w14:textId="794870FC">
            <w:pPr>
              <w:jc w:val="center"/>
              <w:rPr>
                <w:rFonts w:ascii="Arial" w:hAnsi="Arial" w:cs="Arial"/>
                <w:b/>
                <w:color w:val="000000"/>
                <w:sz w:val="18"/>
                <w:szCs w:val="18"/>
                <w:lang w:val="es-ES_tradnl"/>
              </w:rPr>
            </w:pPr>
            <w:r w:rsidRPr="003562D8">
              <w:rPr>
                <w:rFonts w:ascii="Arial" w:hAnsi="Arial" w:cs="Arial"/>
                <w:b/>
                <w:color w:val="000000"/>
                <w:sz w:val="18"/>
                <w:szCs w:val="18"/>
                <w:lang w:val="es-ES_tradnl"/>
              </w:rPr>
              <w:t>202</w:t>
            </w:r>
            <w:r>
              <w:rPr>
                <w:rFonts w:ascii="Arial" w:hAnsi="Arial" w:cs="Arial"/>
                <w:b/>
                <w:color w:val="000000"/>
                <w:sz w:val="18"/>
                <w:szCs w:val="18"/>
                <w:lang w:val="es-ES_tradnl"/>
              </w:rPr>
              <w:t>2</w:t>
            </w:r>
          </w:p>
        </w:tc>
        <w:tc>
          <w:tcPr>
            <w:tcW w:w="1708" w:type="dxa"/>
            <w:gridSpan w:val="4"/>
            <w:tcBorders>
              <w:top w:val="single" w:color="auto" w:sz="4" w:space="0"/>
              <w:left w:val="single" w:color="auto" w:sz="4" w:space="0"/>
              <w:bottom w:val="single" w:color="auto" w:sz="4" w:space="0"/>
              <w:right w:val="single" w:color="auto" w:sz="4" w:space="0"/>
            </w:tcBorders>
            <w:shd w:val="clear" w:color="auto" w:fill="D5DCE4" w:themeFill="text2" w:themeFillTint="33"/>
          </w:tcPr>
          <w:p w:rsidRPr="003562D8" w:rsidR="00A83115" w:rsidP="00DD618A" w:rsidRDefault="00A83115" w14:paraId="2F275280" w14:textId="4CC5B712">
            <w:pPr>
              <w:jc w:val="center"/>
              <w:rPr>
                <w:rFonts w:ascii="Arial" w:hAnsi="Arial" w:cs="Arial"/>
                <w:b/>
                <w:color w:val="000000"/>
                <w:sz w:val="18"/>
                <w:szCs w:val="18"/>
                <w:lang w:val="es-ES_tradnl"/>
              </w:rPr>
            </w:pPr>
            <w:r>
              <w:rPr>
                <w:rFonts w:ascii="Arial" w:hAnsi="Arial" w:cs="Arial"/>
                <w:b/>
                <w:color w:val="000000"/>
                <w:sz w:val="18"/>
                <w:szCs w:val="18"/>
                <w:lang w:val="es-ES_tradnl"/>
              </w:rPr>
              <w:t>2023</w:t>
            </w:r>
          </w:p>
        </w:tc>
      </w:tr>
      <w:tr w:rsidRPr="003562D8" w:rsidR="00A83115" w:rsidTr="00A83115" w14:paraId="2AD1E599" w14:textId="1294B917">
        <w:trPr>
          <w:trHeight w:val="290"/>
          <w:jc w:val="center"/>
        </w:trPr>
        <w:tc>
          <w:tcPr>
            <w:tcW w:w="3951" w:type="dxa"/>
            <w:tcBorders>
              <w:left w:val="single" w:color="auto" w:sz="4" w:space="0"/>
              <w:bottom w:val="single" w:color="auto" w:sz="4" w:space="0"/>
              <w:right w:val="single" w:color="auto" w:sz="4" w:space="0"/>
            </w:tcBorders>
            <w:shd w:val="clear" w:color="auto" w:fill="D5DCE4" w:themeFill="text2" w:themeFillTint="33"/>
            <w:noWrap/>
            <w:vAlign w:val="bottom"/>
          </w:tcPr>
          <w:p w:rsidRPr="003562D8" w:rsidR="00A83115" w:rsidP="00DD618A" w:rsidRDefault="00A83115" w14:paraId="345AB7DF" w14:textId="77777777">
            <w:pPr>
              <w:rPr>
                <w:rFonts w:ascii="Arial" w:hAnsi="Arial" w:cs="Arial"/>
                <w:b/>
                <w:color w:val="000000"/>
                <w:sz w:val="18"/>
                <w:szCs w:val="18"/>
                <w:lang w:val="es-ES_tradnl"/>
              </w:rPr>
            </w:pPr>
          </w:p>
        </w:tc>
        <w:tc>
          <w:tcPr>
            <w:tcW w:w="461" w:type="dxa"/>
            <w:tcBorders>
              <w:top w:val="single" w:color="auto" w:sz="4" w:space="0"/>
              <w:left w:val="single" w:color="auto" w:sz="4" w:space="0"/>
              <w:bottom w:val="single" w:color="auto" w:sz="4" w:space="0"/>
              <w:right w:val="single" w:color="auto" w:sz="4" w:space="0"/>
            </w:tcBorders>
            <w:shd w:val="clear" w:color="auto" w:fill="D5DCE4" w:themeFill="text2" w:themeFillTint="33"/>
            <w:noWrap/>
            <w:vAlign w:val="bottom"/>
          </w:tcPr>
          <w:p w:rsidRPr="003562D8" w:rsidR="00A83115" w:rsidP="00DD618A" w:rsidRDefault="00A83115" w14:paraId="07147C9D" w14:textId="77777777">
            <w:pPr>
              <w:jc w:val="right"/>
              <w:rPr>
                <w:rFonts w:ascii="Arial" w:hAnsi="Arial" w:cs="Arial"/>
                <w:b/>
                <w:color w:val="000000"/>
                <w:sz w:val="18"/>
                <w:szCs w:val="18"/>
                <w:lang w:val="es-ES_tradnl"/>
              </w:rPr>
            </w:pPr>
            <w:r w:rsidRPr="003562D8">
              <w:rPr>
                <w:rFonts w:ascii="Arial" w:hAnsi="Arial" w:cs="Arial"/>
                <w:b/>
                <w:color w:val="000000"/>
                <w:sz w:val="18"/>
                <w:szCs w:val="18"/>
                <w:lang w:val="es-ES_tradnl"/>
              </w:rPr>
              <w:t>T1</w:t>
            </w:r>
          </w:p>
        </w:tc>
        <w:tc>
          <w:tcPr>
            <w:tcW w:w="461" w:type="dxa"/>
            <w:tcBorders>
              <w:top w:val="single" w:color="auto" w:sz="4" w:space="0"/>
              <w:left w:val="single" w:color="auto" w:sz="4" w:space="0"/>
              <w:bottom w:val="single" w:color="auto" w:sz="4" w:space="0"/>
              <w:right w:val="single" w:color="auto" w:sz="4" w:space="0"/>
            </w:tcBorders>
            <w:shd w:val="clear" w:color="auto" w:fill="D5DCE4" w:themeFill="text2" w:themeFillTint="33"/>
            <w:noWrap/>
            <w:vAlign w:val="bottom"/>
          </w:tcPr>
          <w:p w:rsidRPr="003562D8" w:rsidR="00A83115" w:rsidP="00DD618A" w:rsidRDefault="00A83115" w14:paraId="37FD4CF5" w14:textId="77777777">
            <w:pPr>
              <w:jc w:val="right"/>
              <w:rPr>
                <w:rFonts w:ascii="Arial" w:hAnsi="Arial" w:cs="Arial"/>
                <w:b/>
                <w:color w:val="000000"/>
                <w:sz w:val="18"/>
                <w:szCs w:val="18"/>
                <w:lang w:val="es-ES_tradnl"/>
              </w:rPr>
            </w:pPr>
            <w:r w:rsidRPr="003562D8">
              <w:rPr>
                <w:rFonts w:ascii="Arial" w:hAnsi="Arial" w:cs="Arial"/>
                <w:b/>
                <w:color w:val="000000"/>
                <w:sz w:val="18"/>
                <w:szCs w:val="18"/>
                <w:lang w:val="es-ES_tradnl"/>
              </w:rPr>
              <w:t>T2</w:t>
            </w:r>
          </w:p>
        </w:tc>
        <w:tc>
          <w:tcPr>
            <w:tcW w:w="575" w:type="dxa"/>
            <w:tcBorders>
              <w:top w:val="single" w:color="auto" w:sz="4" w:space="0"/>
              <w:left w:val="single" w:color="auto" w:sz="4" w:space="0"/>
              <w:bottom w:val="single" w:color="auto" w:sz="4" w:space="0"/>
              <w:right w:val="single" w:color="auto" w:sz="4" w:space="0"/>
            </w:tcBorders>
            <w:shd w:val="clear" w:color="auto" w:fill="D5DCE4" w:themeFill="text2" w:themeFillTint="33"/>
            <w:noWrap/>
            <w:vAlign w:val="bottom"/>
          </w:tcPr>
          <w:p w:rsidRPr="003562D8" w:rsidR="00A83115" w:rsidP="00DD618A" w:rsidRDefault="00A83115" w14:paraId="0B7E1625" w14:textId="77777777">
            <w:pPr>
              <w:jc w:val="right"/>
              <w:rPr>
                <w:rFonts w:ascii="Arial" w:hAnsi="Arial" w:cs="Arial"/>
                <w:b/>
                <w:color w:val="000000"/>
                <w:sz w:val="18"/>
                <w:szCs w:val="18"/>
                <w:lang w:val="es-ES_tradnl"/>
              </w:rPr>
            </w:pPr>
            <w:r w:rsidRPr="003562D8">
              <w:rPr>
                <w:rFonts w:ascii="Arial" w:hAnsi="Arial" w:cs="Arial"/>
                <w:b/>
                <w:color w:val="000000"/>
                <w:sz w:val="18"/>
                <w:szCs w:val="18"/>
                <w:lang w:val="es-ES_tradnl"/>
              </w:rPr>
              <w:t>T3</w:t>
            </w:r>
          </w:p>
        </w:tc>
        <w:tc>
          <w:tcPr>
            <w:tcW w:w="575" w:type="dxa"/>
            <w:tcBorders>
              <w:top w:val="single" w:color="auto" w:sz="4" w:space="0"/>
              <w:left w:val="single" w:color="auto" w:sz="4" w:space="0"/>
              <w:bottom w:val="single" w:color="auto" w:sz="4" w:space="0"/>
              <w:right w:val="single" w:color="auto" w:sz="4" w:space="0"/>
            </w:tcBorders>
            <w:shd w:val="clear" w:color="auto" w:fill="D5DCE4" w:themeFill="text2" w:themeFillTint="33"/>
            <w:noWrap/>
            <w:vAlign w:val="bottom"/>
          </w:tcPr>
          <w:p w:rsidRPr="003562D8" w:rsidR="00A83115" w:rsidP="00DD618A" w:rsidRDefault="00A83115" w14:paraId="7F243353" w14:textId="77777777">
            <w:pPr>
              <w:jc w:val="right"/>
              <w:rPr>
                <w:rFonts w:ascii="Arial" w:hAnsi="Arial" w:cs="Arial"/>
                <w:b/>
                <w:color w:val="000000"/>
                <w:sz w:val="18"/>
                <w:szCs w:val="18"/>
                <w:lang w:val="es-ES_tradnl"/>
              </w:rPr>
            </w:pPr>
            <w:r w:rsidRPr="003562D8">
              <w:rPr>
                <w:rFonts w:ascii="Arial" w:hAnsi="Arial" w:cs="Arial"/>
                <w:b/>
                <w:color w:val="000000"/>
                <w:sz w:val="18"/>
                <w:szCs w:val="18"/>
                <w:lang w:val="es-ES_tradnl"/>
              </w:rPr>
              <w:t>T4</w:t>
            </w:r>
          </w:p>
        </w:tc>
        <w:tc>
          <w:tcPr>
            <w:tcW w:w="427"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3562D8" w:rsidR="00A83115" w:rsidP="00F13773" w:rsidRDefault="00A83115" w14:paraId="1D324C17" w14:textId="1CC9BEB6">
            <w:pPr>
              <w:jc w:val="center"/>
              <w:rPr>
                <w:rFonts w:ascii="Arial" w:hAnsi="Arial" w:cs="Arial"/>
                <w:b/>
                <w:color w:val="000000"/>
                <w:sz w:val="18"/>
                <w:szCs w:val="18"/>
                <w:lang w:val="es-ES_tradnl"/>
              </w:rPr>
            </w:pPr>
            <w:r>
              <w:rPr>
                <w:rFonts w:ascii="Arial" w:hAnsi="Arial" w:cs="Arial"/>
                <w:b/>
                <w:color w:val="000000"/>
                <w:sz w:val="18"/>
                <w:szCs w:val="18"/>
                <w:lang w:val="es-ES_tradnl"/>
              </w:rPr>
              <w:t>T1</w:t>
            </w:r>
          </w:p>
        </w:tc>
        <w:tc>
          <w:tcPr>
            <w:tcW w:w="427"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3562D8" w:rsidR="00A83115" w:rsidP="00F13773" w:rsidRDefault="00A83115" w14:paraId="14D76123" w14:textId="36D50A2D">
            <w:pPr>
              <w:jc w:val="center"/>
              <w:rPr>
                <w:rFonts w:ascii="Arial" w:hAnsi="Arial" w:cs="Arial"/>
                <w:b/>
                <w:color w:val="000000"/>
                <w:sz w:val="18"/>
                <w:szCs w:val="18"/>
                <w:lang w:val="es-ES_tradnl"/>
              </w:rPr>
            </w:pPr>
            <w:r>
              <w:rPr>
                <w:rFonts w:ascii="Arial" w:hAnsi="Arial" w:cs="Arial"/>
                <w:b/>
                <w:color w:val="000000"/>
                <w:sz w:val="18"/>
                <w:szCs w:val="18"/>
                <w:lang w:val="es-ES_tradnl"/>
              </w:rPr>
              <w:t>T2</w:t>
            </w:r>
          </w:p>
        </w:tc>
        <w:tc>
          <w:tcPr>
            <w:tcW w:w="427"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3562D8" w:rsidR="00A83115" w:rsidP="00F13773" w:rsidRDefault="00A83115" w14:paraId="5EE685B3" w14:textId="0737FF58">
            <w:pPr>
              <w:jc w:val="center"/>
              <w:rPr>
                <w:rFonts w:ascii="Arial" w:hAnsi="Arial" w:cs="Arial"/>
                <w:b/>
                <w:color w:val="000000"/>
                <w:sz w:val="18"/>
                <w:szCs w:val="18"/>
                <w:lang w:val="es-ES_tradnl"/>
              </w:rPr>
            </w:pPr>
            <w:r>
              <w:rPr>
                <w:rFonts w:ascii="Arial" w:hAnsi="Arial" w:cs="Arial"/>
                <w:b/>
                <w:color w:val="000000"/>
                <w:sz w:val="18"/>
                <w:szCs w:val="18"/>
                <w:lang w:val="es-ES_tradnl"/>
              </w:rPr>
              <w:t>T3</w:t>
            </w:r>
          </w:p>
        </w:tc>
        <w:tc>
          <w:tcPr>
            <w:tcW w:w="427"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3562D8" w:rsidR="00A83115" w:rsidP="00F13773" w:rsidRDefault="00A83115" w14:paraId="6E8D70DC" w14:textId="0DB3DDA0">
            <w:pPr>
              <w:jc w:val="center"/>
              <w:rPr>
                <w:rFonts w:ascii="Arial" w:hAnsi="Arial" w:cs="Arial"/>
                <w:b/>
                <w:color w:val="000000"/>
                <w:sz w:val="18"/>
                <w:szCs w:val="18"/>
                <w:lang w:val="es-ES_tradnl"/>
              </w:rPr>
            </w:pPr>
            <w:r>
              <w:rPr>
                <w:rFonts w:ascii="Arial" w:hAnsi="Arial" w:cs="Arial"/>
                <w:b/>
                <w:color w:val="000000"/>
                <w:sz w:val="18"/>
                <w:szCs w:val="18"/>
                <w:lang w:val="es-ES_tradnl"/>
              </w:rPr>
              <w:t>T4</w:t>
            </w:r>
          </w:p>
        </w:tc>
      </w:tr>
      <w:tr w:rsidRPr="003562D8" w:rsidR="00A83115" w:rsidTr="00A83115" w14:paraId="295BF310" w14:textId="432F8907">
        <w:trPr>
          <w:trHeight w:val="260"/>
          <w:jc w:val="center"/>
        </w:trPr>
        <w:tc>
          <w:tcPr>
            <w:tcW w:w="3951"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83115" w:rsidR="00A83115" w:rsidP="00DD618A" w:rsidRDefault="00A83115" w14:paraId="5161EE88" w14:textId="2AB56775">
            <w:pPr>
              <w:rPr>
                <w:rFonts w:ascii="Arial" w:hAnsi="Arial" w:cs="Arial"/>
                <w:color w:val="000000"/>
                <w:sz w:val="18"/>
                <w:szCs w:val="18"/>
                <w:lang w:val="es-CO"/>
              </w:rPr>
            </w:pPr>
            <w:r w:rsidRPr="00A83115">
              <w:rPr>
                <w:rFonts w:ascii="Arial" w:hAnsi="Arial" w:cs="Arial"/>
                <w:color w:val="000000"/>
                <w:sz w:val="18"/>
                <w:szCs w:val="18"/>
                <w:lang w:val="es-CO"/>
              </w:rPr>
              <w:t>C</w:t>
            </w:r>
            <w:r w:rsidR="009D7021">
              <w:rPr>
                <w:rFonts w:ascii="Arial" w:hAnsi="Arial" w:cs="Arial"/>
                <w:color w:val="000000"/>
                <w:sz w:val="18"/>
                <w:szCs w:val="18"/>
                <w:lang w:val="es-CO"/>
              </w:rPr>
              <w:t>omponente 1</w:t>
            </w:r>
          </w:p>
        </w:tc>
        <w:tc>
          <w:tcPr>
            <w:tcW w:w="46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83115" w:rsidR="00A83115" w:rsidP="00DD618A" w:rsidRDefault="00A83115" w14:paraId="182BC157" w14:textId="77777777">
            <w:pPr>
              <w:rPr>
                <w:rFonts w:ascii="Arial" w:hAnsi="Arial" w:cs="Arial"/>
                <w:color w:val="000000"/>
                <w:sz w:val="18"/>
                <w:szCs w:val="18"/>
                <w:lang w:val="es-CO"/>
              </w:rPr>
            </w:pPr>
          </w:p>
        </w:tc>
        <w:tc>
          <w:tcPr>
            <w:tcW w:w="46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83115" w:rsidR="00A83115" w:rsidP="00DD618A" w:rsidRDefault="00A83115" w14:paraId="61A4F68D" w14:textId="77777777">
            <w:pPr>
              <w:rPr>
                <w:rFonts w:ascii="Arial" w:hAnsi="Arial" w:cs="Arial"/>
                <w:sz w:val="18"/>
                <w:szCs w:val="18"/>
                <w:lang w:val="es-CO"/>
              </w:rPr>
            </w:pPr>
          </w:p>
        </w:tc>
        <w:tc>
          <w:tcPr>
            <w:tcW w:w="57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83115" w:rsidR="00A83115" w:rsidP="00DD618A" w:rsidRDefault="00A83115" w14:paraId="10937829" w14:textId="77777777">
            <w:pPr>
              <w:rPr>
                <w:rFonts w:ascii="Arial" w:hAnsi="Arial" w:cs="Arial"/>
                <w:sz w:val="18"/>
                <w:szCs w:val="18"/>
                <w:lang w:val="es-CO"/>
              </w:rPr>
            </w:pPr>
          </w:p>
        </w:tc>
        <w:tc>
          <w:tcPr>
            <w:tcW w:w="575" w:type="dxa"/>
            <w:tcBorders>
              <w:top w:val="single" w:color="auto" w:sz="4" w:space="0"/>
              <w:left w:val="single" w:color="auto" w:sz="4" w:space="0"/>
              <w:bottom w:val="single" w:color="auto" w:sz="4" w:space="0"/>
              <w:right w:val="single" w:color="auto" w:sz="4" w:space="0"/>
            </w:tcBorders>
            <w:shd w:val="clear" w:color="auto" w:fill="B4C6E7" w:themeFill="accent1" w:themeFillTint="66"/>
            <w:noWrap/>
            <w:vAlign w:val="bottom"/>
            <w:hideMark/>
          </w:tcPr>
          <w:p w:rsidRPr="00A83115" w:rsidR="00A83115" w:rsidP="00DD618A" w:rsidRDefault="00A83115" w14:paraId="047576D1" w14:textId="77777777">
            <w:pPr>
              <w:rPr>
                <w:rFonts w:ascii="Arial" w:hAnsi="Arial" w:cs="Arial"/>
                <w:sz w:val="18"/>
                <w:szCs w:val="18"/>
                <w:lang w:val="es-CO"/>
              </w:rPr>
            </w:pPr>
          </w:p>
        </w:tc>
        <w:tc>
          <w:tcPr>
            <w:tcW w:w="427" w:type="dxa"/>
            <w:tcBorders>
              <w:top w:val="single" w:color="auto" w:sz="4" w:space="0"/>
              <w:left w:val="single" w:color="auto" w:sz="4" w:space="0"/>
              <w:bottom w:val="single" w:color="auto" w:sz="4" w:space="0"/>
              <w:right w:val="single" w:color="auto" w:sz="4" w:space="0"/>
            </w:tcBorders>
            <w:shd w:val="clear" w:color="auto" w:fill="B4C6E7" w:themeFill="accent1" w:themeFillTint="66"/>
          </w:tcPr>
          <w:p w:rsidRPr="00A83115" w:rsidR="00A83115" w:rsidP="00DD618A" w:rsidRDefault="00A83115" w14:paraId="19106F52" w14:textId="77777777">
            <w:pPr>
              <w:rPr>
                <w:rFonts w:ascii="Arial" w:hAnsi="Arial" w:cs="Arial"/>
                <w:sz w:val="18"/>
                <w:szCs w:val="18"/>
                <w:lang w:val="es-CO"/>
              </w:rPr>
            </w:pPr>
          </w:p>
        </w:tc>
        <w:tc>
          <w:tcPr>
            <w:tcW w:w="427" w:type="dxa"/>
            <w:tcBorders>
              <w:top w:val="single" w:color="auto" w:sz="4" w:space="0"/>
              <w:left w:val="single" w:color="auto" w:sz="4" w:space="0"/>
              <w:bottom w:val="single" w:color="auto" w:sz="4" w:space="0"/>
              <w:right w:val="single" w:color="auto" w:sz="4" w:space="0"/>
            </w:tcBorders>
            <w:shd w:val="clear" w:color="auto" w:fill="auto"/>
          </w:tcPr>
          <w:p w:rsidRPr="00A83115" w:rsidR="00A83115" w:rsidP="00DD618A" w:rsidRDefault="00A83115" w14:paraId="587125A7" w14:textId="77777777">
            <w:pPr>
              <w:rPr>
                <w:rFonts w:ascii="Arial" w:hAnsi="Arial" w:cs="Arial"/>
                <w:sz w:val="18"/>
                <w:szCs w:val="18"/>
                <w:lang w:val="es-CO"/>
              </w:rPr>
            </w:pPr>
          </w:p>
        </w:tc>
        <w:tc>
          <w:tcPr>
            <w:tcW w:w="427" w:type="dxa"/>
            <w:tcBorders>
              <w:top w:val="single" w:color="auto" w:sz="4" w:space="0"/>
              <w:left w:val="single" w:color="auto" w:sz="4" w:space="0"/>
              <w:bottom w:val="single" w:color="auto" w:sz="4" w:space="0"/>
              <w:right w:val="single" w:color="auto" w:sz="4" w:space="0"/>
            </w:tcBorders>
            <w:shd w:val="clear" w:color="auto" w:fill="auto"/>
          </w:tcPr>
          <w:p w:rsidRPr="00A83115" w:rsidR="00A83115" w:rsidP="00DD618A" w:rsidRDefault="00A83115" w14:paraId="4C1AEAA1" w14:textId="25B629DF">
            <w:pPr>
              <w:rPr>
                <w:rFonts w:ascii="Arial" w:hAnsi="Arial" w:cs="Arial"/>
                <w:sz w:val="18"/>
                <w:szCs w:val="18"/>
                <w:lang w:val="es-CO"/>
              </w:rPr>
            </w:pPr>
          </w:p>
        </w:tc>
        <w:tc>
          <w:tcPr>
            <w:tcW w:w="427" w:type="dxa"/>
            <w:tcBorders>
              <w:top w:val="single" w:color="auto" w:sz="4" w:space="0"/>
              <w:left w:val="single" w:color="auto" w:sz="4" w:space="0"/>
              <w:bottom w:val="single" w:color="auto" w:sz="4" w:space="0"/>
              <w:right w:val="single" w:color="auto" w:sz="4" w:space="0"/>
            </w:tcBorders>
            <w:shd w:val="clear" w:color="auto" w:fill="auto"/>
          </w:tcPr>
          <w:p w:rsidRPr="00A83115" w:rsidR="00A83115" w:rsidP="00DD618A" w:rsidRDefault="00A83115" w14:paraId="11A8BAF8" w14:textId="4CA409DB">
            <w:pPr>
              <w:rPr>
                <w:rFonts w:ascii="Arial" w:hAnsi="Arial" w:cs="Arial"/>
                <w:sz w:val="18"/>
                <w:szCs w:val="18"/>
                <w:lang w:val="es-CO"/>
              </w:rPr>
            </w:pPr>
          </w:p>
        </w:tc>
      </w:tr>
      <w:tr w:rsidRPr="003562D8" w:rsidR="00A83115" w:rsidTr="00A83115" w14:paraId="39DA9FC6" w14:textId="11198560">
        <w:trPr>
          <w:trHeight w:val="350"/>
          <w:jc w:val="center"/>
        </w:trPr>
        <w:tc>
          <w:tcPr>
            <w:tcW w:w="3951"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3562D8" w:rsidR="00A83115" w:rsidP="00DD618A" w:rsidRDefault="009D7021" w14:paraId="47887D10" w14:textId="6CFFEDAC">
            <w:pPr>
              <w:rPr>
                <w:rFonts w:ascii="Arial" w:hAnsi="Arial" w:cs="Arial"/>
                <w:color w:val="000000"/>
                <w:sz w:val="18"/>
                <w:szCs w:val="18"/>
                <w:lang w:val="pt-BR"/>
              </w:rPr>
            </w:pPr>
            <w:r>
              <w:rPr>
                <w:rFonts w:ascii="Arial" w:hAnsi="Arial" w:cs="Arial"/>
                <w:color w:val="000000"/>
                <w:sz w:val="18"/>
                <w:szCs w:val="18"/>
                <w:lang w:val="pt-BR"/>
              </w:rPr>
              <w:t>Componente 2</w:t>
            </w:r>
          </w:p>
        </w:tc>
        <w:tc>
          <w:tcPr>
            <w:tcW w:w="46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562D8" w:rsidR="00A83115" w:rsidP="00DD618A" w:rsidRDefault="00A83115" w14:paraId="1303CD97" w14:textId="77777777">
            <w:pPr>
              <w:rPr>
                <w:rFonts w:ascii="Arial" w:hAnsi="Arial" w:cs="Arial"/>
                <w:color w:val="000000"/>
                <w:sz w:val="18"/>
                <w:szCs w:val="18"/>
                <w:lang w:val="pt-BR"/>
              </w:rPr>
            </w:pPr>
            <w:r w:rsidRPr="003562D8">
              <w:rPr>
                <w:rFonts w:ascii="Arial" w:hAnsi="Arial" w:cs="Arial"/>
                <w:color w:val="000000"/>
                <w:sz w:val="18"/>
                <w:szCs w:val="18"/>
                <w:lang w:val="pt-BR"/>
              </w:rPr>
              <w:t> </w:t>
            </w:r>
          </w:p>
        </w:tc>
        <w:tc>
          <w:tcPr>
            <w:tcW w:w="461"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562D8" w:rsidR="00A83115" w:rsidP="00DD618A" w:rsidRDefault="00A83115" w14:paraId="13F2CAF0" w14:textId="77777777">
            <w:pPr>
              <w:rPr>
                <w:rFonts w:ascii="Arial" w:hAnsi="Arial" w:cs="Arial"/>
                <w:color w:val="000000"/>
                <w:sz w:val="18"/>
                <w:szCs w:val="18"/>
                <w:lang w:val="pt-BR"/>
              </w:rPr>
            </w:pPr>
            <w:r w:rsidRPr="003562D8">
              <w:rPr>
                <w:rFonts w:ascii="Arial" w:hAnsi="Arial" w:cs="Arial"/>
                <w:color w:val="000000"/>
                <w:sz w:val="18"/>
                <w:szCs w:val="18"/>
                <w:lang w:val="pt-BR"/>
              </w:rPr>
              <w:t> </w:t>
            </w:r>
          </w:p>
        </w:tc>
        <w:tc>
          <w:tcPr>
            <w:tcW w:w="575"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562D8" w:rsidR="00A83115" w:rsidP="00DD618A" w:rsidRDefault="00A83115" w14:paraId="64600BB0" w14:textId="77777777">
            <w:pPr>
              <w:rPr>
                <w:rFonts w:ascii="Arial" w:hAnsi="Arial" w:cs="Arial"/>
                <w:color w:val="000000"/>
                <w:sz w:val="18"/>
                <w:szCs w:val="18"/>
                <w:lang w:val="pt-BR"/>
              </w:rPr>
            </w:pPr>
          </w:p>
        </w:tc>
        <w:tc>
          <w:tcPr>
            <w:tcW w:w="575" w:type="dxa"/>
            <w:tcBorders>
              <w:top w:val="single" w:color="auto" w:sz="4" w:space="0"/>
              <w:left w:val="single" w:color="auto" w:sz="4" w:space="0"/>
              <w:bottom w:val="single" w:color="auto" w:sz="4" w:space="0"/>
              <w:right w:val="single" w:color="auto" w:sz="4" w:space="0"/>
            </w:tcBorders>
            <w:shd w:val="clear" w:color="auto" w:fill="B4C6E7" w:themeFill="accent1" w:themeFillTint="66"/>
            <w:noWrap/>
            <w:vAlign w:val="bottom"/>
            <w:hideMark/>
          </w:tcPr>
          <w:p w:rsidRPr="003562D8" w:rsidR="00A83115" w:rsidP="00DD618A" w:rsidRDefault="00A83115" w14:paraId="53AD491C" w14:textId="77777777">
            <w:pPr>
              <w:rPr>
                <w:rFonts w:ascii="Arial" w:hAnsi="Arial" w:cs="Arial"/>
                <w:sz w:val="18"/>
                <w:szCs w:val="18"/>
                <w:lang w:val="pt-BR"/>
              </w:rPr>
            </w:pPr>
          </w:p>
        </w:tc>
        <w:tc>
          <w:tcPr>
            <w:tcW w:w="427" w:type="dxa"/>
            <w:tcBorders>
              <w:top w:val="single" w:color="auto" w:sz="4" w:space="0"/>
              <w:left w:val="single" w:color="auto" w:sz="4" w:space="0"/>
              <w:bottom w:val="single" w:color="auto" w:sz="4" w:space="0"/>
              <w:right w:val="single" w:color="auto" w:sz="4" w:space="0"/>
            </w:tcBorders>
            <w:shd w:val="clear" w:color="auto" w:fill="B4C6E7" w:themeFill="accent1" w:themeFillTint="66"/>
          </w:tcPr>
          <w:p w:rsidRPr="003562D8" w:rsidR="00A83115" w:rsidP="00DD618A" w:rsidRDefault="00A83115" w14:paraId="49FD6D97" w14:textId="77777777">
            <w:pPr>
              <w:rPr>
                <w:rFonts w:ascii="Arial" w:hAnsi="Arial" w:cs="Arial"/>
                <w:sz w:val="18"/>
                <w:szCs w:val="18"/>
                <w:lang w:val="pt-BR"/>
              </w:rPr>
            </w:pPr>
          </w:p>
        </w:tc>
        <w:tc>
          <w:tcPr>
            <w:tcW w:w="427" w:type="dxa"/>
            <w:tcBorders>
              <w:top w:val="single" w:color="auto" w:sz="4" w:space="0"/>
              <w:left w:val="single" w:color="auto" w:sz="4" w:space="0"/>
              <w:bottom w:val="single" w:color="auto" w:sz="4" w:space="0"/>
              <w:right w:val="single" w:color="auto" w:sz="4" w:space="0"/>
            </w:tcBorders>
            <w:shd w:val="clear" w:color="auto" w:fill="auto"/>
          </w:tcPr>
          <w:p w:rsidRPr="003562D8" w:rsidR="00A83115" w:rsidP="00DD618A" w:rsidRDefault="00A83115" w14:paraId="2ED3312A" w14:textId="77777777">
            <w:pPr>
              <w:rPr>
                <w:rFonts w:ascii="Arial" w:hAnsi="Arial" w:cs="Arial"/>
                <w:sz w:val="18"/>
                <w:szCs w:val="18"/>
                <w:lang w:val="pt-BR"/>
              </w:rPr>
            </w:pPr>
          </w:p>
        </w:tc>
        <w:tc>
          <w:tcPr>
            <w:tcW w:w="427" w:type="dxa"/>
            <w:tcBorders>
              <w:top w:val="single" w:color="auto" w:sz="4" w:space="0"/>
              <w:left w:val="single" w:color="auto" w:sz="4" w:space="0"/>
              <w:bottom w:val="single" w:color="auto" w:sz="4" w:space="0"/>
              <w:right w:val="single" w:color="auto" w:sz="4" w:space="0"/>
            </w:tcBorders>
            <w:shd w:val="clear" w:color="auto" w:fill="auto"/>
          </w:tcPr>
          <w:p w:rsidRPr="003562D8" w:rsidR="00A83115" w:rsidP="00DD618A" w:rsidRDefault="00A83115" w14:paraId="2962C161" w14:textId="07BE691D">
            <w:pPr>
              <w:rPr>
                <w:rFonts w:ascii="Arial" w:hAnsi="Arial" w:cs="Arial"/>
                <w:sz w:val="18"/>
                <w:szCs w:val="18"/>
                <w:lang w:val="pt-BR"/>
              </w:rPr>
            </w:pPr>
          </w:p>
        </w:tc>
        <w:tc>
          <w:tcPr>
            <w:tcW w:w="427" w:type="dxa"/>
            <w:tcBorders>
              <w:top w:val="single" w:color="auto" w:sz="4" w:space="0"/>
              <w:left w:val="single" w:color="auto" w:sz="4" w:space="0"/>
              <w:bottom w:val="single" w:color="auto" w:sz="4" w:space="0"/>
              <w:right w:val="single" w:color="auto" w:sz="4" w:space="0"/>
            </w:tcBorders>
            <w:shd w:val="clear" w:color="auto" w:fill="auto"/>
          </w:tcPr>
          <w:p w:rsidRPr="003562D8" w:rsidR="00A83115" w:rsidP="00DD618A" w:rsidRDefault="00A83115" w14:paraId="1B1E8014" w14:textId="3FA7F4AF">
            <w:pPr>
              <w:rPr>
                <w:rFonts w:ascii="Arial" w:hAnsi="Arial" w:cs="Arial"/>
                <w:sz w:val="18"/>
                <w:szCs w:val="18"/>
                <w:lang w:val="pt-BR"/>
              </w:rPr>
            </w:pPr>
          </w:p>
        </w:tc>
      </w:tr>
      <w:tr w:rsidRPr="003562D8" w:rsidR="009D7021" w:rsidTr="009D7021" w14:paraId="17E666A2" w14:textId="77777777">
        <w:trPr>
          <w:trHeight w:val="350"/>
          <w:jc w:val="center"/>
        </w:trPr>
        <w:tc>
          <w:tcPr>
            <w:tcW w:w="3951" w:type="dxa"/>
            <w:tcBorders>
              <w:top w:val="single" w:color="auto" w:sz="4" w:space="0"/>
              <w:left w:val="single" w:color="auto" w:sz="4" w:space="0"/>
              <w:bottom w:val="single" w:color="auto" w:sz="4" w:space="0"/>
              <w:right w:val="single" w:color="auto" w:sz="4" w:space="0"/>
            </w:tcBorders>
            <w:shd w:val="clear" w:color="auto" w:fill="auto"/>
            <w:vAlign w:val="bottom"/>
          </w:tcPr>
          <w:p w:rsidR="009D7021" w:rsidP="00DD618A" w:rsidRDefault="009D7021" w14:paraId="0A4C658E" w14:textId="16FEB765">
            <w:pPr>
              <w:rPr>
                <w:rFonts w:ascii="Arial" w:hAnsi="Arial" w:cs="Arial"/>
                <w:color w:val="000000"/>
                <w:sz w:val="18"/>
                <w:szCs w:val="18"/>
                <w:lang w:val="pt-BR"/>
              </w:rPr>
            </w:pPr>
            <w:r>
              <w:rPr>
                <w:rFonts w:ascii="Arial" w:hAnsi="Arial" w:cs="Arial"/>
                <w:color w:val="000000"/>
                <w:sz w:val="18"/>
                <w:szCs w:val="18"/>
                <w:lang w:val="pt-BR"/>
              </w:rPr>
              <w:t>Componente 3</w:t>
            </w:r>
          </w:p>
        </w:tc>
        <w:tc>
          <w:tcPr>
            <w:tcW w:w="46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562D8" w:rsidR="009D7021" w:rsidP="00DD618A" w:rsidRDefault="009D7021" w14:paraId="2FE0B4E8" w14:textId="77777777">
            <w:pPr>
              <w:rPr>
                <w:rFonts w:ascii="Arial" w:hAnsi="Arial" w:cs="Arial"/>
                <w:color w:val="000000"/>
                <w:sz w:val="18"/>
                <w:szCs w:val="18"/>
                <w:lang w:val="pt-BR"/>
              </w:rPr>
            </w:pPr>
          </w:p>
        </w:tc>
        <w:tc>
          <w:tcPr>
            <w:tcW w:w="461"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3562D8" w:rsidR="009D7021" w:rsidP="00DD618A" w:rsidRDefault="009D7021" w14:paraId="5A88E439" w14:textId="77777777">
            <w:pPr>
              <w:rPr>
                <w:rFonts w:ascii="Arial" w:hAnsi="Arial" w:cs="Arial"/>
                <w:color w:val="000000"/>
                <w:sz w:val="18"/>
                <w:szCs w:val="18"/>
                <w:lang w:val="pt-BR"/>
              </w:rPr>
            </w:pPr>
          </w:p>
        </w:tc>
        <w:tc>
          <w:tcPr>
            <w:tcW w:w="575" w:type="dxa"/>
            <w:tcBorders>
              <w:top w:val="single" w:color="auto" w:sz="4" w:space="0"/>
              <w:left w:val="single" w:color="auto" w:sz="4" w:space="0"/>
              <w:bottom w:val="single" w:color="auto" w:sz="4" w:space="0"/>
              <w:right w:val="single" w:color="auto" w:sz="4" w:space="0"/>
            </w:tcBorders>
            <w:shd w:val="clear" w:color="auto" w:fill="B4C6E7" w:themeFill="accent1" w:themeFillTint="66"/>
            <w:noWrap/>
            <w:vAlign w:val="bottom"/>
          </w:tcPr>
          <w:p w:rsidRPr="003562D8" w:rsidR="009D7021" w:rsidP="00DD618A" w:rsidRDefault="009D7021" w14:paraId="50A84489" w14:textId="77777777">
            <w:pPr>
              <w:rPr>
                <w:rFonts w:ascii="Arial" w:hAnsi="Arial" w:cs="Arial"/>
                <w:color w:val="000000"/>
                <w:sz w:val="18"/>
                <w:szCs w:val="18"/>
                <w:lang w:val="pt-BR"/>
              </w:rPr>
            </w:pPr>
          </w:p>
        </w:tc>
        <w:tc>
          <w:tcPr>
            <w:tcW w:w="575" w:type="dxa"/>
            <w:tcBorders>
              <w:top w:val="single" w:color="auto" w:sz="4" w:space="0"/>
              <w:left w:val="single" w:color="auto" w:sz="4" w:space="0"/>
              <w:bottom w:val="single" w:color="auto" w:sz="4" w:space="0"/>
              <w:right w:val="single" w:color="auto" w:sz="4" w:space="0"/>
            </w:tcBorders>
            <w:shd w:val="clear" w:color="auto" w:fill="B4C6E7" w:themeFill="accent1" w:themeFillTint="66"/>
            <w:noWrap/>
            <w:vAlign w:val="bottom"/>
          </w:tcPr>
          <w:p w:rsidRPr="003562D8" w:rsidR="009D7021" w:rsidP="00DD618A" w:rsidRDefault="009D7021" w14:paraId="625A0FD6" w14:textId="77777777">
            <w:pPr>
              <w:rPr>
                <w:rFonts w:ascii="Arial" w:hAnsi="Arial" w:cs="Arial"/>
                <w:sz w:val="18"/>
                <w:szCs w:val="18"/>
                <w:lang w:val="pt-BR"/>
              </w:rPr>
            </w:pPr>
          </w:p>
        </w:tc>
        <w:tc>
          <w:tcPr>
            <w:tcW w:w="427" w:type="dxa"/>
            <w:tcBorders>
              <w:top w:val="single" w:color="auto" w:sz="4" w:space="0"/>
              <w:left w:val="single" w:color="auto" w:sz="4" w:space="0"/>
              <w:bottom w:val="single" w:color="auto" w:sz="4" w:space="0"/>
              <w:right w:val="single" w:color="auto" w:sz="4" w:space="0"/>
            </w:tcBorders>
            <w:shd w:val="clear" w:color="auto" w:fill="B4C6E7" w:themeFill="accent1" w:themeFillTint="66"/>
          </w:tcPr>
          <w:p w:rsidRPr="003562D8" w:rsidR="009D7021" w:rsidP="00DD618A" w:rsidRDefault="009D7021" w14:paraId="341E7D4E" w14:textId="77777777">
            <w:pPr>
              <w:rPr>
                <w:rFonts w:ascii="Arial" w:hAnsi="Arial" w:cs="Arial"/>
                <w:sz w:val="18"/>
                <w:szCs w:val="18"/>
                <w:lang w:val="pt-BR"/>
              </w:rPr>
            </w:pPr>
          </w:p>
        </w:tc>
        <w:tc>
          <w:tcPr>
            <w:tcW w:w="427" w:type="dxa"/>
            <w:tcBorders>
              <w:top w:val="single" w:color="auto" w:sz="4" w:space="0"/>
              <w:left w:val="single" w:color="auto" w:sz="4" w:space="0"/>
              <w:bottom w:val="single" w:color="auto" w:sz="4" w:space="0"/>
              <w:right w:val="single" w:color="auto" w:sz="4" w:space="0"/>
            </w:tcBorders>
            <w:shd w:val="clear" w:color="auto" w:fill="auto"/>
          </w:tcPr>
          <w:p w:rsidRPr="003562D8" w:rsidR="009D7021" w:rsidP="00DD618A" w:rsidRDefault="009D7021" w14:paraId="10B9D6C8" w14:textId="77777777">
            <w:pPr>
              <w:rPr>
                <w:rFonts w:ascii="Arial" w:hAnsi="Arial" w:cs="Arial"/>
                <w:sz w:val="18"/>
                <w:szCs w:val="18"/>
                <w:lang w:val="pt-BR"/>
              </w:rPr>
            </w:pPr>
          </w:p>
        </w:tc>
        <w:tc>
          <w:tcPr>
            <w:tcW w:w="427" w:type="dxa"/>
            <w:tcBorders>
              <w:top w:val="single" w:color="auto" w:sz="4" w:space="0"/>
              <w:left w:val="single" w:color="auto" w:sz="4" w:space="0"/>
              <w:bottom w:val="single" w:color="auto" w:sz="4" w:space="0"/>
              <w:right w:val="single" w:color="auto" w:sz="4" w:space="0"/>
            </w:tcBorders>
            <w:shd w:val="clear" w:color="auto" w:fill="auto"/>
          </w:tcPr>
          <w:p w:rsidRPr="003562D8" w:rsidR="009D7021" w:rsidP="00DD618A" w:rsidRDefault="009D7021" w14:paraId="44716809" w14:textId="77777777">
            <w:pPr>
              <w:rPr>
                <w:rFonts w:ascii="Arial" w:hAnsi="Arial" w:cs="Arial"/>
                <w:sz w:val="18"/>
                <w:szCs w:val="18"/>
                <w:lang w:val="pt-BR"/>
              </w:rPr>
            </w:pPr>
          </w:p>
        </w:tc>
        <w:tc>
          <w:tcPr>
            <w:tcW w:w="427" w:type="dxa"/>
            <w:tcBorders>
              <w:top w:val="single" w:color="auto" w:sz="4" w:space="0"/>
              <w:left w:val="single" w:color="auto" w:sz="4" w:space="0"/>
              <w:bottom w:val="single" w:color="auto" w:sz="4" w:space="0"/>
              <w:right w:val="single" w:color="auto" w:sz="4" w:space="0"/>
            </w:tcBorders>
            <w:shd w:val="clear" w:color="auto" w:fill="auto"/>
          </w:tcPr>
          <w:p w:rsidRPr="003562D8" w:rsidR="009D7021" w:rsidP="00DD618A" w:rsidRDefault="009D7021" w14:paraId="4DB0EFA5" w14:textId="77777777">
            <w:pPr>
              <w:rPr>
                <w:rFonts w:ascii="Arial" w:hAnsi="Arial" w:cs="Arial"/>
                <w:sz w:val="18"/>
                <w:szCs w:val="18"/>
                <w:lang w:val="pt-BR"/>
              </w:rPr>
            </w:pPr>
          </w:p>
        </w:tc>
      </w:tr>
    </w:tbl>
    <w:p w:rsidRPr="009C49B0" w:rsidR="00F13773" w:rsidP="009C49B0" w:rsidRDefault="00F13773" w14:paraId="221E38C9" w14:textId="77777777">
      <w:pPr>
        <w:pStyle w:val="AutoNumpara"/>
        <w:numPr>
          <w:ilvl w:val="0"/>
          <w:numId w:val="0"/>
        </w:numPr>
        <w:tabs>
          <w:tab w:val="left" w:pos="720"/>
        </w:tabs>
        <w:rPr>
          <w:rFonts w:cs="Arial"/>
          <w:noProof w:val="0"/>
          <w:color w:val="000000"/>
          <w:sz w:val="16"/>
          <w:szCs w:val="16"/>
          <w:lang w:val="pt-BR"/>
        </w:rPr>
      </w:pPr>
    </w:p>
    <w:p w:rsidRPr="00F13773" w:rsidR="00F13773" w:rsidP="00164BDF" w:rsidRDefault="00F13773" w14:paraId="450F16AC" w14:textId="63B1412D">
      <w:pPr>
        <w:pStyle w:val="AutoNumpara"/>
        <w:numPr>
          <w:ilvl w:val="0"/>
          <w:numId w:val="0"/>
        </w:numPr>
        <w:tabs>
          <w:tab w:val="left" w:pos="720"/>
        </w:tabs>
        <w:spacing w:line="276" w:lineRule="auto"/>
        <w:rPr>
          <w:rFonts w:cs="Arial"/>
          <w:noProof w:val="0"/>
          <w:color w:val="000000"/>
          <w:sz w:val="22"/>
          <w:szCs w:val="22"/>
          <w:lang w:val="pt-BR"/>
        </w:rPr>
        <w:sectPr w:rsidRPr="00F13773" w:rsidR="00F13773" w:rsidSect="0069650E">
          <w:pgSz w:w="12240" w:h="15840"/>
          <w:pgMar w:top="1440" w:right="1440" w:bottom="1440" w:left="1440" w:header="720" w:footer="720" w:gutter="0"/>
          <w:cols w:space="720"/>
          <w:docGrid w:linePitch="360"/>
        </w:sectPr>
      </w:pPr>
    </w:p>
    <w:p w:rsidRPr="001C2573" w:rsidR="00A1159F" w:rsidP="009D105A" w:rsidRDefault="00A1159F" w14:paraId="00FF63CA" w14:textId="32CCD784">
      <w:pPr>
        <w:pStyle w:val="Heading1"/>
      </w:pPr>
      <w:bookmarkStart w:name="_Toc524778492" w:id="17"/>
      <w:r w:rsidRPr="001C2573">
        <w:lastRenderedPageBreak/>
        <w:t>Referencias</w:t>
      </w:r>
      <w:bookmarkEnd w:id="17"/>
      <w:r w:rsidRPr="001C2573">
        <w:t xml:space="preserve"> </w:t>
      </w:r>
    </w:p>
    <w:p w:rsidRPr="001640F7" w:rsidR="009D1D8B" w:rsidP="009D1D8B" w:rsidRDefault="009D1D8B" w14:paraId="77A3B3CA" w14:textId="109FC32E">
      <w:pPr>
        <w:pStyle w:val="NormalWeb"/>
        <w:spacing w:before="0" w:beforeAutospacing="0" w:after="180" w:afterAutospacing="0" w:line="276" w:lineRule="auto"/>
        <w:ind w:left="480" w:hanging="480"/>
        <w:rPr>
          <w:rFonts w:ascii="Arial" w:hAnsi="Arial" w:cs="Arial"/>
          <w:noProof/>
          <w:sz w:val="20"/>
          <w:szCs w:val="20"/>
          <w:lang w:val="en-US"/>
        </w:rPr>
      </w:pPr>
      <w:r w:rsidRPr="00DD618A">
        <w:rPr>
          <w:rFonts w:ascii="Arial" w:hAnsi="Arial" w:cs="Arial"/>
          <w:noProof/>
          <w:sz w:val="20"/>
          <w:szCs w:val="20"/>
          <w:lang w:val="en-US"/>
        </w:rPr>
        <w:t xml:space="preserve">Biswas, D., Toebes, B., Hjern, A., Ascher, H., &amp; Norredam, M. (2012). </w:t>
      </w:r>
      <w:r w:rsidRPr="001640F7">
        <w:rPr>
          <w:rFonts w:ascii="Arial" w:hAnsi="Arial" w:cs="Arial"/>
          <w:noProof/>
          <w:sz w:val="20"/>
          <w:szCs w:val="20"/>
          <w:lang w:val="en-US"/>
        </w:rPr>
        <w:t>Access to health care for undocumented migrants from a human rights perspective: a comparative study of Denmark, Sweden, and The Netherlands. </w:t>
      </w:r>
      <w:r w:rsidRPr="001640F7">
        <w:rPr>
          <w:rFonts w:ascii="Arial" w:hAnsi="Arial" w:cs="Arial"/>
          <w:i/>
          <w:noProof/>
          <w:sz w:val="20"/>
          <w:szCs w:val="20"/>
          <w:lang w:val="en-US"/>
        </w:rPr>
        <w:t>Health Hum Rights</w:t>
      </w:r>
      <w:r w:rsidRPr="001640F7">
        <w:rPr>
          <w:rFonts w:ascii="Arial" w:hAnsi="Arial" w:cs="Arial"/>
          <w:noProof/>
          <w:sz w:val="20"/>
          <w:szCs w:val="20"/>
          <w:lang w:val="en-US"/>
        </w:rPr>
        <w:t>, 14(2), 49-60.</w:t>
      </w:r>
    </w:p>
    <w:p w:rsidRPr="00600C96" w:rsidR="00600C96" w:rsidP="00600C96" w:rsidRDefault="00600C96" w14:paraId="5C0F7A0D" w14:textId="0F61043B">
      <w:pPr>
        <w:pStyle w:val="NormalWeb"/>
        <w:spacing w:after="180" w:line="276" w:lineRule="auto"/>
        <w:ind w:left="480" w:hanging="480"/>
        <w:rPr>
          <w:rFonts w:ascii="Arial" w:hAnsi="Arial" w:cs="Arial"/>
          <w:noProof/>
          <w:sz w:val="20"/>
          <w:szCs w:val="20"/>
        </w:rPr>
      </w:pPr>
      <w:r w:rsidRPr="00600C96">
        <w:rPr>
          <w:rFonts w:ascii="Arial" w:hAnsi="Arial" w:cs="Arial"/>
          <w:noProof/>
          <w:sz w:val="20"/>
          <w:szCs w:val="20"/>
        </w:rPr>
        <w:t>Chiarenza, A., Dauvrin, M., Chiesa, V., Baatout, S., &amp; Verrept, H. (2019). Supporting access to healthcare for refugees and migrants in European countries under particular migratory pressure. </w:t>
      </w:r>
      <w:r w:rsidRPr="00600C96">
        <w:rPr>
          <w:rFonts w:ascii="Arial" w:hAnsi="Arial" w:cs="Arial"/>
          <w:i/>
          <w:iCs/>
          <w:noProof/>
          <w:sz w:val="20"/>
          <w:szCs w:val="20"/>
        </w:rPr>
        <w:t>BMC health services research</w:t>
      </w:r>
      <w:r w:rsidRPr="00600C96">
        <w:rPr>
          <w:rFonts w:ascii="Arial" w:hAnsi="Arial" w:cs="Arial"/>
          <w:noProof/>
          <w:sz w:val="20"/>
          <w:szCs w:val="20"/>
        </w:rPr>
        <w:t>, </w:t>
      </w:r>
      <w:r w:rsidRPr="00600C96">
        <w:rPr>
          <w:rFonts w:ascii="Arial" w:hAnsi="Arial" w:cs="Arial"/>
          <w:i/>
          <w:iCs/>
          <w:noProof/>
          <w:sz w:val="20"/>
          <w:szCs w:val="20"/>
        </w:rPr>
        <w:t>19</w:t>
      </w:r>
      <w:r w:rsidRPr="00600C96">
        <w:rPr>
          <w:rFonts w:ascii="Arial" w:hAnsi="Arial" w:cs="Arial"/>
          <w:noProof/>
          <w:sz w:val="20"/>
          <w:szCs w:val="20"/>
        </w:rPr>
        <w:t>(1), 513.</w:t>
      </w:r>
    </w:p>
    <w:p w:rsidRPr="001640F7" w:rsidR="009D1D8B" w:rsidP="009D1D8B" w:rsidRDefault="0088752B" w14:paraId="6C4EBDDD" w14:textId="2565B53D">
      <w:pPr>
        <w:pStyle w:val="NormalWeb"/>
        <w:spacing w:before="0" w:beforeAutospacing="0" w:after="180" w:afterAutospacing="0" w:line="276" w:lineRule="auto"/>
        <w:ind w:left="480" w:hanging="480"/>
        <w:rPr>
          <w:rFonts w:ascii="Arial" w:hAnsi="Arial" w:cs="Arial"/>
          <w:noProof/>
          <w:sz w:val="20"/>
          <w:szCs w:val="20"/>
          <w:lang w:val="en-US"/>
        </w:rPr>
      </w:pPr>
      <w:r w:rsidRPr="001640F7">
        <w:rPr>
          <w:rFonts w:ascii="Arial" w:hAnsi="Arial" w:cs="Arial"/>
          <w:noProof/>
          <w:sz w:val="20"/>
          <w:szCs w:val="20"/>
          <w:lang w:val="en-US"/>
        </w:rPr>
        <w:t>Bhutta, Zulfiqar A., et al. 2008. “Interventions to address maternal, newborn, and child survival: what difference can integrated primary health care strategies make?.”</w:t>
      </w:r>
      <w:r w:rsidRPr="001640F7">
        <w:rPr>
          <w:rFonts w:ascii="Arial" w:hAnsi="Arial" w:cs="Arial"/>
          <w:i/>
          <w:iCs/>
          <w:noProof/>
          <w:sz w:val="20"/>
          <w:szCs w:val="20"/>
          <w:lang w:val="en-US"/>
        </w:rPr>
        <w:t>The Lancet</w:t>
      </w:r>
      <w:r w:rsidRPr="001640F7">
        <w:rPr>
          <w:rFonts w:ascii="Arial" w:hAnsi="Arial" w:cs="Arial"/>
          <w:noProof/>
          <w:sz w:val="20"/>
          <w:szCs w:val="20"/>
          <w:lang w:val="en-US"/>
        </w:rPr>
        <w:t> 372 (9642):972-98</w:t>
      </w:r>
    </w:p>
    <w:p w:rsidRPr="001640F7" w:rsidR="00423722" w:rsidP="00423722" w:rsidRDefault="00423722" w14:paraId="7B700BE2" w14:textId="2D923749">
      <w:pPr>
        <w:pStyle w:val="NormalWeb"/>
        <w:spacing w:before="0" w:beforeAutospacing="0" w:after="180" w:afterAutospacing="0" w:line="276" w:lineRule="auto"/>
        <w:ind w:left="480" w:hanging="480"/>
        <w:rPr>
          <w:rFonts w:ascii="Arial" w:hAnsi="Arial" w:cs="Arial"/>
          <w:noProof/>
          <w:sz w:val="20"/>
          <w:szCs w:val="20"/>
          <w:lang w:val="en-US"/>
        </w:rPr>
      </w:pPr>
      <w:r w:rsidRPr="001640F7">
        <w:rPr>
          <w:rFonts w:ascii="Arial" w:hAnsi="Arial" w:cs="Arial"/>
          <w:noProof/>
          <w:sz w:val="20"/>
          <w:szCs w:val="20"/>
          <w:lang w:val="en-US"/>
        </w:rPr>
        <w:t>Denscombe, M. (2014). </w:t>
      </w:r>
      <w:r w:rsidRPr="001640F7">
        <w:rPr>
          <w:rFonts w:ascii="Arial" w:hAnsi="Arial" w:cs="Arial"/>
          <w:i/>
          <w:noProof/>
          <w:sz w:val="20"/>
          <w:szCs w:val="20"/>
          <w:lang w:val="en-US"/>
        </w:rPr>
        <w:t>The good research guide: for small-scale social research projects</w:t>
      </w:r>
      <w:r w:rsidRPr="001640F7">
        <w:rPr>
          <w:rFonts w:ascii="Arial" w:hAnsi="Arial" w:cs="Arial"/>
          <w:noProof/>
          <w:sz w:val="20"/>
          <w:szCs w:val="20"/>
          <w:lang w:val="en-US"/>
        </w:rPr>
        <w:t>. McGraw-Hill Education (UK).</w:t>
      </w:r>
    </w:p>
    <w:p w:rsidR="00642340" w:rsidP="00642340" w:rsidRDefault="00642340" w14:paraId="7CB94401" w14:textId="77777777">
      <w:pPr>
        <w:pStyle w:val="NormalWeb"/>
        <w:spacing w:after="180" w:line="276" w:lineRule="auto"/>
        <w:ind w:left="480" w:hanging="480"/>
        <w:rPr>
          <w:rFonts w:ascii="Arial" w:hAnsi="Arial" w:cs="Arial"/>
          <w:noProof/>
          <w:sz w:val="20"/>
          <w:szCs w:val="20"/>
        </w:rPr>
      </w:pPr>
      <w:r w:rsidRPr="00642340">
        <w:rPr>
          <w:rFonts w:ascii="Arial" w:hAnsi="Arial" w:cs="Arial"/>
          <w:noProof/>
          <w:sz w:val="20"/>
          <w:szCs w:val="20"/>
        </w:rPr>
        <w:t>Kamberelis, G., &amp; Dimitriadis, G. (2013). </w:t>
      </w:r>
      <w:r w:rsidRPr="00642340">
        <w:rPr>
          <w:rFonts w:ascii="Arial" w:hAnsi="Arial" w:cs="Arial"/>
          <w:i/>
          <w:iCs/>
          <w:noProof/>
          <w:sz w:val="20"/>
          <w:szCs w:val="20"/>
        </w:rPr>
        <w:t>Focus groups</w:t>
      </w:r>
      <w:r w:rsidRPr="00642340">
        <w:rPr>
          <w:rFonts w:ascii="Arial" w:hAnsi="Arial" w:cs="Arial"/>
          <w:noProof/>
          <w:sz w:val="20"/>
          <w:szCs w:val="20"/>
        </w:rPr>
        <w:t>. London: Routledge.</w:t>
      </w:r>
    </w:p>
    <w:p w:rsidRPr="00642340" w:rsidR="007E3C30" w:rsidP="00642340" w:rsidRDefault="0088752B" w14:paraId="609890E5" w14:textId="3A0C161E">
      <w:pPr>
        <w:pStyle w:val="NormalWeb"/>
        <w:spacing w:after="180" w:line="276" w:lineRule="auto"/>
        <w:ind w:left="480" w:hanging="480"/>
        <w:rPr>
          <w:rFonts w:ascii="Arial" w:hAnsi="Arial" w:cs="Arial"/>
          <w:noProof/>
          <w:sz w:val="20"/>
          <w:szCs w:val="20"/>
        </w:rPr>
      </w:pPr>
      <w:r w:rsidRPr="001C2573">
        <w:rPr>
          <w:rFonts w:ascii="Arial" w:hAnsi="Arial" w:cs="Arial"/>
          <w:noProof/>
          <w:sz w:val="20"/>
          <w:szCs w:val="20"/>
          <w:lang w:val="pt-BR"/>
        </w:rPr>
        <w:t xml:space="preserve">Macinko, James, Frederico C. Guanais, and Maria De Fátima Marinho De Souza. </w:t>
      </w:r>
      <w:r w:rsidRPr="001640F7">
        <w:rPr>
          <w:rFonts w:ascii="Arial" w:hAnsi="Arial" w:cs="Arial"/>
          <w:noProof/>
          <w:sz w:val="20"/>
          <w:szCs w:val="20"/>
          <w:lang w:val="en-US"/>
        </w:rPr>
        <w:t>2006. Evaluation of the impact of the Family Health Program on infant mortality in Brazil, 1990–2002." </w:t>
      </w:r>
      <w:r w:rsidRPr="001640F7">
        <w:rPr>
          <w:rFonts w:ascii="Arial" w:hAnsi="Arial" w:cs="Arial"/>
          <w:i/>
          <w:iCs/>
          <w:noProof/>
          <w:sz w:val="20"/>
          <w:szCs w:val="20"/>
          <w:lang w:val="en-US"/>
        </w:rPr>
        <w:t>Journal of Epidemiology &amp; Community Health</w:t>
      </w:r>
      <w:r w:rsidRPr="001640F7">
        <w:rPr>
          <w:rFonts w:ascii="Arial" w:hAnsi="Arial" w:cs="Arial"/>
          <w:noProof/>
          <w:sz w:val="20"/>
          <w:szCs w:val="20"/>
          <w:lang w:val="en-US"/>
        </w:rPr>
        <w:t> 60 (1):13-19.</w:t>
      </w:r>
    </w:p>
    <w:p w:rsidRPr="00E30D98" w:rsidR="00E30D98" w:rsidP="00E30D98" w:rsidRDefault="00E30D98" w14:paraId="4FF334CB" w14:textId="0F4617D3">
      <w:pPr>
        <w:pStyle w:val="NormalWeb"/>
        <w:spacing w:after="180" w:line="276" w:lineRule="auto"/>
        <w:ind w:left="480" w:hanging="480"/>
        <w:rPr>
          <w:rFonts w:ascii="Arial" w:hAnsi="Arial" w:cs="Arial"/>
          <w:noProof/>
          <w:sz w:val="20"/>
          <w:szCs w:val="20"/>
        </w:rPr>
      </w:pPr>
      <w:r w:rsidRPr="00E30D98">
        <w:rPr>
          <w:rFonts w:ascii="Arial" w:hAnsi="Arial" w:cs="Arial"/>
          <w:noProof/>
          <w:sz w:val="20"/>
          <w:szCs w:val="20"/>
        </w:rPr>
        <w:t>Nørredam, M., &amp; Krasnik, A. (2011). Migrants’ access to health services. </w:t>
      </w:r>
      <w:r w:rsidRPr="00E30D98">
        <w:rPr>
          <w:rFonts w:ascii="Arial" w:hAnsi="Arial" w:cs="Arial"/>
          <w:i/>
          <w:iCs/>
          <w:noProof/>
          <w:sz w:val="20"/>
          <w:szCs w:val="20"/>
        </w:rPr>
        <w:t>Migration and health in the European Union</w:t>
      </w:r>
      <w:r w:rsidRPr="00E30D98">
        <w:rPr>
          <w:rFonts w:ascii="Arial" w:hAnsi="Arial" w:cs="Arial"/>
          <w:noProof/>
          <w:sz w:val="20"/>
          <w:szCs w:val="20"/>
        </w:rPr>
        <w:t>, 71-2.</w:t>
      </w:r>
    </w:p>
    <w:p w:rsidRPr="001640F7" w:rsidR="007E3C30" w:rsidP="007E3C30" w:rsidRDefault="007E3C30" w14:paraId="64DA1548" w14:textId="2AF4C369">
      <w:pPr>
        <w:pStyle w:val="NormalWeb"/>
        <w:spacing w:after="180" w:line="276" w:lineRule="auto"/>
        <w:ind w:left="480" w:hanging="480"/>
        <w:rPr>
          <w:rFonts w:ascii="Arial" w:hAnsi="Arial" w:cs="Arial"/>
          <w:noProof/>
          <w:sz w:val="20"/>
          <w:szCs w:val="20"/>
          <w:lang w:val="en-US"/>
        </w:rPr>
      </w:pPr>
      <w:r w:rsidRPr="001640F7">
        <w:rPr>
          <w:rFonts w:ascii="Arial" w:hAnsi="Arial" w:cs="Arial"/>
          <w:noProof/>
          <w:sz w:val="20"/>
          <w:szCs w:val="20"/>
          <w:lang w:val="en-US"/>
        </w:rPr>
        <w:t>Yin, R. K. (2017). </w:t>
      </w:r>
      <w:r w:rsidRPr="001640F7">
        <w:rPr>
          <w:rFonts w:ascii="Arial" w:hAnsi="Arial" w:cs="Arial"/>
          <w:i/>
          <w:iCs/>
          <w:noProof/>
          <w:sz w:val="20"/>
          <w:szCs w:val="20"/>
          <w:lang w:val="en-US"/>
        </w:rPr>
        <w:t>Case study research and applications: Design and methods</w:t>
      </w:r>
      <w:r w:rsidRPr="001640F7">
        <w:rPr>
          <w:rFonts w:ascii="Arial" w:hAnsi="Arial" w:cs="Arial"/>
          <w:noProof/>
          <w:sz w:val="20"/>
          <w:szCs w:val="20"/>
          <w:lang w:val="en-US"/>
        </w:rPr>
        <w:t>. Sage publications.</w:t>
      </w:r>
    </w:p>
    <w:p w:rsidRPr="00E30D98" w:rsidR="00A1159F" w:rsidP="00E30D98" w:rsidRDefault="00E30D98" w14:paraId="7970C128" w14:textId="7D45BADC">
      <w:pPr>
        <w:pStyle w:val="NormalWeb"/>
        <w:spacing w:after="180" w:line="276" w:lineRule="auto"/>
        <w:ind w:left="480" w:hanging="480"/>
        <w:rPr>
          <w:rFonts w:ascii="Arial" w:hAnsi="Arial" w:cs="Arial"/>
          <w:sz w:val="20"/>
          <w:szCs w:val="20"/>
          <w:lang w:val="es-ES"/>
        </w:rPr>
      </w:pPr>
      <w:r w:rsidRPr="00E30D98">
        <w:rPr>
          <w:rFonts w:ascii="Arial" w:hAnsi="Arial" w:cs="Arial"/>
          <w:noProof/>
          <w:sz w:val="20"/>
          <w:szCs w:val="20"/>
        </w:rPr>
        <w:t xml:space="preserve">WHO </w:t>
      </w:r>
      <w:r>
        <w:rPr>
          <w:rFonts w:ascii="Arial" w:hAnsi="Arial" w:cs="Arial"/>
          <w:noProof/>
          <w:sz w:val="20"/>
          <w:szCs w:val="20"/>
        </w:rPr>
        <w:t xml:space="preserve">(2018). </w:t>
      </w:r>
      <w:r w:rsidRPr="00E30D98">
        <w:rPr>
          <w:rFonts w:ascii="Arial" w:hAnsi="Arial" w:cs="Arial"/>
          <w:noProof/>
          <w:sz w:val="20"/>
          <w:szCs w:val="20"/>
        </w:rPr>
        <w:t>Health of refugees and migrants</w:t>
      </w:r>
      <w:r>
        <w:rPr>
          <w:rFonts w:ascii="Arial" w:hAnsi="Arial" w:cs="Arial"/>
          <w:noProof/>
          <w:sz w:val="20"/>
          <w:szCs w:val="20"/>
        </w:rPr>
        <w:t>:</w:t>
      </w:r>
      <w:r w:rsidRPr="00E30D98">
        <w:rPr>
          <w:rFonts w:ascii="Arial" w:hAnsi="Arial" w:cs="Arial"/>
          <w:noProof/>
          <w:sz w:val="20"/>
          <w:szCs w:val="20"/>
        </w:rPr>
        <w:t xml:space="preserve"> Regional situation analysis, practices, experiences, lessons learned and ways forward 2018</w:t>
      </w:r>
      <w:r>
        <w:rPr>
          <w:rFonts w:ascii="Arial" w:hAnsi="Arial" w:cs="Arial"/>
          <w:noProof/>
          <w:sz w:val="20"/>
          <w:szCs w:val="20"/>
        </w:rPr>
        <w:t xml:space="preserve">. Washington: WHO </w:t>
      </w:r>
      <w:r w:rsidRPr="00E30D98">
        <w:rPr>
          <w:rFonts w:ascii="Arial" w:hAnsi="Arial" w:cs="Arial"/>
          <w:noProof/>
          <w:sz w:val="20"/>
          <w:szCs w:val="20"/>
        </w:rPr>
        <w:t>Region of Americas</w:t>
      </w:r>
      <w:r>
        <w:rPr>
          <w:rFonts w:ascii="Arial" w:hAnsi="Arial" w:cs="Arial"/>
          <w:noProof/>
          <w:sz w:val="20"/>
          <w:szCs w:val="20"/>
        </w:rPr>
        <w:t xml:space="preserve">. </w:t>
      </w:r>
    </w:p>
    <w:sectPr w:rsidRPr="00E30D98" w:rsidR="00A1159F" w:rsidSect="006965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75AD" w:rsidP="00A1159F" w:rsidRDefault="00FB75AD" w14:paraId="6338304C" w14:textId="77777777">
      <w:r>
        <w:separator/>
      </w:r>
    </w:p>
  </w:endnote>
  <w:endnote w:type="continuationSeparator" w:id="0">
    <w:p w:rsidR="00FB75AD" w:rsidP="00A1159F" w:rsidRDefault="00FB75AD" w14:paraId="43B22AF6" w14:textId="77777777">
      <w:r>
        <w:continuationSeparator/>
      </w:r>
    </w:p>
  </w:endnote>
  <w:endnote w:type="continuationNotice" w:id="1">
    <w:p w:rsidR="00FB75AD" w:rsidRDefault="00FB75AD" w14:paraId="60C653D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4604" w:rsidP="00C17218" w:rsidRDefault="00894604" w14:paraId="04D64B1D" w14:textId="60A772E9">
    <w:pPr>
      <w:pStyle w:val="Footer"/>
      <w:framePr w:wrap="none" w:hAnchor="margin" w:vAnchor="text" w:xAlign="center" w:y="1"/>
      <w:rPr>
        <w:rStyle w:val="PageNumber"/>
      </w:rPr>
    </w:pPr>
  </w:p>
  <w:p w:rsidR="00894604" w:rsidRDefault="00894604" w14:paraId="199C38C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75AD" w:rsidP="00A1159F" w:rsidRDefault="00FB75AD" w14:paraId="4D7F7A49" w14:textId="77777777">
      <w:r>
        <w:separator/>
      </w:r>
    </w:p>
  </w:footnote>
  <w:footnote w:type="continuationSeparator" w:id="0">
    <w:p w:rsidR="00FB75AD" w:rsidP="00A1159F" w:rsidRDefault="00FB75AD" w14:paraId="75E6D279" w14:textId="77777777">
      <w:r>
        <w:continuationSeparator/>
      </w:r>
    </w:p>
  </w:footnote>
  <w:footnote w:type="continuationNotice" w:id="1">
    <w:p w:rsidR="00FB75AD" w:rsidRDefault="00FB75AD" w14:paraId="3A7D17A1" w14:textId="77777777"/>
  </w:footnote>
  <w:footnote w:id="2">
    <w:p w:rsidRPr="00291D59" w:rsidR="00894604" w:rsidP="002B0BEC" w:rsidRDefault="00894604" w14:paraId="0E80A68E" w14:textId="4BCD3615">
      <w:pPr>
        <w:pStyle w:val="FootnoteText"/>
        <w:spacing w:after="0"/>
        <w:rPr>
          <w:rFonts w:cs="Arial"/>
          <w:sz w:val="18"/>
          <w:szCs w:val="18"/>
          <w:lang w:val="es-MX"/>
        </w:rPr>
      </w:pPr>
      <w:r w:rsidRPr="00291D59">
        <w:rPr>
          <w:rStyle w:val="FootnoteReference"/>
          <w:rFonts w:ascii="Arial" w:hAnsi="Arial" w:cs="Arial"/>
          <w:sz w:val="18"/>
          <w:szCs w:val="18"/>
          <w:lang w:val="es-MX"/>
        </w:rPr>
        <w:footnoteRef/>
      </w:r>
      <w:r w:rsidRPr="00291D59">
        <w:rPr>
          <w:rFonts w:cs="Arial"/>
          <w:sz w:val="18"/>
          <w:szCs w:val="18"/>
          <w:lang w:val="es-MX"/>
        </w:rPr>
        <w:t xml:space="preserve"> </w:t>
      </w:r>
      <w:r w:rsidRPr="00291D59">
        <w:rPr>
          <w:rFonts w:cs="Arial"/>
          <w:sz w:val="18"/>
          <w:szCs w:val="18"/>
          <w:lang w:val="es-MX"/>
        </w:rPr>
        <w:tab/>
      </w:r>
      <w:r w:rsidRPr="00291D59">
        <w:rPr>
          <w:rFonts w:cs="Arial"/>
          <w:sz w:val="18"/>
          <w:szCs w:val="18"/>
          <w:lang w:val="es-MX"/>
        </w:rPr>
        <w:t>Esta sección presenta los antecedentes y descripción del programa, y está basada en el</w:t>
      </w:r>
      <w:r>
        <w:rPr>
          <w:rFonts w:cs="Arial"/>
          <w:sz w:val="18"/>
          <w:szCs w:val="18"/>
          <w:lang w:val="es-MX"/>
        </w:rPr>
        <w:t xml:space="preserve"> POD</w:t>
      </w:r>
      <w:r w:rsidRPr="00291D59">
        <w:rPr>
          <w:rFonts w:cs="Arial"/>
          <w:sz w:val="18"/>
          <w:szCs w:val="18"/>
          <w:lang w:val="es-MX"/>
        </w:rPr>
        <w:t xml:space="preserve">. Por tanto, puede si el lector ya revisó </w:t>
      </w:r>
      <w:r>
        <w:rPr>
          <w:rFonts w:cs="Arial"/>
          <w:sz w:val="18"/>
          <w:szCs w:val="18"/>
          <w:lang w:val="es-MX"/>
        </w:rPr>
        <w:t>el POD</w:t>
      </w:r>
      <w:r w:rsidRPr="00291D59">
        <w:rPr>
          <w:rFonts w:cs="Arial"/>
          <w:sz w:val="18"/>
          <w:szCs w:val="18"/>
          <w:lang w:val="es-MX"/>
        </w:rPr>
        <w:t>, puede pasar a la sección II.</w:t>
      </w:r>
    </w:p>
  </w:footnote>
  <w:footnote w:id="3">
    <w:p w:rsidRPr="00CF3960" w:rsidR="00894604" w:rsidP="00D921CF" w:rsidRDefault="00894604" w14:paraId="7F3E19B9" w14:textId="3F70D3BE">
      <w:pPr>
        <w:pStyle w:val="FootnoteText"/>
        <w:spacing w:after="0"/>
        <w:rPr>
          <w:rFonts w:cs="Arial"/>
          <w:sz w:val="18"/>
          <w:szCs w:val="18"/>
        </w:rPr>
      </w:pPr>
      <w:r w:rsidRPr="00CF3960">
        <w:rPr>
          <w:rStyle w:val="FootnoteReference"/>
          <w:rFonts w:cs="Arial"/>
          <w:sz w:val="18"/>
          <w:szCs w:val="18"/>
        </w:rPr>
        <w:footnoteRef/>
      </w:r>
      <w:r w:rsidRPr="00CF3960">
        <w:rPr>
          <w:rFonts w:cs="Arial"/>
          <w:sz w:val="18"/>
          <w:szCs w:val="18"/>
        </w:rPr>
        <w:t xml:space="preserve"> </w:t>
      </w:r>
      <w:r>
        <w:rPr>
          <w:rFonts w:cs="Arial"/>
          <w:sz w:val="18"/>
          <w:szCs w:val="18"/>
        </w:rPr>
        <w:tab/>
      </w:r>
      <w:r>
        <w:rPr>
          <w:rFonts w:cs="Arial"/>
          <w:sz w:val="18"/>
          <w:szCs w:val="18"/>
        </w:rPr>
        <w:t>La ATN/OC-15119-</w:t>
      </w:r>
      <w:r w:rsidRPr="00CF3960">
        <w:rPr>
          <w:rFonts w:cs="Arial"/>
          <w:sz w:val="18"/>
          <w:szCs w:val="18"/>
        </w:rPr>
        <w:t>CO</w:t>
      </w:r>
      <w:r>
        <w:rPr>
          <w:rFonts w:cs="Arial"/>
          <w:sz w:val="18"/>
          <w:szCs w:val="18"/>
        </w:rPr>
        <w:t>apoyó</w:t>
      </w:r>
      <w:r w:rsidRPr="00CF3960">
        <w:rPr>
          <w:rFonts w:cs="Arial"/>
          <w:sz w:val="18"/>
          <w:szCs w:val="18"/>
        </w:rPr>
        <w:t xml:space="preserve"> al MSPS para el diseño de la estrategia de Punto Final.</w:t>
      </w:r>
    </w:p>
  </w:footnote>
  <w:footnote w:id="4">
    <w:p w:rsidRPr="00CF3960" w:rsidR="00894604" w:rsidP="00D921CF" w:rsidRDefault="00894604" w14:paraId="0C6DD72E" w14:textId="77777777">
      <w:pPr>
        <w:pStyle w:val="FootnoteText"/>
        <w:spacing w:after="0"/>
        <w:rPr>
          <w:rFonts w:cs="Arial"/>
          <w:sz w:val="18"/>
          <w:szCs w:val="18"/>
        </w:rPr>
      </w:pPr>
      <w:r w:rsidRPr="00CF3960">
        <w:rPr>
          <w:rStyle w:val="FootnoteReference"/>
          <w:rFonts w:cs="Arial"/>
          <w:sz w:val="18"/>
          <w:szCs w:val="18"/>
        </w:rPr>
        <w:footnoteRef/>
      </w:r>
      <w:r w:rsidRPr="00CF3960">
        <w:rPr>
          <w:rFonts w:cs="Arial"/>
          <w:sz w:val="18"/>
          <w:szCs w:val="18"/>
        </w:rPr>
        <w:t xml:space="preserve"> </w:t>
      </w:r>
      <w:r>
        <w:rPr>
          <w:rFonts w:cs="Arial"/>
          <w:sz w:val="18"/>
          <w:szCs w:val="18"/>
        </w:rPr>
        <w:tab/>
      </w:r>
      <w:r w:rsidRPr="00CF3960">
        <w:rPr>
          <w:rFonts w:cs="Arial"/>
          <w:sz w:val="18"/>
          <w:szCs w:val="18"/>
        </w:rPr>
        <w:t>Una vez implementada la metodología de techos presupuestales, los VMR se utilizarán como precios de referencia para el cálculo del techo presupuestal de cada EPS.</w:t>
      </w:r>
    </w:p>
  </w:footnote>
  <w:footnote w:id="5">
    <w:p w:rsidRPr="00CF3960" w:rsidR="00894604" w:rsidP="00D921CF" w:rsidRDefault="00894604" w14:paraId="6CE4B4AF" w14:textId="6677F990">
      <w:pPr>
        <w:pStyle w:val="FootnoteText"/>
        <w:spacing w:after="0"/>
        <w:rPr>
          <w:rFonts w:cs="Arial"/>
          <w:sz w:val="18"/>
          <w:szCs w:val="18"/>
          <w:lang w:val="es-CO"/>
        </w:rPr>
      </w:pPr>
      <w:r w:rsidRPr="00CF3960">
        <w:rPr>
          <w:rStyle w:val="FootnoteReference"/>
          <w:rFonts w:cs="Arial"/>
          <w:sz w:val="18"/>
          <w:szCs w:val="18"/>
        </w:rPr>
        <w:footnoteRef/>
      </w:r>
      <w:r w:rsidRPr="00CF3960">
        <w:rPr>
          <w:rFonts w:cs="Arial"/>
          <w:sz w:val="18"/>
          <w:szCs w:val="18"/>
        </w:rPr>
        <w:t xml:space="preserve"> </w:t>
      </w:r>
      <w:r>
        <w:rPr>
          <w:rFonts w:cs="Arial"/>
          <w:sz w:val="18"/>
          <w:szCs w:val="18"/>
        </w:rPr>
        <w:tab/>
      </w:r>
      <w:r>
        <w:rPr>
          <w:rFonts w:cs="Arial"/>
          <w:sz w:val="18"/>
          <w:szCs w:val="18"/>
          <w:lang w:val="es-419"/>
        </w:rPr>
        <w:t xml:space="preserve">La </w:t>
      </w:r>
      <w:r>
        <w:rPr>
          <w:rFonts w:cs="Arial"/>
          <w:sz w:val="18"/>
          <w:szCs w:val="18"/>
        </w:rPr>
        <w:t>ATN/OC-13864-</w:t>
      </w:r>
      <w:r w:rsidRPr="00FB618A">
        <w:rPr>
          <w:rFonts w:cs="Arial"/>
          <w:sz w:val="18"/>
          <w:szCs w:val="18"/>
        </w:rPr>
        <w:t>CO</w:t>
      </w:r>
      <w:r>
        <w:rPr>
          <w:rFonts w:cs="Arial"/>
          <w:sz w:val="18"/>
          <w:szCs w:val="18"/>
        </w:rPr>
        <w:t xml:space="preserve"> </w:t>
      </w:r>
      <w:r w:rsidRPr="00CF3960">
        <w:rPr>
          <w:rFonts w:cs="Arial"/>
          <w:sz w:val="18"/>
          <w:szCs w:val="18"/>
        </w:rPr>
        <w:t>apoyó el diseño del Modelo de Atención Integral Territorial</w:t>
      </w:r>
      <w:r>
        <w:rPr>
          <w:rFonts w:cs="Arial"/>
          <w:sz w:val="18"/>
          <w:szCs w:val="18"/>
        </w:rPr>
        <w:t xml:space="preserve">, </w:t>
      </w:r>
      <w:r w:rsidRPr="00CF3960">
        <w:rPr>
          <w:rFonts w:cs="Arial"/>
          <w:sz w:val="18"/>
          <w:szCs w:val="18"/>
        </w:rPr>
        <w:t>la base del MAITE.</w:t>
      </w:r>
    </w:p>
  </w:footnote>
  <w:footnote w:id="6">
    <w:p w:rsidRPr="00CF3960" w:rsidR="00894604" w:rsidP="00D921CF" w:rsidRDefault="00894604" w14:paraId="1CF48786" w14:textId="77777777">
      <w:pPr>
        <w:pStyle w:val="FootnoteText"/>
        <w:spacing w:after="0"/>
        <w:rPr>
          <w:rFonts w:cs="Arial"/>
          <w:sz w:val="18"/>
          <w:szCs w:val="18"/>
          <w:lang w:val="es-CO"/>
        </w:rPr>
      </w:pPr>
      <w:r w:rsidRPr="00CF3960">
        <w:rPr>
          <w:rStyle w:val="FootnoteReference"/>
          <w:rFonts w:cs="Arial"/>
          <w:sz w:val="18"/>
          <w:szCs w:val="18"/>
        </w:rPr>
        <w:footnoteRef/>
      </w:r>
      <w:r w:rsidRPr="00CF3960">
        <w:rPr>
          <w:rFonts w:cs="Arial"/>
          <w:sz w:val="18"/>
          <w:szCs w:val="18"/>
        </w:rPr>
        <w:t xml:space="preserve"> </w:t>
      </w:r>
      <w:r>
        <w:rPr>
          <w:rFonts w:cs="Arial"/>
          <w:sz w:val="18"/>
          <w:szCs w:val="18"/>
        </w:rPr>
        <w:tab/>
      </w:r>
      <w:r w:rsidRPr="00CF3960">
        <w:rPr>
          <w:rFonts w:cs="Arial"/>
          <w:sz w:val="18"/>
          <w:szCs w:val="18"/>
        </w:rPr>
        <w:t xml:space="preserve">Se </w:t>
      </w:r>
      <w:r w:rsidRPr="00CF3960">
        <w:rPr>
          <w:rFonts w:cs="Arial"/>
          <w:sz w:val="18"/>
          <w:szCs w:val="18"/>
          <w:lang w:val="es-419"/>
        </w:rPr>
        <w:t>dará</w:t>
      </w:r>
      <w:r w:rsidRPr="00CF3960">
        <w:rPr>
          <w:rFonts w:cs="Arial"/>
          <w:sz w:val="18"/>
          <w:szCs w:val="18"/>
        </w:rPr>
        <w:t xml:space="preserve"> prioridad en estrategias con mayor impacto en mujeres gestantes y menores de cinco años.</w:t>
      </w:r>
      <w:r w:rsidRPr="00CF3960">
        <w:rPr>
          <w:rFonts w:cs="Arial"/>
          <w:sz w:val="18"/>
          <w:szCs w:val="18"/>
          <w:lang w:val="es-CO"/>
        </w:rPr>
        <w:t xml:space="preserve"> </w:t>
      </w:r>
    </w:p>
  </w:footnote>
  <w:footnote w:id="7">
    <w:p w:rsidRPr="002B0BEC" w:rsidR="00894604" w:rsidP="002B0BEC" w:rsidRDefault="00894604" w14:paraId="0B73D037" w14:textId="483BE15C">
      <w:pPr>
        <w:pStyle w:val="FootnoteText"/>
        <w:spacing w:after="0"/>
        <w:rPr>
          <w:rFonts w:cs="Arial"/>
          <w:sz w:val="18"/>
          <w:szCs w:val="18"/>
          <w:lang w:val="it-IT"/>
        </w:rPr>
      </w:pPr>
      <w:r w:rsidRPr="002B0BEC">
        <w:rPr>
          <w:rStyle w:val="FootnoteReference"/>
          <w:rFonts w:ascii="Arial" w:hAnsi="Arial" w:cs="Arial"/>
          <w:sz w:val="18"/>
          <w:szCs w:val="18"/>
        </w:rPr>
        <w:footnoteRef/>
      </w:r>
      <w:r w:rsidRPr="002B0BEC">
        <w:rPr>
          <w:rFonts w:cs="Arial"/>
          <w:sz w:val="18"/>
          <w:szCs w:val="18"/>
        </w:rPr>
        <w:t xml:space="preserve"> </w:t>
      </w:r>
      <w:r>
        <w:rPr>
          <w:rFonts w:cs="Arial"/>
          <w:sz w:val="18"/>
          <w:szCs w:val="18"/>
        </w:rPr>
        <w:tab/>
      </w:r>
      <w:r w:rsidRPr="002B0BEC">
        <w:rPr>
          <w:rFonts w:cs="Arial"/>
          <w:sz w:val="18"/>
          <w:szCs w:val="18"/>
        </w:rPr>
        <w:t xml:space="preserve">Este resultado incluye a los millones de pesos colombianos ahorrados durante el primer año de ejecución del proyecto. </w:t>
      </w:r>
    </w:p>
  </w:footnote>
  <w:footnote w:id="8">
    <w:p w:rsidRPr="002B0BEC" w:rsidR="00894604" w:rsidP="002B0BEC" w:rsidRDefault="00894604" w14:paraId="73A79532" w14:textId="3C417039">
      <w:pPr>
        <w:pStyle w:val="FootnoteText"/>
        <w:spacing w:after="0"/>
        <w:rPr>
          <w:rFonts w:cs="Arial"/>
          <w:sz w:val="18"/>
          <w:szCs w:val="18"/>
          <w:lang w:val="it-IT"/>
        </w:rPr>
      </w:pPr>
      <w:r w:rsidRPr="002B0BEC">
        <w:rPr>
          <w:rStyle w:val="FootnoteReference"/>
          <w:rFonts w:ascii="Arial" w:hAnsi="Arial" w:cs="Arial"/>
          <w:sz w:val="18"/>
          <w:szCs w:val="18"/>
        </w:rPr>
        <w:footnoteRef/>
      </w:r>
      <w:r w:rsidRPr="002B0BEC">
        <w:rPr>
          <w:rFonts w:cs="Arial"/>
          <w:sz w:val="18"/>
          <w:szCs w:val="18"/>
        </w:rPr>
        <w:t xml:space="preserve"> </w:t>
      </w:r>
      <w:r>
        <w:rPr>
          <w:rFonts w:cs="Arial"/>
          <w:sz w:val="18"/>
          <w:szCs w:val="18"/>
        </w:rPr>
        <w:tab/>
      </w:r>
      <w:r w:rsidRPr="002B0BEC">
        <w:rPr>
          <w:rFonts w:cs="Arial"/>
          <w:sz w:val="18"/>
          <w:szCs w:val="18"/>
        </w:rPr>
        <w:t>Este resultado incluye a los millones de pesos colombianos ahorrados durante los primeros dos años de ejecución del proyecto.</w:t>
      </w:r>
    </w:p>
  </w:footnote>
  <w:footnote w:id="9">
    <w:p w:rsidRPr="009C49B0" w:rsidR="00894604" w:rsidRDefault="00894604" w14:paraId="75E1B15A" w14:textId="35A4888D">
      <w:pPr>
        <w:pStyle w:val="FootnoteText"/>
        <w:rPr>
          <w:rFonts w:cs="Arial"/>
          <w:sz w:val="18"/>
          <w:szCs w:val="18"/>
          <w:lang w:val="it-IT"/>
        </w:rPr>
      </w:pPr>
      <w:r w:rsidRPr="009C49B0">
        <w:rPr>
          <w:rStyle w:val="FootnoteReference"/>
          <w:rFonts w:ascii="Arial" w:hAnsi="Arial" w:cs="Arial"/>
          <w:sz w:val="18"/>
          <w:szCs w:val="18"/>
        </w:rPr>
        <w:footnoteRef/>
      </w:r>
      <w:r w:rsidRPr="009C49B0">
        <w:rPr>
          <w:rFonts w:cs="Arial"/>
          <w:sz w:val="18"/>
          <w:szCs w:val="18"/>
        </w:rPr>
        <w:t xml:space="preserve"> </w:t>
      </w:r>
      <w:r w:rsidRPr="009C49B0">
        <w:rPr>
          <w:rFonts w:cs="Arial"/>
          <w:sz w:val="18"/>
          <w:szCs w:val="18"/>
        </w:rPr>
        <w:tab/>
      </w:r>
      <w:r w:rsidRPr="009C49B0">
        <w:rPr>
          <w:rFonts w:cs="Arial"/>
          <w:sz w:val="18"/>
          <w:szCs w:val="18"/>
          <w:lang w:val="es-CO"/>
        </w:rPr>
        <w:t>Este indicador es compartido en las operaciones del BID y el Banco Mundial. El financiamiento del BID aporta recursos para el cumplimiento del 47% de esta meta.</w:t>
      </w:r>
    </w:p>
  </w:footnote>
  <w:footnote w:id="10">
    <w:p w:rsidRPr="00654AF2" w:rsidR="00894604" w:rsidP="00E4589E" w:rsidRDefault="00894604" w14:paraId="69BE0135" w14:textId="77777777">
      <w:pPr>
        <w:pStyle w:val="FootnoteText"/>
        <w:tabs>
          <w:tab w:val="left" w:pos="360"/>
        </w:tabs>
        <w:ind w:left="360" w:hanging="360"/>
        <w:rPr>
          <w:rFonts w:cs="Arial"/>
          <w:sz w:val="18"/>
          <w:szCs w:val="18"/>
          <w:lang w:val="es-CO"/>
        </w:rPr>
      </w:pPr>
      <w:r w:rsidRPr="00654AF2">
        <w:rPr>
          <w:rStyle w:val="FootnoteReference"/>
          <w:rFonts w:cs="Arial"/>
          <w:sz w:val="18"/>
          <w:szCs w:val="18"/>
        </w:rPr>
        <w:footnoteRef/>
      </w:r>
      <w:r w:rsidRPr="00654AF2">
        <w:rPr>
          <w:rFonts w:cs="Arial"/>
          <w:sz w:val="18"/>
          <w:szCs w:val="18"/>
          <w:lang w:val="es-CO"/>
        </w:rPr>
        <w:t xml:space="preserve"> </w:t>
      </w:r>
      <w:r>
        <w:rPr>
          <w:rFonts w:cs="Arial"/>
          <w:sz w:val="18"/>
          <w:szCs w:val="18"/>
          <w:lang w:val="es-CO"/>
        </w:rPr>
        <w:tab/>
      </w:r>
      <w:r w:rsidRPr="00654AF2">
        <w:rPr>
          <w:rFonts w:cs="Arial"/>
          <w:sz w:val="18"/>
          <w:szCs w:val="18"/>
          <w:lang w:val="es-CO"/>
        </w:rPr>
        <w:t xml:space="preserve">El Sistema de información utilizará </w:t>
      </w:r>
      <w:r>
        <w:rPr>
          <w:rFonts w:cs="Arial"/>
          <w:sz w:val="18"/>
          <w:szCs w:val="18"/>
          <w:lang w:val="es-CO"/>
        </w:rPr>
        <w:t>los</w:t>
      </w:r>
      <w:r w:rsidRPr="00654AF2">
        <w:rPr>
          <w:rFonts w:cs="Arial"/>
          <w:sz w:val="18"/>
          <w:szCs w:val="18"/>
          <w:lang w:val="es-CO"/>
        </w:rPr>
        <w:t xml:space="preserve"> registros de prestaciones individuales RIPS para realizar seguimiento </w:t>
      </w:r>
      <w:r>
        <w:rPr>
          <w:rFonts w:cs="Arial"/>
          <w:sz w:val="18"/>
          <w:szCs w:val="18"/>
          <w:lang w:val="es-CO"/>
        </w:rPr>
        <w:t>individual</w:t>
      </w:r>
      <w:r w:rsidRPr="00654AF2">
        <w:rPr>
          <w:rFonts w:cs="Arial"/>
          <w:sz w:val="18"/>
          <w:szCs w:val="18"/>
          <w:lang w:val="es-CO"/>
        </w:rPr>
        <w:t xml:space="preserve"> de actividades programáticas de promoción y mantenimiento de la salud.</w:t>
      </w:r>
    </w:p>
  </w:footnote>
  <w:footnote w:id="11">
    <w:p w:rsidRPr="00710FC3" w:rsidR="00894604" w:rsidP="00BF17E5" w:rsidRDefault="00894604" w14:paraId="3941458A" w14:textId="77777777">
      <w:pPr>
        <w:pStyle w:val="FootnoteText"/>
        <w:tabs>
          <w:tab w:val="left" w:pos="360"/>
        </w:tabs>
        <w:spacing w:after="0"/>
        <w:ind w:left="360" w:hanging="360"/>
        <w:rPr>
          <w:lang w:val="es-CO"/>
        </w:rPr>
      </w:pPr>
      <w:r w:rsidRPr="00BF17E5">
        <w:rPr>
          <w:vertAlign w:val="superscript"/>
          <w:lang w:val="es-CO"/>
        </w:rPr>
        <w:footnoteRef/>
      </w:r>
      <w:r w:rsidRPr="00710FC3">
        <w:rPr>
          <w:lang w:val="es-CO"/>
        </w:rPr>
        <w:t xml:space="preserve"> </w:t>
      </w:r>
      <w:r w:rsidRPr="00710FC3">
        <w:rPr>
          <w:rFonts w:cs="Arial"/>
          <w:sz w:val="18"/>
          <w:szCs w:val="18"/>
          <w:lang w:val="es-CO"/>
        </w:rPr>
        <w:tab/>
      </w:r>
      <w:r w:rsidRPr="00710FC3">
        <w:rPr>
          <w:rFonts w:cs="Arial"/>
          <w:sz w:val="18"/>
          <w:szCs w:val="18"/>
          <w:lang w:val="es-CO"/>
        </w:rPr>
        <w:t>I</w:t>
      </w:r>
      <w:r w:rsidRPr="00710FC3">
        <w:rPr>
          <w:lang w:val="es-CO"/>
        </w:rPr>
        <w:t>ncluye a los hijos nacidos en Colombia de los inmigrantes.</w:t>
      </w:r>
    </w:p>
  </w:footnote>
  <w:footnote w:id="12">
    <w:p w:rsidRPr="005911F2" w:rsidR="00894604" w:rsidP="00BF17E5" w:rsidRDefault="00894604" w14:paraId="18159F91" w14:textId="77777777">
      <w:pPr>
        <w:pStyle w:val="FootnoteText"/>
        <w:tabs>
          <w:tab w:val="left" w:pos="360"/>
        </w:tabs>
        <w:spacing w:after="0"/>
        <w:ind w:left="360" w:hanging="360"/>
        <w:rPr>
          <w:rStyle w:val="FootnoteReference"/>
          <w:rFonts w:cs="Arial"/>
          <w:sz w:val="18"/>
          <w:szCs w:val="18"/>
        </w:rPr>
      </w:pPr>
      <w:r w:rsidRPr="00BF17E5">
        <w:rPr>
          <w:vertAlign w:val="superscript"/>
          <w:lang w:val="es-CO"/>
        </w:rPr>
        <w:footnoteRef/>
      </w:r>
      <w:r w:rsidRPr="00BF17E5">
        <w:rPr>
          <w:vertAlign w:val="superscript"/>
          <w:lang w:val="es-CO"/>
        </w:rPr>
        <w:t xml:space="preserve"> </w:t>
      </w:r>
      <w:r w:rsidRPr="00710FC3">
        <w:rPr>
          <w:rFonts w:cs="Arial"/>
          <w:sz w:val="18"/>
          <w:szCs w:val="18"/>
          <w:lang w:val="es-CO"/>
        </w:rPr>
        <w:tab/>
      </w:r>
      <w:r w:rsidRPr="00710FC3">
        <w:rPr>
          <w:lang w:val="es-CO"/>
        </w:rPr>
        <w:t>Compartido en las operaciones del BID y el Banco Mundial. El financiamiento del BID aporta recursos para el cumplimiento del 47% de esta meta.</w:t>
      </w:r>
      <w:r w:rsidRPr="005911F2">
        <w:rPr>
          <w:rStyle w:val="FootnoteReference"/>
          <w:rFonts w:cs="Arial"/>
          <w:sz w:val="18"/>
          <w:szCs w:val="18"/>
        </w:rPr>
        <w:t xml:space="preserve"> </w:t>
      </w:r>
    </w:p>
  </w:footnote>
  <w:footnote w:id="13">
    <w:p w:rsidRPr="00C02FA4" w:rsidR="00894604" w:rsidP="00CA2ECC" w:rsidRDefault="00894604" w14:paraId="41862F19" w14:textId="77777777">
      <w:pPr>
        <w:pStyle w:val="FootnoteText"/>
        <w:tabs>
          <w:tab w:val="left" w:pos="360"/>
        </w:tabs>
        <w:spacing w:after="0"/>
        <w:ind w:left="360" w:hanging="360"/>
        <w:rPr>
          <w:rFonts w:cs="Arial"/>
          <w:sz w:val="18"/>
          <w:szCs w:val="18"/>
          <w:lang w:val="es-CO"/>
        </w:rPr>
      </w:pPr>
      <w:r w:rsidRPr="00CA2ECC">
        <w:rPr>
          <w:rStyle w:val="FootnoteReference"/>
          <w:rFonts w:ascii="Arial" w:hAnsi="Arial" w:cs="Arial"/>
          <w:sz w:val="18"/>
          <w:szCs w:val="18"/>
        </w:rPr>
        <w:footnoteRef/>
      </w:r>
      <w:r w:rsidRPr="00C02FA4">
        <w:rPr>
          <w:rFonts w:cs="Arial"/>
          <w:sz w:val="18"/>
          <w:szCs w:val="18"/>
          <w:lang w:val="es-CO"/>
        </w:rPr>
        <w:t xml:space="preserve"> </w:t>
      </w:r>
      <w:r>
        <w:rPr>
          <w:rFonts w:cs="Arial"/>
          <w:sz w:val="18"/>
          <w:szCs w:val="18"/>
          <w:lang w:val="es-CO"/>
        </w:rPr>
        <w:tab/>
      </w:r>
      <w:r>
        <w:rPr>
          <w:rFonts w:cs="Arial"/>
          <w:sz w:val="18"/>
          <w:szCs w:val="18"/>
          <w:lang w:val="es-CO"/>
        </w:rPr>
        <w:t>Se</w:t>
      </w:r>
      <w:r w:rsidRPr="00C02FA4">
        <w:rPr>
          <w:rFonts w:cs="Arial"/>
          <w:sz w:val="18"/>
          <w:szCs w:val="18"/>
          <w:lang w:val="es-CO"/>
        </w:rPr>
        <w:t xml:space="preserve"> utilizará la información de registros de prestaciones individuales RIPS para realizar seguimiento persona a persona de actividades programáticas de promoción y mantenimiento de la salud.</w:t>
      </w:r>
    </w:p>
  </w:footnote>
  <w:footnote w:id="14">
    <w:p w:rsidRPr="00C02FA4" w:rsidR="00894604" w:rsidP="00CA2ECC" w:rsidRDefault="00894604" w14:paraId="53C9A9D2" w14:textId="77777777">
      <w:pPr>
        <w:pStyle w:val="FootnoteText"/>
        <w:tabs>
          <w:tab w:val="left" w:pos="360"/>
        </w:tabs>
        <w:spacing w:after="0"/>
        <w:ind w:left="360" w:hanging="360"/>
        <w:rPr>
          <w:rFonts w:cs="Arial"/>
          <w:sz w:val="18"/>
          <w:szCs w:val="18"/>
          <w:lang w:val="es-CO"/>
        </w:rPr>
      </w:pPr>
      <w:r w:rsidRPr="00CA2ECC">
        <w:rPr>
          <w:rStyle w:val="FootnoteReference"/>
          <w:rFonts w:ascii="Arial" w:hAnsi="Arial" w:cs="Arial"/>
          <w:sz w:val="18"/>
          <w:szCs w:val="18"/>
        </w:rPr>
        <w:footnoteRef/>
      </w:r>
      <w:r w:rsidRPr="00C02FA4">
        <w:rPr>
          <w:rFonts w:cs="Arial"/>
          <w:sz w:val="18"/>
          <w:szCs w:val="18"/>
          <w:lang w:val="es-CO"/>
        </w:rPr>
        <w:t xml:space="preserve"> </w:t>
      </w:r>
      <w:r>
        <w:rPr>
          <w:rFonts w:cs="Arial"/>
          <w:sz w:val="18"/>
          <w:szCs w:val="18"/>
          <w:lang w:val="es-CO"/>
        </w:rPr>
        <w:tab/>
      </w:r>
      <w:r>
        <w:rPr>
          <w:rFonts w:cs="Arial"/>
          <w:sz w:val="18"/>
          <w:szCs w:val="18"/>
          <w:lang w:val="es-CO"/>
        </w:rPr>
        <w:t>I</w:t>
      </w:r>
      <w:r w:rsidRPr="00C02FA4">
        <w:rPr>
          <w:rFonts w:cs="Arial"/>
          <w:sz w:val="18"/>
          <w:szCs w:val="18"/>
          <w:lang w:val="es-CO"/>
        </w:rPr>
        <w:t>ncluye a los hijos nacidos en Colombia de los inmigrantes.</w:t>
      </w:r>
    </w:p>
  </w:footnote>
  <w:footnote w:id="15">
    <w:p w:rsidRPr="00C02FA4" w:rsidR="00894604" w:rsidP="00CA2ECC" w:rsidRDefault="00894604" w14:paraId="7A84D206" w14:textId="77777777">
      <w:pPr>
        <w:pStyle w:val="FootnoteText"/>
        <w:tabs>
          <w:tab w:val="left" w:pos="360"/>
        </w:tabs>
        <w:spacing w:after="0"/>
        <w:ind w:left="360" w:hanging="360"/>
        <w:rPr>
          <w:rFonts w:cs="Arial"/>
          <w:sz w:val="18"/>
          <w:szCs w:val="18"/>
          <w:lang w:val="es-CO"/>
        </w:rPr>
      </w:pPr>
      <w:r w:rsidRPr="00CA2ECC">
        <w:rPr>
          <w:rStyle w:val="FootnoteReference"/>
          <w:rFonts w:ascii="Arial" w:hAnsi="Arial" w:cs="Arial"/>
          <w:sz w:val="18"/>
          <w:szCs w:val="18"/>
        </w:rPr>
        <w:footnoteRef/>
      </w:r>
      <w:r w:rsidRPr="00C02FA4">
        <w:rPr>
          <w:rFonts w:cs="Arial"/>
          <w:sz w:val="18"/>
          <w:szCs w:val="18"/>
          <w:lang w:val="es-CO"/>
        </w:rPr>
        <w:t xml:space="preserve"> </w:t>
      </w:r>
      <w:r>
        <w:rPr>
          <w:rFonts w:cs="Arial"/>
          <w:sz w:val="18"/>
          <w:szCs w:val="18"/>
          <w:lang w:val="es-CO"/>
        </w:rPr>
        <w:tab/>
      </w:r>
      <w:r>
        <w:rPr>
          <w:rFonts w:cs="Arial"/>
          <w:sz w:val="18"/>
          <w:szCs w:val="18"/>
          <w:lang w:val="es-CO"/>
        </w:rPr>
        <w:t>C</w:t>
      </w:r>
      <w:r w:rsidRPr="00C02FA4">
        <w:rPr>
          <w:rFonts w:cs="Arial"/>
          <w:sz w:val="18"/>
          <w:szCs w:val="18"/>
          <w:lang w:val="es-CO"/>
        </w:rPr>
        <w:t xml:space="preserve">ompartido en las operaciones del BID y el Banco Mundial. El financiamiento del BID aporta recursos para el cumplimiento del 47% de esta meta.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27DBD" w:rsidR="00894604" w:rsidP="00152993" w:rsidRDefault="00894604" w14:paraId="6F628C32" w14:textId="3F2134F8">
    <w:pPr>
      <w:pStyle w:val="Header"/>
      <w:jc w:val="center"/>
      <w:rPr>
        <w:sz w:val="18"/>
        <w:szCs w:val="18"/>
      </w:rPr>
    </w:pPr>
    <w:r>
      <w:rPr>
        <w:rFonts w:eastAsia="Arial" w:cs="Arial"/>
        <w:sz w:val="18"/>
        <w:szCs w:val="18"/>
        <w:lang w:val="es-VE"/>
      </w:rPr>
      <w:t>i</w:t>
    </w:r>
  </w:p>
  <w:p w:rsidR="00894604" w:rsidRDefault="00894604" w14:paraId="61EABDA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318336367"/>
      <w:docPartObj>
        <w:docPartGallery w:val="Page Numbers (Top of Page)"/>
        <w:docPartUnique/>
      </w:docPartObj>
    </w:sdtPr>
    <w:sdtEndPr/>
    <w:sdtContent>
      <w:p w:rsidR="00674D6A" w:rsidRDefault="00674D6A" w14:paraId="22151E08" w14:textId="5C9797D4">
        <w:pPr>
          <w:pStyle w:val="Header"/>
          <w:jc w:val="right"/>
          <w:rPr>
            <w:sz w:val="20"/>
          </w:rPr>
        </w:pPr>
        <w:r w:rsidRPr="00F27DBD">
          <w:rPr>
            <w:rFonts w:eastAsia="Arial" w:cs="Arial"/>
            <w:sz w:val="18"/>
            <w:szCs w:val="18"/>
            <w:lang w:val="es-VE"/>
          </w:rPr>
          <w:t>E</w:t>
        </w:r>
        <w:r>
          <w:rPr>
            <w:rFonts w:eastAsia="Arial" w:cs="Arial"/>
            <w:sz w:val="18"/>
            <w:szCs w:val="18"/>
            <w:lang w:val="es-VE"/>
          </w:rPr>
          <w:t>EO#1 – CO-L1248; CO-G1019</w:t>
        </w:r>
      </w:p>
      <w:p w:rsidRPr="00674D6A" w:rsidR="00674D6A" w:rsidRDefault="00674D6A" w14:paraId="34E986A8" w14:textId="69CABF2D">
        <w:pPr>
          <w:pStyle w:val="Header"/>
          <w:jc w:val="right"/>
          <w:rPr>
            <w:sz w:val="20"/>
          </w:rPr>
        </w:pPr>
        <w:r>
          <w:rPr>
            <w:sz w:val="20"/>
          </w:rPr>
          <w:t>Página</w:t>
        </w:r>
        <w:r w:rsidRPr="00674D6A">
          <w:rPr>
            <w:sz w:val="20"/>
          </w:rPr>
          <w:t xml:space="preserve"> </w:t>
        </w:r>
        <w:r w:rsidRPr="00674D6A">
          <w:rPr>
            <w:b/>
            <w:bCs/>
            <w:sz w:val="20"/>
          </w:rPr>
          <w:fldChar w:fldCharType="begin"/>
        </w:r>
        <w:r w:rsidRPr="00674D6A">
          <w:rPr>
            <w:b/>
            <w:bCs/>
            <w:sz w:val="20"/>
          </w:rPr>
          <w:instrText xml:space="preserve"> PAGE </w:instrText>
        </w:r>
        <w:r w:rsidRPr="00674D6A">
          <w:rPr>
            <w:b/>
            <w:bCs/>
            <w:sz w:val="20"/>
          </w:rPr>
          <w:fldChar w:fldCharType="separate"/>
        </w:r>
        <w:r w:rsidRPr="00674D6A">
          <w:rPr>
            <w:b/>
            <w:bCs/>
            <w:noProof/>
            <w:sz w:val="20"/>
          </w:rPr>
          <w:t>2</w:t>
        </w:r>
        <w:r w:rsidRPr="00674D6A">
          <w:rPr>
            <w:b/>
            <w:bCs/>
            <w:sz w:val="20"/>
          </w:rPr>
          <w:fldChar w:fldCharType="end"/>
        </w:r>
        <w:r w:rsidRPr="00674D6A">
          <w:rPr>
            <w:sz w:val="20"/>
          </w:rPr>
          <w:t xml:space="preserve"> </w:t>
        </w:r>
        <w:r>
          <w:rPr>
            <w:sz w:val="20"/>
          </w:rPr>
          <w:t xml:space="preserve">de </w:t>
        </w:r>
        <w:r w:rsidRPr="00674D6A">
          <w:rPr>
            <w:b/>
            <w:bCs/>
            <w:sz w:val="20"/>
          </w:rPr>
          <w:fldChar w:fldCharType="begin"/>
        </w:r>
        <w:r w:rsidRPr="00674D6A">
          <w:rPr>
            <w:b/>
            <w:bCs/>
            <w:sz w:val="20"/>
          </w:rPr>
          <w:instrText xml:space="preserve"> NUMPAGES  </w:instrText>
        </w:r>
        <w:r w:rsidRPr="00674D6A">
          <w:rPr>
            <w:b/>
            <w:bCs/>
            <w:sz w:val="20"/>
          </w:rPr>
          <w:fldChar w:fldCharType="separate"/>
        </w:r>
        <w:r w:rsidRPr="00674D6A">
          <w:rPr>
            <w:b/>
            <w:bCs/>
            <w:noProof/>
            <w:sz w:val="20"/>
          </w:rPr>
          <w:t>2</w:t>
        </w:r>
        <w:r w:rsidRPr="00674D6A">
          <w:rPr>
            <w:b/>
            <w:bCs/>
            <w:sz w:val="20"/>
          </w:rPr>
          <w:fldChar w:fldCharType="end"/>
        </w:r>
      </w:p>
    </w:sdtContent>
  </w:sdt>
  <w:p w:rsidRPr="006D7908" w:rsidR="00894604" w:rsidRDefault="00894604" w14:paraId="48267199" w14:textId="77777777">
    <w:pPr>
      <w:pStyle w:val="Header"/>
      <w:rPr>
        <w:sz w:val="20"/>
        <w:lang w:val="es-V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27DBD" w:rsidR="00894604" w:rsidP="00152993" w:rsidRDefault="00894604" w14:paraId="784F69CA" w14:textId="4E67E7EC">
    <w:pPr>
      <w:pStyle w:val="Header"/>
      <w:jc w:val="right"/>
      <w:rPr>
        <w:rFonts w:eastAsia="Arial" w:cs="Arial"/>
        <w:sz w:val="18"/>
        <w:szCs w:val="18"/>
        <w:lang w:val="es-VE"/>
      </w:rPr>
    </w:pPr>
    <w:r w:rsidRPr="00F27DBD">
      <w:rPr>
        <w:rFonts w:eastAsia="Arial" w:cs="Arial"/>
        <w:sz w:val="18"/>
        <w:szCs w:val="18"/>
        <w:lang w:val="es-VE"/>
      </w:rPr>
      <w:t>E</w:t>
    </w:r>
    <w:r>
      <w:rPr>
        <w:rFonts w:eastAsia="Arial" w:cs="Arial"/>
        <w:sz w:val="18"/>
        <w:szCs w:val="18"/>
        <w:lang w:val="es-VE"/>
      </w:rPr>
      <w:t>EO#</w:t>
    </w:r>
    <w:r w:rsidR="00674D6A">
      <w:rPr>
        <w:rFonts w:eastAsia="Arial" w:cs="Arial"/>
        <w:sz w:val="18"/>
        <w:szCs w:val="18"/>
        <w:lang w:val="es-VE"/>
      </w:rPr>
      <w:t>1</w:t>
    </w:r>
    <w:r>
      <w:rPr>
        <w:rFonts w:eastAsia="Arial" w:cs="Arial"/>
        <w:sz w:val="18"/>
        <w:szCs w:val="18"/>
        <w:lang w:val="es-VE"/>
      </w:rPr>
      <w:t xml:space="preserve"> – CO-L1248; CO-G1019</w:t>
    </w:r>
  </w:p>
  <w:sdt>
    <w:sdtPr>
      <w:rPr>
        <w:sz w:val="18"/>
        <w:szCs w:val="18"/>
      </w:rPr>
      <w:id w:val="-876078731"/>
      <w:docPartObj>
        <w:docPartGallery w:val="Page Numbers (Top of Page)"/>
        <w:docPartUnique/>
      </w:docPartObj>
    </w:sdtPr>
    <w:sdtEndPr/>
    <w:sdtContent>
      <w:p w:rsidRPr="00F27DBD" w:rsidR="00894604" w:rsidP="00152993" w:rsidRDefault="00894604" w14:paraId="199A6C9C" w14:textId="76A896C1">
        <w:pPr>
          <w:pStyle w:val="Header"/>
          <w:jc w:val="right"/>
          <w:rPr>
            <w:sz w:val="18"/>
            <w:szCs w:val="18"/>
          </w:rPr>
        </w:pPr>
        <w:r w:rsidRPr="00F27DBD">
          <w:rPr>
            <w:sz w:val="18"/>
            <w:szCs w:val="18"/>
          </w:rPr>
          <w:t xml:space="preserve">Página </w:t>
        </w:r>
        <w:r w:rsidRPr="005E7E0F">
          <w:rPr>
            <w:sz w:val="18"/>
            <w:szCs w:val="18"/>
          </w:rPr>
          <w:fldChar w:fldCharType="begin"/>
        </w:r>
        <w:r w:rsidRPr="005E7E0F">
          <w:rPr>
            <w:sz w:val="18"/>
            <w:szCs w:val="18"/>
          </w:rPr>
          <w:instrText xml:space="preserve"> PAGE   \* MERGEFORMAT </w:instrText>
        </w:r>
        <w:r w:rsidRPr="005E7E0F">
          <w:rPr>
            <w:sz w:val="18"/>
            <w:szCs w:val="18"/>
          </w:rPr>
          <w:fldChar w:fldCharType="separate"/>
        </w:r>
        <w:r>
          <w:rPr>
            <w:noProof/>
            <w:sz w:val="18"/>
            <w:szCs w:val="18"/>
          </w:rPr>
          <w:t>9</w:t>
        </w:r>
        <w:r w:rsidRPr="005E7E0F">
          <w:rPr>
            <w:noProof/>
            <w:sz w:val="18"/>
            <w:szCs w:val="18"/>
          </w:rPr>
          <w:fldChar w:fldCharType="end"/>
        </w:r>
        <w:r w:rsidRPr="00F27DBD">
          <w:rPr>
            <w:sz w:val="18"/>
            <w:szCs w:val="18"/>
          </w:rPr>
          <w:t xml:space="preserve"> de </w:t>
        </w:r>
        <w:r>
          <w:rPr>
            <w:sz w:val="18"/>
            <w:szCs w:val="18"/>
          </w:rPr>
          <w:fldChar w:fldCharType="begin"/>
        </w:r>
        <w:r>
          <w:rPr>
            <w:sz w:val="18"/>
            <w:szCs w:val="18"/>
          </w:rPr>
          <w:instrText xml:space="preserve"> NUMPAGES   \* MERGEFORMAT </w:instrText>
        </w:r>
        <w:r>
          <w:rPr>
            <w:sz w:val="18"/>
            <w:szCs w:val="18"/>
          </w:rPr>
          <w:fldChar w:fldCharType="separate"/>
        </w:r>
        <w:r>
          <w:rPr>
            <w:noProof/>
            <w:sz w:val="18"/>
            <w:szCs w:val="18"/>
          </w:rPr>
          <w:t>37</w:t>
        </w:r>
        <w:r>
          <w:rPr>
            <w:sz w:val="18"/>
            <w:szCs w:val="18"/>
          </w:rPr>
          <w:fldChar w:fldCharType="end"/>
        </w:r>
      </w:p>
    </w:sdtContent>
  </w:sdt>
  <w:p w:rsidRPr="009D105A" w:rsidR="00894604" w:rsidRDefault="00894604" w14:paraId="3330CE5D" w14:textId="77777777">
    <w:pPr>
      <w:pStyle w:val="Header"/>
      <w:rPr>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27DBD" w:rsidR="00894604" w:rsidP="00F27DBD" w:rsidRDefault="00894604" w14:paraId="7C1D029B" w14:textId="28BFF652">
    <w:pPr>
      <w:pStyle w:val="Header"/>
      <w:jc w:val="left"/>
      <w:rPr>
        <w:rFonts w:eastAsia="Arial" w:cs="Arial"/>
        <w:sz w:val="18"/>
        <w:szCs w:val="18"/>
        <w:lang w:val="es-VE"/>
      </w:rPr>
    </w:pPr>
    <w:r w:rsidRPr="00F27DBD">
      <w:rPr>
        <w:rFonts w:eastAsia="Arial" w:cs="Arial"/>
        <w:sz w:val="18"/>
        <w:szCs w:val="18"/>
        <w:lang w:val="es-VE"/>
      </w:rPr>
      <w:t>E</w:t>
    </w:r>
    <w:r>
      <w:rPr>
        <w:rFonts w:eastAsia="Arial" w:cs="Arial"/>
        <w:sz w:val="18"/>
        <w:szCs w:val="18"/>
        <w:lang w:val="es-VE"/>
      </w:rPr>
      <w:t>EO#1 – PE-L122</w:t>
    </w:r>
    <w:r w:rsidRPr="00F27DBD">
      <w:rPr>
        <w:rFonts w:eastAsia="Arial" w:cs="Arial"/>
        <w:sz w:val="18"/>
        <w:szCs w:val="18"/>
        <w:lang w:val="es-VE"/>
      </w:rPr>
      <w:t>8</w:t>
    </w:r>
  </w:p>
  <w:sdt>
    <w:sdtPr>
      <w:rPr>
        <w:sz w:val="18"/>
        <w:szCs w:val="18"/>
      </w:rPr>
      <w:id w:val="-557012934"/>
      <w:docPartObj>
        <w:docPartGallery w:val="Page Numbers (Top of Page)"/>
        <w:docPartUnique/>
      </w:docPartObj>
    </w:sdtPr>
    <w:sdtEndPr/>
    <w:sdtContent>
      <w:p w:rsidRPr="00F27DBD" w:rsidR="00894604" w:rsidP="00F27DBD" w:rsidRDefault="00894604" w14:paraId="7FF9EFC9" w14:textId="18CDE458">
        <w:pPr>
          <w:pStyle w:val="Header"/>
          <w:jc w:val="left"/>
          <w:rPr>
            <w:sz w:val="18"/>
            <w:szCs w:val="18"/>
          </w:rPr>
        </w:pPr>
        <w:r w:rsidRPr="00F27DBD">
          <w:rPr>
            <w:sz w:val="18"/>
            <w:szCs w:val="18"/>
          </w:rPr>
          <w:t xml:space="preserve">Página </w:t>
        </w:r>
        <w:r>
          <w:rPr>
            <w:bCs/>
            <w:sz w:val="18"/>
            <w:szCs w:val="18"/>
          </w:rPr>
          <w:t>3</w:t>
        </w:r>
        <w:r w:rsidRPr="00F27DBD">
          <w:rPr>
            <w:sz w:val="18"/>
            <w:szCs w:val="18"/>
          </w:rPr>
          <w:t xml:space="preserve"> de </w:t>
        </w:r>
        <w:r>
          <w:rPr>
            <w:sz w:val="18"/>
            <w:szCs w:val="18"/>
          </w:rPr>
          <w:t>19</w:t>
        </w:r>
      </w:p>
    </w:sdtContent>
  </w:sdt>
  <w:p w:rsidR="00894604" w:rsidRDefault="00894604" w14:paraId="3270FF6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22F30"/>
    <w:multiLevelType w:val="multilevel"/>
    <w:tmpl w:val="34E0E26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A1B6921"/>
    <w:multiLevelType w:val="hybridMultilevel"/>
    <w:tmpl w:val="A3A435D6"/>
    <w:lvl w:ilvl="0" w:tplc="B44414C0">
      <w:start w:val="1"/>
      <w:numFmt w:val="upp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15:restartNumberingAfterBreak="0">
    <w:nsid w:val="0E4A6DB5"/>
    <w:multiLevelType w:val="hybridMultilevel"/>
    <w:tmpl w:val="72C69D06"/>
    <w:lvl w:ilvl="0" w:tplc="391AF36E">
      <w:start w:val="3"/>
      <w:numFmt w:val="bullet"/>
      <w:lvlText w:val="-"/>
      <w:lvlJc w:val="left"/>
      <w:pPr>
        <w:ind w:left="720" w:hanging="360"/>
      </w:pPr>
      <w:rPr>
        <w:rFonts w:hint="default" w:ascii="Arial" w:hAnsi="Arial" w:eastAsia="Times New Roman"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 w15:restartNumberingAfterBreak="0">
    <w:nsid w:val="217C373E"/>
    <w:multiLevelType w:val="hybridMultilevel"/>
    <w:tmpl w:val="1AF23BDE"/>
    <w:lvl w:ilvl="0" w:tplc="76541A5C">
      <w:start w:val="3"/>
      <w:numFmt w:val="upperRoman"/>
      <w:lvlText w:val="%1."/>
      <w:lvlJc w:val="left"/>
      <w:pPr>
        <w:ind w:left="810" w:hanging="72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21E0377D"/>
    <w:multiLevelType w:val="multilevel"/>
    <w:tmpl w:val="F2205EA4"/>
    <w:lvl w:ilvl="0">
      <w:start w:val="32"/>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DE7483"/>
    <w:multiLevelType w:val="multilevel"/>
    <w:tmpl w:val="36445F6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D165C8"/>
    <w:multiLevelType w:val="hybridMultilevel"/>
    <w:tmpl w:val="CA0CD890"/>
    <w:lvl w:ilvl="0" w:tplc="C582C750">
      <w:start w:val="5"/>
      <w:numFmt w:val="bullet"/>
      <w:lvlText w:val="-"/>
      <w:lvlJc w:val="left"/>
      <w:pPr>
        <w:ind w:left="720" w:hanging="360"/>
      </w:pPr>
      <w:rPr>
        <w:rFonts w:hint="default" w:ascii="Times New Roman" w:hAnsi="Times New Roman"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 w15:restartNumberingAfterBreak="0">
    <w:nsid w:val="278A1A83"/>
    <w:multiLevelType w:val="hybridMultilevel"/>
    <w:tmpl w:val="7E286B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D0FE0"/>
    <w:multiLevelType w:val="multilevel"/>
    <w:tmpl w:val="59C8DE7A"/>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ascii="Arial" w:hAnsi="Arial" w:cs="Arial"/>
        <w:sz w:val="22"/>
        <w:szCs w:val="22"/>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9" w15:restartNumberingAfterBreak="0">
    <w:nsid w:val="30237769"/>
    <w:multiLevelType w:val="multilevel"/>
    <w:tmpl w:val="AAC24AA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6370BB"/>
    <w:multiLevelType w:val="multilevel"/>
    <w:tmpl w:val="1C786B9C"/>
    <w:lvl w:ilvl="0">
      <w:start w:val="1"/>
      <w:numFmt w:val="none"/>
      <w:lvlRestart w:val="0"/>
      <w:suff w:val="nothing"/>
      <w:lvlText w:val=""/>
      <w:lvlJc w:val="left"/>
      <w:pPr>
        <w:ind w:left="4824" w:hanging="720"/>
      </w:pPr>
    </w:lvl>
    <w:lvl w:ilvl="1">
      <w:start w:val="1"/>
      <w:numFmt w:val="decimal"/>
      <w:lvlText w:val="%2."/>
      <w:lvlJc w:val="left"/>
      <w:pPr>
        <w:tabs>
          <w:tab w:val="num" w:pos="5400"/>
        </w:tabs>
        <w:ind w:left="5400" w:hanging="576"/>
      </w:pPr>
      <w:rPr>
        <w:b/>
      </w:rPr>
    </w:lvl>
    <w:lvl w:ilvl="2">
      <w:start w:val="1"/>
      <w:numFmt w:val="lowerLetter"/>
      <w:lvlText w:val="%3)"/>
      <w:lvlJc w:val="left"/>
      <w:pPr>
        <w:tabs>
          <w:tab w:val="num" w:pos="5976"/>
        </w:tabs>
        <w:ind w:left="5976" w:hanging="576"/>
      </w:pPr>
      <w:rPr>
        <w:b/>
      </w:rPr>
    </w:lvl>
    <w:lvl w:ilvl="3">
      <w:start w:val="1"/>
      <w:numFmt w:val="lowerRoman"/>
      <w:lvlText w:val="(%4)"/>
      <w:lvlJc w:val="right"/>
      <w:pPr>
        <w:tabs>
          <w:tab w:val="num" w:pos="6480"/>
        </w:tabs>
        <w:ind w:left="6480" w:hanging="288"/>
      </w:pPr>
      <w:rPr>
        <w:b/>
      </w:rPr>
    </w:lvl>
    <w:lvl w:ilvl="4">
      <w:start w:val="1"/>
      <w:numFmt w:val="decimal"/>
      <w:lvlText w:val="%5)"/>
      <w:lvlJc w:val="left"/>
      <w:pPr>
        <w:ind w:left="5112" w:hanging="432"/>
      </w:pPr>
    </w:lvl>
    <w:lvl w:ilvl="5">
      <w:start w:val="1"/>
      <w:numFmt w:val="lowerLetter"/>
      <w:lvlText w:val="%6)"/>
      <w:lvlJc w:val="left"/>
      <w:pPr>
        <w:ind w:left="5256" w:hanging="432"/>
      </w:pPr>
    </w:lvl>
    <w:lvl w:ilvl="6">
      <w:start w:val="1"/>
      <w:numFmt w:val="lowerRoman"/>
      <w:lvlText w:val="%7)"/>
      <w:lvlJc w:val="right"/>
      <w:pPr>
        <w:ind w:left="5400" w:hanging="288"/>
      </w:pPr>
    </w:lvl>
    <w:lvl w:ilvl="7">
      <w:start w:val="1"/>
      <w:numFmt w:val="lowerLetter"/>
      <w:lvlText w:val="%8."/>
      <w:lvlJc w:val="left"/>
      <w:pPr>
        <w:ind w:left="5544" w:hanging="432"/>
      </w:pPr>
    </w:lvl>
    <w:lvl w:ilvl="8">
      <w:start w:val="1"/>
      <w:numFmt w:val="lowerRoman"/>
      <w:lvlText w:val="%9."/>
      <w:lvlJc w:val="right"/>
      <w:pPr>
        <w:ind w:left="5688" w:hanging="144"/>
      </w:pPr>
    </w:lvl>
  </w:abstractNum>
  <w:abstractNum w:abstractNumId="11" w15:restartNumberingAfterBreak="0">
    <w:nsid w:val="359B4991"/>
    <w:multiLevelType w:val="multilevel"/>
    <w:tmpl w:val="A4F4C8E6"/>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12" w15:restartNumberingAfterBreak="0">
    <w:nsid w:val="365A648B"/>
    <w:multiLevelType w:val="hybridMultilevel"/>
    <w:tmpl w:val="DD4C4ED4"/>
    <w:lvl w:ilvl="0" w:tplc="04090015">
      <w:start w:val="1"/>
      <w:numFmt w:val="upp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3" w15:restartNumberingAfterBreak="0">
    <w:nsid w:val="39CD357B"/>
    <w:multiLevelType w:val="multilevel"/>
    <w:tmpl w:val="9D2C3E18"/>
    <w:lvl w:ilvl="0">
      <w:start w:val="1"/>
      <w:numFmt w:val="decimal"/>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14" w15:restartNumberingAfterBreak="0">
    <w:nsid w:val="423F3883"/>
    <w:multiLevelType w:val="hybridMultilevel"/>
    <w:tmpl w:val="8DDA795C"/>
    <w:lvl w:ilvl="0" w:tplc="7A58E2F0">
      <w:start w:val="1"/>
      <w:numFmt w:val="lowerLetter"/>
      <w:lvlText w:val="%1."/>
      <w:lvlJc w:val="left"/>
      <w:pPr>
        <w:ind w:left="720" w:hanging="360"/>
      </w:pPr>
      <w:rPr>
        <w:rFonts w:hint="default" w:eastAsia="Times New Roman"/>
        <w:b w:val="0"/>
        <w:color w:val="00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921DAF"/>
    <w:multiLevelType w:val="multilevel"/>
    <w:tmpl w:val="E15C34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45F4134"/>
    <w:multiLevelType w:val="hybridMultilevel"/>
    <w:tmpl w:val="E2D250A0"/>
    <w:lvl w:ilvl="0" w:tplc="E87EA9D6">
      <w:start w:val="1"/>
      <w:numFmt w:val="bullet"/>
      <w:lvlText w:val="-"/>
      <w:lvlJc w:val="left"/>
      <w:pPr>
        <w:ind w:left="720" w:hanging="360"/>
      </w:pPr>
      <w:rPr>
        <w:rFonts w:hint="default" w:ascii="Calibri" w:hAnsi="Calibri"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66F5DB5"/>
    <w:multiLevelType w:val="multilevel"/>
    <w:tmpl w:val="509284E2"/>
    <w:styleLink w:val="Style1"/>
    <w:lvl w:ilvl="0">
      <w:start w:val="3"/>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556"/>
        </w:tabs>
        <w:ind w:left="2556" w:hanging="1296"/>
      </w:pPr>
      <w:rPr>
        <w:rFonts w:hint="default" w:ascii="Arial" w:hAnsi="Arial" w:cs="Arial"/>
        <w:b w:val="0"/>
        <w:i w:val="0"/>
        <w:sz w:val="22"/>
        <w:szCs w:val="22"/>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18" w15:restartNumberingAfterBreak="0">
    <w:nsid w:val="4E5318DB"/>
    <w:multiLevelType w:val="hybridMultilevel"/>
    <w:tmpl w:val="880CDF78"/>
    <w:lvl w:ilvl="0" w:tplc="C82028DA">
      <w:start w:val="2"/>
      <w:numFmt w:val="bullet"/>
      <w:lvlText w:val="-"/>
      <w:lvlJc w:val="left"/>
      <w:pPr>
        <w:ind w:left="720" w:hanging="360"/>
      </w:pPr>
      <w:rPr>
        <w:rFonts w:hint="default" w:ascii="Arial" w:hAnsi="Arial" w:eastAsia="Times New Roman" w:cs="Aria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9" w15:restartNumberingAfterBreak="0">
    <w:nsid w:val="55530A9C"/>
    <w:multiLevelType w:val="multilevel"/>
    <w:tmpl w:val="7A4C2E3A"/>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0" w15:restartNumberingAfterBreak="0">
    <w:nsid w:val="569905A8"/>
    <w:multiLevelType w:val="multilevel"/>
    <w:tmpl w:val="12301AA0"/>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1386"/>
        </w:tabs>
        <w:ind w:left="1386" w:hanging="1296"/>
      </w:pPr>
      <w:rPr>
        <w:rFonts w:hint="default" w:ascii="Arial" w:hAnsi="Arial" w:cs="Arial"/>
        <w:b w:val="0"/>
        <w:i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21" w15:restartNumberingAfterBreak="0">
    <w:nsid w:val="5A2F0C03"/>
    <w:multiLevelType w:val="hybridMultilevel"/>
    <w:tmpl w:val="2B56FBEA"/>
    <w:lvl w:ilvl="0" w:tplc="F57A0E6E">
      <w:start w:val="1"/>
      <w:numFmt w:val="upperLetter"/>
      <w:pStyle w:val="Heading2"/>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9A7602"/>
    <w:multiLevelType w:val="hybridMultilevel"/>
    <w:tmpl w:val="0038B24E"/>
    <w:lvl w:ilvl="0" w:tplc="76541A5C">
      <w:start w:val="1"/>
      <w:numFmt w:val="upperRoman"/>
      <w:lvlText w:val="%1."/>
      <w:lvlJc w:val="left"/>
      <w:pPr>
        <w:ind w:left="1080" w:hanging="720"/>
      </w:pPr>
    </w:lvl>
    <w:lvl w:ilvl="1" w:tplc="75407C58">
      <w:start w:val="1"/>
      <w:numFmt w:val="upperLetter"/>
      <w:lvlText w:val="%2."/>
      <w:lvlJc w:val="left"/>
      <w:pPr>
        <w:ind w:left="1440" w:hanging="360"/>
      </w:pPr>
      <w:rPr>
        <w:rFonts w:ascii="Arial" w:hAnsi="Arial" w:eastAsia="Calibri" w:cs="Arial"/>
      </w:rPr>
    </w:lvl>
    <w:lvl w:ilvl="2" w:tplc="0409001B">
      <w:start w:val="1"/>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F266F60"/>
    <w:multiLevelType w:val="hybridMultilevel"/>
    <w:tmpl w:val="1B2EF7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09923C8"/>
    <w:multiLevelType w:val="multilevel"/>
    <w:tmpl w:val="75B89534"/>
    <w:lvl w:ilvl="0">
      <w:start w:val="1"/>
      <w:numFmt w:val="upperRoman"/>
      <w:lvlText w:val="%1."/>
      <w:lvlJc w:val="right"/>
      <w:pPr>
        <w:ind w:left="144" w:hanging="144"/>
      </w:pPr>
      <w:rPr>
        <w:rFonts w:hint="default"/>
        <w:b/>
        <w:i w:val="0"/>
        <w:sz w:val="24"/>
      </w:rPr>
    </w:lvl>
    <w:lvl w:ilvl="1">
      <w:start w:val="1"/>
      <w:numFmt w:val="decimal"/>
      <w:pStyle w:val="AutoNumpara"/>
      <w:isLgl/>
      <w:lvlText w:val="%1.%2"/>
      <w:lvlJc w:val="left"/>
      <w:pPr>
        <w:tabs>
          <w:tab w:val="num" w:pos="720"/>
        </w:tabs>
        <w:ind w:left="720" w:hanging="720"/>
      </w:pPr>
    </w:lvl>
    <w:lvl w:ilvl="2">
      <w:start w:val="1"/>
      <w:numFmt w:val="lowerLetter"/>
      <w:lvlRestart w:val="0"/>
      <w:pStyle w:val="Heading4"/>
      <w:lvlText w:val="%3."/>
      <w:lvlJc w:val="left"/>
      <w:pPr>
        <w:tabs>
          <w:tab w:val="num" w:pos="1800"/>
        </w:tabs>
        <w:ind w:left="1800" w:hanging="360"/>
      </w:pPr>
      <w:rPr>
        <w:rFonts w:hint="default" w:ascii="Times New Roman Bold" w:hAnsi="Times New Roman Bold"/>
        <w:b/>
        <w:i w:val="0"/>
        <w:sz w:val="24"/>
      </w:rPr>
    </w:lvl>
    <w:lvl w:ilvl="3">
      <w:start w:val="1"/>
      <w:numFmt w:val="lowerRoman"/>
      <w:lvlRestart w:val="0"/>
      <w:pStyle w:val="Heading5"/>
      <w:lvlText w:val="(%4)"/>
      <w:lvlJc w:val="right"/>
      <w:pPr>
        <w:tabs>
          <w:tab w:val="num" w:pos="2088"/>
        </w:tabs>
        <w:ind w:left="2088" w:hanging="288"/>
      </w:pPr>
      <w:rPr>
        <w:rFonts w:hint="default" w:ascii="Times New Roman Bold" w:hAnsi="Times New Roman Bold"/>
        <w:b/>
        <w:i w:val="0"/>
        <w:sz w:val="24"/>
      </w:r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25" w15:restartNumberingAfterBreak="0">
    <w:nsid w:val="61CE7320"/>
    <w:multiLevelType w:val="hybridMultilevel"/>
    <w:tmpl w:val="B336A63C"/>
    <w:lvl w:ilvl="0" w:tplc="0C0A0001">
      <w:start w:val="1"/>
      <w:numFmt w:val="bullet"/>
      <w:lvlText w:val=""/>
      <w:lvlJc w:val="left"/>
      <w:pPr>
        <w:ind w:left="1080" w:hanging="360"/>
      </w:pPr>
      <w:rPr>
        <w:rFonts w:hint="default" w:ascii="Symbol" w:hAnsi="Symbol"/>
      </w:rPr>
    </w:lvl>
    <w:lvl w:ilvl="1" w:tplc="0C0A0003">
      <w:start w:val="1"/>
      <w:numFmt w:val="bullet"/>
      <w:lvlText w:val="o"/>
      <w:lvlJc w:val="left"/>
      <w:pPr>
        <w:ind w:left="1800" w:hanging="360"/>
      </w:pPr>
      <w:rPr>
        <w:rFonts w:hint="default" w:ascii="Courier New" w:hAnsi="Courier New" w:cs="Courier New"/>
      </w:rPr>
    </w:lvl>
    <w:lvl w:ilvl="2" w:tplc="0C0A0005">
      <w:start w:val="1"/>
      <w:numFmt w:val="bullet"/>
      <w:lvlText w:val=""/>
      <w:lvlJc w:val="left"/>
      <w:pPr>
        <w:ind w:left="2520" w:hanging="360"/>
      </w:pPr>
      <w:rPr>
        <w:rFonts w:hint="default" w:ascii="Wingdings" w:hAnsi="Wingdings"/>
      </w:rPr>
    </w:lvl>
    <w:lvl w:ilvl="3" w:tplc="0C0A0001">
      <w:start w:val="1"/>
      <w:numFmt w:val="bullet"/>
      <w:lvlText w:val=""/>
      <w:lvlJc w:val="left"/>
      <w:pPr>
        <w:ind w:left="3240" w:hanging="360"/>
      </w:pPr>
      <w:rPr>
        <w:rFonts w:hint="default" w:ascii="Symbol" w:hAnsi="Symbol"/>
      </w:rPr>
    </w:lvl>
    <w:lvl w:ilvl="4" w:tplc="0C0A0003">
      <w:start w:val="1"/>
      <w:numFmt w:val="bullet"/>
      <w:lvlText w:val="o"/>
      <w:lvlJc w:val="left"/>
      <w:pPr>
        <w:ind w:left="3960" w:hanging="360"/>
      </w:pPr>
      <w:rPr>
        <w:rFonts w:hint="default" w:ascii="Courier New" w:hAnsi="Courier New" w:cs="Courier New"/>
      </w:rPr>
    </w:lvl>
    <w:lvl w:ilvl="5" w:tplc="0C0A0005">
      <w:start w:val="1"/>
      <w:numFmt w:val="bullet"/>
      <w:lvlText w:val=""/>
      <w:lvlJc w:val="left"/>
      <w:pPr>
        <w:ind w:left="4680" w:hanging="360"/>
      </w:pPr>
      <w:rPr>
        <w:rFonts w:hint="default" w:ascii="Wingdings" w:hAnsi="Wingdings"/>
      </w:rPr>
    </w:lvl>
    <w:lvl w:ilvl="6" w:tplc="0C0A0001">
      <w:start w:val="1"/>
      <w:numFmt w:val="bullet"/>
      <w:lvlText w:val=""/>
      <w:lvlJc w:val="left"/>
      <w:pPr>
        <w:ind w:left="5400" w:hanging="360"/>
      </w:pPr>
      <w:rPr>
        <w:rFonts w:hint="default" w:ascii="Symbol" w:hAnsi="Symbol"/>
      </w:rPr>
    </w:lvl>
    <w:lvl w:ilvl="7" w:tplc="0C0A0003">
      <w:start w:val="1"/>
      <w:numFmt w:val="bullet"/>
      <w:lvlText w:val="o"/>
      <w:lvlJc w:val="left"/>
      <w:pPr>
        <w:ind w:left="6120" w:hanging="360"/>
      </w:pPr>
      <w:rPr>
        <w:rFonts w:hint="default" w:ascii="Courier New" w:hAnsi="Courier New" w:cs="Courier New"/>
      </w:rPr>
    </w:lvl>
    <w:lvl w:ilvl="8" w:tplc="0C0A0005">
      <w:start w:val="1"/>
      <w:numFmt w:val="bullet"/>
      <w:lvlText w:val=""/>
      <w:lvlJc w:val="left"/>
      <w:pPr>
        <w:ind w:left="6840" w:hanging="360"/>
      </w:pPr>
      <w:rPr>
        <w:rFonts w:hint="default" w:ascii="Wingdings" w:hAnsi="Wingdings"/>
      </w:rPr>
    </w:lvl>
  </w:abstractNum>
  <w:abstractNum w:abstractNumId="26" w15:restartNumberingAfterBreak="0">
    <w:nsid w:val="68391C76"/>
    <w:multiLevelType w:val="hybridMultilevel"/>
    <w:tmpl w:val="7C9C0E5C"/>
    <w:lvl w:ilvl="0" w:tplc="210C1FD8">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92D03"/>
    <w:multiLevelType w:val="multilevel"/>
    <w:tmpl w:val="2DE8787E"/>
    <w:lvl w:ilvl="0">
      <w:start w:val="1"/>
      <w:numFmt w:val="upperRoman"/>
      <w:lvlRestart w:val="0"/>
      <w:lvlText w:val="%1."/>
      <w:lvlJc w:val="center"/>
      <w:pPr>
        <w:tabs>
          <w:tab w:val="num" w:pos="2232"/>
        </w:tabs>
        <w:ind w:left="1584" w:firstLine="288"/>
      </w:pPr>
      <w:rPr>
        <w:rFonts w:hint="default"/>
        <w:b/>
        <w:i w:val="0"/>
      </w:rPr>
    </w:lvl>
    <w:lvl w:ilvl="1">
      <w:start w:val="1"/>
      <w:numFmt w:val="decimal"/>
      <w:lvlText w:val="%1.%2"/>
      <w:lvlJc w:val="left"/>
      <w:pPr>
        <w:tabs>
          <w:tab w:val="num" w:pos="2880"/>
        </w:tabs>
        <w:ind w:left="2880" w:hanging="1296"/>
      </w:pPr>
    </w:lvl>
    <w:lvl w:ilvl="2">
      <w:start w:val="1"/>
      <w:numFmt w:val="lowerLetter"/>
      <w:lvlText w:val="%3."/>
      <w:lvlJc w:val="left"/>
      <w:pPr>
        <w:tabs>
          <w:tab w:val="num" w:pos="2736"/>
        </w:tabs>
        <w:ind w:left="2736" w:hanging="432"/>
      </w:pPr>
    </w:lvl>
    <w:lvl w:ilvl="3">
      <w:start w:val="1"/>
      <w:numFmt w:val="lowerRoman"/>
      <w:lvlText w:val="%4."/>
      <w:lvlJc w:val="right"/>
      <w:pPr>
        <w:tabs>
          <w:tab w:val="num" w:pos="3168"/>
        </w:tabs>
        <w:ind w:left="3168" w:hanging="288"/>
      </w:pPr>
    </w:lvl>
    <w:lvl w:ilvl="4">
      <w:start w:val="1"/>
      <w:numFmt w:val="decimal"/>
      <w:lvlText w:val="%1.%2.%3.%4.%5"/>
      <w:lvlJc w:val="left"/>
      <w:pPr>
        <w:ind w:left="2592" w:hanging="1008"/>
      </w:pPr>
    </w:lvl>
    <w:lvl w:ilvl="5">
      <w:start w:val="1"/>
      <w:numFmt w:val="decimal"/>
      <w:lvlText w:val="%1.%2.%3.%4.%5.%6"/>
      <w:lvlJc w:val="left"/>
      <w:pPr>
        <w:ind w:left="2736" w:hanging="1152"/>
      </w:pPr>
    </w:lvl>
    <w:lvl w:ilvl="6">
      <w:start w:val="1"/>
      <w:numFmt w:val="decimal"/>
      <w:lvlText w:val="%1.%2.%3.%4.%5.%6.%7"/>
      <w:lvlJc w:val="left"/>
      <w:pPr>
        <w:ind w:left="2880" w:hanging="1296"/>
      </w:pPr>
    </w:lvl>
    <w:lvl w:ilvl="7">
      <w:start w:val="1"/>
      <w:numFmt w:val="decimal"/>
      <w:lvlText w:val="%1.%2.%3.%4.%5.%6.%7.%8"/>
      <w:lvlJc w:val="left"/>
      <w:pPr>
        <w:ind w:left="3024" w:hanging="1440"/>
      </w:pPr>
    </w:lvl>
    <w:lvl w:ilvl="8">
      <w:start w:val="1"/>
      <w:numFmt w:val="decimal"/>
      <w:lvlText w:val="%1.%2.%3.%4.%5.%6.%7.%8.%9"/>
      <w:lvlJc w:val="left"/>
      <w:pPr>
        <w:ind w:left="3168" w:hanging="1584"/>
      </w:pPr>
    </w:lvl>
  </w:abstractNum>
  <w:abstractNum w:abstractNumId="28" w15:restartNumberingAfterBreak="0">
    <w:nsid w:val="6C33276A"/>
    <w:multiLevelType w:val="multilevel"/>
    <w:tmpl w:val="12301AA0"/>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1386"/>
        </w:tabs>
        <w:ind w:left="1386" w:hanging="1296"/>
      </w:pPr>
      <w:rPr>
        <w:rFonts w:hint="default" w:ascii="Arial" w:hAnsi="Arial" w:cs="Arial"/>
        <w:b w:val="0"/>
        <w:i w:val="0"/>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none"/>
      <w:lvlText w:val=""/>
      <w:lvlJc w:val="left"/>
      <w:pPr>
        <w:tabs>
          <w:tab w:val="num" w:pos="4392"/>
        </w:tabs>
        <w:ind w:left="4032" w:firstLine="0"/>
      </w:pPr>
    </w:lvl>
    <w:lvl w:ilvl="5">
      <w:start w:val="1"/>
      <w:numFmt w:val="none"/>
      <w:lvlText w:val=""/>
      <w:lvlJc w:val="left"/>
      <w:pPr>
        <w:tabs>
          <w:tab w:val="num" w:pos="5112"/>
        </w:tabs>
        <w:ind w:left="4752" w:firstLine="0"/>
      </w:pPr>
    </w:lvl>
    <w:lvl w:ilvl="6">
      <w:start w:val="1"/>
      <w:numFmt w:val="none"/>
      <w:lvlText w:val=""/>
      <w:lvlJc w:val="left"/>
      <w:pPr>
        <w:tabs>
          <w:tab w:val="num" w:pos="5832"/>
        </w:tabs>
        <w:ind w:left="5472" w:firstLine="0"/>
      </w:pPr>
    </w:lvl>
    <w:lvl w:ilvl="7">
      <w:start w:val="1"/>
      <w:numFmt w:val="none"/>
      <w:lvlText w:val=""/>
      <w:lvlJc w:val="left"/>
      <w:pPr>
        <w:tabs>
          <w:tab w:val="num" w:pos="6552"/>
        </w:tabs>
        <w:ind w:left="6192" w:firstLine="0"/>
      </w:pPr>
    </w:lvl>
    <w:lvl w:ilvl="8">
      <w:start w:val="1"/>
      <w:numFmt w:val="none"/>
      <w:lvlText w:val=""/>
      <w:lvlJc w:val="left"/>
      <w:pPr>
        <w:tabs>
          <w:tab w:val="num" w:pos="7272"/>
        </w:tabs>
        <w:ind w:left="6912" w:firstLine="0"/>
      </w:pPr>
    </w:lvl>
  </w:abstractNum>
  <w:abstractNum w:abstractNumId="29" w15:restartNumberingAfterBreak="0">
    <w:nsid w:val="71C31960"/>
    <w:multiLevelType w:val="multilevel"/>
    <w:tmpl w:val="7BEA3BE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725921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2EB7DCB"/>
    <w:multiLevelType w:val="multilevel"/>
    <w:tmpl w:val="39606A4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F740D3"/>
    <w:multiLevelType w:val="hybridMultilevel"/>
    <w:tmpl w:val="4D32DC4C"/>
    <w:lvl w:ilvl="0" w:tplc="C6728C9C">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3FB2E92"/>
    <w:multiLevelType w:val="multilevel"/>
    <w:tmpl w:val="9EEEBD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767B1987"/>
    <w:multiLevelType w:val="multilevel"/>
    <w:tmpl w:val="509284E2"/>
    <w:numStyleLink w:val="Style1"/>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3"/>
  </w:num>
  <w:num w:numId="4">
    <w:abstractNumId w:val="23"/>
  </w:num>
  <w:num w:numId="5">
    <w:abstractNumId w:val="22"/>
  </w:num>
  <w:num w:numId="6">
    <w:abstractNumId w:val="1"/>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1"/>
  </w:num>
  <w:num w:numId="12">
    <w:abstractNumId w:val="24"/>
  </w:num>
  <w:num w:numId="13">
    <w:abstractNumId w:val="12"/>
  </w:num>
  <w:num w:numId="14">
    <w:abstractNumId w:val="7"/>
  </w:num>
  <w:num w:numId="15">
    <w:abstractNumId w:val="26"/>
  </w:num>
  <w:num w:numId="16">
    <w:abstractNumId w:val="31"/>
  </w:num>
  <w:num w:numId="17">
    <w:abstractNumId w:val="30"/>
  </w:num>
  <w:num w:numId="18">
    <w:abstractNumId w:val="26"/>
  </w:num>
  <w:num w:numId="19">
    <w:abstractNumId w:val="26"/>
    <w:lvlOverride w:ilvl="0">
      <w:startOverride w:val="1"/>
    </w:lvlOverride>
  </w:num>
  <w:num w:numId="20">
    <w:abstractNumId w:val="21"/>
  </w:num>
  <w:num w:numId="21">
    <w:abstractNumId w:val="21"/>
    <w:lvlOverride w:ilvl="0">
      <w:startOverride w:val="1"/>
    </w:lvlOverride>
  </w:num>
  <w:num w:numId="22">
    <w:abstractNumId w:val="6"/>
  </w:num>
  <w:num w:numId="23">
    <w:abstractNumId w:val="33"/>
  </w:num>
  <w:num w:numId="24">
    <w:abstractNumId w:val="13"/>
  </w:num>
  <w:num w:numId="25">
    <w:abstractNumId w:val="1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9"/>
  </w:num>
  <w:num w:numId="29">
    <w:abstractNumId w:val="28"/>
  </w:num>
  <w:num w:numId="30">
    <w:abstractNumId w:val="8"/>
  </w:num>
  <w:num w:numId="31">
    <w:abstractNumId w:val="20"/>
  </w:num>
  <w:num w:numId="32">
    <w:abstractNumId w:val="14"/>
  </w:num>
  <w:num w:numId="33">
    <w:abstractNumId w:val="5"/>
  </w:num>
  <w:num w:numId="34">
    <w:abstractNumId w:val="9"/>
  </w:num>
  <w:num w:numId="35">
    <w:abstractNumId w:val="4"/>
  </w:num>
  <w:num w:numId="36">
    <w:abstractNumId w:val="0"/>
  </w:num>
  <w:num w:numId="37">
    <w:abstractNumId w:val="16"/>
  </w:num>
  <w:num w:numId="38">
    <w:abstractNumId w:val="29"/>
  </w:num>
  <w:num w:numId="39">
    <w:abstractNumId w:val="2"/>
  </w:num>
  <w:num w:numId="40">
    <w:abstractNumId w:val="15"/>
  </w:num>
  <w:num w:numId="41">
    <w:abstractNumId w:val="27"/>
  </w:num>
  <w:num w:numId="42">
    <w:abstractNumId w:val="17"/>
  </w:num>
  <w:num w:numId="43">
    <w:abstractNumId w:val="3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defaultTabStop w:val="720"/>
  <w:hyphenationZone w:val="283"/>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59F"/>
    <w:rsid w:val="00001445"/>
    <w:rsid w:val="000021A8"/>
    <w:rsid w:val="00004459"/>
    <w:rsid w:val="000050E2"/>
    <w:rsid w:val="00006EAE"/>
    <w:rsid w:val="00007A3C"/>
    <w:rsid w:val="000104A0"/>
    <w:rsid w:val="0001407B"/>
    <w:rsid w:val="00014149"/>
    <w:rsid w:val="00014770"/>
    <w:rsid w:val="00022E47"/>
    <w:rsid w:val="00023772"/>
    <w:rsid w:val="0002633F"/>
    <w:rsid w:val="000327DA"/>
    <w:rsid w:val="000346DB"/>
    <w:rsid w:val="00035BE0"/>
    <w:rsid w:val="00043015"/>
    <w:rsid w:val="000459B8"/>
    <w:rsid w:val="000500E8"/>
    <w:rsid w:val="0005076D"/>
    <w:rsid w:val="00051523"/>
    <w:rsid w:val="00063E82"/>
    <w:rsid w:val="000706D5"/>
    <w:rsid w:val="00071FF0"/>
    <w:rsid w:val="00075212"/>
    <w:rsid w:val="00077CB0"/>
    <w:rsid w:val="00077E10"/>
    <w:rsid w:val="00077ED4"/>
    <w:rsid w:val="00081695"/>
    <w:rsid w:val="00083500"/>
    <w:rsid w:val="00086B4F"/>
    <w:rsid w:val="00087D92"/>
    <w:rsid w:val="00092636"/>
    <w:rsid w:val="00094528"/>
    <w:rsid w:val="00094B63"/>
    <w:rsid w:val="00094CCC"/>
    <w:rsid w:val="00096282"/>
    <w:rsid w:val="000A1A56"/>
    <w:rsid w:val="000A6605"/>
    <w:rsid w:val="000B1106"/>
    <w:rsid w:val="000B13D0"/>
    <w:rsid w:val="000B2328"/>
    <w:rsid w:val="000B2698"/>
    <w:rsid w:val="000B2AB1"/>
    <w:rsid w:val="000B2F25"/>
    <w:rsid w:val="000B3DDC"/>
    <w:rsid w:val="000B48B9"/>
    <w:rsid w:val="000B4E3D"/>
    <w:rsid w:val="000C31D0"/>
    <w:rsid w:val="000C3444"/>
    <w:rsid w:val="000C4AFC"/>
    <w:rsid w:val="000D1D45"/>
    <w:rsid w:val="000D361A"/>
    <w:rsid w:val="000D603A"/>
    <w:rsid w:val="000D6372"/>
    <w:rsid w:val="000E2812"/>
    <w:rsid w:val="000E2FAF"/>
    <w:rsid w:val="000E39C7"/>
    <w:rsid w:val="000E50BF"/>
    <w:rsid w:val="000E5918"/>
    <w:rsid w:val="000E5BD8"/>
    <w:rsid w:val="000E67B9"/>
    <w:rsid w:val="000F57D0"/>
    <w:rsid w:val="000F5A7D"/>
    <w:rsid w:val="000F5EC4"/>
    <w:rsid w:val="00100439"/>
    <w:rsid w:val="001013D3"/>
    <w:rsid w:val="00103B18"/>
    <w:rsid w:val="00103CFD"/>
    <w:rsid w:val="00104B69"/>
    <w:rsid w:val="00105F16"/>
    <w:rsid w:val="001077F8"/>
    <w:rsid w:val="00107BAD"/>
    <w:rsid w:val="0011000B"/>
    <w:rsid w:val="00111EB9"/>
    <w:rsid w:val="001216E9"/>
    <w:rsid w:val="00122923"/>
    <w:rsid w:val="0012397B"/>
    <w:rsid w:val="00125B2E"/>
    <w:rsid w:val="00125E39"/>
    <w:rsid w:val="0013122D"/>
    <w:rsid w:val="001326E6"/>
    <w:rsid w:val="0013503B"/>
    <w:rsid w:val="0013594A"/>
    <w:rsid w:val="00137B3D"/>
    <w:rsid w:val="001403F0"/>
    <w:rsid w:val="001408B8"/>
    <w:rsid w:val="00140B65"/>
    <w:rsid w:val="00142162"/>
    <w:rsid w:val="00142994"/>
    <w:rsid w:val="00142E3A"/>
    <w:rsid w:val="00143C7E"/>
    <w:rsid w:val="0014541D"/>
    <w:rsid w:val="0015220A"/>
    <w:rsid w:val="001526D6"/>
    <w:rsid w:val="00152993"/>
    <w:rsid w:val="0015355A"/>
    <w:rsid w:val="00156264"/>
    <w:rsid w:val="0015738A"/>
    <w:rsid w:val="001640F7"/>
    <w:rsid w:val="00164BDF"/>
    <w:rsid w:val="00165EE7"/>
    <w:rsid w:val="001738EF"/>
    <w:rsid w:val="00175F84"/>
    <w:rsid w:val="00176526"/>
    <w:rsid w:val="0017764F"/>
    <w:rsid w:val="0018198D"/>
    <w:rsid w:val="001914F5"/>
    <w:rsid w:val="0019321E"/>
    <w:rsid w:val="001933DE"/>
    <w:rsid w:val="00193619"/>
    <w:rsid w:val="00194702"/>
    <w:rsid w:val="00194B8E"/>
    <w:rsid w:val="00195BC2"/>
    <w:rsid w:val="001A1480"/>
    <w:rsid w:val="001A236E"/>
    <w:rsid w:val="001A3C9C"/>
    <w:rsid w:val="001B2227"/>
    <w:rsid w:val="001B5EFC"/>
    <w:rsid w:val="001B7044"/>
    <w:rsid w:val="001B7902"/>
    <w:rsid w:val="001C0B71"/>
    <w:rsid w:val="001C174E"/>
    <w:rsid w:val="001C181B"/>
    <w:rsid w:val="001C2573"/>
    <w:rsid w:val="001C38A5"/>
    <w:rsid w:val="001D0EEF"/>
    <w:rsid w:val="001D240B"/>
    <w:rsid w:val="001D4D08"/>
    <w:rsid w:val="001E0FAC"/>
    <w:rsid w:val="001E15EA"/>
    <w:rsid w:val="001E497E"/>
    <w:rsid w:val="001E5EF3"/>
    <w:rsid w:val="001E7BE7"/>
    <w:rsid w:val="001F2A24"/>
    <w:rsid w:val="001F2D04"/>
    <w:rsid w:val="001F7BA5"/>
    <w:rsid w:val="00202BEB"/>
    <w:rsid w:val="00203959"/>
    <w:rsid w:val="00203EC1"/>
    <w:rsid w:val="00204309"/>
    <w:rsid w:val="002053F5"/>
    <w:rsid w:val="00207384"/>
    <w:rsid w:val="002104E2"/>
    <w:rsid w:val="00211C5B"/>
    <w:rsid w:val="002129FB"/>
    <w:rsid w:val="00213CB0"/>
    <w:rsid w:val="00215ACA"/>
    <w:rsid w:val="002161EF"/>
    <w:rsid w:val="00217A0E"/>
    <w:rsid w:val="0022044D"/>
    <w:rsid w:val="00225666"/>
    <w:rsid w:val="00225727"/>
    <w:rsid w:val="00226D7B"/>
    <w:rsid w:val="00230172"/>
    <w:rsid w:val="00230B6D"/>
    <w:rsid w:val="00230F1A"/>
    <w:rsid w:val="0023110D"/>
    <w:rsid w:val="00232B1D"/>
    <w:rsid w:val="0023445A"/>
    <w:rsid w:val="00235157"/>
    <w:rsid w:val="0023616B"/>
    <w:rsid w:val="002374A2"/>
    <w:rsid w:val="00240F7B"/>
    <w:rsid w:val="002416C7"/>
    <w:rsid w:val="00246697"/>
    <w:rsid w:val="00250B8E"/>
    <w:rsid w:val="00256156"/>
    <w:rsid w:val="00257473"/>
    <w:rsid w:val="00257813"/>
    <w:rsid w:val="00257DAC"/>
    <w:rsid w:val="00262918"/>
    <w:rsid w:val="00262A4E"/>
    <w:rsid w:val="00262B4B"/>
    <w:rsid w:val="002637FD"/>
    <w:rsid w:val="00271761"/>
    <w:rsid w:val="002739F5"/>
    <w:rsid w:val="00275CDC"/>
    <w:rsid w:val="00276A79"/>
    <w:rsid w:val="00281347"/>
    <w:rsid w:val="00281694"/>
    <w:rsid w:val="00284F47"/>
    <w:rsid w:val="002856C9"/>
    <w:rsid w:val="0028626D"/>
    <w:rsid w:val="00286304"/>
    <w:rsid w:val="00287E05"/>
    <w:rsid w:val="00290D4C"/>
    <w:rsid w:val="002919B1"/>
    <w:rsid w:val="00291D59"/>
    <w:rsid w:val="0029378C"/>
    <w:rsid w:val="002957A3"/>
    <w:rsid w:val="002A4639"/>
    <w:rsid w:val="002A4F10"/>
    <w:rsid w:val="002A78D0"/>
    <w:rsid w:val="002B0BEC"/>
    <w:rsid w:val="002B30C1"/>
    <w:rsid w:val="002B33AE"/>
    <w:rsid w:val="002B4E9A"/>
    <w:rsid w:val="002B53FF"/>
    <w:rsid w:val="002B5C03"/>
    <w:rsid w:val="002B7EE1"/>
    <w:rsid w:val="002C0784"/>
    <w:rsid w:val="002C2088"/>
    <w:rsid w:val="002C36B4"/>
    <w:rsid w:val="002C3F2D"/>
    <w:rsid w:val="002C47FA"/>
    <w:rsid w:val="002C5D2E"/>
    <w:rsid w:val="002C620A"/>
    <w:rsid w:val="002C6245"/>
    <w:rsid w:val="002C7CF8"/>
    <w:rsid w:val="002D3FA5"/>
    <w:rsid w:val="002D488F"/>
    <w:rsid w:val="002D5389"/>
    <w:rsid w:val="002D6EA8"/>
    <w:rsid w:val="002D78F1"/>
    <w:rsid w:val="002E031A"/>
    <w:rsid w:val="002E1CB3"/>
    <w:rsid w:val="002E39C7"/>
    <w:rsid w:val="002E3BAD"/>
    <w:rsid w:val="002E4B96"/>
    <w:rsid w:val="002E4C12"/>
    <w:rsid w:val="002E60BD"/>
    <w:rsid w:val="002E61C9"/>
    <w:rsid w:val="002E61EB"/>
    <w:rsid w:val="002E780C"/>
    <w:rsid w:val="002F0305"/>
    <w:rsid w:val="002F1481"/>
    <w:rsid w:val="002F178B"/>
    <w:rsid w:val="002F19E6"/>
    <w:rsid w:val="002F2F14"/>
    <w:rsid w:val="002F3EB1"/>
    <w:rsid w:val="00302CC4"/>
    <w:rsid w:val="003040A3"/>
    <w:rsid w:val="003049D8"/>
    <w:rsid w:val="00310878"/>
    <w:rsid w:val="00311017"/>
    <w:rsid w:val="003125C2"/>
    <w:rsid w:val="003142FE"/>
    <w:rsid w:val="003213CA"/>
    <w:rsid w:val="00323984"/>
    <w:rsid w:val="00325060"/>
    <w:rsid w:val="003262F2"/>
    <w:rsid w:val="00327988"/>
    <w:rsid w:val="0033259D"/>
    <w:rsid w:val="00332F05"/>
    <w:rsid w:val="0033350F"/>
    <w:rsid w:val="00333F68"/>
    <w:rsid w:val="003358FD"/>
    <w:rsid w:val="0033741E"/>
    <w:rsid w:val="00342CAF"/>
    <w:rsid w:val="00344C51"/>
    <w:rsid w:val="00346A7A"/>
    <w:rsid w:val="003472D8"/>
    <w:rsid w:val="00347AFE"/>
    <w:rsid w:val="003502FF"/>
    <w:rsid w:val="00350DB1"/>
    <w:rsid w:val="00351F82"/>
    <w:rsid w:val="00352A5B"/>
    <w:rsid w:val="003539FD"/>
    <w:rsid w:val="00353BBD"/>
    <w:rsid w:val="0035553C"/>
    <w:rsid w:val="00356931"/>
    <w:rsid w:val="003612A4"/>
    <w:rsid w:val="0036164B"/>
    <w:rsid w:val="00362AED"/>
    <w:rsid w:val="0036383B"/>
    <w:rsid w:val="003649D8"/>
    <w:rsid w:val="00366445"/>
    <w:rsid w:val="003667FC"/>
    <w:rsid w:val="00366BB3"/>
    <w:rsid w:val="00366DE9"/>
    <w:rsid w:val="00373966"/>
    <w:rsid w:val="003762D3"/>
    <w:rsid w:val="00377669"/>
    <w:rsid w:val="00380055"/>
    <w:rsid w:val="00380734"/>
    <w:rsid w:val="00383E7E"/>
    <w:rsid w:val="00386BE3"/>
    <w:rsid w:val="00390F3F"/>
    <w:rsid w:val="00391E39"/>
    <w:rsid w:val="00393737"/>
    <w:rsid w:val="00396E66"/>
    <w:rsid w:val="00397617"/>
    <w:rsid w:val="003A18EC"/>
    <w:rsid w:val="003A2489"/>
    <w:rsid w:val="003A3564"/>
    <w:rsid w:val="003A4F4A"/>
    <w:rsid w:val="003A6159"/>
    <w:rsid w:val="003B0180"/>
    <w:rsid w:val="003B18C4"/>
    <w:rsid w:val="003B28A5"/>
    <w:rsid w:val="003B3340"/>
    <w:rsid w:val="003B640F"/>
    <w:rsid w:val="003C4D5F"/>
    <w:rsid w:val="003C7607"/>
    <w:rsid w:val="003D202B"/>
    <w:rsid w:val="003D6C36"/>
    <w:rsid w:val="003D7426"/>
    <w:rsid w:val="003E1D17"/>
    <w:rsid w:val="003E1EDD"/>
    <w:rsid w:val="003E2F88"/>
    <w:rsid w:val="003E31B1"/>
    <w:rsid w:val="003E32AC"/>
    <w:rsid w:val="003E383D"/>
    <w:rsid w:val="003E47D7"/>
    <w:rsid w:val="0040084E"/>
    <w:rsid w:val="00402155"/>
    <w:rsid w:val="00402D8C"/>
    <w:rsid w:val="00403E9F"/>
    <w:rsid w:val="0041035A"/>
    <w:rsid w:val="00420827"/>
    <w:rsid w:val="00420F8C"/>
    <w:rsid w:val="004224CD"/>
    <w:rsid w:val="00423722"/>
    <w:rsid w:val="004248BB"/>
    <w:rsid w:val="00430A69"/>
    <w:rsid w:val="00430F90"/>
    <w:rsid w:val="004323D2"/>
    <w:rsid w:val="00435F2B"/>
    <w:rsid w:val="00436698"/>
    <w:rsid w:val="0044102B"/>
    <w:rsid w:val="00441549"/>
    <w:rsid w:val="0044237D"/>
    <w:rsid w:val="0044308B"/>
    <w:rsid w:val="00444BD7"/>
    <w:rsid w:val="00450D05"/>
    <w:rsid w:val="00450EC2"/>
    <w:rsid w:val="004510E0"/>
    <w:rsid w:val="004515E8"/>
    <w:rsid w:val="00454394"/>
    <w:rsid w:val="004545B0"/>
    <w:rsid w:val="004561C7"/>
    <w:rsid w:val="00456389"/>
    <w:rsid w:val="0045682E"/>
    <w:rsid w:val="004568C0"/>
    <w:rsid w:val="00456B32"/>
    <w:rsid w:val="00460A96"/>
    <w:rsid w:val="00462048"/>
    <w:rsid w:val="00462325"/>
    <w:rsid w:val="00462428"/>
    <w:rsid w:val="004630F4"/>
    <w:rsid w:val="00463D5C"/>
    <w:rsid w:val="00464E41"/>
    <w:rsid w:val="004664C2"/>
    <w:rsid w:val="00466F9C"/>
    <w:rsid w:val="00467AD8"/>
    <w:rsid w:val="004726CA"/>
    <w:rsid w:val="00473A0E"/>
    <w:rsid w:val="00473D29"/>
    <w:rsid w:val="004743D3"/>
    <w:rsid w:val="004747BB"/>
    <w:rsid w:val="00474B3E"/>
    <w:rsid w:val="0047676D"/>
    <w:rsid w:val="00476FB6"/>
    <w:rsid w:val="0048039E"/>
    <w:rsid w:val="004812E2"/>
    <w:rsid w:val="00482202"/>
    <w:rsid w:val="004837A0"/>
    <w:rsid w:val="0048428E"/>
    <w:rsid w:val="00484BB3"/>
    <w:rsid w:val="00487963"/>
    <w:rsid w:val="00487CF2"/>
    <w:rsid w:val="00490E97"/>
    <w:rsid w:val="00490F9E"/>
    <w:rsid w:val="00491268"/>
    <w:rsid w:val="00491F6C"/>
    <w:rsid w:val="00492155"/>
    <w:rsid w:val="00493A41"/>
    <w:rsid w:val="00494DA3"/>
    <w:rsid w:val="004954D0"/>
    <w:rsid w:val="004959F5"/>
    <w:rsid w:val="00497BCF"/>
    <w:rsid w:val="004A0BD2"/>
    <w:rsid w:val="004A213B"/>
    <w:rsid w:val="004A321B"/>
    <w:rsid w:val="004A7C20"/>
    <w:rsid w:val="004A7C9A"/>
    <w:rsid w:val="004B03FC"/>
    <w:rsid w:val="004B2CD4"/>
    <w:rsid w:val="004B2DE9"/>
    <w:rsid w:val="004B3973"/>
    <w:rsid w:val="004B4E5B"/>
    <w:rsid w:val="004B550F"/>
    <w:rsid w:val="004B7303"/>
    <w:rsid w:val="004C048F"/>
    <w:rsid w:val="004C21F5"/>
    <w:rsid w:val="004C29CE"/>
    <w:rsid w:val="004C2B55"/>
    <w:rsid w:val="004C30E4"/>
    <w:rsid w:val="004C6708"/>
    <w:rsid w:val="004D6C32"/>
    <w:rsid w:val="004E1192"/>
    <w:rsid w:val="004E1ED5"/>
    <w:rsid w:val="004F1CCA"/>
    <w:rsid w:val="004F4133"/>
    <w:rsid w:val="004F42AC"/>
    <w:rsid w:val="004F6581"/>
    <w:rsid w:val="004F7BB0"/>
    <w:rsid w:val="0050188A"/>
    <w:rsid w:val="00501BF9"/>
    <w:rsid w:val="0050475D"/>
    <w:rsid w:val="00507F73"/>
    <w:rsid w:val="005106A1"/>
    <w:rsid w:val="005106AE"/>
    <w:rsid w:val="00511CB9"/>
    <w:rsid w:val="00511EA7"/>
    <w:rsid w:val="0051551F"/>
    <w:rsid w:val="00516542"/>
    <w:rsid w:val="00525115"/>
    <w:rsid w:val="005268DA"/>
    <w:rsid w:val="00531567"/>
    <w:rsid w:val="0053514D"/>
    <w:rsid w:val="00542CE2"/>
    <w:rsid w:val="0054381D"/>
    <w:rsid w:val="00544542"/>
    <w:rsid w:val="00544817"/>
    <w:rsid w:val="0054643D"/>
    <w:rsid w:val="0054755F"/>
    <w:rsid w:val="00547934"/>
    <w:rsid w:val="005539C2"/>
    <w:rsid w:val="00555B36"/>
    <w:rsid w:val="00561474"/>
    <w:rsid w:val="005631F2"/>
    <w:rsid w:val="00564AA1"/>
    <w:rsid w:val="00567C79"/>
    <w:rsid w:val="00572F31"/>
    <w:rsid w:val="00574D00"/>
    <w:rsid w:val="00577CE5"/>
    <w:rsid w:val="005834D7"/>
    <w:rsid w:val="00585212"/>
    <w:rsid w:val="00587D96"/>
    <w:rsid w:val="00594100"/>
    <w:rsid w:val="00595954"/>
    <w:rsid w:val="0059695E"/>
    <w:rsid w:val="005A0ED1"/>
    <w:rsid w:val="005A26CE"/>
    <w:rsid w:val="005A3514"/>
    <w:rsid w:val="005A395B"/>
    <w:rsid w:val="005A39CC"/>
    <w:rsid w:val="005A487D"/>
    <w:rsid w:val="005A5A9F"/>
    <w:rsid w:val="005A6583"/>
    <w:rsid w:val="005B2E7E"/>
    <w:rsid w:val="005B4E15"/>
    <w:rsid w:val="005B5F24"/>
    <w:rsid w:val="005B628F"/>
    <w:rsid w:val="005C07F2"/>
    <w:rsid w:val="005C25C1"/>
    <w:rsid w:val="005C2C24"/>
    <w:rsid w:val="005C4846"/>
    <w:rsid w:val="005C52D7"/>
    <w:rsid w:val="005C77CC"/>
    <w:rsid w:val="005C7F28"/>
    <w:rsid w:val="005D0E57"/>
    <w:rsid w:val="005D1EB7"/>
    <w:rsid w:val="005D5053"/>
    <w:rsid w:val="005D5CEE"/>
    <w:rsid w:val="005D74C5"/>
    <w:rsid w:val="005D7833"/>
    <w:rsid w:val="005E0E49"/>
    <w:rsid w:val="005E1E7B"/>
    <w:rsid w:val="005E3828"/>
    <w:rsid w:val="005E5F3B"/>
    <w:rsid w:val="005E6728"/>
    <w:rsid w:val="005E7E0F"/>
    <w:rsid w:val="005E7EF7"/>
    <w:rsid w:val="005F3A22"/>
    <w:rsid w:val="005F3FC0"/>
    <w:rsid w:val="005F4CA7"/>
    <w:rsid w:val="005F7C33"/>
    <w:rsid w:val="00600C96"/>
    <w:rsid w:val="006016BA"/>
    <w:rsid w:val="00602CAD"/>
    <w:rsid w:val="0060341C"/>
    <w:rsid w:val="00606A21"/>
    <w:rsid w:val="00607388"/>
    <w:rsid w:val="006123F0"/>
    <w:rsid w:val="00612D3F"/>
    <w:rsid w:val="00613C7E"/>
    <w:rsid w:val="00623AB9"/>
    <w:rsid w:val="00623D92"/>
    <w:rsid w:val="00627256"/>
    <w:rsid w:val="00627B27"/>
    <w:rsid w:val="00632793"/>
    <w:rsid w:val="00633749"/>
    <w:rsid w:val="00634167"/>
    <w:rsid w:val="006353E6"/>
    <w:rsid w:val="006376C2"/>
    <w:rsid w:val="00642340"/>
    <w:rsid w:val="00656511"/>
    <w:rsid w:val="00661595"/>
    <w:rsid w:val="00663CFD"/>
    <w:rsid w:val="0067196E"/>
    <w:rsid w:val="00672687"/>
    <w:rsid w:val="00673EA0"/>
    <w:rsid w:val="00674D6A"/>
    <w:rsid w:val="006766D7"/>
    <w:rsid w:val="00677124"/>
    <w:rsid w:val="00677EB1"/>
    <w:rsid w:val="0068047E"/>
    <w:rsid w:val="00683465"/>
    <w:rsid w:val="006839B7"/>
    <w:rsid w:val="00683EC4"/>
    <w:rsid w:val="00685313"/>
    <w:rsid w:val="00685CA6"/>
    <w:rsid w:val="00685D67"/>
    <w:rsid w:val="00686931"/>
    <w:rsid w:val="006911AE"/>
    <w:rsid w:val="006913C5"/>
    <w:rsid w:val="006943F2"/>
    <w:rsid w:val="0069650E"/>
    <w:rsid w:val="00697292"/>
    <w:rsid w:val="006A0A1F"/>
    <w:rsid w:val="006A0B63"/>
    <w:rsid w:val="006A2895"/>
    <w:rsid w:val="006A4CB1"/>
    <w:rsid w:val="006B11C4"/>
    <w:rsid w:val="006B1637"/>
    <w:rsid w:val="006B394E"/>
    <w:rsid w:val="006B6A52"/>
    <w:rsid w:val="006B791F"/>
    <w:rsid w:val="006C233A"/>
    <w:rsid w:val="006C3707"/>
    <w:rsid w:val="006C52EB"/>
    <w:rsid w:val="006C5349"/>
    <w:rsid w:val="006D214B"/>
    <w:rsid w:val="006D2F7C"/>
    <w:rsid w:val="006D7908"/>
    <w:rsid w:val="006D7996"/>
    <w:rsid w:val="006E0F89"/>
    <w:rsid w:val="006E7226"/>
    <w:rsid w:val="006F2A0F"/>
    <w:rsid w:val="006F358D"/>
    <w:rsid w:val="007009C8"/>
    <w:rsid w:val="007013D9"/>
    <w:rsid w:val="00701E55"/>
    <w:rsid w:val="00702DD9"/>
    <w:rsid w:val="00702E52"/>
    <w:rsid w:val="00703DE0"/>
    <w:rsid w:val="007045F8"/>
    <w:rsid w:val="007055CA"/>
    <w:rsid w:val="00710FC3"/>
    <w:rsid w:val="0071165D"/>
    <w:rsid w:val="00712B4B"/>
    <w:rsid w:val="00713491"/>
    <w:rsid w:val="00714060"/>
    <w:rsid w:val="007200F9"/>
    <w:rsid w:val="00727948"/>
    <w:rsid w:val="0073179C"/>
    <w:rsid w:val="00732B1E"/>
    <w:rsid w:val="007339E3"/>
    <w:rsid w:val="007355FB"/>
    <w:rsid w:val="00736984"/>
    <w:rsid w:val="007408C8"/>
    <w:rsid w:val="00742740"/>
    <w:rsid w:val="00742E37"/>
    <w:rsid w:val="0075032D"/>
    <w:rsid w:val="007527B2"/>
    <w:rsid w:val="007569AD"/>
    <w:rsid w:val="00757E48"/>
    <w:rsid w:val="007616C0"/>
    <w:rsid w:val="0076185D"/>
    <w:rsid w:val="00762836"/>
    <w:rsid w:val="00764F9C"/>
    <w:rsid w:val="0076513E"/>
    <w:rsid w:val="007704C3"/>
    <w:rsid w:val="00771AC4"/>
    <w:rsid w:val="007734DC"/>
    <w:rsid w:val="007763AA"/>
    <w:rsid w:val="00786324"/>
    <w:rsid w:val="00787D10"/>
    <w:rsid w:val="00790EEF"/>
    <w:rsid w:val="0079268B"/>
    <w:rsid w:val="007937BF"/>
    <w:rsid w:val="00794D19"/>
    <w:rsid w:val="007965B9"/>
    <w:rsid w:val="007A0A43"/>
    <w:rsid w:val="007A0C2D"/>
    <w:rsid w:val="007A116F"/>
    <w:rsid w:val="007A4100"/>
    <w:rsid w:val="007A43B7"/>
    <w:rsid w:val="007A6D19"/>
    <w:rsid w:val="007A727E"/>
    <w:rsid w:val="007B3574"/>
    <w:rsid w:val="007B3A96"/>
    <w:rsid w:val="007B40CD"/>
    <w:rsid w:val="007B464E"/>
    <w:rsid w:val="007B4D90"/>
    <w:rsid w:val="007B67E1"/>
    <w:rsid w:val="007B6CD8"/>
    <w:rsid w:val="007B7B64"/>
    <w:rsid w:val="007C068F"/>
    <w:rsid w:val="007C1F4E"/>
    <w:rsid w:val="007C2F46"/>
    <w:rsid w:val="007C7E02"/>
    <w:rsid w:val="007D027F"/>
    <w:rsid w:val="007D4129"/>
    <w:rsid w:val="007D5339"/>
    <w:rsid w:val="007D7CC4"/>
    <w:rsid w:val="007E1C28"/>
    <w:rsid w:val="007E3C30"/>
    <w:rsid w:val="007E42C2"/>
    <w:rsid w:val="007F0465"/>
    <w:rsid w:val="007F07CB"/>
    <w:rsid w:val="007F1C9B"/>
    <w:rsid w:val="007F1FC9"/>
    <w:rsid w:val="007F4AA4"/>
    <w:rsid w:val="007F5694"/>
    <w:rsid w:val="007F6308"/>
    <w:rsid w:val="007F653B"/>
    <w:rsid w:val="007F7FD4"/>
    <w:rsid w:val="00800AF1"/>
    <w:rsid w:val="00801047"/>
    <w:rsid w:val="008014E1"/>
    <w:rsid w:val="008030F9"/>
    <w:rsid w:val="00803CD9"/>
    <w:rsid w:val="008054F4"/>
    <w:rsid w:val="0080571D"/>
    <w:rsid w:val="008112AE"/>
    <w:rsid w:val="00813B5C"/>
    <w:rsid w:val="00815BF8"/>
    <w:rsid w:val="008174FA"/>
    <w:rsid w:val="0082598F"/>
    <w:rsid w:val="00826682"/>
    <w:rsid w:val="00827817"/>
    <w:rsid w:val="008279D4"/>
    <w:rsid w:val="00835E5A"/>
    <w:rsid w:val="0084341A"/>
    <w:rsid w:val="0084450F"/>
    <w:rsid w:val="0084526D"/>
    <w:rsid w:val="0084701E"/>
    <w:rsid w:val="008471BB"/>
    <w:rsid w:val="00847D86"/>
    <w:rsid w:val="00850A57"/>
    <w:rsid w:val="00850F6D"/>
    <w:rsid w:val="008524EC"/>
    <w:rsid w:val="00852D2F"/>
    <w:rsid w:val="00853D51"/>
    <w:rsid w:val="008541D0"/>
    <w:rsid w:val="00854DD0"/>
    <w:rsid w:val="008558F7"/>
    <w:rsid w:val="00855BBE"/>
    <w:rsid w:val="008570FD"/>
    <w:rsid w:val="00861581"/>
    <w:rsid w:val="008654BE"/>
    <w:rsid w:val="00870288"/>
    <w:rsid w:val="00870FF0"/>
    <w:rsid w:val="00872806"/>
    <w:rsid w:val="00880BAE"/>
    <w:rsid w:val="00881FB9"/>
    <w:rsid w:val="008825A8"/>
    <w:rsid w:val="00884100"/>
    <w:rsid w:val="008862D8"/>
    <w:rsid w:val="008870CC"/>
    <w:rsid w:val="0088752B"/>
    <w:rsid w:val="00890291"/>
    <w:rsid w:val="008907A8"/>
    <w:rsid w:val="00890FDB"/>
    <w:rsid w:val="008920B7"/>
    <w:rsid w:val="00892505"/>
    <w:rsid w:val="00892BE9"/>
    <w:rsid w:val="00894604"/>
    <w:rsid w:val="00896205"/>
    <w:rsid w:val="008965D1"/>
    <w:rsid w:val="008A0349"/>
    <w:rsid w:val="008A1A17"/>
    <w:rsid w:val="008A3DF0"/>
    <w:rsid w:val="008A78DD"/>
    <w:rsid w:val="008B34A6"/>
    <w:rsid w:val="008B6922"/>
    <w:rsid w:val="008C330A"/>
    <w:rsid w:val="008C36CA"/>
    <w:rsid w:val="008C3B10"/>
    <w:rsid w:val="008C4B3F"/>
    <w:rsid w:val="008C4EFA"/>
    <w:rsid w:val="008C6901"/>
    <w:rsid w:val="008D0C57"/>
    <w:rsid w:val="008D7FC7"/>
    <w:rsid w:val="008F029D"/>
    <w:rsid w:val="008F2A30"/>
    <w:rsid w:val="008F42B8"/>
    <w:rsid w:val="008F5A3D"/>
    <w:rsid w:val="008F5D3F"/>
    <w:rsid w:val="008F6435"/>
    <w:rsid w:val="008F65D5"/>
    <w:rsid w:val="009005DE"/>
    <w:rsid w:val="009027FE"/>
    <w:rsid w:val="009030C1"/>
    <w:rsid w:val="00906CAF"/>
    <w:rsid w:val="009134CB"/>
    <w:rsid w:val="0091537F"/>
    <w:rsid w:val="00917830"/>
    <w:rsid w:val="00917909"/>
    <w:rsid w:val="0092003C"/>
    <w:rsid w:val="00920435"/>
    <w:rsid w:val="00920437"/>
    <w:rsid w:val="009207D6"/>
    <w:rsid w:val="00921646"/>
    <w:rsid w:val="0092617E"/>
    <w:rsid w:val="00935714"/>
    <w:rsid w:val="00940972"/>
    <w:rsid w:val="009439B6"/>
    <w:rsid w:val="00950CA4"/>
    <w:rsid w:val="009543EB"/>
    <w:rsid w:val="00954ABF"/>
    <w:rsid w:val="00955D99"/>
    <w:rsid w:val="00960273"/>
    <w:rsid w:val="00960EC7"/>
    <w:rsid w:val="00965499"/>
    <w:rsid w:val="009703A2"/>
    <w:rsid w:val="00971F9B"/>
    <w:rsid w:val="009738C1"/>
    <w:rsid w:val="009867A1"/>
    <w:rsid w:val="00986B4F"/>
    <w:rsid w:val="009909B7"/>
    <w:rsid w:val="00990FEF"/>
    <w:rsid w:val="0099115C"/>
    <w:rsid w:val="00992519"/>
    <w:rsid w:val="009950F4"/>
    <w:rsid w:val="00996787"/>
    <w:rsid w:val="00996AE5"/>
    <w:rsid w:val="009A6DAD"/>
    <w:rsid w:val="009A6FE6"/>
    <w:rsid w:val="009A71F1"/>
    <w:rsid w:val="009A7BC0"/>
    <w:rsid w:val="009B00BE"/>
    <w:rsid w:val="009B0786"/>
    <w:rsid w:val="009B1DFB"/>
    <w:rsid w:val="009B404A"/>
    <w:rsid w:val="009B454A"/>
    <w:rsid w:val="009B4E80"/>
    <w:rsid w:val="009C274C"/>
    <w:rsid w:val="009C31CD"/>
    <w:rsid w:val="009C49B0"/>
    <w:rsid w:val="009C67E7"/>
    <w:rsid w:val="009D0328"/>
    <w:rsid w:val="009D071E"/>
    <w:rsid w:val="009D0D61"/>
    <w:rsid w:val="009D105A"/>
    <w:rsid w:val="009D1D8B"/>
    <w:rsid w:val="009D3131"/>
    <w:rsid w:val="009D4B91"/>
    <w:rsid w:val="009D596B"/>
    <w:rsid w:val="009D65B9"/>
    <w:rsid w:val="009D7021"/>
    <w:rsid w:val="009E37E2"/>
    <w:rsid w:val="009E40D8"/>
    <w:rsid w:val="009E5509"/>
    <w:rsid w:val="009F1728"/>
    <w:rsid w:val="009F1C95"/>
    <w:rsid w:val="009F1DC1"/>
    <w:rsid w:val="009F5FBB"/>
    <w:rsid w:val="009F7B73"/>
    <w:rsid w:val="00A00873"/>
    <w:rsid w:val="00A02685"/>
    <w:rsid w:val="00A0281F"/>
    <w:rsid w:val="00A038D7"/>
    <w:rsid w:val="00A05E6B"/>
    <w:rsid w:val="00A07251"/>
    <w:rsid w:val="00A1159F"/>
    <w:rsid w:val="00A164A2"/>
    <w:rsid w:val="00A2115D"/>
    <w:rsid w:val="00A2149D"/>
    <w:rsid w:val="00A21820"/>
    <w:rsid w:val="00A25611"/>
    <w:rsid w:val="00A25E6E"/>
    <w:rsid w:val="00A26FFA"/>
    <w:rsid w:val="00A30FFC"/>
    <w:rsid w:val="00A3260C"/>
    <w:rsid w:val="00A35108"/>
    <w:rsid w:val="00A375F1"/>
    <w:rsid w:val="00A41C12"/>
    <w:rsid w:val="00A43F55"/>
    <w:rsid w:val="00A44E2A"/>
    <w:rsid w:val="00A522E7"/>
    <w:rsid w:val="00A536DF"/>
    <w:rsid w:val="00A53EF1"/>
    <w:rsid w:val="00A54D08"/>
    <w:rsid w:val="00A605B6"/>
    <w:rsid w:val="00A61F68"/>
    <w:rsid w:val="00A62A80"/>
    <w:rsid w:val="00A62E3A"/>
    <w:rsid w:val="00A64404"/>
    <w:rsid w:val="00A64A65"/>
    <w:rsid w:val="00A658A0"/>
    <w:rsid w:val="00A669AF"/>
    <w:rsid w:val="00A72AC8"/>
    <w:rsid w:val="00A7435F"/>
    <w:rsid w:val="00A7487C"/>
    <w:rsid w:val="00A74ABE"/>
    <w:rsid w:val="00A74CCF"/>
    <w:rsid w:val="00A75C78"/>
    <w:rsid w:val="00A75E00"/>
    <w:rsid w:val="00A76B79"/>
    <w:rsid w:val="00A76D9C"/>
    <w:rsid w:val="00A77EB5"/>
    <w:rsid w:val="00A80B75"/>
    <w:rsid w:val="00A80F44"/>
    <w:rsid w:val="00A83115"/>
    <w:rsid w:val="00A850E3"/>
    <w:rsid w:val="00A85A87"/>
    <w:rsid w:val="00A85D86"/>
    <w:rsid w:val="00A870CD"/>
    <w:rsid w:val="00A90241"/>
    <w:rsid w:val="00A920D8"/>
    <w:rsid w:val="00A92C52"/>
    <w:rsid w:val="00A9417F"/>
    <w:rsid w:val="00A95E75"/>
    <w:rsid w:val="00A972D8"/>
    <w:rsid w:val="00A97792"/>
    <w:rsid w:val="00AA113F"/>
    <w:rsid w:val="00AA2643"/>
    <w:rsid w:val="00AA2776"/>
    <w:rsid w:val="00AA2E49"/>
    <w:rsid w:val="00AA5C93"/>
    <w:rsid w:val="00AA5EDD"/>
    <w:rsid w:val="00AA60FE"/>
    <w:rsid w:val="00AB0309"/>
    <w:rsid w:val="00AB27CB"/>
    <w:rsid w:val="00AB2F50"/>
    <w:rsid w:val="00AB74C7"/>
    <w:rsid w:val="00AC2DD3"/>
    <w:rsid w:val="00AC3BD2"/>
    <w:rsid w:val="00AC40AC"/>
    <w:rsid w:val="00AC60F3"/>
    <w:rsid w:val="00AC6633"/>
    <w:rsid w:val="00AC7ACD"/>
    <w:rsid w:val="00AD207E"/>
    <w:rsid w:val="00AD26FD"/>
    <w:rsid w:val="00AD2E9A"/>
    <w:rsid w:val="00AD7BC4"/>
    <w:rsid w:val="00AE0771"/>
    <w:rsid w:val="00AE284B"/>
    <w:rsid w:val="00AE2CBC"/>
    <w:rsid w:val="00AE563D"/>
    <w:rsid w:val="00AF4EE1"/>
    <w:rsid w:val="00AF7DDE"/>
    <w:rsid w:val="00B01DD8"/>
    <w:rsid w:val="00B028DF"/>
    <w:rsid w:val="00B04E1B"/>
    <w:rsid w:val="00B051D4"/>
    <w:rsid w:val="00B06DF7"/>
    <w:rsid w:val="00B070C9"/>
    <w:rsid w:val="00B113B6"/>
    <w:rsid w:val="00B135FB"/>
    <w:rsid w:val="00B17FF5"/>
    <w:rsid w:val="00B22B1C"/>
    <w:rsid w:val="00B23432"/>
    <w:rsid w:val="00B238B7"/>
    <w:rsid w:val="00B24E96"/>
    <w:rsid w:val="00B25284"/>
    <w:rsid w:val="00B27564"/>
    <w:rsid w:val="00B30FA3"/>
    <w:rsid w:val="00B331AE"/>
    <w:rsid w:val="00B34B55"/>
    <w:rsid w:val="00B40BFE"/>
    <w:rsid w:val="00B41E48"/>
    <w:rsid w:val="00B4568E"/>
    <w:rsid w:val="00B46CA5"/>
    <w:rsid w:val="00B4754D"/>
    <w:rsid w:val="00B50AEC"/>
    <w:rsid w:val="00B51579"/>
    <w:rsid w:val="00B5313C"/>
    <w:rsid w:val="00B5430F"/>
    <w:rsid w:val="00B5472C"/>
    <w:rsid w:val="00B552D6"/>
    <w:rsid w:val="00B5548F"/>
    <w:rsid w:val="00B55825"/>
    <w:rsid w:val="00B56808"/>
    <w:rsid w:val="00B57881"/>
    <w:rsid w:val="00B61768"/>
    <w:rsid w:val="00B62DEF"/>
    <w:rsid w:val="00B65C7B"/>
    <w:rsid w:val="00B666D8"/>
    <w:rsid w:val="00B71549"/>
    <w:rsid w:val="00B73FCE"/>
    <w:rsid w:val="00B764DA"/>
    <w:rsid w:val="00B76991"/>
    <w:rsid w:val="00B77AA4"/>
    <w:rsid w:val="00B77BE1"/>
    <w:rsid w:val="00B8050B"/>
    <w:rsid w:val="00B82E4A"/>
    <w:rsid w:val="00B83C13"/>
    <w:rsid w:val="00B84D25"/>
    <w:rsid w:val="00B84F95"/>
    <w:rsid w:val="00B900FB"/>
    <w:rsid w:val="00B91134"/>
    <w:rsid w:val="00B92893"/>
    <w:rsid w:val="00BA0C95"/>
    <w:rsid w:val="00BA0D95"/>
    <w:rsid w:val="00BA2375"/>
    <w:rsid w:val="00BA341C"/>
    <w:rsid w:val="00BA44FE"/>
    <w:rsid w:val="00BA4B88"/>
    <w:rsid w:val="00BA74B1"/>
    <w:rsid w:val="00BA7F63"/>
    <w:rsid w:val="00BB27CB"/>
    <w:rsid w:val="00BB54A5"/>
    <w:rsid w:val="00BB664B"/>
    <w:rsid w:val="00BB77A7"/>
    <w:rsid w:val="00BB7E1A"/>
    <w:rsid w:val="00BC2852"/>
    <w:rsid w:val="00BC2BAD"/>
    <w:rsid w:val="00BC421E"/>
    <w:rsid w:val="00BD1DB7"/>
    <w:rsid w:val="00BD392F"/>
    <w:rsid w:val="00BD3FE1"/>
    <w:rsid w:val="00BD45DB"/>
    <w:rsid w:val="00BD53EA"/>
    <w:rsid w:val="00BD7A8D"/>
    <w:rsid w:val="00BE0E62"/>
    <w:rsid w:val="00BE2198"/>
    <w:rsid w:val="00BE2F0D"/>
    <w:rsid w:val="00BE6313"/>
    <w:rsid w:val="00BE63D9"/>
    <w:rsid w:val="00BE6744"/>
    <w:rsid w:val="00BF17E5"/>
    <w:rsid w:val="00BF22F9"/>
    <w:rsid w:val="00BF2A63"/>
    <w:rsid w:val="00BF5B3E"/>
    <w:rsid w:val="00C01504"/>
    <w:rsid w:val="00C01727"/>
    <w:rsid w:val="00C018A3"/>
    <w:rsid w:val="00C01EC4"/>
    <w:rsid w:val="00C01FEA"/>
    <w:rsid w:val="00C039D7"/>
    <w:rsid w:val="00C059A3"/>
    <w:rsid w:val="00C06774"/>
    <w:rsid w:val="00C12BB9"/>
    <w:rsid w:val="00C15A28"/>
    <w:rsid w:val="00C17218"/>
    <w:rsid w:val="00C17B79"/>
    <w:rsid w:val="00C21824"/>
    <w:rsid w:val="00C23535"/>
    <w:rsid w:val="00C236FC"/>
    <w:rsid w:val="00C23977"/>
    <w:rsid w:val="00C24229"/>
    <w:rsid w:val="00C27240"/>
    <w:rsid w:val="00C316F0"/>
    <w:rsid w:val="00C31E14"/>
    <w:rsid w:val="00C343F6"/>
    <w:rsid w:val="00C35377"/>
    <w:rsid w:val="00C36598"/>
    <w:rsid w:val="00C36F85"/>
    <w:rsid w:val="00C37C31"/>
    <w:rsid w:val="00C40130"/>
    <w:rsid w:val="00C51320"/>
    <w:rsid w:val="00C553EE"/>
    <w:rsid w:val="00C6018C"/>
    <w:rsid w:val="00C611F5"/>
    <w:rsid w:val="00C61A3E"/>
    <w:rsid w:val="00C62823"/>
    <w:rsid w:val="00C6434D"/>
    <w:rsid w:val="00C649CF"/>
    <w:rsid w:val="00C65608"/>
    <w:rsid w:val="00C65C20"/>
    <w:rsid w:val="00C6794D"/>
    <w:rsid w:val="00C70B44"/>
    <w:rsid w:val="00C75EF4"/>
    <w:rsid w:val="00C76753"/>
    <w:rsid w:val="00C76E49"/>
    <w:rsid w:val="00C779D4"/>
    <w:rsid w:val="00C8161E"/>
    <w:rsid w:val="00C838F4"/>
    <w:rsid w:val="00C85B03"/>
    <w:rsid w:val="00C85E3C"/>
    <w:rsid w:val="00C94087"/>
    <w:rsid w:val="00C95853"/>
    <w:rsid w:val="00CA101A"/>
    <w:rsid w:val="00CA2ECC"/>
    <w:rsid w:val="00CA33BB"/>
    <w:rsid w:val="00CA51F8"/>
    <w:rsid w:val="00CB6194"/>
    <w:rsid w:val="00CB7FCF"/>
    <w:rsid w:val="00CC2C73"/>
    <w:rsid w:val="00CC66BF"/>
    <w:rsid w:val="00CD3879"/>
    <w:rsid w:val="00CD3F11"/>
    <w:rsid w:val="00CD6C1D"/>
    <w:rsid w:val="00CE16F8"/>
    <w:rsid w:val="00CE2F42"/>
    <w:rsid w:val="00CE625B"/>
    <w:rsid w:val="00CF2AF9"/>
    <w:rsid w:val="00CF6959"/>
    <w:rsid w:val="00D03A19"/>
    <w:rsid w:val="00D04154"/>
    <w:rsid w:val="00D04C3B"/>
    <w:rsid w:val="00D052A2"/>
    <w:rsid w:val="00D060CB"/>
    <w:rsid w:val="00D06B73"/>
    <w:rsid w:val="00D07180"/>
    <w:rsid w:val="00D10181"/>
    <w:rsid w:val="00D1056E"/>
    <w:rsid w:val="00D123B7"/>
    <w:rsid w:val="00D14B85"/>
    <w:rsid w:val="00D164AB"/>
    <w:rsid w:val="00D16E70"/>
    <w:rsid w:val="00D229FD"/>
    <w:rsid w:val="00D23867"/>
    <w:rsid w:val="00D24D28"/>
    <w:rsid w:val="00D27F06"/>
    <w:rsid w:val="00D30E6F"/>
    <w:rsid w:val="00D31902"/>
    <w:rsid w:val="00D32172"/>
    <w:rsid w:val="00D4054C"/>
    <w:rsid w:val="00D4169E"/>
    <w:rsid w:val="00D41D62"/>
    <w:rsid w:val="00D43F79"/>
    <w:rsid w:val="00D43FC4"/>
    <w:rsid w:val="00D45DEE"/>
    <w:rsid w:val="00D476F5"/>
    <w:rsid w:val="00D51A02"/>
    <w:rsid w:val="00D52DBC"/>
    <w:rsid w:val="00D572E4"/>
    <w:rsid w:val="00D579B6"/>
    <w:rsid w:val="00D64608"/>
    <w:rsid w:val="00D653B6"/>
    <w:rsid w:val="00D66074"/>
    <w:rsid w:val="00D702F3"/>
    <w:rsid w:val="00D71BD9"/>
    <w:rsid w:val="00D74004"/>
    <w:rsid w:val="00D75FE1"/>
    <w:rsid w:val="00D77D48"/>
    <w:rsid w:val="00D80664"/>
    <w:rsid w:val="00D8092D"/>
    <w:rsid w:val="00D80A51"/>
    <w:rsid w:val="00D827A8"/>
    <w:rsid w:val="00D82915"/>
    <w:rsid w:val="00D85DC9"/>
    <w:rsid w:val="00D912E9"/>
    <w:rsid w:val="00D91CE0"/>
    <w:rsid w:val="00D920DA"/>
    <w:rsid w:val="00D921CF"/>
    <w:rsid w:val="00D93ECE"/>
    <w:rsid w:val="00D95283"/>
    <w:rsid w:val="00D977CB"/>
    <w:rsid w:val="00DA32AF"/>
    <w:rsid w:val="00DA3C18"/>
    <w:rsid w:val="00DA3F4E"/>
    <w:rsid w:val="00DA5F78"/>
    <w:rsid w:val="00DB1714"/>
    <w:rsid w:val="00DB1A3F"/>
    <w:rsid w:val="00DB3685"/>
    <w:rsid w:val="00DB376B"/>
    <w:rsid w:val="00DB3BA9"/>
    <w:rsid w:val="00DB5E98"/>
    <w:rsid w:val="00DC07B4"/>
    <w:rsid w:val="00DC2FC4"/>
    <w:rsid w:val="00DC45C1"/>
    <w:rsid w:val="00DC4A74"/>
    <w:rsid w:val="00DC55FC"/>
    <w:rsid w:val="00DD166A"/>
    <w:rsid w:val="00DD1997"/>
    <w:rsid w:val="00DD1B51"/>
    <w:rsid w:val="00DD250B"/>
    <w:rsid w:val="00DD618A"/>
    <w:rsid w:val="00DD6892"/>
    <w:rsid w:val="00DD6F83"/>
    <w:rsid w:val="00DD70D6"/>
    <w:rsid w:val="00DE0091"/>
    <w:rsid w:val="00DE1F26"/>
    <w:rsid w:val="00DE2833"/>
    <w:rsid w:val="00DE4935"/>
    <w:rsid w:val="00DE764F"/>
    <w:rsid w:val="00DF3596"/>
    <w:rsid w:val="00DF49A2"/>
    <w:rsid w:val="00DF6CFC"/>
    <w:rsid w:val="00E0296D"/>
    <w:rsid w:val="00E045F0"/>
    <w:rsid w:val="00E07566"/>
    <w:rsid w:val="00E07EB5"/>
    <w:rsid w:val="00E145D2"/>
    <w:rsid w:val="00E15ABD"/>
    <w:rsid w:val="00E1609C"/>
    <w:rsid w:val="00E1667E"/>
    <w:rsid w:val="00E16920"/>
    <w:rsid w:val="00E16E62"/>
    <w:rsid w:val="00E21C71"/>
    <w:rsid w:val="00E257C6"/>
    <w:rsid w:val="00E26E79"/>
    <w:rsid w:val="00E30D98"/>
    <w:rsid w:val="00E322ED"/>
    <w:rsid w:val="00E367BC"/>
    <w:rsid w:val="00E369C0"/>
    <w:rsid w:val="00E41D6C"/>
    <w:rsid w:val="00E4589E"/>
    <w:rsid w:val="00E50A45"/>
    <w:rsid w:val="00E512B7"/>
    <w:rsid w:val="00E54BBA"/>
    <w:rsid w:val="00E54C14"/>
    <w:rsid w:val="00E5781C"/>
    <w:rsid w:val="00E612F8"/>
    <w:rsid w:val="00E6345D"/>
    <w:rsid w:val="00E64842"/>
    <w:rsid w:val="00E65FFE"/>
    <w:rsid w:val="00E70236"/>
    <w:rsid w:val="00E71652"/>
    <w:rsid w:val="00E73E25"/>
    <w:rsid w:val="00E77ADA"/>
    <w:rsid w:val="00E818BD"/>
    <w:rsid w:val="00E8416E"/>
    <w:rsid w:val="00E84713"/>
    <w:rsid w:val="00E92EC7"/>
    <w:rsid w:val="00E965AF"/>
    <w:rsid w:val="00EA1C95"/>
    <w:rsid w:val="00EA3CFA"/>
    <w:rsid w:val="00EA40CF"/>
    <w:rsid w:val="00EA4653"/>
    <w:rsid w:val="00EA465C"/>
    <w:rsid w:val="00EA52DC"/>
    <w:rsid w:val="00EA5468"/>
    <w:rsid w:val="00EB69E4"/>
    <w:rsid w:val="00EB704F"/>
    <w:rsid w:val="00EC03EF"/>
    <w:rsid w:val="00EC481F"/>
    <w:rsid w:val="00EC632D"/>
    <w:rsid w:val="00EC6571"/>
    <w:rsid w:val="00EC755A"/>
    <w:rsid w:val="00EC76E9"/>
    <w:rsid w:val="00ED3E07"/>
    <w:rsid w:val="00ED6931"/>
    <w:rsid w:val="00ED7775"/>
    <w:rsid w:val="00EE0461"/>
    <w:rsid w:val="00EE2ED0"/>
    <w:rsid w:val="00EE42A2"/>
    <w:rsid w:val="00EE661A"/>
    <w:rsid w:val="00EE7E89"/>
    <w:rsid w:val="00EF0727"/>
    <w:rsid w:val="00EF214A"/>
    <w:rsid w:val="00EF27DF"/>
    <w:rsid w:val="00EF6B44"/>
    <w:rsid w:val="00EF7DF8"/>
    <w:rsid w:val="00EF7E26"/>
    <w:rsid w:val="00F00344"/>
    <w:rsid w:val="00F003E4"/>
    <w:rsid w:val="00F00792"/>
    <w:rsid w:val="00F00814"/>
    <w:rsid w:val="00F10C05"/>
    <w:rsid w:val="00F10D0A"/>
    <w:rsid w:val="00F116F7"/>
    <w:rsid w:val="00F13773"/>
    <w:rsid w:val="00F17377"/>
    <w:rsid w:val="00F21CB9"/>
    <w:rsid w:val="00F22118"/>
    <w:rsid w:val="00F26575"/>
    <w:rsid w:val="00F27DBD"/>
    <w:rsid w:val="00F33073"/>
    <w:rsid w:val="00F357F9"/>
    <w:rsid w:val="00F36C8D"/>
    <w:rsid w:val="00F420F5"/>
    <w:rsid w:val="00F450AB"/>
    <w:rsid w:val="00F4723B"/>
    <w:rsid w:val="00F4752C"/>
    <w:rsid w:val="00F503FB"/>
    <w:rsid w:val="00F5051C"/>
    <w:rsid w:val="00F521FB"/>
    <w:rsid w:val="00F55DC4"/>
    <w:rsid w:val="00F56082"/>
    <w:rsid w:val="00F568C1"/>
    <w:rsid w:val="00F573DA"/>
    <w:rsid w:val="00F60F12"/>
    <w:rsid w:val="00F61162"/>
    <w:rsid w:val="00F6178F"/>
    <w:rsid w:val="00F64918"/>
    <w:rsid w:val="00F75A22"/>
    <w:rsid w:val="00F7748E"/>
    <w:rsid w:val="00F8047F"/>
    <w:rsid w:val="00F85518"/>
    <w:rsid w:val="00F9086B"/>
    <w:rsid w:val="00F90DD8"/>
    <w:rsid w:val="00F92B44"/>
    <w:rsid w:val="00F94481"/>
    <w:rsid w:val="00FA50D0"/>
    <w:rsid w:val="00FA5AA1"/>
    <w:rsid w:val="00FA6208"/>
    <w:rsid w:val="00FA6EE9"/>
    <w:rsid w:val="00FB0927"/>
    <w:rsid w:val="00FB0F35"/>
    <w:rsid w:val="00FB279D"/>
    <w:rsid w:val="00FB339A"/>
    <w:rsid w:val="00FB6735"/>
    <w:rsid w:val="00FB7068"/>
    <w:rsid w:val="00FB75AD"/>
    <w:rsid w:val="00FB7793"/>
    <w:rsid w:val="00FC3C12"/>
    <w:rsid w:val="00FC3E8A"/>
    <w:rsid w:val="00FC7030"/>
    <w:rsid w:val="00FD1760"/>
    <w:rsid w:val="00FD26DE"/>
    <w:rsid w:val="00FD2B6D"/>
    <w:rsid w:val="00FD317E"/>
    <w:rsid w:val="00FD4A01"/>
    <w:rsid w:val="00FD5973"/>
    <w:rsid w:val="00FE4A00"/>
    <w:rsid w:val="00FE5899"/>
    <w:rsid w:val="00FE5E8E"/>
    <w:rsid w:val="00FE6815"/>
    <w:rsid w:val="00FF3599"/>
    <w:rsid w:val="01E56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CAF0E2"/>
  <w15:chartTrackingRefBased/>
  <w15:docId w15:val="{0D581A44-BFE4-4221-8BD2-17B9973CE5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9D1D8B"/>
    <w:pPr>
      <w:spacing w:after="0" w:line="240" w:lineRule="auto"/>
    </w:pPr>
    <w:rPr>
      <w:rFonts w:ascii="Times New Roman" w:hAnsi="Times New Roman" w:eastAsia="Times New Roman" w:cs="Times New Roman"/>
      <w:sz w:val="24"/>
      <w:szCs w:val="24"/>
      <w:lang w:val="it-IT" w:eastAsia="it-IT"/>
    </w:rPr>
  </w:style>
  <w:style w:type="paragraph" w:styleId="Heading1">
    <w:name w:val="heading 1"/>
    <w:aliases w:val="Heading 1.I"/>
    <w:next w:val="Normal"/>
    <w:link w:val="Heading1Char"/>
    <w:autoRedefine/>
    <w:qFormat/>
    <w:rsid w:val="009D105A"/>
    <w:pPr>
      <w:keepNext/>
      <w:tabs>
        <w:tab w:val="left" w:pos="720"/>
      </w:tabs>
      <w:spacing w:after="120" w:line="240" w:lineRule="auto"/>
      <w:ind w:left="806" w:hanging="720"/>
      <w:jc w:val="both"/>
      <w:outlineLvl w:val="0"/>
    </w:pPr>
    <w:rPr>
      <w:rFonts w:ascii="Arial" w:hAnsi="Arial" w:eastAsia="Times New Roman" w:cs="Arial"/>
      <w:b/>
      <w:smallCaps/>
      <w:noProof/>
      <w:sz w:val="24"/>
      <w:szCs w:val="24"/>
      <w:lang w:val="es-ES" w:eastAsia="es-ES"/>
    </w:rPr>
  </w:style>
  <w:style w:type="paragraph" w:styleId="Heading2">
    <w:name w:val="heading 2"/>
    <w:aliases w:val="Heading 2.A"/>
    <w:basedOn w:val="Normal"/>
    <w:next w:val="Normal"/>
    <w:link w:val="Heading2Char"/>
    <w:autoRedefine/>
    <w:unhideWhenUsed/>
    <w:qFormat/>
    <w:rsid w:val="007B464E"/>
    <w:pPr>
      <w:keepNext/>
      <w:keepLines/>
      <w:numPr>
        <w:numId w:val="20"/>
      </w:numPr>
      <w:spacing w:after="120"/>
      <w:jc w:val="both"/>
      <w:outlineLvl w:val="1"/>
    </w:pPr>
    <w:rPr>
      <w:rFonts w:ascii="Arial" w:hAnsi="Arial" w:eastAsiaTheme="majorEastAsia" w:cstheme="majorBidi"/>
      <w:b/>
      <w:color w:val="000000" w:themeColor="text1"/>
      <w:spacing w:val="-3"/>
      <w:sz w:val="22"/>
      <w:szCs w:val="26"/>
      <w:lang w:val="es-ES_tradnl" w:eastAsia="en-US"/>
    </w:rPr>
  </w:style>
  <w:style w:type="paragraph" w:styleId="Heading3">
    <w:name w:val="heading 3"/>
    <w:basedOn w:val="Normal"/>
    <w:next w:val="Normal"/>
    <w:link w:val="Heading3Char"/>
    <w:uiPriority w:val="9"/>
    <w:qFormat/>
    <w:rsid w:val="00B61768"/>
    <w:pPr>
      <w:keepNext/>
      <w:keepLines/>
      <w:spacing w:before="200" w:line="259" w:lineRule="auto"/>
      <w:ind w:left="1080" w:hanging="720"/>
      <w:outlineLvl w:val="2"/>
    </w:pPr>
    <w:rPr>
      <w:rFonts w:ascii="Calibri Light" w:hAnsi="Calibri Light"/>
      <w:b/>
      <w:bCs/>
      <w:color w:val="5B9BD5"/>
      <w:sz w:val="22"/>
      <w:szCs w:val="22"/>
      <w:lang w:val="en-US" w:eastAsia="en-US"/>
    </w:rPr>
  </w:style>
  <w:style w:type="paragraph" w:styleId="Heading4">
    <w:name w:val="heading 4"/>
    <w:aliases w:val="Heading 4.a"/>
    <w:next w:val="Normal"/>
    <w:link w:val="Heading4Char"/>
    <w:unhideWhenUsed/>
    <w:qFormat/>
    <w:rsid w:val="00A1159F"/>
    <w:pPr>
      <w:keepNext/>
      <w:numPr>
        <w:ilvl w:val="2"/>
        <w:numId w:val="2"/>
      </w:numPr>
      <w:tabs>
        <w:tab w:val="left" w:pos="1440"/>
      </w:tabs>
      <w:spacing w:before="120" w:after="120" w:line="240" w:lineRule="auto"/>
      <w:jc w:val="both"/>
      <w:outlineLvl w:val="3"/>
    </w:pPr>
    <w:rPr>
      <w:rFonts w:ascii="Times New Roman Bold" w:hAnsi="Times New Roman Bold" w:eastAsia="Times New Roman" w:cs="Times New Roman"/>
      <w:noProof/>
      <w:sz w:val="24"/>
      <w:szCs w:val="20"/>
      <w:lang w:val="es-ES" w:eastAsia="es-ES"/>
    </w:rPr>
  </w:style>
  <w:style w:type="paragraph" w:styleId="Heading5">
    <w:name w:val="heading 5"/>
    <w:aliases w:val="Heading 5.(i)"/>
    <w:next w:val="Normal"/>
    <w:link w:val="Heading5Char"/>
    <w:unhideWhenUsed/>
    <w:qFormat/>
    <w:rsid w:val="00A1159F"/>
    <w:pPr>
      <w:keepNext/>
      <w:numPr>
        <w:ilvl w:val="3"/>
        <w:numId w:val="2"/>
      </w:numPr>
      <w:spacing w:before="120" w:after="120" w:line="240" w:lineRule="auto"/>
      <w:jc w:val="both"/>
      <w:outlineLvl w:val="4"/>
    </w:pPr>
    <w:rPr>
      <w:rFonts w:ascii="Times New Roman Bold" w:hAnsi="Times New Roman Bold" w:eastAsia="Times New Roman" w:cs="Times New Roman"/>
      <w:noProof/>
      <w:sz w:val="24"/>
      <w:szCs w:val="20"/>
      <w:lang w:val="es-ES" w:eastAsia="es-ES"/>
    </w:rPr>
  </w:style>
  <w:style w:type="paragraph" w:styleId="Heading6">
    <w:name w:val="heading 6"/>
    <w:basedOn w:val="Normal"/>
    <w:next w:val="Normal"/>
    <w:link w:val="Heading6Char"/>
    <w:qFormat/>
    <w:rsid w:val="00B61768"/>
    <w:pPr>
      <w:keepNext/>
      <w:keepLines/>
      <w:spacing w:before="200" w:line="259" w:lineRule="auto"/>
      <w:ind w:left="1512" w:hanging="1152"/>
      <w:outlineLvl w:val="5"/>
    </w:pPr>
    <w:rPr>
      <w:rFonts w:ascii="Calibri Light" w:hAnsi="Calibri Light"/>
      <w:i/>
      <w:iCs/>
      <w:color w:val="1F4D78"/>
      <w:sz w:val="22"/>
      <w:szCs w:val="22"/>
      <w:lang w:val="en-US" w:eastAsia="en-US"/>
    </w:rPr>
  </w:style>
  <w:style w:type="paragraph" w:styleId="Heading7">
    <w:name w:val="heading 7"/>
    <w:basedOn w:val="Normal"/>
    <w:next w:val="Normal"/>
    <w:link w:val="Heading7Char"/>
    <w:qFormat/>
    <w:rsid w:val="00B61768"/>
    <w:pPr>
      <w:keepNext/>
      <w:keepLines/>
      <w:spacing w:before="200" w:line="259" w:lineRule="auto"/>
      <w:ind w:left="1656" w:hanging="1296"/>
      <w:outlineLvl w:val="6"/>
    </w:pPr>
    <w:rPr>
      <w:rFonts w:ascii="Calibri Light" w:hAnsi="Calibri Light"/>
      <w:i/>
      <w:iCs/>
      <w:color w:val="404040"/>
      <w:sz w:val="22"/>
      <w:szCs w:val="22"/>
      <w:lang w:val="en-US" w:eastAsia="en-US"/>
    </w:rPr>
  </w:style>
  <w:style w:type="paragraph" w:styleId="Heading8">
    <w:name w:val="heading 8"/>
    <w:basedOn w:val="Normal"/>
    <w:next w:val="Normal"/>
    <w:link w:val="Heading8Char"/>
    <w:qFormat/>
    <w:rsid w:val="00B61768"/>
    <w:pPr>
      <w:keepNext/>
      <w:keepLines/>
      <w:spacing w:before="200" w:line="259" w:lineRule="auto"/>
      <w:ind w:left="1800" w:hanging="1440"/>
      <w:outlineLvl w:val="7"/>
    </w:pPr>
    <w:rPr>
      <w:rFonts w:ascii="Calibri Light" w:hAnsi="Calibri Light"/>
      <w:color w:val="404040"/>
      <w:sz w:val="20"/>
      <w:szCs w:val="20"/>
      <w:lang w:val="en-US" w:eastAsia="en-US"/>
    </w:rPr>
  </w:style>
  <w:style w:type="paragraph" w:styleId="Heading9">
    <w:name w:val="heading 9"/>
    <w:basedOn w:val="Normal"/>
    <w:next w:val="Normal"/>
    <w:link w:val="Heading9Char"/>
    <w:qFormat/>
    <w:rsid w:val="00B61768"/>
    <w:pPr>
      <w:keepNext/>
      <w:keepLines/>
      <w:spacing w:before="200" w:line="259" w:lineRule="auto"/>
      <w:ind w:left="1944" w:hanging="1584"/>
      <w:outlineLvl w:val="8"/>
    </w:pPr>
    <w:rPr>
      <w:rFonts w:ascii="Calibri Light" w:hAnsi="Calibri Light"/>
      <w:i/>
      <w:iCs/>
      <w:color w:val="404040"/>
      <w:sz w:val="20"/>
      <w:szCs w:val="20"/>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eading 1.I Char"/>
    <w:basedOn w:val="DefaultParagraphFont"/>
    <w:link w:val="Heading1"/>
    <w:rsid w:val="009D105A"/>
    <w:rPr>
      <w:rFonts w:ascii="Arial" w:hAnsi="Arial" w:eastAsia="Times New Roman" w:cs="Arial"/>
      <w:b/>
      <w:smallCaps/>
      <w:noProof/>
      <w:sz w:val="24"/>
      <w:szCs w:val="24"/>
      <w:lang w:val="es-ES" w:eastAsia="es-ES"/>
    </w:rPr>
  </w:style>
  <w:style w:type="character" w:styleId="Heading2Char" w:customStyle="1">
    <w:name w:val="Heading 2 Char"/>
    <w:aliases w:val="Heading 2.A Char"/>
    <w:basedOn w:val="DefaultParagraphFont"/>
    <w:link w:val="Heading2"/>
    <w:rsid w:val="007B464E"/>
    <w:rPr>
      <w:rFonts w:ascii="Arial" w:hAnsi="Arial" w:eastAsiaTheme="majorEastAsia" w:cstheme="majorBidi"/>
      <w:b/>
      <w:color w:val="000000" w:themeColor="text1"/>
      <w:spacing w:val="-3"/>
      <w:szCs w:val="26"/>
      <w:lang w:val="es-ES_tradnl"/>
    </w:rPr>
  </w:style>
  <w:style w:type="character" w:styleId="Heading3Char" w:customStyle="1">
    <w:name w:val="Heading 3 Char"/>
    <w:basedOn w:val="DefaultParagraphFont"/>
    <w:link w:val="Heading3"/>
    <w:uiPriority w:val="9"/>
    <w:rsid w:val="00B61768"/>
    <w:rPr>
      <w:rFonts w:ascii="Calibri Light" w:hAnsi="Calibri Light" w:eastAsia="Times New Roman" w:cs="Times New Roman"/>
      <w:b/>
      <w:bCs/>
      <w:color w:val="5B9BD5"/>
    </w:rPr>
  </w:style>
  <w:style w:type="character" w:styleId="Heading4Char" w:customStyle="1">
    <w:name w:val="Heading 4 Char"/>
    <w:aliases w:val="Heading 4.a Char"/>
    <w:basedOn w:val="DefaultParagraphFont"/>
    <w:link w:val="Heading4"/>
    <w:uiPriority w:val="9"/>
    <w:semiHidden/>
    <w:rsid w:val="00A1159F"/>
    <w:rPr>
      <w:rFonts w:ascii="Times New Roman Bold" w:hAnsi="Times New Roman Bold" w:eastAsia="Times New Roman" w:cs="Times New Roman"/>
      <w:noProof/>
      <w:sz w:val="24"/>
      <w:szCs w:val="20"/>
      <w:lang w:val="es-ES" w:eastAsia="es-ES"/>
    </w:rPr>
  </w:style>
  <w:style w:type="character" w:styleId="Heading5Char" w:customStyle="1">
    <w:name w:val="Heading 5 Char"/>
    <w:aliases w:val="Heading 5.(i) Char"/>
    <w:basedOn w:val="DefaultParagraphFont"/>
    <w:link w:val="Heading5"/>
    <w:uiPriority w:val="9"/>
    <w:semiHidden/>
    <w:rsid w:val="00A1159F"/>
    <w:rPr>
      <w:rFonts w:ascii="Times New Roman Bold" w:hAnsi="Times New Roman Bold" w:eastAsia="Times New Roman" w:cs="Times New Roman"/>
      <w:noProof/>
      <w:sz w:val="24"/>
      <w:szCs w:val="20"/>
      <w:lang w:val="es-ES" w:eastAsia="es-ES"/>
    </w:rPr>
  </w:style>
  <w:style w:type="character" w:styleId="Heading6Char" w:customStyle="1">
    <w:name w:val="Heading 6 Char"/>
    <w:basedOn w:val="DefaultParagraphFont"/>
    <w:link w:val="Heading6"/>
    <w:rsid w:val="00B61768"/>
    <w:rPr>
      <w:rFonts w:ascii="Calibri Light" w:hAnsi="Calibri Light" w:eastAsia="Times New Roman" w:cs="Times New Roman"/>
      <w:i/>
      <w:iCs/>
      <w:color w:val="1F4D78"/>
    </w:rPr>
  </w:style>
  <w:style w:type="character" w:styleId="Heading7Char" w:customStyle="1">
    <w:name w:val="Heading 7 Char"/>
    <w:basedOn w:val="DefaultParagraphFont"/>
    <w:link w:val="Heading7"/>
    <w:rsid w:val="00B61768"/>
    <w:rPr>
      <w:rFonts w:ascii="Calibri Light" w:hAnsi="Calibri Light" w:eastAsia="Times New Roman" w:cs="Times New Roman"/>
      <w:i/>
      <w:iCs/>
      <w:color w:val="404040"/>
    </w:rPr>
  </w:style>
  <w:style w:type="character" w:styleId="Heading8Char" w:customStyle="1">
    <w:name w:val="Heading 8 Char"/>
    <w:basedOn w:val="DefaultParagraphFont"/>
    <w:link w:val="Heading8"/>
    <w:rsid w:val="00B61768"/>
    <w:rPr>
      <w:rFonts w:ascii="Calibri Light" w:hAnsi="Calibri Light" w:eastAsia="Times New Roman" w:cs="Times New Roman"/>
      <w:color w:val="404040"/>
      <w:sz w:val="20"/>
      <w:szCs w:val="20"/>
    </w:rPr>
  </w:style>
  <w:style w:type="character" w:styleId="Heading9Char" w:customStyle="1">
    <w:name w:val="Heading 9 Char"/>
    <w:basedOn w:val="DefaultParagraphFont"/>
    <w:link w:val="Heading9"/>
    <w:rsid w:val="00B61768"/>
    <w:rPr>
      <w:rFonts w:ascii="Calibri Light" w:hAnsi="Calibri Light" w:eastAsia="Times New Roman" w:cs="Times New Roman"/>
      <w:i/>
      <w:iCs/>
      <w:color w:val="404040"/>
      <w:sz w:val="20"/>
      <w:szCs w:val="20"/>
    </w:rPr>
  </w:style>
  <w:style w:type="paragraph" w:styleId="ColorfulList-Accent11" w:customStyle="1">
    <w:name w:val="Colorful List - Accent 11"/>
    <w:basedOn w:val="Normal"/>
    <w:uiPriority w:val="34"/>
    <w:qFormat/>
    <w:rsid w:val="00A1159F"/>
    <w:pPr>
      <w:ind w:left="720"/>
      <w:contextualSpacing/>
      <w:jc w:val="both"/>
    </w:pPr>
    <w:rPr>
      <w:rFonts w:ascii="Calibri" w:hAnsi="Calibri" w:eastAsia="Calibri"/>
      <w:sz w:val="22"/>
      <w:szCs w:val="22"/>
      <w:lang w:val="es-ES_tradnl" w:eastAsia="en-US"/>
    </w:rPr>
  </w:style>
  <w:style w:type="character" w:styleId="FootnoteTextChar" w:customStyle="1">
    <w:name w:val="Footnote Text Char"/>
    <w:aliases w:val="fn Char,Texto nota pie IIRSA Char,footnote Char,foottextfra Char,F Char,Texto nota pie Car Car Char,Car Char,Car3 Car Car Char,Car3 Car Char,Car3 Car Car Car Car Car Car Car Car Car Car Char,ft Char,Style 25 Char,Texto de rodapé Char"/>
    <w:basedOn w:val="DefaultParagraphFont"/>
    <w:link w:val="FootnoteText"/>
    <w:uiPriority w:val="99"/>
    <w:locked/>
    <w:rsid w:val="00A1159F"/>
    <w:rPr>
      <w:rFonts w:ascii="Arial" w:hAnsi="Arial" w:eastAsia="Times New Roman" w:cs="Times New Roman"/>
      <w:spacing w:val="-3"/>
      <w:sz w:val="20"/>
      <w:szCs w:val="20"/>
      <w:lang w:val="es-ES_tradnl" w:eastAsia="x-none"/>
    </w:rPr>
  </w:style>
  <w:style w:type="paragraph" w:styleId="FootnoteText">
    <w:name w:val="footnote text"/>
    <w:aliases w:val="fn,Texto nota pie IIRSA,footnote,foottextfra,F,Texto nota pie Car Car,Car,Car3 Car Car,Car3 Car,Car3 Car Car Car Car Car Car Car Car Car Car,Car3 Car Car Car Car Car Car Car Car Car Car Car Car Car,ft,Style 25,Texto de rodapé,nota_rodapé"/>
    <w:basedOn w:val="Normal"/>
    <w:link w:val="FootnoteTextChar"/>
    <w:uiPriority w:val="99"/>
    <w:unhideWhenUsed/>
    <w:qFormat/>
    <w:rsid w:val="00A1159F"/>
    <w:pPr>
      <w:keepNext/>
      <w:keepLines/>
      <w:spacing w:after="120"/>
      <w:ind w:left="288" w:hanging="288"/>
      <w:jc w:val="both"/>
    </w:pPr>
    <w:rPr>
      <w:rFonts w:ascii="Arial" w:hAnsi="Arial"/>
      <w:spacing w:val="-3"/>
      <w:sz w:val="20"/>
      <w:szCs w:val="20"/>
      <w:lang w:val="es-ES_tradnl" w:eastAsia="x-none"/>
    </w:rPr>
  </w:style>
  <w:style w:type="character" w:styleId="FootnoteTextChar1" w:customStyle="1">
    <w:name w:val="Footnote Text Char1"/>
    <w:basedOn w:val="DefaultParagraphFont"/>
    <w:uiPriority w:val="99"/>
    <w:semiHidden/>
    <w:rsid w:val="00A1159F"/>
    <w:rPr>
      <w:rFonts w:ascii="Arial" w:hAnsi="Arial" w:eastAsia="Times New Roman" w:cs="Times New Roman"/>
      <w:spacing w:val="-3"/>
      <w:sz w:val="20"/>
      <w:szCs w:val="20"/>
      <w:lang w:val="es-ES_tradnl"/>
    </w:rPr>
  </w:style>
  <w:style w:type="paragraph" w:styleId="AutoNumpara" w:customStyle="1">
    <w:name w:val="AutoNumpara"/>
    <w:basedOn w:val="BodyTextIndent"/>
    <w:rsid w:val="00A1159F"/>
    <w:pPr>
      <w:numPr>
        <w:ilvl w:val="1"/>
        <w:numId w:val="2"/>
      </w:numPr>
      <w:tabs>
        <w:tab w:val="clear" w:pos="720"/>
        <w:tab w:val="num" w:pos="360"/>
      </w:tabs>
      <w:spacing w:before="120"/>
      <w:ind w:left="360" w:firstLine="0"/>
    </w:pPr>
    <w:rPr>
      <w:noProof/>
      <w:spacing w:val="-2"/>
      <w:lang w:eastAsia="x-none"/>
    </w:rPr>
  </w:style>
  <w:style w:type="paragraph" w:styleId="BodyTextIndent">
    <w:name w:val="Body Text Indent"/>
    <w:basedOn w:val="Normal"/>
    <w:link w:val="BodyTextIndentChar"/>
    <w:uiPriority w:val="99"/>
    <w:unhideWhenUsed/>
    <w:rsid w:val="00A1159F"/>
    <w:pPr>
      <w:spacing w:after="120"/>
      <w:ind w:left="360"/>
      <w:jc w:val="both"/>
    </w:pPr>
    <w:rPr>
      <w:rFonts w:ascii="Arial" w:hAnsi="Arial"/>
      <w:spacing w:val="-3"/>
      <w:szCs w:val="20"/>
      <w:lang w:val="es-ES_tradnl" w:eastAsia="en-US"/>
    </w:rPr>
  </w:style>
  <w:style w:type="character" w:styleId="BodyTextIndentChar" w:customStyle="1">
    <w:name w:val="Body Text Indent Char"/>
    <w:basedOn w:val="DefaultParagraphFont"/>
    <w:link w:val="BodyTextIndent"/>
    <w:uiPriority w:val="99"/>
    <w:semiHidden/>
    <w:rsid w:val="00A1159F"/>
    <w:rPr>
      <w:rFonts w:ascii="Arial" w:hAnsi="Arial" w:eastAsia="Times New Roman" w:cs="Times New Roman"/>
      <w:spacing w:val="-3"/>
      <w:sz w:val="24"/>
      <w:szCs w:val="20"/>
      <w:lang w:val="es-ES_tradnl"/>
    </w:rPr>
  </w:style>
  <w:style w:type="character" w:styleId="ParagraphChar" w:customStyle="1">
    <w:name w:val="Paragraph Char"/>
    <w:aliases w:val="p Char,PARAGRAPH Char,PG Char,pa Char,at Char,paragraph Char"/>
    <w:link w:val="Paragraph"/>
    <w:locked/>
    <w:rsid w:val="00482202"/>
    <w:rPr>
      <w:rFonts w:ascii="Arial" w:hAnsi="Arial" w:eastAsia="Calibri" w:cs="Arial"/>
      <w:spacing w:val="-2"/>
      <w:lang w:val="es-ES"/>
    </w:rPr>
  </w:style>
  <w:style w:type="paragraph" w:styleId="Paragraph" w:customStyle="1">
    <w:name w:val="Paragraph"/>
    <w:aliases w:val="paragraph,p,PARAGRAPH,PG,pa,at"/>
    <w:basedOn w:val="BodyTextIndent"/>
    <w:link w:val="ParagraphChar"/>
    <w:autoRedefine/>
    <w:qFormat/>
    <w:rsid w:val="00482202"/>
    <w:pPr>
      <w:spacing w:after="0"/>
      <w:ind w:left="0"/>
      <w:outlineLvl w:val="1"/>
    </w:pPr>
    <w:rPr>
      <w:rFonts w:eastAsia="Calibri" w:cs="Arial"/>
      <w:spacing w:val="-2"/>
      <w:sz w:val="22"/>
      <w:szCs w:val="22"/>
      <w:lang w:val="es-ES"/>
    </w:rPr>
  </w:style>
  <w:style w:type="character" w:styleId="FootnoteReference">
    <w:name w:val="footnote reference"/>
    <w:aliases w:val="referencia nota al pie,titulo 2,Fußnotenzeichen DISS,16 Point,Superscript 6 Point,ftref,BVI fnr,Знак сноски 1,Footnote Referencefra,FC,Style 24,pie pddes,Ref,de nota al pie,Ref. de nota al pie.,Footnote Reference.SES, BVI fnr"/>
    <w:uiPriority w:val="99"/>
    <w:unhideWhenUsed/>
    <w:qFormat/>
    <w:rsid w:val="00A1159F"/>
    <w:rPr>
      <w:rFonts w:hint="default" w:ascii="Times New Roman" w:hAnsi="Times New Roman" w:cs="Times New Roman"/>
      <w:sz w:val="20"/>
      <w:vertAlign w:val="superscript"/>
    </w:rPr>
  </w:style>
  <w:style w:type="character" w:styleId="ListParagraphChar" w:customStyle="1">
    <w:name w:val="List Paragraph Char"/>
    <w:basedOn w:val="DefaultParagraphFont"/>
    <w:link w:val="ListParagraph"/>
    <w:uiPriority w:val="34"/>
    <w:locked/>
    <w:rsid w:val="00A1159F"/>
    <w:rPr>
      <w:rFonts w:ascii="Arial" w:hAnsi="Arial" w:eastAsia="Times New Roman" w:cs="Times New Roman"/>
      <w:spacing w:val="-3"/>
      <w:szCs w:val="20"/>
      <w:lang w:val="es-ES_tradnl"/>
    </w:rPr>
  </w:style>
  <w:style w:type="paragraph" w:styleId="ListParagraph">
    <w:name w:val="List Paragraph"/>
    <w:basedOn w:val="Normal"/>
    <w:link w:val="ListParagraphChar"/>
    <w:uiPriority w:val="34"/>
    <w:qFormat/>
    <w:rsid w:val="00A1159F"/>
    <w:pPr>
      <w:ind w:left="720"/>
      <w:contextualSpacing/>
      <w:jc w:val="both"/>
    </w:pPr>
    <w:rPr>
      <w:rFonts w:ascii="Arial" w:hAnsi="Arial"/>
      <w:spacing w:val="-3"/>
      <w:sz w:val="22"/>
      <w:szCs w:val="20"/>
      <w:lang w:val="es-ES_tradnl" w:eastAsia="en-US"/>
    </w:rPr>
  </w:style>
  <w:style w:type="paragraph" w:styleId="BalloonText">
    <w:name w:val="Balloon Text"/>
    <w:basedOn w:val="Normal"/>
    <w:link w:val="BalloonTextChar"/>
    <w:uiPriority w:val="99"/>
    <w:semiHidden/>
    <w:unhideWhenUsed/>
    <w:rsid w:val="00A1159F"/>
    <w:pPr>
      <w:jc w:val="both"/>
    </w:pPr>
    <w:rPr>
      <w:rFonts w:ascii="Segoe UI" w:hAnsi="Segoe UI" w:cs="Segoe UI"/>
      <w:spacing w:val="-3"/>
      <w:sz w:val="18"/>
      <w:szCs w:val="18"/>
      <w:lang w:val="es-ES_tradnl" w:eastAsia="en-US"/>
    </w:rPr>
  </w:style>
  <w:style w:type="character" w:styleId="BalloonTextChar" w:customStyle="1">
    <w:name w:val="Balloon Text Char"/>
    <w:basedOn w:val="DefaultParagraphFont"/>
    <w:link w:val="BalloonText"/>
    <w:uiPriority w:val="99"/>
    <w:semiHidden/>
    <w:rsid w:val="00A1159F"/>
    <w:rPr>
      <w:rFonts w:ascii="Segoe UI" w:hAnsi="Segoe UI" w:eastAsia="Times New Roman" w:cs="Segoe UI"/>
      <w:spacing w:val="-3"/>
      <w:sz w:val="18"/>
      <w:szCs w:val="18"/>
      <w:lang w:val="es-ES_tradnl"/>
    </w:rPr>
  </w:style>
  <w:style w:type="character" w:styleId="Hyperlink">
    <w:name w:val="Hyperlink"/>
    <w:uiPriority w:val="99"/>
    <w:unhideWhenUsed/>
    <w:rsid w:val="00A1159F"/>
    <w:rPr>
      <w:rFonts w:hint="default" w:ascii="Times New Roman" w:hAnsi="Times New Roman" w:cs="Times New Roman"/>
      <w:color w:val="0000FF"/>
      <w:sz w:val="24"/>
      <w:u w:val="single"/>
    </w:rPr>
  </w:style>
  <w:style w:type="paragraph" w:styleId="Caption">
    <w:name w:val="caption"/>
    <w:basedOn w:val="Normal"/>
    <w:next w:val="Normal"/>
    <w:autoRedefine/>
    <w:uiPriority w:val="35"/>
    <w:unhideWhenUsed/>
    <w:qFormat/>
    <w:rsid w:val="00A35108"/>
    <w:pPr>
      <w:keepNext/>
      <w:spacing w:before="120" w:after="120"/>
      <w:jc w:val="center"/>
    </w:pPr>
    <w:rPr>
      <w:rFonts w:ascii="Arial" w:hAnsi="Arial" w:cs="Arial"/>
      <w:b/>
      <w:bCs/>
      <w:spacing w:val="-3"/>
      <w:sz w:val="18"/>
      <w:szCs w:val="18"/>
      <w:lang w:val="es-ES" w:eastAsia="en-US"/>
    </w:rPr>
  </w:style>
  <w:style w:type="paragraph" w:styleId="Chapter" w:customStyle="1">
    <w:name w:val="Chapter"/>
    <w:basedOn w:val="Normal"/>
    <w:next w:val="Normal"/>
    <w:link w:val="ChapterChar"/>
    <w:rsid w:val="00BF5B3E"/>
    <w:pPr>
      <w:keepNext/>
      <w:tabs>
        <w:tab w:val="num" w:pos="648"/>
        <w:tab w:val="left" w:pos="1440"/>
      </w:tabs>
      <w:spacing w:before="240" w:after="240"/>
      <w:ind w:firstLine="288"/>
      <w:jc w:val="center"/>
    </w:pPr>
    <w:rPr>
      <w:rFonts w:ascii="Arial" w:hAnsi="Arial"/>
      <w:b/>
      <w:smallCaps/>
      <w:szCs w:val="20"/>
      <w:lang w:val="es-ES" w:eastAsia="en-US"/>
    </w:rPr>
  </w:style>
  <w:style w:type="character" w:styleId="ChapterChar" w:customStyle="1">
    <w:name w:val="Chapter Char"/>
    <w:link w:val="Chapter"/>
    <w:rsid w:val="00B61768"/>
    <w:rPr>
      <w:rFonts w:ascii="Arial" w:hAnsi="Arial" w:eastAsia="Times New Roman" w:cs="Times New Roman"/>
      <w:b/>
      <w:smallCaps/>
      <w:sz w:val="24"/>
      <w:szCs w:val="20"/>
      <w:lang w:val="es-ES"/>
    </w:rPr>
  </w:style>
  <w:style w:type="paragraph" w:styleId="subpar" w:customStyle="1">
    <w:name w:val="subpar"/>
    <w:basedOn w:val="BodyTextIndent3"/>
    <w:rsid w:val="00BF5B3E"/>
    <w:pPr>
      <w:tabs>
        <w:tab w:val="num" w:pos="360"/>
        <w:tab w:val="num" w:pos="1152"/>
      </w:tabs>
      <w:spacing w:before="120"/>
      <w:ind w:left="1152"/>
      <w:outlineLvl w:val="2"/>
    </w:pPr>
    <w:rPr>
      <w:rFonts w:ascii="Times New Roman" w:hAnsi="Times New Roman"/>
      <w:spacing w:val="0"/>
      <w:sz w:val="24"/>
      <w:szCs w:val="20"/>
    </w:rPr>
  </w:style>
  <w:style w:type="paragraph" w:styleId="BodyTextIndent3">
    <w:name w:val="Body Text Indent 3"/>
    <w:basedOn w:val="Normal"/>
    <w:link w:val="BodyTextIndent3Char"/>
    <w:uiPriority w:val="99"/>
    <w:semiHidden/>
    <w:unhideWhenUsed/>
    <w:rsid w:val="00BF5B3E"/>
    <w:pPr>
      <w:spacing w:after="120"/>
      <w:ind w:left="360"/>
      <w:jc w:val="both"/>
    </w:pPr>
    <w:rPr>
      <w:rFonts w:ascii="Arial" w:hAnsi="Arial"/>
      <w:spacing w:val="-3"/>
      <w:sz w:val="16"/>
      <w:szCs w:val="16"/>
      <w:lang w:val="es-ES_tradnl" w:eastAsia="en-US"/>
    </w:rPr>
  </w:style>
  <w:style w:type="character" w:styleId="BodyTextIndent3Char" w:customStyle="1">
    <w:name w:val="Body Text Indent 3 Char"/>
    <w:basedOn w:val="DefaultParagraphFont"/>
    <w:link w:val="BodyTextIndent3"/>
    <w:uiPriority w:val="99"/>
    <w:semiHidden/>
    <w:rsid w:val="00BF5B3E"/>
    <w:rPr>
      <w:rFonts w:ascii="Arial" w:hAnsi="Arial" w:eastAsia="Times New Roman" w:cs="Times New Roman"/>
      <w:spacing w:val="-3"/>
      <w:sz w:val="16"/>
      <w:szCs w:val="16"/>
      <w:lang w:val="es-ES_tradnl"/>
    </w:rPr>
  </w:style>
  <w:style w:type="paragraph" w:styleId="SubSubPar" w:customStyle="1">
    <w:name w:val="SubSubPar"/>
    <w:basedOn w:val="subpar"/>
    <w:rsid w:val="00BF5B3E"/>
    <w:pPr>
      <w:tabs>
        <w:tab w:val="left" w:pos="0"/>
        <w:tab w:val="num" w:pos="1296"/>
      </w:tabs>
      <w:ind w:left="1296"/>
    </w:pPr>
  </w:style>
  <w:style w:type="paragraph" w:styleId="Header">
    <w:name w:val="header"/>
    <w:basedOn w:val="Normal"/>
    <w:link w:val="HeaderChar"/>
    <w:uiPriority w:val="99"/>
    <w:unhideWhenUsed/>
    <w:rsid w:val="007704C3"/>
    <w:pPr>
      <w:tabs>
        <w:tab w:val="center" w:pos="4680"/>
        <w:tab w:val="right" w:pos="9360"/>
      </w:tabs>
      <w:jc w:val="both"/>
    </w:pPr>
    <w:rPr>
      <w:rFonts w:ascii="Arial" w:hAnsi="Arial"/>
      <w:spacing w:val="-3"/>
      <w:szCs w:val="20"/>
      <w:lang w:val="es-ES_tradnl" w:eastAsia="en-US"/>
    </w:rPr>
  </w:style>
  <w:style w:type="character" w:styleId="HeaderChar" w:customStyle="1">
    <w:name w:val="Header Char"/>
    <w:basedOn w:val="DefaultParagraphFont"/>
    <w:link w:val="Header"/>
    <w:uiPriority w:val="99"/>
    <w:rsid w:val="007704C3"/>
    <w:rPr>
      <w:rFonts w:ascii="Arial" w:hAnsi="Arial" w:eastAsia="Times New Roman" w:cs="Times New Roman"/>
      <w:spacing w:val="-3"/>
      <w:sz w:val="24"/>
      <w:szCs w:val="20"/>
      <w:lang w:val="es-ES_tradnl"/>
    </w:rPr>
  </w:style>
  <w:style w:type="paragraph" w:styleId="Footer">
    <w:name w:val="footer"/>
    <w:basedOn w:val="Normal"/>
    <w:link w:val="FooterChar"/>
    <w:unhideWhenUsed/>
    <w:rsid w:val="007704C3"/>
    <w:pPr>
      <w:tabs>
        <w:tab w:val="center" w:pos="4680"/>
        <w:tab w:val="right" w:pos="9360"/>
      </w:tabs>
      <w:jc w:val="both"/>
    </w:pPr>
    <w:rPr>
      <w:rFonts w:ascii="Arial" w:hAnsi="Arial"/>
      <w:spacing w:val="-3"/>
      <w:szCs w:val="20"/>
      <w:lang w:val="es-ES_tradnl" w:eastAsia="en-US"/>
    </w:rPr>
  </w:style>
  <w:style w:type="character" w:styleId="FooterChar" w:customStyle="1">
    <w:name w:val="Footer Char"/>
    <w:basedOn w:val="DefaultParagraphFont"/>
    <w:link w:val="Footer"/>
    <w:rsid w:val="007704C3"/>
    <w:rPr>
      <w:rFonts w:ascii="Arial" w:hAnsi="Arial" w:eastAsia="Times New Roman" w:cs="Times New Roman"/>
      <w:spacing w:val="-3"/>
      <w:sz w:val="24"/>
      <w:szCs w:val="20"/>
      <w:lang w:val="es-ES_tradnl"/>
    </w:rPr>
  </w:style>
  <w:style w:type="character" w:styleId="CommentReference">
    <w:name w:val="annotation reference"/>
    <w:basedOn w:val="DefaultParagraphFont"/>
    <w:uiPriority w:val="99"/>
    <w:unhideWhenUsed/>
    <w:rsid w:val="0012397B"/>
    <w:rPr>
      <w:sz w:val="16"/>
      <w:szCs w:val="16"/>
    </w:rPr>
  </w:style>
  <w:style w:type="paragraph" w:styleId="CommentText">
    <w:name w:val="annotation text"/>
    <w:basedOn w:val="Normal"/>
    <w:link w:val="CommentTextChar"/>
    <w:uiPriority w:val="99"/>
    <w:unhideWhenUsed/>
    <w:rsid w:val="0012397B"/>
    <w:pPr>
      <w:jc w:val="both"/>
    </w:pPr>
    <w:rPr>
      <w:rFonts w:ascii="Arial" w:hAnsi="Arial"/>
      <w:spacing w:val="-3"/>
      <w:sz w:val="20"/>
      <w:szCs w:val="20"/>
      <w:lang w:val="es-ES_tradnl" w:eastAsia="en-US"/>
    </w:rPr>
  </w:style>
  <w:style w:type="character" w:styleId="CommentTextChar" w:customStyle="1">
    <w:name w:val="Comment Text Char"/>
    <w:basedOn w:val="DefaultParagraphFont"/>
    <w:link w:val="CommentText"/>
    <w:uiPriority w:val="99"/>
    <w:rsid w:val="0012397B"/>
    <w:rPr>
      <w:rFonts w:ascii="Arial" w:hAnsi="Arial" w:eastAsia="Times New Roman" w:cs="Times New Roman"/>
      <w:spacing w:val="-3"/>
      <w:sz w:val="20"/>
      <w:szCs w:val="20"/>
      <w:lang w:val="es-ES_tradnl"/>
    </w:rPr>
  </w:style>
  <w:style w:type="paragraph" w:styleId="CommentSubject">
    <w:name w:val="annotation subject"/>
    <w:basedOn w:val="CommentText"/>
    <w:next w:val="CommentText"/>
    <w:link w:val="CommentSubjectChar"/>
    <w:uiPriority w:val="99"/>
    <w:semiHidden/>
    <w:unhideWhenUsed/>
    <w:rsid w:val="0012397B"/>
    <w:rPr>
      <w:b/>
      <w:bCs/>
    </w:rPr>
  </w:style>
  <w:style w:type="character" w:styleId="CommentSubjectChar" w:customStyle="1">
    <w:name w:val="Comment Subject Char"/>
    <w:basedOn w:val="CommentTextChar"/>
    <w:link w:val="CommentSubject"/>
    <w:uiPriority w:val="99"/>
    <w:semiHidden/>
    <w:rsid w:val="0012397B"/>
    <w:rPr>
      <w:rFonts w:ascii="Arial" w:hAnsi="Arial" w:eastAsia="Times New Roman" w:cs="Times New Roman"/>
      <w:b/>
      <w:bCs/>
      <w:spacing w:val="-3"/>
      <w:sz w:val="20"/>
      <w:szCs w:val="20"/>
      <w:lang w:val="es-ES_tradnl"/>
    </w:rPr>
  </w:style>
  <w:style w:type="character" w:styleId="UnresolvedMention1" w:customStyle="1">
    <w:name w:val="Unresolved Mention1"/>
    <w:basedOn w:val="DefaultParagraphFont"/>
    <w:uiPriority w:val="99"/>
    <w:semiHidden/>
    <w:unhideWhenUsed/>
    <w:rsid w:val="00D77D48"/>
    <w:rPr>
      <w:color w:val="605E5C"/>
      <w:shd w:val="clear" w:color="auto" w:fill="E1DFDD"/>
    </w:rPr>
  </w:style>
  <w:style w:type="table" w:styleId="GridTable5Dark-Accent5">
    <w:name w:val="Grid Table 5 Dark Accent 5"/>
    <w:basedOn w:val="TableNormal"/>
    <w:uiPriority w:val="50"/>
    <w:rsid w:val="00332F05"/>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EEAF6"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ListTable3-Accent5">
    <w:name w:val="List Table 3 Accent 5"/>
    <w:basedOn w:val="TableNormal"/>
    <w:uiPriority w:val="48"/>
    <w:rsid w:val="00332F05"/>
    <w:pPr>
      <w:spacing w:after="0" w:line="240" w:lineRule="auto"/>
    </w:pPr>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tblBorders>
    </w:tblPr>
    <w:tblStylePr w:type="firstRow">
      <w:rPr>
        <w:b/>
        <w:bCs/>
        <w:color w:val="FFFFFF" w:themeColor="background1"/>
      </w:rPr>
      <w:tblPr/>
      <w:tcPr>
        <w:shd w:val="clear" w:color="auto" w:fill="5B9BD5" w:themeFill="accent5"/>
      </w:tcPr>
    </w:tblStylePr>
    <w:tblStylePr w:type="lastRow">
      <w:rPr>
        <w:b/>
        <w:bCs/>
      </w:rPr>
      <w:tblPr/>
      <w:tcPr>
        <w:tcBorders>
          <w:top w:val="double" w:color="5B9BD5"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B9BD5" w:themeColor="accent5" w:sz="4" w:space="0"/>
          <w:right w:val="single" w:color="5B9BD5" w:themeColor="accent5" w:sz="4" w:space="0"/>
        </w:tcBorders>
      </w:tcPr>
    </w:tblStylePr>
    <w:tblStylePr w:type="band1Horz">
      <w:tblPr/>
      <w:tcPr>
        <w:tcBorders>
          <w:top w:val="single" w:color="5B9BD5" w:themeColor="accent5" w:sz="4" w:space="0"/>
          <w:bottom w:val="single" w:color="5B9BD5"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B9BD5" w:themeColor="accent5" w:sz="4" w:space="0"/>
          <w:left w:val="nil"/>
        </w:tcBorders>
      </w:tcPr>
    </w:tblStylePr>
    <w:tblStylePr w:type="swCell">
      <w:tblPr/>
      <w:tcPr>
        <w:tcBorders>
          <w:top w:val="double" w:color="5B9BD5" w:themeColor="accent5" w:sz="4" w:space="0"/>
          <w:right w:val="nil"/>
        </w:tcBorders>
      </w:tcPr>
    </w:tblStylePr>
  </w:style>
  <w:style w:type="character" w:styleId="normaltextrun1" w:customStyle="1">
    <w:name w:val="normaltextrun1"/>
    <w:basedOn w:val="DefaultParagraphFont"/>
    <w:rsid w:val="00A64404"/>
  </w:style>
  <w:style w:type="character" w:styleId="eop" w:customStyle="1">
    <w:name w:val="eop"/>
    <w:basedOn w:val="DefaultParagraphFont"/>
    <w:rsid w:val="00A64404"/>
  </w:style>
  <w:style w:type="character" w:styleId="FollowedHyperlink">
    <w:name w:val="FollowedHyperlink"/>
    <w:basedOn w:val="DefaultParagraphFont"/>
    <w:uiPriority w:val="99"/>
    <w:semiHidden/>
    <w:unhideWhenUsed/>
    <w:rsid w:val="008174FA"/>
    <w:rPr>
      <w:color w:val="954F72" w:themeColor="followedHyperlink"/>
      <w:u w:val="single"/>
    </w:rPr>
  </w:style>
  <w:style w:type="character" w:styleId="PageNumber">
    <w:name w:val="page number"/>
    <w:basedOn w:val="DefaultParagraphFont"/>
    <w:uiPriority w:val="99"/>
    <w:semiHidden/>
    <w:unhideWhenUsed/>
    <w:rsid w:val="00742E37"/>
  </w:style>
  <w:style w:type="paragraph" w:styleId="TOC1">
    <w:name w:val="toc 1"/>
    <w:basedOn w:val="Normal"/>
    <w:next w:val="Normal"/>
    <w:autoRedefine/>
    <w:uiPriority w:val="39"/>
    <w:unhideWhenUsed/>
    <w:rsid w:val="00B5472C"/>
    <w:pPr>
      <w:spacing w:before="360"/>
      <w:jc w:val="both"/>
    </w:pPr>
    <w:rPr>
      <w:rFonts w:asciiTheme="majorHAnsi" w:hAnsiTheme="majorHAnsi" w:cstheme="majorHAnsi"/>
      <w:b/>
      <w:bCs/>
      <w:caps/>
      <w:lang w:val="en-US" w:eastAsia="en-US"/>
    </w:rPr>
  </w:style>
  <w:style w:type="paragraph" w:styleId="TOC2">
    <w:name w:val="toc 2"/>
    <w:basedOn w:val="Normal"/>
    <w:next w:val="Normal"/>
    <w:autoRedefine/>
    <w:uiPriority w:val="39"/>
    <w:unhideWhenUsed/>
    <w:rsid w:val="00F60F12"/>
    <w:pPr>
      <w:tabs>
        <w:tab w:val="left" w:pos="720"/>
        <w:tab w:val="right" w:leader="dot" w:pos="9350"/>
      </w:tabs>
      <w:spacing w:line="259" w:lineRule="auto"/>
      <w:ind w:left="240"/>
      <w:jc w:val="center"/>
    </w:pPr>
    <w:rPr>
      <w:rFonts w:ascii="Arial" w:hAnsi="Arial" w:cs="Arial"/>
      <w:bCs/>
      <w:smallCaps/>
      <w:sz w:val="22"/>
      <w:szCs w:val="20"/>
      <w:lang w:val="es-MX" w:eastAsia="en-US"/>
    </w:rPr>
  </w:style>
  <w:style w:type="paragraph" w:styleId="TOC3">
    <w:name w:val="toc 3"/>
    <w:basedOn w:val="Normal"/>
    <w:next w:val="Normal"/>
    <w:autoRedefine/>
    <w:uiPriority w:val="39"/>
    <w:unhideWhenUsed/>
    <w:rsid w:val="00B5472C"/>
    <w:pPr>
      <w:ind w:left="240"/>
      <w:jc w:val="both"/>
    </w:pPr>
    <w:rPr>
      <w:rFonts w:asciiTheme="minorHAnsi" w:hAnsiTheme="minorHAnsi" w:cstheme="minorHAnsi"/>
      <w:sz w:val="20"/>
      <w:szCs w:val="20"/>
      <w:lang w:val="en-US" w:eastAsia="en-US"/>
    </w:rPr>
  </w:style>
  <w:style w:type="paragraph" w:styleId="TOC4">
    <w:name w:val="toc 4"/>
    <w:basedOn w:val="Normal"/>
    <w:next w:val="Normal"/>
    <w:autoRedefine/>
    <w:uiPriority w:val="39"/>
    <w:unhideWhenUsed/>
    <w:rsid w:val="00B5472C"/>
    <w:pPr>
      <w:ind w:left="480"/>
      <w:jc w:val="both"/>
    </w:pPr>
    <w:rPr>
      <w:rFonts w:asciiTheme="minorHAnsi" w:hAnsiTheme="minorHAnsi" w:cstheme="minorHAnsi"/>
      <w:sz w:val="20"/>
      <w:szCs w:val="20"/>
      <w:lang w:val="en-US" w:eastAsia="en-US"/>
    </w:rPr>
  </w:style>
  <w:style w:type="paragraph" w:styleId="TOC5">
    <w:name w:val="toc 5"/>
    <w:basedOn w:val="Normal"/>
    <w:next w:val="Normal"/>
    <w:autoRedefine/>
    <w:uiPriority w:val="39"/>
    <w:unhideWhenUsed/>
    <w:rsid w:val="00B5472C"/>
    <w:pPr>
      <w:ind w:left="720"/>
      <w:jc w:val="both"/>
    </w:pPr>
    <w:rPr>
      <w:rFonts w:asciiTheme="minorHAnsi" w:hAnsiTheme="minorHAnsi" w:cstheme="minorHAnsi"/>
      <w:sz w:val="20"/>
      <w:szCs w:val="20"/>
      <w:lang w:val="en-US" w:eastAsia="en-US"/>
    </w:rPr>
  </w:style>
  <w:style w:type="paragraph" w:styleId="TOC6">
    <w:name w:val="toc 6"/>
    <w:basedOn w:val="Normal"/>
    <w:next w:val="Normal"/>
    <w:autoRedefine/>
    <w:uiPriority w:val="39"/>
    <w:unhideWhenUsed/>
    <w:rsid w:val="00B5472C"/>
    <w:pPr>
      <w:ind w:left="960"/>
      <w:jc w:val="both"/>
    </w:pPr>
    <w:rPr>
      <w:rFonts w:asciiTheme="minorHAnsi" w:hAnsiTheme="minorHAnsi" w:cstheme="minorHAnsi"/>
      <w:sz w:val="20"/>
      <w:szCs w:val="20"/>
      <w:lang w:val="en-US" w:eastAsia="en-US"/>
    </w:rPr>
  </w:style>
  <w:style w:type="paragraph" w:styleId="TOC7">
    <w:name w:val="toc 7"/>
    <w:basedOn w:val="Normal"/>
    <w:next w:val="Normal"/>
    <w:autoRedefine/>
    <w:uiPriority w:val="39"/>
    <w:unhideWhenUsed/>
    <w:rsid w:val="00B5472C"/>
    <w:pPr>
      <w:ind w:left="1200"/>
      <w:jc w:val="both"/>
    </w:pPr>
    <w:rPr>
      <w:rFonts w:asciiTheme="minorHAnsi" w:hAnsiTheme="minorHAnsi" w:cstheme="minorHAnsi"/>
      <w:sz w:val="20"/>
      <w:szCs w:val="20"/>
      <w:lang w:val="en-US" w:eastAsia="en-US"/>
    </w:rPr>
  </w:style>
  <w:style w:type="paragraph" w:styleId="TOC8">
    <w:name w:val="toc 8"/>
    <w:basedOn w:val="Normal"/>
    <w:next w:val="Normal"/>
    <w:autoRedefine/>
    <w:uiPriority w:val="39"/>
    <w:unhideWhenUsed/>
    <w:rsid w:val="00B5472C"/>
    <w:pPr>
      <w:ind w:left="1440"/>
      <w:jc w:val="both"/>
    </w:pPr>
    <w:rPr>
      <w:rFonts w:asciiTheme="minorHAnsi" w:hAnsiTheme="minorHAnsi" w:cstheme="minorHAnsi"/>
      <w:sz w:val="20"/>
      <w:szCs w:val="20"/>
      <w:lang w:val="en-US" w:eastAsia="en-US"/>
    </w:rPr>
  </w:style>
  <w:style w:type="paragraph" w:styleId="TOC9">
    <w:name w:val="toc 9"/>
    <w:basedOn w:val="Normal"/>
    <w:next w:val="Normal"/>
    <w:autoRedefine/>
    <w:uiPriority w:val="39"/>
    <w:unhideWhenUsed/>
    <w:rsid w:val="00B5472C"/>
    <w:pPr>
      <w:ind w:left="1680"/>
      <w:jc w:val="both"/>
    </w:pPr>
    <w:rPr>
      <w:rFonts w:asciiTheme="minorHAnsi" w:hAnsiTheme="minorHAnsi" w:cstheme="minorHAnsi"/>
      <w:sz w:val="20"/>
      <w:szCs w:val="20"/>
      <w:lang w:val="en-US" w:eastAsia="en-US"/>
    </w:rPr>
  </w:style>
  <w:style w:type="character" w:styleId="spellingerror" w:customStyle="1">
    <w:name w:val="spellingerror"/>
    <w:basedOn w:val="DefaultParagraphFont"/>
    <w:rsid w:val="005F3A22"/>
  </w:style>
  <w:style w:type="table" w:styleId="TableGrid">
    <w:name w:val="Table Grid"/>
    <w:basedOn w:val="TableNormal"/>
    <w:uiPriority w:val="59"/>
    <w:rsid w:val="00B06DF7"/>
    <w:pPr>
      <w:spacing w:after="0" w:line="240" w:lineRule="auto"/>
    </w:pPr>
    <w:rPr>
      <w:rFonts w:ascii="Calibri" w:hAnsi="Calibri" w:eastAsia="Calibri" w:cs="Times New Roman"/>
      <w:sz w:val="20"/>
      <w:szCs w:val="20"/>
      <w:lang w:eastAsia="zh-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Revision">
    <w:name w:val="Revision"/>
    <w:hidden/>
    <w:uiPriority w:val="99"/>
    <w:semiHidden/>
    <w:rsid w:val="008B34A6"/>
    <w:pPr>
      <w:spacing w:after="0" w:line="240" w:lineRule="auto"/>
    </w:pPr>
    <w:rPr>
      <w:rFonts w:ascii="Arial" w:hAnsi="Arial" w:eastAsia="Times New Roman" w:cs="Times New Roman"/>
      <w:sz w:val="24"/>
      <w:szCs w:val="24"/>
    </w:rPr>
  </w:style>
  <w:style w:type="paragraph" w:styleId="Default" w:customStyle="1">
    <w:name w:val="Default"/>
    <w:rsid w:val="00B61768"/>
    <w:pPr>
      <w:autoSpaceDE w:val="0"/>
      <w:autoSpaceDN w:val="0"/>
      <w:adjustRightInd w:val="0"/>
      <w:spacing w:after="0" w:line="240" w:lineRule="auto"/>
    </w:pPr>
    <w:rPr>
      <w:rFonts w:ascii="Gill Sans MT" w:hAnsi="Gill Sans MT" w:eastAsia="Times New Roman" w:cs="Gill Sans MT"/>
      <w:color w:val="000000"/>
      <w:sz w:val="24"/>
      <w:szCs w:val="24"/>
    </w:rPr>
  </w:style>
  <w:style w:type="paragraph" w:styleId="FirstHeading" w:customStyle="1">
    <w:name w:val="FirstHeading"/>
    <w:basedOn w:val="Normal"/>
    <w:next w:val="Normal"/>
    <w:rsid w:val="00C6794D"/>
    <w:pPr>
      <w:keepNext/>
      <w:tabs>
        <w:tab w:val="left" w:pos="0"/>
        <w:tab w:val="left" w:pos="86"/>
      </w:tabs>
      <w:spacing w:before="120" w:after="120"/>
      <w:ind w:left="720" w:hanging="720"/>
    </w:pPr>
    <w:rPr>
      <w:b/>
      <w:szCs w:val="20"/>
      <w:lang w:val="es-ES" w:eastAsia="en-US"/>
    </w:rPr>
  </w:style>
  <w:style w:type="paragraph" w:styleId="SecHeading" w:customStyle="1">
    <w:name w:val="SecHeading"/>
    <w:basedOn w:val="Normal"/>
    <w:next w:val="Paragraph"/>
    <w:rsid w:val="00C6794D"/>
    <w:pPr>
      <w:keepNext/>
      <w:tabs>
        <w:tab w:val="num" w:pos="1296"/>
      </w:tabs>
      <w:spacing w:before="120" w:after="120"/>
      <w:ind w:left="1296" w:hanging="576"/>
    </w:pPr>
    <w:rPr>
      <w:b/>
      <w:szCs w:val="20"/>
      <w:lang w:val="es-ES_tradnl" w:eastAsia="en-US"/>
    </w:rPr>
  </w:style>
  <w:style w:type="paragraph" w:styleId="SubHeading1" w:customStyle="1">
    <w:name w:val="SubHeading1"/>
    <w:basedOn w:val="SecHeading"/>
    <w:rsid w:val="00C6794D"/>
    <w:pPr>
      <w:tabs>
        <w:tab w:val="clear" w:pos="1296"/>
        <w:tab w:val="num" w:pos="1872"/>
      </w:tabs>
      <w:ind w:left="1872"/>
    </w:pPr>
  </w:style>
  <w:style w:type="paragraph" w:styleId="Subheading2" w:customStyle="1">
    <w:name w:val="Subheading2"/>
    <w:basedOn w:val="SecHeading"/>
    <w:rsid w:val="00C6794D"/>
    <w:pPr>
      <w:tabs>
        <w:tab w:val="clear" w:pos="1296"/>
        <w:tab w:val="num" w:pos="2376"/>
      </w:tabs>
      <w:ind w:left="2376" w:hanging="288"/>
    </w:pPr>
  </w:style>
  <w:style w:type="paragraph" w:styleId="NormalWeb">
    <w:name w:val="Normal (Web)"/>
    <w:basedOn w:val="Normal"/>
    <w:uiPriority w:val="99"/>
    <w:unhideWhenUsed/>
    <w:rsid w:val="00BA2375"/>
    <w:pPr>
      <w:spacing w:before="100" w:beforeAutospacing="1" w:after="100" w:afterAutospacing="1"/>
    </w:pPr>
  </w:style>
  <w:style w:type="paragraph" w:styleId="BodyTextIndent2">
    <w:name w:val="Body Text Indent 2"/>
    <w:basedOn w:val="Normal"/>
    <w:link w:val="BodyTextIndent2Char"/>
    <w:rsid w:val="00D52DBC"/>
    <w:pPr>
      <w:tabs>
        <w:tab w:val="num" w:pos="2304"/>
      </w:tabs>
      <w:ind w:left="2304" w:hanging="432"/>
    </w:pPr>
    <w:rPr>
      <w:szCs w:val="20"/>
      <w:lang w:val="es-ES_tradnl" w:eastAsia="en-US"/>
    </w:rPr>
  </w:style>
  <w:style w:type="character" w:styleId="BodyTextIndent2Char" w:customStyle="1">
    <w:name w:val="Body Text Indent 2 Char"/>
    <w:basedOn w:val="DefaultParagraphFont"/>
    <w:link w:val="BodyTextIndent2"/>
    <w:rsid w:val="00D52DBC"/>
    <w:rPr>
      <w:rFonts w:ascii="Times New Roman" w:hAnsi="Times New Roman" w:eastAsia="Times New Roman" w:cs="Times New Roman"/>
      <w:sz w:val="24"/>
      <w:szCs w:val="20"/>
      <w:lang w:val="es-ES_tradnl"/>
    </w:rPr>
  </w:style>
  <w:style w:type="numbering" w:styleId="Style1" w:customStyle="1">
    <w:name w:val="Style1"/>
    <w:uiPriority w:val="99"/>
    <w:rsid w:val="00342CAF"/>
    <w:pPr>
      <w:numPr>
        <w:numId w:val="42"/>
      </w:numPr>
    </w:pPr>
  </w:style>
  <w:style w:type="character" w:styleId="UnresolvedMention">
    <w:name w:val="Unresolved Mention"/>
    <w:basedOn w:val="DefaultParagraphFont"/>
    <w:uiPriority w:val="99"/>
    <w:rsid w:val="00635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8917">
      <w:bodyDiv w:val="1"/>
      <w:marLeft w:val="0"/>
      <w:marRight w:val="0"/>
      <w:marTop w:val="0"/>
      <w:marBottom w:val="0"/>
      <w:divBdr>
        <w:top w:val="none" w:sz="0" w:space="0" w:color="auto"/>
        <w:left w:val="none" w:sz="0" w:space="0" w:color="auto"/>
        <w:bottom w:val="none" w:sz="0" w:space="0" w:color="auto"/>
        <w:right w:val="none" w:sz="0" w:space="0" w:color="auto"/>
      </w:divBdr>
    </w:div>
    <w:div w:id="35398803">
      <w:bodyDiv w:val="1"/>
      <w:marLeft w:val="0"/>
      <w:marRight w:val="0"/>
      <w:marTop w:val="0"/>
      <w:marBottom w:val="0"/>
      <w:divBdr>
        <w:top w:val="none" w:sz="0" w:space="0" w:color="auto"/>
        <w:left w:val="none" w:sz="0" w:space="0" w:color="auto"/>
        <w:bottom w:val="none" w:sz="0" w:space="0" w:color="auto"/>
        <w:right w:val="none" w:sz="0" w:space="0" w:color="auto"/>
      </w:divBdr>
    </w:div>
    <w:div w:id="108209245">
      <w:bodyDiv w:val="1"/>
      <w:marLeft w:val="0"/>
      <w:marRight w:val="0"/>
      <w:marTop w:val="0"/>
      <w:marBottom w:val="0"/>
      <w:divBdr>
        <w:top w:val="none" w:sz="0" w:space="0" w:color="auto"/>
        <w:left w:val="none" w:sz="0" w:space="0" w:color="auto"/>
        <w:bottom w:val="none" w:sz="0" w:space="0" w:color="auto"/>
        <w:right w:val="none" w:sz="0" w:space="0" w:color="auto"/>
      </w:divBdr>
    </w:div>
    <w:div w:id="123937776">
      <w:bodyDiv w:val="1"/>
      <w:marLeft w:val="0"/>
      <w:marRight w:val="0"/>
      <w:marTop w:val="0"/>
      <w:marBottom w:val="0"/>
      <w:divBdr>
        <w:top w:val="none" w:sz="0" w:space="0" w:color="auto"/>
        <w:left w:val="none" w:sz="0" w:space="0" w:color="auto"/>
        <w:bottom w:val="none" w:sz="0" w:space="0" w:color="auto"/>
        <w:right w:val="none" w:sz="0" w:space="0" w:color="auto"/>
      </w:divBdr>
    </w:div>
    <w:div w:id="129173631">
      <w:bodyDiv w:val="1"/>
      <w:marLeft w:val="0"/>
      <w:marRight w:val="0"/>
      <w:marTop w:val="0"/>
      <w:marBottom w:val="0"/>
      <w:divBdr>
        <w:top w:val="none" w:sz="0" w:space="0" w:color="auto"/>
        <w:left w:val="none" w:sz="0" w:space="0" w:color="auto"/>
        <w:bottom w:val="none" w:sz="0" w:space="0" w:color="auto"/>
        <w:right w:val="none" w:sz="0" w:space="0" w:color="auto"/>
      </w:divBdr>
    </w:div>
    <w:div w:id="136343003">
      <w:bodyDiv w:val="1"/>
      <w:marLeft w:val="0"/>
      <w:marRight w:val="0"/>
      <w:marTop w:val="0"/>
      <w:marBottom w:val="0"/>
      <w:divBdr>
        <w:top w:val="none" w:sz="0" w:space="0" w:color="auto"/>
        <w:left w:val="none" w:sz="0" w:space="0" w:color="auto"/>
        <w:bottom w:val="none" w:sz="0" w:space="0" w:color="auto"/>
        <w:right w:val="none" w:sz="0" w:space="0" w:color="auto"/>
      </w:divBdr>
    </w:div>
    <w:div w:id="157155950">
      <w:bodyDiv w:val="1"/>
      <w:marLeft w:val="0"/>
      <w:marRight w:val="0"/>
      <w:marTop w:val="0"/>
      <w:marBottom w:val="0"/>
      <w:divBdr>
        <w:top w:val="none" w:sz="0" w:space="0" w:color="auto"/>
        <w:left w:val="none" w:sz="0" w:space="0" w:color="auto"/>
        <w:bottom w:val="none" w:sz="0" w:space="0" w:color="auto"/>
        <w:right w:val="none" w:sz="0" w:space="0" w:color="auto"/>
      </w:divBdr>
    </w:div>
    <w:div w:id="170485771">
      <w:bodyDiv w:val="1"/>
      <w:marLeft w:val="0"/>
      <w:marRight w:val="0"/>
      <w:marTop w:val="0"/>
      <w:marBottom w:val="0"/>
      <w:divBdr>
        <w:top w:val="none" w:sz="0" w:space="0" w:color="auto"/>
        <w:left w:val="none" w:sz="0" w:space="0" w:color="auto"/>
        <w:bottom w:val="none" w:sz="0" w:space="0" w:color="auto"/>
        <w:right w:val="none" w:sz="0" w:space="0" w:color="auto"/>
      </w:divBdr>
    </w:div>
    <w:div w:id="201528061">
      <w:bodyDiv w:val="1"/>
      <w:marLeft w:val="0"/>
      <w:marRight w:val="0"/>
      <w:marTop w:val="0"/>
      <w:marBottom w:val="0"/>
      <w:divBdr>
        <w:top w:val="none" w:sz="0" w:space="0" w:color="auto"/>
        <w:left w:val="none" w:sz="0" w:space="0" w:color="auto"/>
        <w:bottom w:val="none" w:sz="0" w:space="0" w:color="auto"/>
        <w:right w:val="none" w:sz="0" w:space="0" w:color="auto"/>
      </w:divBdr>
    </w:div>
    <w:div w:id="221140299">
      <w:bodyDiv w:val="1"/>
      <w:marLeft w:val="0"/>
      <w:marRight w:val="0"/>
      <w:marTop w:val="0"/>
      <w:marBottom w:val="0"/>
      <w:divBdr>
        <w:top w:val="none" w:sz="0" w:space="0" w:color="auto"/>
        <w:left w:val="none" w:sz="0" w:space="0" w:color="auto"/>
        <w:bottom w:val="none" w:sz="0" w:space="0" w:color="auto"/>
        <w:right w:val="none" w:sz="0" w:space="0" w:color="auto"/>
      </w:divBdr>
    </w:div>
    <w:div w:id="243927080">
      <w:bodyDiv w:val="1"/>
      <w:marLeft w:val="0"/>
      <w:marRight w:val="0"/>
      <w:marTop w:val="0"/>
      <w:marBottom w:val="0"/>
      <w:divBdr>
        <w:top w:val="none" w:sz="0" w:space="0" w:color="auto"/>
        <w:left w:val="none" w:sz="0" w:space="0" w:color="auto"/>
        <w:bottom w:val="none" w:sz="0" w:space="0" w:color="auto"/>
        <w:right w:val="none" w:sz="0" w:space="0" w:color="auto"/>
      </w:divBdr>
    </w:div>
    <w:div w:id="250285707">
      <w:bodyDiv w:val="1"/>
      <w:marLeft w:val="0"/>
      <w:marRight w:val="0"/>
      <w:marTop w:val="0"/>
      <w:marBottom w:val="0"/>
      <w:divBdr>
        <w:top w:val="none" w:sz="0" w:space="0" w:color="auto"/>
        <w:left w:val="none" w:sz="0" w:space="0" w:color="auto"/>
        <w:bottom w:val="none" w:sz="0" w:space="0" w:color="auto"/>
        <w:right w:val="none" w:sz="0" w:space="0" w:color="auto"/>
      </w:divBdr>
    </w:div>
    <w:div w:id="265777459">
      <w:bodyDiv w:val="1"/>
      <w:marLeft w:val="0"/>
      <w:marRight w:val="0"/>
      <w:marTop w:val="0"/>
      <w:marBottom w:val="0"/>
      <w:divBdr>
        <w:top w:val="none" w:sz="0" w:space="0" w:color="auto"/>
        <w:left w:val="none" w:sz="0" w:space="0" w:color="auto"/>
        <w:bottom w:val="none" w:sz="0" w:space="0" w:color="auto"/>
        <w:right w:val="none" w:sz="0" w:space="0" w:color="auto"/>
      </w:divBdr>
    </w:div>
    <w:div w:id="269901659">
      <w:bodyDiv w:val="1"/>
      <w:marLeft w:val="0"/>
      <w:marRight w:val="0"/>
      <w:marTop w:val="0"/>
      <w:marBottom w:val="0"/>
      <w:divBdr>
        <w:top w:val="none" w:sz="0" w:space="0" w:color="auto"/>
        <w:left w:val="none" w:sz="0" w:space="0" w:color="auto"/>
        <w:bottom w:val="none" w:sz="0" w:space="0" w:color="auto"/>
        <w:right w:val="none" w:sz="0" w:space="0" w:color="auto"/>
      </w:divBdr>
    </w:div>
    <w:div w:id="282470045">
      <w:bodyDiv w:val="1"/>
      <w:marLeft w:val="0"/>
      <w:marRight w:val="0"/>
      <w:marTop w:val="0"/>
      <w:marBottom w:val="0"/>
      <w:divBdr>
        <w:top w:val="none" w:sz="0" w:space="0" w:color="auto"/>
        <w:left w:val="none" w:sz="0" w:space="0" w:color="auto"/>
        <w:bottom w:val="none" w:sz="0" w:space="0" w:color="auto"/>
        <w:right w:val="none" w:sz="0" w:space="0" w:color="auto"/>
      </w:divBdr>
    </w:div>
    <w:div w:id="313024424">
      <w:bodyDiv w:val="1"/>
      <w:marLeft w:val="0"/>
      <w:marRight w:val="0"/>
      <w:marTop w:val="0"/>
      <w:marBottom w:val="0"/>
      <w:divBdr>
        <w:top w:val="none" w:sz="0" w:space="0" w:color="auto"/>
        <w:left w:val="none" w:sz="0" w:space="0" w:color="auto"/>
        <w:bottom w:val="none" w:sz="0" w:space="0" w:color="auto"/>
        <w:right w:val="none" w:sz="0" w:space="0" w:color="auto"/>
      </w:divBdr>
    </w:div>
    <w:div w:id="323047755">
      <w:bodyDiv w:val="1"/>
      <w:marLeft w:val="0"/>
      <w:marRight w:val="0"/>
      <w:marTop w:val="0"/>
      <w:marBottom w:val="0"/>
      <w:divBdr>
        <w:top w:val="none" w:sz="0" w:space="0" w:color="auto"/>
        <w:left w:val="none" w:sz="0" w:space="0" w:color="auto"/>
        <w:bottom w:val="none" w:sz="0" w:space="0" w:color="auto"/>
        <w:right w:val="none" w:sz="0" w:space="0" w:color="auto"/>
      </w:divBdr>
    </w:div>
    <w:div w:id="331613447">
      <w:bodyDiv w:val="1"/>
      <w:marLeft w:val="0"/>
      <w:marRight w:val="0"/>
      <w:marTop w:val="0"/>
      <w:marBottom w:val="0"/>
      <w:divBdr>
        <w:top w:val="none" w:sz="0" w:space="0" w:color="auto"/>
        <w:left w:val="none" w:sz="0" w:space="0" w:color="auto"/>
        <w:bottom w:val="none" w:sz="0" w:space="0" w:color="auto"/>
        <w:right w:val="none" w:sz="0" w:space="0" w:color="auto"/>
      </w:divBdr>
    </w:div>
    <w:div w:id="335881565">
      <w:bodyDiv w:val="1"/>
      <w:marLeft w:val="0"/>
      <w:marRight w:val="0"/>
      <w:marTop w:val="0"/>
      <w:marBottom w:val="0"/>
      <w:divBdr>
        <w:top w:val="none" w:sz="0" w:space="0" w:color="auto"/>
        <w:left w:val="none" w:sz="0" w:space="0" w:color="auto"/>
        <w:bottom w:val="none" w:sz="0" w:space="0" w:color="auto"/>
        <w:right w:val="none" w:sz="0" w:space="0" w:color="auto"/>
      </w:divBdr>
    </w:div>
    <w:div w:id="346054560">
      <w:bodyDiv w:val="1"/>
      <w:marLeft w:val="0"/>
      <w:marRight w:val="0"/>
      <w:marTop w:val="0"/>
      <w:marBottom w:val="0"/>
      <w:divBdr>
        <w:top w:val="none" w:sz="0" w:space="0" w:color="auto"/>
        <w:left w:val="none" w:sz="0" w:space="0" w:color="auto"/>
        <w:bottom w:val="none" w:sz="0" w:space="0" w:color="auto"/>
        <w:right w:val="none" w:sz="0" w:space="0" w:color="auto"/>
      </w:divBdr>
      <w:divsChild>
        <w:div w:id="1167207331">
          <w:marLeft w:val="0"/>
          <w:marRight w:val="0"/>
          <w:marTop w:val="0"/>
          <w:marBottom w:val="0"/>
          <w:divBdr>
            <w:top w:val="none" w:sz="0" w:space="0" w:color="auto"/>
            <w:left w:val="none" w:sz="0" w:space="0" w:color="auto"/>
            <w:bottom w:val="none" w:sz="0" w:space="0" w:color="auto"/>
            <w:right w:val="none" w:sz="0" w:space="0" w:color="auto"/>
          </w:divBdr>
          <w:divsChild>
            <w:div w:id="1530558351">
              <w:marLeft w:val="0"/>
              <w:marRight w:val="0"/>
              <w:marTop w:val="0"/>
              <w:marBottom w:val="0"/>
              <w:divBdr>
                <w:top w:val="none" w:sz="0" w:space="0" w:color="auto"/>
                <w:left w:val="none" w:sz="0" w:space="0" w:color="auto"/>
                <w:bottom w:val="none" w:sz="0" w:space="0" w:color="auto"/>
                <w:right w:val="none" w:sz="0" w:space="0" w:color="auto"/>
              </w:divBdr>
              <w:divsChild>
                <w:div w:id="7348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7403">
      <w:bodyDiv w:val="1"/>
      <w:marLeft w:val="0"/>
      <w:marRight w:val="0"/>
      <w:marTop w:val="0"/>
      <w:marBottom w:val="0"/>
      <w:divBdr>
        <w:top w:val="none" w:sz="0" w:space="0" w:color="auto"/>
        <w:left w:val="none" w:sz="0" w:space="0" w:color="auto"/>
        <w:bottom w:val="none" w:sz="0" w:space="0" w:color="auto"/>
        <w:right w:val="none" w:sz="0" w:space="0" w:color="auto"/>
      </w:divBdr>
      <w:divsChild>
        <w:div w:id="123471863">
          <w:marLeft w:val="0"/>
          <w:marRight w:val="0"/>
          <w:marTop w:val="0"/>
          <w:marBottom w:val="0"/>
          <w:divBdr>
            <w:top w:val="none" w:sz="0" w:space="0" w:color="auto"/>
            <w:left w:val="none" w:sz="0" w:space="0" w:color="auto"/>
            <w:bottom w:val="none" w:sz="0" w:space="0" w:color="auto"/>
            <w:right w:val="none" w:sz="0" w:space="0" w:color="auto"/>
          </w:divBdr>
          <w:divsChild>
            <w:div w:id="1077166078">
              <w:marLeft w:val="0"/>
              <w:marRight w:val="0"/>
              <w:marTop w:val="0"/>
              <w:marBottom w:val="0"/>
              <w:divBdr>
                <w:top w:val="none" w:sz="0" w:space="0" w:color="auto"/>
                <w:left w:val="none" w:sz="0" w:space="0" w:color="auto"/>
                <w:bottom w:val="none" w:sz="0" w:space="0" w:color="auto"/>
                <w:right w:val="none" w:sz="0" w:space="0" w:color="auto"/>
              </w:divBdr>
              <w:divsChild>
                <w:div w:id="9454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17633">
      <w:bodyDiv w:val="1"/>
      <w:marLeft w:val="0"/>
      <w:marRight w:val="0"/>
      <w:marTop w:val="0"/>
      <w:marBottom w:val="0"/>
      <w:divBdr>
        <w:top w:val="none" w:sz="0" w:space="0" w:color="auto"/>
        <w:left w:val="none" w:sz="0" w:space="0" w:color="auto"/>
        <w:bottom w:val="none" w:sz="0" w:space="0" w:color="auto"/>
        <w:right w:val="none" w:sz="0" w:space="0" w:color="auto"/>
      </w:divBdr>
    </w:div>
    <w:div w:id="402726404">
      <w:bodyDiv w:val="1"/>
      <w:marLeft w:val="0"/>
      <w:marRight w:val="0"/>
      <w:marTop w:val="0"/>
      <w:marBottom w:val="0"/>
      <w:divBdr>
        <w:top w:val="none" w:sz="0" w:space="0" w:color="auto"/>
        <w:left w:val="none" w:sz="0" w:space="0" w:color="auto"/>
        <w:bottom w:val="none" w:sz="0" w:space="0" w:color="auto"/>
        <w:right w:val="none" w:sz="0" w:space="0" w:color="auto"/>
      </w:divBdr>
    </w:div>
    <w:div w:id="415051498">
      <w:bodyDiv w:val="1"/>
      <w:marLeft w:val="0"/>
      <w:marRight w:val="0"/>
      <w:marTop w:val="0"/>
      <w:marBottom w:val="0"/>
      <w:divBdr>
        <w:top w:val="none" w:sz="0" w:space="0" w:color="auto"/>
        <w:left w:val="none" w:sz="0" w:space="0" w:color="auto"/>
        <w:bottom w:val="none" w:sz="0" w:space="0" w:color="auto"/>
        <w:right w:val="none" w:sz="0" w:space="0" w:color="auto"/>
      </w:divBdr>
    </w:div>
    <w:div w:id="450173064">
      <w:bodyDiv w:val="1"/>
      <w:marLeft w:val="0"/>
      <w:marRight w:val="0"/>
      <w:marTop w:val="0"/>
      <w:marBottom w:val="0"/>
      <w:divBdr>
        <w:top w:val="none" w:sz="0" w:space="0" w:color="auto"/>
        <w:left w:val="none" w:sz="0" w:space="0" w:color="auto"/>
        <w:bottom w:val="none" w:sz="0" w:space="0" w:color="auto"/>
        <w:right w:val="none" w:sz="0" w:space="0" w:color="auto"/>
      </w:divBdr>
    </w:div>
    <w:div w:id="457799214">
      <w:bodyDiv w:val="1"/>
      <w:marLeft w:val="0"/>
      <w:marRight w:val="0"/>
      <w:marTop w:val="0"/>
      <w:marBottom w:val="0"/>
      <w:divBdr>
        <w:top w:val="none" w:sz="0" w:space="0" w:color="auto"/>
        <w:left w:val="none" w:sz="0" w:space="0" w:color="auto"/>
        <w:bottom w:val="none" w:sz="0" w:space="0" w:color="auto"/>
        <w:right w:val="none" w:sz="0" w:space="0" w:color="auto"/>
      </w:divBdr>
    </w:div>
    <w:div w:id="461994731">
      <w:bodyDiv w:val="1"/>
      <w:marLeft w:val="0"/>
      <w:marRight w:val="0"/>
      <w:marTop w:val="0"/>
      <w:marBottom w:val="0"/>
      <w:divBdr>
        <w:top w:val="none" w:sz="0" w:space="0" w:color="auto"/>
        <w:left w:val="none" w:sz="0" w:space="0" w:color="auto"/>
        <w:bottom w:val="none" w:sz="0" w:space="0" w:color="auto"/>
        <w:right w:val="none" w:sz="0" w:space="0" w:color="auto"/>
      </w:divBdr>
    </w:div>
    <w:div w:id="462230686">
      <w:bodyDiv w:val="1"/>
      <w:marLeft w:val="0"/>
      <w:marRight w:val="0"/>
      <w:marTop w:val="0"/>
      <w:marBottom w:val="0"/>
      <w:divBdr>
        <w:top w:val="none" w:sz="0" w:space="0" w:color="auto"/>
        <w:left w:val="none" w:sz="0" w:space="0" w:color="auto"/>
        <w:bottom w:val="none" w:sz="0" w:space="0" w:color="auto"/>
        <w:right w:val="none" w:sz="0" w:space="0" w:color="auto"/>
      </w:divBdr>
    </w:div>
    <w:div w:id="471017918">
      <w:bodyDiv w:val="1"/>
      <w:marLeft w:val="0"/>
      <w:marRight w:val="0"/>
      <w:marTop w:val="0"/>
      <w:marBottom w:val="0"/>
      <w:divBdr>
        <w:top w:val="none" w:sz="0" w:space="0" w:color="auto"/>
        <w:left w:val="none" w:sz="0" w:space="0" w:color="auto"/>
        <w:bottom w:val="none" w:sz="0" w:space="0" w:color="auto"/>
        <w:right w:val="none" w:sz="0" w:space="0" w:color="auto"/>
      </w:divBdr>
    </w:div>
    <w:div w:id="473370105">
      <w:bodyDiv w:val="1"/>
      <w:marLeft w:val="0"/>
      <w:marRight w:val="0"/>
      <w:marTop w:val="0"/>
      <w:marBottom w:val="0"/>
      <w:divBdr>
        <w:top w:val="none" w:sz="0" w:space="0" w:color="auto"/>
        <w:left w:val="none" w:sz="0" w:space="0" w:color="auto"/>
        <w:bottom w:val="none" w:sz="0" w:space="0" w:color="auto"/>
        <w:right w:val="none" w:sz="0" w:space="0" w:color="auto"/>
      </w:divBdr>
    </w:div>
    <w:div w:id="497382988">
      <w:bodyDiv w:val="1"/>
      <w:marLeft w:val="0"/>
      <w:marRight w:val="0"/>
      <w:marTop w:val="0"/>
      <w:marBottom w:val="0"/>
      <w:divBdr>
        <w:top w:val="none" w:sz="0" w:space="0" w:color="auto"/>
        <w:left w:val="none" w:sz="0" w:space="0" w:color="auto"/>
        <w:bottom w:val="none" w:sz="0" w:space="0" w:color="auto"/>
        <w:right w:val="none" w:sz="0" w:space="0" w:color="auto"/>
      </w:divBdr>
    </w:div>
    <w:div w:id="510950212">
      <w:bodyDiv w:val="1"/>
      <w:marLeft w:val="0"/>
      <w:marRight w:val="0"/>
      <w:marTop w:val="0"/>
      <w:marBottom w:val="0"/>
      <w:divBdr>
        <w:top w:val="none" w:sz="0" w:space="0" w:color="auto"/>
        <w:left w:val="none" w:sz="0" w:space="0" w:color="auto"/>
        <w:bottom w:val="none" w:sz="0" w:space="0" w:color="auto"/>
        <w:right w:val="none" w:sz="0" w:space="0" w:color="auto"/>
      </w:divBdr>
    </w:div>
    <w:div w:id="517740103">
      <w:bodyDiv w:val="1"/>
      <w:marLeft w:val="0"/>
      <w:marRight w:val="0"/>
      <w:marTop w:val="0"/>
      <w:marBottom w:val="0"/>
      <w:divBdr>
        <w:top w:val="none" w:sz="0" w:space="0" w:color="auto"/>
        <w:left w:val="none" w:sz="0" w:space="0" w:color="auto"/>
        <w:bottom w:val="none" w:sz="0" w:space="0" w:color="auto"/>
        <w:right w:val="none" w:sz="0" w:space="0" w:color="auto"/>
      </w:divBdr>
    </w:div>
    <w:div w:id="519928825">
      <w:bodyDiv w:val="1"/>
      <w:marLeft w:val="0"/>
      <w:marRight w:val="0"/>
      <w:marTop w:val="0"/>
      <w:marBottom w:val="0"/>
      <w:divBdr>
        <w:top w:val="none" w:sz="0" w:space="0" w:color="auto"/>
        <w:left w:val="none" w:sz="0" w:space="0" w:color="auto"/>
        <w:bottom w:val="none" w:sz="0" w:space="0" w:color="auto"/>
        <w:right w:val="none" w:sz="0" w:space="0" w:color="auto"/>
      </w:divBdr>
    </w:div>
    <w:div w:id="526910439">
      <w:bodyDiv w:val="1"/>
      <w:marLeft w:val="0"/>
      <w:marRight w:val="0"/>
      <w:marTop w:val="0"/>
      <w:marBottom w:val="0"/>
      <w:divBdr>
        <w:top w:val="none" w:sz="0" w:space="0" w:color="auto"/>
        <w:left w:val="none" w:sz="0" w:space="0" w:color="auto"/>
        <w:bottom w:val="none" w:sz="0" w:space="0" w:color="auto"/>
        <w:right w:val="none" w:sz="0" w:space="0" w:color="auto"/>
      </w:divBdr>
    </w:div>
    <w:div w:id="566913936">
      <w:bodyDiv w:val="1"/>
      <w:marLeft w:val="0"/>
      <w:marRight w:val="0"/>
      <w:marTop w:val="0"/>
      <w:marBottom w:val="0"/>
      <w:divBdr>
        <w:top w:val="none" w:sz="0" w:space="0" w:color="auto"/>
        <w:left w:val="none" w:sz="0" w:space="0" w:color="auto"/>
        <w:bottom w:val="none" w:sz="0" w:space="0" w:color="auto"/>
        <w:right w:val="none" w:sz="0" w:space="0" w:color="auto"/>
      </w:divBdr>
    </w:div>
    <w:div w:id="597837995">
      <w:bodyDiv w:val="1"/>
      <w:marLeft w:val="0"/>
      <w:marRight w:val="0"/>
      <w:marTop w:val="0"/>
      <w:marBottom w:val="0"/>
      <w:divBdr>
        <w:top w:val="none" w:sz="0" w:space="0" w:color="auto"/>
        <w:left w:val="none" w:sz="0" w:space="0" w:color="auto"/>
        <w:bottom w:val="none" w:sz="0" w:space="0" w:color="auto"/>
        <w:right w:val="none" w:sz="0" w:space="0" w:color="auto"/>
      </w:divBdr>
    </w:div>
    <w:div w:id="631786115">
      <w:bodyDiv w:val="1"/>
      <w:marLeft w:val="0"/>
      <w:marRight w:val="0"/>
      <w:marTop w:val="0"/>
      <w:marBottom w:val="0"/>
      <w:divBdr>
        <w:top w:val="none" w:sz="0" w:space="0" w:color="auto"/>
        <w:left w:val="none" w:sz="0" w:space="0" w:color="auto"/>
        <w:bottom w:val="none" w:sz="0" w:space="0" w:color="auto"/>
        <w:right w:val="none" w:sz="0" w:space="0" w:color="auto"/>
      </w:divBdr>
      <w:divsChild>
        <w:div w:id="397214034">
          <w:marLeft w:val="0"/>
          <w:marRight w:val="0"/>
          <w:marTop w:val="0"/>
          <w:marBottom w:val="0"/>
          <w:divBdr>
            <w:top w:val="none" w:sz="0" w:space="0" w:color="auto"/>
            <w:left w:val="none" w:sz="0" w:space="0" w:color="auto"/>
            <w:bottom w:val="none" w:sz="0" w:space="0" w:color="auto"/>
            <w:right w:val="none" w:sz="0" w:space="0" w:color="auto"/>
          </w:divBdr>
          <w:divsChild>
            <w:div w:id="1742753404">
              <w:marLeft w:val="0"/>
              <w:marRight w:val="0"/>
              <w:marTop w:val="0"/>
              <w:marBottom w:val="0"/>
              <w:divBdr>
                <w:top w:val="none" w:sz="0" w:space="0" w:color="auto"/>
                <w:left w:val="none" w:sz="0" w:space="0" w:color="auto"/>
                <w:bottom w:val="none" w:sz="0" w:space="0" w:color="auto"/>
                <w:right w:val="none" w:sz="0" w:space="0" w:color="auto"/>
              </w:divBdr>
              <w:divsChild>
                <w:div w:id="5113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34134">
      <w:bodyDiv w:val="1"/>
      <w:marLeft w:val="0"/>
      <w:marRight w:val="0"/>
      <w:marTop w:val="0"/>
      <w:marBottom w:val="0"/>
      <w:divBdr>
        <w:top w:val="none" w:sz="0" w:space="0" w:color="auto"/>
        <w:left w:val="none" w:sz="0" w:space="0" w:color="auto"/>
        <w:bottom w:val="none" w:sz="0" w:space="0" w:color="auto"/>
        <w:right w:val="none" w:sz="0" w:space="0" w:color="auto"/>
      </w:divBdr>
      <w:divsChild>
        <w:div w:id="424502342">
          <w:marLeft w:val="0"/>
          <w:marRight w:val="0"/>
          <w:marTop w:val="0"/>
          <w:marBottom w:val="0"/>
          <w:divBdr>
            <w:top w:val="none" w:sz="0" w:space="0" w:color="auto"/>
            <w:left w:val="none" w:sz="0" w:space="0" w:color="auto"/>
            <w:bottom w:val="none" w:sz="0" w:space="0" w:color="auto"/>
            <w:right w:val="none" w:sz="0" w:space="0" w:color="auto"/>
          </w:divBdr>
          <w:divsChild>
            <w:div w:id="337468402">
              <w:marLeft w:val="0"/>
              <w:marRight w:val="0"/>
              <w:marTop w:val="0"/>
              <w:marBottom w:val="0"/>
              <w:divBdr>
                <w:top w:val="none" w:sz="0" w:space="0" w:color="auto"/>
                <w:left w:val="none" w:sz="0" w:space="0" w:color="auto"/>
                <w:bottom w:val="none" w:sz="0" w:space="0" w:color="auto"/>
                <w:right w:val="none" w:sz="0" w:space="0" w:color="auto"/>
              </w:divBdr>
              <w:divsChild>
                <w:div w:id="353653653">
                  <w:marLeft w:val="0"/>
                  <w:marRight w:val="0"/>
                  <w:marTop w:val="0"/>
                  <w:marBottom w:val="0"/>
                  <w:divBdr>
                    <w:top w:val="none" w:sz="0" w:space="0" w:color="auto"/>
                    <w:left w:val="none" w:sz="0" w:space="0" w:color="auto"/>
                    <w:bottom w:val="none" w:sz="0" w:space="0" w:color="auto"/>
                    <w:right w:val="none" w:sz="0" w:space="0" w:color="auto"/>
                  </w:divBdr>
                </w:div>
              </w:divsChild>
            </w:div>
            <w:div w:id="1112362027">
              <w:marLeft w:val="0"/>
              <w:marRight w:val="0"/>
              <w:marTop w:val="0"/>
              <w:marBottom w:val="0"/>
              <w:divBdr>
                <w:top w:val="none" w:sz="0" w:space="0" w:color="auto"/>
                <w:left w:val="none" w:sz="0" w:space="0" w:color="auto"/>
                <w:bottom w:val="none" w:sz="0" w:space="0" w:color="auto"/>
                <w:right w:val="none" w:sz="0" w:space="0" w:color="auto"/>
              </w:divBdr>
              <w:divsChild>
                <w:div w:id="20240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52626">
          <w:marLeft w:val="0"/>
          <w:marRight w:val="0"/>
          <w:marTop w:val="0"/>
          <w:marBottom w:val="0"/>
          <w:divBdr>
            <w:top w:val="none" w:sz="0" w:space="0" w:color="auto"/>
            <w:left w:val="none" w:sz="0" w:space="0" w:color="auto"/>
            <w:bottom w:val="none" w:sz="0" w:space="0" w:color="auto"/>
            <w:right w:val="none" w:sz="0" w:space="0" w:color="auto"/>
          </w:divBdr>
          <w:divsChild>
            <w:div w:id="1040401791">
              <w:marLeft w:val="0"/>
              <w:marRight w:val="0"/>
              <w:marTop w:val="0"/>
              <w:marBottom w:val="0"/>
              <w:divBdr>
                <w:top w:val="none" w:sz="0" w:space="0" w:color="auto"/>
                <w:left w:val="none" w:sz="0" w:space="0" w:color="auto"/>
                <w:bottom w:val="none" w:sz="0" w:space="0" w:color="auto"/>
                <w:right w:val="none" w:sz="0" w:space="0" w:color="auto"/>
              </w:divBdr>
              <w:divsChild>
                <w:div w:id="10329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1372">
      <w:bodyDiv w:val="1"/>
      <w:marLeft w:val="0"/>
      <w:marRight w:val="0"/>
      <w:marTop w:val="0"/>
      <w:marBottom w:val="0"/>
      <w:divBdr>
        <w:top w:val="none" w:sz="0" w:space="0" w:color="auto"/>
        <w:left w:val="none" w:sz="0" w:space="0" w:color="auto"/>
        <w:bottom w:val="none" w:sz="0" w:space="0" w:color="auto"/>
        <w:right w:val="none" w:sz="0" w:space="0" w:color="auto"/>
      </w:divBdr>
    </w:div>
    <w:div w:id="648485417">
      <w:bodyDiv w:val="1"/>
      <w:marLeft w:val="0"/>
      <w:marRight w:val="0"/>
      <w:marTop w:val="0"/>
      <w:marBottom w:val="0"/>
      <w:divBdr>
        <w:top w:val="none" w:sz="0" w:space="0" w:color="auto"/>
        <w:left w:val="none" w:sz="0" w:space="0" w:color="auto"/>
        <w:bottom w:val="none" w:sz="0" w:space="0" w:color="auto"/>
        <w:right w:val="none" w:sz="0" w:space="0" w:color="auto"/>
      </w:divBdr>
    </w:div>
    <w:div w:id="655956263">
      <w:bodyDiv w:val="1"/>
      <w:marLeft w:val="0"/>
      <w:marRight w:val="0"/>
      <w:marTop w:val="0"/>
      <w:marBottom w:val="0"/>
      <w:divBdr>
        <w:top w:val="none" w:sz="0" w:space="0" w:color="auto"/>
        <w:left w:val="none" w:sz="0" w:space="0" w:color="auto"/>
        <w:bottom w:val="none" w:sz="0" w:space="0" w:color="auto"/>
        <w:right w:val="none" w:sz="0" w:space="0" w:color="auto"/>
      </w:divBdr>
    </w:div>
    <w:div w:id="676881436">
      <w:bodyDiv w:val="1"/>
      <w:marLeft w:val="0"/>
      <w:marRight w:val="0"/>
      <w:marTop w:val="0"/>
      <w:marBottom w:val="0"/>
      <w:divBdr>
        <w:top w:val="none" w:sz="0" w:space="0" w:color="auto"/>
        <w:left w:val="none" w:sz="0" w:space="0" w:color="auto"/>
        <w:bottom w:val="none" w:sz="0" w:space="0" w:color="auto"/>
        <w:right w:val="none" w:sz="0" w:space="0" w:color="auto"/>
      </w:divBdr>
    </w:div>
    <w:div w:id="679237644">
      <w:bodyDiv w:val="1"/>
      <w:marLeft w:val="0"/>
      <w:marRight w:val="0"/>
      <w:marTop w:val="0"/>
      <w:marBottom w:val="0"/>
      <w:divBdr>
        <w:top w:val="none" w:sz="0" w:space="0" w:color="auto"/>
        <w:left w:val="none" w:sz="0" w:space="0" w:color="auto"/>
        <w:bottom w:val="none" w:sz="0" w:space="0" w:color="auto"/>
        <w:right w:val="none" w:sz="0" w:space="0" w:color="auto"/>
      </w:divBdr>
    </w:div>
    <w:div w:id="695694342">
      <w:bodyDiv w:val="1"/>
      <w:marLeft w:val="0"/>
      <w:marRight w:val="0"/>
      <w:marTop w:val="0"/>
      <w:marBottom w:val="0"/>
      <w:divBdr>
        <w:top w:val="none" w:sz="0" w:space="0" w:color="auto"/>
        <w:left w:val="none" w:sz="0" w:space="0" w:color="auto"/>
        <w:bottom w:val="none" w:sz="0" w:space="0" w:color="auto"/>
        <w:right w:val="none" w:sz="0" w:space="0" w:color="auto"/>
      </w:divBdr>
    </w:div>
    <w:div w:id="707534194">
      <w:bodyDiv w:val="1"/>
      <w:marLeft w:val="0"/>
      <w:marRight w:val="0"/>
      <w:marTop w:val="0"/>
      <w:marBottom w:val="0"/>
      <w:divBdr>
        <w:top w:val="none" w:sz="0" w:space="0" w:color="auto"/>
        <w:left w:val="none" w:sz="0" w:space="0" w:color="auto"/>
        <w:bottom w:val="none" w:sz="0" w:space="0" w:color="auto"/>
        <w:right w:val="none" w:sz="0" w:space="0" w:color="auto"/>
      </w:divBdr>
    </w:div>
    <w:div w:id="714963068">
      <w:bodyDiv w:val="1"/>
      <w:marLeft w:val="0"/>
      <w:marRight w:val="0"/>
      <w:marTop w:val="0"/>
      <w:marBottom w:val="0"/>
      <w:divBdr>
        <w:top w:val="none" w:sz="0" w:space="0" w:color="auto"/>
        <w:left w:val="none" w:sz="0" w:space="0" w:color="auto"/>
        <w:bottom w:val="none" w:sz="0" w:space="0" w:color="auto"/>
        <w:right w:val="none" w:sz="0" w:space="0" w:color="auto"/>
      </w:divBdr>
    </w:div>
    <w:div w:id="746071237">
      <w:bodyDiv w:val="1"/>
      <w:marLeft w:val="0"/>
      <w:marRight w:val="0"/>
      <w:marTop w:val="0"/>
      <w:marBottom w:val="0"/>
      <w:divBdr>
        <w:top w:val="none" w:sz="0" w:space="0" w:color="auto"/>
        <w:left w:val="none" w:sz="0" w:space="0" w:color="auto"/>
        <w:bottom w:val="none" w:sz="0" w:space="0" w:color="auto"/>
        <w:right w:val="none" w:sz="0" w:space="0" w:color="auto"/>
      </w:divBdr>
    </w:div>
    <w:div w:id="761411304">
      <w:bodyDiv w:val="1"/>
      <w:marLeft w:val="0"/>
      <w:marRight w:val="0"/>
      <w:marTop w:val="0"/>
      <w:marBottom w:val="0"/>
      <w:divBdr>
        <w:top w:val="none" w:sz="0" w:space="0" w:color="auto"/>
        <w:left w:val="none" w:sz="0" w:space="0" w:color="auto"/>
        <w:bottom w:val="none" w:sz="0" w:space="0" w:color="auto"/>
        <w:right w:val="none" w:sz="0" w:space="0" w:color="auto"/>
      </w:divBdr>
    </w:div>
    <w:div w:id="763303671">
      <w:bodyDiv w:val="1"/>
      <w:marLeft w:val="0"/>
      <w:marRight w:val="0"/>
      <w:marTop w:val="0"/>
      <w:marBottom w:val="0"/>
      <w:divBdr>
        <w:top w:val="none" w:sz="0" w:space="0" w:color="auto"/>
        <w:left w:val="none" w:sz="0" w:space="0" w:color="auto"/>
        <w:bottom w:val="none" w:sz="0" w:space="0" w:color="auto"/>
        <w:right w:val="none" w:sz="0" w:space="0" w:color="auto"/>
      </w:divBdr>
    </w:div>
    <w:div w:id="785657794">
      <w:bodyDiv w:val="1"/>
      <w:marLeft w:val="0"/>
      <w:marRight w:val="0"/>
      <w:marTop w:val="0"/>
      <w:marBottom w:val="0"/>
      <w:divBdr>
        <w:top w:val="none" w:sz="0" w:space="0" w:color="auto"/>
        <w:left w:val="none" w:sz="0" w:space="0" w:color="auto"/>
        <w:bottom w:val="none" w:sz="0" w:space="0" w:color="auto"/>
        <w:right w:val="none" w:sz="0" w:space="0" w:color="auto"/>
      </w:divBdr>
      <w:divsChild>
        <w:div w:id="71047611">
          <w:marLeft w:val="0"/>
          <w:marRight w:val="0"/>
          <w:marTop w:val="0"/>
          <w:marBottom w:val="0"/>
          <w:divBdr>
            <w:top w:val="none" w:sz="0" w:space="0" w:color="auto"/>
            <w:left w:val="none" w:sz="0" w:space="0" w:color="auto"/>
            <w:bottom w:val="none" w:sz="0" w:space="0" w:color="auto"/>
            <w:right w:val="none" w:sz="0" w:space="0" w:color="auto"/>
          </w:divBdr>
        </w:div>
      </w:divsChild>
    </w:div>
    <w:div w:id="787747682">
      <w:bodyDiv w:val="1"/>
      <w:marLeft w:val="0"/>
      <w:marRight w:val="0"/>
      <w:marTop w:val="0"/>
      <w:marBottom w:val="0"/>
      <w:divBdr>
        <w:top w:val="none" w:sz="0" w:space="0" w:color="auto"/>
        <w:left w:val="none" w:sz="0" w:space="0" w:color="auto"/>
        <w:bottom w:val="none" w:sz="0" w:space="0" w:color="auto"/>
        <w:right w:val="none" w:sz="0" w:space="0" w:color="auto"/>
      </w:divBdr>
    </w:div>
    <w:div w:id="789518441">
      <w:bodyDiv w:val="1"/>
      <w:marLeft w:val="0"/>
      <w:marRight w:val="0"/>
      <w:marTop w:val="0"/>
      <w:marBottom w:val="0"/>
      <w:divBdr>
        <w:top w:val="none" w:sz="0" w:space="0" w:color="auto"/>
        <w:left w:val="none" w:sz="0" w:space="0" w:color="auto"/>
        <w:bottom w:val="none" w:sz="0" w:space="0" w:color="auto"/>
        <w:right w:val="none" w:sz="0" w:space="0" w:color="auto"/>
      </w:divBdr>
    </w:div>
    <w:div w:id="801770507">
      <w:bodyDiv w:val="1"/>
      <w:marLeft w:val="0"/>
      <w:marRight w:val="0"/>
      <w:marTop w:val="0"/>
      <w:marBottom w:val="0"/>
      <w:divBdr>
        <w:top w:val="none" w:sz="0" w:space="0" w:color="auto"/>
        <w:left w:val="none" w:sz="0" w:space="0" w:color="auto"/>
        <w:bottom w:val="none" w:sz="0" w:space="0" w:color="auto"/>
        <w:right w:val="none" w:sz="0" w:space="0" w:color="auto"/>
      </w:divBdr>
    </w:div>
    <w:div w:id="817301457">
      <w:bodyDiv w:val="1"/>
      <w:marLeft w:val="0"/>
      <w:marRight w:val="0"/>
      <w:marTop w:val="0"/>
      <w:marBottom w:val="0"/>
      <w:divBdr>
        <w:top w:val="none" w:sz="0" w:space="0" w:color="auto"/>
        <w:left w:val="none" w:sz="0" w:space="0" w:color="auto"/>
        <w:bottom w:val="none" w:sz="0" w:space="0" w:color="auto"/>
        <w:right w:val="none" w:sz="0" w:space="0" w:color="auto"/>
      </w:divBdr>
    </w:div>
    <w:div w:id="830407147">
      <w:bodyDiv w:val="1"/>
      <w:marLeft w:val="0"/>
      <w:marRight w:val="0"/>
      <w:marTop w:val="0"/>
      <w:marBottom w:val="0"/>
      <w:divBdr>
        <w:top w:val="none" w:sz="0" w:space="0" w:color="auto"/>
        <w:left w:val="none" w:sz="0" w:space="0" w:color="auto"/>
        <w:bottom w:val="none" w:sz="0" w:space="0" w:color="auto"/>
        <w:right w:val="none" w:sz="0" w:space="0" w:color="auto"/>
      </w:divBdr>
    </w:div>
    <w:div w:id="841511809">
      <w:bodyDiv w:val="1"/>
      <w:marLeft w:val="0"/>
      <w:marRight w:val="0"/>
      <w:marTop w:val="0"/>
      <w:marBottom w:val="0"/>
      <w:divBdr>
        <w:top w:val="none" w:sz="0" w:space="0" w:color="auto"/>
        <w:left w:val="none" w:sz="0" w:space="0" w:color="auto"/>
        <w:bottom w:val="none" w:sz="0" w:space="0" w:color="auto"/>
        <w:right w:val="none" w:sz="0" w:space="0" w:color="auto"/>
      </w:divBdr>
    </w:div>
    <w:div w:id="844707811">
      <w:bodyDiv w:val="1"/>
      <w:marLeft w:val="0"/>
      <w:marRight w:val="0"/>
      <w:marTop w:val="0"/>
      <w:marBottom w:val="0"/>
      <w:divBdr>
        <w:top w:val="none" w:sz="0" w:space="0" w:color="auto"/>
        <w:left w:val="none" w:sz="0" w:space="0" w:color="auto"/>
        <w:bottom w:val="none" w:sz="0" w:space="0" w:color="auto"/>
        <w:right w:val="none" w:sz="0" w:space="0" w:color="auto"/>
      </w:divBdr>
    </w:div>
    <w:div w:id="855579797">
      <w:bodyDiv w:val="1"/>
      <w:marLeft w:val="0"/>
      <w:marRight w:val="0"/>
      <w:marTop w:val="0"/>
      <w:marBottom w:val="0"/>
      <w:divBdr>
        <w:top w:val="none" w:sz="0" w:space="0" w:color="auto"/>
        <w:left w:val="none" w:sz="0" w:space="0" w:color="auto"/>
        <w:bottom w:val="none" w:sz="0" w:space="0" w:color="auto"/>
        <w:right w:val="none" w:sz="0" w:space="0" w:color="auto"/>
      </w:divBdr>
    </w:div>
    <w:div w:id="868568400">
      <w:bodyDiv w:val="1"/>
      <w:marLeft w:val="0"/>
      <w:marRight w:val="0"/>
      <w:marTop w:val="0"/>
      <w:marBottom w:val="0"/>
      <w:divBdr>
        <w:top w:val="none" w:sz="0" w:space="0" w:color="auto"/>
        <w:left w:val="none" w:sz="0" w:space="0" w:color="auto"/>
        <w:bottom w:val="none" w:sz="0" w:space="0" w:color="auto"/>
        <w:right w:val="none" w:sz="0" w:space="0" w:color="auto"/>
      </w:divBdr>
    </w:div>
    <w:div w:id="901907755">
      <w:bodyDiv w:val="1"/>
      <w:marLeft w:val="0"/>
      <w:marRight w:val="0"/>
      <w:marTop w:val="0"/>
      <w:marBottom w:val="0"/>
      <w:divBdr>
        <w:top w:val="none" w:sz="0" w:space="0" w:color="auto"/>
        <w:left w:val="none" w:sz="0" w:space="0" w:color="auto"/>
        <w:bottom w:val="none" w:sz="0" w:space="0" w:color="auto"/>
        <w:right w:val="none" w:sz="0" w:space="0" w:color="auto"/>
      </w:divBdr>
    </w:div>
    <w:div w:id="910385681">
      <w:bodyDiv w:val="1"/>
      <w:marLeft w:val="0"/>
      <w:marRight w:val="0"/>
      <w:marTop w:val="0"/>
      <w:marBottom w:val="0"/>
      <w:divBdr>
        <w:top w:val="none" w:sz="0" w:space="0" w:color="auto"/>
        <w:left w:val="none" w:sz="0" w:space="0" w:color="auto"/>
        <w:bottom w:val="none" w:sz="0" w:space="0" w:color="auto"/>
        <w:right w:val="none" w:sz="0" w:space="0" w:color="auto"/>
      </w:divBdr>
    </w:div>
    <w:div w:id="926231452">
      <w:bodyDiv w:val="1"/>
      <w:marLeft w:val="0"/>
      <w:marRight w:val="0"/>
      <w:marTop w:val="0"/>
      <w:marBottom w:val="0"/>
      <w:divBdr>
        <w:top w:val="none" w:sz="0" w:space="0" w:color="auto"/>
        <w:left w:val="none" w:sz="0" w:space="0" w:color="auto"/>
        <w:bottom w:val="none" w:sz="0" w:space="0" w:color="auto"/>
        <w:right w:val="none" w:sz="0" w:space="0" w:color="auto"/>
      </w:divBdr>
      <w:divsChild>
        <w:div w:id="2050181548">
          <w:marLeft w:val="0"/>
          <w:marRight w:val="0"/>
          <w:marTop w:val="0"/>
          <w:marBottom w:val="0"/>
          <w:divBdr>
            <w:top w:val="none" w:sz="0" w:space="0" w:color="auto"/>
            <w:left w:val="none" w:sz="0" w:space="0" w:color="auto"/>
            <w:bottom w:val="none" w:sz="0" w:space="0" w:color="auto"/>
            <w:right w:val="none" w:sz="0" w:space="0" w:color="auto"/>
          </w:divBdr>
        </w:div>
      </w:divsChild>
    </w:div>
    <w:div w:id="949052639">
      <w:bodyDiv w:val="1"/>
      <w:marLeft w:val="0"/>
      <w:marRight w:val="0"/>
      <w:marTop w:val="0"/>
      <w:marBottom w:val="0"/>
      <w:divBdr>
        <w:top w:val="none" w:sz="0" w:space="0" w:color="auto"/>
        <w:left w:val="none" w:sz="0" w:space="0" w:color="auto"/>
        <w:bottom w:val="none" w:sz="0" w:space="0" w:color="auto"/>
        <w:right w:val="none" w:sz="0" w:space="0" w:color="auto"/>
      </w:divBdr>
    </w:div>
    <w:div w:id="950820971">
      <w:bodyDiv w:val="1"/>
      <w:marLeft w:val="0"/>
      <w:marRight w:val="0"/>
      <w:marTop w:val="0"/>
      <w:marBottom w:val="0"/>
      <w:divBdr>
        <w:top w:val="none" w:sz="0" w:space="0" w:color="auto"/>
        <w:left w:val="none" w:sz="0" w:space="0" w:color="auto"/>
        <w:bottom w:val="none" w:sz="0" w:space="0" w:color="auto"/>
        <w:right w:val="none" w:sz="0" w:space="0" w:color="auto"/>
      </w:divBdr>
    </w:div>
    <w:div w:id="969630970">
      <w:bodyDiv w:val="1"/>
      <w:marLeft w:val="0"/>
      <w:marRight w:val="0"/>
      <w:marTop w:val="0"/>
      <w:marBottom w:val="0"/>
      <w:divBdr>
        <w:top w:val="none" w:sz="0" w:space="0" w:color="auto"/>
        <w:left w:val="none" w:sz="0" w:space="0" w:color="auto"/>
        <w:bottom w:val="none" w:sz="0" w:space="0" w:color="auto"/>
        <w:right w:val="none" w:sz="0" w:space="0" w:color="auto"/>
      </w:divBdr>
    </w:div>
    <w:div w:id="987443553">
      <w:bodyDiv w:val="1"/>
      <w:marLeft w:val="0"/>
      <w:marRight w:val="0"/>
      <w:marTop w:val="0"/>
      <w:marBottom w:val="0"/>
      <w:divBdr>
        <w:top w:val="none" w:sz="0" w:space="0" w:color="auto"/>
        <w:left w:val="none" w:sz="0" w:space="0" w:color="auto"/>
        <w:bottom w:val="none" w:sz="0" w:space="0" w:color="auto"/>
        <w:right w:val="none" w:sz="0" w:space="0" w:color="auto"/>
      </w:divBdr>
    </w:div>
    <w:div w:id="990255610">
      <w:bodyDiv w:val="1"/>
      <w:marLeft w:val="0"/>
      <w:marRight w:val="0"/>
      <w:marTop w:val="0"/>
      <w:marBottom w:val="0"/>
      <w:divBdr>
        <w:top w:val="none" w:sz="0" w:space="0" w:color="auto"/>
        <w:left w:val="none" w:sz="0" w:space="0" w:color="auto"/>
        <w:bottom w:val="none" w:sz="0" w:space="0" w:color="auto"/>
        <w:right w:val="none" w:sz="0" w:space="0" w:color="auto"/>
      </w:divBdr>
    </w:div>
    <w:div w:id="994991225">
      <w:bodyDiv w:val="1"/>
      <w:marLeft w:val="0"/>
      <w:marRight w:val="0"/>
      <w:marTop w:val="0"/>
      <w:marBottom w:val="0"/>
      <w:divBdr>
        <w:top w:val="none" w:sz="0" w:space="0" w:color="auto"/>
        <w:left w:val="none" w:sz="0" w:space="0" w:color="auto"/>
        <w:bottom w:val="none" w:sz="0" w:space="0" w:color="auto"/>
        <w:right w:val="none" w:sz="0" w:space="0" w:color="auto"/>
      </w:divBdr>
    </w:div>
    <w:div w:id="1031343963">
      <w:bodyDiv w:val="1"/>
      <w:marLeft w:val="0"/>
      <w:marRight w:val="0"/>
      <w:marTop w:val="0"/>
      <w:marBottom w:val="0"/>
      <w:divBdr>
        <w:top w:val="none" w:sz="0" w:space="0" w:color="auto"/>
        <w:left w:val="none" w:sz="0" w:space="0" w:color="auto"/>
        <w:bottom w:val="none" w:sz="0" w:space="0" w:color="auto"/>
        <w:right w:val="none" w:sz="0" w:space="0" w:color="auto"/>
      </w:divBdr>
      <w:divsChild>
        <w:div w:id="1258370043">
          <w:marLeft w:val="0"/>
          <w:marRight w:val="0"/>
          <w:marTop w:val="0"/>
          <w:marBottom w:val="0"/>
          <w:divBdr>
            <w:top w:val="none" w:sz="0" w:space="0" w:color="auto"/>
            <w:left w:val="none" w:sz="0" w:space="0" w:color="auto"/>
            <w:bottom w:val="none" w:sz="0" w:space="0" w:color="auto"/>
            <w:right w:val="none" w:sz="0" w:space="0" w:color="auto"/>
          </w:divBdr>
          <w:divsChild>
            <w:div w:id="37709763">
              <w:marLeft w:val="0"/>
              <w:marRight w:val="0"/>
              <w:marTop w:val="0"/>
              <w:marBottom w:val="0"/>
              <w:divBdr>
                <w:top w:val="none" w:sz="0" w:space="0" w:color="auto"/>
                <w:left w:val="none" w:sz="0" w:space="0" w:color="auto"/>
                <w:bottom w:val="none" w:sz="0" w:space="0" w:color="auto"/>
                <w:right w:val="none" w:sz="0" w:space="0" w:color="auto"/>
              </w:divBdr>
              <w:divsChild>
                <w:div w:id="18014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1814">
      <w:bodyDiv w:val="1"/>
      <w:marLeft w:val="0"/>
      <w:marRight w:val="0"/>
      <w:marTop w:val="0"/>
      <w:marBottom w:val="0"/>
      <w:divBdr>
        <w:top w:val="none" w:sz="0" w:space="0" w:color="auto"/>
        <w:left w:val="none" w:sz="0" w:space="0" w:color="auto"/>
        <w:bottom w:val="none" w:sz="0" w:space="0" w:color="auto"/>
        <w:right w:val="none" w:sz="0" w:space="0" w:color="auto"/>
      </w:divBdr>
    </w:div>
    <w:div w:id="1094671084">
      <w:bodyDiv w:val="1"/>
      <w:marLeft w:val="0"/>
      <w:marRight w:val="0"/>
      <w:marTop w:val="0"/>
      <w:marBottom w:val="0"/>
      <w:divBdr>
        <w:top w:val="none" w:sz="0" w:space="0" w:color="auto"/>
        <w:left w:val="none" w:sz="0" w:space="0" w:color="auto"/>
        <w:bottom w:val="none" w:sz="0" w:space="0" w:color="auto"/>
        <w:right w:val="none" w:sz="0" w:space="0" w:color="auto"/>
      </w:divBdr>
    </w:div>
    <w:div w:id="1131749113">
      <w:bodyDiv w:val="1"/>
      <w:marLeft w:val="0"/>
      <w:marRight w:val="0"/>
      <w:marTop w:val="0"/>
      <w:marBottom w:val="0"/>
      <w:divBdr>
        <w:top w:val="none" w:sz="0" w:space="0" w:color="auto"/>
        <w:left w:val="none" w:sz="0" w:space="0" w:color="auto"/>
        <w:bottom w:val="none" w:sz="0" w:space="0" w:color="auto"/>
        <w:right w:val="none" w:sz="0" w:space="0" w:color="auto"/>
      </w:divBdr>
    </w:div>
    <w:div w:id="1138840142">
      <w:bodyDiv w:val="1"/>
      <w:marLeft w:val="0"/>
      <w:marRight w:val="0"/>
      <w:marTop w:val="0"/>
      <w:marBottom w:val="0"/>
      <w:divBdr>
        <w:top w:val="none" w:sz="0" w:space="0" w:color="auto"/>
        <w:left w:val="none" w:sz="0" w:space="0" w:color="auto"/>
        <w:bottom w:val="none" w:sz="0" w:space="0" w:color="auto"/>
        <w:right w:val="none" w:sz="0" w:space="0" w:color="auto"/>
      </w:divBdr>
    </w:div>
    <w:div w:id="1173376889">
      <w:bodyDiv w:val="1"/>
      <w:marLeft w:val="0"/>
      <w:marRight w:val="0"/>
      <w:marTop w:val="0"/>
      <w:marBottom w:val="0"/>
      <w:divBdr>
        <w:top w:val="none" w:sz="0" w:space="0" w:color="auto"/>
        <w:left w:val="none" w:sz="0" w:space="0" w:color="auto"/>
        <w:bottom w:val="none" w:sz="0" w:space="0" w:color="auto"/>
        <w:right w:val="none" w:sz="0" w:space="0" w:color="auto"/>
      </w:divBdr>
    </w:div>
    <w:div w:id="1197039156">
      <w:bodyDiv w:val="1"/>
      <w:marLeft w:val="0"/>
      <w:marRight w:val="0"/>
      <w:marTop w:val="0"/>
      <w:marBottom w:val="0"/>
      <w:divBdr>
        <w:top w:val="none" w:sz="0" w:space="0" w:color="auto"/>
        <w:left w:val="none" w:sz="0" w:space="0" w:color="auto"/>
        <w:bottom w:val="none" w:sz="0" w:space="0" w:color="auto"/>
        <w:right w:val="none" w:sz="0" w:space="0" w:color="auto"/>
      </w:divBdr>
    </w:div>
    <w:div w:id="1239638060">
      <w:bodyDiv w:val="1"/>
      <w:marLeft w:val="0"/>
      <w:marRight w:val="0"/>
      <w:marTop w:val="0"/>
      <w:marBottom w:val="0"/>
      <w:divBdr>
        <w:top w:val="none" w:sz="0" w:space="0" w:color="auto"/>
        <w:left w:val="none" w:sz="0" w:space="0" w:color="auto"/>
        <w:bottom w:val="none" w:sz="0" w:space="0" w:color="auto"/>
        <w:right w:val="none" w:sz="0" w:space="0" w:color="auto"/>
      </w:divBdr>
    </w:div>
    <w:div w:id="1299534905">
      <w:bodyDiv w:val="1"/>
      <w:marLeft w:val="0"/>
      <w:marRight w:val="0"/>
      <w:marTop w:val="0"/>
      <w:marBottom w:val="0"/>
      <w:divBdr>
        <w:top w:val="none" w:sz="0" w:space="0" w:color="auto"/>
        <w:left w:val="none" w:sz="0" w:space="0" w:color="auto"/>
        <w:bottom w:val="none" w:sz="0" w:space="0" w:color="auto"/>
        <w:right w:val="none" w:sz="0" w:space="0" w:color="auto"/>
      </w:divBdr>
    </w:div>
    <w:div w:id="1302231657">
      <w:bodyDiv w:val="1"/>
      <w:marLeft w:val="0"/>
      <w:marRight w:val="0"/>
      <w:marTop w:val="0"/>
      <w:marBottom w:val="0"/>
      <w:divBdr>
        <w:top w:val="none" w:sz="0" w:space="0" w:color="auto"/>
        <w:left w:val="none" w:sz="0" w:space="0" w:color="auto"/>
        <w:bottom w:val="none" w:sz="0" w:space="0" w:color="auto"/>
        <w:right w:val="none" w:sz="0" w:space="0" w:color="auto"/>
      </w:divBdr>
      <w:divsChild>
        <w:div w:id="6830118">
          <w:marLeft w:val="0"/>
          <w:marRight w:val="0"/>
          <w:marTop w:val="0"/>
          <w:marBottom w:val="0"/>
          <w:divBdr>
            <w:top w:val="none" w:sz="0" w:space="0" w:color="auto"/>
            <w:left w:val="none" w:sz="0" w:space="0" w:color="auto"/>
            <w:bottom w:val="none" w:sz="0" w:space="0" w:color="auto"/>
            <w:right w:val="none" w:sz="0" w:space="0" w:color="auto"/>
          </w:divBdr>
          <w:divsChild>
            <w:div w:id="271210278">
              <w:marLeft w:val="0"/>
              <w:marRight w:val="60"/>
              <w:marTop w:val="0"/>
              <w:marBottom w:val="0"/>
              <w:divBdr>
                <w:top w:val="none" w:sz="0" w:space="0" w:color="auto"/>
                <w:left w:val="none" w:sz="0" w:space="0" w:color="auto"/>
                <w:bottom w:val="none" w:sz="0" w:space="0" w:color="auto"/>
                <w:right w:val="none" w:sz="0" w:space="0" w:color="auto"/>
              </w:divBdr>
              <w:divsChild>
                <w:div w:id="878590493">
                  <w:marLeft w:val="0"/>
                  <w:marRight w:val="0"/>
                  <w:marTop w:val="0"/>
                  <w:marBottom w:val="0"/>
                  <w:divBdr>
                    <w:top w:val="none" w:sz="0" w:space="0" w:color="auto"/>
                    <w:left w:val="none" w:sz="0" w:space="0" w:color="auto"/>
                    <w:bottom w:val="none" w:sz="0" w:space="0" w:color="auto"/>
                    <w:right w:val="none" w:sz="0" w:space="0" w:color="auto"/>
                  </w:divBdr>
                </w:div>
                <w:div w:id="1456872922">
                  <w:marLeft w:val="0"/>
                  <w:marRight w:val="0"/>
                  <w:marTop w:val="0"/>
                  <w:marBottom w:val="120"/>
                  <w:divBdr>
                    <w:top w:val="single" w:sz="6" w:space="0" w:color="A0A0A0"/>
                    <w:left w:val="single" w:sz="6" w:space="0" w:color="B9B9B9"/>
                    <w:bottom w:val="single" w:sz="6" w:space="0" w:color="B9B9B9"/>
                    <w:right w:val="single" w:sz="6" w:space="0" w:color="B9B9B9"/>
                  </w:divBdr>
                  <w:divsChild>
                    <w:div w:id="2004894423">
                      <w:marLeft w:val="0"/>
                      <w:marRight w:val="0"/>
                      <w:marTop w:val="0"/>
                      <w:marBottom w:val="0"/>
                      <w:divBdr>
                        <w:top w:val="none" w:sz="0" w:space="0" w:color="auto"/>
                        <w:left w:val="none" w:sz="0" w:space="0" w:color="auto"/>
                        <w:bottom w:val="none" w:sz="0" w:space="0" w:color="auto"/>
                        <w:right w:val="none" w:sz="0" w:space="0" w:color="auto"/>
                      </w:divBdr>
                    </w:div>
                    <w:div w:id="204525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5259">
          <w:marLeft w:val="0"/>
          <w:marRight w:val="0"/>
          <w:marTop w:val="0"/>
          <w:marBottom w:val="0"/>
          <w:divBdr>
            <w:top w:val="none" w:sz="0" w:space="0" w:color="auto"/>
            <w:left w:val="none" w:sz="0" w:space="0" w:color="auto"/>
            <w:bottom w:val="none" w:sz="0" w:space="0" w:color="auto"/>
            <w:right w:val="none" w:sz="0" w:space="0" w:color="auto"/>
          </w:divBdr>
          <w:divsChild>
            <w:div w:id="1389259083">
              <w:marLeft w:val="60"/>
              <w:marRight w:val="0"/>
              <w:marTop w:val="0"/>
              <w:marBottom w:val="0"/>
              <w:divBdr>
                <w:top w:val="none" w:sz="0" w:space="0" w:color="auto"/>
                <w:left w:val="none" w:sz="0" w:space="0" w:color="auto"/>
                <w:bottom w:val="none" w:sz="0" w:space="0" w:color="auto"/>
                <w:right w:val="none" w:sz="0" w:space="0" w:color="auto"/>
              </w:divBdr>
              <w:divsChild>
                <w:div w:id="2133404063">
                  <w:marLeft w:val="0"/>
                  <w:marRight w:val="0"/>
                  <w:marTop w:val="0"/>
                  <w:marBottom w:val="0"/>
                  <w:divBdr>
                    <w:top w:val="none" w:sz="0" w:space="0" w:color="auto"/>
                    <w:left w:val="none" w:sz="0" w:space="0" w:color="auto"/>
                    <w:bottom w:val="none" w:sz="0" w:space="0" w:color="auto"/>
                    <w:right w:val="none" w:sz="0" w:space="0" w:color="auto"/>
                  </w:divBdr>
                  <w:divsChild>
                    <w:div w:id="1478646507">
                      <w:marLeft w:val="0"/>
                      <w:marRight w:val="0"/>
                      <w:marTop w:val="0"/>
                      <w:marBottom w:val="120"/>
                      <w:divBdr>
                        <w:top w:val="single" w:sz="6" w:space="0" w:color="F5F5F5"/>
                        <w:left w:val="single" w:sz="6" w:space="0" w:color="F5F5F5"/>
                        <w:bottom w:val="single" w:sz="6" w:space="0" w:color="F5F5F5"/>
                        <w:right w:val="single" w:sz="6" w:space="0" w:color="F5F5F5"/>
                      </w:divBdr>
                      <w:divsChild>
                        <w:div w:id="1575583268">
                          <w:marLeft w:val="0"/>
                          <w:marRight w:val="0"/>
                          <w:marTop w:val="0"/>
                          <w:marBottom w:val="0"/>
                          <w:divBdr>
                            <w:top w:val="none" w:sz="0" w:space="0" w:color="auto"/>
                            <w:left w:val="none" w:sz="0" w:space="0" w:color="auto"/>
                            <w:bottom w:val="none" w:sz="0" w:space="0" w:color="auto"/>
                            <w:right w:val="none" w:sz="0" w:space="0" w:color="auto"/>
                          </w:divBdr>
                          <w:divsChild>
                            <w:div w:id="3951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287260">
      <w:bodyDiv w:val="1"/>
      <w:marLeft w:val="0"/>
      <w:marRight w:val="0"/>
      <w:marTop w:val="0"/>
      <w:marBottom w:val="0"/>
      <w:divBdr>
        <w:top w:val="none" w:sz="0" w:space="0" w:color="auto"/>
        <w:left w:val="none" w:sz="0" w:space="0" w:color="auto"/>
        <w:bottom w:val="none" w:sz="0" w:space="0" w:color="auto"/>
        <w:right w:val="none" w:sz="0" w:space="0" w:color="auto"/>
      </w:divBdr>
    </w:div>
    <w:div w:id="1337418803">
      <w:bodyDiv w:val="1"/>
      <w:marLeft w:val="0"/>
      <w:marRight w:val="0"/>
      <w:marTop w:val="0"/>
      <w:marBottom w:val="0"/>
      <w:divBdr>
        <w:top w:val="none" w:sz="0" w:space="0" w:color="auto"/>
        <w:left w:val="none" w:sz="0" w:space="0" w:color="auto"/>
        <w:bottom w:val="none" w:sz="0" w:space="0" w:color="auto"/>
        <w:right w:val="none" w:sz="0" w:space="0" w:color="auto"/>
      </w:divBdr>
    </w:div>
    <w:div w:id="1338313332">
      <w:bodyDiv w:val="1"/>
      <w:marLeft w:val="0"/>
      <w:marRight w:val="0"/>
      <w:marTop w:val="0"/>
      <w:marBottom w:val="0"/>
      <w:divBdr>
        <w:top w:val="none" w:sz="0" w:space="0" w:color="auto"/>
        <w:left w:val="none" w:sz="0" w:space="0" w:color="auto"/>
        <w:bottom w:val="none" w:sz="0" w:space="0" w:color="auto"/>
        <w:right w:val="none" w:sz="0" w:space="0" w:color="auto"/>
      </w:divBdr>
    </w:div>
    <w:div w:id="1392383849">
      <w:bodyDiv w:val="1"/>
      <w:marLeft w:val="0"/>
      <w:marRight w:val="0"/>
      <w:marTop w:val="0"/>
      <w:marBottom w:val="0"/>
      <w:divBdr>
        <w:top w:val="none" w:sz="0" w:space="0" w:color="auto"/>
        <w:left w:val="none" w:sz="0" w:space="0" w:color="auto"/>
        <w:bottom w:val="none" w:sz="0" w:space="0" w:color="auto"/>
        <w:right w:val="none" w:sz="0" w:space="0" w:color="auto"/>
      </w:divBdr>
    </w:div>
    <w:div w:id="1424182749">
      <w:bodyDiv w:val="1"/>
      <w:marLeft w:val="0"/>
      <w:marRight w:val="0"/>
      <w:marTop w:val="0"/>
      <w:marBottom w:val="0"/>
      <w:divBdr>
        <w:top w:val="none" w:sz="0" w:space="0" w:color="auto"/>
        <w:left w:val="none" w:sz="0" w:space="0" w:color="auto"/>
        <w:bottom w:val="none" w:sz="0" w:space="0" w:color="auto"/>
        <w:right w:val="none" w:sz="0" w:space="0" w:color="auto"/>
      </w:divBdr>
    </w:div>
    <w:div w:id="1427190859">
      <w:bodyDiv w:val="1"/>
      <w:marLeft w:val="0"/>
      <w:marRight w:val="0"/>
      <w:marTop w:val="0"/>
      <w:marBottom w:val="0"/>
      <w:divBdr>
        <w:top w:val="none" w:sz="0" w:space="0" w:color="auto"/>
        <w:left w:val="none" w:sz="0" w:space="0" w:color="auto"/>
        <w:bottom w:val="none" w:sz="0" w:space="0" w:color="auto"/>
        <w:right w:val="none" w:sz="0" w:space="0" w:color="auto"/>
      </w:divBdr>
    </w:div>
    <w:div w:id="1439643182">
      <w:bodyDiv w:val="1"/>
      <w:marLeft w:val="0"/>
      <w:marRight w:val="0"/>
      <w:marTop w:val="0"/>
      <w:marBottom w:val="0"/>
      <w:divBdr>
        <w:top w:val="none" w:sz="0" w:space="0" w:color="auto"/>
        <w:left w:val="none" w:sz="0" w:space="0" w:color="auto"/>
        <w:bottom w:val="none" w:sz="0" w:space="0" w:color="auto"/>
        <w:right w:val="none" w:sz="0" w:space="0" w:color="auto"/>
      </w:divBdr>
    </w:div>
    <w:div w:id="1441681978">
      <w:bodyDiv w:val="1"/>
      <w:marLeft w:val="0"/>
      <w:marRight w:val="0"/>
      <w:marTop w:val="0"/>
      <w:marBottom w:val="0"/>
      <w:divBdr>
        <w:top w:val="none" w:sz="0" w:space="0" w:color="auto"/>
        <w:left w:val="none" w:sz="0" w:space="0" w:color="auto"/>
        <w:bottom w:val="none" w:sz="0" w:space="0" w:color="auto"/>
        <w:right w:val="none" w:sz="0" w:space="0" w:color="auto"/>
      </w:divBdr>
    </w:div>
    <w:div w:id="1446194549">
      <w:bodyDiv w:val="1"/>
      <w:marLeft w:val="0"/>
      <w:marRight w:val="0"/>
      <w:marTop w:val="0"/>
      <w:marBottom w:val="0"/>
      <w:divBdr>
        <w:top w:val="none" w:sz="0" w:space="0" w:color="auto"/>
        <w:left w:val="none" w:sz="0" w:space="0" w:color="auto"/>
        <w:bottom w:val="none" w:sz="0" w:space="0" w:color="auto"/>
        <w:right w:val="none" w:sz="0" w:space="0" w:color="auto"/>
      </w:divBdr>
    </w:div>
    <w:div w:id="1452941725">
      <w:bodyDiv w:val="1"/>
      <w:marLeft w:val="0"/>
      <w:marRight w:val="0"/>
      <w:marTop w:val="0"/>
      <w:marBottom w:val="0"/>
      <w:divBdr>
        <w:top w:val="none" w:sz="0" w:space="0" w:color="auto"/>
        <w:left w:val="none" w:sz="0" w:space="0" w:color="auto"/>
        <w:bottom w:val="none" w:sz="0" w:space="0" w:color="auto"/>
        <w:right w:val="none" w:sz="0" w:space="0" w:color="auto"/>
      </w:divBdr>
    </w:div>
    <w:div w:id="1460495097">
      <w:bodyDiv w:val="1"/>
      <w:marLeft w:val="0"/>
      <w:marRight w:val="0"/>
      <w:marTop w:val="0"/>
      <w:marBottom w:val="0"/>
      <w:divBdr>
        <w:top w:val="none" w:sz="0" w:space="0" w:color="auto"/>
        <w:left w:val="none" w:sz="0" w:space="0" w:color="auto"/>
        <w:bottom w:val="none" w:sz="0" w:space="0" w:color="auto"/>
        <w:right w:val="none" w:sz="0" w:space="0" w:color="auto"/>
      </w:divBdr>
    </w:div>
    <w:div w:id="1477527966">
      <w:bodyDiv w:val="1"/>
      <w:marLeft w:val="0"/>
      <w:marRight w:val="0"/>
      <w:marTop w:val="0"/>
      <w:marBottom w:val="0"/>
      <w:divBdr>
        <w:top w:val="none" w:sz="0" w:space="0" w:color="auto"/>
        <w:left w:val="none" w:sz="0" w:space="0" w:color="auto"/>
        <w:bottom w:val="none" w:sz="0" w:space="0" w:color="auto"/>
        <w:right w:val="none" w:sz="0" w:space="0" w:color="auto"/>
      </w:divBdr>
    </w:div>
    <w:div w:id="1479610548">
      <w:bodyDiv w:val="1"/>
      <w:marLeft w:val="0"/>
      <w:marRight w:val="0"/>
      <w:marTop w:val="0"/>
      <w:marBottom w:val="0"/>
      <w:divBdr>
        <w:top w:val="none" w:sz="0" w:space="0" w:color="auto"/>
        <w:left w:val="none" w:sz="0" w:space="0" w:color="auto"/>
        <w:bottom w:val="none" w:sz="0" w:space="0" w:color="auto"/>
        <w:right w:val="none" w:sz="0" w:space="0" w:color="auto"/>
      </w:divBdr>
    </w:div>
    <w:div w:id="1482693607">
      <w:bodyDiv w:val="1"/>
      <w:marLeft w:val="0"/>
      <w:marRight w:val="0"/>
      <w:marTop w:val="0"/>
      <w:marBottom w:val="0"/>
      <w:divBdr>
        <w:top w:val="none" w:sz="0" w:space="0" w:color="auto"/>
        <w:left w:val="none" w:sz="0" w:space="0" w:color="auto"/>
        <w:bottom w:val="none" w:sz="0" w:space="0" w:color="auto"/>
        <w:right w:val="none" w:sz="0" w:space="0" w:color="auto"/>
      </w:divBdr>
    </w:div>
    <w:div w:id="1491287937">
      <w:bodyDiv w:val="1"/>
      <w:marLeft w:val="0"/>
      <w:marRight w:val="0"/>
      <w:marTop w:val="0"/>
      <w:marBottom w:val="0"/>
      <w:divBdr>
        <w:top w:val="none" w:sz="0" w:space="0" w:color="auto"/>
        <w:left w:val="none" w:sz="0" w:space="0" w:color="auto"/>
        <w:bottom w:val="none" w:sz="0" w:space="0" w:color="auto"/>
        <w:right w:val="none" w:sz="0" w:space="0" w:color="auto"/>
      </w:divBdr>
    </w:div>
    <w:div w:id="1493915193">
      <w:bodyDiv w:val="1"/>
      <w:marLeft w:val="0"/>
      <w:marRight w:val="0"/>
      <w:marTop w:val="0"/>
      <w:marBottom w:val="0"/>
      <w:divBdr>
        <w:top w:val="none" w:sz="0" w:space="0" w:color="auto"/>
        <w:left w:val="none" w:sz="0" w:space="0" w:color="auto"/>
        <w:bottom w:val="none" w:sz="0" w:space="0" w:color="auto"/>
        <w:right w:val="none" w:sz="0" w:space="0" w:color="auto"/>
      </w:divBdr>
    </w:div>
    <w:div w:id="1509633468">
      <w:bodyDiv w:val="1"/>
      <w:marLeft w:val="0"/>
      <w:marRight w:val="0"/>
      <w:marTop w:val="0"/>
      <w:marBottom w:val="0"/>
      <w:divBdr>
        <w:top w:val="none" w:sz="0" w:space="0" w:color="auto"/>
        <w:left w:val="none" w:sz="0" w:space="0" w:color="auto"/>
        <w:bottom w:val="none" w:sz="0" w:space="0" w:color="auto"/>
        <w:right w:val="none" w:sz="0" w:space="0" w:color="auto"/>
      </w:divBdr>
    </w:div>
    <w:div w:id="1559978295">
      <w:bodyDiv w:val="1"/>
      <w:marLeft w:val="0"/>
      <w:marRight w:val="0"/>
      <w:marTop w:val="0"/>
      <w:marBottom w:val="0"/>
      <w:divBdr>
        <w:top w:val="none" w:sz="0" w:space="0" w:color="auto"/>
        <w:left w:val="none" w:sz="0" w:space="0" w:color="auto"/>
        <w:bottom w:val="none" w:sz="0" w:space="0" w:color="auto"/>
        <w:right w:val="none" w:sz="0" w:space="0" w:color="auto"/>
      </w:divBdr>
    </w:div>
    <w:div w:id="1561402529">
      <w:bodyDiv w:val="1"/>
      <w:marLeft w:val="0"/>
      <w:marRight w:val="0"/>
      <w:marTop w:val="0"/>
      <w:marBottom w:val="0"/>
      <w:divBdr>
        <w:top w:val="none" w:sz="0" w:space="0" w:color="auto"/>
        <w:left w:val="none" w:sz="0" w:space="0" w:color="auto"/>
        <w:bottom w:val="none" w:sz="0" w:space="0" w:color="auto"/>
        <w:right w:val="none" w:sz="0" w:space="0" w:color="auto"/>
      </w:divBdr>
      <w:divsChild>
        <w:div w:id="298191108">
          <w:marLeft w:val="0"/>
          <w:marRight w:val="0"/>
          <w:marTop w:val="0"/>
          <w:marBottom w:val="0"/>
          <w:divBdr>
            <w:top w:val="none" w:sz="0" w:space="0" w:color="auto"/>
            <w:left w:val="none" w:sz="0" w:space="0" w:color="auto"/>
            <w:bottom w:val="none" w:sz="0" w:space="0" w:color="auto"/>
            <w:right w:val="none" w:sz="0" w:space="0" w:color="auto"/>
          </w:divBdr>
          <w:divsChild>
            <w:div w:id="1658223375">
              <w:marLeft w:val="0"/>
              <w:marRight w:val="0"/>
              <w:marTop w:val="0"/>
              <w:marBottom w:val="0"/>
              <w:divBdr>
                <w:top w:val="none" w:sz="0" w:space="0" w:color="auto"/>
                <w:left w:val="none" w:sz="0" w:space="0" w:color="auto"/>
                <w:bottom w:val="none" w:sz="0" w:space="0" w:color="auto"/>
                <w:right w:val="none" w:sz="0" w:space="0" w:color="auto"/>
              </w:divBdr>
              <w:divsChild>
                <w:div w:id="9748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85261">
      <w:bodyDiv w:val="1"/>
      <w:marLeft w:val="0"/>
      <w:marRight w:val="0"/>
      <w:marTop w:val="0"/>
      <w:marBottom w:val="0"/>
      <w:divBdr>
        <w:top w:val="none" w:sz="0" w:space="0" w:color="auto"/>
        <w:left w:val="none" w:sz="0" w:space="0" w:color="auto"/>
        <w:bottom w:val="none" w:sz="0" w:space="0" w:color="auto"/>
        <w:right w:val="none" w:sz="0" w:space="0" w:color="auto"/>
      </w:divBdr>
    </w:div>
    <w:div w:id="1569458844">
      <w:bodyDiv w:val="1"/>
      <w:marLeft w:val="0"/>
      <w:marRight w:val="0"/>
      <w:marTop w:val="0"/>
      <w:marBottom w:val="0"/>
      <w:divBdr>
        <w:top w:val="none" w:sz="0" w:space="0" w:color="auto"/>
        <w:left w:val="none" w:sz="0" w:space="0" w:color="auto"/>
        <w:bottom w:val="none" w:sz="0" w:space="0" w:color="auto"/>
        <w:right w:val="none" w:sz="0" w:space="0" w:color="auto"/>
      </w:divBdr>
    </w:div>
    <w:div w:id="1614945208">
      <w:bodyDiv w:val="1"/>
      <w:marLeft w:val="0"/>
      <w:marRight w:val="0"/>
      <w:marTop w:val="0"/>
      <w:marBottom w:val="0"/>
      <w:divBdr>
        <w:top w:val="none" w:sz="0" w:space="0" w:color="auto"/>
        <w:left w:val="none" w:sz="0" w:space="0" w:color="auto"/>
        <w:bottom w:val="none" w:sz="0" w:space="0" w:color="auto"/>
        <w:right w:val="none" w:sz="0" w:space="0" w:color="auto"/>
      </w:divBdr>
    </w:div>
    <w:div w:id="1658151036">
      <w:bodyDiv w:val="1"/>
      <w:marLeft w:val="0"/>
      <w:marRight w:val="0"/>
      <w:marTop w:val="0"/>
      <w:marBottom w:val="0"/>
      <w:divBdr>
        <w:top w:val="none" w:sz="0" w:space="0" w:color="auto"/>
        <w:left w:val="none" w:sz="0" w:space="0" w:color="auto"/>
        <w:bottom w:val="none" w:sz="0" w:space="0" w:color="auto"/>
        <w:right w:val="none" w:sz="0" w:space="0" w:color="auto"/>
      </w:divBdr>
    </w:div>
    <w:div w:id="1665933887">
      <w:bodyDiv w:val="1"/>
      <w:marLeft w:val="0"/>
      <w:marRight w:val="0"/>
      <w:marTop w:val="0"/>
      <w:marBottom w:val="0"/>
      <w:divBdr>
        <w:top w:val="none" w:sz="0" w:space="0" w:color="auto"/>
        <w:left w:val="none" w:sz="0" w:space="0" w:color="auto"/>
        <w:bottom w:val="none" w:sz="0" w:space="0" w:color="auto"/>
        <w:right w:val="none" w:sz="0" w:space="0" w:color="auto"/>
      </w:divBdr>
    </w:div>
    <w:div w:id="1684816943">
      <w:bodyDiv w:val="1"/>
      <w:marLeft w:val="0"/>
      <w:marRight w:val="0"/>
      <w:marTop w:val="0"/>
      <w:marBottom w:val="0"/>
      <w:divBdr>
        <w:top w:val="none" w:sz="0" w:space="0" w:color="auto"/>
        <w:left w:val="none" w:sz="0" w:space="0" w:color="auto"/>
        <w:bottom w:val="none" w:sz="0" w:space="0" w:color="auto"/>
        <w:right w:val="none" w:sz="0" w:space="0" w:color="auto"/>
      </w:divBdr>
    </w:div>
    <w:div w:id="1707481262">
      <w:bodyDiv w:val="1"/>
      <w:marLeft w:val="0"/>
      <w:marRight w:val="0"/>
      <w:marTop w:val="0"/>
      <w:marBottom w:val="0"/>
      <w:divBdr>
        <w:top w:val="none" w:sz="0" w:space="0" w:color="auto"/>
        <w:left w:val="none" w:sz="0" w:space="0" w:color="auto"/>
        <w:bottom w:val="none" w:sz="0" w:space="0" w:color="auto"/>
        <w:right w:val="none" w:sz="0" w:space="0" w:color="auto"/>
      </w:divBdr>
    </w:div>
    <w:div w:id="1712342448">
      <w:bodyDiv w:val="1"/>
      <w:marLeft w:val="0"/>
      <w:marRight w:val="0"/>
      <w:marTop w:val="0"/>
      <w:marBottom w:val="0"/>
      <w:divBdr>
        <w:top w:val="none" w:sz="0" w:space="0" w:color="auto"/>
        <w:left w:val="none" w:sz="0" w:space="0" w:color="auto"/>
        <w:bottom w:val="none" w:sz="0" w:space="0" w:color="auto"/>
        <w:right w:val="none" w:sz="0" w:space="0" w:color="auto"/>
      </w:divBdr>
    </w:div>
    <w:div w:id="1722172258">
      <w:bodyDiv w:val="1"/>
      <w:marLeft w:val="0"/>
      <w:marRight w:val="0"/>
      <w:marTop w:val="0"/>
      <w:marBottom w:val="0"/>
      <w:divBdr>
        <w:top w:val="none" w:sz="0" w:space="0" w:color="auto"/>
        <w:left w:val="none" w:sz="0" w:space="0" w:color="auto"/>
        <w:bottom w:val="none" w:sz="0" w:space="0" w:color="auto"/>
        <w:right w:val="none" w:sz="0" w:space="0" w:color="auto"/>
      </w:divBdr>
    </w:div>
    <w:div w:id="1741292360">
      <w:bodyDiv w:val="1"/>
      <w:marLeft w:val="0"/>
      <w:marRight w:val="0"/>
      <w:marTop w:val="0"/>
      <w:marBottom w:val="0"/>
      <w:divBdr>
        <w:top w:val="none" w:sz="0" w:space="0" w:color="auto"/>
        <w:left w:val="none" w:sz="0" w:space="0" w:color="auto"/>
        <w:bottom w:val="none" w:sz="0" w:space="0" w:color="auto"/>
        <w:right w:val="none" w:sz="0" w:space="0" w:color="auto"/>
      </w:divBdr>
    </w:div>
    <w:div w:id="1749960372">
      <w:bodyDiv w:val="1"/>
      <w:marLeft w:val="0"/>
      <w:marRight w:val="0"/>
      <w:marTop w:val="0"/>
      <w:marBottom w:val="0"/>
      <w:divBdr>
        <w:top w:val="none" w:sz="0" w:space="0" w:color="auto"/>
        <w:left w:val="none" w:sz="0" w:space="0" w:color="auto"/>
        <w:bottom w:val="none" w:sz="0" w:space="0" w:color="auto"/>
        <w:right w:val="none" w:sz="0" w:space="0" w:color="auto"/>
      </w:divBdr>
    </w:div>
    <w:div w:id="1750729835">
      <w:bodyDiv w:val="1"/>
      <w:marLeft w:val="0"/>
      <w:marRight w:val="0"/>
      <w:marTop w:val="0"/>
      <w:marBottom w:val="0"/>
      <w:divBdr>
        <w:top w:val="none" w:sz="0" w:space="0" w:color="auto"/>
        <w:left w:val="none" w:sz="0" w:space="0" w:color="auto"/>
        <w:bottom w:val="none" w:sz="0" w:space="0" w:color="auto"/>
        <w:right w:val="none" w:sz="0" w:space="0" w:color="auto"/>
      </w:divBdr>
    </w:div>
    <w:div w:id="1768573722">
      <w:bodyDiv w:val="1"/>
      <w:marLeft w:val="0"/>
      <w:marRight w:val="0"/>
      <w:marTop w:val="0"/>
      <w:marBottom w:val="0"/>
      <w:divBdr>
        <w:top w:val="none" w:sz="0" w:space="0" w:color="auto"/>
        <w:left w:val="none" w:sz="0" w:space="0" w:color="auto"/>
        <w:bottom w:val="none" w:sz="0" w:space="0" w:color="auto"/>
        <w:right w:val="none" w:sz="0" w:space="0" w:color="auto"/>
      </w:divBdr>
    </w:div>
    <w:div w:id="1794598670">
      <w:bodyDiv w:val="1"/>
      <w:marLeft w:val="0"/>
      <w:marRight w:val="0"/>
      <w:marTop w:val="0"/>
      <w:marBottom w:val="0"/>
      <w:divBdr>
        <w:top w:val="none" w:sz="0" w:space="0" w:color="auto"/>
        <w:left w:val="none" w:sz="0" w:space="0" w:color="auto"/>
        <w:bottom w:val="none" w:sz="0" w:space="0" w:color="auto"/>
        <w:right w:val="none" w:sz="0" w:space="0" w:color="auto"/>
      </w:divBdr>
    </w:div>
    <w:div w:id="1807891222">
      <w:bodyDiv w:val="1"/>
      <w:marLeft w:val="0"/>
      <w:marRight w:val="0"/>
      <w:marTop w:val="0"/>
      <w:marBottom w:val="0"/>
      <w:divBdr>
        <w:top w:val="none" w:sz="0" w:space="0" w:color="auto"/>
        <w:left w:val="none" w:sz="0" w:space="0" w:color="auto"/>
        <w:bottom w:val="none" w:sz="0" w:space="0" w:color="auto"/>
        <w:right w:val="none" w:sz="0" w:space="0" w:color="auto"/>
      </w:divBdr>
    </w:div>
    <w:div w:id="1824200806">
      <w:bodyDiv w:val="1"/>
      <w:marLeft w:val="0"/>
      <w:marRight w:val="0"/>
      <w:marTop w:val="0"/>
      <w:marBottom w:val="0"/>
      <w:divBdr>
        <w:top w:val="none" w:sz="0" w:space="0" w:color="auto"/>
        <w:left w:val="none" w:sz="0" w:space="0" w:color="auto"/>
        <w:bottom w:val="none" w:sz="0" w:space="0" w:color="auto"/>
        <w:right w:val="none" w:sz="0" w:space="0" w:color="auto"/>
      </w:divBdr>
    </w:div>
    <w:div w:id="1831142427">
      <w:bodyDiv w:val="1"/>
      <w:marLeft w:val="0"/>
      <w:marRight w:val="0"/>
      <w:marTop w:val="0"/>
      <w:marBottom w:val="0"/>
      <w:divBdr>
        <w:top w:val="none" w:sz="0" w:space="0" w:color="auto"/>
        <w:left w:val="none" w:sz="0" w:space="0" w:color="auto"/>
        <w:bottom w:val="none" w:sz="0" w:space="0" w:color="auto"/>
        <w:right w:val="none" w:sz="0" w:space="0" w:color="auto"/>
      </w:divBdr>
    </w:div>
    <w:div w:id="1839735055">
      <w:bodyDiv w:val="1"/>
      <w:marLeft w:val="0"/>
      <w:marRight w:val="0"/>
      <w:marTop w:val="0"/>
      <w:marBottom w:val="0"/>
      <w:divBdr>
        <w:top w:val="none" w:sz="0" w:space="0" w:color="auto"/>
        <w:left w:val="none" w:sz="0" w:space="0" w:color="auto"/>
        <w:bottom w:val="none" w:sz="0" w:space="0" w:color="auto"/>
        <w:right w:val="none" w:sz="0" w:space="0" w:color="auto"/>
      </w:divBdr>
      <w:divsChild>
        <w:div w:id="1946645185">
          <w:marLeft w:val="0"/>
          <w:marRight w:val="0"/>
          <w:marTop w:val="0"/>
          <w:marBottom w:val="0"/>
          <w:divBdr>
            <w:top w:val="none" w:sz="0" w:space="0" w:color="auto"/>
            <w:left w:val="none" w:sz="0" w:space="0" w:color="auto"/>
            <w:bottom w:val="none" w:sz="0" w:space="0" w:color="auto"/>
            <w:right w:val="none" w:sz="0" w:space="0" w:color="auto"/>
          </w:divBdr>
          <w:divsChild>
            <w:div w:id="419369898">
              <w:marLeft w:val="0"/>
              <w:marRight w:val="0"/>
              <w:marTop w:val="0"/>
              <w:marBottom w:val="0"/>
              <w:divBdr>
                <w:top w:val="none" w:sz="0" w:space="0" w:color="auto"/>
                <w:left w:val="none" w:sz="0" w:space="0" w:color="auto"/>
                <w:bottom w:val="none" w:sz="0" w:space="0" w:color="auto"/>
                <w:right w:val="none" w:sz="0" w:space="0" w:color="auto"/>
              </w:divBdr>
              <w:divsChild>
                <w:div w:id="10333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48876">
      <w:bodyDiv w:val="1"/>
      <w:marLeft w:val="0"/>
      <w:marRight w:val="0"/>
      <w:marTop w:val="0"/>
      <w:marBottom w:val="0"/>
      <w:divBdr>
        <w:top w:val="none" w:sz="0" w:space="0" w:color="auto"/>
        <w:left w:val="none" w:sz="0" w:space="0" w:color="auto"/>
        <w:bottom w:val="none" w:sz="0" w:space="0" w:color="auto"/>
        <w:right w:val="none" w:sz="0" w:space="0" w:color="auto"/>
      </w:divBdr>
    </w:div>
    <w:div w:id="1863088318">
      <w:bodyDiv w:val="1"/>
      <w:marLeft w:val="0"/>
      <w:marRight w:val="0"/>
      <w:marTop w:val="0"/>
      <w:marBottom w:val="0"/>
      <w:divBdr>
        <w:top w:val="none" w:sz="0" w:space="0" w:color="auto"/>
        <w:left w:val="none" w:sz="0" w:space="0" w:color="auto"/>
        <w:bottom w:val="none" w:sz="0" w:space="0" w:color="auto"/>
        <w:right w:val="none" w:sz="0" w:space="0" w:color="auto"/>
      </w:divBdr>
    </w:div>
    <w:div w:id="1919633435">
      <w:bodyDiv w:val="1"/>
      <w:marLeft w:val="0"/>
      <w:marRight w:val="0"/>
      <w:marTop w:val="0"/>
      <w:marBottom w:val="0"/>
      <w:divBdr>
        <w:top w:val="none" w:sz="0" w:space="0" w:color="auto"/>
        <w:left w:val="none" w:sz="0" w:space="0" w:color="auto"/>
        <w:bottom w:val="none" w:sz="0" w:space="0" w:color="auto"/>
        <w:right w:val="none" w:sz="0" w:space="0" w:color="auto"/>
      </w:divBdr>
    </w:div>
    <w:div w:id="1922907247">
      <w:bodyDiv w:val="1"/>
      <w:marLeft w:val="0"/>
      <w:marRight w:val="0"/>
      <w:marTop w:val="0"/>
      <w:marBottom w:val="0"/>
      <w:divBdr>
        <w:top w:val="none" w:sz="0" w:space="0" w:color="auto"/>
        <w:left w:val="none" w:sz="0" w:space="0" w:color="auto"/>
        <w:bottom w:val="none" w:sz="0" w:space="0" w:color="auto"/>
        <w:right w:val="none" w:sz="0" w:space="0" w:color="auto"/>
      </w:divBdr>
    </w:div>
    <w:div w:id="1947811436">
      <w:bodyDiv w:val="1"/>
      <w:marLeft w:val="0"/>
      <w:marRight w:val="0"/>
      <w:marTop w:val="0"/>
      <w:marBottom w:val="0"/>
      <w:divBdr>
        <w:top w:val="none" w:sz="0" w:space="0" w:color="auto"/>
        <w:left w:val="none" w:sz="0" w:space="0" w:color="auto"/>
        <w:bottom w:val="none" w:sz="0" w:space="0" w:color="auto"/>
        <w:right w:val="none" w:sz="0" w:space="0" w:color="auto"/>
      </w:divBdr>
    </w:div>
    <w:div w:id="1948270020">
      <w:bodyDiv w:val="1"/>
      <w:marLeft w:val="0"/>
      <w:marRight w:val="0"/>
      <w:marTop w:val="0"/>
      <w:marBottom w:val="0"/>
      <w:divBdr>
        <w:top w:val="none" w:sz="0" w:space="0" w:color="auto"/>
        <w:left w:val="none" w:sz="0" w:space="0" w:color="auto"/>
        <w:bottom w:val="none" w:sz="0" w:space="0" w:color="auto"/>
        <w:right w:val="none" w:sz="0" w:space="0" w:color="auto"/>
      </w:divBdr>
    </w:div>
    <w:div w:id="1954091899">
      <w:bodyDiv w:val="1"/>
      <w:marLeft w:val="0"/>
      <w:marRight w:val="0"/>
      <w:marTop w:val="0"/>
      <w:marBottom w:val="0"/>
      <w:divBdr>
        <w:top w:val="none" w:sz="0" w:space="0" w:color="auto"/>
        <w:left w:val="none" w:sz="0" w:space="0" w:color="auto"/>
        <w:bottom w:val="none" w:sz="0" w:space="0" w:color="auto"/>
        <w:right w:val="none" w:sz="0" w:space="0" w:color="auto"/>
      </w:divBdr>
    </w:div>
    <w:div w:id="1958827520">
      <w:bodyDiv w:val="1"/>
      <w:marLeft w:val="0"/>
      <w:marRight w:val="0"/>
      <w:marTop w:val="0"/>
      <w:marBottom w:val="0"/>
      <w:divBdr>
        <w:top w:val="none" w:sz="0" w:space="0" w:color="auto"/>
        <w:left w:val="none" w:sz="0" w:space="0" w:color="auto"/>
        <w:bottom w:val="none" w:sz="0" w:space="0" w:color="auto"/>
        <w:right w:val="none" w:sz="0" w:space="0" w:color="auto"/>
      </w:divBdr>
    </w:div>
    <w:div w:id="1972245359">
      <w:bodyDiv w:val="1"/>
      <w:marLeft w:val="0"/>
      <w:marRight w:val="0"/>
      <w:marTop w:val="0"/>
      <w:marBottom w:val="0"/>
      <w:divBdr>
        <w:top w:val="none" w:sz="0" w:space="0" w:color="auto"/>
        <w:left w:val="none" w:sz="0" w:space="0" w:color="auto"/>
        <w:bottom w:val="none" w:sz="0" w:space="0" w:color="auto"/>
        <w:right w:val="none" w:sz="0" w:space="0" w:color="auto"/>
      </w:divBdr>
      <w:divsChild>
        <w:div w:id="1692754353">
          <w:marLeft w:val="0"/>
          <w:marRight w:val="0"/>
          <w:marTop w:val="0"/>
          <w:marBottom w:val="0"/>
          <w:divBdr>
            <w:top w:val="none" w:sz="0" w:space="0" w:color="auto"/>
            <w:left w:val="none" w:sz="0" w:space="0" w:color="auto"/>
            <w:bottom w:val="none" w:sz="0" w:space="0" w:color="auto"/>
            <w:right w:val="none" w:sz="0" w:space="0" w:color="auto"/>
          </w:divBdr>
          <w:divsChild>
            <w:div w:id="701175695">
              <w:marLeft w:val="0"/>
              <w:marRight w:val="0"/>
              <w:marTop w:val="0"/>
              <w:marBottom w:val="0"/>
              <w:divBdr>
                <w:top w:val="none" w:sz="0" w:space="0" w:color="auto"/>
                <w:left w:val="none" w:sz="0" w:space="0" w:color="auto"/>
                <w:bottom w:val="none" w:sz="0" w:space="0" w:color="auto"/>
                <w:right w:val="none" w:sz="0" w:space="0" w:color="auto"/>
              </w:divBdr>
              <w:divsChild>
                <w:div w:id="5851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29469">
      <w:bodyDiv w:val="1"/>
      <w:marLeft w:val="0"/>
      <w:marRight w:val="0"/>
      <w:marTop w:val="0"/>
      <w:marBottom w:val="0"/>
      <w:divBdr>
        <w:top w:val="none" w:sz="0" w:space="0" w:color="auto"/>
        <w:left w:val="none" w:sz="0" w:space="0" w:color="auto"/>
        <w:bottom w:val="none" w:sz="0" w:space="0" w:color="auto"/>
        <w:right w:val="none" w:sz="0" w:space="0" w:color="auto"/>
      </w:divBdr>
    </w:div>
    <w:div w:id="1992975114">
      <w:bodyDiv w:val="1"/>
      <w:marLeft w:val="0"/>
      <w:marRight w:val="0"/>
      <w:marTop w:val="0"/>
      <w:marBottom w:val="0"/>
      <w:divBdr>
        <w:top w:val="none" w:sz="0" w:space="0" w:color="auto"/>
        <w:left w:val="none" w:sz="0" w:space="0" w:color="auto"/>
        <w:bottom w:val="none" w:sz="0" w:space="0" w:color="auto"/>
        <w:right w:val="none" w:sz="0" w:space="0" w:color="auto"/>
      </w:divBdr>
    </w:div>
    <w:div w:id="2006666984">
      <w:bodyDiv w:val="1"/>
      <w:marLeft w:val="0"/>
      <w:marRight w:val="0"/>
      <w:marTop w:val="0"/>
      <w:marBottom w:val="0"/>
      <w:divBdr>
        <w:top w:val="none" w:sz="0" w:space="0" w:color="auto"/>
        <w:left w:val="none" w:sz="0" w:space="0" w:color="auto"/>
        <w:bottom w:val="none" w:sz="0" w:space="0" w:color="auto"/>
        <w:right w:val="none" w:sz="0" w:space="0" w:color="auto"/>
      </w:divBdr>
    </w:div>
    <w:div w:id="2017419924">
      <w:bodyDiv w:val="1"/>
      <w:marLeft w:val="0"/>
      <w:marRight w:val="0"/>
      <w:marTop w:val="0"/>
      <w:marBottom w:val="0"/>
      <w:divBdr>
        <w:top w:val="none" w:sz="0" w:space="0" w:color="auto"/>
        <w:left w:val="none" w:sz="0" w:space="0" w:color="auto"/>
        <w:bottom w:val="none" w:sz="0" w:space="0" w:color="auto"/>
        <w:right w:val="none" w:sz="0" w:space="0" w:color="auto"/>
      </w:divBdr>
    </w:div>
    <w:div w:id="2044867649">
      <w:bodyDiv w:val="1"/>
      <w:marLeft w:val="0"/>
      <w:marRight w:val="0"/>
      <w:marTop w:val="0"/>
      <w:marBottom w:val="0"/>
      <w:divBdr>
        <w:top w:val="none" w:sz="0" w:space="0" w:color="auto"/>
        <w:left w:val="none" w:sz="0" w:space="0" w:color="auto"/>
        <w:bottom w:val="none" w:sz="0" w:space="0" w:color="auto"/>
        <w:right w:val="none" w:sz="0" w:space="0" w:color="auto"/>
      </w:divBdr>
    </w:div>
    <w:div w:id="2048479580">
      <w:bodyDiv w:val="1"/>
      <w:marLeft w:val="0"/>
      <w:marRight w:val="0"/>
      <w:marTop w:val="0"/>
      <w:marBottom w:val="0"/>
      <w:divBdr>
        <w:top w:val="none" w:sz="0" w:space="0" w:color="auto"/>
        <w:left w:val="none" w:sz="0" w:space="0" w:color="auto"/>
        <w:bottom w:val="none" w:sz="0" w:space="0" w:color="auto"/>
        <w:right w:val="none" w:sz="0" w:space="0" w:color="auto"/>
      </w:divBdr>
    </w:div>
    <w:div w:id="2074698826">
      <w:bodyDiv w:val="1"/>
      <w:marLeft w:val="0"/>
      <w:marRight w:val="0"/>
      <w:marTop w:val="0"/>
      <w:marBottom w:val="0"/>
      <w:divBdr>
        <w:top w:val="none" w:sz="0" w:space="0" w:color="auto"/>
        <w:left w:val="none" w:sz="0" w:space="0" w:color="auto"/>
        <w:bottom w:val="none" w:sz="0" w:space="0" w:color="auto"/>
        <w:right w:val="none" w:sz="0" w:space="0" w:color="auto"/>
      </w:divBdr>
    </w:div>
    <w:div w:id="2077582407">
      <w:bodyDiv w:val="1"/>
      <w:marLeft w:val="0"/>
      <w:marRight w:val="0"/>
      <w:marTop w:val="0"/>
      <w:marBottom w:val="0"/>
      <w:divBdr>
        <w:top w:val="none" w:sz="0" w:space="0" w:color="auto"/>
        <w:left w:val="none" w:sz="0" w:space="0" w:color="auto"/>
        <w:bottom w:val="none" w:sz="0" w:space="0" w:color="auto"/>
        <w:right w:val="none" w:sz="0" w:space="0" w:color="auto"/>
      </w:divBdr>
    </w:div>
    <w:div w:id="2093041316">
      <w:bodyDiv w:val="1"/>
      <w:marLeft w:val="0"/>
      <w:marRight w:val="0"/>
      <w:marTop w:val="0"/>
      <w:marBottom w:val="0"/>
      <w:divBdr>
        <w:top w:val="none" w:sz="0" w:space="0" w:color="auto"/>
        <w:left w:val="none" w:sz="0" w:space="0" w:color="auto"/>
        <w:bottom w:val="none" w:sz="0" w:space="0" w:color="auto"/>
        <w:right w:val="none" w:sz="0" w:space="0" w:color="auto"/>
      </w:divBdr>
    </w:div>
    <w:div w:id="2113698250">
      <w:bodyDiv w:val="1"/>
      <w:marLeft w:val="0"/>
      <w:marRight w:val="0"/>
      <w:marTop w:val="0"/>
      <w:marBottom w:val="0"/>
      <w:divBdr>
        <w:top w:val="none" w:sz="0" w:space="0" w:color="auto"/>
        <w:left w:val="none" w:sz="0" w:space="0" w:color="auto"/>
        <w:bottom w:val="none" w:sz="0" w:space="0" w:color="auto"/>
        <w:right w:val="none" w:sz="0" w:space="0" w:color="auto"/>
      </w:divBdr>
    </w:div>
    <w:div w:id="212349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idbdocs.iadb.org/wsdocs/getDocument.aspx?DOCNUM=EZSHARE-1600062602-1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idbg.sharepoint.com/teams/EZ-CO-LON/CO-L1248/15%20LifeCycle%20Milestones/EEO-2%20-%20MOP.docx?d=wc6f97e75e7924e44995578725427250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idbg.sharepoint.com/teams/EZ-CO-LON/CO-L1248/15%20LifeCycle%20Milestones/EEO-2%20-%20MOP.docx?d=wc6f97e75e7924e44995578725427250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e61f9b1-e23d-4f49-b3d7-56b991556c4b" ContentTypeId="0x0101001A458A224826124E8B45B1D613300CFC"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69E314ABBCFC4B42A802F9D263E3F005" ma:contentTypeVersion="2426" ma:contentTypeDescription="A content type to manage public (operations) IDB documents" ma:contentTypeScope="" ma:versionID="c85338c652dec771ff9a97958bb45cba">
  <xsd:schema xmlns:xsd="http://www.w3.org/2001/XMLSchema" xmlns:xs="http://www.w3.org/2001/XMLSchema" xmlns:p="http://schemas.microsoft.com/office/2006/metadata/properties" xmlns:ns2="cdc7663a-08f0-4737-9e8c-148ce897a09c" targetNamespace="http://schemas.microsoft.com/office/2006/metadata/properties" ma:root="true" ma:fieldsID="443f5c18ac92572693717061657ff75f"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element name="Extracted_x0020_Keywords" ma:index="55" nillable="true" ma:displayName="Extracted Keywords" ma:hidden="true" ma:internalName="Extracted_x0020_Keywords" ma:readOnly="false">
      <xsd:complexType>
        <xsd:complexContent>
          <xsd:extension base="dms:MultiChoice">
            <xsd:sequence>
              <xsd:element name="Value" maxOccurs="unbounded" minOccurs="0" nillable="true">
                <xsd:simpleType>
                  <xsd:restriction base="dms:Choice">
                    <xsd:enumeration value="ez"/>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Colombia</TermName>
          <TermId xmlns="http://schemas.microsoft.com/office/infopath/2007/PartnerControls">c7d386d6-75f3-4fc0-bde8-e021ccd68f5c</TermId>
        </TermInfo>
      </Terms>
    </ic46d7e087fd4a108fb86518ca413cc6>
    <IDBDocs_x0020_Number xmlns="cdc7663a-08f0-4737-9e8c-148ce897a09c" xsi:nil="true"/>
    <Division_x0020_or_x0020_Unit xmlns="cdc7663a-08f0-4737-9e8c-148ce897a09c">SCL/SPH</Division_x0020_or_x0020_Unit>
    <Fiscal_x0020_Year_x0020_IDB xmlns="cdc7663a-08f0-4737-9e8c-148ce897a09c">2020</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Cardona Rivadeneira, Jaime Eduardo</Other_x0020_Author>
    <Migration_x0020_Info xmlns="cdc7663a-08f0-4737-9e8c-148ce897a09c" xsi:nil="true"/>
    <Approval_x0020_Number xmlns="cdc7663a-08f0-4737-9e8c-148ce897a09c" xsi:nil="true"/>
    <Phase xmlns="cdc7663a-08f0-4737-9e8c-148ce897a09c">ACTIVE</Phase>
    <Document_x0020_Author xmlns="cdc7663a-08f0-4737-9e8c-148ce897a09c">Guerra Martha M.</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HEALTH FINANCING</TermName>
          <TermId xmlns="http://schemas.microsoft.com/office/infopath/2007/PartnerControls">8b7cd9cd-ac7f-4727-a2bc-61d5a81411c9</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ORC</TermName>
          <TermId xmlns="http://schemas.microsoft.com/office/infopath/2007/PartnerControls">c028a4b2-ad8b-4cf4-9cac-a2ae6a778e23</TermId>
        </TermInfo>
      </Terms>
    </g511464f9e53401d84b16fa9b379a574>
    <Related_x0020_SisCor_x0020_Number xmlns="cdc7663a-08f0-4737-9e8c-148ce897a09c" xsi:nil="true"/>
    <TaxCatchAll xmlns="cdc7663a-08f0-4737-9e8c-148ce897a09c">
      <Value>31</Value>
      <Value>27</Value>
      <Value>94</Value>
      <Value>229</Value>
      <Value>448</Value>
      <Value>1</Value>
    </TaxCatchAll>
    <Operation_x0020_Type xmlns="cdc7663a-08f0-4737-9e8c-148ce897a09c">Loan Operation</Operation_x0020_Type>
    <Package_x0020_Code xmlns="cdc7663a-08f0-4737-9e8c-148ce897a09c" xsi:nil="true"/>
    <Identifier xmlns="cdc7663a-08f0-4737-9e8c-148ce897a09c">PR-4848</Identifier>
    <Project_x0020_Number xmlns="cdc7663a-08f0-4737-9e8c-148ce897a09c">CO-L1248</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HEALTH</TermName>
          <TermId xmlns="http://schemas.microsoft.com/office/infopath/2007/PartnerControls">e15154b4-8fa2-4f19-a924-5a9b44dc8218</TermId>
        </TermInfo>
      </Terms>
    </nddeef1749674d76abdbe4b239a70bc6>
    <Record_x0020_Number xmlns="cdc7663a-08f0-4737-9e8c-148ce897a09c" xsi:nil="true"/>
    <_dlc_DocId xmlns="cdc7663a-08f0-4737-9e8c-148ce897a09c">EZSHARE-1600062602-16</_dlc_DocId>
    <_dlc_DocIdUrl xmlns="cdc7663a-08f0-4737-9e8c-148ce897a09c">
      <Url>https://idbg.sharepoint.com/teams/EZ-CO-LON/CO-L1248/_layouts/15/DocIdRedir.aspx?ID=EZSHARE-1600062602-16</Url>
      <Description>EZSHARE-1600062602-16</Description>
    </_dlc_DocIdUrl>
    <Extracted_x0020_Keywords xmlns="cdc7663a-08f0-4737-9e8c-148ce897a09c"/>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6.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2A1D5259-6BB4-47A4-B4BD-D9E260E0B72A}"/>
</file>

<file path=customXml/itemProps2.xml><?xml version="1.0" encoding="utf-8"?>
<ds:datastoreItem xmlns:ds="http://schemas.openxmlformats.org/officeDocument/2006/customXml" ds:itemID="{843383FC-2C5F-408B-8824-66370A61E6EF}"/>
</file>

<file path=customXml/itemProps3.xml><?xml version="1.0" encoding="utf-8"?>
<ds:datastoreItem xmlns:ds="http://schemas.openxmlformats.org/officeDocument/2006/customXml" ds:itemID="{A8F16D78-DB58-4E69-AB13-DC61AC05EB9B}">
  <ds:schemaRefs>
    <ds:schemaRef ds:uri="http://schemas.microsoft.com/sharepoint/v3/contenttype/forms"/>
  </ds:schemaRefs>
</ds:datastoreItem>
</file>

<file path=customXml/itemProps4.xml><?xml version="1.0" encoding="utf-8"?>
<ds:datastoreItem xmlns:ds="http://schemas.openxmlformats.org/officeDocument/2006/customXml" ds:itemID="{2424EC8C-DEE2-48C8-93A0-D99518A59175}">
  <ds:schemaRefs>
    <ds:schemaRef ds:uri="http://schemas.microsoft.com/sharepoint/events"/>
  </ds:schemaRefs>
</ds:datastoreItem>
</file>

<file path=customXml/itemProps5.xml><?xml version="1.0" encoding="utf-8"?>
<ds:datastoreItem xmlns:ds="http://schemas.openxmlformats.org/officeDocument/2006/customXml" ds:itemID="{1C60AA91-9624-420E-8027-EFA858D17DBC}">
  <ds:schemaRefs>
    <ds:schemaRef ds:uri="http://schemas.microsoft.com/office/2006/metadata/properties"/>
    <ds:schemaRef ds:uri="http://schemas.microsoft.com/office/infopath/2007/PartnerControls"/>
    <ds:schemaRef ds:uri="cdc7663a-08f0-4737-9e8c-148ce897a09c"/>
  </ds:schemaRefs>
</ds:datastoreItem>
</file>

<file path=customXml/itemProps6.xml><?xml version="1.0" encoding="utf-8"?>
<ds:datastoreItem xmlns:ds="http://schemas.openxmlformats.org/officeDocument/2006/customXml" ds:itemID="{DC73B187-182A-4BBC-9EE0-45E1341C1BF0}"/>
</file>

<file path=docProps/app.xml><?xml version="1.0" encoding="utf-8"?>
<Properties xmlns="http://schemas.openxmlformats.org/officeDocument/2006/extended-properties" xmlns:vt="http://schemas.openxmlformats.org/officeDocument/2006/docPropsVTypes">
  <Template>Normal.dotm</Template>
  <TotalTime>0</TotalTime>
  <Pages>33</Pages>
  <Words>10063</Words>
  <Characters>55349</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Ruiz, Maria del Carmen</dc:creator>
  <cp:keywords>enlace requerido</cp:keywords>
  <dc:description/>
  <cp:lastModifiedBy>Guerra, Martha M.</cp:lastModifiedBy>
  <cp:revision>2</cp:revision>
  <dcterms:created xsi:type="dcterms:W3CDTF">2021-01-26T18:00:00Z</dcterms:created>
  <dcterms:modified xsi:type="dcterms:W3CDTF">2021-01-26T18:00:00Z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448;#enlace requerido|6cd29427-8d86-48cb-8f50-17e3d562b50e</vt:lpwstr>
  </property>
  <property fmtid="{D5CDD505-2E9C-101B-9397-08002B2CF9AE}" pid="4" name="TaxKeywordTaxHTField">
    <vt:lpwstr>enlace requerido|6cd29427-8d86-48cb-8f50-17e3d562b50e</vt:lpwstr>
  </property>
  <property fmtid="{D5CDD505-2E9C-101B-9397-08002B2CF9AE}" pid="5" name="Series Operations IDB">
    <vt:lpwstr/>
  </property>
  <property fmtid="{D5CDD505-2E9C-101B-9397-08002B2CF9AE}" pid="6" name="Sub-Sector">
    <vt:lpwstr>229;#HEALTH FINANCING|8b7cd9cd-ac7f-4727-a2bc-61d5a81411c9</vt:lpwstr>
  </property>
  <property fmtid="{D5CDD505-2E9C-101B-9397-08002B2CF9AE}" pid="7" name="Fund IDB">
    <vt:lpwstr>31;#ORC|c028a4b2-ad8b-4cf4-9cac-a2ae6a778e23</vt:lpwstr>
  </property>
  <property fmtid="{D5CDD505-2E9C-101B-9397-08002B2CF9AE}" pid="8" name="Country">
    <vt:lpwstr>27;#Colombia|c7d386d6-75f3-4fc0-bde8-e021ccd68f5c</vt:lpwstr>
  </property>
  <property fmtid="{D5CDD505-2E9C-101B-9397-08002B2CF9AE}" pid="9" name="Sector IDB">
    <vt:lpwstr>94;#HEALTH|e15154b4-8fa2-4f19-a924-5a9b44dc8218</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bf73fcfc-bf99-49ee-be48-0f8520b5b4ff</vt:lpwstr>
  </property>
  <property fmtid="{D5CDD505-2E9C-101B-9397-08002B2CF9AE}" pid="12" name="ContentTypeId">
    <vt:lpwstr>0x0101001A458A224826124E8B45B1D613300CFC0069E314ABBCFC4B42A802F9D263E3F005</vt:lpwstr>
  </property>
</Properties>
</file>