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091C" w14:textId="77777777" w:rsidR="00232DCD" w:rsidRPr="00C0720C" w:rsidRDefault="00232DCD" w:rsidP="00232DCD">
      <w:pPr>
        <w:jc w:val="center"/>
        <w:rPr>
          <w:rFonts w:ascii="Arial" w:hAnsi="Arial" w:cs="Arial"/>
          <w:lang w:val="es-ES"/>
        </w:rPr>
      </w:pPr>
    </w:p>
    <w:p w14:paraId="3D694B3E" w14:textId="77777777" w:rsidR="00232DCD" w:rsidRPr="00C0720C" w:rsidRDefault="00232DCD" w:rsidP="00232DCD">
      <w:pPr>
        <w:jc w:val="center"/>
        <w:rPr>
          <w:rFonts w:ascii="Arial" w:hAnsi="Arial" w:cs="Arial"/>
          <w:b/>
          <w:smallCaps/>
          <w:lang w:val="es-ES"/>
        </w:rPr>
      </w:pPr>
      <w:r w:rsidRPr="00C0720C">
        <w:rPr>
          <w:rFonts w:ascii="Arial" w:hAnsi="Arial" w:cs="Arial"/>
          <w:b/>
          <w:smallCaps/>
          <w:lang w:val="es-ES"/>
        </w:rPr>
        <w:t>Document</w:t>
      </w:r>
      <w:r w:rsidR="00C21376" w:rsidRPr="00C0720C">
        <w:rPr>
          <w:rFonts w:ascii="Arial" w:hAnsi="Arial" w:cs="Arial"/>
          <w:b/>
          <w:smallCaps/>
          <w:lang w:val="es-ES"/>
        </w:rPr>
        <w:t>o</w:t>
      </w:r>
      <w:r w:rsidRPr="00C0720C">
        <w:rPr>
          <w:rFonts w:ascii="Arial" w:hAnsi="Arial" w:cs="Arial"/>
          <w:b/>
          <w:smallCaps/>
          <w:lang w:val="es-ES"/>
        </w:rPr>
        <w:t xml:space="preserve"> </w:t>
      </w:r>
      <w:r w:rsidR="00C21376" w:rsidRPr="00C0720C">
        <w:rPr>
          <w:rFonts w:ascii="Arial" w:hAnsi="Arial" w:cs="Arial"/>
          <w:b/>
          <w:smallCaps/>
          <w:lang w:val="es-ES"/>
        </w:rPr>
        <w:t xml:space="preserve">del Banco Interamericano de </w:t>
      </w:r>
      <w:r w:rsidRPr="00C0720C">
        <w:rPr>
          <w:rFonts w:ascii="Arial" w:hAnsi="Arial" w:cs="Arial"/>
          <w:b/>
          <w:smallCaps/>
          <w:lang w:val="es-ES"/>
        </w:rPr>
        <w:t>De</w:t>
      </w:r>
      <w:r w:rsidR="00C21376" w:rsidRPr="00C0720C">
        <w:rPr>
          <w:rFonts w:ascii="Arial" w:hAnsi="Arial" w:cs="Arial"/>
          <w:b/>
          <w:smallCaps/>
          <w:lang w:val="es-ES"/>
        </w:rPr>
        <w:t>sarrollo</w:t>
      </w:r>
    </w:p>
    <w:p w14:paraId="0B785BB9" w14:textId="77777777" w:rsidR="00232DCD" w:rsidRPr="00C0720C" w:rsidRDefault="00232DCD" w:rsidP="00232DCD">
      <w:pPr>
        <w:rPr>
          <w:rFonts w:ascii="Arial" w:hAnsi="Arial" w:cs="Arial"/>
          <w:smallCaps/>
          <w:lang w:val="es-ES"/>
        </w:rPr>
      </w:pPr>
    </w:p>
    <w:p w14:paraId="236385A6" w14:textId="77777777" w:rsidR="00232DCD" w:rsidRPr="00C0720C" w:rsidRDefault="00232DCD" w:rsidP="00232DCD">
      <w:pPr>
        <w:rPr>
          <w:rFonts w:ascii="Arial" w:hAnsi="Arial" w:cs="Arial"/>
          <w:smallCaps/>
          <w:lang w:val="es-ES"/>
        </w:rPr>
      </w:pPr>
    </w:p>
    <w:p w14:paraId="3C0B090C" w14:textId="77777777" w:rsidR="00232DCD" w:rsidRPr="00C0720C" w:rsidRDefault="00232DCD" w:rsidP="00232DCD">
      <w:pPr>
        <w:rPr>
          <w:rFonts w:ascii="Arial" w:hAnsi="Arial" w:cs="Arial"/>
          <w:smallCaps/>
          <w:lang w:val="es-ES"/>
        </w:rPr>
      </w:pPr>
    </w:p>
    <w:p w14:paraId="0E66DFBD" w14:textId="77777777" w:rsidR="00232DCD" w:rsidRPr="00C0720C" w:rsidRDefault="00232DCD" w:rsidP="00232DCD">
      <w:pPr>
        <w:rPr>
          <w:rFonts w:ascii="Arial" w:hAnsi="Arial" w:cs="Arial"/>
          <w:smallCaps/>
          <w:lang w:val="es-ES"/>
        </w:rPr>
      </w:pPr>
    </w:p>
    <w:p w14:paraId="323F95A6" w14:textId="10A0300A" w:rsidR="00232DCD" w:rsidRPr="00C0720C" w:rsidRDefault="001C6E58" w:rsidP="006026AF">
      <w:pPr>
        <w:jc w:val="center"/>
        <w:rPr>
          <w:rFonts w:ascii="Arial" w:hAnsi="Arial" w:cs="Arial"/>
          <w:smallCaps/>
          <w:lang w:val="es-ES"/>
        </w:rPr>
      </w:pPr>
      <w:r w:rsidRPr="00C0720C">
        <w:rPr>
          <w:rFonts w:ascii="Arial" w:hAnsi="Arial" w:cs="Arial"/>
          <w:smallCaps/>
          <w:noProof/>
        </w:rPr>
        <w:drawing>
          <wp:inline distT="0" distB="0" distL="0" distR="0" wp14:anchorId="2AEC2721" wp14:editId="2E516610">
            <wp:extent cx="2963057" cy="1620595"/>
            <wp:effectExtent l="0" t="0" r="0" b="0"/>
            <wp:docPr id="2" name="Picture 2" descr="C:\Users\NATASHAW\AppData\Local\Microsoft\Windows\Temporary Internet Files\Content.Outlook\Y94DSEE4\bid_espanâol_LR_72dpi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W\AppData\Local\Microsoft\Windows\Temporary Internet Files\Content.Outlook\Y94DSEE4\bid_espanâol_LR_72dpi_RGB (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6312" cy="1622375"/>
                    </a:xfrm>
                    <a:prstGeom prst="rect">
                      <a:avLst/>
                    </a:prstGeom>
                    <a:noFill/>
                    <a:ln>
                      <a:noFill/>
                    </a:ln>
                  </pic:spPr>
                </pic:pic>
              </a:graphicData>
            </a:graphic>
          </wp:inline>
        </w:drawing>
      </w:r>
    </w:p>
    <w:p w14:paraId="4C5CBC93" w14:textId="77777777" w:rsidR="00232DCD" w:rsidRPr="00C0720C" w:rsidRDefault="00232DCD" w:rsidP="00232DCD">
      <w:pPr>
        <w:rPr>
          <w:rFonts w:ascii="Arial" w:hAnsi="Arial" w:cs="Arial"/>
          <w:smallCaps/>
          <w:lang w:val="es-ES"/>
        </w:rPr>
      </w:pPr>
    </w:p>
    <w:p w14:paraId="5F8EAD86" w14:textId="77D4D749" w:rsidR="0033020E" w:rsidRPr="00C0720C" w:rsidRDefault="006026AF" w:rsidP="0033020E">
      <w:pPr>
        <w:jc w:val="center"/>
        <w:rPr>
          <w:rFonts w:ascii="Arial" w:hAnsi="Arial" w:cs="Arial"/>
          <w:b/>
          <w:lang w:val="es-ES"/>
        </w:rPr>
      </w:pPr>
      <w:r>
        <w:rPr>
          <w:rFonts w:ascii="Arial" w:hAnsi="Arial" w:cs="Arial"/>
          <w:b/>
          <w:lang w:val="es-ES"/>
        </w:rPr>
        <w:t>PARAGUAY</w:t>
      </w:r>
    </w:p>
    <w:p w14:paraId="7FA3D082" w14:textId="77777777" w:rsidR="0033020E" w:rsidRPr="00C0720C" w:rsidRDefault="0033020E" w:rsidP="0033020E">
      <w:pPr>
        <w:jc w:val="center"/>
        <w:rPr>
          <w:rFonts w:ascii="Arial" w:hAnsi="Arial" w:cs="Arial"/>
          <w:b/>
          <w:lang w:val="es-ES"/>
        </w:rPr>
      </w:pPr>
    </w:p>
    <w:p w14:paraId="4A82FB78" w14:textId="77777777" w:rsidR="0033020E" w:rsidRPr="006026AF" w:rsidRDefault="0033020E" w:rsidP="0033020E">
      <w:pPr>
        <w:jc w:val="center"/>
        <w:rPr>
          <w:rFonts w:ascii="Arial" w:hAnsi="Arial" w:cs="Arial"/>
          <w:b/>
          <w:sz w:val="28"/>
          <w:szCs w:val="28"/>
          <w:lang w:val="es-ES"/>
        </w:rPr>
      </w:pPr>
    </w:p>
    <w:p w14:paraId="05065216" w14:textId="77777777" w:rsidR="006026AF" w:rsidRPr="006026AF" w:rsidRDefault="006026AF" w:rsidP="006026AF">
      <w:pPr>
        <w:tabs>
          <w:tab w:val="left" w:pos="1440"/>
          <w:tab w:val="left" w:pos="3060"/>
        </w:tabs>
        <w:jc w:val="center"/>
        <w:rPr>
          <w:rFonts w:ascii="Arial" w:hAnsi="Arial" w:cs="Arial"/>
          <w:b/>
          <w:smallCaps/>
          <w:sz w:val="28"/>
          <w:szCs w:val="28"/>
          <w:lang w:val="es-ES"/>
        </w:rPr>
      </w:pPr>
      <w:r w:rsidRPr="006026AF">
        <w:rPr>
          <w:rFonts w:ascii="Arial" w:hAnsi="Arial" w:cs="Arial"/>
          <w:b/>
          <w:smallCaps/>
          <w:sz w:val="28"/>
          <w:szCs w:val="28"/>
          <w:lang w:val="es-ES"/>
        </w:rPr>
        <w:t>Programa de Reconversión del Centro,</w:t>
      </w:r>
    </w:p>
    <w:p w14:paraId="5E87DA66" w14:textId="77777777" w:rsidR="006026AF" w:rsidRPr="006026AF" w:rsidRDefault="006026AF" w:rsidP="006026AF">
      <w:pPr>
        <w:tabs>
          <w:tab w:val="left" w:pos="1440"/>
          <w:tab w:val="left" w:pos="3060"/>
        </w:tabs>
        <w:jc w:val="center"/>
        <w:rPr>
          <w:rFonts w:ascii="Arial" w:hAnsi="Arial" w:cs="Arial"/>
          <w:b/>
          <w:smallCaps/>
          <w:sz w:val="28"/>
          <w:szCs w:val="28"/>
          <w:lang w:val="es-ES"/>
        </w:rPr>
      </w:pPr>
      <w:r w:rsidRPr="006026AF">
        <w:rPr>
          <w:rFonts w:ascii="Arial" w:hAnsi="Arial" w:cs="Arial"/>
          <w:b/>
          <w:smallCaps/>
          <w:sz w:val="28"/>
          <w:szCs w:val="28"/>
          <w:lang w:val="es-ES"/>
        </w:rPr>
        <w:t>Modernización del Transporte Público</w:t>
      </w:r>
    </w:p>
    <w:p w14:paraId="1CD2750A" w14:textId="77777777" w:rsidR="006026AF" w:rsidRPr="006026AF" w:rsidRDefault="006026AF" w:rsidP="006026AF">
      <w:pPr>
        <w:tabs>
          <w:tab w:val="left" w:pos="1440"/>
          <w:tab w:val="left" w:pos="3060"/>
        </w:tabs>
        <w:jc w:val="center"/>
        <w:rPr>
          <w:rFonts w:ascii="Arial" w:hAnsi="Arial" w:cs="Arial"/>
          <w:b/>
          <w:smallCaps/>
          <w:sz w:val="28"/>
          <w:szCs w:val="28"/>
          <w:lang w:val="es-ES"/>
        </w:rPr>
      </w:pPr>
      <w:r w:rsidRPr="006026AF">
        <w:rPr>
          <w:rFonts w:ascii="Arial" w:hAnsi="Arial" w:cs="Arial"/>
          <w:b/>
          <w:smallCaps/>
          <w:sz w:val="28"/>
          <w:szCs w:val="28"/>
          <w:lang w:val="es-ES"/>
        </w:rPr>
        <w:t>Metropolitano y Oficinas de Gobierno</w:t>
      </w:r>
    </w:p>
    <w:p w14:paraId="50E0CF62" w14:textId="77777777" w:rsidR="006026AF" w:rsidRPr="006026AF" w:rsidRDefault="006026AF" w:rsidP="006026AF">
      <w:pPr>
        <w:tabs>
          <w:tab w:val="left" w:pos="1440"/>
          <w:tab w:val="left" w:pos="3060"/>
        </w:tabs>
        <w:jc w:val="center"/>
        <w:rPr>
          <w:rFonts w:ascii="Arial" w:hAnsi="Arial" w:cs="Arial"/>
          <w:b/>
          <w:smallCaps/>
          <w:sz w:val="28"/>
          <w:szCs w:val="28"/>
          <w:lang w:val="es-ES"/>
        </w:rPr>
      </w:pPr>
      <w:r w:rsidRPr="006026AF">
        <w:rPr>
          <w:rFonts w:ascii="Arial" w:hAnsi="Arial" w:cs="Arial"/>
          <w:b/>
          <w:smallCaps/>
          <w:sz w:val="28"/>
          <w:szCs w:val="28"/>
          <w:lang w:val="es-ES"/>
        </w:rPr>
        <w:t>(PR-L1044)</w:t>
      </w:r>
    </w:p>
    <w:p w14:paraId="5B80B8C5" w14:textId="77777777" w:rsidR="006026AF" w:rsidRPr="006026AF" w:rsidRDefault="006026AF" w:rsidP="006026AF">
      <w:pPr>
        <w:tabs>
          <w:tab w:val="left" w:pos="1440"/>
          <w:tab w:val="left" w:pos="3060"/>
        </w:tabs>
        <w:jc w:val="center"/>
        <w:rPr>
          <w:rFonts w:ascii="Arial" w:hAnsi="Arial" w:cs="Arial"/>
          <w:smallCaps/>
          <w:sz w:val="28"/>
          <w:szCs w:val="28"/>
          <w:lang w:val="es-ES"/>
        </w:rPr>
      </w:pPr>
    </w:p>
    <w:p w14:paraId="743D330F" w14:textId="77777777" w:rsidR="006026AF" w:rsidRPr="006026AF" w:rsidRDefault="006026AF" w:rsidP="006026AF">
      <w:pPr>
        <w:tabs>
          <w:tab w:val="left" w:pos="1440"/>
          <w:tab w:val="left" w:pos="3060"/>
        </w:tabs>
        <w:jc w:val="center"/>
        <w:rPr>
          <w:rFonts w:ascii="Arial" w:hAnsi="Arial" w:cs="Arial"/>
          <w:smallCaps/>
          <w:sz w:val="28"/>
          <w:szCs w:val="28"/>
          <w:lang w:val="es-ES"/>
        </w:rPr>
      </w:pPr>
      <w:r w:rsidRPr="006026AF">
        <w:rPr>
          <w:rFonts w:ascii="Arial" w:hAnsi="Arial" w:cs="Arial"/>
          <w:smallCaps/>
          <w:sz w:val="28"/>
          <w:szCs w:val="28"/>
          <w:lang w:val="es-ES"/>
        </w:rPr>
        <w:t>y</w:t>
      </w:r>
    </w:p>
    <w:p w14:paraId="6ADCA9F4" w14:textId="77777777" w:rsidR="006026AF" w:rsidRPr="006026AF" w:rsidRDefault="006026AF" w:rsidP="006026AF">
      <w:pPr>
        <w:tabs>
          <w:tab w:val="left" w:pos="1440"/>
          <w:tab w:val="left" w:pos="3060"/>
        </w:tabs>
        <w:jc w:val="center"/>
        <w:rPr>
          <w:rFonts w:ascii="Arial" w:hAnsi="Arial" w:cs="Arial"/>
          <w:smallCaps/>
          <w:sz w:val="28"/>
          <w:szCs w:val="28"/>
          <w:lang w:val="es-ES"/>
        </w:rPr>
      </w:pPr>
    </w:p>
    <w:p w14:paraId="2E70D7DF" w14:textId="77777777" w:rsidR="006026AF" w:rsidRPr="006026AF" w:rsidRDefault="006026AF" w:rsidP="006026AF">
      <w:pPr>
        <w:tabs>
          <w:tab w:val="left" w:pos="1440"/>
          <w:tab w:val="left" w:pos="3060"/>
        </w:tabs>
        <w:jc w:val="center"/>
        <w:rPr>
          <w:rFonts w:ascii="Arial" w:hAnsi="Arial" w:cs="Arial"/>
          <w:b/>
          <w:smallCaps/>
          <w:sz w:val="28"/>
          <w:szCs w:val="28"/>
          <w:lang w:val="es-ES"/>
        </w:rPr>
      </w:pPr>
      <w:r w:rsidRPr="006026AF">
        <w:rPr>
          <w:rFonts w:ascii="Arial" w:hAnsi="Arial" w:cs="Arial"/>
          <w:b/>
          <w:smallCaps/>
          <w:sz w:val="28"/>
          <w:szCs w:val="28"/>
          <w:lang w:val="es-ES"/>
        </w:rPr>
        <w:t>Escuela Viva II</w:t>
      </w:r>
    </w:p>
    <w:p w14:paraId="3A1664F2" w14:textId="77777777" w:rsidR="006026AF" w:rsidRPr="006026AF" w:rsidRDefault="006026AF" w:rsidP="006026AF">
      <w:pPr>
        <w:tabs>
          <w:tab w:val="left" w:pos="1440"/>
          <w:tab w:val="left" w:pos="3060"/>
        </w:tabs>
        <w:jc w:val="center"/>
        <w:rPr>
          <w:rFonts w:ascii="Arial" w:hAnsi="Arial" w:cs="Arial"/>
          <w:b/>
          <w:smallCaps/>
          <w:sz w:val="28"/>
          <w:szCs w:val="28"/>
          <w:lang w:val="es-ES"/>
        </w:rPr>
      </w:pPr>
      <w:r w:rsidRPr="006026AF">
        <w:rPr>
          <w:rFonts w:ascii="Arial" w:hAnsi="Arial" w:cs="Arial"/>
          <w:b/>
          <w:smallCaps/>
          <w:sz w:val="28"/>
          <w:szCs w:val="28"/>
          <w:lang w:val="es-ES"/>
        </w:rPr>
        <w:t>(PR-L1017)</w:t>
      </w:r>
    </w:p>
    <w:p w14:paraId="3317DC5B" w14:textId="77777777" w:rsidR="00232DCD" w:rsidRPr="006026AF" w:rsidRDefault="00232DCD" w:rsidP="00232DCD">
      <w:pPr>
        <w:jc w:val="center"/>
        <w:rPr>
          <w:rFonts w:ascii="Arial" w:hAnsi="Arial" w:cs="Arial"/>
          <w:smallCaps/>
          <w:lang w:val="es-ES_tradnl"/>
        </w:rPr>
      </w:pPr>
    </w:p>
    <w:p w14:paraId="356D6082" w14:textId="77777777" w:rsidR="00232DCD" w:rsidRPr="006026AF" w:rsidRDefault="00232DCD" w:rsidP="00232DCD">
      <w:pPr>
        <w:jc w:val="center"/>
        <w:rPr>
          <w:rFonts w:ascii="Arial" w:hAnsi="Arial" w:cs="Arial"/>
          <w:smallCaps/>
          <w:lang w:val="es-ES_tradnl"/>
        </w:rPr>
      </w:pPr>
    </w:p>
    <w:p w14:paraId="55406236" w14:textId="77777777" w:rsidR="006026AF" w:rsidRPr="006026AF" w:rsidRDefault="006026AF" w:rsidP="006026AF">
      <w:pPr>
        <w:tabs>
          <w:tab w:val="left" w:pos="1440"/>
          <w:tab w:val="left" w:pos="3060"/>
        </w:tabs>
        <w:jc w:val="center"/>
        <w:outlineLvl w:val="0"/>
        <w:rPr>
          <w:rFonts w:ascii="Arial" w:hAnsi="Arial" w:cs="Arial"/>
          <w:b/>
          <w:smallCaps/>
          <w:sz w:val="28"/>
          <w:szCs w:val="28"/>
          <w:lang w:val="es-ES"/>
        </w:rPr>
      </w:pPr>
      <w:r w:rsidRPr="006026AF">
        <w:rPr>
          <w:rFonts w:ascii="Arial" w:hAnsi="Arial" w:cs="Arial"/>
          <w:b/>
          <w:smallCaps/>
          <w:sz w:val="28"/>
          <w:szCs w:val="28"/>
          <w:lang w:val="es-ES"/>
        </w:rPr>
        <w:t xml:space="preserve">Modificación Propuesta para los </w:t>
      </w:r>
    </w:p>
    <w:p w14:paraId="22048457" w14:textId="77777777" w:rsidR="006026AF" w:rsidRPr="006026AF" w:rsidRDefault="006026AF" w:rsidP="006026AF">
      <w:pPr>
        <w:tabs>
          <w:tab w:val="left" w:pos="1440"/>
          <w:tab w:val="left" w:pos="3060"/>
        </w:tabs>
        <w:jc w:val="center"/>
        <w:outlineLvl w:val="0"/>
        <w:rPr>
          <w:rFonts w:ascii="Arial" w:hAnsi="Arial" w:cs="Arial"/>
          <w:b/>
          <w:sz w:val="28"/>
          <w:szCs w:val="28"/>
          <w:lang w:val="es-ES"/>
        </w:rPr>
      </w:pPr>
      <w:r w:rsidRPr="006026AF">
        <w:rPr>
          <w:rFonts w:ascii="Arial" w:hAnsi="Arial" w:cs="Arial"/>
          <w:b/>
          <w:smallCaps/>
          <w:sz w:val="28"/>
          <w:szCs w:val="28"/>
          <w:lang w:val="es-ES"/>
        </w:rPr>
        <w:t xml:space="preserve">Préstamos 2420/BL-PR y </w:t>
      </w:r>
      <w:bookmarkStart w:id="0" w:name="_Hlk486423078"/>
      <w:r w:rsidRPr="006026AF">
        <w:rPr>
          <w:rFonts w:ascii="Arial" w:hAnsi="Arial" w:cs="Arial"/>
          <w:b/>
          <w:smallCaps/>
          <w:sz w:val="28"/>
          <w:szCs w:val="28"/>
          <w:lang w:val="es-ES"/>
        </w:rPr>
        <w:t xml:space="preserve">1880/BL-PR </w:t>
      </w:r>
      <w:bookmarkEnd w:id="0"/>
    </w:p>
    <w:p w14:paraId="401C1FB6" w14:textId="77777777" w:rsidR="00232DCD" w:rsidRPr="00E116CD" w:rsidRDefault="00232DCD" w:rsidP="00232DCD">
      <w:pPr>
        <w:jc w:val="center"/>
        <w:rPr>
          <w:rFonts w:ascii="Arial" w:hAnsi="Arial" w:cs="Arial"/>
          <w:smallCaps/>
          <w:lang w:val="es-ES_tradnl"/>
        </w:rPr>
      </w:pPr>
    </w:p>
    <w:p w14:paraId="11F963B5" w14:textId="77777777" w:rsidR="00232DCD" w:rsidRPr="00E116CD" w:rsidRDefault="00232DCD" w:rsidP="00232DCD">
      <w:pPr>
        <w:jc w:val="center"/>
        <w:rPr>
          <w:rFonts w:ascii="Arial" w:hAnsi="Arial" w:cs="Arial"/>
          <w:smallCaps/>
          <w:lang w:val="es-ES_tradnl"/>
        </w:rPr>
      </w:pPr>
    </w:p>
    <w:p w14:paraId="2772E162" w14:textId="77777777" w:rsidR="00232DCD" w:rsidRPr="00C0720C" w:rsidRDefault="00C21376" w:rsidP="00232DCD">
      <w:pPr>
        <w:jc w:val="center"/>
        <w:rPr>
          <w:rFonts w:ascii="Arial" w:hAnsi="Arial" w:cs="Arial"/>
          <w:b/>
          <w:bCs/>
          <w:caps/>
          <w:lang w:val="es-ES"/>
        </w:rPr>
      </w:pPr>
      <w:r w:rsidRPr="00C0720C">
        <w:rPr>
          <w:rFonts w:ascii="Arial" w:hAnsi="Arial" w:cs="Arial"/>
          <w:b/>
          <w:bCs/>
          <w:caps/>
          <w:lang w:val="es-ES"/>
        </w:rPr>
        <w:t>Informe de gestion ambiental y social</w:t>
      </w:r>
    </w:p>
    <w:p w14:paraId="5784F129" w14:textId="67E0C264" w:rsidR="00A8697C" w:rsidRDefault="00232DCD" w:rsidP="006026AF">
      <w:pPr>
        <w:jc w:val="center"/>
        <w:rPr>
          <w:rFonts w:ascii="Arial" w:hAnsi="Arial" w:cs="Arial"/>
          <w:b/>
          <w:smallCaps/>
          <w:lang w:val="es-ES"/>
        </w:rPr>
      </w:pPr>
      <w:r w:rsidRPr="00C0720C">
        <w:rPr>
          <w:rFonts w:ascii="Arial" w:hAnsi="Arial" w:cs="Arial"/>
          <w:b/>
          <w:smallCaps/>
          <w:lang w:val="es-ES"/>
        </w:rPr>
        <w:t>(</w:t>
      </w:r>
      <w:r w:rsidR="001C6E58" w:rsidRPr="00C0720C">
        <w:rPr>
          <w:rFonts w:ascii="Arial" w:hAnsi="Arial" w:cs="Arial"/>
          <w:b/>
          <w:smallCaps/>
          <w:lang w:val="es-ES"/>
        </w:rPr>
        <w:t>IGAS</w:t>
      </w:r>
      <w:r w:rsidRPr="00C0720C">
        <w:rPr>
          <w:rFonts w:ascii="Arial" w:hAnsi="Arial" w:cs="Arial"/>
          <w:b/>
          <w:smallCaps/>
          <w:lang w:val="es-ES"/>
        </w:rPr>
        <w:t>)</w:t>
      </w:r>
    </w:p>
    <w:p w14:paraId="348E5B7B" w14:textId="77777777" w:rsidR="006026AF" w:rsidRPr="00C0720C" w:rsidRDefault="006026AF" w:rsidP="006026AF">
      <w:pPr>
        <w:jc w:val="center"/>
        <w:rPr>
          <w:rFonts w:ascii="Arial" w:hAnsi="Arial" w:cs="Arial"/>
          <w:b/>
          <w:smallCaps/>
          <w:lang w:val="es-ES"/>
        </w:rPr>
      </w:pPr>
    </w:p>
    <w:p w14:paraId="3A0FE0D6" w14:textId="3F21A5A6" w:rsidR="00A8697C" w:rsidRPr="00C0720C" w:rsidRDefault="00A8697C" w:rsidP="006026AF">
      <w:pPr>
        <w:rPr>
          <w:rFonts w:ascii="Arial" w:hAnsi="Arial" w:cs="Arial"/>
          <w:b/>
          <w:smallCaps/>
          <w:lang w:val="es-ES"/>
        </w:rPr>
      </w:pPr>
    </w:p>
    <w:p w14:paraId="58E214A8" w14:textId="3D8F4302" w:rsidR="00A8697C" w:rsidRPr="00C0720C" w:rsidRDefault="00A8697C" w:rsidP="00232DCD">
      <w:pPr>
        <w:jc w:val="center"/>
        <w:rPr>
          <w:rFonts w:ascii="Arial" w:hAnsi="Arial" w:cs="Arial"/>
          <w:b/>
          <w:smallCaps/>
          <w:lang w:val="es-ES"/>
        </w:rPr>
      </w:pPr>
    </w:p>
    <w:p w14:paraId="0154B0A1" w14:textId="4938CCBF" w:rsidR="00A8697C" w:rsidRPr="006026AF" w:rsidRDefault="006026AF" w:rsidP="006026A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center"/>
        <w:rPr>
          <w:rFonts w:ascii="Arial" w:hAnsi="Arial" w:cs="Arial"/>
          <w:b/>
          <w:lang w:val="es-ES_tradnl"/>
        </w:rPr>
      </w:pPr>
      <w:r>
        <w:rPr>
          <w:rFonts w:ascii="Arial" w:hAnsi="Arial" w:cs="Arial"/>
          <w:b/>
          <w:lang w:val="es-ES_tradnl"/>
        </w:rPr>
        <w:t>JULIO</w:t>
      </w:r>
      <w:r w:rsidR="00F526C3" w:rsidRPr="00C0720C">
        <w:rPr>
          <w:rFonts w:ascii="Arial" w:hAnsi="Arial" w:cs="Arial"/>
          <w:b/>
          <w:lang w:val="es-ES_tradnl"/>
        </w:rPr>
        <w:t xml:space="preserve"> 2017 </w:t>
      </w:r>
    </w:p>
    <w:p w14:paraId="5232B6CE" w14:textId="77777777" w:rsidR="00A8697C" w:rsidRPr="00C0720C" w:rsidRDefault="00A8697C" w:rsidP="00232DCD">
      <w:pPr>
        <w:jc w:val="center"/>
        <w:rPr>
          <w:rFonts w:ascii="Arial" w:hAnsi="Arial" w:cs="Arial"/>
          <w:smallCaps/>
          <w:lang w:val="es-ES"/>
        </w:rPr>
      </w:pPr>
    </w:p>
    <w:p w14:paraId="5ACABAE6" w14:textId="77777777" w:rsidR="00232DCD" w:rsidRPr="00C0720C" w:rsidRDefault="00232DCD" w:rsidP="00232DCD">
      <w:pPr>
        <w:jc w:val="center"/>
        <w:rPr>
          <w:rFonts w:ascii="Arial" w:hAnsi="Arial" w:cs="Arial"/>
          <w:smallCaps/>
          <w:lang w:val="es-ES"/>
        </w:rPr>
      </w:pPr>
    </w:p>
    <w:p w14:paraId="2E70DE4D" w14:textId="77777777" w:rsidR="00232DCD" w:rsidRPr="00C0720C" w:rsidRDefault="00232DCD" w:rsidP="00232DCD">
      <w:pPr>
        <w:jc w:val="center"/>
        <w:rPr>
          <w:rFonts w:ascii="Arial" w:hAnsi="Arial" w:cs="Arial"/>
          <w:smallCaps/>
          <w:lang w:val="es-ES"/>
        </w:rPr>
      </w:pPr>
    </w:p>
    <w:p w14:paraId="3356F4B1" w14:textId="723A2920" w:rsidR="00A8697C" w:rsidRPr="00C0720C" w:rsidRDefault="00F526C3" w:rsidP="00A8697C">
      <w:pPr>
        <w:pStyle w:val="BodyText"/>
        <w:pBdr>
          <w:top w:val="single" w:sz="4" w:space="1" w:color="auto"/>
          <w:left w:val="single" w:sz="4" w:space="4" w:color="auto"/>
          <w:bottom w:val="single" w:sz="4" w:space="1" w:color="auto"/>
          <w:right w:val="single" w:sz="4" w:space="4" w:color="auto"/>
        </w:pBdr>
        <w:tabs>
          <w:tab w:val="left" w:pos="1440"/>
        </w:tabs>
        <w:jc w:val="center"/>
        <w:rPr>
          <w:rFonts w:ascii="Arial" w:hAnsi="Arial" w:cs="Arial"/>
          <w:sz w:val="22"/>
          <w:szCs w:val="22"/>
          <w:lang w:val="es-ES_tradnl"/>
        </w:rPr>
      </w:pPr>
      <w:r w:rsidRPr="00C0720C">
        <w:rPr>
          <w:rFonts w:ascii="Arial" w:hAnsi="Arial" w:cs="Arial"/>
          <w:sz w:val="22"/>
          <w:szCs w:val="22"/>
          <w:lang w:val="es-ES_tradnl"/>
        </w:rPr>
        <w:t>Este documento fue</w:t>
      </w:r>
      <w:bookmarkStart w:id="1" w:name="_GoBack"/>
      <w:bookmarkEnd w:id="1"/>
      <w:r w:rsidRPr="00C0720C">
        <w:rPr>
          <w:rFonts w:ascii="Arial" w:hAnsi="Arial" w:cs="Arial"/>
          <w:sz w:val="22"/>
          <w:szCs w:val="22"/>
          <w:lang w:val="es-ES_tradnl"/>
        </w:rPr>
        <w:t xml:space="preserve"> preparado </w:t>
      </w:r>
      <w:r w:rsidR="007B4421" w:rsidRPr="00C0720C">
        <w:rPr>
          <w:rFonts w:ascii="Arial" w:hAnsi="Arial" w:cs="Arial"/>
          <w:sz w:val="22"/>
          <w:szCs w:val="22"/>
          <w:lang w:val="es-ES_tradnl"/>
        </w:rPr>
        <w:t xml:space="preserve">por Oscar </w:t>
      </w:r>
      <w:proofErr w:type="spellStart"/>
      <w:r w:rsidR="007B4421" w:rsidRPr="00C0720C">
        <w:rPr>
          <w:rFonts w:ascii="Arial" w:hAnsi="Arial" w:cs="Arial"/>
          <w:sz w:val="22"/>
          <w:szCs w:val="22"/>
          <w:lang w:val="es-ES_tradnl"/>
        </w:rPr>
        <w:t>Camé</w:t>
      </w:r>
      <w:proofErr w:type="spellEnd"/>
      <w:r w:rsidR="007B4421" w:rsidRPr="00C0720C">
        <w:rPr>
          <w:rFonts w:ascii="Arial" w:hAnsi="Arial" w:cs="Arial"/>
          <w:sz w:val="22"/>
          <w:szCs w:val="22"/>
          <w:lang w:val="es-ES_tradnl"/>
        </w:rPr>
        <w:t xml:space="preserve"> (VPS/ESG)</w:t>
      </w:r>
    </w:p>
    <w:p w14:paraId="700D08F2" w14:textId="77777777" w:rsidR="00C53ABB" w:rsidRPr="00C0720C" w:rsidRDefault="00C53ABB">
      <w:pPr>
        <w:rPr>
          <w:rFonts w:ascii="Arial" w:hAnsi="Arial" w:cs="Arial"/>
          <w:lang w:val="es-ES"/>
        </w:rPr>
      </w:pPr>
    </w:p>
    <w:tbl>
      <w:tblPr>
        <w:tblW w:w="9990" w:type="dxa"/>
        <w:tblInd w:w="10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30"/>
        <w:gridCol w:w="5760"/>
      </w:tblGrid>
      <w:tr w:rsidR="00B01F04" w:rsidRPr="00C0720C" w14:paraId="5E20A9B7" w14:textId="77777777" w:rsidTr="35BB1C2C">
        <w:trPr>
          <w:trHeight w:val="420"/>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29F604BE" w14:textId="597EF3A9" w:rsidR="00B01F04" w:rsidRPr="00C0720C" w:rsidRDefault="00C21376" w:rsidP="00232DCD">
            <w:pPr>
              <w:jc w:val="center"/>
              <w:rPr>
                <w:rFonts w:ascii="Arial" w:eastAsia="Times New Roman" w:hAnsi="Arial" w:cs="Arial"/>
                <w:b/>
                <w:bCs/>
                <w:sz w:val="22"/>
                <w:szCs w:val="22"/>
                <w:lang w:val="es-ES"/>
              </w:rPr>
            </w:pPr>
            <w:r w:rsidRPr="00C0720C">
              <w:rPr>
                <w:rFonts w:ascii="Arial" w:eastAsia="Times New Roman" w:hAnsi="Arial" w:cs="Arial"/>
                <w:b/>
                <w:bCs/>
                <w:sz w:val="22"/>
                <w:szCs w:val="22"/>
                <w:lang w:val="es-ES"/>
              </w:rPr>
              <w:t xml:space="preserve">INFORME DE GESTION AMBIENTAL Y SOCIAL </w:t>
            </w:r>
            <w:r w:rsidR="00232DCD" w:rsidRPr="00C0720C">
              <w:rPr>
                <w:rFonts w:ascii="Arial" w:eastAsia="Times New Roman" w:hAnsi="Arial" w:cs="Arial"/>
                <w:b/>
                <w:bCs/>
                <w:sz w:val="22"/>
                <w:szCs w:val="22"/>
                <w:lang w:val="es-ES"/>
              </w:rPr>
              <w:t>(</w:t>
            </w:r>
            <w:r w:rsidR="001C6E58" w:rsidRPr="00C0720C">
              <w:rPr>
                <w:rFonts w:ascii="Arial" w:eastAsia="Times New Roman" w:hAnsi="Arial" w:cs="Arial"/>
                <w:b/>
                <w:bCs/>
                <w:sz w:val="22"/>
                <w:szCs w:val="22"/>
                <w:lang w:val="es-ES"/>
              </w:rPr>
              <w:t>IGAS</w:t>
            </w:r>
            <w:r w:rsidR="00232DCD" w:rsidRPr="00C0720C">
              <w:rPr>
                <w:rFonts w:ascii="Arial" w:eastAsia="Times New Roman" w:hAnsi="Arial" w:cs="Arial"/>
                <w:b/>
                <w:bCs/>
                <w:sz w:val="22"/>
                <w:szCs w:val="22"/>
                <w:lang w:val="es-ES"/>
              </w:rPr>
              <w:t>)</w:t>
            </w:r>
          </w:p>
        </w:tc>
      </w:tr>
      <w:tr w:rsidR="00C21376" w:rsidRPr="005A209C" w14:paraId="095EE70B" w14:textId="77777777" w:rsidTr="35BB1C2C">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261BB044" w14:textId="77777777" w:rsidR="00C21376" w:rsidRPr="00EF6434" w:rsidRDefault="00C21376" w:rsidP="00C21376">
            <w:pPr>
              <w:rPr>
                <w:rFonts w:ascii="Arial" w:eastAsia="Times New Roman" w:hAnsi="Arial" w:cs="Arial"/>
                <w:b/>
                <w:bCs/>
                <w:sz w:val="20"/>
                <w:szCs w:val="20"/>
                <w:lang w:val="es-ES"/>
              </w:rPr>
            </w:pPr>
            <w:r w:rsidRPr="00EF6434">
              <w:rPr>
                <w:rFonts w:ascii="Arial" w:eastAsia="Times New Roman" w:hAnsi="Arial" w:cs="Arial"/>
                <w:b/>
                <w:bCs/>
                <w:sz w:val="20"/>
                <w:szCs w:val="20"/>
                <w:lang w:val="es-ES"/>
              </w:rPr>
              <w:t>Nombre de la Operación</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0F45F1EE" w14:textId="096AFC2C" w:rsidR="00C21376" w:rsidRPr="00EF6434" w:rsidRDefault="006026AF" w:rsidP="007B4421">
            <w:pPr>
              <w:rPr>
                <w:rFonts w:ascii="Arial" w:hAnsi="Arial" w:cs="Arial"/>
                <w:smallCaps/>
                <w:sz w:val="20"/>
                <w:szCs w:val="20"/>
                <w:lang w:val="es-ES_tradnl"/>
              </w:rPr>
            </w:pPr>
            <w:r w:rsidRPr="00EF6434">
              <w:rPr>
                <w:rFonts w:ascii="Arial" w:eastAsia="Times New Roman" w:hAnsi="Arial" w:cs="Arial"/>
                <w:bCs/>
                <w:sz w:val="20"/>
                <w:szCs w:val="20"/>
                <w:lang w:val="es-ES_tradnl"/>
              </w:rPr>
              <w:t xml:space="preserve">Modificación del </w:t>
            </w:r>
            <w:r w:rsidRPr="00EF6434">
              <w:rPr>
                <w:rFonts w:ascii="Arial" w:hAnsi="Arial" w:cs="Arial"/>
                <w:sz w:val="20"/>
                <w:szCs w:val="20"/>
                <w:lang w:val="es-ES_tradnl"/>
              </w:rPr>
              <w:t>“Programa de Reconversión del Centro, Modernización del Transporte Público Metropolitano y Oficinas de Gobierno” (PR-L1044) y del Programa “Escuela Viva II” (PR-L1017)</w:t>
            </w:r>
          </w:p>
        </w:tc>
      </w:tr>
      <w:tr w:rsidR="00C21376" w:rsidRPr="00C0720C" w14:paraId="64E307BE" w14:textId="77777777" w:rsidTr="35BB1C2C">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18D25196" w14:textId="77777777" w:rsidR="00C21376" w:rsidRPr="00EF6434" w:rsidRDefault="00C21376" w:rsidP="00844A93">
            <w:pPr>
              <w:rPr>
                <w:rFonts w:ascii="Arial" w:eastAsia="Times New Roman" w:hAnsi="Arial" w:cs="Arial"/>
                <w:b/>
                <w:bCs/>
                <w:sz w:val="20"/>
                <w:szCs w:val="20"/>
                <w:lang w:val="es-ES"/>
              </w:rPr>
            </w:pPr>
            <w:r w:rsidRPr="00EF6434">
              <w:rPr>
                <w:rFonts w:ascii="Arial" w:eastAsia="Times New Roman" w:hAnsi="Arial" w:cs="Arial"/>
                <w:b/>
                <w:bCs/>
                <w:sz w:val="20"/>
                <w:szCs w:val="20"/>
                <w:lang w:val="es-ES"/>
              </w:rPr>
              <w:t>Número de la Operación</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790B0FF" w14:textId="43FF97AF" w:rsidR="00C21376" w:rsidRPr="00EF6434" w:rsidRDefault="006026AF" w:rsidP="00844A93">
            <w:pPr>
              <w:rPr>
                <w:rFonts w:ascii="Arial" w:eastAsia="Times New Roman" w:hAnsi="Arial" w:cs="Arial"/>
                <w:sz w:val="20"/>
                <w:szCs w:val="20"/>
                <w:lang w:val="es-ES"/>
              </w:rPr>
            </w:pPr>
            <w:r w:rsidRPr="00EF6434">
              <w:rPr>
                <w:rFonts w:ascii="Arial" w:hAnsi="Arial" w:cs="Arial"/>
                <w:sz w:val="20"/>
                <w:szCs w:val="20"/>
                <w:lang w:val="es-ES_tradnl"/>
              </w:rPr>
              <w:t>PR-L1044 y PR-L1017</w:t>
            </w:r>
          </w:p>
        </w:tc>
      </w:tr>
      <w:tr w:rsidR="00C21376" w:rsidRPr="00C0720C" w14:paraId="291E1E0F" w14:textId="77777777" w:rsidTr="35BB1C2C">
        <w:trPr>
          <w:trHeight w:val="357"/>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tcPr>
          <w:p w14:paraId="74ACED72" w14:textId="77777777" w:rsidR="00C21376" w:rsidRPr="00C0720C" w:rsidRDefault="00C21376" w:rsidP="00844A93">
            <w:pPr>
              <w:rPr>
                <w:rFonts w:ascii="Arial" w:eastAsia="Times New Roman" w:hAnsi="Arial" w:cs="Arial"/>
                <w:sz w:val="22"/>
                <w:szCs w:val="22"/>
                <w:lang w:val="es-ES"/>
              </w:rPr>
            </w:pPr>
            <w:r w:rsidRPr="00C0720C">
              <w:rPr>
                <w:rFonts w:ascii="Arial" w:eastAsia="Times New Roman" w:hAnsi="Arial" w:cs="Arial"/>
                <w:b/>
                <w:bCs/>
                <w:sz w:val="22"/>
                <w:szCs w:val="22"/>
                <w:lang w:val="es-ES"/>
              </w:rPr>
              <w:t>Detalles de la Operación</w:t>
            </w:r>
          </w:p>
        </w:tc>
      </w:tr>
      <w:tr w:rsidR="00C21376" w:rsidRPr="005A209C" w14:paraId="10152BA9" w14:textId="77777777" w:rsidTr="35BB1C2C">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0373F1CE" w14:textId="77777777" w:rsidR="00C21376" w:rsidRPr="00EF6434" w:rsidRDefault="00C21376" w:rsidP="001D3040">
            <w:pPr>
              <w:rPr>
                <w:rFonts w:ascii="Arial" w:eastAsia="Times New Roman" w:hAnsi="Arial" w:cs="Arial"/>
                <w:b/>
                <w:bCs/>
                <w:sz w:val="20"/>
                <w:szCs w:val="20"/>
                <w:lang w:val="es-ES"/>
              </w:rPr>
            </w:pPr>
            <w:r w:rsidRPr="00EF6434">
              <w:rPr>
                <w:rFonts w:ascii="Arial" w:eastAsia="Times New Roman" w:hAnsi="Arial" w:cs="Arial"/>
                <w:b/>
                <w:bCs/>
                <w:sz w:val="20"/>
                <w:szCs w:val="20"/>
                <w:lang w:val="es-ES"/>
              </w:rPr>
              <w:t>Sector del BID</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121022D6" w14:textId="0210644B" w:rsidR="00C21376" w:rsidRPr="00EF6434" w:rsidRDefault="007B4421" w:rsidP="00844A93">
            <w:pPr>
              <w:rPr>
                <w:rFonts w:ascii="Arial" w:eastAsia="Times New Roman" w:hAnsi="Arial" w:cs="Arial"/>
                <w:sz w:val="20"/>
                <w:szCs w:val="20"/>
                <w:lang w:val="es-ES"/>
              </w:rPr>
            </w:pPr>
            <w:r w:rsidRPr="00EF6434">
              <w:rPr>
                <w:rFonts w:ascii="Arial" w:hAnsi="Arial" w:cs="Arial"/>
                <w:sz w:val="20"/>
                <w:szCs w:val="20"/>
                <w:lang w:val="es-ES_tradnl"/>
              </w:rPr>
              <w:t>Transporte</w:t>
            </w:r>
            <w:r w:rsidR="006026AF" w:rsidRPr="00EF6434">
              <w:rPr>
                <w:rFonts w:ascii="Arial" w:hAnsi="Arial" w:cs="Arial"/>
                <w:sz w:val="20"/>
                <w:szCs w:val="20"/>
                <w:lang w:val="es-ES_tradnl"/>
              </w:rPr>
              <w:t xml:space="preserve"> (PR-L1044) y Educación (PR-L1017)</w:t>
            </w:r>
          </w:p>
        </w:tc>
      </w:tr>
      <w:tr w:rsidR="00C21376" w:rsidRPr="00C0720C" w14:paraId="259E995B" w14:textId="77777777" w:rsidTr="35BB1C2C">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1738A38D" w14:textId="77777777" w:rsidR="00C21376" w:rsidRPr="00EF6434" w:rsidRDefault="00C21376" w:rsidP="001D3040">
            <w:pPr>
              <w:rPr>
                <w:rFonts w:ascii="Arial" w:eastAsia="Times New Roman" w:hAnsi="Arial" w:cs="Arial"/>
                <w:b/>
                <w:bCs/>
                <w:sz w:val="20"/>
                <w:szCs w:val="20"/>
                <w:lang w:val="es-ES"/>
              </w:rPr>
            </w:pPr>
            <w:r w:rsidRPr="00EF6434">
              <w:rPr>
                <w:rFonts w:ascii="Arial" w:eastAsia="Times New Roman" w:hAnsi="Arial" w:cs="Arial"/>
                <w:b/>
                <w:bCs/>
                <w:sz w:val="20"/>
                <w:szCs w:val="20"/>
                <w:lang w:val="es-ES"/>
              </w:rPr>
              <w:t>Tipo de Operación</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hideMark/>
          </w:tcPr>
          <w:p w14:paraId="718DEE54" w14:textId="63769FC1" w:rsidR="00C21376" w:rsidRDefault="00EF6434" w:rsidP="00844A93">
            <w:pPr>
              <w:rPr>
                <w:rFonts w:ascii="Arial" w:hAnsi="Arial" w:cs="Arial"/>
                <w:sz w:val="20"/>
                <w:szCs w:val="20"/>
              </w:rPr>
            </w:pPr>
            <w:r>
              <w:rPr>
                <w:rFonts w:ascii="Arial" w:hAnsi="Arial" w:cs="Arial"/>
                <w:sz w:val="20"/>
                <w:szCs w:val="20"/>
              </w:rPr>
              <w:t xml:space="preserve">PR-L1044: </w:t>
            </w:r>
            <w:r w:rsidR="00A8697C" w:rsidRPr="00EF6434">
              <w:rPr>
                <w:rFonts w:ascii="Arial" w:hAnsi="Arial" w:cs="Arial"/>
                <w:sz w:val="20"/>
                <w:szCs w:val="20"/>
              </w:rPr>
              <w:t>ESP (Specific Investment Operation)</w:t>
            </w:r>
          </w:p>
          <w:p w14:paraId="72E711B1" w14:textId="671A6DC2" w:rsidR="00EF6434" w:rsidRPr="00EF6434" w:rsidRDefault="00EF6434" w:rsidP="00844A93">
            <w:pPr>
              <w:rPr>
                <w:rFonts w:ascii="Arial" w:eastAsia="Times New Roman" w:hAnsi="Arial" w:cs="Arial"/>
                <w:sz w:val="20"/>
                <w:szCs w:val="20"/>
              </w:rPr>
            </w:pPr>
            <w:r>
              <w:rPr>
                <w:rFonts w:ascii="Arial" w:hAnsi="Arial" w:cs="Arial"/>
                <w:sz w:val="20"/>
                <w:szCs w:val="20"/>
              </w:rPr>
              <w:t>PR-L1017: PDL (Performance Driven Loan)</w:t>
            </w:r>
          </w:p>
        </w:tc>
      </w:tr>
      <w:tr w:rsidR="00C21376" w:rsidRPr="00C0720C" w14:paraId="6B5A0222" w14:textId="77777777" w:rsidTr="35BB1C2C">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506DFAD2" w14:textId="4ECD06A7" w:rsidR="00C21376" w:rsidRPr="00EF6434" w:rsidRDefault="00C21376" w:rsidP="00C21376">
            <w:pPr>
              <w:rPr>
                <w:rFonts w:ascii="Arial" w:eastAsia="Times New Roman" w:hAnsi="Arial" w:cs="Arial"/>
                <w:b/>
                <w:bCs/>
                <w:sz w:val="20"/>
                <w:szCs w:val="20"/>
                <w:lang w:val="es-ES"/>
              </w:rPr>
            </w:pPr>
            <w:r w:rsidRPr="00EF6434">
              <w:rPr>
                <w:rFonts w:ascii="Arial" w:eastAsia="Times New Roman" w:hAnsi="Arial" w:cs="Arial"/>
                <w:b/>
                <w:bCs/>
                <w:sz w:val="20"/>
                <w:szCs w:val="20"/>
                <w:lang w:val="es-ES"/>
              </w:rPr>
              <w:t>Clasificación de Impacto</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263C1E10" w14:textId="2AE7552A" w:rsidR="00C21376" w:rsidRPr="00EF6434" w:rsidRDefault="0033020E" w:rsidP="00844A93">
            <w:pPr>
              <w:rPr>
                <w:rFonts w:ascii="Arial" w:eastAsia="Times New Roman" w:hAnsi="Arial" w:cs="Arial"/>
                <w:sz w:val="20"/>
                <w:szCs w:val="20"/>
                <w:lang w:val="es-ES"/>
              </w:rPr>
            </w:pPr>
            <w:r w:rsidRPr="00EF6434">
              <w:rPr>
                <w:rFonts w:ascii="Arial" w:eastAsia="Times New Roman" w:hAnsi="Arial" w:cs="Arial"/>
                <w:sz w:val="20"/>
                <w:szCs w:val="20"/>
                <w:lang w:val="es-ES"/>
              </w:rPr>
              <w:t>B</w:t>
            </w:r>
          </w:p>
        </w:tc>
      </w:tr>
      <w:tr w:rsidR="00C21376" w:rsidRPr="00C0720C" w14:paraId="1DB2EFD4" w14:textId="77777777" w:rsidTr="35BB1C2C">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7710C6A3" w14:textId="4CC7DE2E" w:rsidR="00C21376" w:rsidRPr="00EF6434" w:rsidDel="007813EB" w:rsidRDefault="00C21376" w:rsidP="00844A93">
            <w:pPr>
              <w:rPr>
                <w:rFonts w:ascii="Arial" w:eastAsia="Times New Roman" w:hAnsi="Arial" w:cs="Arial"/>
                <w:b/>
                <w:bCs/>
                <w:sz w:val="20"/>
                <w:szCs w:val="20"/>
                <w:lang w:val="es-ES"/>
              </w:rPr>
            </w:pPr>
            <w:r w:rsidRPr="00EF6434">
              <w:rPr>
                <w:rFonts w:ascii="Arial" w:eastAsia="Times New Roman" w:hAnsi="Arial" w:cs="Arial"/>
                <w:b/>
                <w:bCs/>
                <w:sz w:val="20"/>
                <w:szCs w:val="20"/>
                <w:lang w:val="es-ES"/>
              </w:rPr>
              <w:t>Indicadores de</w:t>
            </w:r>
            <w:r w:rsidR="00A872A5" w:rsidRPr="00EF6434">
              <w:rPr>
                <w:rFonts w:ascii="Arial" w:eastAsia="Times New Roman" w:hAnsi="Arial" w:cs="Arial"/>
                <w:b/>
                <w:bCs/>
                <w:sz w:val="20"/>
                <w:szCs w:val="20"/>
                <w:lang w:val="es-ES"/>
              </w:rPr>
              <w:t>l</w:t>
            </w:r>
            <w:r w:rsidRPr="00EF6434">
              <w:rPr>
                <w:rFonts w:ascii="Arial" w:eastAsia="Times New Roman" w:hAnsi="Arial" w:cs="Arial"/>
                <w:b/>
                <w:bCs/>
                <w:sz w:val="20"/>
                <w:szCs w:val="20"/>
                <w:lang w:val="es-ES"/>
              </w:rPr>
              <w:t xml:space="preserve"> Riesgo de Desastres</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9A157D2" w14:textId="6016E830" w:rsidR="00C21376" w:rsidRPr="00EF6434" w:rsidRDefault="006026AF" w:rsidP="00844A93">
            <w:pPr>
              <w:rPr>
                <w:rFonts w:ascii="Arial" w:eastAsia="Times New Roman" w:hAnsi="Arial" w:cs="Arial"/>
                <w:sz w:val="20"/>
                <w:szCs w:val="20"/>
                <w:lang w:val="es-ES"/>
              </w:rPr>
            </w:pPr>
            <w:r w:rsidRPr="00EF6434">
              <w:rPr>
                <w:rFonts w:ascii="Arial" w:eastAsia="Times New Roman" w:hAnsi="Arial" w:cs="Arial"/>
                <w:sz w:val="20"/>
                <w:szCs w:val="20"/>
                <w:lang w:val="es-ES"/>
              </w:rPr>
              <w:t>Bajo</w:t>
            </w:r>
          </w:p>
        </w:tc>
      </w:tr>
      <w:tr w:rsidR="00C21376" w:rsidRPr="00C0720C" w14:paraId="28DBEC9F" w14:textId="77777777" w:rsidTr="35BB1C2C">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74A75800" w14:textId="77777777" w:rsidR="00C21376" w:rsidRPr="00EF6434" w:rsidRDefault="00C21376" w:rsidP="00844A93">
            <w:pPr>
              <w:rPr>
                <w:rFonts w:ascii="Arial" w:eastAsia="Times New Roman" w:hAnsi="Arial" w:cs="Arial"/>
                <w:b/>
                <w:bCs/>
                <w:sz w:val="20"/>
                <w:szCs w:val="20"/>
                <w:lang w:val="es-ES"/>
              </w:rPr>
            </w:pPr>
            <w:r w:rsidRPr="00EF6434">
              <w:rPr>
                <w:rFonts w:ascii="Arial" w:eastAsia="Times New Roman" w:hAnsi="Arial" w:cs="Arial"/>
                <w:b/>
                <w:bCs/>
                <w:sz w:val="20"/>
                <w:szCs w:val="20"/>
                <w:lang w:val="es-ES"/>
              </w:rPr>
              <w:t>Prestatario</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2E7FCD9" w14:textId="40847509" w:rsidR="00C21376" w:rsidRPr="00EF6434" w:rsidRDefault="0033020E" w:rsidP="00844A93">
            <w:pPr>
              <w:rPr>
                <w:rFonts w:ascii="Arial" w:eastAsia="Times New Roman" w:hAnsi="Arial" w:cs="Arial"/>
                <w:sz w:val="20"/>
                <w:szCs w:val="20"/>
                <w:lang w:val="es-ES"/>
              </w:rPr>
            </w:pPr>
            <w:proofErr w:type="spellStart"/>
            <w:r w:rsidRPr="00EF6434">
              <w:rPr>
                <w:rFonts w:ascii="Arial" w:hAnsi="Arial" w:cs="Arial"/>
                <w:sz w:val="20"/>
                <w:szCs w:val="20"/>
              </w:rPr>
              <w:t>República</w:t>
            </w:r>
            <w:proofErr w:type="spellEnd"/>
            <w:r w:rsidRPr="00EF6434">
              <w:rPr>
                <w:rFonts w:ascii="Arial" w:hAnsi="Arial" w:cs="Arial"/>
                <w:sz w:val="20"/>
                <w:szCs w:val="20"/>
              </w:rPr>
              <w:t xml:space="preserve"> </w:t>
            </w:r>
            <w:r w:rsidR="006026AF" w:rsidRPr="00EF6434">
              <w:rPr>
                <w:rFonts w:ascii="Arial" w:hAnsi="Arial" w:cs="Arial"/>
                <w:sz w:val="20"/>
                <w:szCs w:val="20"/>
              </w:rPr>
              <w:t>del Paraguay</w:t>
            </w:r>
          </w:p>
        </w:tc>
      </w:tr>
      <w:tr w:rsidR="00C21376" w:rsidRPr="005A209C" w14:paraId="4353563B" w14:textId="77777777" w:rsidTr="35BB1C2C">
        <w:trPr>
          <w:trHeight w:val="21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181156CC" w14:textId="77777777" w:rsidR="00C21376" w:rsidRPr="00EF6434" w:rsidRDefault="00C21376" w:rsidP="00844A93">
            <w:pPr>
              <w:rPr>
                <w:rFonts w:ascii="Arial" w:eastAsia="Times New Roman" w:hAnsi="Arial" w:cs="Arial"/>
                <w:b/>
                <w:bCs/>
                <w:sz w:val="20"/>
                <w:szCs w:val="20"/>
                <w:lang w:val="es-ES"/>
              </w:rPr>
            </w:pPr>
            <w:r w:rsidRPr="00EF6434">
              <w:rPr>
                <w:rFonts w:ascii="Arial" w:eastAsia="Times New Roman" w:hAnsi="Arial" w:cs="Arial"/>
                <w:b/>
                <w:bCs/>
                <w:sz w:val="20"/>
                <w:szCs w:val="20"/>
                <w:lang w:val="es-ES"/>
              </w:rPr>
              <w:t>Agencia Ejecutora</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17C9390E" w14:textId="77777777" w:rsidR="00EF6434" w:rsidRDefault="00EF6434" w:rsidP="00844A93">
            <w:pPr>
              <w:rPr>
                <w:rFonts w:ascii="Arial" w:hAnsi="Arial" w:cs="Arial"/>
                <w:sz w:val="20"/>
                <w:szCs w:val="20"/>
                <w:lang w:val="es-ES_tradnl"/>
              </w:rPr>
            </w:pPr>
            <w:r>
              <w:rPr>
                <w:rFonts w:ascii="Arial" w:hAnsi="Arial" w:cs="Arial"/>
                <w:sz w:val="20"/>
                <w:szCs w:val="20"/>
                <w:lang w:val="es-ES"/>
              </w:rPr>
              <w:t xml:space="preserve">PR-L1044: </w:t>
            </w:r>
            <w:r w:rsidR="007B4421" w:rsidRPr="00EF6434">
              <w:rPr>
                <w:rFonts w:ascii="Arial" w:hAnsi="Arial" w:cs="Arial"/>
                <w:sz w:val="20"/>
                <w:szCs w:val="20"/>
                <w:lang w:val="es-ES_tradnl"/>
              </w:rPr>
              <w:t xml:space="preserve">Ministerio de </w:t>
            </w:r>
            <w:r w:rsidR="006026AF" w:rsidRPr="00EF6434">
              <w:rPr>
                <w:rFonts w:ascii="Arial" w:hAnsi="Arial" w:cs="Arial"/>
                <w:sz w:val="20"/>
                <w:szCs w:val="20"/>
                <w:lang w:val="es-ES_tradnl"/>
              </w:rPr>
              <w:t>Obras Públicas y Comunicaciones (MOPC)</w:t>
            </w:r>
            <w:r>
              <w:rPr>
                <w:rFonts w:ascii="Arial" w:hAnsi="Arial" w:cs="Arial"/>
                <w:sz w:val="20"/>
                <w:szCs w:val="20"/>
                <w:lang w:val="es-ES_tradnl"/>
              </w:rPr>
              <w:t xml:space="preserve"> </w:t>
            </w:r>
          </w:p>
          <w:p w14:paraId="6C3B8B13" w14:textId="43CD1CC9" w:rsidR="00C21376" w:rsidRPr="00EF6434" w:rsidRDefault="00EF6434" w:rsidP="00844A93">
            <w:pPr>
              <w:rPr>
                <w:rFonts w:ascii="Arial" w:eastAsia="Times New Roman" w:hAnsi="Arial" w:cs="Arial"/>
                <w:sz w:val="20"/>
                <w:szCs w:val="20"/>
                <w:lang w:val="es-ES_tradnl"/>
              </w:rPr>
            </w:pPr>
            <w:r>
              <w:rPr>
                <w:rFonts w:ascii="Arial" w:hAnsi="Arial" w:cs="Arial"/>
                <w:sz w:val="20"/>
                <w:szCs w:val="20"/>
                <w:lang w:val="es-ES_tradnl"/>
              </w:rPr>
              <w:t xml:space="preserve">PR-L1017: </w:t>
            </w:r>
            <w:r w:rsidR="006026AF" w:rsidRPr="00EF6434">
              <w:rPr>
                <w:rFonts w:ascii="Arial" w:hAnsi="Arial" w:cs="Arial"/>
                <w:sz w:val="20"/>
                <w:szCs w:val="20"/>
                <w:lang w:val="es-ES_tradnl"/>
              </w:rPr>
              <w:t>Ministerio de Educación y Cultura (MEC)</w:t>
            </w:r>
          </w:p>
        </w:tc>
      </w:tr>
      <w:tr w:rsidR="00F526C3" w:rsidRPr="005A209C" w14:paraId="2FFD0AFE" w14:textId="77777777" w:rsidTr="35BB1C2C">
        <w:trPr>
          <w:trHeight w:val="285"/>
        </w:trPr>
        <w:tc>
          <w:tcPr>
            <w:tcW w:w="4230" w:type="dxa"/>
            <w:tcBorders>
              <w:top w:val="single" w:sz="6" w:space="0" w:color="000000" w:themeColor="text1"/>
              <w:left w:val="single" w:sz="6" w:space="0" w:color="000000" w:themeColor="text1"/>
              <w:right w:val="single" w:sz="6" w:space="0" w:color="000000" w:themeColor="text1"/>
            </w:tcBorders>
            <w:tcMar>
              <w:top w:w="15" w:type="dxa"/>
              <w:left w:w="105" w:type="dxa"/>
              <w:bottom w:w="15" w:type="dxa"/>
              <w:right w:w="105" w:type="dxa"/>
            </w:tcMar>
          </w:tcPr>
          <w:p w14:paraId="6F1FF8DC" w14:textId="1D0B7606" w:rsidR="00F526C3" w:rsidRPr="00EF6434" w:rsidRDefault="00F526C3" w:rsidP="00C21376">
            <w:pPr>
              <w:rPr>
                <w:rFonts w:ascii="Arial" w:eastAsia="Times New Roman" w:hAnsi="Arial" w:cs="Arial"/>
                <w:b/>
                <w:bCs/>
                <w:sz w:val="20"/>
                <w:szCs w:val="20"/>
                <w:lang w:val="es-ES"/>
              </w:rPr>
            </w:pPr>
            <w:r w:rsidRPr="00EF6434">
              <w:rPr>
                <w:rFonts w:ascii="Arial" w:eastAsia="Times New Roman" w:hAnsi="Arial" w:cs="Arial"/>
                <w:b/>
                <w:bCs/>
                <w:sz w:val="20"/>
                <w:szCs w:val="20"/>
                <w:lang w:val="es-ES"/>
              </w:rPr>
              <w:t xml:space="preserve">Préstamo BID US$ </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389B118C" w14:textId="67D563BF" w:rsidR="00F526C3" w:rsidRPr="00EF6434" w:rsidRDefault="00EF6434" w:rsidP="007B4421">
            <w:pPr>
              <w:rPr>
                <w:rFonts w:ascii="Arial" w:hAnsi="Arial" w:cs="Arial"/>
                <w:sz w:val="20"/>
                <w:szCs w:val="20"/>
                <w:lang w:val="es-ES_tradnl"/>
              </w:rPr>
            </w:pPr>
            <w:r>
              <w:rPr>
                <w:rFonts w:ascii="Arial" w:hAnsi="Arial" w:cs="Arial"/>
                <w:sz w:val="20"/>
                <w:szCs w:val="20"/>
                <w:lang w:val="es-ES_tradnl"/>
              </w:rPr>
              <w:t>Modificación</w:t>
            </w:r>
            <w:r w:rsidR="007B4421" w:rsidRPr="00EF6434">
              <w:rPr>
                <w:rFonts w:ascii="Arial" w:hAnsi="Arial" w:cs="Arial"/>
                <w:sz w:val="20"/>
                <w:szCs w:val="20"/>
                <w:lang w:val="es-ES_tradnl"/>
              </w:rPr>
              <w:t>: US$</w:t>
            </w:r>
            <w:r w:rsidR="006026AF" w:rsidRPr="00EF6434">
              <w:rPr>
                <w:rFonts w:ascii="Arial" w:hAnsi="Arial" w:cs="Arial"/>
                <w:sz w:val="20"/>
                <w:szCs w:val="20"/>
                <w:lang w:val="es-ES_tradnl"/>
              </w:rPr>
              <w:t>18</w:t>
            </w:r>
            <w:r w:rsidR="007B4421" w:rsidRPr="00EF6434">
              <w:rPr>
                <w:rFonts w:ascii="Arial" w:hAnsi="Arial" w:cs="Arial"/>
                <w:sz w:val="20"/>
                <w:szCs w:val="20"/>
                <w:lang w:val="es-ES_tradnl"/>
              </w:rPr>
              <w:t>.000.000</w:t>
            </w:r>
            <w:r>
              <w:rPr>
                <w:rFonts w:ascii="Arial" w:hAnsi="Arial" w:cs="Arial"/>
                <w:sz w:val="20"/>
                <w:szCs w:val="20"/>
                <w:lang w:val="es-ES_tradnl"/>
              </w:rPr>
              <w:t xml:space="preserve"> a ser transferidos del PR-L1017 al PR-L1044</w:t>
            </w:r>
          </w:p>
        </w:tc>
      </w:tr>
      <w:tr w:rsidR="00C21376" w:rsidRPr="00C0720C" w14:paraId="52F1F53D" w14:textId="77777777" w:rsidTr="35BB1C2C">
        <w:trPr>
          <w:trHeight w:val="236"/>
        </w:trPr>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tcPr>
          <w:p w14:paraId="199B71AA" w14:textId="71D7C3E0" w:rsidR="00C21376" w:rsidRPr="00EF6434" w:rsidRDefault="00C21376" w:rsidP="00844A93">
            <w:pPr>
              <w:rPr>
                <w:rFonts w:ascii="Arial" w:eastAsia="Times New Roman" w:hAnsi="Arial" w:cs="Arial"/>
                <w:b/>
                <w:bCs/>
                <w:sz w:val="20"/>
                <w:szCs w:val="20"/>
                <w:lang w:val="es-ES"/>
              </w:rPr>
            </w:pPr>
            <w:r w:rsidRPr="00EF6434">
              <w:rPr>
                <w:rFonts w:ascii="Arial" w:eastAsia="Times New Roman" w:hAnsi="Arial" w:cs="Arial"/>
                <w:b/>
                <w:bCs/>
                <w:sz w:val="20"/>
                <w:szCs w:val="20"/>
                <w:lang w:val="es-ES"/>
              </w:rPr>
              <w:t>Políticas/</w:t>
            </w:r>
            <w:r w:rsidR="00A872A5" w:rsidRPr="00EF6434">
              <w:rPr>
                <w:rFonts w:ascii="Arial" w:eastAsia="Times New Roman" w:hAnsi="Arial" w:cs="Arial"/>
                <w:b/>
                <w:bCs/>
                <w:sz w:val="20"/>
                <w:szCs w:val="20"/>
                <w:lang w:val="es-ES"/>
              </w:rPr>
              <w:t>Directrices</w:t>
            </w:r>
            <w:r w:rsidRPr="00EF6434">
              <w:rPr>
                <w:rFonts w:ascii="Arial" w:eastAsia="Times New Roman" w:hAnsi="Arial" w:cs="Arial"/>
                <w:b/>
                <w:bCs/>
                <w:sz w:val="20"/>
                <w:szCs w:val="20"/>
                <w:lang w:val="es-ES"/>
              </w:rPr>
              <w:t xml:space="preserve"> Pertinentes</w:t>
            </w:r>
          </w:p>
        </w:tc>
        <w:tc>
          <w:tcPr>
            <w:tcW w:w="57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3F05CFBC" w14:textId="77777777" w:rsidR="00EF6434" w:rsidRDefault="00EF6434" w:rsidP="00844A93">
            <w:pPr>
              <w:rPr>
                <w:rFonts w:ascii="Arial" w:hAnsi="Arial" w:cs="Arial"/>
                <w:sz w:val="20"/>
                <w:szCs w:val="20"/>
              </w:rPr>
            </w:pPr>
            <w:r>
              <w:rPr>
                <w:rFonts w:ascii="Arial" w:hAnsi="Arial" w:cs="Arial"/>
                <w:sz w:val="20"/>
                <w:szCs w:val="20"/>
              </w:rPr>
              <w:t xml:space="preserve">PR-L1044: </w:t>
            </w:r>
          </w:p>
          <w:p w14:paraId="7B6453DB" w14:textId="6AC913B4" w:rsidR="00C21376" w:rsidRPr="00EF6434" w:rsidRDefault="00ED5062" w:rsidP="00844A93">
            <w:pPr>
              <w:rPr>
                <w:rFonts w:ascii="Arial" w:eastAsia="Times New Roman" w:hAnsi="Arial" w:cs="Arial"/>
                <w:sz w:val="20"/>
                <w:szCs w:val="20"/>
              </w:rPr>
            </w:pPr>
            <w:r w:rsidRPr="00EF6434">
              <w:rPr>
                <w:rFonts w:ascii="Arial" w:hAnsi="Arial" w:cs="Arial"/>
                <w:sz w:val="20"/>
                <w:szCs w:val="20"/>
              </w:rPr>
              <w:t>OP-102;</w:t>
            </w:r>
            <w:r w:rsidR="00A8697C" w:rsidRPr="00EF6434">
              <w:rPr>
                <w:rFonts w:ascii="Arial" w:hAnsi="Arial" w:cs="Arial"/>
                <w:sz w:val="20"/>
                <w:szCs w:val="20"/>
              </w:rPr>
              <w:t xml:space="preserve"> OP-704;</w:t>
            </w:r>
            <w:r w:rsidR="007B4421" w:rsidRPr="00EF6434">
              <w:rPr>
                <w:rFonts w:ascii="Arial" w:hAnsi="Arial" w:cs="Arial"/>
                <w:sz w:val="20"/>
                <w:szCs w:val="20"/>
              </w:rPr>
              <w:t xml:space="preserve"> OP-761;</w:t>
            </w:r>
            <w:r w:rsidRPr="00EF6434">
              <w:rPr>
                <w:rFonts w:ascii="Arial" w:hAnsi="Arial" w:cs="Arial"/>
                <w:sz w:val="20"/>
                <w:szCs w:val="20"/>
              </w:rPr>
              <w:t xml:space="preserve"> </w:t>
            </w:r>
            <w:r w:rsidR="006026AF" w:rsidRPr="00EF6434">
              <w:rPr>
                <w:rFonts w:ascii="Arial" w:hAnsi="Arial" w:cs="Arial"/>
                <w:sz w:val="20"/>
                <w:szCs w:val="20"/>
              </w:rPr>
              <w:t xml:space="preserve">OP-710; </w:t>
            </w:r>
            <w:r w:rsidRPr="00EF6434">
              <w:rPr>
                <w:rFonts w:ascii="Arial" w:hAnsi="Arial" w:cs="Arial"/>
                <w:sz w:val="20"/>
                <w:szCs w:val="20"/>
              </w:rPr>
              <w:t>OP-703 (</w:t>
            </w:r>
            <w:r w:rsidR="007B4421" w:rsidRPr="00EF6434">
              <w:rPr>
                <w:rFonts w:ascii="Arial" w:hAnsi="Arial" w:cs="Arial"/>
                <w:sz w:val="20"/>
                <w:szCs w:val="20"/>
              </w:rPr>
              <w:t xml:space="preserve">B.1, </w:t>
            </w:r>
            <w:r w:rsidRPr="00EF6434">
              <w:rPr>
                <w:rFonts w:ascii="Arial" w:hAnsi="Arial" w:cs="Arial"/>
                <w:sz w:val="20"/>
                <w:szCs w:val="20"/>
              </w:rPr>
              <w:t xml:space="preserve">B.2, B.3, B.4, B.5, B.6, B.7, B.10, B.11, </w:t>
            </w:r>
            <w:r w:rsidR="006026AF" w:rsidRPr="00EF6434">
              <w:rPr>
                <w:rFonts w:ascii="Arial" w:hAnsi="Arial" w:cs="Arial"/>
                <w:sz w:val="20"/>
                <w:szCs w:val="20"/>
              </w:rPr>
              <w:t xml:space="preserve">B.12, </w:t>
            </w:r>
            <w:r w:rsidRPr="00EF6434">
              <w:rPr>
                <w:rFonts w:ascii="Arial" w:hAnsi="Arial" w:cs="Arial"/>
                <w:sz w:val="20"/>
                <w:szCs w:val="20"/>
              </w:rPr>
              <w:t>B.17)</w:t>
            </w:r>
          </w:p>
        </w:tc>
      </w:tr>
      <w:tr w:rsidR="00C21376" w:rsidRPr="00C0720C" w14:paraId="68127C07" w14:textId="77777777" w:rsidTr="35BB1C2C">
        <w:trPr>
          <w:trHeight w:val="411"/>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26D22CEE" w14:textId="19F77835" w:rsidR="00C21376" w:rsidRPr="00C0720C" w:rsidRDefault="004E555E" w:rsidP="004553C2">
            <w:pPr>
              <w:rPr>
                <w:rFonts w:ascii="Arial" w:eastAsia="Times New Roman" w:hAnsi="Arial" w:cs="Arial"/>
                <w:b/>
                <w:bCs/>
                <w:sz w:val="22"/>
                <w:szCs w:val="22"/>
                <w:lang w:val="es-ES"/>
              </w:rPr>
            </w:pPr>
            <w:r w:rsidRPr="00C0720C">
              <w:rPr>
                <w:rFonts w:ascii="Arial" w:eastAsia="Times New Roman" w:hAnsi="Arial" w:cs="Arial"/>
                <w:b/>
                <w:bCs/>
                <w:sz w:val="22"/>
                <w:szCs w:val="22"/>
                <w:lang w:val="es-ES"/>
              </w:rPr>
              <w:t>Descripción de la</w:t>
            </w:r>
            <w:r w:rsidR="00714D97">
              <w:rPr>
                <w:rFonts w:ascii="Arial" w:eastAsia="Times New Roman" w:hAnsi="Arial" w:cs="Arial"/>
                <w:b/>
                <w:bCs/>
                <w:sz w:val="22"/>
                <w:szCs w:val="22"/>
                <w:lang w:val="es-ES"/>
              </w:rPr>
              <w:t>s Operaciones</w:t>
            </w:r>
            <w:r w:rsidRPr="00C0720C">
              <w:rPr>
                <w:rFonts w:ascii="Arial" w:eastAsia="Times New Roman" w:hAnsi="Arial" w:cs="Arial"/>
                <w:b/>
                <w:bCs/>
                <w:sz w:val="22"/>
                <w:szCs w:val="22"/>
                <w:lang w:val="es-ES"/>
              </w:rPr>
              <w:t xml:space="preserve"> </w:t>
            </w:r>
          </w:p>
        </w:tc>
      </w:tr>
      <w:tr w:rsidR="00C21376" w:rsidRPr="005A209C" w14:paraId="6F4662C5"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hideMark/>
          </w:tcPr>
          <w:p w14:paraId="5FD1FD2A" w14:textId="72BD824C" w:rsidR="00956415" w:rsidRPr="00EF6434" w:rsidRDefault="00956415" w:rsidP="00956415">
            <w:pPr>
              <w:pStyle w:val="ListParagraph"/>
              <w:numPr>
                <w:ilvl w:val="0"/>
                <w:numId w:val="36"/>
              </w:numPr>
              <w:jc w:val="both"/>
              <w:rPr>
                <w:rFonts w:ascii="Arial" w:hAnsi="Arial" w:cs="Arial"/>
                <w:b/>
                <w:sz w:val="20"/>
                <w:szCs w:val="20"/>
                <w:lang w:val="es-ES_tradnl"/>
              </w:rPr>
            </w:pPr>
            <w:r w:rsidRPr="00EF6434">
              <w:rPr>
                <w:rFonts w:ascii="Arial" w:hAnsi="Arial" w:cs="Arial"/>
                <w:b/>
                <w:sz w:val="20"/>
                <w:szCs w:val="20"/>
                <w:lang w:val="es-ES_tradnl"/>
              </w:rPr>
              <w:t>El Programa PR-L1044</w:t>
            </w:r>
          </w:p>
          <w:p w14:paraId="6B3C8F6C" w14:textId="77777777" w:rsidR="00956415" w:rsidRPr="00EF6434" w:rsidRDefault="00956415" w:rsidP="00956415">
            <w:pPr>
              <w:pStyle w:val="ListParagraph"/>
              <w:ind w:left="1080"/>
              <w:jc w:val="both"/>
              <w:rPr>
                <w:rFonts w:ascii="Arial" w:hAnsi="Arial" w:cs="Arial"/>
                <w:b/>
                <w:sz w:val="20"/>
                <w:szCs w:val="20"/>
                <w:lang w:val="es-ES_tradnl"/>
              </w:rPr>
            </w:pPr>
          </w:p>
          <w:p w14:paraId="16007431" w14:textId="592D9257" w:rsidR="00627E9B" w:rsidRPr="00EF6434" w:rsidRDefault="00A03BE6" w:rsidP="007B4421">
            <w:pPr>
              <w:jc w:val="both"/>
              <w:rPr>
                <w:rFonts w:ascii="Arial" w:hAnsi="Arial" w:cs="Arial"/>
                <w:sz w:val="20"/>
                <w:szCs w:val="20"/>
                <w:lang w:val="es-ES_tradnl"/>
              </w:rPr>
            </w:pPr>
            <w:r w:rsidRPr="00EF6434">
              <w:rPr>
                <w:rFonts w:ascii="Arial" w:hAnsi="Arial" w:cs="Arial"/>
                <w:sz w:val="20"/>
                <w:szCs w:val="20"/>
                <w:lang w:val="es-ES_tradnl"/>
              </w:rPr>
              <w:t>El</w:t>
            </w:r>
            <w:r w:rsidR="007B4421" w:rsidRPr="00EF6434">
              <w:rPr>
                <w:rFonts w:ascii="Arial" w:hAnsi="Arial" w:cs="Arial"/>
                <w:sz w:val="20"/>
                <w:szCs w:val="20"/>
                <w:lang w:val="es-ES_tradnl"/>
              </w:rPr>
              <w:t xml:space="preserve"> </w:t>
            </w:r>
            <w:r w:rsidR="00627E9B" w:rsidRPr="00EF6434">
              <w:rPr>
                <w:rFonts w:ascii="Arial" w:hAnsi="Arial" w:cs="Arial"/>
                <w:sz w:val="20"/>
                <w:szCs w:val="20"/>
                <w:lang w:val="es-ES_tradnl"/>
              </w:rPr>
              <w:t xml:space="preserve">Programa de </w:t>
            </w:r>
            <w:r w:rsidR="00627E9B" w:rsidRPr="00EF6434">
              <w:rPr>
                <w:rFonts w:ascii="Arial" w:hAnsi="Arial" w:cs="Arial"/>
                <w:b/>
                <w:i/>
                <w:sz w:val="20"/>
                <w:szCs w:val="20"/>
                <w:lang w:val="es-ES_tradnl"/>
              </w:rPr>
              <w:t>Reconversión del Centro, Modernización del Transporte Público Metropolitano y Oficinas de Gobierno (PR-L1044)</w:t>
            </w:r>
            <w:r w:rsidR="00627E9B" w:rsidRPr="00EF6434">
              <w:rPr>
                <w:rFonts w:ascii="Arial" w:hAnsi="Arial" w:cs="Arial"/>
                <w:sz w:val="20"/>
                <w:szCs w:val="20"/>
                <w:lang w:val="es-ES_tradnl"/>
              </w:rPr>
              <w:t xml:space="preserve"> fue aprobado en el año 2010</w:t>
            </w:r>
            <w:r w:rsidR="000E6A33" w:rsidRPr="00EF6434">
              <w:rPr>
                <w:rFonts w:ascii="Arial" w:hAnsi="Arial" w:cs="Arial"/>
                <w:sz w:val="20"/>
                <w:szCs w:val="20"/>
                <w:lang w:val="es-ES_tradnl"/>
              </w:rPr>
              <w:t xml:space="preserve"> </w:t>
            </w:r>
            <w:r w:rsidR="000E6A33" w:rsidRPr="00EF6434">
              <w:rPr>
                <w:rFonts w:ascii="Arial" w:hAnsi="Arial" w:cs="Arial"/>
                <w:noProof/>
                <w:sz w:val="20"/>
                <w:szCs w:val="20"/>
                <w:lang w:val="es-ES_tradnl"/>
              </w:rPr>
              <w:t>por un monto de US$125.000.000</w:t>
            </w:r>
            <w:r w:rsidR="00627E9B" w:rsidRPr="00EF6434">
              <w:rPr>
                <w:rFonts w:ascii="Arial" w:hAnsi="Arial" w:cs="Arial"/>
                <w:sz w:val="20"/>
                <w:szCs w:val="20"/>
                <w:lang w:val="es-ES_tradnl"/>
              </w:rPr>
              <w:t xml:space="preserve">, con el objetivo general de contribuir al aumento de la calidad de vida de la población del área de intervención mediante la rehabilitación y mejoramiento de infraestructura urbana y de transporte. El programa fue estructurado en los siguientes componentes: </w:t>
            </w:r>
          </w:p>
          <w:p w14:paraId="04683E13" w14:textId="77777777" w:rsidR="008052F0" w:rsidRPr="00EF6434" w:rsidRDefault="008052F0" w:rsidP="007B4421">
            <w:pPr>
              <w:jc w:val="both"/>
              <w:rPr>
                <w:rFonts w:ascii="Arial" w:hAnsi="Arial" w:cs="Arial"/>
                <w:sz w:val="20"/>
                <w:szCs w:val="20"/>
                <w:lang w:val="es-ES_tradnl"/>
              </w:rPr>
            </w:pPr>
          </w:p>
          <w:p w14:paraId="31295B48" w14:textId="487AF0AA" w:rsidR="008052F0" w:rsidRPr="00EF6434" w:rsidRDefault="00627E9B" w:rsidP="00627E9B">
            <w:pPr>
              <w:pStyle w:val="ListParagraph"/>
              <w:numPr>
                <w:ilvl w:val="0"/>
                <w:numId w:val="24"/>
              </w:numPr>
              <w:autoSpaceDE w:val="0"/>
              <w:autoSpaceDN w:val="0"/>
              <w:adjustRightInd w:val="0"/>
              <w:jc w:val="both"/>
              <w:rPr>
                <w:rFonts w:ascii="Arial" w:hAnsi="Arial" w:cs="Arial"/>
                <w:sz w:val="20"/>
                <w:szCs w:val="20"/>
                <w:lang w:val="es-ES_tradnl"/>
              </w:rPr>
            </w:pPr>
            <w:r w:rsidRPr="00EF6434">
              <w:rPr>
                <w:rFonts w:ascii="Arial" w:hAnsi="Arial" w:cs="Arial"/>
                <w:b/>
                <w:sz w:val="20"/>
                <w:szCs w:val="20"/>
                <w:lang w:val="es-ES_tradnl"/>
              </w:rPr>
              <w:t>Revitalización urbana:</w:t>
            </w:r>
            <w:r w:rsidRPr="00EF6434">
              <w:rPr>
                <w:rFonts w:ascii="Arial" w:hAnsi="Arial" w:cs="Arial"/>
                <w:sz w:val="20"/>
                <w:szCs w:val="20"/>
                <w:lang w:val="es-ES_tradnl"/>
              </w:rPr>
              <w:t xml:space="preserve"> su objetivo es la revitalización y mejoramiento del espacio público de la zona central de la ciudad de Asunción, a fin de revertir el proceso de deterioro urbano, promover una revalorización inmobiliaria de la zona y generar un polo de desarrollo urbano para la ciudad. </w:t>
            </w:r>
            <w:r w:rsidR="00714D97" w:rsidRPr="00EF6434">
              <w:rPr>
                <w:rFonts w:ascii="Arial" w:hAnsi="Arial" w:cs="Arial"/>
                <w:sz w:val="20"/>
                <w:szCs w:val="20"/>
                <w:lang w:val="es-ES_tradnl"/>
              </w:rPr>
              <w:t xml:space="preserve">Este componente incluye la reconversión y ampliación de usos del predio de 23 hectáreas del Puerto de Asunción, el cual </w:t>
            </w:r>
            <w:r w:rsidR="00E116CD" w:rsidRPr="00EF6434">
              <w:rPr>
                <w:rFonts w:ascii="Arial" w:hAnsi="Arial" w:cs="Arial"/>
                <w:sz w:val="20"/>
                <w:szCs w:val="20"/>
                <w:lang w:val="es-ES_tradnl"/>
              </w:rPr>
              <w:t xml:space="preserve">no es utilizado </w:t>
            </w:r>
            <w:r w:rsidR="00714D97" w:rsidRPr="00EF6434">
              <w:rPr>
                <w:rFonts w:ascii="Arial" w:hAnsi="Arial" w:cs="Arial"/>
                <w:sz w:val="20"/>
                <w:szCs w:val="20"/>
                <w:lang w:val="es-ES_tradnl"/>
              </w:rPr>
              <w:t xml:space="preserve">debido al traslado de las instalaciones portuarias a </w:t>
            </w:r>
            <w:r w:rsidR="00956415" w:rsidRPr="00EF6434">
              <w:rPr>
                <w:rFonts w:ascii="Arial" w:hAnsi="Arial" w:cs="Arial"/>
                <w:sz w:val="20"/>
                <w:szCs w:val="20"/>
                <w:lang w:val="es-ES_tradnl"/>
              </w:rPr>
              <w:t xml:space="preserve">la ciudad de </w:t>
            </w:r>
            <w:r w:rsidR="00714D97" w:rsidRPr="00EF6434">
              <w:rPr>
                <w:rFonts w:ascii="Arial" w:hAnsi="Arial" w:cs="Arial"/>
                <w:sz w:val="20"/>
                <w:szCs w:val="20"/>
                <w:lang w:val="es-ES_tradnl"/>
              </w:rPr>
              <w:t xml:space="preserve">Villeta. El objetivo es posibilitar la regeneración de un área urbana contigua a la Bahía de Asunción y su integración al Centro, creando un nuevo polo de desarrollo y espacios públicos para la ciudad. El Plan Maestro </w:t>
            </w:r>
            <w:r w:rsidR="00956415" w:rsidRPr="00EF6434">
              <w:rPr>
                <w:rFonts w:ascii="Arial" w:hAnsi="Arial" w:cs="Arial"/>
                <w:sz w:val="20"/>
                <w:szCs w:val="20"/>
                <w:lang w:val="es-ES_tradnl"/>
              </w:rPr>
              <w:t xml:space="preserve">del Puerto contempla </w:t>
            </w:r>
            <w:r w:rsidR="00714D97" w:rsidRPr="00EF6434">
              <w:rPr>
                <w:rFonts w:ascii="Arial" w:hAnsi="Arial" w:cs="Arial"/>
                <w:sz w:val="20"/>
                <w:szCs w:val="20"/>
                <w:lang w:val="es-ES_tradnl"/>
              </w:rPr>
              <w:t>la construcción de Oficinas de Gobierno y la ubicación de la futura estación del Metrobús (BRT) en una parte del predio. El Centro de Oficinas de Gobierno es uno de los subcomponentes</w:t>
            </w:r>
            <w:r w:rsidR="00956415" w:rsidRPr="00EF6434">
              <w:rPr>
                <w:rFonts w:ascii="Arial" w:hAnsi="Arial" w:cs="Arial"/>
                <w:sz w:val="20"/>
                <w:szCs w:val="20"/>
                <w:lang w:val="es-ES_tradnl"/>
              </w:rPr>
              <w:t xml:space="preserve"> </w:t>
            </w:r>
            <w:r w:rsidR="00E116CD" w:rsidRPr="00EF6434">
              <w:rPr>
                <w:rFonts w:ascii="Arial" w:hAnsi="Arial" w:cs="Arial"/>
                <w:sz w:val="20"/>
                <w:szCs w:val="20"/>
                <w:lang w:val="es-ES_tradnl"/>
              </w:rPr>
              <w:t>y prevé la construcción de</w:t>
            </w:r>
            <w:r w:rsidR="00714D97" w:rsidRPr="00EF6434">
              <w:rPr>
                <w:rFonts w:ascii="Arial" w:hAnsi="Arial" w:cs="Arial"/>
                <w:sz w:val="20"/>
                <w:szCs w:val="20"/>
                <w:lang w:val="es-ES_tradnl"/>
              </w:rPr>
              <w:t xml:space="preserve"> bloques de oficinas, estacionamientos y el acondicionamiento del espacio exterior por un total aproximado de 54,000 metros cuadrados.</w:t>
            </w:r>
          </w:p>
          <w:p w14:paraId="1A9FB4B9" w14:textId="77777777" w:rsidR="008052F0" w:rsidRPr="00EF6434" w:rsidRDefault="008052F0" w:rsidP="008052F0">
            <w:pPr>
              <w:pStyle w:val="ListParagraph"/>
              <w:autoSpaceDE w:val="0"/>
              <w:autoSpaceDN w:val="0"/>
              <w:adjustRightInd w:val="0"/>
              <w:ind w:left="1080"/>
              <w:rPr>
                <w:rFonts w:ascii="Arial" w:hAnsi="Arial" w:cs="Arial"/>
                <w:sz w:val="20"/>
                <w:szCs w:val="20"/>
                <w:lang w:val="es-ES_tradnl"/>
              </w:rPr>
            </w:pPr>
          </w:p>
          <w:p w14:paraId="7BE4CF55" w14:textId="1E980181" w:rsidR="008052F0" w:rsidRPr="00EF6434" w:rsidRDefault="00627E9B" w:rsidP="00627E9B">
            <w:pPr>
              <w:pStyle w:val="ListParagraph"/>
              <w:numPr>
                <w:ilvl w:val="0"/>
                <w:numId w:val="24"/>
              </w:numPr>
              <w:autoSpaceDE w:val="0"/>
              <w:autoSpaceDN w:val="0"/>
              <w:adjustRightInd w:val="0"/>
              <w:jc w:val="both"/>
              <w:rPr>
                <w:rFonts w:ascii="Arial" w:hAnsi="Arial" w:cs="Arial"/>
                <w:sz w:val="20"/>
                <w:szCs w:val="20"/>
                <w:lang w:val="es-ES_tradnl"/>
              </w:rPr>
            </w:pPr>
            <w:r w:rsidRPr="00EF6434">
              <w:rPr>
                <w:rFonts w:ascii="Arial" w:hAnsi="Arial" w:cs="Arial"/>
                <w:b/>
                <w:bCs/>
                <w:sz w:val="20"/>
                <w:szCs w:val="20"/>
                <w:lang w:val="es-ES_tradnl"/>
              </w:rPr>
              <w:t xml:space="preserve">Primer Corredor Metropolitano de Transporte Público: </w:t>
            </w:r>
            <w:r w:rsidRPr="00EF6434">
              <w:rPr>
                <w:rFonts w:ascii="Arial" w:hAnsi="Arial" w:cs="Arial"/>
                <w:sz w:val="20"/>
                <w:szCs w:val="20"/>
                <w:lang w:val="es-ES_tradnl"/>
              </w:rPr>
              <w:t>este componente financia el diseño, estructuración e implementación de un sistema integrado de transporte público de pasajeros priorizando su desplazamiento en ómnibus de alta capacidad a través de carriles exclusivos (</w:t>
            </w:r>
            <w:r w:rsidRPr="00EF6434">
              <w:rPr>
                <w:rFonts w:ascii="Arial" w:hAnsi="Arial" w:cs="Arial"/>
                <w:i/>
                <w:sz w:val="20"/>
                <w:szCs w:val="20"/>
                <w:lang w:val="es-ES_tradnl"/>
              </w:rPr>
              <w:t xml:space="preserve">Bus Rapid </w:t>
            </w:r>
            <w:proofErr w:type="spellStart"/>
            <w:r w:rsidRPr="00EF6434">
              <w:rPr>
                <w:rFonts w:ascii="Arial" w:hAnsi="Arial" w:cs="Arial"/>
                <w:i/>
                <w:sz w:val="20"/>
                <w:szCs w:val="20"/>
                <w:lang w:val="es-ES_tradnl"/>
              </w:rPr>
              <w:t>Transit</w:t>
            </w:r>
            <w:proofErr w:type="spellEnd"/>
            <w:r w:rsidRPr="00EF6434">
              <w:rPr>
                <w:rFonts w:ascii="Arial" w:hAnsi="Arial" w:cs="Arial"/>
                <w:i/>
                <w:sz w:val="20"/>
                <w:szCs w:val="20"/>
                <w:lang w:val="es-ES_tradnl"/>
              </w:rPr>
              <w:t>, BRT</w:t>
            </w:r>
            <w:r w:rsidRPr="00EF6434">
              <w:rPr>
                <w:rFonts w:ascii="Arial" w:hAnsi="Arial" w:cs="Arial"/>
                <w:sz w:val="20"/>
                <w:szCs w:val="20"/>
                <w:lang w:val="es-ES_tradnl"/>
              </w:rPr>
              <w:t>) entre el centro de Asunción y la ciudad de San Lorenzo, a lo largo de la avenida Eusebio Ayala.</w:t>
            </w:r>
          </w:p>
          <w:p w14:paraId="785F6917" w14:textId="77777777" w:rsidR="00F526C3" w:rsidRPr="00EF6434" w:rsidRDefault="00F526C3" w:rsidP="00627E9B">
            <w:pPr>
              <w:jc w:val="both"/>
              <w:rPr>
                <w:rFonts w:ascii="Arial" w:hAnsi="Arial" w:cs="Arial"/>
                <w:sz w:val="20"/>
                <w:szCs w:val="20"/>
                <w:lang w:val="es-ES_tradnl"/>
              </w:rPr>
            </w:pPr>
          </w:p>
          <w:p w14:paraId="58B601B5" w14:textId="0AD7A30D" w:rsidR="00627E9B" w:rsidRPr="00EF6434" w:rsidRDefault="00627E9B" w:rsidP="00627E9B">
            <w:pPr>
              <w:jc w:val="both"/>
              <w:rPr>
                <w:rFonts w:ascii="Arial" w:hAnsi="Arial" w:cs="Arial"/>
                <w:sz w:val="20"/>
                <w:szCs w:val="20"/>
                <w:lang w:val="es-ES_tradnl"/>
              </w:rPr>
            </w:pPr>
            <w:r w:rsidRPr="00EF6434">
              <w:rPr>
                <w:rFonts w:ascii="Arial" w:hAnsi="Arial" w:cs="Arial"/>
                <w:sz w:val="20"/>
                <w:szCs w:val="20"/>
                <w:lang w:val="es-ES_tradnl"/>
              </w:rPr>
              <w:lastRenderedPageBreak/>
              <w:t xml:space="preserve">El </w:t>
            </w:r>
            <w:r w:rsidRPr="00EF6434">
              <w:rPr>
                <w:rFonts w:ascii="Arial" w:hAnsi="Arial" w:cs="Arial"/>
                <w:b/>
                <w:i/>
                <w:sz w:val="20"/>
                <w:szCs w:val="20"/>
                <w:lang w:val="es-ES_tradnl"/>
              </w:rPr>
              <w:t>Componente I</w:t>
            </w:r>
            <w:r w:rsidRPr="00EF6434">
              <w:rPr>
                <w:rFonts w:ascii="Arial" w:hAnsi="Arial" w:cs="Arial"/>
                <w:sz w:val="20"/>
                <w:szCs w:val="20"/>
                <w:lang w:val="es-ES_tradnl"/>
              </w:rPr>
              <w:t xml:space="preserve"> del Programa -objeto de la presente modificación- prevé: i) la Rehabilitación Urbana y Puesta en Valor del Barrio San Jerónimo, ubicado frente al predio del Puerto de Asunción; ii) un sistema de espacios abiertos de uso público que incluye el reacondicionamiento de varias plazas y la construcción de un nuevo parque y una plaza, totalizando unas 9 hectáreas contiguas a la zona portuaria; iii) un enlace vial de los tres poderes del Estado e infraestructura de servicios básicos; iv) oficinas de Gobierno y centros de atención al contribuyente; v) la restauración de edificios históricos de uso público.</w:t>
            </w:r>
          </w:p>
          <w:p w14:paraId="4E19F5F1" w14:textId="6FA8D915" w:rsidR="00627E9B" w:rsidRPr="00EF6434" w:rsidRDefault="00627E9B" w:rsidP="00627E9B">
            <w:pPr>
              <w:jc w:val="both"/>
              <w:rPr>
                <w:rFonts w:ascii="Arial" w:hAnsi="Arial" w:cs="Arial"/>
                <w:sz w:val="20"/>
                <w:szCs w:val="20"/>
                <w:lang w:val="es-ES_tradnl"/>
              </w:rPr>
            </w:pPr>
          </w:p>
          <w:p w14:paraId="3B9CF48A" w14:textId="28B0460E" w:rsidR="0077382A" w:rsidRPr="00EF6434" w:rsidRDefault="0077382A" w:rsidP="00627E9B">
            <w:pPr>
              <w:jc w:val="both"/>
              <w:rPr>
                <w:rFonts w:ascii="Arial" w:hAnsi="Arial" w:cs="Arial"/>
                <w:sz w:val="20"/>
                <w:szCs w:val="20"/>
                <w:lang w:val="es-ES_tradnl"/>
              </w:rPr>
            </w:pPr>
            <w:r w:rsidRPr="00EF6434">
              <w:rPr>
                <w:rFonts w:ascii="Arial" w:hAnsi="Arial" w:cs="Arial"/>
                <w:sz w:val="20"/>
                <w:szCs w:val="20"/>
                <w:lang w:val="es-ES_tradnl"/>
              </w:rPr>
              <w:t xml:space="preserve">El proyecto </w:t>
            </w:r>
            <w:r w:rsidR="00E116CD" w:rsidRPr="00EF6434">
              <w:rPr>
                <w:rFonts w:ascii="Arial" w:hAnsi="Arial" w:cs="Arial"/>
                <w:sz w:val="20"/>
                <w:szCs w:val="20"/>
                <w:lang w:val="es-ES_tradnl"/>
              </w:rPr>
              <w:t xml:space="preserve">en sus dos componentes </w:t>
            </w:r>
            <w:r w:rsidRPr="00EF6434">
              <w:rPr>
                <w:rFonts w:ascii="Arial" w:hAnsi="Arial" w:cs="Arial"/>
                <w:sz w:val="20"/>
                <w:szCs w:val="20"/>
                <w:lang w:val="es-ES_tradnl"/>
              </w:rPr>
              <w:t xml:space="preserve">tiene actualmente un nivel de ejecución del </w:t>
            </w:r>
            <w:r w:rsidR="0004637E" w:rsidRPr="00EF6434">
              <w:rPr>
                <w:rFonts w:ascii="Arial" w:hAnsi="Arial" w:cs="Arial"/>
                <w:sz w:val="20"/>
                <w:szCs w:val="20"/>
                <w:lang w:val="es-ES_tradnl"/>
              </w:rPr>
              <w:t>20</w:t>
            </w:r>
            <w:r w:rsidRPr="00EF6434">
              <w:rPr>
                <w:rFonts w:ascii="Arial" w:hAnsi="Arial" w:cs="Arial"/>
                <w:sz w:val="20"/>
                <w:szCs w:val="20"/>
                <w:lang w:val="es-ES_tradnl"/>
              </w:rPr>
              <w:t>%. Diversos problemas en la conformación de la unidad ejecutora del proyecto y oposición de algunos sectores involucrados en el componente de transporte han causado retrasos en la ejecución del proyecto. Actualmente se encuentra en etapa final de investigación un caso abierto por el MICI en el marco del Componente II</w:t>
            </w:r>
            <w:r w:rsidR="00E116CD" w:rsidRPr="00EF6434">
              <w:rPr>
                <w:rFonts w:ascii="Arial" w:hAnsi="Arial" w:cs="Arial"/>
                <w:sz w:val="20"/>
                <w:szCs w:val="20"/>
                <w:lang w:val="es-ES_tradnl"/>
              </w:rPr>
              <w:t>, iniciado por comerciantes que alegan que sufrirán afectación económica por parte del proyecto.</w:t>
            </w:r>
            <w:r w:rsidRPr="00EF6434">
              <w:rPr>
                <w:rFonts w:ascii="Arial" w:hAnsi="Arial" w:cs="Arial"/>
                <w:sz w:val="20"/>
                <w:szCs w:val="20"/>
                <w:lang w:val="es-ES_tradnl"/>
              </w:rPr>
              <w:t xml:space="preserve"> </w:t>
            </w:r>
            <w:r w:rsidR="00B61E78">
              <w:rPr>
                <w:rFonts w:ascii="Arial" w:hAnsi="Arial" w:cs="Arial"/>
                <w:sz w:val="20"/>
                <w:szCs w:val="20"/>
                <w:lang w:val="es-ES_tradnl"/>
              </w:rPr>
              <w:t>Sin embargo, dado que la modificación propuesta afecta solamente al Componente I, el cual no se encuentra involucrado en el referido caso MICI, no es necesario generar nuevos estudios ni evaluaciones a las actualmente existentes.</w:t>
            </w:r>
          </w:p>
          <w:p w14:paraId="388E827E" w14:textId="77777777" w:rsidR="0004637E" w:rsidRPr="00EF6434" w:rsidRDefault="0004637E" w:rsidP="00627E9B">
            <w:pPr>
              <w:jc w:val="both"/>
              <w:rPr>
                <w:rFonts w:ascii="Arial" w:hAnsi="Arial" w:cs="Arial"/>
                <w:sz w:val="20"/>
                <w:szCs w:val="20"/>
                <w:lang w:val="es-ES_tradnl"/>
              </w:rPr>
            </w:pPr>
          </w:p>
          <w:p w14:paraId="1FBE7CED" w14:textId="0210FC5A" w:rsidR="0004637E" w:rsidRPr="00EF6434" w:rsidRDefault="0004637E" w:rsidP="00627E9B">
            <w:pPr>
              <w:jc w:val="both"/>
              <w:rPr>
                <w:rFonts w:ascii="Arial" w:hAnsi="Arial" w:cs="Arial"/>
                <w:sz w:val="20"/>
                <w:szCs w:val="20"/>
                <w:lang w:val="es-ES_tradnl"/>
              </w:rPr>
            </w:pPr>
            <w:r w:rsidRPr="00EF6434">
              <w:rPr>
                <w:rFonts w:ascii="Arial" w:hAnsi="Arial" w:cs="Arial"/>
                <w:sz w:val="20"/>
                <w:szCs w:val="20"/>
                <w:lang w:val="es-ES_tradnl"/>
              </w:rPr>
              <w:t>En el componente de Reconversión Urbana, durante el 2016 se diseñó un Plan Maestro para la reconversión urbana del Puerto de Asunción</w:t>
            </w:r>
            <w:r w:rsidR="005342CE">
              <w:rPr>
                <w:rStyle w:val="FootnoteReference"/>
                <w:rFonts w:ascii="Arial" w:hAnsi="Arial" w:cs="Arial"/>
                <w:sz w:val="20"/>
                <w:szCs w:val="20"/>
                <w:lang w:val="es-ES_tradnl"/>
              </w:rPr>
              <w:footnoteReference w:id="2"/>
            </w:r>
            <w:r w:rsidRPr="00EF6434">
              <w:rPr>
                <w:rFonts w:ascii="Arial" w:hAnsi="Arial" w:cs="Arial"/>
                <w:sz w:val="20"/>
                <w:szCs w:val="20"/>
                <w:lang w:val="es-ES_tradnl"/>
              </w:rPr>
              <w:t>, el cual fue aprobad</w:t>
            </w:r>
            <w:r w:rsidR="00E116CD" w:rsidRPr="00EF6434">
              <w:rPr>
                <w:rFonts w:ascii="Arial" w:hAnsi="Arial" w:cs="Arial"/>
                <w:sz w:val="20"/>
                <w:szCs w:val="20"/>
                <w:lang w:val="es-ES_tradnl"/>
              </w:rPr>
              <w:t>o por la Junta Municipal de l</w:t>
            </w:r>
            <w:r w:rsidRPr="00EF6434">
              <w:rPr>
                <w:rFonts w:ascii="Arial" w:hAnsi="Arial" w:cs="Arial"/>
                <w:sz w:val="20"/>
                <w:szCs w:val="20"/>
                <w:lang w:val="es-ES_tradnl"/>
              </w:rPr>
              <w:t>a ciudad. Asimismo, se realizó un concurso de anteproyecto para para las Oficinas de Gobierno que se van a construir en dicho predio.  Con el proyecto ganador, en el primer semestre de 2017 se licitó y otorgó la no objeción a la adjudicación para la construcción de cuatro torres donde estarán ubicados diversos ministerios y secretarías del Gobierno.</w:t>
            </w:r>
          </w:p>
          <w:p w14:paraId="333A73F4" w14:textId="77777777" w:rsidR="00956415" w:rsidRPr="00EF6434" w:rsidRDefault="00956415" w:rsidP="00627E9B">
            <w:pPr>
              <w:jc w:val="both"/>
              <w:rPr>
                <w:rFonts w:ascii="Arial" w:hAnsi="Arial" w:cs="Arial"/>
                <w:sz w:val="20"/>
                <w:szCs w:val="20"/>
                <w:lang w:val="es-ES_tradnl"/>
              </w:rPr>
            </w:pPr>
          </w:p>
          <w:p w14:paraId="7D9E19EF" w14:textId="71F06D9A" w:rsidR="0077382A" w:rsidRPr="00EF6434" w:rsidRDefault="00956415" w:rsidP="00956415">
            <w:pPr>
              <w:pStyle w:val="ListParagraph"/>
              <w:numPr>
                <w:ilvl w:val="0"/>
                <w:numId w:val="36"/>
              </w:numPr>
              <w:jc w:val="both"/>
              <w:rPr>
                <w:rFonts w:ascii="Arial" w:hAnsi="Arial" w:cs="Arial"/>
                <w:b/>
                <w:sz w:val="20"/>
                <w:szCs w:val="20"/>
                <w:lang w:val="es-ES_tradnl"/>
              </w:rPr>
            </w:pPr>
            <w:r w:rsidRPr="00EF6434">
              <w:rPr>
                <w:rFonts w:ascii="Arial" w:hAnsi="Arial" w:cs="Arial"/>
                <w:b/>
                <w:sz w:val="20"/>
                <w:szCs w:val="20"/>
                <w:lang w:val="es-ES_tradnl"/>
              </w:rPr>
              <w:t>El Programa PR-L1017</w:t>
            </w:r>
          </w:p>
          <w:p w14:paraId="2FA9ADF9" w14:textId="77777777" w:rsidR="00956415" w:rsidRPr="00EF6434" w:rsidRDefault="00956415" w:rsidP="00956415">
            <w:pPr>
              <w:pStyle w:val="ListParagraph"/>
              <w:ind w:left="1080"/>
              <w:jc w:val="both"/>
              <w:rPr>
                <w:rFonts w:ascii="Arial" w:hAnsi="Arial" w:cs="Arial"/>
                <w:b/>
                <w:sz w:val="20"/>
                <w:szCs w:val="20"/>
                <w:lang w:val="es-ES_tradnl"/>
              </w:rPr>
            </w:pPr>
          </w:p>
          <w:p w14:paraId="2C56FB0E" w14:textId="2EE6E098" w:rsidR="00627E9B" w:rsidRPr="00EF6434" w:rsidRDefault="00627E9B" w:rsidP="0077382A">
            <w:pPr>
              <w:jc w:val="both"/>
              <w:rPr>
                <w:rFonts w:ascii="Arial" w:hAnsi="Arial" w:cs="Arial"/>
                <w:noProof/>
                <w:sz w:val="20"/>
                <w:szCs w:val="20"/>
                <w:lang w:val="es-ES_tradnl"/>
              </w:rPr>
            </w:pPr>
            <w:r w:rsidRPr="00EF6434">
              <w:rPr>
                <w:rFonts w:ascii="Arial" w:hAnsi="Arial" w:cs="Arial"/>
                <w:noProof/>
                <w:sz w:val="20"/>
                <w:szCs w:val="20"/>
                <w:lang w:val="es-ES_tradnl"/>
              </w:rPr>
              <w:t xml:space="preserve">El programa </w:t>
            </w:r>
            <w:r w:rsidRPr="00EF6434">
              <w:rPr>
                <w:rFonts w:ascii="Arial" w:hAnsi="Arial" w:cs="Arial"/>
                <w:b/>
                <w:i/>
                <w:noProof/>
                <w:sz w:val="20"/>
                <w:szCs w:val="20"/>
                <w:lang w:val="es-ES_tradnl"/>
              </w:rPr>
              <w:t>Escuela Viva II (PR-L1017)</w:t>
            </w:r>
            <w:r w:rsidRPr="00EF6434">
              <w:rPr>
                <w:rFonts w:ascii="Arial" w:hAnsi="Arial" w:cs="Arial"/>
                <w:noProof/>
                <w:sz w:val="20"/>
                <w:szCs w:val="20"/>
                <w:lang w:val="es-ES_tradnl"/>
              </w:rPr>
              <w:t xml:space="preserve"> fue aprobado por el Banco en 2007 por un monto de US$45.000.000</w:t>
            </w:r>
            <w:r w:rsidR="0077382A" w:rsidRPr="00EF6434">
              <w:rPr>
                <w:rFonts w:ascii="Arial" w:hAnsi="Arial" w:cs="Arial"/>
                <w:noProof/>
                <w:sz w:val="20"/>
                <w:szCs w:val="20"/>
                <w:lang w:val="es-ES_tradnl"/>
              </w:rPr>
              <w:t>. Su objetivo es mejorar las oportunidades de acceso, permanencia y culminación de la Educacion Escolar Basica (EEB) con calidad, especialmente de las poblaciones localizadas en los sectores más vulnerables de país. El programa es actualmente ejecutado por el Ministerio de Educación y Cultura (MEC) y se financia bajo la modalidad de Préstamo en Función de Resultados (PDL por sus siglas en inglés) en cinco tramos de desembolso, además del anticipo. Actualmente se han ejecutado 4 tramos y se han desembolsado US$27.000.000, lo que representa un 60% de ejecución del total de los recursos. El tramo V del Contrato, a la fecha, corresponde únicamente a la construcción de la nueve sede del MEC.</w:t>
            </w:r>
          </w:p>
          <w:p w14:paraId="6A42F9CA" w14:textId="77777777" w:rsidR="0004637E" w:rsidRPr="00EF6434" w:rsidRDefault="0004637E" w:rsidP="0077382A">
            <w:pPr>
              <w:jc w:val="both"/>
              <w:rPr>
                <w:rFonts w:ascii="Arial" w:hAnsi="Arial" w:cs="Arial"/>
                <w:noProof/>
                <w:sz w:val="20"/>
                <w:szCs w:val="20"/>
                <w:lang w:val="es-ES_tradnl"/>
              </w:rPr>
            </w:pPr>
          </w:p>
          <w:p w14:paraId="69010267" w14:textId="6B0F6356" w:rsidR="0004637E" w:rsidRPr="00EF6434" w:rsidRDefault="0004637E" w:rsidP="0077382A">
            <w:pPr>
              <w:jc w:val="both"/>
              <w:rPr>
                <w:rFonts w:ascii="Arial" w:hAnsi="Arial" w:cs="Arial"/>
                <w:noProof/>
                <w:sz w:val="20"/>
                <w:szCs w:val="20"/>
                <w:lang w:val="es-ES_tradnl"/>
              </w:rPr>
            </w:pPr>
            <w:r w:rsidRPr="00EF6434">
              <w:rPr>
                <w:rFonts w:ascii="Arial" w:hAnsi="Arial" w:cs="Arial"/>
                <w:noProof/>
                <w:sz w:val="20"/>
                <w:szCs w:val="20"/>
                <w:lang w:val="es-ES_tradnl"/>
              </w:rPr>
              <w:t>La ejecución del Programa ha sido lenta, asociada a reprogramaciones en los indicadores de resultado relacionados fundamentalmente con la adjudicacion, finalización y entrega de la obra de la nueva sede del MEC. Se realizaron en este contexto tres contratos modificatorios solicitados al Banco por el Prestatario.</w:t>
            </w:r>
          </w:p>
          <w:p w14:paraId="4862B7E7" w14:textId="5239C3F0" w:rsidR="00714D97" w:rsidRPr="00EF6434" w:rsidRDefault="00714D97" w:rsidP="0077382A">
            <w:pPr>
              <w:jc w:val="both"/>
              <w:rPr>
                <w:rFonts w:ascii="Arial" w:hAnsi="Arial" w:cs="Arial"/>
                <w:noProof/>
                <w:sz w:val="20"/>
                <w:szCs w:val="20"/>
                <w:lang w:val="es-ES_tradnl"/>
              </w:rPr>
            </w:pPr>
          </w:p>
          <w:p w14:paraId="0D1EBB49" w14:textId="7476CBAA" w:rsidR="00956415" w:rsidRPr="00EF6434" w:rsidRDefault="00956415" w:rsidP="00956415">
            <w:pPr>
              <w:pStyle w:val="ListParagraph"/>
              <w:numPr>
                <w:ilvl w:val="0"/>
                <w:numId w:val="36"/>
              </w:numPr>
              <w:jc w:val="both"/>
              <w:rPr>
                <w:rFonts w:ascii="Arial" w:hAnsi="Arial" w:cs="Arial"/>
                <w:b/>
                <w:noProof/>
                <w:sz w:val="20"/>
                <w:szCs w:val="20"/>
                <w:lang w:val="es-ES_tradnl"/>
              </w:rPr>
            </w:pPr>
            <w:r w:rsidRPr="00EF6434">
              <w:rPr>
                <w:rFonts w:ascii="Arial" w:hAnsi="Arial" w:cs="Arial"/>
                <w:b/>
                <w:noProof/>
                <w:sz w:val="20"/>
                <w:szCs w:val="20"/>
                <w:lang w:val="es-ES_tradnl"/>
              </w:rPr>
              <w:t xml:space="preserve">La modificación solicitada </w:t>
            </w:r>
          </w:p>
          <w:p w14:paraId="0C7035BE" w14:textId="77777777" w:rsidR="00956415" w:rsidRPr="00EF6434" w:rsidRDefault="00956415" w:rsidP="00956415">
            <w:pPr>
              <w:pStyle w:val="ListParagraph"/>
              <w:ind w:left="1080"/>
              <w:jc w:val="both"/>
              <w:rPr>
                <w:rFonts w:ascii="Arial" w:hAnsi="Arial" w:cs="Arial"/>
                <w:b/>
                <w:noProof/>
                <w:sz w:val="20"/>
                <w:szCs w:val="20"/>
                <w:lang w:val="es-ES_tradnl"/>
              </w:rPr>
            </w:pPr>
          </w:p>
          <w:p w14:paraId="2C814A19" w14:textId="65AEEA71" w:rsidR="00714D97" w:rsidRPr="00EF6434" w:rsidRDefault="00714D97" w:rsidP="0077382A">
            <w:pPr>
              <w:jc w:val="both"/>
              <w:rPr>
                <w:rFonts w:ascii="Arial" w:hAnsi="Arial" w:cs="Arial"/>
                <w:sz w:val="20"/>
                <w:szCs w:val="20"/>
                <w:lang w:val="es-ES_tradnl"/>
              </w:rPr>
            </w:pPr>
            <w:r w:rsidRPr="00EF6434">
              <w:rPr>
                <w:rFonts w:ascii="Arial" w:hAnsi="Arial" w:cs="Arial"/>
                <w:noProof/>
                <w:sz w:val="20"/>
                <w:szCs w:val="20"/>
                <w:lang w:val="es-ES_tradnl"/>
              </w:rPr>
              <w:t xml:space="preserve">El Gobierno de Paraguay solicitó al Banco en marzo 2017 la transferencia del saldo no desembolsado de USD18.0 millones del Contrato de Préstamo 1880/BL-PR destinado a financiar el Programa Escuela Viva II (PR-L1017) al Contrato de Préstamo 2420/BL-PR destinado a financiar la </w:t>
            </w:r>
            <w:r w:rsidRPr="00EF6434">
              <w:rPr>
                <w:rFonts w:ascii="Arial" w:hAnsi="Arial" w:cs="Arial"/>
                <w:sz w:val="20"/>
                <w:szCs w:val="20"/>
                <w:lang w:val="es-ES_tradnl"/>
              </w:rPr>
              <w:t>“Reconversión del Centro, Modernización del Transporte Público Metropolitano y Oficinas del Gobierno”</w:t>
            </w:r>
            <w:r w:rsidRPr="00EF6434">
              <w:rPr>
                <w:rFonts w:ascii="Arial" w:hAnsi="Arial" w:cs="Arial"/>
                <w:noProof/>
                <w:sz w:val="20"/>
                <w:szCs w:val="20"/>
                <w:lang w:val="es-ES_tradnl"/>
              </w:rPr>
              <w:t xml:space="preserve"> (PR-L1044). </w:t>
            </w:r>
            <w:r w:rsidR="00956415" w:rsidRPr="00EF6434">
              <w:rPr>
                <w:rFonts w:ascii="Arial" w:hAnsi="Arial" w:cs="Arial"/>
                <w:noProof/>
                <w:sz w:val="20"/>
                <w:szCs w:val="20"/>
                <w:lang w:val="es-ES_tradnl"/>
              </w:rPr>
              <w:t xml:space="preserve">Esta solicitud </w:t>
            </w:r>
            <w:r w:rsidR="00956415" w:rsidRPr="00EF6434">
              <w:rPr>
                <w:rFonts w:ascii="Arial" w:hAnsi="Arial" w:cs="Arial"/>
                <w:sz w:val="20"/>
                <w:szCs w:val="20"/>
                <w:lang w:val="es-ES_tradnl"/>
              </w:rPr>
              <w:t>obedece a que la construcción de la nueva sede del MEC, que originalmente se había previsto financiar de forma aislada como parte del PR-L1017, no tenía un predio específico para su construcción. Teniendo en cuenta que el Centro de Oficinas de Gobierno será desarrollado en el predio del Puerto, el gobierno solicitó al Banco la transferencia de los fondos remanentes en el Tramo V, a fin de que los ejecute el Ministerio de Obras Públicas y Comunicaciones (MOPC), como parte integrante del conjunto arquitectónico de edificios de gobierno que está siendo licitado en el marco del PR-L1044.</w:t>
            </w:r>
          </w:p>
          <w:p w14:paraId="0264DF93" w14:textId="1157EAF7" w:rsidR="000E6A33" w:rsidRPr="00EF6434" w:rsidRDefault="000E6A33" w:rsidP="0077382A">
            <w:pPr>
              <w:jc w:val="both"/>
              <w:rPr>
                <w:rFonts w:ascii="Arial" w:hAnsi="Arial" w:cs="Arial"/>
                <w:sz w:val="20"/>
                <w:szCs w:val="20"/>
                <w:lang w:val="es-ES_tradnl"/>
              </w:rPr>
            </w:pPr>
          </w:p>
          <w:p w14:paraId="008D1E34" w14:textId="33C1BE59" w:rsidR="0077382A" w:rsidRDefault="007973F0" w:rsidP="0077382A">
            <w:pPr>
              <w:jc w:val="both"/>
              <w:rPr>
                <w:rFonts w:ascii="Arial" w:hAnsi="Arial" w:cs="Arial"/>
                <w:sz w:val="20"/>
                <w:szCs w:val="20"/>
                <w:lang w:val="es-ES_tradnl"/>
              </w:rPr>
            </w:pPr>
            <w:r w:rsidRPr="00EF6434">
              <w:rPr>
                <w:rFonts w:ascii="Arial" w:hAnsi="Arial" w:cs="Arial"/>
                <w:sz w:val="20"/>
                <w:szCs w:val="20"/>
                <w:lang w:val="es-ES_tradnl"/>
              </w:rPr>
              <w:t>En el caso de ser aprobada, esta solicitud</w:t>
            </w:r>
            <w:r w:rsidR="000E6A33" w:rsidRPr="00EF6434">
              <w:rPr>
                <w:rFonts w:ascii="Arial" w:hAnsi="Arial" w:cs="Arial"/>
                <w:sz w:val="20"/>
                <w:szCs w:val="20"/>
                <w:lang w:val="es-ES_tradnl"/>
              </w:rPr>
              <w:t xml:space="preserve"> no implicará un</w:t>
            </w:r>
            <w:r w:rsidRPr="00EF6434">
              <w:rPr>
                <w:rFonts w:ascii="Arial" w:hAnsi="Arial" w:cs="Arial"/>
                <w:sz w:val="20"/>
                <w:szCs w:val="20"/>
                <w:lang w:val="es-ES_tradnl"/>
              </w:rPr>
              <w:t xml:space="preserve">a modificación significativa del Componente I del Programa PR-L1044, pues el mismo ya contempla actualmente la construcción de un Centro de Oficinas de Gobierno en el Puerto de Asunción, puesto que solamente se incluirá la construcción de un edificio adicional a los 3 originalmente previstos en el componente, pero que sin embargo ya estaba contemplado en el Plan </w:t>
            </w:r>
            <w:r w:rsidRPr="00EF6434">
              <w:rPr>
                <w:rFonts w:ascii="Arial" w:hAnsi="Arial" w:cs="Arial"/>
                <w:sz w:val="20"/>
                <w:szCs w:val="20"/>
                <w:lang w:val="es-ES_tradnl"/>
              </w:rPr>
              <w:lastRenderedPageBreak/>
              <w:t>Maestro del Puerto.</w:t>
            </w:r>
            <w:r w:rsidR="00B61E78">
              <w:rPr>
                <w:rFonts w:ascii="Arial" w:hAnsi="Arial" w:cs="Arial"/>
                <w:sz w:val="20"/>
                <w:szCs w:val="20"/>
                <w:lang w:val="es-ES_tradnl"/>
              </w:rPr>
              <w:t xml:space="preserve"> Asimismo, la modificación no introducirá cambios en la gestión de los aspectos ambientales y sociales del PR-L1017.</w:t>
            </w:r>
          </w:p>
          <w:p w14:paraId="2AB020D1" w14:textId="79AC278C" w:rsidR="006045E0" w:rsidRDefault="006045E0" w:rsidP="0077382A">
            <w:pPr>
              <w:jc w:val="both"/>
              <w:rPr>
                <w:rFonts w:ascii="Arial" w:hAnsi="Arial" w:cs="Arial"/>
                <w:sz w:val="20"/>
                <w:szCs w:val="20"/>
                <w:lang w:val="es-ES_tradnl"/>
              </w:rPr>
            </w:pPr>
          </w:p>
          <w:p w14:paraId="5C7615BA" w14:textId="1C78C206" w:rsidR="006045E0" w:rsidRPr="00EF6434" w:rsidRDefault="006045E0" w:rsidP="0077382A">
            <w:pPr>
              <w:jc w:val="both"/>
              <w:rPr>
                <w:rFonts w:ascii="Arial" w:hAnsi="Arial" w:cs="Arial"/>
                <w:noProof/>
                <w:sz w:val="20"/>
                <w:szCs w:val="20"/>
                <w:lang w:val="es-ES_tradnl"/>
              </w:rPr>
            </w:pPr>
            <w:r>
              <w:rPr>
                <w:rFonts w:ascii="Arial" w:hAnsi="Arial" w:cs="Arial"/>
                <w:sz w:val="20"/>
                <w:szCs w:val="20"/>
                <w:lang w:val="es-ES_tradnl"/>
              </w:rPr>
              <w:t>En consideración a que la modificación propuesta no implica cambios sustanciales en ninguno de los dos proyectos, el presente Informe de Gestión Ambiental y Social (IGAS) sirve sólo a efectos de actualizar y complementar algunas de las informaciones contenidas en los documentos ambientales y sociales correspondientes a la etapa de preparación de ambos proyectos, los cuales seguirán vigentes.</w:t>
            </w:r>
          </w:p>
          <w:p w14:paraId="775E1486" w14:textId="121D13CB" w:rsidR="0077382A" w:rsidRPr="00EF6434" w:rsidRDefault="0077382A" w:rsidP="0077382A">
            <w:pPr>
              <w:jc w:val="both"/>
              <w:rPr>
                <w:rFonts w:ascii="Arial" w:hAnsi="Arial" w:cs="Arial"/>
                <w:sz w:val="20"/>
                <w:szCs w:val="20"/>
                <w:lang w:val="es-ES_tradnl"/>
              </w:rPr>
            </w:pPr>
          </w:p>
        </w:tc>
      </w:tr>
      <w:tr w:rsidR="00C21376" w:rsidRPr="005A209C" w14:paraId="3A9EA9D5" w14:textId="77777777" w:rsidTr="35BB1C2C">
        <w:trPr>
          <w:trHeight w:val="402"/>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7A4816C6" w14:textId="374018C6" w:rsidR="00C21376" w:rsidRPr="00C0720C" w:rsidRDefault="00E0621E" w:rsidP="00E0621E">
            <w:pPr>
              <w:rPr>
                <w:rFonts w:ascii="Arial" w:eastAsia="Times New Roman" w:hAnsi="Arial" w:cs="Arial"/>
                <w:b/>
                <w:bCs/>
                <w:sz w:val="22"/>
                <w:szCs w:val="22"/>
                <w:lang w:val="es-ES"/>
              </w:rPr>
            </w:pPr>
            <w:r w:rsidRPr="00C0720C">
              <w:rPr>
                <w:rFonts w:ascii="Arial" w:eastAsia="Times New Roman" w:hAnsi="Arial" w:cs="Arial"/>
                <w:b/>
                <w:bCs/>
                <w:sz w:val="22"/>
                <w:szCs w:val="22"/>
                <w:lang w:val="es-ES"/>
              </w:rPr>
              <w:lastRenderedPageBreak/>
              <w:t>Impactos, Riesgos y Medidas de Mitigación</w:t>
            </w:r>
            <w:r w:rsidR="00C21376" w:rsidRPr="00C0720C">
              <w:rPr>
                <w:rFonts w:ascii="Arial" w:eastAsia="Times New Roman" w:hAnsi="Arial" w:cs="Arial"/>
                <w:b/>
                <w:bCs/>
                <w:sz w:val="22"/>
                <w:szCs w:val="22"/>
                <w:lang w:val="es-ES"/>
              </w:rPr>
              <w:t xml:space="preserve"> </w:t>
            </w:r>
            <w:r w:rsidRPr="00C0720C">
              <w:rPr>
                <w:rFonts w:ascii="Arial" w:eastAsia="Times New Roman" w:hAnsi="Arial" w:cs="Arial"/>
                <w:b/>
                <w:bCs/>
                <w:sz w:val="22"/>
                <w:szCs w:val="22"/>
                <w:lang w:val="es-ES"/>
              </w:rPr>
              <w:t xml:space="preserve">Principales </w:t>
            </w:r>
          </w:p>
        </w:tc>
      </w:tr>
      <w:tr w:rsidR="007973F0" w:rsidRPr="005A209C" w14:paraId="5D6564EA" w14:textId="77777777" w:rsidTr="007973F0">
        <w:trPr>
          <w:trHeight w:val="402"/>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tcMar>
              <w:top w:w="15" w:type="dxa"/>
              <w:left w:w="105" w:type="dxa"/>
              <w:bottom w:w="15" w:type="dxa"/>
              <w:right w:w="105" w:type="dxa"/>
            </w:tcMar>
            <w:vAlign w:val="center"/>
          </w:tcPr>
          <w:p w14:paraId="615D6D9F" w14:textId="77777777" w:rsidR="007973F0" w:rsidRPr="00C0720C" w:rsidRDefault="007973F0" w:rsidP="007973F0">
            <w:pPr>
              <w:ind w:right="165"/>
              <w:rPr>
                <w:rFonts w:ascii="Arial" w:eastAsia="Times New Roman" w:hAnsi="Arial" w:cs="Arial"/>
                <w:b/>
                <w:sz w:val="22"/>
                <w:szCs w:val="22"/>
                <w:shd w:val="clear" w:color="auto" w:fill="FFFFFF"/>
                <w:lang w:val="es-ES"/>
              </w:rPr>
            </w:pPr>
            <w:r w:rsidRPr="00C0720C">
              <w:rPr>
                <w:rFonts w:ascii="Arial" w:eastAsia="Times New Roman" w:hAnsi="Arial" w:cs="Arial"/>
                <w:b/>
                <w:sz w:val="22"/>
                <w:szCs w:val="22"/>
                <w:lang w:val="es-ES"/>
              </w:rPr>
              <w:t xml:space="preserve">Requisitos de Evaluación </w:t>
            </w:r>
          </w:p>
          <w:p w14:paraId="2367BA5E" w14:textId="58436758" w:rsidR="007973F0" w:rsidRPr="00C0720C" w:rsidRDefault="007973F0" w:rsidP="007973F0">
            <w:pPr>
              <w:rPr>
                <w:rFonts w:ascii="Arial" w:eastAsia="Times New Roman" w:hAnsi="Arial" w:cs="Arial"/>
                <w:b/>
                <w:bCs/>
                <w:sz w:val="22"/>
                <w:szCs w:val="22"/>
                <w:lang w:val="es-ES"/>
              </w:rPr>
            </w:pPr>
            <w:r w:rsidRPr="00C0720C">
              <w:rPr>
                <w:rFonts w:ascii="Arial" w:eastAsia="Times New Roman" w:hAnsi="Arial" w:cs="Arial"/>
                <w:sz w:val="22"/>
                <w:szCs w:val="22"/>
                <w:lang w:val="es-ES"/>
              </w:rPr>
              <w:t>OP-703 (Política de Medio Ambiente y Cumplimiento de Salvaguardias): B.3 (</w:t>
            </w:r>
            <w:proofErr w:type="spellStart"/>
            <w:r w:rsidRPr="00C0720C">
              <w:rPr>
                <w:rFonts w:ascii="Arial" w:eastAsia="Times New Roman" w:hAnsi="Arial" w:cs="Arial"/>
                <w:sz w:val="22"/>
                <w:szCs w:val="22"/>
                <w:lang w:val="es-ES"/>
              </w:rPr>
              <w:t>Preevaluación</w:t>
            </w:r>
            <w:proofErr w:type="spellEnd"/>
            <w:r w:rsidRPr="00C0720C">
              <w:rPr>
                <w:rFonts w:ascii="Arial" w:eastAsia="Times New Roman" w:hAnsi="Arial" w:cs="Arial"/>
                <w:sz w:val="22"/>
                <w:szCs w:val="22"/>
                <w:lang w:val="es-ES"/>
              </w:rPr>
              <w:t xml:space="preserve"> y Clasificación), B.4 (Otros Factores de Riesgo), y B.5 (Requisitos de Evaluación y Planes Ambientales)</w:t>
            </w:r>
          </w:p>
        </w:tc>
      </w:tr>
      <w:tr w:rsidR="00C21376" w:rsidRPr="005A209C" w14:paraId="7CA8CBA1"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7AC3E06F" w14:textId="3D870ED6" w:rsidR="003D4645" w:rsidRPr="00EF6434" w:rsidRDefault="007973F0" w:rsidP="00714D97">
            <w:pPr>
              <w:jc w:val="both"/>
              <w:rPr>
                <w:rFonts w:ascii="Arial" w:hAnsi="Arial" w:cs="Arial"/>
                <w:noProof/>
                <w:sz w:val="20"/>
                <w:szCs w:val="20"/>
                <w:lang w:val="es-ES_tradnl"/>
              </w:rPr>
            </w:pPr>
            <w:r w:rsidRPr="00EF6434">
              <w:rPr>
                <w:rFonts w:ascii="Arial" w:hAnsi="Arial" w:cs="Arial"/>
                <w:sz w:val="20"/>
                <w:szCs w:val="20"/>
                <w:lang w:val="es-ES_tradnl"/>
              </w:rPr>
              <w:t xml:space="preserve">El </w:t>
            </w:r>
            <w:r w:rsidRPr="00EF6434">
              <w:rPr>
                <w:rFonts w:ascii="Arial" w:hAnsi="Arial" w:cs="Arial"/>
                <w:noProof/>
                <w:sz w:val="20"/>
                <w:szCs w:val="20"/>
                <w:lang w:val="es-ES_tradnl"/>
              </w:rPr>
              <w:t xml:space="preserve">Programa </w:t>
            </w:r>
            <w:r w:rsidRPr="00EF6434">
              <w:rPr>
                <w:rFonts w:ascii="Arial" w:hAnsi="Arial" w:cs="Arial"/>
                <w:b/>
                <w:i/>
                <w:noProof/>
                <w:sz w:val="20"/>
                <w:szCs w:val="20"/>
                <w:lang w:val="es-ES_tradnl"/>
              </w:rPr>
              <w:t>Escuela Viva II (PR-L1017)</w:t>
            </w:r>
            <w:r w:rsidRPr="00EF6434">
              <w:rPr>
                <w:rFonts w:ascii="Arial" w:hAnsi="Arial" w:cs="Arial"/>
                <w:noProof/>
                <w:sz w:val="20"/>
                <w:szCs w:val="20"/>
                <w:lang w:val="es-ES_tradnl"/>
              </w:rPr>
              <w:t xml:space="preserve"> fue clasificado como de Categoría C en el momento de su aprobación (2007) y no requiere de una revisión de la misma, dado que estará transfiriendo </w:t>
            </w:r>
            <w:r w:rsidR="003766E9" w:rsidRPr="00EF6434">
              <w:rPr>
                <w:rFonts w:ascii="Arial" w:hAnsi="Arial" w:cs="Arial"/>
                <w:noProof/>
                <w:sz w:val="20"/>
                <w:szCs w:val="20"/>
                <w:lang w:val="es-ES_tradnl"/>
              </w:rPr>
              <w:t>al PR-L1044 la responsabilidad de la construcción del edificio del MEC, la mayor obra de infraestructura incluida en el programa.</w:t>
            </w:r>
          </w:p>
          <w:p w14:paraId="0150FC0A" w14:textId="095DD9D6" w:rsidR="003766E9" w:rsidRPr="00EF6434" w:rsidRDefault="003766E9" w:rsidP="00714D97">
            <w:pPr>
              <w:jc w:val="both"/>
              <w:rPr>
                <w:rFonts w:ascii="Arial" w:hAnsi="Arial" w:cs="Arial"/>
                <w:noProof/>
                <w:sz w:val="20"/>
                <w:szCs w:val="20"/>
                <w:lang w:val="es-ES_tradnl"/>
              </w:rPr>
            </w:pPr>
          </w:p>
          <w:p w14:paraId="6885D08A" w14:textId="4AE85BE0" w:rsidR="00C13B29" w:rsidRDefault="003766E9" w:rsidP="00714D97">
            <w:pPr>
              <w:jc w:val="both"/>
              <w:rPr>
                <w:rFonts w:ascii="Arial" w:hAnsi="Arial" w:cs="Arial"/>
                <w:noProof/>
                <w:sz w:val="20"/>
                <w:szCs w:val="20"/>
                <w:lang w:val="es-ES_tradnl"/>
              </w:rPr>
            </w:pPr>
            <w:r w:rsidRPr="00EF6434">
              <w:rPr>
                <w:rFonts w:ascii="Arial" w:hAnsi="Arial" w:cs="Arial"/>
                <w:noProof/>
                <w:sz w:val="20"/>
                <w:szCs w:val="20"/>
                <w:lang w:val="es-ES_tradnl"/>
              </w:rPr>
              <w:t>En cuanto al PR-L1044, el mismo fue clasificado como de Categoría B, clasificación que será mantenida puesto que la inclusión de un edificio adicional no constituye una modificación significativa de las obras de infraestructura previstas originalmente en el proyecto (bus de tránsito rápido, centro de oficinas de gobierno, etc.).</w:t>
            </w:r>
            <w:r w:rsidR="0053524A">
              <w:rPr>
                <w:rFonts w:ascii="Arial" w:hAnsi="Arial" w:cs="Arial"/>
                <w:noProof/>
                <w:sz w:val="20"/>
                <w:szCs w:val="20"/>
                <w:lang w:val="es-ES_tradnl"/>
              </w:rPr>
              <w:t xml:space="preserve"> Con respecto a los estudios ambientales y sociales relacionados con el Componente I, en abril de 2015 fue concluido el </w:t>
            </w:r>
            <w:r w:rsidR="0053524A" w:rsidRPr="0053524A">
              <w:rPr>
                <w:rFonts w:ascii="Arial" w:hAnsi="Arial" w:cs="Arial"/>
                <w:b/>
                <w:i/>
                <w:noProof/>
                <w:sz w:val="20"/>
                <w:szCs w:val="20"/>
                <w:lang w:val="es-ES_tradnl"/>
              </w:rPr>
              <w:t>Plan Maestro y Estrategia de Modalidad Operativa para la Reconversión y Ampliación de Usos del Área Puerto de Asunción</w:t>
            </w:r>
            <w:r w:rsidR="0053524A">
              <w:rPr>
                <w:rFonts w:ascii="Arial" w:hAnsi="Arial" w:cs="Arial"/>
                <w:noProof/>
                <w:sz w:val="20"/>
                <w:szCs w:val="20"/>
                <w:lang w:val="es-ES_tradnl"/>
              </w:rPr>
              <w:t xml:space="preserve">, financiada por el Banco a través de la Cooperación Técnica PR-T1160, que incluye un conjunto de proyectos a ser ejecutados </w:t>
            </w:r>
            <w:r w:rsidR="00C13B29">
              <w:rPr>
                <w:rFonts w:ascii="Arial" w:hAnsi="Arial" w:cs="Arial"/>
                <w:noProof/>
                <w:sz w:val="20"/>
                <w:szCs w:val="20"/>
                <w:lang w:val="es-ES_tradnl"/>
              </w:rPr>
              <w:t>en i) espacios públicos,</w:t>
            </w:r>
            <w:r w:rsidR="0053524A">
              <w:rPr>
                <w:rFonts w:ascii="Arial" w:hAnsi="Arial" w:cs="Arial"/>
                <w:noProof/>
                <w:sz w:val="20"/>
                <w:szCs w:val="20"/>
                <w:lang w:val="es-ES_tradnl"/>
              </w:rPr>
              <w:t xml:space="preserve"> tales como un Centro de Oficinas de Gobierno, museo, estación del BRT, </w:t>
            </w:r>
            <w:r w:rsidR="00C13B29">
              <w:rPr>
                <w:rFonts w:ascii="Arial" w:hAnsi="Arial" w:cs="Arial"/>
                <w:noProof/>
                <w:sz w:val="20"/>
                <w:szCs w:val="20"/>
                <w:lang w:val="es-ES_tradnl"/>
              </w:rPr>
              <w:t>remodelación del edificio de la Aduana, estacionamiento de vehículos, centro de convenciones, y ii) áreas de uso privado, como residencias, un hotel y otras instalaciones de uso mixto</w:t>
            </w:r>
            <w:r w:rsidR="0053524A">
              <w:rPr>
                <w:rFonts w:ascii="Arial" w:hAnsi="Arial" w:cs="Arial"/>
                <w:noProof/>
                <w:sz w:val="20"/>
                <w:szCs w:val="20"/>
                <w:lang w:val="es-ES_tradnl"/>
              </w:rPr>
              <w:t xml:space="preserve">. </w:t>
            </w:r>
          </w:p>
          <w:p w14:paraId="5C598434" w14:textId="77777777" w:rsidR="00C13B29" w:rsidRDefault="00C13B29" w:rsidP="00714D97">
            <w:pPr>
              <w:jc w:val="both"/>
              <w:rPr>
                <w:rFonts w:ascii="Arial" w:hAnsi="Arial" w:cs="Arial"/>
                <w:noProof/>
                <w:sz w:val="20"/>
                <w:szCs w:val="20"/>
                <w:lang w:val="es-ES_tradnl"/>
              </w:rPr>
            </w:pPr>
          </w:p>
          <w:p w14:paraId="707A9D36" w14:textId="0B4ABD64" w:rsidR="003766E9" w:rsidRPr="00C13B29" w:rsidRDefault="0053524A" w:rsidP="00714D97">
            <w:pPr>
              <w:jc w:val="both"/>
              <w:rPr>
                <w:rFonts w:ascii="Arial" w:hAnsi="Arial" w:cs="Arial"/>
                <w:noProof/>
                <w:sz w:val="20"/>
                <w:szCs w:val="20"/>
                <w:lang w:val="es-ES_tradnl"/>
              </w:rPr>
            </w:pPr>
            <w:r w:rsidRPr="00C13B29">
              <w:rPr>
                <w:rFonts w:ascii="Arial" w:hAnsi="Arial" w:cs="Arial"/>
                <w:noProof/>
                <w:sz w:val="20"/>
                <w:szCs w:val="20"/>
                <w:lang w:val="es-ES_tradnl"/>
              </w:rPr>
              <w:t>En junio de 2016 fue concluido el Estudio de Impacto Ambiental (EIA) del Plan Maestro</w:t>
            </w:r>
            <w:r w:rsidR="00C13B29">
              <w:rPr>
                <w:rFonts w:ascii="Arial" w:hAnsi="Arial" w:cs="Arial"/>
                <w:noProof/>
                <w:sz w:val="20"/>
                <w:szCs w:val="20"/>
                <w:lang w:val="es-ES_tradnl"/>
              </w:rPr>
              <w:t xml:space="preserve"> y aprobado por la autoridad ambiental nacional competente (Secretaría del Ambiente, SEAM). Dicho EIA analiza los impactos del conjunto de las obras planificadas en el Plan Maestro de un modo general y establece, </w:t>
            </w:r>
            <w:r w:rsidR="00C13B29" w:rsidRPr="00C13B29">
              <w:rPr>
                <w:rFonts w:ascii="Arial" w:hAnsi="Arial" w:cs="Arial"/>
                <w:noProof/>
                <w:sz w:val="20"/>
                <w:szCs w:val="20"/>
                <w:lang w:val="es-ES_tradnl"/>
              </w:rPr>
              <w:t>en su Capítulo 15 que “</w:t>
            </w:r>
            <w:r w:rsidR="00C13B29" w:rsidRPr="00C13B29">
              <w:rPr>
                <w:rFonts w:ascii="Arial" w:hAnsi="Arial" w:cs="Arial"/>
                <w:i/>
                <w:sz w:val="20"/>
                <w:szCs w:val="20"/>
                <w:lang w:val="es-ES_tradnl"/>
              </w:rPr>
              <w:t xml:space="preserve">para cada proyecto, se elaborará un Estudio de Impacto Ambiental preliminar de acuerdo a la Ley </w:t>
            </w:r>
            <w:proofErr w:type="spellStart"/>
            <w:r w:rsidR="00C13B29" w:rsidRPr="00C13B29">
              <w:rPr>
                <w:rFonts w:ascii="Arial" w:hAnsi="Arial" w:cs="Arial"/>
                <w:i/>
                <w:sz w:val="20"/>
                <w:szCs w:val="20"/>
                <w:lang w:val="es-ES_tradnl"/>
              </w:rPr>
              <w:t>N°</w:t>
            </w:r>
            <w:proofErr w:type="spellEnd"/>
            <w:r w:rsidR="00C13B29" w:rsidRPr="00C13B29">
              <w:rPr>
                <w:rFonts w:ascii="Arial" w:hAnsi="Arial" w:cs="Arial"/>
                <w:i/>
                <w:sz w:val="20"/>
                <w:szCs w:val="20"/>
                <w:lang w:val="es-ES_tradnl"/>
              </w:rPr>
              <w:t xml:space="preserve"> 294/93 de Evaluación de Impacto Ambiental, en donde se incluirán las medidas específicas de gestión ambiental y social que contemplen sus particularidades</w:t>
            </w:r>
            <w:r w:rsidR="00C13B29" w:rsidRPr="00C13B29">
              <w:rPr>
                <w:rFonts w:ascii="Arial" w:hAnsi="Arial" w:cs="Arial"/>
                <w:sz w:val="20"/>
                <w:szCs w:val="20"/>
                <w:lang w:val="es-ES_tradnl"/>
              </w:rPr>
              <w:t>.</w:t>
            </w:r>
            <w:r w:rsidR="00C13B29">
              <w:rPr>
                <w:rFonts w:ascii="Arial" w:hAnsi="Arial" w:cs="Arial"/>
                <w:sz w:val="20"/>
                <w:szCs w:val="20"/>
                <w:lang w:val="es-ES_tradnl"/>
              </w:rPr>
              <w:t>”</w:t>
            </w:r>
            <w:r w:rsidR="006704F2">
              <w:rPr>
                <w:rFonts w:ascii="Arial" w:hAnsi="Arial" w:cs="Arial"/>
                <w:sz w:val="20"/>
                <w:szCs w:val="20"/>
                <w:lang w:val="es-ES_tradnl"/>
              </w:rPr>
              <w:t xml:space="preserve"> Por tanto, tanto para dar cumplimiento a los requerimientos de la legislación local incorporados en el EIA aprobado por la SEAM, como a los requerimientos de las políticas y salvaguardias ambientales y sociales del Banco, antes del inicio de la construcción del Centro de Oficinas de Gobierno previstas en el Componente I del PR-L1044 se deberá elaborar un análisis ambiental y social de dicha obra y, particularmente, un Plan de Gestión Ambiental y Social (PGAS) de la misma</w:t>
            </w:r>
            <w:r w:rsidR="00B61E78">
              <w:rPr>
                <w:rFonts w:ascii="Arial" w:hAnsi="Arial" w:cs="Arial"/>
                <w:sz w:val="20"/>
                <w:szCs w:val="20"/>
                <w:lang w:val="es-ES_tradnl"/>
              </w:rPr>
              <w:t>, incluyendo aspectos relacionados a la gestión del riesgo de desastres naturales</w:t>
            </w:r>
            <w:r w:rsidR="006704F2">
              <w:rPr>
                <w:rFonts w:ascii="Arial" w:hAnsi="Arial" w:cs="Arial"/>
                <w:sz w:val="20"/>
                <w:szCs w:val="20"/>
                <w:lang w:val="es-ES_tradnl"/>
              </w:rPr>
              <w:t>.</w:t>
            </w:r>
          </w:p>
          <w:p w14:paraId="699B0F59" w14:textId="6E5A9AC8" w:rsidR="00B218E4" w:rsidRPr="00C0720C" w:rsidRDefault="00DF2E8A" w:rsidP="00714D97">
            <w:pPr>
              <w:spacing w:after="120"/>
              <w:jc w:val="both"/>
              <w:rPr>
                <w:rFonts w:ascii="Arial" w:eastAsia="Times New Roman" w:hAnsi="Arial" w:cs="Arial"/>
                <w:sz w:val="22"/>
                <w:szCs w:val="22"/>
                <w:shd w:val="clear" w:color="auto" w:fill="FFFFFF"/>
                <w:lang w:val="es-PE"/>
              </w:rPr>
            </w:pPr>
            <w:r>
              <w:rPr>
                <w:rFonts w:ascii="Arial" w:hAnsi="Arial" w:cs="Arial"/>
                <w:sz w:val="22"/>
                <w:szCs w:val="22"/>
                <w:lang w:val="es-ES_tradnl"/>
              </w:rPr>
              <w:t xml:space="preserve"> </w:t>
            </w:r>
          </w:p>
        </w:tc>
      </w:tr>
      <w:tr w:rsidR="003766E9" w:rsidRPr="005A209C" w14:paraId="3D252624" w14:textId="77777777" w:rsidTr="003766E9">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tcMar>
              <w:top w:w="15" w:type="dxa"/>
              <w:left w:w="105" w:type="dxa"/>
              <w:bottom w:w="15" w:type="dxa"/>
              <w:right w:w="105" w:type="dxa"/>
            </w:tcMar>
            <w:vAlign w:val="center"/>
          </w:tcPr>
          <w:p w14:paraId="587BF3FF" w14:textId="77777777" w:rsidR="003766E9" w:rsidRPr="00C0720C" w:rsidRDefault="003766E9" w:rsidP="003766E9">
            <w:pPr>
              <w:ind w:right="165"/>
              <w:jc w:val="both"/>
              <w:rPr>
                <w:rFonts w:ascii="Arial" w:eastAsia="Times New Roman" w:hAnsi="Arial" w:cs="Arial"/>
                <w:b/>
                <w:sz w:val="22"/>
                <w:szCs w:val="22"/>
                <w:shd w:val="clear" w:color="auto" w:fill="FFFFFF"/>
                <w:lang w:val="es-ES"/>
              </w:rPr>
            </w:pPr>
            <w:r w:rsidRPr="00C0720C">
              <w:rPr>
                <w:rFonts w:ascii="Arial" w:eastAsia="Times New Roman" w:hAnsi="Arial" w:cs="Arial"/>
                <w:b/>
                <w:sz w:val="22"/>
                <w:szCs w:val="22"/>
                <w:lang w:val="es-ES"/>
              </w:rPr>
              <w:t>Consultas</w:t>
            </w:r>
          </w:p>
          <w:p w14:paraId="019E9E22" w14:textId="264C626B" w:rsidR="003766E9" w:rsidRPr="003766E9" w:rsidRDefault="003766E9" w:rsidP="003766E9">
            <w:pPr>
              <w:jc w:val="both"/>
              <w:rPr>
                <w:rFonts w:ascii="Arial" w:hAnsi="Arial" w:cs="Arial"/>
                <w:i/>
                <w:sz w:val="18"/>
                <w:szCs w:val="18"/>
                <w:lang w:val="es-ES_tradnl"/>
              </w:rPr>
            </w:pPr>
            <w:r w:rsidRPr="003766E9">
              <w:rPr>
                <w:rFonts w:ascii="Arial" w:eastAsia="Times New Roman" w:hAnsi="Arial" w:cs="Arial"/>
                <w:i/>
                <w:sz w:val="18"/>
                <w:szCs w:val="18"/>
                <w:lang w:val="es-ES"/>
              </w:rPr>
              <w:t>OP-703 (Política de Medio Ambiente y Cumplimiento de Salvaguardias): B.6 (Consultas)</w:t>
            </w:r>
          </w:p>
        </w:tc>
      </w:tr>
      <w:tr w:rsidR="003766E9" w:rsidRPr="005A209C" w14:paraId="22722F32"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24D2F7A9" w14:textId="061F954F" w:rsidR="003766E9" w:rsidRPr="006704F2" w:rsidRDefault="006704F2" w:rsidP="00714D97">
            <w:pPr>
              <w:jc w:val="both"/>
              <w:rPr>
                <w:rFonts w:ascii="Arial" w:hAnsi="Arial" w:cs="Arial"/>
                <w:sz w:val="20"/>
                <w:szCs w:val="20"/>
                <w:lang w:val="es-ES_tradnl"/>
              </w:rPr>
            </w:pPr>
            <w:r>
              <w:rPr>
                <w:rFonts w:ascii="Arial" w:hAnsi="Arial" w:cs="Arial"/>
                <w:sz w:val="20"/>
                <w:szCs w:val="20"/>
                <w:lang w:val="es-ES_tradnl"/>
              </w:rPr>
              <w:t>Tanto durante la fase de preparación como de ejecución del PR-L1044 fueron llevados a cabo varios eventos de consulta pública, conforme a los requisitos establecidos en la Directiva B.6 de la OP-703. Con respecto a las consultas realizadas de manera específica para el subcomponente Centro de Oficinas de Gobierno del Componente I, las mismas fueron llevadas a cabo durante el año 2016</w:t>
            </w:r>
            <w:r w:rsidR="005342CE">
              <w:rPr>
                <w:rStyle w:val="FootnoteReference"/>
                <w:rFonts w:ascii="Arial" w:hAnsi="Arial" w:cs="Arial"/>
                <w:sz w:val="20"/>
                <w:szCs w:val="20"/>
                <w:lang w:val="es-ES_tradnl"/>
              </w:rPr>
              <w:footnoteReference w:id="3"/>
            </w:r>
            <w:r>
              <w:rPr>
                <w:rFonts w:ascii="Arial" w:hAnsi="Arial" w:cs="Arial"/>
                <w:sz w:val="20"/>
                <w:szCs w:val="20"/>
                <w:lang w:val="es-ES_tradnl"/>
              </w:rPr>
              <w:t xml:space="preserve"> pero requieren que sean debidamente documentadas, incluyendo como mínimo el análisis de involucrado realizado, invitaciones cursadas, lista de asistentes, documentos presentados y forma en que los comentarios y propuestas de los participantes fueron incorporados en el diseño del proyecto.</w:t>
            </w:r>
            <w:r w:rsidR="00861BDE">
              <w:rPr>
                <w:rFonts w:ascii="Arial" w:hAnsi="Arial" w:cs="Arial"/>
                <w:sz w:val="20"/>
                <w:szCs w:val="20"/>
                <w:lang w:val="es-ES_tradnl"/>
              </w:rPr>
              <w:t xml:space="preserve"> Esta documentación deberá ser presentada por el equipo previo a la distribución del POD a OPC.</w:t>
            </w:r>
            <w:r w:rsidR="00B61E78">
              <w:rPr>
                <w:rFonts w:ascii="Arial" w:hAnsi="Arial" w:cs="Arial"/>
                <w:sz w:val="20"/>
                <w:szCs w:val="20"/>
                <w:lang w:val="es-ES_tradnl"/>
              </w:rPr>
              <w:t xml:space="preserve"> Considerando que las consultas públicas constituyen un proceso continuo, el </w:t>
            </w:r>
            <w:r w:rsidR="00B61E78">
              <w:rPr>
                <w:rFonts w:ascii="Arial" w:hAnsi="Arial" w:cs="Arial"/>
                <w:sz w:val="20"/>
                <w:szCs w:val="20"/>
                <w:lang w:val="es-ES_tradnl"/>
              </w:rPr>
              <w:lastRenderedPageBreak/>
              <w:t>PGAS del Centro de Oficinas de Gobierno deberá incluir una estrategia y mecanismos de consulta continua para dicha obra.</w:t>
            </w:r>
          </w:p>
          <w:p w14:paraId="041B32A2" w14:textId="4797C7A6" w:rsidR="006704F2" w:rsidRDefault="006704F2" w:rsidP="00714D97">
            <w:pPr>
              <w:jc w:val="both"/>
              <w:rPr>
                <w:rFonts w:ascii="Arial" w:hAnsi="Arial" w:cs="Arial"/>
                <w:sz w:val="22"/>
                <w:szCs w:val="22"/>
                <w:lang w:val="es-ES_tradnl"/>
              </w:rPr>
            </w:pPr>
          </w:p>
        </w:tc>
      </w:tr>
      <w:tr w:rsidR="003766E9" w:rsidRPr="005A209C" w14:paraId="486FEA17" w14:textId="77777777" w:rsidTr="00095344">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tcMar>
              <w:top w:w="15" w:type="dxa"/>
              <w:left w:w="105" w:type="dxa"/>
              <w:bottom w:w="15" w:type="dxa"/>
              <w:right w:w="105" w:type="dxa"/>
            </w:tcMar>
          </w:tcPr>
          <w:p w14:paraId="0C3713AF" w14:textId="77777777" w:rsidR="003766E9" w:rsidRPr="00C0720C" w:rsidRDefault="003766E9" w:rsidP="003766E9">
            <w:pPr>
              <w:ind w:right="165"/>
              <w:jc w:val="both"/>
              <w:rPr>
                <w:rFonts w:ascii="Arial" w:eastAsia="Times New Roman" w:hAnsi="Arial" w:cs="Arial"/>
                <w:b/>
                <w:sz w:val="22"/>
                <w:szCs w:val="22"/>
                <w:shd w:val="clear" w:color="auto" w:fill="FFFFFF"/>
                <w:lang w:val="es-ES"/>
              </w:rPr>
            </w:pPr>
            <w:r w:rsidRPr="00C0720C">
              <w:rPr>
                <w:rFonts w:ascii="Arial" w:eastAsia="Times New Roman" w:hAnsi="Arial" w:cs="Arial"/>
                <w:b/>
                <w:sz w:val="22"/>
                <w:szCs w:val="22"/>
                <w:lang w:val="es-ES"/>
              </w:rPr>
              <w:lastRenderedPageBreak/>
              <w:t>Divulgación de Información</w:t>
            </w:r>
          </w:p>
          <w:p w14:paraId="14F2FA10" w14:textId="37FAD15A" w:rsidR="003766E9" w:rsidRPr="003766E9" w:rsidRDefault="003766E9" w:rsidP="003766E9">
            <w:pPr>
              <w:jc w:val="both"/>
              <w:rPr>
                <w:rFonts w:ascii="Arial" w:hAnsi="Arial" w:cs="Arial"/>
                <w:i/>
                <w:sz w:val="18"/>
                <w:szCs w:val="18"/>
                <w:lang w:val="es-ES_tradnl"/>
              </w:rPr>
            </w:pPr>
            <w:r w:rsidRPr="003766E9">
              <w:rPr>
                <w:rFonts w:ascii="Arial" w:eastAsia="Times New Roman" w:hAnsi="Arial" w:cs="Arial"/>
                <w:i/>
                <w:sz w:val="18"/>
                <w:szCs w:val="18"/>
                <w:lang w:val="es-ES"/>
              </w:rPr>
              <w:t>OP-703 Política de Medio Ambiente y Cumplimiento de Salvaguardias): B.5 (Requisitos de Evaluación y Planes Ambientales); OP-102 (Política de Acceso a la Información)</w:t>
            </w:r>
          </w:p>
        </w:tc>
      </w:tr>
      <w:tr w:rsidR="003766E9" w:rsidRPr="005A209C" w14:paraId="3A1D0D69"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7360FDFA" w14:textId="2944130C" w:rsidR="003766E9" w:rsidRDefault="006704F2" w:rsidP="003766E9">
            <w:pPr>
              <w:jc w:val="both"/>
              <w:rPr>
                <w:rFonts w:ascii="Arial" w:hAnsi="Arial" w:cs="Arial"/>
                <w:sz w:val="20"/>
                <w:szCs w:val="20"/>
                <w:lang w:val="es-ES_tradnl"/>
              </w:rPr>
            </w:pPr>
            <w:r w:rsidRPr="006704F2">
              <w:rPr>
                <w:rFonts w:ascii="Arial" w:hAnsi="Arial" w:cs="Arial"/>
                <w:sz w:val="20"/>
                <w:szCs w:val="20"/>
                <w:lang w:val="es-ES_tradnl"/>
              </w:rPr>
              <w:t>Tanto durante la fase de preparación como de ejecución, los documentos ambientales y sociales del proyecto fueron d</w:t>
            </w:r>
            <w:r w:rsidR="00587C7F">
              <w:rPr>
                <w:rFonts w:ascii="Arial" w:hAnsi="Arial" w:cs="Arial"/>
                <w:sz w:val="20"/>
                <w:szCs w:val="20"/>
                <w:lang w:val="es-ES_tradnl"/>
              </w:rPr>
              <w:t>ivulgados en el sitio del B</w:t>
            </w:r>
            <w:r w:rsidR="001B32BF">
              <w:rPr>
                <w:rFonts w:ascii="Arial" w:hAnsi="Arial" w:cs="Arial"/>
                <w:sz w:val="20"/>
                <w:szCs w:val="20"/>
                <w:lang w:val="es-ES_tradnl"/>
              </w:rPr>
              <w:t>anco y del Ejecutor, incluyendo el EIA del Plan Maestro del Puerto de Asunción</w:t>
            </w:r>
            <w:r w:rsidR="005342CE">
              <w:rPr>
                <w:rFonts w:ascii="Arial" w:hAnsi="Arial" w:cs="Arial"/>
                <w:sz w:val="20"/>
                <w:szCs w:val="20"/>
                <w:lang w:val="es-ES_tradnl"/>
              </w:rPr>
              <w:t xml:space="preserve"> (</w:t>
            </w:r>
            <w:hyperlink r:id="rId15" w:history="1">
              <w:r w:rsidR="005342CE" w:rsidRPr="001223C9">
                <w:rPr>
                  <w:rStyle w:val="Hyperlink"/>
                  <w:rFonts w:ascii="Arial" w:hAnsi="Arial" w:cs="Arial"/>
                  <w:sz w:val="20"/>
                  <w:szCs w:val="20"/>
                  <w:lang w:val="es-ES_tradnl"/>
                </w:rPr>
                <w:t>http://www.iadb.org/Document.cfm?id=EZSHARE-448177878-75</w:t>
              </w:r>
            </w:hyperlink>
            <w:r w:rsidR="005342CE">
              <w:rPr>
                <w:rFonts w:ascii="Arial" w:hAnsi="Arial" w:cs="Arial"/>
                <w:sz w:val="20"/>
                <w:szCs w:val="20"/>
                <w:lang w:val="es-ES_tradnl"/>
              </w:rPr>
              <w:t>)</w:t>
            </w:r>
            <w:r w:rsidR="001B32BF">
              <w:rPr>
                <w:rFonts w:ascii="Arial" w:hAnsi="Arial" w:cs="Arial"/>
                <w:sz w:val="20"/>
                <w:szCs w:val="20"/>
                <w:lang w:val="es-ES_tradnl"/>
              </w:rPr>
              <w:t>.</w:t>
            </w:r>
          </w:p>
          <w:p w14:paraId="6E2C71F7" w14:textId="798EB920" w:rsidR="006704F2" w:rsidRDefault="006704F2" w:rsidP="003766E9">
            <w:pPr>
              <w:jc w:val="both"/>
              <w:rPr>
                <w:rFonts w:ascii="Arial" w:hAnsi="Arial" w:cs="Arial"/>
                <w:sz w:val="22"/>
                <w:szCs w:val="22"/>
                <w:lang w:val="es-ES_tradnl"/>
              </w:rPr>
            </w:pPr>
          </w:p>
        </w:tc>
      </w:tr>
      <w:tr w:rsidR="003766E9" w:rsidRPr="005A209C" w14:paraId="27C02B0D" w14:textId="77777777" w:rsidTr="003766E9">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tcMar>
              <w:top w:w="15" w:type="dxa"/>
              <w:left w:w="105" w:type="dxa"/>
              <w:bottom w:w="15" w:type="dxa"/>
              <w:right w:w="105" w:type="dxa"/>
            </w:tcMar>
            <w:vAlign w:val="center"/>
          </w:tcPr>
          <w:p w14:paraId="4FAED0F8" w14:textId="77777777" w:rsidR="003766E9" w:rsidRPr="00C0720C" w:rsidRDefault="003766E9" w:rsidP="003766E9">
            <w:pPr>
              <w:ind w:right="165"/>
              <w:jc w:val="both"/>
              <w:rPr>
                <w:rFonts w:ascii="Arial" w:eastAsia="Times New Roman" w:hAnsi="Arial" w:cs="Arial"/>
                <w:b/>
                <w:sz w:val="22"/>
                <w:szCs w:val="22"/>
                <w:shd w:val="clear" w:color="auto" w:fill="FFFFFF"/>
                <w:lang w:val="es-ES"/>
              </w:rPr>
            </w:pPr>
            <w:r w:rsidRPr="00C0720C">
              <w:rPr>
                <w:rFonts w:ascii="Arial" w:eastAsia="Times New Roman" w:hAnsi="Arial" w:cs="Arial"/>
                <w:b/>
                <w:sz w:val="22"/>
                <w:szCs w:val="22"/>
                <w:lang w:val="es-ES"/>
              </w:rPr>
              <w:t xml:space="preserve">Impactos y Riesgos Ambientales y Sociales </w:t>
            </w:r>
          </w:p>
          <w:p w14:paraId="0093992F" w14:textId="77777777" w:rsidR="003766E9" w:rsidRPr="003766E9" w:rsidRDefault="003766E9" w:rsidP="003766E9">
            <w:pPr>
              <w:ind w:right="165"/>
              <w:jc w:val="both"/>
              <w:rPr>
                <w:rFonts w:ascii="Arial" w:eastAsia="Times New Roman" w:hAnsi="Arial" w:cs="Arial"/>
                <w:i/>
                <w:sz w:val="18"/>
                <w:szCs w:val="18"/>
                <w:lang w:val="es-ES"/>
              </w:rPr>
            </w:pPr>
            <w:r w:rsidRPr="003766E9">
              <w:rPr>
                <w:rFonts w:ascii="Arial" w:eastAsia="Times New Roman" w:hAnsi="Arial" w:cs="Arial"/>
                <w:i/>
                <w:sz w:val="18"/>
                <w:szCs w:val="18"/>
                <w:lang w:val="es-ES"/>
              </w:rPr>
              <w:t>OP-703 (Política de Medio Ambiente y Cumplimiento de Salvaguardias): B.8 (Impactos Transfronterizos), B.9 (Hábitats Naturales y Sitios Culturales), B.10 (Materiales Peligrosos), B.11 (Prevención y Reducción de la Contaminación), y B.12 (Proyectos en Construcción)</w:t>
            </w:r>
          </w:p>
          <w:p w14:paraId="39684072" w14:textId="77777777" w:rsidR="003766E9" w:rsidRPr="003766E9" w:rsidRDefault="003766E9" w:rsidP="003766E9">
            <w:pPr>
              <w:ind w:right="165"/>
              <w:jc w:val="both"/>
              <w:rPr>
                <w:rFonts w:ascii="Arial" w:eastAsia="Times New Roman" w:hAnsi="Arial" w:cs="Arial"/>
                <w:i/>
                <w:sz w:val="18"/>
                <w:szCs w:val="18"/>
                <w:lang w:val="es-ES"/>
              </w:rPr>
            </w:pPr>
            <w:r w:rsidRPr="003766E9">
              <w:rPr>
                <w:rFonts w:ascii="Arial" w:eastAsia="Times New Roman" w:hAnsi="Arial" w:cs="Arial"/>
                <w:i/>
                <w:sz w:val="18"/>
                <w:szCs w:val="18"/>
                <w:lang w:val="es-ES"/>
              </w:rPr>
              <w:t>OP-761 (Política Operativa sobre Igualdad de Género en el Desarrollo)</w:t>
            </w:r>
          </w:p>
          <w:p w14:paraId="58A0B157" w14:textId="6F7D1ADF" w:rsidR="003766E9" w:rsidRDefault="003766E9" w:rsidP="003766E9">
            <w:pPr>
              <w:jc w:val="both"/>
              <w:rPr>
                <w:rFonts w:ascii="Arial" w:hAnsi="Arial" w:cs="Arial"/>
                <w:sz w:val="22"/>
                <w:szCs w:val="22"/>
                <w:lang w:val="es-ES_tradnl"/>
              </w:rPr>
            </w:pPr>
            <w:r w:rsidRPr="003766E9">
              <w:rPr>
                <w:rFonts w:ascii="Arial" w:eastAsia="Times New Roman" w:hAnsi="Arial" w:cs="Arial"/>
                <w:i/>
                <w:sz w:val="18"/>
                <w:szCs w:val="18"/>
                <w:lang w:val="es-ES"/>
              </w:rPr>
              <w:t>OP-704 (Política de Gestión del Riesgo de Desastres Naturales)</w:t>
            </w:r>
          </w:p>
        </w:tc>
      </w:tr>
      <w:tr w:rsidR="003766E9" w:rsidRPr="005A209C" w14:paraId="2872AC16"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4B0C3F9A" w14:textId="3EDB8681" w:rsidR="003766E9" w:rsidRPr="00A40BF5" w:rsidRDefault="001B32BF" w:rsidP="003766E9">
            <w:pPr>
              <w:jc w:val="both"/>
              <w:rPr>
                <w:rFonts w:ascii="Arial" w:hAnsi="Arial" w:cs="Arial"/>
                <w:color w:val="000000"/>
                <w:sz w:val="20"/>
                <w:szCs w:val="20"/>
                <w:lang w:val="es-ES_tradnl"/>
              </w:rPr>
            </w:pPr>
            <w:r w:rsidRPr="001B32BF">
              <w:rPr>
                <w:rFonts w:ascii="Arial" w:hAnsi="Arial" w:cs="Arial"/>
                <w:color w:val="000000"/>
                <w:sz w:val="20"/>
                <w:szCs w:val="20"/>
                <w:lang w:val="es-ES_tradnl"/>
              </w:rPr>
              <w:t>Las obras adicionales a ser ejecutadas en el marco del Componente</w:t>
            </w:r>
            <w:r>
              <w:rPr>
                <w:rFonts w:ascii="Arial" w:hAnsi="Arial" w:cs="Arial"/>
                <w:color w:val="000000"/>
                <w:sz w:val="20"/>
                <w:szCs w:val="20"/>
                <w:lang w:val="es-ES_tradnl"/>
              </w:rPr>
              <w:t xml:space="preserve"> no introducirán impactos ambientales y sociales diferentes de los que fueron identificados en los estudios ambientales y sociales del proyecto, del Componente y del Plan</w:t>
            </w:r>
            <w:r w:rsidR="00A40BF5">
              <w:rPr>
                <w:rFonts w:ascii="Arial" w:hAnsi="Arial" w:cs="Arial"/>
                <w:color w:val="000000"/>
                <w:sz w:val="20"/>
                <w:szCs w:val="20"/>
                <w:lang w:val="es-ES_tradnl"/>
              </w:rPr>
              <w:t xml:space="preserve"> Maestro del Puerto de Asunción, así como en el Informe de Gestión Ambiental y Social original de la operación (</w:t>
            </w:r>
            <w:r w:rsidR="00A40BF5" w:rsidRPr="00A40BF5">
              <w:rPr>
                <w:rFonts w:ascii="Tahoma" w:hAnsi="Tahoma" w:cs="Tahoma"/>
                <w:color w:val="0000FF"/>
                <w:sz w:val="16"/>
                <w:szCs w:val="16"/>
                <w:lang w:val="es-ES_tradnl"/>
              </w:rPr>
              <w:t>http://idbdocs.iadb.org/WSDocs/getDocument.aspx?DOCNUM=35294363</w:t>
            </w:r>
            <w:r w:rsidR="00A40BF5">
              <w:rPr>
                <w:rFonts w:ascii="Tahoma" w:hAnsi="Tahoma" w:cs="Tahoma"/>
                <w:color w:val="0000FF"/>
                <w:sz w:val="16"/>
                <w:szCs w:val="16"/>
                <w:lang w:val="es-ES_tradnl"/>
              </w:rPr>
              <w:t>)</w:t>
            </w:r>
          </w:p>
          <w:p w14:paraId="68A1F64C" w14:textId="627C0658" w:rsidR="001B32BF" w:rsidRDefault="001B32BF" w:rsidP="003766E9">
            <w:pPr>
              <w:jc w:val="both"/>
              <w:rPr>
                <w:rFonts w:ascii="Arial" w:hAnsi="Arial" w:cs="Arial"/>
                <w:sz w:val="22"/>
                <w:szCs w:val="22"/>
                <w:lang w:val="es-ES_tradnl"/>
              </w:rPr>
            </w:pPr>
          </w:p>
        </w:tc>
      </w:tr>
      <w:tr w:rsidR="003766E9" w:rsidRPr="005A209C" w14:paraId="2C1FDE41" w14:textId="77777777" w:rsidTr="003766E9">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tcMar>
              <w:top w:w="15" w:type="dxa"/>
              <w:left w:w="105" w:type="dxa"/>
              <w:bottom w:w="15" w:type="dxa"/>
              <w:right w:w="105" w:type="dxa"/>
            </w:tcMar>
            <w:vAlign w:val="center"/>
          </w:tcPr>
          <w:p w14:paraId="04D63297" w14:textId="77777777" w:rsidR="003766E9" w:rsidRPr="006B472F" w:rsidRDefault="003766E9" w:rsidP="003766E9">
            <w:pPr>
              <w:ind w:right="165"/>
              <w:jc w:val="both"/>
              <w:rPr>
                <w:rFonts w:ascii="Arial" w:eastAsia="Times New Roman" w:hAnsi="Arial" w:cs="Arial"/>
                <w:b/>
                <w:sz w:val="22"/>
                <w:szCs w:val="22"/>
                <w:lang w:val="es-ES_tradnl"/>
              </w:rPr>
            </w:pPr>
            <w:r w:rsidRPr="006B472F">
              <w:rPr>
                <w:rFonts w:ascii="Arial" w:eastAsia="Times New Roman" w:hAnsi="Arial" w:cs="Arial"/>
                <w:b/>
                <w:sz w:val="22"/>
                <w:szCs w:val="22"/>
                <w:lang w:val="es-ES_tradnl"/>
              </w:rPr>
              <w:t xml:space="preserve">Préstamos de Política e Instrumentos Flexibles de Préstamo </w:t>
            </w:r>
          </w:p>
          <w:p w14:paraId="1AAAF904" w14:textId="285F7AF6" w:rsidR="003766E9" w:rsidRPr="003766E9" w:rsidRDefault="003766E9" w:rsidP="003766E9">
            <w:pPr>
              <w:jc w:val="both"/>
              <w:rPr>
                <w:rFonts w:ascii="Arial" w:hAnsi="Arial" w:cs="Arial"/>
                <w:i/>
                <w:sz w:val="18"/>
                <w:szCs w:val="18"/>
                <w:lang w:val="es-ES_tradnl"/>
              </w:rPr>
            </w:pPr>
            <w:r w:rsidRPr="003766E9">
              <w:rPr>
                <w:rFonts w:ascii="Arial" w:eastAsia="Times New Roman" w:hAnsi="Arial" w:cs="Arial"/>
                <w:i/>
                <w:sz w:val="18"/>
                <w:szCs w:val="18"/>
                <w:lang w:val="es-ES_tradnl"/>
              </w:rPr>
              <w:t>OP-703 (Política de Medio Ambiente y Cumplimiento de Salvaguardias): B.13 (Préstamos de Política e Instrumentos Flexibles de Préstamo)</w:t>
            </w:r>
          </w:p>
        </w:tc>
      </w:tr>
      <w:tr w:rsidR="003766E9" w:rsidRPr="005A209C" w14:paraId="7EDD3286"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131AD60E" w14:textId="77777777" w:rsidR="00EF6434" w:rsidRDefault="00EF6434" w:rsidP="003766E9">
            <w:pPr>
              <w:jc w:val="both"/>
              <w:rPr>
                <w:rFonts w:ascii="Arial" w:hAnsi="Arial" w:cs="Arial"/>
                <w:sz w:val="20"/>
                <w:szCs w:val="20"/>
                <w:lang w:val="es-ES_tradnl"/>
              </w:rPr>
            </w:pPr>
            <w:r w:rsidRPr="00EF6434">
              <w:rPr>
                <w:rFonts w:ascii="Arial" w:hAnsi="Arial" w:cs="Arial"/>
                <w:sz w:val="20"/>
                <w:szCs w:val="20"/>
                <w:lang w:val="es-ES_tradnl"/>
              </w:rPr>
              <w:t xml:space="preserve">El Programa PR-L1017 </w:t>
            </w:r>
            <w:r>
              <w:rPr>
                <w:rFonts w:ascii="Arial" w:hAnsi="Arial" w:cs="Arial"/>
                <w:sz w:val="20"/>
                <w:szCs w:val="20"/>
                <w:lang w:val="es-ES_tradnl"/>
              </w:rPr>
              <w:t xml:space="preserve">fue aprobado en el 2007 bajo la modalidad PDL (Performance </w:t>
            </w:r>
            <w:proofErr w:type="spellStart"/>
            <w:r>
              <w:rPr>
                <w:rFonts w:ascii="Arial" w:hAnsi="Arial" w:cs="Arial"/>
                <w:sz w:val="20"/>
                <w:szCs w:val="20"/>
                <w:lang w:val="es-ES_tradnl"/>
              </w:rPr>
              <w:t>Driven</w:t>
            </w:r>
            <w:proofErr w:type="spellEnd"/>
            <w:r>
              <w:rPr>
                <w:rFonts w:ascii="Arial" w:hAnsi="Arial" w:cs="Arial"/>
                <w:sz w:val="20"/>
                <w:szCs w:val="20"/>
                <w:lang w:val="es-ES_tradnl"/>
              </w:rPr>
              <w:t xml:space="preserve"> Loan), la cal ya no es actualmente utilizada por el Banco.</w:t>
            </w:r>
          </w:p>
          <w:p w14:paraId="4C83FF12" w14:textId="069166A1" w:rsidR="003766E9" w:rsidRPr="00EF6434" w:rsidRDefault="00EF6434" w:rsidP="003766E9">
            <w:pPr>
              <w:jc w:val="both"/>
              <w:rPr>
                <w:rFonts w:ascii="Arial" w:hAnsi="Arial" w:cs="Arial"/>
                <w:sz w:val="20"/>
                <w:szCs w:val="20"/>
                <w:lang w:val="es-ES_tradnl"/>
              </w:rPr>
            </w:pPr>
            <w:r>
              <w:rPr>
                <w:rFonts w:ascii="Arial" w:hAnsi="Arial" w:cs="Arial"/>
                <w:sz w:val="20"/>
                <w:szCs w:val="20"/>
                <w:lang w:val="es-ES_tradnl"/>
              </w:rPr>
              <w:t xml:space="preserve"> </w:t>
            </w:r>
          </w:p>
        </w:tc>
      </w:tr>
      <w:tr w:rsidR="003766E9" w:rsidRPr="005A209C" w14:paraId="477D803B"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15" w:type="dxa"/>
              <w:left w:w="105" w:type="dxa"/>
              <w:bottom w:w="15" w:type="dxa"/>
              <w:right w:w="105" w:type="dxa"/>
            </w:tcMar>
            <w:vAlign w:val="center"/>
          </w:tcPr>
          <w:p w14:paraId="08EDD66C" w14:textId="77777777" w:rsidR="003766E9" w:rsidRPr="00C0720C" w:rsidRDefault="003766E9" w:rsidP="003766E9">
            <w:pPr>
              <w:ind w:right="165"/>
              <w:jc w:val="both"/>
              <w:rPr>
                <w:rFonts w:ascii="Arial" w:eastAsia="Times New Roman" w:hAnsi="Arial" w:cs="Arial"/>
                <w:b/>
                <w:sz w:val="22"/>
                <w:szCs w:val="22"/>
                <w:shd w:val="clear" w:color="auto" w:fill="FFFFFF"/>
                <w:lang w:val="es-ES"/>
              </w:rPr>
            </w:pPr>
            <w:r w:rsidRPr="00C0720C">
              <w:rPr>
                <w:rFonts w:ascii="Arial" w:eastAsia="Times New Roman" w:hAnsi="Arial" w:cs="Arial"/>
                <w:b/>
                <w:sz w:val="22"/>
                <w:szCs w:val="22"/>
                <w:lang w:val="es-ES"/>
              </w:rPr>
              <w:t>Modo de Vida y Reasentamiento</w:t>
            </w:r>
          </w:p>
          <w:p w14:paraId="662228A0" w14:textId="27479553" w:rsidR="003766E9" w:rsidRPr="003766E9" w:rsidRDefault="003766E9" w:rsidP="003766E9">
            <w:pPr>
              <w:ind w:right="165"/>
              <w:jc w:val="both"/>
              <w:rPr>
                <w:rFonts w:ascii="Arial" w:eastAsia="Times New Roman" w:hAnsi="Arial" w:cs="Arial"/>
                <w:b/>
                <w:i/>
                <w:sz w:val="18"/>
                <w:szCs w:val="18"/>
                <w:shd w:val="clear" w:color="auto" w:fill="FFFFFF"/>
                <w:lang w:val="es-ES"/>
              </w:rPr>
            </w:pPr>
            <w:r w:rsidRPr="003766E9">
              <w:rPr>
                <w:rFonts w:ascii="Arial" w:eastAsia="Times New Roman" w:hAnsi="Arial" w:cs="Arial"/>
                <w:i/>
                <w:sz w:val="18"/>
                <w:szCs w:val="18"/>
                <w:lang w:val="es-ES"/>
              </w:rPr>
              <w:t>OP-710 (Política Operativa sobre Reasentamiento Involuntario)</w:t>
            </w:r>
          </w:p>
        </w:tc>
      </w:tr>
      <w:tr w:rsidR="003766E9" w:rsidRPr="00CD1A3C" w14:paraId="5057FE20"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6837D28D" w14:textId="339B6962" w:rsidR="003766E9" w:rsidRPr="001B32BF" w:rsidRDefault="001B32BF" w:rsidP="003766E9">
            <w:pPr>
              <w:ind w:right="165"/>
              <w:jc w:val="both"/>
              <w:rPr>
                <w:rFonts w:ascii="Arial" w:hAnsi="Arial" w:cs="Arial"/>
                <w:color w:val="000000"/>
                <w:sz w:val="20"/>
                <w:szCs w:val="20"/>
                <w:lang w:val="es-ES_tradnl"/>
              </w:rPr>
            </w:pPr>
            <w:r w:rsidRPr="001B32BF">
              <w:rPr>
                <w:rFonts w:ascii="Arial" w:hAnsi="Arial" w:cs="Arial"/>
                <w:color w:val="000000"/>
                <w:sz w:val="20"/>
                <w:szCs w:val="20"/>
                <w:lang w:val="es-ES_tradnl"/>
              </w:rPr>
              <w:t>Las obras adicionales a ser ejecutadas en el marco del Componente no requieren del reasentamiento de personas ni implicarán afectación económica debido a que el predio en el cual serán ejecutadas es de propiedad pública</w:t>
            </w:r>
            <w:r w:rsidR="005342CE">
              <w:rPr>
                <w:rFonts w:ascii="Arial" w:hAnsi="Arial" w:cs="Arial"/>
                <w:color w:val="000000"/>
                <w:sz w:val="20"/>
                <w:szCs w:val="20"/>
                <w:lang w:val="es-ES_tradnl"/>
              </w:rPr>
              <w:t xml:space="preserve"> y </w:t>
            </w:r>
            <w:r w:rsidR="005342CE" w:rsidRPr="005342CE">
              <w:rPr>
                <w:rFonts w:ascii="Arial" w:hAnsi="Arial" w:cs="Arial"/>
                <w:sz w:val="20"/>
                <w:szCs w:val="20"/>
                <w:lang w:val="es-ES_tradnl"/>
              </w:rPr>
              <w:t>no hay posesionarios u otras persona</w:t>
            </w:r>
            <w:r w:rsidR="005342CE">
              <w:rPr>
                <w:rFonts w:ascii="Arial" w:hAnsi="Arial" w:cs="Arial"/>
                <w:sz w:val="20"/>
                <w:szCs w:val="20"/>
                <w:lang w:val="es-ES_tradnl"/>
              </w:rPr>
              <w:t>s con bienes en el mismo que será</w:t>
            </w:r>
            <w:r w:rsidR="005342CE" w:rsidRPr="005342CE">
              <w:rPr>
                <w:rFonts w:ascii="Arial" w:hAnsi="Arial" w:cs="Arial"/>
                <w:sz w:val="20"/>
                <w:szCs w:val="20"/>
                <w:lang w:val="es-ES_tradnl"/>
              </w:rPr>
              <w:t>n afectados</w:t>
            </w:r>
            <w:r w:rsidR="005342CE">
              <w:rPr>
                <w:rFonts w:ascii="Arial" w:hAnsi="Arial" w:cs="Arial"/>
                <w:sz w:val="20"/>
                <w:szCs w:val="20"/>
                <w:lang w:val="es-ES_tradnl"/>
              </w:rPr>
              <w:t xml:space="preserve"> por las obras.</w:t>
            </w:r>
            <w:r w:rsidR="005342CE" w:rsidRPr="005342CE">
              <w:rPr>
                <w:rFonts w:ascii="Arial" w:hAnsi="Arial" w:cs="Arial"/>
                <w:sz w:val="20"/>
                <w:szCs w:val="20"/>
                <w:lang w:val="es-ES_tradnl"/>
              </w:rPr>
              <w:t xml:space="preserve"> </w:t>
            </w:r>
            <w:r w:rsidR="005342CE" w:rsidRPr="005342CE">
              <w:rPr>
                <w:rFonts w:ascii="Arial" w:hAnsi="Arial" w:cs="Arial"/>
                <w:color w:val="000000"/>
                <w:sz w:val="20"/>
                <w:szCs w:val="20"/>
                <w:lang w:val="es-ES_tradnl"/>
              </w:rPr>
              <w:t xml:space="preserve">Asimismo, las vías de acceso durante la construcción serán las mismas con las obras adicionales producto de la modificación y no se esperan afectaciones temporales adicionales al modo de vida de la población. El Componente I original del PR-L1044 tiene un componente de </w:t>
            </w:r>
            <w:proofErr w:type="gramStart"/>
            <w:r w:rsidR="005342CE" w:rsidRPr="005342CE">
              <w:rPr>
                <w:rFonts w:ascii="Arial" w:hAnsi="Arial" w:cs="Arial"/>
                <w:color w:val="000000"/>
                <w:sz w:val="20"/>
                <w:szCs w:val="20"/>
                <w:lang w:val="es-ES_tradnl"/>
              </w:rPr>
              <w:t>reasentamiento</w:t>
            </w:r>
            <w:proofErr w:type="gramEnd"/>
            <w:r w:rsidR="005342CE" w:rsidRPr="005342CE">
              <w:rPr>
                <w:rFonts w:ascii="Arial" w:hAnsi="Arial" w:cs="Arial"/>
                <w:color w:val="000000"/>
                <w:sz w:val="20"/>
                <w:szCs w:val="20"/>
                <w:lang w:val="es-ES_tradnl"/>
              </w:rPr>
              <w:t xml:space="preserve"> pero no relacionado con las obras dentro del Puerto de Asunción.</w:t>
            </w:r>
            <w:r w:rsidR="005342CE">
              <w:rPr>
                <w:rFonts w:ascii="Arial" w:hAnsi="Arial" w:cs="Arial"/>
                <w:color w:val="000000"/>
                <w:sz w:val="20"/>
                <w:szCs w:val="20"/>
                <w:lang w:val="es-ES_tradnl"/>
              </w:rPr>
              <w:t xml:space="preserve"> </w:t>
            </w:r>
          </w:p>
          <w:p w14:paraId="362BFB64" w14:textId="5C84A842" w:rsidR="001B32BF" w:rsidRPr="00B218E4" w:rsidRDefault="001B32BF" w:rsidP="003766E9">
            <w:pPr>
              <w:ind w:right="165"/>
              <w:jc w:val="both"/>
              <w:rPr>
                <w:rFonts w:ascii="Arial" w:hAnsi="Arial" w:cs="Arial"/>
                <w:color w:val="000000"/>
                <w:sz w:val="22"/>
                <w:szCs w:val="22"/>
                <w:lang w:val="es-ES_tradnl"/>
              </w:rPr>
            </w:pPr>
          </w:p>
        </w:tc>
      </w:tr>
      <w:tr w:rsidR="00EF6434" w:rsidRPr="005A209C" w14:paraId="1A8CA563" w14:textId="77777777" w:rsidTr="00EF6434">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tcMar>
              <w:top w:w="15" w:type="dxa"/>
              <w:left w:w="105" w:type="dxa"/>
              <w:bottom w:w="15" w:type="dxa"/>
              <w:right w:w="105" w:type="dxa"/>
            </w:tcMar>
            <w:vAlign w:val="center"/>
          </w:tcPr>
          <w:p w14:paraId="194E64E0" w14:textId="77777777" w:rsidR="00EF6434" w:rsidRPr="00C0720C" w:rsidRDefault="00EF6434" w:rsidP="00EF6434">
            <w:pPr>
              <w:ind w:right="165"/>
              <w:jc w:val="both"/>
              <w:rPr>
                <w:rFonts w:ascii="Arial" w:eastAsia="Times New Roman" w:hAnsi="Arial" w:cs="Arial"/>
                <w:b/>
                <w:sz w:val="22"/>
                <w:szCs w:val="22"/>
                <w:shd w:val="clear" w:color="auto" w:fill="FFFFFF"/>
                <w:lang w:val="es-ES"/>
              </w:rPr>
            </w:pPr>
            <w:r w:rsidRPr="00C0720C">
              <w:rPr>
                <w:rFonts w:ascii="Arial" w:eastAsia="Times New Roman" w:hAnsi="Arial" w:cs="Arial"/>
                <w:b/>
                <w:sz w:val="22"/>
                <w:szCs w:val="22"/>
                <w:lang w:val="es-ES"/>
              </w:rPr>
              <w:t>Pueblos Indígenas</w:t>
            </w:r>
          </w:p>
          <w:p w14:paraId="35C67BEB" w14:textId="6F809241" w:rsidR="00EF6434" w:rsidRPr="00EF6434" w:rsidRDefault="00EF6434" w:rsidP="00EF6434">
            <w:pPr>
              <w:ind w:right="165"/>
              <w:jc w:val="both"/>
              <w:rPr>
                <w:rFonts w:ascii="Arial" w:hAnsi="Arial" w:cs="Arial"/>
                <w:i/>
                <w:color w:val="000000"/>
                <w:sz w:val="18"/>
                <w:szCs w:val="18"/>
                <w:lang w:val="es-ES_tradnl"/>
              </w:rPr>
            </w:pPr>
            <w:r w:rsidRPr="00EF6434">
              <w:rPr>
                <w:rFonts w:ascii="Arial" w:eastAsia="Times New Roman" w:hAnsi="Arial" w:cs="Arial"/>
                <w:i/>
                <w:sz w:val="18"/>
                <w:szCs w:val="18"/>
                <w:lang w:val="es-ES"/>
              </w:rPr>
              <w:t>OP-765 (Política Operativa sobre Pueblos Indígenas)</w:t>
            </w:r>
          </w:p>
        </w:tc>
      </w:tr>
      <w:tr w:rsidR="00EF6434" w:rsidRPr="00E116CD" w14:paraId="013547A9"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53967CCD" w14:textId="77777777" w:rsidR="00EF6434" w:rsidRDefault="00EF6434" w:rsidP="003766E9">
            <w:pPr>
              <w:ind w:right="165"/>
              <w:jc w:val="both"/>
              <w:rPr>
                <w:rFonts w:ascii="Arial" w:hAnsi="Arial" w:cs="Arial"/>
                <w:color w:val="000000"/>
                <w:sz w:val="20"/>
                <w:szCs w:val="20"/>
                <w:lang w:val="es-ES_tradnl"/>
              </w:rPr>
            </w:pPr>
            <w:r>
              <w:rPr>
                <w:rFonts w:ascii="Arial" w:hAnsi="Arial" w:cs="Arial"/>
                <w:color w:val="000000"/>
                <w:sz w:val="20"/>
                <w:szCs w:val="20"/>
                <w:lang w:val="es-ES_tradnl"/>
              </w:rPr>
              <w:t>N/A</w:t>
            </w:r>
          </w:p>
          <w:p w14:paraId="0DDA0D1A" w14:textId="17CDF757" w:rsidR="00EF6434" w:rsidRPr="00EF6434" w:rsidRDefault="00EF6434" w:rsidP="003766E9">
            <w:pPr>
              <w:ind w:right="165"/>
              <w:jc w:val="both"/>
              <w:rPr>
                <w:rFonts w:ascii="Arial" w:hAnsi="Arial" w:cs="Arial"/>
                <w:color w:val="000000"/>
                <w:sz w:val="20"/>
                <w:szCs w:val="20"/>
                <w:lang w:val="es-ES_tradnl"/>
              </w:rPr>
            </w:pPr>
          </w:p>
        </w:tc>
      </w:tr>
      <w:tr w:rsidR="00EF6434" w:rsidRPr="005A209C" w14:paraId="34E5F17A" w14:textId="77777777" w:rsidTr="00EF6434">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tcMar>
              <w:top w:w="15" w:type="dxa"/>
              <w:left w:w="105" w:type="dxa"/>
              <w:bottom w:w="15" w:type="dxa"/>
              <w:right w:w="105" w:type="dxa"/>
            </w:tcMar>
            <w:vAlign w:val="center"/>
          </w:tcPr>
          <w:p w14:paraId="1AEF9350" w14:textId="64191097" w:rsidR="00EF6434" w:rsidRPr="00C0720C" w:rsidRDefault="001B32BF" w:rsidP="00EF6434">
            <w:pPr>
              <w:ind w:right="165"/>
              <w:jc w:val="both"/>
              <w:rPr>
                <w:rFonts w:ascii="Arial" w:eastAsia="Times New Roman" w:hAnsi="Arial" w:cs="Arial"/>
                <w:b/>
                <w:sz w:val="22"/>
                <w:szCs w:val="22"/>
                <w:shd w:val="clear" w:color="auto" w:fill="FFFFFF"/>
                <w:lang w:val="es-ES"/>
              </w:rPr>
            </w:pPr>
            <w:r>
              <w:rPr>
                <w:rFonts w:ascii="Arial" w:eastAsia="Times New Roman" w:hAnsi="Arial" w:cs="Arial"/>
                <w:b/>
                <w:sz w:val="22"/>
                <w:szCs w:val="22"/>
                <w:lang w:val="es-ES"/>
              </w:rPr>
              <w:t>Equidad</w:t>
            </w:r>
            <w:r w:rsidR="00EF6434" w:rsidRPr="00C0720C">
              <w:rPr>
                <w:rFonts w:ascii="Arial" w:eastAsia="Times New Roman" w:hAnsi="Arial" w:cs="Arial"/>
                <w:b/>
                <w:sz w:val="22"/>
                <w:szCs w:val="22"/>
                <w:lang w:val="es-ES"/>
              </w:rPr>
              <w:t xml:space="preserve"> de Género</w:t>
            </w:r>
            <w:r w:rsidR="00EF6434" w:rsidRPr="00C0720C">
              <w:rPr>
                <w:rFonts w:ascii="Arial" w:eastAsia="Times New Roman" w:hAnsi="Arial" w:cs="Arial"/>
                <w:b/>
                <w:sz w:val="22"/>
                <w:szCs w:val="22"/>
                <w:shd w:val="clear" w:color="auto" w:fill="FFFFFF"/>
                <w:lang w:val="es-ES"/>
              </w:rPr>
              <w:t xml:space="preserve"> </w:t>
            </w:r>
          </w:p>
          <w:p w14:paraId="27DF199A" w14:textId="73F330F9" w:rsidR="00EF6434" w:rsidRPr="00EF6434" w:rsidRDefault="00EF6434" w:rsidP="00EF6434">
            <w:pPr>
              <w:ind w:right="165"/>
              <w:jc w:val="both"/>
              <w:rPr>
                <w:rFonts w:ascii="Arial" w:hAnsi="Arial" w:cs="Arial"/>
                <w:i/>
                <w:color w:val="000000"/>
                <w:sz w:val="18"/>
                <w:szCs w:val="18"/>
                <w:lang w:val="es-ES_tradnl"/>
              </w:rPr>
            </w:pPr>
            <w:r w:rsidRPr="00EF6434">
              <w:rPr>
                <w:rFonts w:ascii="Arial" w:eastAsia="Times New Roman" w:hAnsi="Arial" w:cs="Arial"/>
                <w:i/>
                <w:sz w:val="18"/>
                <w:szCs w:val="18"/>
                <w:lang w:val="es-ES"/>
              </w:rPr>
              <w:t>OP-761 (Política Operativa sobre Igualdad de Género en el Desarrollo)</w:t>
            </w:r>
          </w:p>
        </w:tc>
      </w:tr>
      <w:tr w:rsidR="00EF6434" w:rsidRPr="005A209C" w14:paraId="2CCA1DF0"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60EF2A73" w14:textId="77777777" w:rsidR="00EF6434" w:rsidRDefault="001B32BF" w:rsidP="003766E9">
            <w:pPr>
              <w:ind w:right="165"/>
              <w:jc w:val="both"/>
              <w:rPr>
                <w:rFonts w:ascii="Arial" w:hAnsi="Arial" w:cs="Arial"/>
                <w:color w:val="000000"/>
                <w:sz w:val="20"/>
                <w:szCs w:val="20"/>
                <w:lang w:val="es-ES_tradnl"/>
              </w:rPr>
            </w:pPr>
            <w:r>
              <w:rPr>
                <w:rFonts w:ascii="Arial" w:hAnsi="Arial" w:cs="Arial"/>
                <w:color w:val="000000"/>
                <w:sz w:val="20"/>
                <w:szCs w:val="20"/>
                <w:lang w:val="es-ES_tradnl"/>
              </w:rPr>
              <w:t>Las</w:t>
            </w:r>
            <w:r w:rsidRPr="001B32BF">
              <w:rPr>
                <w:rFonts w:ascii="Arial" w:hAnsi="Arial" w:cs="Arial"/>
                <w:color w:val="000000"/>
                <w:sz w:val="20"/>
                <w:szCs w:val="20"/>
                <w:lang w:val="es-ES_tradnl"/>
              </w:rPr>
              <w:t xml:space="preserve"> obras adicionales a ser ejecutadas en el marco del Componente</w:t>
            </w:r>
            <w:r>
              <w:rPr>
                <w:rFonts w:ascii="Arial" w:hAnsi="Arial" w:cs="Arial"/>
                <w:color w:val="000000"/>
                <w:sz w:val="20"/>
                <w:szCs w:val="20"/>
                <w:lang w:val="es-ES_tradnl"/>
              </w:rPr>
              <w:t xml:space="preserve"> no cambiarán sustancialmente las intervenciones previstas en el mismo y no se espera que tengan impactos negativos sobre la equidad de género. </w:t>
            </w:r>
          </w:p>
          <w:p w14:paraId="4A655712" w14:textId="2C7A0A70" w:rsidR="001B32BF" w:rsidRDefault="001B32BF" w:rsidP="003766E9">
            <w:pPr>
              <w:ind w:right="165"/>
              <w:jc w:val="both"/>
              <w:rPr>
                <w:rFonts w:ascii="Arial" w:hAnsi="Arial" w:cs="Arial"/>
                <w:color w:val="000000"/>
                <w:sz w:val="20"/>
                <w:szCs w:val="20"/>
                <w:lang w:val="es-ES_tradnl"/>
              </w:rPr>
            </w:pPr>
          </w:p>
        </w:tc>
      </w:tr>
      <w:tr w:rsidR="00EF6434" w:rsidRPr="005A209C" w14:paraId="714F5082" w14:textId="77777777" w:rsidTr="00EF6434">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tcMar>
              <w:top w:w="15" w:type="dxa"/>
              <w:left w:w="105" w:type="dxa"/>
              <w:bottom w:w="15" w:type="dxa"/>
              <w:right w:w="105" w:type="dxa"/>
            </w:tcMar>
            <w:vAlign w:val="center"/>
          </w:tcPr>
          <w:p w14:paraId="305CEEF9" w14:textId="77777777" w:rsidR="00EF6434" w:rsidRPr="00C0720C" w:rsidRDefault="00EF6434" w:rsidP="00EF6434">
            <w:pPr>
              <w:ind w:right="165"/>
              <w:jc w:val="both"/>
              <w:rPr>
                <w:rFonts w:ascii="Arial" w:eastAsia="Times New Roman" w:hAnsi="Arial" w:cs="Arial"/>
                <w:b/>
                <w:sz w:val="22"/>
                <w:szCs w:val="22"/>
                <w:shd w:val="clear" w:color="auto" w:fill="FFFFFF"/>
                <w:lang w:val="es-ES"/>
              </w:rPr>
            </w:pPr>
            <w:r w:rsidRPr="00C0720C">
              <w:rPr>
                <w:rFonts w:ascii="Arial" w:eastAsia="Times New Roman" w:hAnsi="Arial" w:cs="Arial"/>
                <w:b/>
                <w:sz w:val="22"/>
                <w:szCs w:val="22"/>
                <w:lang w:val="es-ES"/>
              </w:rPr>
              <w:t>Gestión del Riesgo de Desastres</w:t>
            </w:r>
            <w:r w:rsidRPr="00C0720C">
              <w:rPr>
                <w:rFonts w:ascii="Arial" w:eastAsia="Times New Roman" w:hAnsi="Arial" w:cs="Arial"/>
                <w:b/>
                <w:sz w:val="22"/>
                <w:szCs w:val="22"/>
                <w:shd w:val="clear" w:color="auto" w:fill="FFFFFF"/>
                <w:lang w:val="es-ES"/>
              </w:rPr>
              <w:t xml:space="preserve"> </w:t>
            </w:r>
          </w:p>
          <w:p w14:paraId="76A349B3" w14:textId="7848A371" w:rsidR="00EF6434" w:rsidRPr="00EF6434" w:rsidRDefault="00EF6434" w:rsidP="00EF6434">
            <w:pPr>
              <w:ind w:right="165"/>
              <w:jc w:val="both"/>
              <w:rPr>
                <w:rFonts w:ascii="Arial" w:hAnsi="Arial" w:cs="Arial"/>
                <w:i/>
                <w:color w:val="000000"/>
                <w:sz w:val="18"/>
                <w:szCs w:val="18"/>
                <w:lang w:val="es-ES_tradnl"/>
              </w:rPr>
            </w:pPr>
            <w:r w:rsidRPr="00EF6434">
              <w:rPr>
                <w:rFonts w:ascii="Arial" w:eastAsia="Times New Roman" w:hAnsi="Arial" w:cs="Arial"/>
                <w:i/>
                <w:sz w:val="18"/>
                <w:szCs w:val="18"/>
                <w:lang w:val="es-ES"/>
              </w:rPr>
              <w:t>OP-704 (Política de Gestión del Riesgo de Desastres Naturales)</w:t>
            </w:r>
          </w:p>
        </w:tc>
      </w:tr>
      <w:tr w:rsidR="00EF6434" w:rsidRPr="005A209C" w14:paraId="26728967"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7E9DEBD2" w14:textId="77777777" w:rsidR="00EF6434" w:rsidRDefault="001B32BF" w:rsidP="003766E9">
            <w:pPr>
              <w:ind w:right="165"/>
              <w:jc w:val="both"/>
              <w:rPr>
                <w:rFonts w:ascii="Arial" w:hAnsi="Arial" w:cs="Arial"/>
                <w:color w:val="000000"/>
                <w:sz w:val="20"/>
                <w:szCs w:val="20"/>
                <w:lang w:val="es-ES_tradnl"/>
              </w:rPr>
            </w:pPr>
            <w:r>
              <w:rPr>
                <w:rFonts w:ascii="Arial" w:hAnsi="Arial" w:cs="Arial"/>
                <w:color w:val="000000"/>
                <w:sz w:val="20"/>
                <w:szCs w:val="20"/>
                <w:lang w:val="es-ES_tradnl"/>
              </w:rPr>
              <w:t>El riesgo de desastres de la operación fue categorizado como bajo.</w:t>
            </w:r>
          </w:p>
          <w:p w14:paraId="454FEE37" w14:textId="43DFDFEA" w:rsidR="001B32BF" w:rsidRDefault="001B32BF" w:rsidP="003766E9">
            <w:pPr>
              <w:ind w:right="165"/>
              <w:jc w:val="both"/>
              <w:rPr>
                <w:rFonts w:ascii="Arial" w:hAnsi="Arial" w:cs="Arial"/>
                <w:color w:val="000000"/>
                <w:sz w:val="20"/>
                <w:szCs w:val="20"/>
                <w:lang w:val="es-ES_tradnl"/>
              </w:rPr>
            </w:pPr>
          </w:p>
        </w:tc>
      </w:tr>
      <w:tr w:rsidR="00EF6434" w:rsidRPr="005A209C" w14:paraId="55F9F033" w14:textId="77777777" w:rsidTr="00E0420F">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8CCE4" w:themeFill="accent1" w:themeFillTint="66"/>
            <w:tcMar>
              <w:top w:w="15" w:type="dxa"/>
              <w:left w:w="105" w:type="dxa"/>
              <w:bottom w:w="15" w:type="dxa"/>
              <w:right w:w="105" w:type="dxa"/>
            </w:tcMar>
            <w:vAlign w:val="center"/>
          </w:tcPr>
          <w:p w14:paraId="5758E439" w14:textId="77777777" w:rsidR="00E0420F" w:rsidRPr="00C0720C" w:rsidRDefault="00E0420F" w:rsidP="00E0420F">
            <w:pPr>
              <w:ind w:right="165"/>
              <w:jc w:val="both"/>
              <w:rPr>
                <w:rFonts w:ascii="Arial" w:eastAsia="Times New Roman" w:hAnsi="Arial" w:cs="Arial"/>
                <w:b/>
                <w:sz w:val="22"/>
                <w:szCs w:val="22"/>
                <w:shd w:val="clear" w:color="auto" w:fill="FFFFFF"/>
                <w:lang w:val="es-ES"/>
              </w:rPr>
            </w:pPr>
            <w:r w:rsidRPr="00C0720C">
              <w:rPr>
                <w:rFonts w:ascii="Arial" w:eastAsia="Times New Roman" w:hAnsi="Arial" w:cs="Arial"/>
                <w:b/>
                <w:sz w:val="22"/>
                <w:szCs w:val="22"/>
                <w:lang w:val="es-ES"/>
              </w:rPr>
              <w:t>Supervisión</w:t>
            </w:r>
          </w:p>
          <w:p w14:paraId="083855EC" w14:textId="77777777" w:rsidR="00E0420F" w:rsidRPr="00E0420F" w:rsidRDefault="00E0420F" w:rsidP="00E0420F">
            <w:pPr>
              <w:ind w:right="165"/>
              <w:jc w:val="both"/>
              <w:rPr>
                <w:rFonts w:ascii="Arial" w:eastAsia="Times New Roman" w:hAnsi="Arial" w:cs="Arial"/>
                <w:i/>
                <w:sz w:val="18"/>
                <w:szCs w:val="18"/>
                <w:lang w:val="es-ES"/>
              </w:rPr>
            </w:pPr>
            <w:r w:rsidRPr="00E0420F">
              <w:rPr>
                <w:rFonts w:ascii="Arial" w:eastAsia="Times New Roman" w:hAnsi="Arial" w:cs="Arial"/>
                <w:i/>
                <w:sz w:val="18"/>
                <w:szCs w:val="18"/>
                <w:lang w:val="es-ES"/>
              </w:rPr>
              <w:lastRenderedPageBreak/>
              <w:t>OP-703 (Política de Medio Ambiente y Cumplimiento de Salvaguardias): B.5 (Requisitos de Evaluación y Planes Ambientales) y B.7 (Supervisión y Cumplimiento)</w:t>
            </w:r>
          </w:p>
          <w:p w14:paraId="7444F1D5" w14:textId="77777777" w:rsidR="00E0420F" w:rsidRPr="00E0420F" w:rsidRDefault="00E0420F" w:rsidP="00E0420F">
            <w:pPr>
              <w:ind w:right="165"/>
              <w:jc w:val="both"/>
              <w:rPr>
                <w:rFonts w:ascii="Arial" w:eastAsia="Times New Roman" w:hAnsi="Arial" w:cs="Arial"/>
                <w:i/>
                <w:sz w:val="18"/>
                <w:szCs w:val="18"/>
                <w:lang w:val="es-ES"/>
              </w:rPr>
            </w:pPr>
            <w:r w:rsidRPr="00E0420F">
              <w:rPr>
                <w:rFonts w:ascii="Arial" w:eastAsia="Times New Roman" w:hAnsi="Arial" w:cs="Arial"/>
                <w:i/>
                <w:sz w:val="18"/>
                <w:szCs w:val="18"/>
                <w:lang w:val="es-ES"/>
              </w:rPr>
              <w:t>OP-710 (Política Operativa sobre Reasentamiento Involuntario)</w:t>
            </w:r>
          </w:p>
          <w:p w14:paraId="13FE73F0" w14:textId="77777777" w:rsidR="00E0420F" w:rsidRPr="00E0420F" w:rsidRDefault="00E0420F" w:rsidP="00E0420F">
            <w:pPr>
              <w:ind w:right="165"/>
              <w:jc w:val="both"/>
              <w:rPr>
                <w:rFonts w:ascii="Arial" w:eastAsia="Times New Roman" w:hAnsi="Arial" w:cs="Arial"/>
                <w:i/>
                <w:sz w:val="18"/>
                <w:szCs w:val="18"/>
                <w:lang w:val="es-ES"/>
              </w:rPr>
            </w:pPr>
            <w:r w:rsidRPr="00E0420F">
              <w:rPr>
                <w:rFonts w:ascii="Arial" w:eastAsia="Times New Roman" w:hAnsi="Arial" w:cs="Arial"/>
                <w:i/>
                <w:sz w:val="18"/>
                <w:szCs w:val="18"/>
                <w:lang w:val="es-ES"/>
              </w:rPr>
              <w:t>OP-765 (Política Operativa sobre Pueblos Indígenas)</w:t>
            </w:r>
          </w:p>
          <w:p w14:paraId="23B285E5" w14:textId="77777777" w:rsidR="00E0420F" w:rsidRPr="00E0420F" w:rsidRDefault="00E0420F" w:rsidP="00E0420F">
            <w:pPr>
              <w:ind w:right="165"/>
              <w:jc w:val="both"/>
              <w:rPr>
                <w:rFonts w:ascii="Arial" w:eastAsia="Times New Roman" w:hAnsi="Arial" w:cs="Arial"/>
                <w:i/>
                <w:sz w:val="18"/>
                <w:szCs w:val="18"/>
                <w:lang w:val="es-ES"/>
              </w:rPr>
            </w:pPr>
            <w:r w:rsidRPr="00E0420F">
              <w:rPr>
                <w:rFonts w:ascii="Arial" w:eastAsia="Times New Roman" w:hAnsi="Arial" w:cs="Arial"/>
                <w:i/>
                <w:sz w:val="18"/>
                <w:szCs w:val="18"/>
                <w:lang w:val="es-ES"/>
              </w:rPr>
              <w:t>OP-761 (Política Operativa sobre Igualdad de Género en el Desarrollo)</w:t>
            </w:r>
          </w:p>
          <w:p w14:paraId="66FEBF33" w14:textId="12C77584" w:rsidR="00EF6434" w:rsidRDefault="00E0420F" w:rsidP="00E0420F">
            <w:pPr>
              <w:ind w:right="165"/>
              <w:jc w:val="both"/>
              <w:rPr>
                <w:rFonts w:ascii="Arial" w:hAnsi="Arial" w:cs="Arial"/>
                <w:color w:val="000000"/>
                <w:sz w:val="20"/>
                <w:szCs w:val="20"/>
                <w:lang w:val="es-ES_tradnl"/>
              </w:rPr>
            </w:pPr>
            <w:r w:rsidRPr="00E0420F">
              <w:rPr>
                <w:rFonts w:ascii="Arial" w:eastAsia="Times New Roman" w:hAnsi="Arial" w:cs="Arial"/>
                <w:i/>
                <w:sz w:val="18"/>
                <w:szCs w:val="18"/>
                <w:lang w:val="es-ES"/>
              </w:rPr>
              <w:t>OP-704 (Política de Gestión del Riesgo de Desastres Naturales)</w:t>
            </w:r>
          </w:p>
        </w:tc>
      </w:tr>
      <w:tr w:rsidR="00EF6434" w:rsidRPr="005A209C" w14:paraId="69BAF999"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vAlign w:val="center"/>
          </w:tcPr>
          <w:p w14:paraId="700DA512" w14:textId="77777777" w:rsidR="00EF6434" w:rsidRDefault="001B32BF" w:rsidP="003766E9">
            <w:pPr>
              <w:ind w:right="165"/>
              <w:jc w:val="both"/>
              <w:rPr>
                <w:rFonts w:ascii="Arial" w:hAnsi="Arial" w:cs="Arial"/>
                <w:color w:val="000000"/>
                <w:sz w:val="20"/>
                <w:szCs w:val="20"/>
                <w:lang w:val="es-ES_tradnl"/>
              </w:rPr>
            </w:pPr>
            <w:r>
              <w:rPr>
                <w:rFonts w:ascii="Arial" w:hAnsi="Arial" w:cs="Arial"/>
                <w:color w:val="000000"/>
                <w:sz w:val="20"/>
                <w:szCs w:val="20"/>
                <w:lang w:val="es-ES_tradnl"/>
              </w:rPr>
              <w:lastRenderedPageBreak/>
              <w:t>Se seguirán aplicando los procedimientos de supervisión aplicados por el Banco al proyecto PR-L1044 y al Componente I en particular.</w:t>
            </w:r>
          </w:p>
          <w:p w14:paraId="6370640C" w14:textId="00A5B497" w:rsidR="001B32BF" w:rsidRDefault="001B32BF" w:rsidP="003766E9">
            <w:pPr>
              <w:ind w:right="165"/>
              <w:jc w:val="both"/>
              <w:rPr>
                <w:rFonts w:ascii="Arial" w:hAnsi="Arial" w:cs="Arial"/>
                <w:color w:val="000000"/>
                <w:sz w:val="20"/>
                <w:szCs w:val="20"/>
                <w:lang w:val="es-ES_tradnl"/>
              </w:rPr>
            </w:pPr>
          </w:p>
        </w:tc>
      </w:tr>
      <w:tr w:rsidR="003766E9" w:rsidRPr="00C0720C" w14:paraId="04C2CD9B" w14:textId="77777777" w:rsidTr="35BB1C2C">
        <w:trPr>
          <w:trHeight w:val="402"/>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15" w:type="dxa"/>
              <w:left w:w="105" w:type="dxa"/>
              <w:bottom w:w="15" w:type="dxa"/>
              <w:right w:w="105" w:type="dxa"/>
            </w:tcMar>
            <w:vAlign w:val="center"/>
            <w:hideMark/>
          </w:tcPr>
          <w:p w14:paraId="43E008EA" w14:textId="707F62E1" w:rsidR="003766E9" w:rsidRPr="00C0720C" w:rsidRDefault="003766E9" w:rsidP="003766E9">
            <w:pPr>
              <w:rPr>
                <w:rFonts w:ascii="Arial" w:eastAsia="Times New Roman" w:hAnsi="Arial" w:cs="Arial"/>
                <w:b/>
                <w:bCs/>
                <w:sz w:val="22"/>
                <w:szCs w:val="22"/>
                <w:lang w:val="es-ES"/>
              </w:rPr>
            </w:pPr>
            <w:r w:rsidRPr="006E69FC">
              <w:rPr>
                <w:rFonts w:ascii="Arial" w:eastAsia="Times New Roman" w:hAnsi="Arial" w:cs="Arial"/>
                <w:b/>
                <w:bCs/>
                <w:sz w:val="22"/>
                <w:szCs w:val="22"/>
                <w:lang w:val="es-ES"/>
              </w:rPr>
              <w:t>Requisitos Legales</w:t>
            </w:r>
            <w:r w:rsidRPr="00C0720C">
              <w:rPr>
                <w:rFonts w:ascii="Arial" w:eastAsia="Times New Roman" w:hAnsi="Arial" w:cs="Arial"/>
                <w:b/>
                <w:bCs/>
                <w:sz w:val="22"/>
                <w:szCs w:val="22"/>
                <w:lang w:val="es-ES"/>
              </w:rPr>
              <w:t xml:space="preserve"> </w:t>
            </w:r>
          </w:p>
        </w:tc>
      </w:tr>
      <w:tr w:rsidR="003766E9" w:rsidRPr="005A209C" w14:paraId="75183872" w14:textId="77777777" w:rsidTr="35BB1C2C">
        <w:trPr>
          <w:trHeight w:val="236"/>
        </w:trPr>
        <w:tc>
          <w:tcPr>
            <w:tcW w:w="99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05" w:type="dxa"/>
              <w:bottom w:w="15" w:type="dxa"/>
              <w:right w:w="105" w:type="dxa"/>
            </w:tcMar>
            <w:hideMark/>
          </w:tcPr>
          <w:p w14:paraId="49E0135E" w14:textId="672E61CD" w:rsidR="001B32BF" w:rsidRDefault="001B32BF" w:rsidP="003766E9">
            <w:pPr>
              <w:rPr>
                <w:rFonts w:ascii="Arial" w:hAnsi="Arial" w:cs="Arial"/>
                <w:sz w:val="20"/>
                <w:szCs w:val="20"/>
                <w:shd w:val="clear" w:color="auto" w:fill="FFFFFF"/>
                <w:lang w:val="es-ES"/>
              </w:rPr>
            </w:pPr>
            <w:r>
              <w:rPr>
                <w:rFonts w:ascii="Arial" w:hAnsi="Arial" w:cs="Arial"/>
                <w:sz w:val="20"/>
                <w:szCs w:val="20"/>
                <w:shd w:val="clear" w:color="auto" w:fill="FFFFFF"/>
                <w:lang w:val="es-ES"/>
              </w:rPr>
              <w:t xml:space="preserve">El alcance y naturaleza de las obras adicionales a ser ejecutadas en el marco del Componente I del PR-L1044 no requieren de la inclusión de nuevos requisitos legales </w:t>
            </w:r>
            <w:r w:rsidR="006D7AD5">
              <w:rPr>
                <w:rFonts w:ascii="Arial" w:hAnsi="Arial" w:cs="Arial"/>
                <w:sz w:val="20"/>
                <w:szCs w:val="20"/>
                <w:shd w:val="clear" w:color="auto" w:fill="FFFFFF"/>
                <w:lang w:val="es-ES"/>
              </w:rPr>
              <w:t>en los documentos legales adicionales a aquellos de la operación original.</w:t>
            </w:r>
          </w:p>
          <w:p w14:paraId="35DCDD07" w14:textId="3426A6F7" w:rsidR="003766E9" w:rsidRPr="001B32BF" w:rsidRDefault="001B32BF" w:rsidP="003766E9">
            <w:pPr>
              <w:rPr>
                <w:rFonts w:ascii="Arial" w:hAnsi="Arial" w:cs="Arial"/>
                <w:sz w:val="20"/>
                <w:szCs w:val="20"/>
                <w:shd w:val="clear" w:color="auto" w:fill="FFFFFF"/>
                <w:lang w:val="es-ES"/>
              </w:rPr>
            </w:pPr>
            <w:r w:rsidRPr="001B32BF">
              <w:rPr>
                <w:rFonts w:ascii="Arial" w:hAnsi="Arial" w:cs="Arial"/>
                <w:sz w:val="20"/>
                <w:szCs w:val="20"/>
                <w:shd w:val="clear" w:color="auto" w:fill="FFFFFF"/>
                <w:lang w:val="es-ES"/>
              </w:rPr>
              <w:t xml:space="preserve"> </w:t>
            </w:r>
          </w:p>
        </w:tc>
      </w:tr>
    </w:tbl>
    <w:p w14:paraId="75507543" w14:textId="4AA594F6" w:rsidR="00BF0DF9" w:rsidRPr="00C0720C" w:rsidRDefault="00BF0DF9" w:rsidP="006F1EE3">
      <w:pPr>
        <w:widowControl w:val="0"/>
        <w:autoSpaceDE w:val="0"/>
        <w:autoSpaceDN w:val="0"/>
        <w:adjustRightInd w:val="0"/>
        <w:ind w:right="-720"/>
        <w:jc w:val="center"/>
        <w:rPr>
          <w:rFonts w:ascii="Arial" w:hAnsi="Arial" w:cs="Arial"/>
          <w:bCs/>
          <w:sz w:val="20"/>
          <w:szCs w:val="20"/>
          <w:lang w:val="es-ES"/>
        </w:rPr>
      </w:pPr>
    </w:p>
    <w:sectPr w:rsidR="00BF0DF9" w:rsidRPr="00C0720C" w:rsidSect="00714D97">
      <w:headerReference w:type="default" r:id="rId16"/>
      <w:footerReference w:type="default" r:id="rId17"/>
      <w:pgSz w:w="12240" w:h="15840"/>
      <w:pgMar w:top="1440" w:right="180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1337" w14:textId="77777777" w:rsidR="00D12DC1" w:rsidRDefault="00D12DC1" w:rsidP="00953C33">
      <w:r>
        <w:separator/>
      </w:r>
    </w:p>
  </w:endnote>
  <w:endnote w:type="continuationSeparator" w:id="0">
    <w:p w14:paraId="1A6B859E" w14:textId="77777777" w:rsidR="00D12DC1" w:rsidRDefault="00D12DC1" w:rsidP="00953C33">
      <w:r>
        <w:continuationSeparator/>
      </w:r>
    </w:p>
  </w:endnote>
  <w:endnote w:type="continuationNotice" w:id="1">
    <w:p w14:paraId="3A866CED" w14:textId="77777777" w:rsidR="00D12DC1" w:rsidRDefault="00D12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D081" w14:textId="1FC63EB6" w:rsidR="006026AF" w:rsidRPr="006F1EE3" w:rsidRDefault="006026AF" w:rsidP="006F1EE3">
    <w:pPr>
      <w:pStyle w:val="Footer"/>
      <w:rPr>
        <w:sz w:val="18"/>
        <w:szCs w:val="18"/>
        <w:lang w:val="es-ES_tradnl"/>
      </w:rPr>
    </w:pPr>
    <w:r>
      <w:rPr>
        <w:sz w:val="18"/>
        <w:szCs w:val="18"/>
        <w:lang w:val="es-ES_tradnl"/>
      </w:rPr>
      <w:t>Informe de Gestión Ambiental y Social (IGAS)</w:t>
    </w:r>
    <w:r>
      <w:rPr>
        <w:sz w:val="18"/>
        <w:szCs w:val="18"/>
        <w:lang w:val="es-ES_tradnl"/>
      </w:rPr>
      <w:tab/>
    </w:r>
    <w:sdt>
      <w:sdtPr>
        <w:id w:val="1528832343"/>
        <w:docPartObj>
          <w:docPartGallery w:val="Page Numbers (Bottom of Page)"/>
          <w:docPartUnique/>
        </w:docPartObj>
      </w:sdtPr>
      <w:sdtEndPr>
        <w:rPr>
          <w:noProof/>
          <w:sz w:val="18"/>
          <w:szCs w:val="18"/>
        </w:rPr>
      </w:sdtEndPr>
      <w:sdtContent>
        <w:r w:rsidRPr="006F1EE3">
          <w:rPr>
            <w:sz w:val="18"/>
            <w:szCs w:val="18"/>
          </w:rPr>
          <w:fldChar w:fldCharType="begin"/>
        </w:r>
        <w:r w:rsidRPr="006F1EE3">
          <w:rPr>
            <w:sz w:val="18"/>
            <w:szCs w:val="18"/>
            <w:lang w:val="es-ES_tradnl"/>
          </w:rPr>
          <w:instrText xml:space="preserve"> PAGE   \* MERGEFORMAT </w:instrText>
        </w:r>
        <w:r w:rsidRPr="006F1EE3">
          <w:rPr>
            <w:sz w:val="18"/>
            <w:szCs w:val="18"/>
          </w:rPr>
          <w:fldChar w:fldCharType="separate"/>
        </w:r>
        <w:r w:rsidR="00CD1A3C">
          <w:rPr>
            <w:noProof/>
            <w:sz w:val="18"/>
            <w:szCs w:val="18"/>
            <w:lang w:val="es-ES_tradnl"/>
          </w:rPr>
          <w:t>6</w:t>
        </w:r>
        <w:r w:rsidRPr="006F1EE3">
          <w:rPr>
            <w:noProof/>
            <w:sz w:val="18"/>
            <w:szCs w:val="18"/>
          </w:rPr>
          <w:fldChar w:fldCharType="end"/>
        </w:r>
      </w:sdtContent>
    </w:sdt>
  </w:p>
  <w:p w14:paraId="73139C11" w14:textId="2D55D0BE" w:rsidR="006026AF" w:rsidRPr="00B50B6C" w:rsidRDefault="006026AF" w:rsidP="00B757F7">
    <w:pPr>
      <w:pStyle w:val="Footer"/>
      <w:jc w:val="center"/>
      <w:rPr>
        <w:sz w:val="18"/>
        <w:szCs w:val="18"/>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D6C7" w14:textId="77777777" w:rsidR="00D12DC1" w:rsidRDefault="00D12DC1" w:rsidP="00953C33">
      <w:r>
        <w:separator/>
      </w:r>
    </w:p>
  </w:footnote>
  <w:footnote w:type="continuationSeparator" w:id="0">
    <w:p w14:paraId="29D01721" w14:textId="77777777" w:rsidR="00D12DC1" w:rsidRDefault="00D12DC1" w:rsidP="00953C33">
      <w:r>
        <w:continuationSeparator/>
      </w:r>
    </w:p>
  </w:footnote>
  <w:footnote w:type="continuationNotice" w:id="1">
    <w:p w14:paraId="33700132" w14:textId="77777777" w:rsidR="00D12DC1" w:rsidRDefault="00D12DC1"/>
  </w:footnote>
  <w:footnote w:id="2">
    <w:p w14:paraId="60ADB114" w14:textId="05FEC30C" w:rsidR="005342CE" w:rsidRDefault="005342CE">
      <w:pPr>
        <w:pStyle w:val="FootnoteText"/>
      </w:pPr>
      <w:r>
        <w:rPr>
          <w:rStyle w:val="FootnoteReference"/>
        </w:rPr>
        <w:footnoteRef/>
      </w:r>
      <w:r>
        <w:t xml:space="preserve"> </w:t>
      </w:r>
      <w:r w:rsidRPr="005342CE">
        <w:rPr>
          <w:sz w:val="20"/>
          <w:szCs w:val="20"/>
        </w:rPr>
        <w:t>http://www.iadb.org/Document.cfm?id=EZSHARE-448177878-79</w:t>
      </w:r>
    </w:p>
  </w:footnote>
  <w:footnote w:id="3">
    <w:p w14:paraId="04AFA376" w14:textId="5C1FB15F" w:rsidR="005342CE" w:rsidRDefault="005342CE">
      <w:pPr>
        <w:pStyle w:val="FootnoteText"/>
      </w:pPr>
      <w:r>
        <w:rPr>
          <w:rStyle w:val="FootnoteReference"/>
        </w:rPr>
        <w:footnoteRef/>
      </w:r>
      <w:r>
        <w:t xml:space="preserve"> </w:t>
      </w:r>
      <w:r w:rsidRPr="005342CE">
        <w:rPr>
          <w:sz w:val="20"/>
          <w:szCs w:val="20"/>
        </w:rPr>
        <w:t>http://www.iadb.org/Document.cfm?id=EZSHARE-448177878-76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0B4E" w14:textId="79FED45C" w:rsidR="006026AF" w:rsidRDefault="006026AF" w:rsidP="005354FC">
    <w:pPr>
      <w:pStyle w:val="Header"/>
      <w:pBdr>
        <w:bottom w:val="single" w:sz="6" w:space="2" w:color="auto"/>
      </w:pBdr>
      <w:tabs>
        <w:tab w:val="clear" w:pos="4320"/>
        <w:tab w:val="clear" w:pos="8640"/>
        <w:tab w:val="left" w:pos="4019"/>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7307644"/>
    <w:multiLevelType w:val="hybridMultilevel"/>
    <w:tmpl w:val="30DCDF62"/>
    <w:lvl w:ilvl="0" w:tplc="8EFCDE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C2E30"/>
    <w:multiLevelType w:val="hybridMultilevel"/>
    <w:tmpl w:val="631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82515"/>
    <w:multiLevelType w:val="hybridMultilevel"/>
    <w:tmpl w:val="9A16D95C"/>
    <w:lvl w:ilvl="0" w:tplc="B0E4CC9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0DAB7FC9"/>
    <w:multiLevelType w:val="multilevel"/>
    <w:tmpl w:val="35288D7C"/>
    <w:lvl w:ilvl="0">
      <w:start w:val="1"/>
      <w:numFmt w:val="upperRoman"/>
      <w:lvlText w:val="%1."/>
      <w:lvlJc w:val="center"/>
      <w:pPr>
        <w:tabs>
          <w:tab w:val="num" w:pos="4680"/>
        </w:tabs>
        <w:ind w:left="4032" w:firstLine="288"/>
      </w:pPr>
      <w:rPr>
        <w:b/>
        <w:i w:val="0"/>
      </w:rPr>
    </w:lvl>
    <w:lvl w:ilvl="1">
      <w:start w:val="1"/>
      <w:numFmt w:val="decimal"/>
      <w:isLgl/>
      <w:lvlText w:val="%1.%2"/>
      <w:lvlJc w:val="left"/>
      <w:pPr>
        <w:tabs>
          <w:tab w:val="num" w:pos="1476"/>
        </w:tabs>
        <w:ind w:left="1476" w:hanging="1296"/>
      </w:pPr>
      <w:rPr>
        <w:b w:val="0"/>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2736"/>
        </w:tabs>
        <w:ind w:left="2736" w:hanging="288"/>
      </w:pPr>
    </w:lvl>
    <w:lvl w:ilvl="4">
      <w:start w:val="1"/>
      <w:numFmt w:val="decimal"/>
      <w:lvlText w:val="%1.%2.%3.%4.%5"/>
      <w:lvlJc w:val="left"/>
      <w:pPr>
        <w:tabs>
          <w:tab w:val="num" w:pos="2160"/>
        </w:tabs>
        <w:ind w:left="2160" w:hanging="1008"/>
      </w:pPr>
    </w:lvl>
    <w:lvl w:ilvl="5">
      <w:start w:val="1"/>
      <w:numFmt w:val="decimal"/>
      <w:lvlText w:val="%1.%2.%3.%4.%5.%6"/>
      <w:lvlJc w:val="left"/>
      <w:pPr>
        <w:tabs>
          <w:tab w:val="num" w:pos="2304"/>
        </w:tabs>
        <w:ind w:left="2304" w:hanging="1152"/>
      </w:pPr>
    </w:lvl>
    <w:lvl w:ilvl="6">
      <w:start w:val="1"/>
      <w:numFmt w:val="decimal"/>
      <w:lvlText w:val="%1.%2.%3.%4.%5.%6.%7"/>
      <w:lvlJc w:val="left"/>
      <w:pPr>
        <w:tabs>
          <w:tab w:val="num" w:pos="2448"/>
        </w:tabs>
        <w:ind w:left="2448" w:hanging="1296"/>
      </w:pPr>
    </w:lvl>
    <w:lvl w:ilvl="7">
      <w:start w:val="1"/>
      <w:numFmt w:val="decimal"/>
      <w:lvlText w:val="%1.%2.%3.%4.%5.%6.%7.%8"/>
      <w:lvlJc w:val="left"/>
      <w:pPr>
        <w:tabs>
          <w:tab w:val="num" w:pos="2592"/>
        </w:tabs>
        <w:ind w:left="2592" w:hanging="1440"/>
      </w:pPr>
    </w:lvl>
    <w:lvl w:ilvl="8">
      <w:start w:val="1"/>
      <w:numFmt w:val="decimal"/>
      <w:lvlText w:val="%1.%2.%3.%4.%5.%6.%7.%8.%9"/>
      <w:lvlJc w:val="left"/>
      <w:pPr>
        <w:tabs>
          <w:tab w:val="num" w:pos="2736"/>
        </w:tabs>
        <w:ind w:left="2736" w:hanging="1584"/>
      </w:pPr>
    </w:lvl>
  </w:abstractNum>
  <w:abstractNum w:abstractNumId="5" w15:restartNumberingAfterBreak="0">
    <w:nsid w:val="0FD93333"/>
    <w:multiLevelType w:val="hybridMultilevel"/>
    <w:tmpl w:val="C5DA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47042"/>
    <w:multiLevelType w:val="hybridMultilevel"/>
    <w:tmpl w:val="DC424E24"/>
    <w:lvl w:ilvl="0" w:tplc="B478F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34727"/>
    <w:multiLevelType w:val="hybridMultilevel"/>
    <w:tmpl w:val="9A16D95C"/>
    <w:lvl w:ilvl="0" w:tplc="B0E4CC9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15:restartNumberingAfterBreak="0">
    <w:nsid w:val="176C3511"/>
    <w:multiLevelType w:val="hybridMultilevel"/>
    <w:tmpl w:val="7046C50E"/>
    <w:lvl w:ilvl="0" w:tplc="F26015F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183A2963"/>
    <w:multiLevelType w:val="hybridMultilevel"/>
    <w:tmpl w:val="694E2C84"/>
    <w:lvl w:ilvl="0" w:tplc="B8F2C064">
      <w:start w:val="1"/>
      <w:numFmt w:val="bullet"/>
      <w:lvlText w:val=""/>
      <w:lvlJc w:val="left"/>
      <w:pPr>
        <w:ind w:left="720" w:hanging="360"/>
      </w:pPr>
      <w:rPr>
        <w:rFonts w:ascii="Symbol" w:hAnsi="Symbol" w:hint="default"/>
        <w:lang w:val="es-AR"/>
      </w:rPr>
    </w:lvl>
    <w:lvl w:ilvl="1" w:tplc="32A8D7F4">
      <w:start w:val="1"/>
      <w:numFmt w:val="bullet"/>
      <w:lvlText w:val="o"/>
      <w:lvlJc w:val="left"/>
      <w:pPr>
        <w:ind w:left="1440" w:hanging="360"/>
      </w:pPr>
      <w:rPr>
        <w:rFonts w:ascii="Courier New" w:hAnsi="Courier New" w:cs="Courier New" w:hint="default"/>
        <w:lang w:val="es-A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61D38"/>
    <w:multiLevelType w:val="hybridMultilevel"/>
    <w:tmpl w:val="6918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B4AD8"/>
    <w:multiLevelType w:val="hybridMultilevel"/>
    <w:tmpl w:val="98127300"/>
    <w:lvl w:ilvl="0" w:tplc="394C96E6">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B0E4B"/>
    <w:multiLevelType w:val="hybridMultilevel"/>
    <w:tmpl w:val="9C841AC6"/>
    <w:lvl w:ilvl="0" w:tplc="E79C00EC">
      <w:start w:val="8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27B27"/>
    <w:multiLevelType w:val="hybridMultilevel"/>
    <w:tmpl w:val="A8E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0783D"/>
    <w:multiLevelType w:val="hybridMultilevel"/>
    <w:tmpl w:val="2EAE3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4612C"/>
    <w:multiLevelType w:val="hybridMultilevel"/>
    <w:tmpl w:val="D56E97B0"/>
    <w:lvl w:ilvl="0" w:tplc="CFB03B20">
      <w:start w:val="1"/>
      <w:numFmt w:val="lowerRoman"/>
      <w:lvlText w:val="(%1)"/>
      <w:lvlJc w:val="left"/>
      <w:pPr>
        <w:ind w:left="1800" w:hanging="720"/>
      </w:pPr>
      <w:rPr>
        <w:rFonts w:hint="default"/>
        <w:lang w:val="es-A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CC6211"/>
    <w:multiLevelType w:val="hybridMultilevel"/>
    <w:tmpl w:val="9FC012CA"/>
    <w:lvl w:ilvl="0" w:tplc="91F6F4D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15:restartNumberingAfterBreak="0">
    <w:nsid w:val="391C1DF1"/>
    <w:multiLevelType w:val="hybridMultilevel"/>
    <w:tmpl w:val="F5CE64C8"/>
    <w:lvl w:ilvl="0" w:tplc="DBA261CE">
      <w:start w:val="1"/>
      <w:numFmt w:val="bullet"/>
      <w:lvlText w:val=""/>
      <w:lvlJc w:val="left"/>
      <w:pPr>
        <w:ind w:left="720" w:hanging="360"/>
      </w:pPr>
      <w:rPr>
        <w:rFonts w:ascii="Symbol" w:hAnsi="Symbol" w:hint="default"/>
        <w:lang w:val="es-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C383B"/>
    <w:multiLevelType w:val="hybridMultilevel"/>
    <w:tmpl w:val="C9C28C5A"/>
    <w:lvl w:ilvl="0" w:tplc="9210D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E772D"/>
    <w:multiLevelType w:val="hybridMultilevel"/>
    <w:tmpl w:val="B9E666D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70973"/>
    <w:multiLevelType w:val="hybridMultilevel"/>
    <w:tmpl w:val="9ABC9744"/>
    <w:lvl w:ilvl="0" w:tplc="A07052B6">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1" w15:restartNumberingAfterBreak="0">
    <w:nsid w:val="57482F6E"/>
    <w:multiLevelType w:val="hybridMultilevel"/>
    <w:tmpl w:val="9E408402"/>
    <w:lvl w:ilvl="0" w:tplc="04090001">
      <w:start w:val="1"/>
      <w:numFmt w:val="bullet"/>
      <w:lvlText w:val=""/>
      <w:lvlJc w:val="left"/>
      <w:pPr>
        <w:ind w:left="720" w:hanging="360"/>
      </w:pPr>
      <w:rPr>
        <w:rFonts w:ascii="Symbol" w:hAnsi="Symbol" w:hint="default"/>
      </w:rPr>
    </w:lvl>
    <w:lvl w:ilvl="1" w:tplc="205824DE">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65320"/>
    <w:multiLevelType w:val="hybridMultilevel"/>
    <w:tmpl w:val="5BCC1B80"/>
    <w:lvl w:ilvl="0" w:tplc="DB6C40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74102"/>
    <w:multiLevelType w:val="hybridMultilevel"/>
    <w:tmpl w:val="9FC012CA"/>
    <w:lvl w:ilvl="0" w:tplc="91F6F4D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4" w15:restartNumberingAfterBreak="0">
    <w:nsid w:val="60E33AA7"/>
    <w:multiLevelType w:val="hybridMultilevel"/>
    <w:tmpl w:val="ECCCFC80"/>
    <w:lvl w:ilvl="0" w:tplc="DAA6CA3C">
      <w:start w:val="8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6118B"/>
    <w:multiLevelType w:val="hybridMultilevel"/>
    <w:tmpl w:val="52D07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1032B"/>
    <w:multiLevelType w:val="hybridMultilevel"/>
    <w:tmpl w:val="87568C4C"/>
    <w:lvl w:ilvl="0" w:tplc="A692CA18">
      <w:numFmt w:val="bullet"/>
      <w:lvlText w:val="-"/>
      <w:lvlJc w:val="left"/>
      <w:pPr>
        <w:ind w:left="720" w:hanging="360"/>
      </w:pPr>
      <w:rPr>
        <w:rFonts w:ascii="Arial" w:eastAsiaTheme="minorHAnsi"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E3CA6"/>
    <w:multiLevelType w:val="hybridMultilevel"/>
    <w:tmpl w:val="BE9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762C7"/>
    <w:multiLevelType w:val="hybridMultilevel"/>
    <w:tmpl w:val="7046C50E"/>
    <w:lvl w:ilvl="0" w:tplc="F26015F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9" w15:restartNumberingAfterBreak="0">
    <w:nsid w:val="77722B2F"/>
    <w:multiLevelType w:val="hybridMultilevel"/>
    <w:tmpl w:val="D8467AF4"/>
    <w:lvl w:ilvl="0" w:tplc="5CACC5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324B6"/>
    <w:multiLevelType w:val="hybridMultilevel"/>
    <w:tmpl w:val="9FC012CA"/>
    <w:lvl w:ilvl="0" w:tplc="91F6F4D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15:restartNumberingAfterBreak="0">
    <w:nsid w:val="798710BA"/>
    <w:multiLevelType w:val="hybridMultilevel"/>
    <w:tmpl w:val="A61E64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50995"/>
    <w:multiLevelType w:val="hybridMultilevel"/>
    <w:tmpl w:val="9ABC9744"/>
    <w:lvl w:ilvl="0" w:tplc="A07052B6">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3" w15:restartNumberingAfterBreak="0">
    <w:nsid w:val="7B0F2FA9"/>
    <w:multiLevelType w:val="hybridMultilevel"/>
    <w:tmpl w:val="44FE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70C79"/>
    <w:multiLevelType w:val="hybridMultilevel"/>
    <w:tmpl w:val="9ABC9744"/>
    <w:lvl w:ilvl="0" w:tplc="A07052B6">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num w:numId="1">
    <w:abstractNumId w:val="0"/>
  </w:num>
  <w:num w:numId="2">
    <w:abstractNumId w:val="9"/>
  </w:num>
  <w:num w:numId="3">
    <w:abstractNumId w:val="15"/>
  </w:num>
  <w:num w:numId="4">
    <w:abstractNumId w:val="11"/>
  </w:num>
  <w:num w:numId="5">
    <w:abstractNumId w:val="17"/>
  </w:num>
  <w:num w:numId="6">
    <w:abstractNumId w:val="25"/>
  </w:num>
  <w:num w:numId="7">
    <w:abstractNumId w:val="5"/>
  </w:num>
  <w:num w:numId="8">
    <w:abstractNumId w:val="31"/>
  </w:num>
  <w:num w:numId="9">
    <w:abstractNumId w:val="21"/>
  </w:num>
  <w:num w:numId="10">
    <w:abstractNumId w:val="14"/>
  </w:num>
  <w:num w:numId="11">
    <w:abstractNumId w:val="2"/>
  </w:num>
  <w:num w:numId="12">
    <w:abstractNumId w:val="33"/>
  </w:num>
  <w:num w:numId="13">
    <w:abstractNumId w:val="19"/>
  </w:num>
  <w:num w:numId="14">
    <w:abstractNumId w:val="10"/>
  </w:num>
  <w:num w:numId="15">
    <w:abstractNumId w:val="34"/>
  </w:num>
  <w:num w:numId="16">
    <w:abstractNumId w:val="20"/>
  </w:num>
  <w:num w:numId="17">
    <w:abstractNumId w:val="32"/>
  </w:num>
  <w:num w:numId="18">
    <w:abstractNumId w:val="2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24"/>
  </w:num>
  <w:num w:numId="23">
    <w:abstractNumId w:val="12"/>
  </w:num>
  <w:num w:numId="24">
    <w:abstractNumId w:val="1"/>
  </w:num>
  <w:num w:numId="25">
    <w:abstractNumId w:val="26"/>
  </w:num>
  <w:num w:numId="26">
    <w:abstractNumId w:val="29"/>
  </w:num>
  <w:num w:numId="27">
    <w:abstractNumId w:val="8"/>
  </w:num>
  <w:num w:numId="28">
    <w:abstractNumId w:val="7"/>
  </w:num>
  <w:num w:numId="29">
    <w:abstractNumId w:val="30"/>
  </w:num>
  <w:num w:numId="30">
    <w:abstractNumId w:val="28"/>
  </w:num>
  <w:num w:numId="31">
    <w:abstractNumId w:val="3"/>
  </w:num>
  <w:num w:numId="32">
    <w:abstractNumId w:val="16"/>
  </w:num>
  <w:num w:numId="33">
    <w:abstractNumId w:val="23"/>
  </w:num>
  <w:num w:numId="34">
    <w:abstractNumId w:val="18"/>
  </w:num>
  <w:num w:numId="35">
    <w:abstractNumId w:val="6"/>
  </w:num>
  <w:num w:numId="3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0E"/>
    <w:rsid w:val="000029A2"/>
    <w:rsid w:val="00004DEE"/>
    <w:rsid w:val="000074D7"/>
    <w:rsid w:val="0001028B"/>
    <w:rsid w:val="00010664"/>
    <w:rsid w:val="00014D21"/>
    <w:rsid w:val="000163DC"/>
    <w:rsid w:val="0001741B"/>
    <w:rsid w:val="000256E3"/>
    <w:rsid w:val="000320CB"/>
    <w:rsid w:val="00036909"/>
    <w:rsid w:val="00040094"/>
    <w:rsid w:val="00040371"/>
    <w:rsid w:val="000439F2"/>
    <w:rsid w:val="00044E39"/>
    <w:rsid w:val="0004637E"/>
    <w:rsid w:val="00054E66"/>
    <w:rsid w:val="00056EE2"/>
    <w:rsid w:val="000616C0"/>
    <w:rsid w:val="00066214"/>
    <w:rsid w:val="00066280"/>
    <w:rsid w:val="00067164"/>
    <w:rsid w:val="00067751"/>
    <w:rsid w:val="000709EE"/>
    <w:rsid w:val="00076E4F"/>
    <w:rsid w:val="00080079"/>
    <w:rsid w:val="0008190C"/>
    <w:rsid w:val="000840FB"/>
    <w:rsid w:val="00087F48"/>
    <w:rsid w:val="000904E1"/>
    <w:rsid w:val="000907E3"/>
    <w:rsid w:val="00091111"/>
    <w:rsid w:val="000A019A"/>
    <w:rsid w:val="000A16DD"/>
    <w:rsid w:val="000A20D3"/>
    <w:rsid w:val="000A421F"/>
    <w:rsid w:val="000B45A2"/>
    <w:rsid w:val="000B5B2B"/>
    <w:rsid w:val="000C15CB"/>
    <w:rsid w:val="000D6947"/>
    <w:rsid w:val="000E1632"/>
    <w:rsid w:val="000E6A33"/>
    <w:rsid w:val="000F2A9E"/>
    <w:rsid w:val="000F2C15"/>
    <w:rsid w:val="000F409A"/>
    <w:rsid w:val="000F62C5"/>
    <w:rsid w:val="000F7292"/>
    <w:rsid w:val="0010067A"/>
    <w:rsid w:val="00101661"/>
    <w:rsid w:val="001031FC"/>
    <w:rsid w:val="0010568A"/>
    <w:rsid w:val="001063A3"/>
    <w:rsid w:val="00107057"/>
    <w:rsid w:val="00122626"/>
    <w:rsid w:val="00122A70"/>
    <w:rsid w:val="00127238"/>
    <w:rsid w:val="00135CDF"/>
    <w:rsid w:val="00136453"/>
    <w:rsid w:val="0013691E"/>
    <w:rsid w:val="001437F5"/>
    <w:rsid w:val="00147412"/>
    <w:rsid w:val="00152384"/>
    <w:rsid w:val="00162BA6"/>
    <w:rsid w:val="00165F74"/>
    <w:rsid w:val="00170727"/>
    <w:rsid w:val="00175AD2"/>
    <w:rsid w:val="00180AAC"/>
    <w:rsid w:val="00182417"/>
    <w:rsid w:val="00183BA5"/>
    <w:rsid w:val="00186BF5"/>
    <w:rsid w:val="00186F40"/>
    <w:rsid w:val="00195A9A"/>
    <w:rsid w:val="001A33FA"/>
    <w:rsid w:val="001A5688"/>
    <w:rsid w:val="001B11C3"/>
    <w:rsid w:val="001B210B"/>
    <w:rsid w:val="001B2F0E"/>
    <w:rsid w:val="001B32BF"/>
    <w:rsid w:val="001C1502"/>
    <w:rsid w:val="001C38FF"/>
    <w:rsid w:val="001C3F41"/>
    <w:rsid w:val="001C3FCC"/>
    <w:rsid w:val="001C57BE"/>
    <w:rsid w:val="001C5972"/>
    <w:rsid w:val="001C6E58"/>
    <w:rsid w:val="001D3040"/>
    <w:rsid w:val="001D350E"/>
    <w:rsid w:val="001D5036"/>
    <w:rsid w:val="001D7E4F"/>
    <w:rsid w:val="001E0D57"/>
    <w:rsid w:val="001E40BC"/>
    <w:rsid w:val="001E5708"/>
    <w:rsid w:val="001F24A6"/>
    <w:rsid w:val="001F2980"/>
    <w:rsid w:val="0020183C"/>
    <w:rsid w:val="00206D50"/>
    <w:rsid w:val="00212AEB"/>
    <w:rsid w:val="00217A9C"/>
    <w:rsid w:val="00224313"/>
    <w:rsid w:val="00224C01"/>
    <w:rsid w:val="002279B4"/>
    <w:rsid w:val="00232101"/>
    <w:rsid w:val="002326BC"/>
    <w:rsid w:val="00232DCD"/>
    <w:rsid w:val="002356BF"/>
    <w:rsid w:val="00236D91"/>
    <w:rsid w:val="00240B00"/>
    <w:rsid w:val="00240F56"/>
    <w:rsid w:val="002426D9"/>
    <w:rsid w:val="00242970"/>
    <w:rsid w:val="00243F29"/>
    <w:rsid w:val="00245EEB"/>
    <w:rsid w:val="0024716F"/>
    <w:rsid w:val="002546DB"/>
    <w:rsid w:val="0026026D"/>
    <w:rsid w:val="00260F0E"/>
    <w:rsid w:val="00263835"/>
    <w:rsid w:val="00263C20"/>
    <w:rsid w:val="002652D1"/>
    <w:rsid w:val="00267C2D"/>
    <w:rsid w:val="00270AAA"/>
    <w:rsid w:val="0027391C"/>
    <w:rsid w:val="00280091"/>
    <w:rsid w:val="00285B3A"/>
    <w:rsid w:val="00286F5F"/>
    <w:rsid w:val="00290078"/>
    <w:rsid w:val="0029521C"/>
    <w:rsid w:val="002952AA"/>
    <w:rsid w:val="00296B9E"/>
    <w:rsid w:val="002A005D"/>
    <w:rsid w:val="002A0934"/>
    <w:rsid w:val="002A3264"/>
    <w:rsid w:val="002A35D2"/>
    <w:rsid w:val="002A59A2"/>
    <w:rsid w:val="002A684C"/>
    <w:rsid w:val="002A6A65"/>
    <w:rsid w:val="002B009D"/>
    <w:rsid w:val="002B4BB5"/>
    <w:rsid w:val="002B4E90"/>
    <w:rsid w:val="002B72E4"/>
    <w:rsid w:val="002B797F"/>
    <w:rsid w:val="002B7CBD"/>
    <w:rsid w:val="002C120B"/>
    <w:rsid w:val="002C4ED0"/>
    <w:rsid w:val="002C50FD"/>
    <w:rsid w:val="002D0209"/>
    <w:rsid w:val="002D2F18"/>
    <w:rsid w:val="002D69A9"/>
    <w:rsid w:val="002E05CC"/>
    <w:rsid w:val="002E1E0C"/>
    <w:rsid w:val="002E2CCC"/>
    <w:rsid w:val="002E35F3"/>
    <w:rsid w:val="002F01F8"/>
    <w:rsid w:val="002F2CFD"/>
    <w:rsid w:val="002F43B3"/>
    <w:rsid w:val="002F58BC"/>
    <w:rsid w:val="00300188"/>
    <w:rsid w:val="00300F5D"/>
    <w:rsid w:val="003056F0"/>
    <w:rsid w:val="00306717"/>
    <w:rsid w:val="003068FA"/>
    <w:rsid w:val="00307D0B"/>
    <w:rsid w:val="00314064"/>
    <w:rsid w:val="00314AF9"/>
    <w:rsid w:val="00315E3A"/>
    <w:rsid w:val="00322166"/>
    <w:rsid w:val="00325DF0"/>
    <w:rsid w:val="0033020E"/>
    <w:rsid w:val="003305DE"/>
    <w:rsid w:val="0033584F"/>
    <w:rsid w:val="00337CB3"/>
    <w:rsid w:val="0034246B"/>
    <w:rsid w:val="0034627F"/>
    <w:rsid w:val="00352A9C"/>
    <w:rsid w:val="00353DC2"/>
    <w:rsid w:val="00356737"/>
    <w:rsid w:val="00356C72"/>
    <w:rsid w:val="00356E82"/>
    <w:rsid w:val="003608A9"/>
    <w:rsid w:val="00361004"/>
    <w:rsid w:val="003641A9"/>
    <w:rsid w:val="00371712"/>
    <w:rsid w:val="00374B87"/>
    <w:rsid w:val="003757F0"/>
    <w:rsid w:val="003760EA"/>
    <w:rsid w:val="003766E9"/>
    <w:rsid w:val="00376FF1"/>
    <w:rsid w:val="00380B33"/>
    <w:rsid w:val="003823D2"/>
    <w:rsid w:val="00383091"/>
    <w:rsid w:val="00387501"/>
    <w:rsid w:val="0039094C"/>
    <w:rsid w:val="003929CC"/>
    <w:rsid w:val="00396790"/>
    <w:rsid w:val="003A35EA"/>
    <w:rsid w:val="003A3A67"/>
    <w:rsid w:val="003A471B"/>
    <w:rsid w:val="003A5214"/>
    <w:rsid w:val="003B0F18"/>
    <w:rsid w:val="003B569D"/>
    <w:rsid w:val="003B588F"/>
    <w:rsid w:val="003B7F03"/>
    <w:rsid w:val="003C2881"/>
    <w:rsid w:val="003C2DEB"/>
    <w:rsid w:val="003D4645"/>
    <w:rsid w:val="003D6ABA"/>
    <w:rsid w:val="003D6C2F"/>
    <w:rsid w:val="003E3B1F"/>
    <w:rsid w:val="003F2680"/>
    <w:rsid w:val="003F6879"/>
    <w:rsid w:val="00400171"/>
    <w:rsid w:val="00410418"/>
    <w:rsid w:val="004127F6"/>
    <w:rsid w:val="00413E8A"/>
    <w:rsid w:val="00414AD4"/>
    <w:rsid w:val="00416E08"/>
    <w:rsid w:val="00417F3A"/>
    <w:rsid w:val="004229C8"/>
    <w:rsid w:val="00422A84"/>
    <w:rsid w:val="00424483"/>
    <w:rsid w:val="00425A6B"/>
    <w:rsid w:val="00426816"/>
    <w:rsid w:val="00432935"/>
    <w:rsid w:val="004332B8"/>
    <w:rsid w:val="00434335"/>
    <w:rsid w:val="0043614F"/>
    <w:rsid w:val="0043617D"/>
    <w:rsid w:val="00440DB8"/>
    <w:rsid w:val="004458AE"/>
    <w:rsid w:val="00447256"/>
    <w:rsid w:val="004553C2"/>
    <w:rsid w:val="00455C7D"/>
    <w:rsid w:val="0045636E"/>
    <w:rsid w:val="004646CF"/>
    <w:rsid w:val="00465336"/>
    <w:rsid w:val="00465BA8"/>
    <w:rsid w:val="00466C69"/>
    <w:rsid w:val="00466F11"/>
    <w:rsid w:val="00467B66"/>
    <w:rsid w:val="00472AA5"/>
    <w:rsid w:val="0047677D"/>
    <w:rsid w:val="004777C1"/>
    <w:rsid w:val="0048119F"/>
    <w:rsid w:val="00482877"/>
    <w:rsid w:val="00484A18"/>
    <w:rsid w:val="00491004"/>
    <w:rsid w:val="00495863"/>
    <w:rsid w:val="00497195"/>
    <w:rsid w:val="004A09B4"/>
    <w:rsid w:val="004A4CB1"/>
    <w:rsid w:val="004A58F5"/>
    <w:rsid w:val="004A5D54"/>
    <w:rsid w:val="004B0F50"/>
    <w:rsid w:val="004B60B1"/>
    <w:rsid w:val="004B6155"/>
    <w:rsid w:val="004B61AF"/>
    <w:rsid w:val="004C0807"/>
    <w:rsid w:val="004C2CEB"/>
    <w:rsid w:val="004D1B8C"/>
    <w:rsid w:val="004D20BD"/>
    <w:rsid w:val="004D3CD1"/>
    <w:rsid w:val="004D6797"/>
    <w:rsid w:val="004E0528"/>
    <w:rsid w:val="004E26D6"/>
    <w:rsid w:val="004E4E42"/>
    <w:rsid w:val="004E555E"/>
    <w:rsid w:val="004E55AD"/>
    <w:rsid w:val="004F28F2"/>
    <w:rsid w:val="004F3FED"/>
    <w:rsid w:val="004F414F"/>
    <w:rsid w:val="004F752B"/>
    <w:rsid w:val="00503F8C"/>
    <w:rsid w:val="0050484F"/>
    <w:rsid w:val="0051060D"/>
    <w:rsid w:val="00513A75"/>
    <w:rsid w:val="00522EC5"/>
    <w:rsid w:val="0053035D"/>
    <w:rsid w:val="00531A63"/>
    <w:rsid w:val="00531CB7"/>
    <w:rsid w:val="005331DC"/>
    <w:rsid w:val="005342CE"/>
    <w:rsid w:val="0053524A"/>
    <w:rsid w:val="005354FC"/>
    <w:rsid w:val="00541D11"/>
    <w:rsid w:val="00542DCB"/>
    <w:rsid w:val="00545536"/>
    <w:rsid w:val="005456E5"/>
    <w:rsid w:val="005508EF"/>
    <w:rsid w:val="00555703"/>
    <w:rsid w:val="00557E6E"/>
    <w:rsid w:val="00563673"/>
    <w:rsid w:val="00565A9A"/>
    <w:rsid w:val="00570FD3"/>
    <w:rsid w:val="0057636F"/>
    <w:rsid w:val="00580E87"/>
    <w:rsid w:val="00584DF4"/>
    <w:rsid w:val="00585F9A"/>
    <w:rsid w:val="00587C7F"/>
    <w:rsid w:val="00594DCB"/>
    <w:rsid w:val="005A07E5"/>
    <w:rsid w:val="005A209C"/>
    <w:rsid w:val="005A3824"/>
    <w:rsid w:val="005B5337"/>
    <w:rsid w:val="005B5997"/>
    <w:rsid w:val="005C05F3"/>
    <w:rsid w:val="005C1EA8"/>
    <w:rsid w:val="005C32AE"/>
    <w:rsid w:val="005C50DA"/>
    <w:rsid w:val="005C6976"/>
    <w:rsid w:val="005D2CED"/>
    <w:rsid w:val="005E1C8F"/>
    <w:rsid w:val="005E413E"/>
    <w:rsid w:val="005E62B8"/>
    <w:rsid w:val="005E66F7"/>
    <w:rsid w:val="005F1EFE"/>
    <w:rsid w:val="006026AF"/>
    <w:rsid w:val="006045E0"/>
    <w:rsid w:val="00611432"/>
    <w:rsid w:val="0061784D"/>
    <w:rsid w:val="00620F9D"/>
    <w:rsid w:val="00622BC4"/>
    <w:rsid w:val="00627A8D"/>
    <w:rsid w:val="00627E9B"/>
    <w:rsid w:val="006322D4"/>
    <w:rsid w:val="00636482"/>
    <w:rsid w:val="006367EB"/>
    <w:rsid w:val="0063692A"/>
    <w:rsid w:val="00637CEB"/>
    <w:rsid w:val="00641735"/>
    <w:rsid w:val="00645616"/>
    <w:rsid w:val="00647DB9"/>
    <w:rsid w:val="006514AF"/>
    <w:rsid w:val="006525F1"/>
    <w:rsid w:val="006530D5"/>
    <w:rsid w:val="00655E63"/>
    <w:rsid w:val="006606C8"/>
    <w:rsid w:val="0066206F"/>
    <w:rsid w:val="006704F2"/>
    <w:rsid w:val="006738BF"/>
    <w:rsid w:val="00673F46"/>
    <w:rsid w:val="00676A80"/>
    <w:rsid w:val="006847F7"/>
    <w:rsid w:val="00686DDF"/>
    <w:rsid w:val="00687179"/>
    <w:rsid w:val="006919ED"/>
    <w:rsid w:val="00691CBD"/>
    <w:rsid w:val="006930F5"/>
    <w:rsid w:val="006931D0"/>
    <w:rsid w:val="006A158F"/>
    <w:rsid w:val="006A2DBC"/>
    <w:rsid w:val="006A3EB2"/>
    <w:rsid w:val="006B1129"/>
    <w:rsid w:val="006B398A"/>
    <w:rsid w:val="006B472F"/>
    <w:rsid w:val="006C06D2"/>
    <w:rsid w:val="006C3CF5"/>
    <w:rsid w:val="006D07C2"/>
    <w:rsid w:val="006D1E7C"/>
    <w:rsid w:val="006D62C5"/>
    <w:rsid w:val="006D6FDC"/>
    <w:rsid w:val="006D7AD5"/>
    <w:rsid w:val="006E182D"/>
    <w:rsid w:val="006E4EB3"/>
    <w:rsid w:val="006E5D1B"/>
    <w:rsid w:val="006E5D9E"/>
    <w:rsid w:val="006E69FC"/>
    <w:rsid w:val="006E6CCB"/>
    <w:rsid w:val="006F1BCD"/>
    <w:rsid w:val="006F1EE3"/>
    <w:rsid w:val="006F2D51"/>
    <w:rsid w:val="006F315E"/>
    <w:rsid w:val="006F31DB"/>
    <w:rsid w:val="006F333A"/>
    <w:rsid w:val="006F6BB1"/>
    <w:rsid w:val="006F7063"/>
    <w:rsid w:val="007047E7"/>
    <w:rsid w:val="007073A7"/>
    <w:rsid w:val="00710C1F"/>
    <w:rsid w:val="00714443"/>
    <w:rsid w:val="00714D97"/>
    <w:rsid w:val="00724EC9"/>
    <w:rsid w:val="00727E74"/>
    <w:rsid w:val="00730AC9"/>
    <w:rsid w:val="0073356F"/>
    <w:rsid w:val="00736B40"/>
    <w:rsid w:val="00736C6B"/>
    <w:rsid w:val="00747D94"/>
    <w:rsid w:val="007541F9"/>
    <w:rsid w:val="0075612D"/>
    <w:rsid w:val="00761155"/>
    <w:rsid w:val="00761640"/>
    <w:rsid w:val="0076269B"/>
    <w:rsid w:val="00765479"/>
    <w:rsid w:val="00766691"/>
    <w:rsid w:val="00767D42"/>
    <w:rsid w:val="00771B92"/>
    <w:rsid w:val="0077382A"/>
    <w:rsid w:val="0078542E"/>
    <w:rsid w:val="00786E03"/>
    <w:rsid w:val="007870E3"/>
    <w:rsid w:val="00790466"/>
    <w:rsid w:val="007927FF"/>
    <w:rsid w:val="00794A1E"/>
    <w:rsid w:val="007973F0"/>
    <w:rsid w:val="007A1E6D"/>
    <w:rsid w:val="007A3569"/>
    <w:rsid w:val="007A3A07"/>
    <w:rsid w:val="007A5432"/>
    <w:rsid w:val="007A5C16"/>
    <w:rsid w:val="007A7D14"/>
    <w:rsid w:val="007B07F2"/>
    <w:rsid w:val="007B4421"/>
    <w:rsid w:val="007C0236"/>
    <w:rsid w:val="007C110D"/>
    <w:rsid w:val="007C3ED8"/>
    <w:rsid w:val="007E4952"/>
    <w:rsid w:val="007E78E5"/>
    <w:rsid w:val="007F0EC5"/>
    <w:rsid w:val="007F7531"/>
    <w:rsid w:val="008005B7"/>
    <w:rsid w:val="00802ECB"/>
    <w:rsid w:val="008035AA"/>
    <w:rsid w:val="00803C49"/>
    <w:rsid w:val="00804878"/>
    <w:rsid w:val="008052F0"/>
    <w:rsid w:val="008075B3"/>
    <w:rsid w:val="00814651"/>
    <w:rsid w:val="00814C7C"/>
    <w:rsid w:val="008176A9"/>
    <w:rsid w:val="0082162E"/>
    <w:rsid w:val="00823CA3"/>
    <w:rsid w:val="008252D4"/>
    <w:rsid w:val="00825FDE"/>
    <w:rsid w:val="00827DB0"/>
    <w:rsid w:val="00830D41"/>
    <w:rsid w:val="00835D08"/>
    <w:rsid w:val="00836B10"/>
    <w:rsid w:val="00836D54"/>
    <w:rsid w:val="00837A8F"/>
    <w:rsid w:val="00843431"/>
    <w:rsid w:val="00844A93"/>
    <w:rsid w:val="008455EE"/>
    <w:rsid w:val="008519D8"/>
    <w:rsid w:val="008557BE"/>
    <w:rsid w:val="00860E4F"/>
    <w:rsid w:val="00861B8B"/>
    <w:rsid w:val="00861BDE"/>
    <w:rsid w:val="008700B3"/>
    <w:rsid w:val="00875868"/>
    <w:rsid w:val="008819D1"/>
    <w:rsid w:val="00883BA1"/>
    <w:rsid w:val="008874FC"/>
    <w:rsid w:val="008913A1"/>
    <w:rsid w:val="00891D1A"/>
    <w:rsid w:val="00891FBA"/>
    <w:rsid w:val="00892C06"/>
    <w:rsid w:val="00893C67"/>
    <w:rsid w:val="008966A4"/>
    <w:rsid w:val="008A763A"/>
    <w:rsid w:val="008B040E"/>
    <w:rsid w:val="008B1CA2"/>
    <w:rsid w:val="008C10DA"/>
    <w:rsid w:val="008C2E0F"/>
    <w:rsid w:val="008C74C3"/>
    <w:rsid w:val="008D2457"/>
    <w:rsid w:val="008D2882"/>
    <w:rsid w:val="008D338F"/>
    <w:rsid w:val="008D6AD5"/>
    <w:rsid w:val="008E0C2F"/>
    <w:rsid w:val="008E2AB9"/>
    <w:rsid w:val="008E6CE8"/>
    <w:rsid w:val="008E7356"/>
    <w:rsid w:val="008E7F9D"/>
    <w:rsid w:val="008F11AC"/>
    <w:rsid w:val="008F1F71"/>
    <w:rsid w:val="008F3A1B"/>
    <w:rsid w:val="008F4768"/>
    <w:rsid w:val="008F5D53"/>
    <w:rsid w:val="008F7EFA"/>
    <w:rsid w:val="00904F75"/>
    <w:rsid w:val="00907D7F"/>
    <w:rsid w:val="00911109"/>
    <w:rsid w:val="009128B2"/>
    <w:rsid w:val="00912B67"/>
    <w:rsid w:val="00920936"/>
    <w:rsid w:val="009215F3"/>
    <w:rsid w:val="00921754"/>
    <w:rsid w:val="0092328E"/>
    <w:rsid w:val="0094177C"/>
    <w:rsid w:val="00941E29"/>
    <w:rsid w:val="009444D9"/>
    <w:rsid w:val="009466B1"/>
    <w:rsid w:val="00953C33"/>
    <w:rsid w:val="00956415"/>
    <w:rsid w:val="0095737B"/>
    <w:rsid w:val="00957524"/>
    <w:rsid w:val="0096316F"/>
    <w:rsid w:val="0097208F"/>
    <w:rsid w:val="009747CE"/>
    <w:rsid w:val="00975221"/>
    <w:rsid w:val="00981CC0"/>
    <w:rsid w:val="00982322"/>
    <w:rsid w:val="009876BC"/>
    <w:rsid w:val="00987EF5"/>
    <w:rsid w:val="0099328D"/>
    <w:rsid w:val="0099337E"/>
    <w:rsid w:val="00994C31"/>
    <w:rsid w:val="009A0FFF"/>
    <w:rsid w:val="009A1205"/>
    <w:rsid w:val="009A1DBA"/>
    <w:rsid w:val="009A5085"/>
    <w:rsid w:val="009A77A6"/>
    <w:rsid w:val="009A7C63"/>
    <w:rsid w:val="009B6C16"/>
    <w:rsid w:val="009C2F7E"/>
    <w:rsid w:val="009C48D5"/>
    <w:rsid w:val="009D2537"/>
    <w:rsid w:val="009D3ADF"/>
    <w:rsid w:val="009E2F7B"/>
    <w:rsid w:val="009F0CA9"/>
    <w:rsid w:val="009F339F"/>
    <w:rsid w:val="00A008A0"/>
    <w:rsid w:val="00A00C5A"/>
    <w:rsid w:val="00A03BBD"/>
    <w:rsid w:val="00A03BE6"/>
    <w:rsid w:val="00A0685B"/>
    <w:rsid w:val="00A11ACD"/>
    <w:rsid w:val="00A12A3B"/>
    <w:rsid w:val="00A1765C"/>
    <w:rsid w:val="00A205AA"/>
    <w:rsid w:val="00A2182B"/>
    <w:rsid w:val="00A27A68"/>
    <w:rsid w:val="00A27E96"/>
    <w:rsid w:val="00A40BF5"/>
    <w:rsid w:val="00A41E00"/>
    <w:rsid w:val="00A44683"/>
    <w:rsid w:val="00A464C6"/>
    <w:rsid w:val="00A47CCC"/>
    <w:rsid w:val="00A503CF"/>
    <w:rsid w:val="00A53DB5"/>
    <w:rsid w:val="00A55E23"/>
    <w:rsid w:val="00A571C0"/>
    <w:rsid w:val="00A6548F"/>
    <w:rsid w:val="00A838A0"/>
    <w:rsid w:val="00A859DD"/>
    <w:rsid w:val="00A85E36"/>
    <w:rsid w:val="00A8697C"/>
    <w:rsid w:val="00A872A5"/>
    <w:rsid w:val="00A87E66"/>
    <w:rsid w:val="00A92D6B"/>
    <w:rsid w:val="00A940D5"/>
    <w:rsid w:val="00AA1CCD"/>
    <w:rsid w:val="00AA1CE9"/>
    <w:rsid w:val="00AA33E7"/>
    <w:rsid w:val="00AB466D"/>
    <w:rsid w:val="00AB569A"/>
    <w:rsid w:val="00AC7ED8"/>
    <w:rsid w:val="00AD5425"/>
    <w:rsid w:val="00AD6F3B"/>
    <w:rsid w:val="00AD7EC6"/>
    <w:rsid w:val="00AF00FF"/>
    <w:rsid w:val="00AF0DA7"/>
    <w:rsid w:val="00AF5C47"/>
    <w:rsid w:val="00AF6B0A"/>
    <w:rsid w:val="00B01DE3"/>
    <w:rsid w:val="00B01F04"/>
    <w:rsid w:val="00B1313C"/>
    <w:rsid w:val="00B13519"/>
    <w:rsid w:val="00B13DDA"/>
    <w:rsid w:val="00B16655"/>
    <w:rsid w:val="00B20556"/>
    <w:rsid w:val="00B218E4"/>
    <w:rsid w:val="00B30AD8"/>
    <w:rsid w:val="00B3466C"/>
    <w:rsid w:val="00B3683C"/>
    <w:rsid w:val="00B408F4"/>
    <w:rsid w:val="00B44262"/>
    <w:rsid w:val="00B44DDA"/>
    <w:rsid w:val="00B50B6C"/>
    <w:rsid w:val="00B51A3B"/>
    <w:rsid w:val="00B55258"/>
    <w:rsid w:val="00B56DF3"/>
    <w:rsid w:val="00B61E78"/>
    <w:rsid w:val="00B62179"/>
    <w:rsid w:val="00B6459C"/>
    <w:rsid w:val="00B65C2D"/>
    <w:rsid w:val="00B71F89"/>
    <w:rsid w:val="00B7514F"/>
    <w:rsid w:val="00B757F7"/>
    <w:rsid w:val="00B75E4F"/>
    <w:rsid w:val="00B81ABB"/>
    <w:rsid w:val="00B82529"/>
    <w:rsid w:val="00B86C10"/>
    <w:rsid w:val="00B95FCB"/>
    <w:rsid w:val="00BA3833"/>
    <w:rsid w:val="00BB14DA"/>
    <w:rsid w:val="00BC0D6F"/>
    <w:rsid w:val="00BC1DF2"/>
    <w:rsid w:val="00BC288D"/>
    <w:rsid w:val="00BC41F1"/>
    <w:rsid w:val="00BC7021"/>
    <w:rsid w:val="00BD0AAA"/>
    <w:rsid w:val="00BE71B8"/>
    <w:rsid w:val="00BF0DF9"/>
    <w:rsid w:val="00BF16C9"/>
    <w:rsid w:val="00BF59CB"/>
    <w:rsid w:val="00C0056C"/>
    <w:rsid w:val="00C04890"/>
    <w:rsid w:val="00C0720C"/>
    <w:rsid w:val="00C117A8"/>
    <w:rsid w:val="00C13B29"/>
    <w:rsid w:val="00C177E9"/>
    <w:rsid w:val="00C21050"/>
    <w:rsid w:val="00C21376"/>
    <w:rsid w:val="00C21DDD"/>
    <w:rsid w:val="00C27A7D"/>
    <w:rsid w:val="00C3292A"/>
    <w:rsid w:val="00C34D0E"/>
    <w:rsid w:val="00C364AA"/>
    <w:rsid w:val="00C4031A"/>
    <w:rsid w:val="00C52BE5"/>
    <w:rsid w:val="00C53A6B"/>
    <w:rsid w:val="00C53ABB"/>
    <w:rsid w:val="00C5418F"/>
    <w:rsid w:val="00C55E62"/>
    <w:rsid w:val="00C56474"/>
    <w:rsid w:val="00C566B4"/>
    <w:rsid w:val="00C6293A"/>
    <w:rsid w:val="00C64E54"/>
    <w:rsid w:val="00C7006C"/>
    <w:rsid w:val="00C70A37"/>
    <w:rsid w:val="00C72DEC"/>
    <w:rsid w:val="00C75223"/>
    <w:rsid w:val="00C830CF"/>
    <w:rsid w:val="00C9136F"/>
    <w:rsid w:val="00C94040"/>
    <w:rsid w:val="00C9445F"/>
    <w:rsid w:val="00C9696F"/>
    <w:rsid w:val="00C96FB1"/>
    <w:rsid w:val="00C974E3"/>
    <w:rsid w:val="00C97C3C"/>
    <w:rsid w:val="00CA4D2B"/>
    <w:rsid w:val="00CB00A9"/>
    <w:rsid w:val="00CB7D48"/>
    <w:rsid w:val="00CB7E91"/>
    <w:rsid w:val="00CC3F85"/>
    <w:rsid w:val="00CC475E"/>
    <w:rsid w:val="00CC58A7"/>
    <w:rsid w:val="00CD1A3C"/>
    <w:rsid w:val="00CD630C"/>
    <w:rsid w:val="00CD70DC"/>
    <w:rsid w:val="00CE3105"/>
    <w:rsid w:val="00CE5E37"/>
    <w:rsid w:val="00CF4FB6"/>
    <w:rsid w:val="00D055D3"/>
    <w:rsid w:val="00D0694A"/>
    <w:rsid w:val="00D12DC1"/>
    <w:rsid w:val="00D15A49"/>
    <w:rsid w:val="00D20229"/>
    <w:rsid w:val="00D20FD4"/>
    <w:rsid w:val="00D21CE5"/>
    <w:rsid w:val="00D22380"/>
    <w:rsid w:val="00D22AF7"/>
    <w:rsid w:val="00D27B50"/>
    <w:rsid w:val="00D3032F"/>
    <w:rsid w:val="00D35196"/>
    <w:rsid w:val="00D37182"/>
    <w:rsid w:val="00D4199E"/>
    <w:rsid w:val="00D4457C"/>
    <w:rsid w:val="00D452AA"/>
    <w:rsid w:val="00D4600C"/>
    <w:rsid w:val="00D47CBB"/>
    <w:rsid w:val="00D50B80"/>
    <w:rsid w:val="00D51F81"/>
    <w:rsid w:val="00D56917"/>
    <w:rsid w:val="00D60196"/>
    <w:rsid w:val="00D61E1D"/>
    <w:rsid w:val="00D632E9"/>
    <w:rsid w:val="00D66909"/>
    <w:rsid w:val="00D70006"/>
    <w:rsid w:val="00D7023E"/>
    <w:rsid w:val="00D759C1"/>
    <w:rsid w:val="00D814EF"/>
    <w:rsid w:val="00D86374"/>
    <w:rsid w:val="00D9059D"/>
    <w:rsid w:val="00D92155"/>
    <w:rsid w:val="00D955DF"/>
    <w:rsid w:val="00DA0A4C"/>
    <w:rsid w:val="00DA2315"/>
    <w:rsid w:val="00DA2A02"/>
    <w:rsid w:val="00DA5785"/>
    <w:rsid w:val="00DB1FC1"/>
    <w:rsid w:val="00DB4E6C"/>
    <w:rsid w:val="00DD1C27"/>
    <w:rsid w:val="00DD3199"/>
    <w:rsid w:val="00DD3A9C"/>
    <w:rsid w:val="00DD5E5E"/>
    <w:rsid w:val="00DE1D86"/>
    <w:rsid w:val="00DE72E5"/>
    <w:rsid w:val="00DF20E4"/>
    <w:rsid w:val="00DF2E8A"/>
    <w:rsid w:val="00DF2FF7"/>
    <w:rsid w:val="00E02C6F"/>
    <w:rsid w:val="00E0420F"/>
    <w:rsid w:val="00E057A7"/>
    <w:rsid w:val="00E0621E"/>
    <w:rsid w:val="00E116CD"/>
    <w:rsid w:val="00E23875"/>
    <w:rsid w:val="00E257E4"/>
    <w:rsid w:val="00E4312B"/>
    <w:rsid w:val="00E44E08"/>
    <w:rsid w:val="00E51AF1"/>
    <w:rsid w:val="00E57149"/>
    <w:rsid w:val="00E71660"/>
    <w:rsid w:val="00E77EB8"/>
    <w:rsid w:val="00E8034C"/>
    <w:rsid w:val="00E86DA3"/>
    <w:rsid w:val="00E87D78"/>
    <w:rsid w:val="00E96DC6"/>
    <w:rsid w:val="00E97D83"/>
    <w:rsid w:val="00EA5AE6"/>
    <w:rsid w:val="00EA5F61"/>
    <w:rsid w:val="00EB3F86"/>
    <w:rsid w:val="00EC2910"/>
    <w:rsid w:val="00EC42FA"/>
    <w:rsid w:val="00EC4980"/>
    <w:rsid w:val="00ED2779"/>
    <w:rsid w:val="00ED475D"/>
    <w:rsid w:val="00ED4E72"/>
    <w:rsid w:val="00ED5062"/>
    <w:rsid w:val="00ED7A99"/>
    <w:rsid w:val="00ED7D4E"/>
    <w:rsid w:val="00EE1097"/>
    <w:rsid w:val="00EE20EB"/>
    <w:rsid w:val="00EE7DAC"/>
    <w:rsid w:val="00EF071D"/>
    <w:rsid w:val="00EF155A"/>
    <w:rsid w:val="00EF2FC0"/>
    <w:rsid w:val="00EF36C6"/>
    <w:rsid w:val="00EF3FE6"/>
    <w:rsid w:val="00EF45FF"/>
    <w:rsid w:val="00EF4A59"/>
    <w:rsid w:val="00EF5A23"/>
    <w:rsid w:val="00EF6434"/>
    <w:rsid w:val="00EF64FB"/>
    <w:rsid w:val="00F018B3"/>
    <w:rsid w:val="00F10006"/>
    <w:rsid w:val="00F14FB5"/>
    <w:rsid w:val="00F15E4B"/>
    <w:rsid w:val="00F21635"/>
    <w:rsid w:val="00F21A2D"/>
    <w:rsid w:val="00F21A3C"/>
    <w:rsid w:val="00F22830"/>
    <w:rsid w:val="00F22F0C"/>
    <w:rsid w:val="00F31CC8"/>
    <w:rsid w:val="00F40543"/>
    <w:rsid w:val="00F42B69"/>
    <w:rsid w:val="00F432A7"/>
    <w:rsid w:val="00F5104C"/>
    <w:rsid w:val="00F515CD"/>
    <w:rsid w:val="00F526C3"/>
    <w:rsid w:val="00F54308"/>
    <w:rsid w:val="00F54393"/>
    <w:rsid w:val="00F61BA1"/>
    <w:rsid w:val="00F627B1"/>
    <w:rsid w:val="00F63FC0"/>
    <w:rsid w:val="00F6585A"/>
    <w:rsid w:val="00F70C1F"/>
    <w:rsid w:val="00F8107F"/>
    <w:rsid w:val="00F81F22"/>
    <w:rsid w:val="00F82410"/>
    <w:rsid w:val="00F84B8B"/>
    <w:rsid w:val="00F85BD5"/>
    <w:rsid w:val="00F95895"/>
    <w:rsid w:val="00FA0B32"/>
    <w:rsid w:val="00FA1C53"/>
    <w:rsid w:val="00FA27DF"/>
    <w:rsid w:val="00FA38E0"/>
    <w:rsid w:val="00FA5815"/>
    <w:rsid w:val="00FA69B3"/>
    <w:rsid w:val="00FB0D4A"/>
    <w:rsid w:val="00FB3D25"/>
    <w:rsid w:val="00FB6202"/>
    <w:rsid w:val="00FC0D31"/>
    <w:rsid w:val="00FC0F77"/>
    <w:rsid w:val="00FC52E2"/>
    <w:rsid w:val="00FC58B7"/>
    <w:rsid w:val="00FC77BE"/>
    <w:rsid w:val="00FD0511"/>
    <w:rsid w:val="00FD4BB2"/>
    <w:rsid w:val="00FE0773"/>
    <w:rsid w:val="00FE1354"/>
    <w:rsid w:val="00FE4955"/>
    <w:rsid w:val="00FF0438"/>
    <w:rsid w:val="00FF60BC"/>
    <w:rsid w:val="35BB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37B72"/>
  <w15:docId w15:val="{A9780923-86A2-4AF9-823F-843ADF65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CD"/>
  </w:style>
  <w:style w:type="paragraph" w:styleId="Heading1">
    <w:name w:val="heading 1"/>
    <w:basedOn w:val="Normal"/>
    <w:next w:val="Paragraph"/>
    <w:link w:val="Heading1Char"/>
    <w:qFormat/>
    <w:rsid w:val="00C34D0E"/>
    <w:pPr>
      <w:keepNext/>
      <w:keepLines/>
      <w:widowControl w:val="0"/>
      <w:numPr>
        <w:numId w:val="1"/>
      </w:numPr>
      <w:tabs>
        <w:tab w:val="left" w:pos="851"/>
      </w:tabs>
      <w:spacing w:before="240" w:after="120"/>
      <w:jc w:val="both"/>
      <w:outlineLvl w:val="0"/>
    </w:pPr>
    <w:rPr>
      <w:rFonts w:ascii="Arial" w:eastAsia="Times New Roman" w:hAnsi="Arial"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1"/>
      </w:numPr>
      <w:tabs>
        <w:tab w:val="left" w:pos="851"/>
      </w:tabs>
      <w:spacing w:before="240" w:after="120"/>
      <w:jc w:val="both"/>
      <w:outlineLvl w:val="1"/>
    </w:pPr>
    <w:rPr>
      <w:rFonts w:ascii="Arial" w:eastAsia="Times New Roman" w:hAnsi="Arial"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1"/>
      </w:numPr>
      <w:tabs>
        <w:tab w:val="left" w:pos="851"/>
      </w:tabs>
      <w:spacing w:before="240" w:after="120"/>
      <w:jc w:val="both"/>
      <w:outlineLvl w:val="2"/>
    </w:pPr>
    <w:rPr>
      <w:rFonts w:ascii="Arial" w:eastAsia="Times New Roman" w:hAnsi="Arial"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1"/>
      </w:numPr>
      <w:tabs>
        <w:tab w:val="left" w:pos="851"/>
      </w:tabs>
      <w:spacing w:before="240" w:after="120"/>
      <w:jc w:val="both"/>
      <w:outlineLvl w:val="3"/>
    </w:pPr>
    <w:rPr>
      <w:rFonts w:ascii="Arial" w:eastAsia="Times New Roman" w:hAnsi="Arial"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1"/>
      </w:numPr>
      <w:tabs>
        <w:tab w:val="left" w:pos="851"/>
      </w:tabs>
      <w:spacing w:before="240" w:after="120"/>
      <w:jc w:val="both"/>
      <w:outlineLvl w:val="4"/>
    </w:pPr>
    <w:rPr>
      <w:rFonts w:ascii="Arial" w:eastAsia="Times New Roman" w:hAnsi="Arial" w:cs="Times New Roman"/>
      <w:i/>
      <w:sz w:val="18"/>
      <w:szCs w:val="20"/>
      <w:u w:val="single"/>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0E"/>
    <w:rPr>
      <w:rFonts w:ascii="Arial" w:eastAsia="Times New Roman" w:hAnsi="Arial" w:cs="Times New Roman"/>
      <w:b/>
      <w:caps/>
      <w:color w:val="000000"/>
      <w:sz w:val="28"/>
      <w:szCs w:val="28"/>
      <w:lang w:eastAsia="it-IT"/>
    </w:rPr>
  </w:style>
  <w:style w:type="character" w:customStyle="1" w:styleId="Heading2Char">
    <w:name w:val="Heading 2 Char"/>
    <w:basedOn w:val="DefaultParagraphFont"/>
    <w:link w:val="Heading2"/>
    <w:rsid w:val="00C34D0E"/>
    <w:rPr>
      <w:rFonts w:ascii="Arial" w:eastAsia="Times New Roman" w:hAnsi="Arial" w:cs="Times New Roman"/>
      <w:b/>
      <w:caps/>
      <w:color w:val="000000"/>
      <w:lang w:val="it-IT" w:eastAsia="it-IT"/>
    </w:rPr>
  </w:style>
  <w:style w:type="character" w:customStyle="1" w:styleId="Heading3Char">
    <w:name w:val="Heading 3 Char"/>
    <w:basedOn w:val="DefaultParagraphFont"/>
    <w:link w:val="Heading3"/>
    <w:rsid w:val="00C34D0E"/>
    <w:rPr>
      <w:rFonts w:ascii="Arial" w:eastAsia="Times New Roman" w:hAnsi="Arial" w:cs="Times New Roman"/>
      <w:b/>
      <w:noProof/>
      <w:color w:val="000000"/>
      <w:sz w:val="22"/>
      <w:szCs w:val="20"/>
      <w:lang w:val="it-IT" w:eastAsia="it-IT"/>
    </w:rPr>
  </w:style>
  <w:style w:type="character" w:customStyle="1" w:styleId="Heading4Char">
    <w:name w:val="Heading 4 Char"/>
    <w:basedOn w:val="DefaultParagraphFont"/>
    <w:link w:val="Heading4"/>
    <w:rsid w:val="00C34D0E"/>
    <w:rPr>
      <w:rFonts w:ascii="Arial" w:eastAsia="Times New Roman" w:hAnsi="Arial" w:cs="Times New Roman"/>
      <w:color w:val="000000"/>
      <w:sz w:val="20"/>
      <w:szCs w:val="20"/>
      <w:u w:val="single"/>
      <w:lang w:val="it-IT" w:eastAsia="it-IT"/>
    </w:rPr>
  </w:style>
  <w:style w:type="character" w:customStyle="1" w:styleId="Heading5Char">
    <w:name w:val="Heading 5 Char"/>
    <w:basedOn w:val="DefaultParagraphFont"/>
    <w:link w:val="Heading5"/>
    <w:rsid w:val="00C34D0E"/>
    <w:rPr>
      <w:rFonts w:ascii="Arial" w:eastAsia="Times New Roman" w:hAnsi="Arial" w:cs="Times New Roman"/>
      <w:i/>
      <w:sz w:val="18"/>
      <w:szCs w:val="20"/>
      <w:u w:val="single"/>
      <w:lang w:val="it-IT" w:eastAsia="it-IT"/>
    </w:rPr>
  </w:style>
  <w:style w:type="character" w:styleId="CommentReference">
    <w:name w:val="annotation reference"/>
    <w:basedOn w:val="DefaultParagraphFont"/>
    <w:semiHidden/>
    <w:rsid w:val="00C34D0E"/>
    <w:rPr>
      <w:sz w:val="16"/>
      <w:szCs w:val="16"/>
    </w:rPr>
  </w:style>
  <w:style w:type="paragraph" w:styleId="CommentText">
    <w:name w:val="annotation text"/>
    <w:basedOn w:val="Normal"/>
    <w:link w:val="CommentTextChar"/>
    <w:semiHidden/>
    <w:rsid w:val="00C34D0E"/>
    <w:pPr>
      <w:jc w:val="both"/>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semiHidden/>
    <w:rsid w:val="00C34D0E"/>
    <w:rPr>
      <w:rFonts w:ascii="Times New Roman" w:eastAsia="Times New Roman" w:hAnsi="Times New Roman" w:cs="Times New Roman"/>
      <w:sz w:val="20"/>
      <w:szCs w:val="20"/>
      <w:lang w:val="it-IT" w:eastAsia="it-IT"/>
    </w:rPr>
  </w:style>
  <w:style w:type="paragraph" w:customStyle="1" w:styleId="Paragraph">
    <w:name w:val="Paragraph"/>
    <w:aliases w:val="paragraph,p,PARAGRAPH,PG,pa,at"/>
    <w:basedOn w:val="Normal"/>
    <w:link w:val="ParagraphChar"/>
    <w:uiPriority w:val="99"/>
    <w:rsid w:val="00C34D0E"/>
    <w:pPr>
      <w:tabs>
        <w:tab w:val="left" w:pos="851"/>
      </w:tabs>
      <w:spacing w:before="120" w:after="120"/>
      <w:jc w:val="both"/>
    </w:pPr>
    <w:rPr>
      <w:rFonts w:ascii="Arial" w:eastAsia="Times New Roman" w:hAnsi="Arial" w:cs="Times New Roman"/>
      <w:sz w:val="22"/>
      <w:lang w:val="it-IT" w:eastAsia="it-IT"/>
    </w:rPr>
  </w:style>
  <w:style w:type="character" w:customStyle="1" w:styleId="ParagraphChar">
    <w:name w:val="Paragraph Char"/>
    <w:basedOn w:val="DefaultParagraphFont"/>
    <w:link w:val="Paragraph"/>
    <w:uiPriority w:val="99"/>
    <w:rsid w:val="00C34D0E"/>
    <w:rPr>
      <w:rFonts w:ascii="Arial" w:eastAsia="Times New Roman" w:hAnsi="Arial"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customStyle="1" w:styleId="HeaderChar">
    <w:name w:val="Header Char"/>
    <w:basedOn w:val="DefaultParagraphFont"/>
    <w:link w:val="Header"/>
    <w:uiPriority w:val="99"/>
    <w:rsid w:val="00953C33"/>
  </w:style>
  <w:style w:type="paragraph" w:styleId="Footer">
    <w:name w:val="footer"/>
    <w:basedOn w:val="Normal"/>
    <w:link w:val="FooterChar"/>
    <w:uiPriority w:val="99"/>
    <w:unhideWhenUsed/>
    <w:rsid w:val="00953C33"/>
    <w:pPr>
      <w:tabs>
        <w:tab w:val="center" w:pos="4320"/>
        <w:tab w:val="right" w:pos="8640"/>
      </w:tabs>
    </w:pPr>
  </w:style>
  <w:style w:type="character" w:customStyle="1" w:styleId="FooterChar">
    <w:name w:val="Footer Char"/>
    <w:basedOn w:val="DefaultParagraphFont"/>
    <w:link w:val="Footer"/>
    <w:uiPriority w:val="99"/>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eastAsiaTheme="majorEastAsia" w:hAnsiTheme="majorHAnsi"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customStyle="1" w:styleId="Default">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82417"/>
    <w:pPr>
      <w:ind w:left="720"/>
      <w:contextualSpacing/>
    </w:pPr>
  </w:style>
  <w:style w:type="paragraph" w:styleId="FootnoteText">
    <w:name w:val="footnote text"/>
    <w:basedOn w:val="Normal"/>
    <w:link w:val="FootnoteTextChar"/>
    <w:uiPriority w:val="99"/>
    <w:unhideWhenUsed/>
    <w:rsid w:val="00356C72"/>
  </w:style>
  <w:style w:type="character" w:customStyle="1" w:styleId="FootnoteTextChar">
    <w:name w:val="Footnote Text Char"/>
    <w:basedOn w:val="DefaultParagraphFont"/>
    <w:link w:val="FootnoteText"/>
    <w:uiPriority w:val="99"/>
    <w:rsid w:val="00356C72"/>
  </w:style>
  <w:style w:type="character" w:styleId="FootnoteReference">
    <w:name w:val="footnote reference"/>
    <w:basedOn w:val="DefaultParagraphFont"/>
    <w:unhideWhenUsed/>
    <w:rsid w:val="00356C72"/>
    <w:rPr>
      <w:vertAlign w:val="superscript"/>
    </w:rPr>
  </w:style>
  <w:style w:type="paragraph" w:styleId="EndnoteText">
    <w:name w:val="endnote text"/>
    <w:basedOn w:val="Normal"/>
    <w:link w:val="EndnoteTextChar"/>
    <w:uiPriority w:val="99"/>
    <w:unhideWhenUsed/>
    <w:rsid w:val="00CD70DC"/>
  </w:style>
  <w:style w:type="character" w:customStyle="1" w:styleId="EndnoteTextChar">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D70DC"/>
    <w:rPr>
      <w:rFonts w:ascii="Times New Roman" w:eastAsia="Times New Roman" w:hAnsi="Times New Roman" w:cs="Times New Roman"/>
      <w:szCs w:val="20"/>
    </w:rPr>
  </w:style>
  <w:style w:type="paragraph" w:styleId="BodyText">
    <w:name w:val="Body Text"/>
    <w:basedOn w:val="Normal"/>
    <w:link w:val="BodyTextChar"/>
    <w:uiPriority w:val="99"/>
    <w:unhideWhenUsed/>
    <w:rsid w:val="00AB569A"/>
    <w:pPr>
      <w:spacing w:after="120"/>
    </w:pPr>
  </w:style>
  <w:style w:type="character" w:customStyle="1" w:styleId="BodyTextChar">
    <w:name w:val="Body Text Char"/>
    <w:basedOn w:val="DefaultParagraphFont"/>
    <w:link w:val="BodyText"/>
    <w:uiPriority w:val="99"/>
    <w:rsid w:val="00AB569A"/>
  </w:style>
  <w:style w:type="character" w:styleId="Hyperlink">
    <w:name w:val="Hyperlink"/>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84A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0FB"/>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F54393"/>
  </w:style>
  <w:style w:type="paragraph" w:styleId="Caption">
    <w:name w:val="caption"/>
    <w:basedOn w:val="Normal"/>
    <w:next w:val="Normal"/>
    <w:uiPriority w:val="35"/>
    <w:unhideWhenUsed/>
    <w:qFormat/>
    <w:rsid w:val="00FC0F77"/>
    <w:pPr>
      <w:spacing w:after="200"/>
    </w:pPr>
    <w:rPr>
      <w:i/>
      <w:iCs/>
      <w:color w:val="1F497D" w:themeColor="text2"/>
      <w:sz w:val="18"/>
      <w:szCs w:val="18"/>
    </w:rPr>
  </w:style>
  <w:style w:type="paragraph" w:customStyle="1" w:styleId="Chapter">
    <w:name w:val="Chapter"/>
    <w:basedOn w:val="Normal"/>
    <w:next w:val="Normal"/>
    <w:uiPriority w:val="99"/>
    <w:rsid w:val="001C3F41"/>
    <w:pPr>
      <w:keepNext/>
      <w:tabs>
        <w:tab w:val="left" w:pos="1440"/>
        <w:tab w:val="num" w:pos="4680"/>
      </w:tabs>
      <w:spacing w:before="240" w:after="240"/>
      <w:ind w:left="4032" w:firstLine="288"/>
      <w:jc w:val="center"/>
    </w:pPr>
    <w:rPr>
      <w:rFonts w:ascii="Times New Roman" w:hAnsi="Times New Roman" w:cs="Times New Roman"/>
      <w:b/>
      <w:smallCaps/>
      <w:szCs w:val="20"/>
      <w:lang w:val="es-ES_tradnl"/>
    </w:rPr>
  </w:style>
  <w:style w:type="paragraph" w:customStyle="1" w:styleId="subpar">
    <w:name w:val="subpar"/>
    <w:basedOn w:val="BodyTextIndent3"/>
    <w:rsid w:val="001C3F41"/>
    <w:pPr>
      <w:tabs>
        <w:tab w:val="num" w:pos="0"/>
        <w:tab w:val="num" w:pos="360"/>
        <w:tab w:val="num" w:pos="1152"/>
      </w:tabs>
      <w:spacing w:before="120"/>
      <w:ind w:left="1152" w:hanging="360"/>
      <w:jc w:val="both"/>
      <w:outlineLvl w:val="2"/>
    </w:pPr>
    <w:rPr>
      <w:rFonts w:ascii="Times New Roman" w:hAnsi="Times New Roman" w:cs="Times New Roman"/>
      <w:sz w:val="24"/>
      <w:szCs w:val="20"/>
      <w:lang w:val="es-ES_tradnl"/>
    </w:rPr>
  </w:style>
  <w:style w:type="paragraph" w:customStyle="1" w:styleId="SubSubPar">
    <w:name w:val="SubSubPar"/>
    <w:basedOn w:val="subpar"/>
    <w:rsid w:val="001C3F41"/>
    <w:pPr>
      <w:tabs>
        <w:tab w:val="left" w:pos="0"/>
        <w:tab w:val="num" w:pos="1296"/>
        <w:tab w:val="num" w:pos="4395"/>
      </w:tabs>
      <w:ind w:left="1296"/>
    </w:pPr>
  </w:style>
  <w:style w:type="paragraph" w:styleId="BodyTextIndent3">
    <w:name w:val="Body Text Indent 3"/>
    <w:basedOn w:val="Normal"/>
    <w:link w:val="BodyTextIndent3Char"/>
    <w:uiPriority w:val="99"/>
    <w:semiHidden/>
    <w:unhideWhenUsed/>
    <w:rsid w:val="001C3F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3F41"/>
    <w:rPr>
      <w:sz w:val="16"/>
      <w:szCs w:val="16"/>
    </w:rPr>
  </w:style>
  <w:style w:type="table" w:customStyle="1" w:styleId="GridTable4-Accent11">
    <w:name w:val="Grid Table 4 - Accent 11"/>
    <w:basedOn w:val="TableNormal"/>
    <w:uiPriority w:val="49"/>
    <w:rsid w:val="006F6B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F21635"/>
    <w:rPr>
      <w:color w:val="800080" w:themeColor="followedHyperlink"/>
      <w:u w:val="single"/>
    </w:rPr>
  </w:style>
  <w:style w:type="character" w:styleId="Mention">
    <w:name w:val="Mention"/>
    <w:basedOn w:val="DefaultParagraphFont"/>
    <w:uiPriority w:val="99"/>
    <w:semiHidden/>
    <w:unhideWhenUsed/>
    <w:rsid w:val="006D07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9554">
      <w:bodyDiv w:val="1"/>
      <w:marLeft w:val="0"/>
      <w:marRight w:val="0"/>
      <w:marTop w:val="0"/>
      <w:marBottom w:val="0"/>
      <w:divBdr>
        <w:top w:val="none" w:sz="0" w:space="0" w:color="auto"/>
        <w:left w:val="none" w:sz="0" w:space="0" w:color="auto"/>
        <w:bottom w:val="none" w:sz="0" w:space="0" w:color="auto"/>
        <w:right w:val="none" w:sz="0" w:space="0" w:color="auto"/>
      </w:divBdr>
    </w:div>
    <w:div w:id="391587899">
      <w:bodyDiv w:val="1"/>
      <w:marLeft w:val="0"/>
      <w:marRight w:val="0"/>
      <w:marTop w:val="0"/>
      <w:marBottom w:val="0"/>
      <w:divBdr>
        <w:top w:val="none" w:sz="0" w:space="0" w:color="auto"/>
        <w:left w:val="none" w:sz="0" w:space="0" w:color="auto"/>
        <w:bottom w:val="none" w:sz="0" w:space="0" w:color="auto"/>
        <w:right w:val="none" w:sz="0" w:space="0" w:color="auto"/>
      </w:divBdr>
    </w:div>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780881189">
      <w:bodyDiv w:val="1"/>
      <w:marLeft w:val="0"/>
      <w:marRight w:val="0"/>
      <w:marTop w:val="0"/>
      <w:marBottom w:val="0"/>
      <w:divBdr>
        <w:top w:val="none" w:sz="0" w:space="0" w:color="auto"/>
        <w:left w:val="none" w:sz="0" w:space="0" w:color="auto"/>
        <w:bottom w:val="none" w:sz="0" w:space="0" w:color="auto"/>
        <w:right w:val="none" w:sz="0" w:space="0" w:color="auto"/>
      </w:divBdr>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919103498">
      <w:bodyDiv w:val="1"/>
      <w:marLeft w:val="0"/>
      <w:marRight w:val="0"/>
      <w:marTop w:val="0"/>
      <w:marBottom w:val="0"/>
      <w:divBdr>
        <w:top w:val="none" w:sz="0" w:space="0" w:color="auto"/>
        <w:left w:val="none" w:sz="0" w:space="0" w:color="auto"/>
        <w:bottom w:val="none" w:sz="0" w:space="0" w:color="auto"/>
        <w:right w:val="none" w:sz="0" w:space="0" w:color="auto"/>
      </w:divBdr>
    </w:div>
    <w:div w:id="1013995962">
      <w:bodyDiv w:val="1"/>
      <w:marLeft w:val="0"/>
      <w:marRight w:val="0"/>
      <w:marTop w:val="0"/>
      <w:marBottom w:val="0"/>
      <w:divBdr>
        <w:top w:val="none" w:sz="0" w:space="0" w:color="auto"/>
        <w:left w:val="none" w:sz="0" w:space="0" w:color="auto"/>
        <w:bottom w:val="none" w:sz="0" w:space="0" w:color="auto"/>
        <w:right w:val="none" w:sz="0" w:space="0" w:color="auto"/>
      </w:divBdr>
    </w:div>
    <w:div w:id="1074468916">
      <w:bodyDiv w:val="1"/>
      <w:marLeft w:val="0"/>
      <w:marRight w:val="0"/>
      <w:marTop w:val="0"/>
      <w:marBottom w:val="0"/>
      <w:divBdr>
        <w:top w:val="none" w:sz="0" w:space="0" w:color="auto"/>
        <w:left w:val="none" w:sz="0" w:space="0" w:color="auto"/>
        <w:bottom w:val="none" w:sz="0" w:space="0" w:color="auto"/>
        <w:right w:val="none" w:sz="0" w:space="0" w:color="auto"/>
      </w:divBdr>
    </w:div>
    <w:div w:id="1285043342">
      <w:bodyDiv w:val="1"/>
      <w:marLeft w:val="0"/>
      <w:marRight w:val="0"/>
      <w:marTop w:val="0"/>
      <w:marBottom w:val="0"/>
      <w:divBdr>
        <w:top w:val="none" w:sz="0" w:space="0" w:color="auto"/>
        <w:left w:val="none" w:sz="0" w:space="0" w:color="auto"/>
        <w:bottom w:val="none" w:sz="0" w:space="0" w:color="auto"/>
        <w:right w:val="none" w:sz="0" w:space="0" w:color="auto"/>
      </w:divBdr>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611082641">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 w:id="190336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adb.org/Document.cfm?id=EZSHARE-448177878-75" TargetMode="Externa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FDAA5BD4A0CB845A1EA6B589E2A226F" ma:contentTypeVersion="25" ma:contentTypeDescription="A content type to manage public (operations) IDB documents" ma:contentTypeScope="" ma:versionID="4330da6acb2e761d14dc57979335eca6">
  <xsd:schema xmlns:xsd="http://www.w3.org/2001/XMLSchema" xmlns:xs="http://www.w3.org/2001/XMLSchema" xmlns:p="http://schemas.microsoft.com/office/2006/metadata/properties" xmlns:ns2="cdc7663a-08f0-4737-9e8c-148ce897a09c" targetNamespace="http://schemas.microsoft.com/office/2006/metadata/properties" ma:root="true" ma:fieldsID="bcea056ba81274f896f5e7327bdd1ee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9364D79A0B73E640A647BF5B061B8142" ma:contentTypeVersion="20" ma:contentTypeDescription="The base project type from which other project content types inherit their information." ma:contentTypeScope="" ma:versionID="90604f95882ea8a692c6db5c6cdfd7bb">
  <xsd:schema xmlns:xsd="http://www.w3.org/2001/XMLSchema" xmlns:xs="http://www.w3.org/2001/XMLSchema" xmlns:p="http://schemas.microsoft.com/office/2006/metadata/properties" xmlns:ns2="cdc7663a-08f0-4737-9e8c-148ce897a09c" targetNamespace="http://schemas.microsoft.com/office/2006/metadata/properties" ma:root="true" ma:fieldsID="f999e881e15e4ad31e626ab70ba37c3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Paraguay</TermName>
          <TermId xmlns="http://schemas.microsoft.com/office/infopath/2007/PartnerControls">50282442-27e7-4526-9d04-55bf5da33a10</TermId>
        </TermInfo>
      </Terms>
    </ic46d7e087fd4a108fb86518ca413cc6>
    <IDBDocs_x0020_Number xmlns="cdc7663a-08f0-4737-9e8c-148ce897a09c" xsi:nil="true"/>
    <Division_x0020_or_x0020_Unit xmlns="cdc7663a-08f0-4737-9e8c-148ce897a09c">INE/TSP</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1880/BL-PR;</Approval_x0020_Number>
    <Phase xmlns="cdc7663a-08f0-4737-9e8c-148ce897a09c">ACTIVE</Phase>
    <Document_x0020_Author xmlns="cdc7663a-08f0-4737-9e8c-148ce897a09c">Cocha, Agustina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PRIMARY EDUCATION</TermName>
          <TermId xmlns="http://schemas.microsoft.com/office/infopath/2007/PartnerControls">3c9aef6b-e3d8-4e56-bc3a-dd53e692346f</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BLD</TermName>
          <TermId xmlns="http://schemas.microsoft.com/office/infopath/2007/PartnerControls">60acb4c1-0ef3-40ba-9d70-f741cd9e6c23</TermId>
        </TermInfo>
      </Terms>
    </g511464f9e53401d84b16fa9b379a574>
    <TaxCatchAll xmlns="cdc7663a-08f0-4737-9e8c-148ce897a09c">
      <Value>24</Value>
      <Value>32</Value>
      <Value>3</Value>
      <Value>31</Value>
      <Value>28</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PR-L1017</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e61db9d8-dcb9-423f-a737-53d6e603e7c4</TermId>
        </TermInfo>
      </Terms>
    </nddeef1749674d76abdbe4b239a70bc6>
    <Record_x0020_Number xmlns="cdc7663a-08f0-4737-9e8c-148ce897a09c">R0000954631</Record_x0020_Number>
    <_dlc_DocId xmlns="cdc7663a-08f0-4737-9e8c-148ce897a09c">EZSHARE-1592116471-9</_dlc_DocId>
    <_dlc_DocIdUrl xmlns="cdc7663a-08f0-4737-9e8c-148ce897a09c">
      <Url>https://idbg.sharepoint.com/teams/EZ-PR-LON/PR-L1017/_layouts/15/DocIdRedir.aspx?ID=EZSHARE-1592116471-9</Url>
      <Description>EZSHARE-1592116471-9</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83E8-44CE-4587-913B-88A8D9A9F55A}">
  <ds:schemaRefs>
    <ds:schemaRef ds:uri="http://schemas.microsoft.com/sharepoint/v3/contenttype/forms"/>
  </ds:schemaRefs>
</ds:datastoreItem>
</file>

<file path=customXml/itemProps2.xml><?xml version="1.0" encoding="utf-8"?>
<ds:datastoreItem xmlns:ds="http://schemas.openxmlformats.org/officeDocument/2006/customXml" ds:itemID="{0C42F39B-9283-4879-9463-32AFA8BEAE63}"/>
</file>

<file path=customXml/itemProps3.xml><?xml version="1.0" encoding="utf-8"?>
<ds:datastoreItem xmlns:ds="http://schemas.openxmlformats.org/officeDocument/2006/customXml" ds:itemID="{3A3F0966-5E1B-4A70-9D1D-38C3244B95DC}">
  <ds:schemaRefs>
    <ds:schemaRef ds:uri="http://schemas.microsoft.com/sharepoint/events"/>
  </ds:schemaRefs>
</ds:datastoreItem>
</file>

<file path=customXml/itemProps4.xml><?xml version="1.0" encoding="utf-8"?>
<ds:datastoreItem xmlns:ds="http://schemas.openxmlformats.org/officeDocument/2006/customXml" ds:itemID="{EEEBA660-B4B5-423C-852A-458AA3460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F2A7F0-36CB-484D-AFD9-0FDC5C44B6D0}"/>
</file>

<file path=customXml/itemProps6.xml><?xml version="1.0" encoding="utf-8"?>
<ds:datastoreItem xmlns:ds="http://schemas.openxmlformats.org/officeDocument/2006/customXml" ds:itemID="{3C4C4B56-4CE3-4826-804D-E5E9280B5FE8}">
  <ds:schemaRefs>
    <ds:schemaRef ds:uri="http://schemas.microsoft.com/office/2006/metadata/properties"/>
    <ds:schemaRef ds:uri="http://schemas.microsoft.com/office/infopath/2007/PartnerControls"/>
    <ds:schemaRef ds:uri="cdc7663a-08f0-4737-9e8c-148ce897a09c"/>
  </ds:schemaRefs>
</ds:datastoreItem>
</file>

<file path=customXml/itemProps7.xml><?xml version="1.0" encoding="utf-8"?>
<ds:datastoreItem xmlns:ds="http://schemas.openxmlformats.org/officeDocument/2006/customXml" ds:itemID="{A212B099-706F-45DA-870C-6903B972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 Milagros Cecilia</dc:creator>
  <cp:keywords/>
  <cp:lastModifiedBy>Contreras Gomez, Rafael Eduardo</cp:lastModifiedBy>
  <cp:revision>12</cp:revision>
  <cp:lastPrinted>2017-03-06T15:04:00Z</cp:lastPrinted>
  <dcterms:created xsi:type="dcterms:W3CDTF">2017-05-31T18:11:00Z</dcterms:created>
  <dcterms:modified xsi:type="dcterms:W3CDTF">2017-09-13T18:33:00Z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32;#PRIMARY EDUCATION|3c9aef6b-e3d8-4e56-bc3a-dd53e692346f</vt:lpwstr>
  </property>
  <property fmtid="{D5CDD505-2E9C-101B-9397-08002B2CF9AE}" pid="7" name="Country">
    <vt:lpwstr>24;#Paraguay|50282442-27e7-4526-9d04-55bf5da33a10</vt:lpwstr>
  </property>
  <property fmtid="{D5CDD505-2E9C-101B-9397-08002B2CF9AE}" pid="8" name="Fund IDB">
    <vt:lpwstr>28;#BLD|60acb4c1-0ef3-40ba-9d70-f741cd9e6c23</vt:lpwstr>
  </property>
  <property fmtid="{D5CDD505-2E9C-101B-9397-08002B2CF9AE}" pid="9" name="_dlc_DocIdItemGuid">
    <vt:lpwstr>54ee23a2-7e3a-4855-8153-33de3ba21d0c</vt:lpwstr>
  </property>
  <property fmtid="{D5CDD505-2E9C-101B-9397-08002B2CF9AE}" pid="10" name="Sector IDB">
    <vt:lpwstr>31;#EDUCATION|e61db9d8-dcb9-423f-a737-53d6e603e7c4</vt:lpwstr>
  </property>
  <property fmtid="{D5CDD505-2E9C-101B-9397-08002B2CF9AE}" pid="11" name="Function Operations IDB">
    <vt:lpwstr>3;#Monitoring and Reporting|df3c2aa1-d63e-41aa-b1f5-bb15dee691ca</vt:lpwstr>
  </property>
  <property fmtid="{D5CDD505-2E9C-101B-9397-08002B2CF9AE}" pid="12" name="RecordPoint_ActiveItemMoved">
    <vt:lpwstr>/teams/EZ-PR-LON/PR-L1017/15 LifeCycle Milestones/Draft Area/Modificación2017/PR-L1017_EER1_IGAS.docx</vt:lpwstr>
  </property>
  <property fmtid="{D5CDD505-2E9C-101B-9397-08002B2CF9AE}" pid="13" name="RecordStorageActiveId">
    <vt:lpwstr>4276049b-94a9-4be9-9d7c-8af5201575ad</vt:lpwstr>
  </property>
  <property fmtid="{D5CDD505-2E9C-101B-9397-08002B2CF9AE}" pid="14" name="Disclosure Activity">
    <vt:lpwstr>Loan Proposal</vt:lpwstr>
  </property>
  <property fmtid="{D5CDD505-2E9C-101B-9397-08002B2CF9AE}" pid="15" name="ContentTypeId">
    <vt:lpwstr>0x0101001A458A224826124E8B45B1D613300CFC00EFDAA5BD4A0CB845A1EA6B589E2A226F</vt:lpwstr>
  </property>
</Properties>
</file>