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4B70" w14:textId="77777777" w:rsidR="00412CCC" w:rsidRPr="00BE68F3" w:rsidRDefault="00412CCC" w:rsidP="00412CCC">
      <w:pPr>
        <w:tabs>
          <w:tab w:val="left" w:pos="1440"/>
          <w:tab w:val="left" w:pos="3060"/>
        </w:tabs>
        <w:jc w:val="center"/>
        <w:rPr>
          <w:rFonts w:ascii="Arial" w:hAnsi="Arial" w:cs="Arial"/>
          <w:b/>
          <w:smallCaps/>
          <w:szCs w:val="22"/>
          <w:lang w:val="es-ES_tradnl"/>
        </w:rPr>
      </w:pPr>
      <w:bookmarkStart w:id="0" w:name="_Toc4523740"/>
      <w:bookmarkStart w:id="1" w:name="_Toc450478057"/>
      <w:bookmarkStart w:id="2" w:name="_Toc451059709"/>
      <w:bookmarkStart w:id="3" w:name="_Toc451059773"/>
      <w:bookmarkStart w:id="4" w:name="_Toc451922481"/>
      <w:bookmarkStart w:id="5" w:name="_Toc456499472"/>
      <w:bookmarkStart w:id="6" w:name="_Toc456499566"/>
      <w:bookmarkStart w:id="7" w:name="_Toc456499761"/>
      <w:bookmarkStart w:id="8" w:name="_Toc456503329"/>
      <w:bookmarkStart w:id="9" w:name="_Toc456503699"/>
      <w:bookmarkStart w:id="10" w:name="_Toc456504251"/>
      <w:bookmarkStart w:id="11" w:name="_Toc456504339"/>
      <w:bookmarkStart w:id="12" w:name="_Toc456504433"/>
      <w:bookmarkStart w:id="13" w:name="_Toc456504520"/>
    </w:p>
    <w:p w14:paraId="0C9AAD01" w14:textId="77777777" w:rsidR="00C11C93" w:rsidRDefault="00C11C93" w:rsidP="00412CCC">
      <w:pPr>
        <w:tabs>
          <w:tab w:val="left" w:pos="1440"/>
          <w:tab w:val="left" w:pos="3060"/>
        </w:tabs>
        <w:jc w:val="center"/>
        <w:rPr>
          <w:rFonts w:ascii="Arial" w:hAnsi="Arial" w:cs="Arial"/>
          <w:b/>
          <w:smallCaps/>
          <w:szCs w:val="22"/>
          <w:lang w:val="es-ES_tradnl"/>
        </w:rPr>
      </w:pPr>
      <w:r w:rsidRPr="00C11C93">
        <w:rPr>
          <w:rFonts w:ascii="Arial" w:hAnsi="Arial" w:cs="Arial"/>
          <w:b/>
          <w:smallCaps/>
          <w:szCs w:val="22"/>
          <w:lang w:val="es-ES_tradnl"/>
        </w:rPr>
        <w:t xml:space="preserve">Proyecto de Saneamiento de Ciudad del Plata, Etapa I </w:t>
      </w:r>
    </w:p>
    <w:p w14:paraId="5CDDEAF2" w14:textId="6088643D" w:rsidR="00412CCC" w:rsidRPr="00135D02" w:rsidRDefault="00912187" w:rsidP="00412CCC">
      <w:pPr>
        <w:tabs>
          <w:tab w:val="left" w:pos="1440"/>
          <w:tab w:val="left" w:pos="3060"/>
        </w:tabs>
        <w:jc w:val="center"/>
        <w:rPr>
          <w:rFonts w:ascii="Arial" w:hAnsi="Arial" w:cs="Arial"/>
          <w:b/>
          <w:smallCaps/>
          <w:szCs w:val="22"/>
          <w:lang w:val="es-ES_tradnl"/>
        </w:rPr>
      </w:pPr>
      <w:r w:rsidRPr="00135D02">
        <w:rPr>
          <w:rFonts w:ascii="Arial" w:hAnsi="Arial" w:cs="Arial"/>
          <w:b/>
          <w:smallCaps/>
          <w:szCs w:val="22"/>
          <w:lang w:val="es-ES_tradnl"/>
        </w:rPr>
        <w:t>(</w:t>
      </w:r>
      <w:r w:rsidR="00C11C93">
        <w:rPr>
          <w:rFonts w:ascii="Arial" w:hAnsi="Arial" w:cs="Arial"/>
          <w:b/>
          <w:smallCaps/>
          <w:szCs w:val="22"/>
          <w:lang w:val="es-ES_tradnl"/>
        </w:rPr>
        <w:t>UR</w:t>
      </w:r>
      <w:r w:rsidRPr="00135D02">
        <w:rPr>
          <w:rFonts w:ascii="Arial" w:hAnsi="Arial" w:cs="Arial"/>
          <w:b/>
          <w:smallCaps/>
          <w:szCs w:val="22"/>
          <w:lang w:val="es-ES_tradnl"/>
        </w:rPr>
        <w:t>-L11</w:t>
      </w:r>
      <w:r w:rsidR="00C11C93">
        <w:rPr>
          <w:rFonts w:ascii="Arial" w:hAnsi="Arial" w:cs="Arial"/>
          <w:b/>
          <w:smallCaps/>
          <w:szCs w:val="22"/>
          <w:lang w:val="es-ES_tradnl"/>
        </w:rPr>
        <w:t>49</w:t>
      </w:r>
      <w:r w:rsidRPr="00135D02">
        <w:rPr>
          <w:rFonts w:ascii="Arial" w:hAnsi="Arial" w:cs="Arial"/>
          <w:b/>
          <w:smallCaps/>
          <w:szCs w:val="22"/>
          <w:lang w:val="es-ES_tradnl"/>
        </w:rPr>
        <w:t>)</w:t>
      </w:r>
    </w:p>
    <w:p w14:paraId="488B3149" w14:textId="77777777" w:rsidR="00412CCC" w:rsidRPr="00135D02" w:rsidRDefault="00412CCC" w:rsidP="00435215">
      <w:pPr>
        <w:jc w:val="center"/>
        <w:rPr>
          <w:rFonts w:ascii="Arial" w:hAnsi="Arial" w:cs="Arial"/>
          <w:sz w:val="22"/>
          <w:szCs w:val="22"/>
          <w:lang w:val="es-ES_tradnl"/>
        </w:rPr>
      </w:pPr>
    </w:p>
    <w:p w14:paraId="1EEEA286" w14:textId="77777777" w:rsidR="00412CCC" w:rsidRPr="00135D02" w:rsidRDefault="00412CCC" w:rsidP="00435215">
      <w:pPr>
        <w:jc w:val="center"/>
        <w:rPr>
          <w:rFonts w:ascii="Arial" w:hAnsi="Arial" w:cs="Arial"/>
          <w:sz w:val="22"/>
          <w:szCs w:val="22"/>
          <w:lang w:val="es-ES_tradnl"/>
        </w:rPr>
      </w:pPr>
    </w:p>
    <w:p w14:paraId="43DDC2D3" w14:textId="77777777" w:rsidR="00412CCC" w:rsidRPr="00135D02" w:rsidRDefault="00412CCC" w:rsidP="00435215">
      <w:pPr>
        <w:jc w:val="center"/>
        <w:rPr>
          <w:rFonts w:ascii="Arial" w:hAnsi="Arial" w:cs="Arial"/>
          <w:sz w:val="22"/>
          <w:szCs w:val="22"/>
          <w:lang w:val="es-ES_tradnl"/>
        </w:rPr>
      </w:pPr>
    </w:p>
    <w:p w14:paraId="2D87F1D2" w14:textId="77777777" w:rsidR="00412CCC" w:rsidRPr="00135D02" w:rsidRDefault="00412CCC" w:rsidP="00435215">
      <w:pPr>
        <w:pStyle w:val="FirstHeading"/>
        <w:jc w:val="center"/>
        <w:rPr>
          <w:rFonts w:ascii="Arial" w:hAnsi="Arial" w:cs="Arial"/>
          <w:sz w:val="32"/>
          <w:szCs w:val="32"/>
          <w:lang w:val="es-ES_tradnl"/>
        </w:rPr>
      </w:pPr>
    </w:p>
    <w:p w14:paraId="5354BE9C" w14:textId="77777777" w:rsidR="00690E61" w:rsidRPr="00135D02" w:rsidRDefault="00412CCC" w:rsidP="00B21723">
      <w:pPr>
        <w:pStyle w:val="FirstHeading"/>
        <w:ind w:hanging="4824"/>
        <w:jc w:val="center"/>
        <w:rPr>
          <w:rFonts w:ascii="Arial" w:hAnsi="Arial" w:cs="Arial"/>
          <w:sz w:val="32"/>
          <w:szCs w:val="32"/>
        </w:rPr>
      </w:pPr>
      <w:r w:rsidRPr="00135D02">
        <w:rPr>
          <w:rFonts w:ascii="Arial" w:hAnsi="Arial" w:cs="Arial"/>
          <w:sz w:val="32"/>
          <w:szCs w:val="32"/>
        </w:rPr>
        <w:t>ENLACE ELECTRÓNICO OPCIONAL</w:t>
      </w:r>
    </w:p>
    <w:p w14:paraId="75213EC9" w14:textId="77777777" w:rsidR="009B4A9C" w:rsidRPr="00135D02" w:rsidRDefault="00412CCC" w:rsidP="00B21723">
      <w:pPr>
        <w:pStyle w:val="FirstHeading"/>
        <w:ind w:hanging="4824"/>
        <w:jc w:val="center"/>
        <w:rPr>
          <w:rFonts w:ascii="Arial" w:hAnsi="Arial" w:cs="Arial"/>
          <w:sz w:val="32"/>
          <w:szCs w:val="32"/>
        </w:rPr>
      </w:pPr>
      <w:r w:rsidRPr="00135D02">
        <w:rPr>
          <w:rFonts w:ascii="Arial" w:hAnsi="Arial" w:cs="Arial"/>
          <w:sz w:val="32"/>
          <w:szCs w:val="32"/>
        </w:rPr>
        <w:t>ANÁLISIS FINANCIERO</w:t>
      </w:r>
    </w:p>
    <w:p w14:paraId="1772963D" w14:textId="77777777" w:rsidR="00412CCC" w:rsidRPr="00135D02" w:rsidRDefault="00412CCC" w:rsidP="00412CCC">
      <w:pPr>
        <w:rPr>
          <w:rFonts w:ascii="Arial" w:hAnsi="Arial" w:cs="Arial"/>
          <w:sz w:val="32"/>
          <w:szCs w:val="32"/>
          <w:lang w:val="es-ES"/>
        </w:rPr>
      </w:pPr>
    </w:p>
    <w:p w14:paraId="21FA6752" w14:textId="77777777" w:rsidR="00412CCC" w:rsidRPr="00135D02" w:rsidRDefault="00412CCC" w:rsidP="00412CCC">
      <w:pPr>
        <w:rPr>
          <w:rFonts w:ascii="Arial" w:hAnsi="Arial" w:cs="Arial"/>
          <w:sz w:val="32"/>
          <w:szCs w:val="32"/>
          <w:lang w:val="es-ES"/>
        </w:rPr>
      </w:pPr>
    </w:p>
    <w:p w14:paraId="1E5A815E" w14:textId="77777777" w:rsidR="00435215" w:rsidRPr="00135D02" w:rsidRDefault="00412CCC" w:rsidP="00412CCC">
      <w:pPr>
        <w:pStyle w:val="FirstHeading"/>
        <w:numPr>
          <w:ilvl w:val="0"/>
          <w:numId w:val="0"/>
        </w:numPr>
        <w:jc w:val="center"/>
        <w:rPr>
          <w:rFonts w:ascii="Arial" w:hAnsi="Arial" w:cs="Arial"/>
          <w:sz w:val="32"/>
          <w:szCs w:val="32"/>
        </w:rPr>
      </w:pPr>
      <w:r w:rsidRPr="00135D02">
        <w:rPr>
          <w:rFonts w:ascii="Arial" w:hAnsi="Arial" w:cs="Arial"/>
          <w:sz w:val="32"/>
          <w:szCs w:val="32"/>
        </w:rPr>
        <w:t>TABLA DE CONTENIDO</w:t>
      </w:r>
    </w:p>
    <w:p w14:paraId="1121BF0E" w14:textId="77777777" w:rsidR="00B00430" w:rsidRPr="00135D02" w:rsidRDefault="00B00430" w:rsidP="00B35E51">
      <w:pPr>
        <w:rPr>
          <w:rFonts w:ascii="Arial" w:hAnsi="Arial" w:cs="Arial"/>
          <w:sz w:val="32"/>
          <w:szCs w:val="32"/>
          <w:lang w:val="es-ES"/>
        </w:rPr>
      </w:pPr>
    </w:p>
    <w:p w14:paraId="56AB2FA3" w14:textId="77777777" w:rsidR="00412CCC" w:rsidRPr="00135D02" w:rsidRDefault="00412CCC" w:rsidP="00435215">
      <w:pPr>
        <w:pStyle w:val="FirstHeading"/>
        <w:numPr>
          <w:ilvl w:val="0"/>
          <w:numId w:val="0"/>
        </w:numPr>
        <w:ind w:left="1440" w:hanging="720"/>
        <w:rPr>
          <w:rFonts w:ascii="Arial" w:hAnsi="Arial" w:cs="Arial"/>
          <w:sz w:val="32"/>
          <w:szCs w:val="32"/>
        </w:rPr>
      </w:pPr>
    </w:p>
    <w:p w14:paraId="19966165" w14:textId="22ABA48C" w:rsidR="00187D64" w:rsidRDefault="00187D64" w:rsidP="00187D64">
      <w:pPr>
        <w:pStyle w:val="FirstHeading"/>
        <w:numPr>
          <w:ilvl w:val="0"/>
          <w:numId w:val="6"/>
        </w:numPr>
        <w:rPr>
          <w:rFonts w:ascii="Arial" w:hAnsi="Arial" w:cs="Arial"/>
          <w:sz w:val="32"/>
          <w:szCs w:val="32"/>
        </w:rPr>
      </w:pPr>
      <w:r>
        <w:rPr>
          <w:rFonts w:ascii="Arial" w:hAnsi="Arial" w:cs="Arial"/>
          <w:sz w:val="32"/>
          <w:szCs w:val="32"/>
        </w:rPr>
        <w:t>Introducción</w:t>
      </w:r>
      <w:r w:rsidR="00F150FB" w:rsidRPr="00135D02">
        <w:rPr>
          <w:rFonts w:ascii="Arial" w:hAnsi="Arial" w:cs="Arial"/>
          <w:sz w:val="32"/>
          <w:szCs w:val="32"/>
        </w:rPr>
        <w:tab/>
      </w:r>
    </w:p>
    <w:p w14:paraId="7F109ED3" w14:textId="75E5817D" w:rsidR="009B4A9C" w:rsidRPr="00135D02" w:rsidRDefault="00187D64" w:rsidP="00435215">
      <w:pPr>
        <w:pStyle w:val="FirstHeading"/>
        <w:numPr>
          <w:ilvl w:val="0"/>
          <w:numId w:val="0"/>
        </w:numPr>
        <w:ind w:left="1440" w:hanging="720"/>
        <w:rPr>
          <w:rFonts w:ascii="Arial" w:hAnsi="Arial" w:cs="Arial"/>
          <w:sz w:val="32"/>
          <w:szCs w:val="32"/>
        </w:rPr>
      </w:pPr>
      <w:r>
        <w:rPr>
          <w:rFonts w:ascii="Arial" w:hAnsi="Arial" w:cs="Arial"/>
          <w:sz w:val="32"/>
          <w:szCs w:val="32"/>
        </w:rPr>
        <w:t>II.</w:t>
      </w:r>
      <w:r>
        <w:rPr>
          <w:rFonts w:ascii="Arial" w:hAnsi="Arial" w:cs="Arial"/>
          <w:sz w:val="32"/>
          <w:szCs w:val="32"/>
        </w:rPr>
        <w:tab/>
      </w:r>
      <w:r w:rsidR="008E5B15" w:rsidRPr="00135D02">
        <w:rPr>
          <w:rFonts w:ascii="Arial" w:hAnsi="Arial" w:cs="Arial"/>
          <w:sz w:val="32"/>
          <w:szCs w:val="32"/>
        </w:rPr>
        <w:t>A</w:t>
      </w:r>
      <w:r w:rsidR="009B4A9C" w:rsidRPr="00135D02">
        <w:rPr>
          <w:rFonts w:ascii="Arial" w:hAnsi="Arial" w:cs="Arial"/>
          <w:sz w:val="32"/>
          <w:szCs w:val="32"/>
        </w:rPr>
        <w:t xml:space="preserve">lcance </w:t>
      </w:r>
    </w:p>
    <w:p w14:paraId="3BA9F99E" w14:textId="5F3E9398" w:rsidR="009B4A9C" w:rsidRPr="00135D02" w:rsidRDefault="00B00430" w:rsidP="00435215">
      <w:pPr>
        <w:pStyle w:val="FirstHeading"/>
        <w:numPr>
          <w:ilvl w:val="0"/>
          <w:numId w:val="0"/>
        </w:numPr>
        <w:ind w:left="1440" w:hanging="720"/>
        <w:rPr>
          <w:rFonts w:ascii="Arial" w:hAnsi="Arial" w:cs="Arial"/>
          <w:sz w:val="32"/>
          <w:szCs w:val="32"/>
        </w:rPr>
      </w:pPr>
      <w:r w:rsidRPr="00135D02">
        <w:rPr>
          <w:rFonts w:ascii="Arial" w:hAnsi="Arial" w:cs="Arial"/>
          <w:sz w:val="32"/>
          <w:szCs w:val="32"/>
        </w:rPr>
        <w:t>II</w:t>
      </w:r>
      <w:r w:rsidR="00187D64">
        <w:rPr>
          <w:rFonts w:ascii="Arial" w:hAnsi="Arial" w:cs="Arial"/>
          <w:sz w:val="32"/>
          <w:szCs w:val="32"/>
        </w:rPr>
        <w:t>I</w:t>
      </w:r>
      <w:r w:rsidR="009B4A9C" w:rsidRPr="00135D02">
        <w:rPr>
          <w:rFonts w:ascii="Arial" w:hAnsi="Arial" w:cs="Arial"/>
          <w:sz w:val="32"/>
          <w:szCs w:val="32"/>
        </w:rPr>
        <w:t>.</w:t>
      </w:r>
      <w:r w:rsidR="009B4A9C" w:rsidRPr="00135D02">
        <w:rPr>
          <w:rFonts w:ascii="Arial" w:hAnsi="Arial" w:cs="Arial"/>
          <w:sz w:val="32"/>
          <w:szCs w:val="32"/>
        </w:rPr>
        <w:tab/>
        <w:t>Análisis histórico</w:t>
      </w:r>
    </w:p>
    <w:p w14:paraId="02D9F918" w14:textId="1A20E700" w:rsidR="009B4A9C" w:rsidRPr="00135D02" w:rsidRDefault="004C6D1B" w:rsidP="00435215">
      <w:pPr>
        <w:pStyle w:val="FirstHeading"/>
        <w:numPr>
          <w:ilvl w:val="0"/>
          <w:numId w:val="0"/>
        </w:numPr>
        <w:ind w:left="1440" w:hanging="720"/>
        <w:rPr>
          <w:rFonts w:ascii="Arial" w:hAnsi="Arial" w:cs="Arial"/>
          <w:sz w:val="32"/>
          <w:szCs w:val="32"/>
        </w:rPr>
      </w:pPr>
      <w:r w:rsidRPr="00135D02">
        <w:rPr>
          <w:rFonts w:ascii="Arial" w:hAnsi="Arial" w:cs="Arial"/>
          <w:sz w:val="32"/>
          <w:szCs w:val="32"/>
        </w:rPr>
        <w:t>II</w:t>
      </w:r>
      <w:r w:rsidR="00187D64">
        <w:rPr>
          <w:rFonts w:ascii="Arial" w:hAnsi="Arial" w:cs="Arial"/>
          <w:sz w:val="32"/>
          <w:szCs w:val="32"/>
        </w:rPr>
        <w:t>V</w:t>
      </w:r>
      <w:r w:rsidR="009B4A9C" w:rsidRPr="00135D02">
        <w:rPr>
          <w:rFonts w:ascii="Arial" w:hAnsi="Arial" w:cs="Arial"/>
          <w:sz w:val="32"/>
          <w:szCs w:val="32"/>
        </w:rPr>
        <w:t>.</w:t>
      </w:r>
      <w:r w:rsidR="009B4A9C" w:rsidRPr="00135D02">
        <w:rPr>
          <w:rFonts w:ascii="Arial" w:hAnsi="Arial" w:cs="Arial"/>
          <w:sz w:val="32"/>
          <w:szCs w:val="32"/>
        </w:rPr>
        <w:tab/>
        <w:t xml:space="preserve">Análisis de </w:t>
      </w:r>
      <w:r w:rsidR="00690E61" w:rsidRPr="00135D02">
        <w:rPr>
          <w:rFonts w:ascii="Arial" w:hAnsi="Arial" w:cs="Arial"/>
          <w:sz w:val="32"/>
          <w:szCs w:val="32"/>
        </w:rPr>
        <w:t xml:space="preserve">las proyecciones </w:t>
      </w:r>
    </w:p>
    <w:p w14:paraId="7F35C743" w14:textId="3584E516" w:rsidR="009B4A9C" w:rsidRPr="00135D02" w:rsidRDefault="00B00430" w:rsidP="00435215">
      <w:pPr>
        <w:pStyle w:val="FirstHeading"/>
        <w:numPr>
          <w:ilvl w:val="0"/>
          <w:numId w:val="0"/>
        </w:numPr>
        <w:ind w:left="1440" w:hanging="720"/>
        <w:rPr>
          <w:rFonts w:ascii="Arial" w:hAnsi="Arial" w:cs="Arial"/>
          <w:sz w:val="32"/>
          <w:szCs w:val="32"/>
        </w:rPr>
      </w:pPr>
      <w:r w:rsidRPr="00135D02">
        <w:rPr>
          <w:rFonts w:ascii="Arial" w:hAnsi="Arial" w:cs="Arial"/>
          <w:sz w:val="32"/>
          <w:szCs w:val="32"/>
        </w:rPr>
        <w:t>V</w:t>
      </w:r>
      <w:r w:rsidR="009B4A9C" w:rsidRPr="00135D02">
        <w:rPr>
          <w:rFonts w:ascii="Arial" w:hAnsi="Arial" w:cs="Arial"/>
          <w:sz w:val="32"/>
          <w:szCs w:val="32"/>
        </w:rPr>
        <w:t>.</w:t>
      </w:r>
      <w:r w:rsidR="009B4A9C" w:rsidRPr="00135D02">
        <w:rPr>
          <w:rFonts w:ascii="Arial" w:hAnsi="Arial" w:cs="Arial"/>
          <w:sz w:val="32"/>
          <w:szCs w:val="32"/>
        </w:rPr>
        <w:tab/>
        <w:t xml:space="preserve">Supuestos </w:t>
      </w:r>
      <w:r w:rsidR="00690E61" w:rsidRPr="00135D02">
        <w:rPr>
          <w:rFonts w:ascii="Arial" w:hAnsi="Arial" w:cs="Arial"/>
          <w:sz w:val="32"/>
          <w:szCs w:val="32"/>
        </w:rPr>
        <w:t xml:space="preserve">para las proyecciones </w:t>
      </w:r>
    </w:p>
    <w:p w14:paraId="4D2A425D" w14:textId="557A3076" w:rsidR="00435215" w:rsidRPr="00135D02" w:rsidRDefault="00B00430" w:rsidP="00435215">
      <w:pPr>
        <w:pStyle w:val="FirstHeading"/>
        <w:numPr>
          <w:ilvl w:val="0"/>
          <w:numId w:val="0"/>
        </w:numPr>
        <w:ind w:left="1440" w:hanging="720"/>
        <w:rPr>
          <w:rFonts w:ascii="Arial" w:hAnsi="Arial" w:cs="Arial"/>
          <w:sz w:val="32"/>
          <w:szCs w:val="32"/>
        </w:rPr>
      </w:pPr>
      <w:r w:rsidRPr="00135D02">
        <w:rPr>
          <w:rFonts w:ascii="Arial" w:hAnsi="Arial" w:cs="Arial"/>
          <w:sz w:val="32"/>
          <w:szCs w:val="32"/>
        </w:rPr>
        <w:t>V</w:t>
      </w:r>
      <w:r w:rsidR="00187D64">
        <w:rPr>
          <w:rFonts w:ascii="Arial" w:hAnsi="Arial" w:cs="Arial"/>
          <w:sz w:val="32"/>
          <w:szCs w:val="32"/>
        </w:rPr>
        <w:t>I</w:t>
      </w:r>
      <w:r w:rsidR="00C30B36" w:rsidRPr="00135D02">
        <w:rPr>
          <w:rFonts w:ascii="Arial" w:hAnsi="Arial" w:cs="Arial"/>
          <w:sz w:val="32"/>
          <w:szCs w:val="32"/>
        </w:rPr>
        <w:t>.</w:t>
      </w:r>
      <w:r w:rsidR="00C30B36" w:rsidRPr="00135D02">
        <w:rPr>
          <w:rFonts w:ascii="Arial" w:hAnsi="Arial" w:cs="Arial"/>
          <w:sz w:val="32"/>
          <w:szCs w:val="32"/>
        </w:rPr>
        <w:tab/>
        <w:t>Proyecciones financiera</w:t>
      </w:r>
    </w:p>
    <w:bookmarkEnd w:id="0"/>
    <w:p w14:paraId="45D39D47" w14:textId="77777777" w:rsidR="00CA09F2" w:rsidRPr="00135D02" w:rsidRDefault="00CA09F2" w:rsidP="00BA4588">
      <w:pPr>
        <w:pStyle w:val="FirstHeading"/>
        <w:numPr>
          <w:ilvl w:val="0"/>
          <w:numId w:val="0"/>
        </w:numPr>
        <w:rPr>
          <w:rFonts w:ascii="Arial" w:hAnsi="Arial" w:cs="Arial"/>
          <w:sz w:val="22"/>
          <w:szCs w:val="22"/>
        </w:rPr>
        <w:sectPr w:rsidR="00CA09F2" w:rsidRPr="00135D02" w:rsidSect="003B150C">
          <w:headerReference w:type="even" r:id="rId8"/>
          <w:headerReference w:type="default" r:id="rId9"/>
          <w:headerReference w:type="first" r:id="rId10"/>
          <w:type w:val="nextColumn"/>
          <w:pgSz w:w="12240" w:h="15840" w:code="1"/>
          <w:pgMar w:top="1800" w:right="1800" w:bottom="1530" w:left="1800" w:header="706" w:footer="706" w:gutter="0"/>
          <w:pgNumType w:start="1"/>
          <w:cols w:space="720"/>
          <w:formProt w:val="0"/>
          <w:titlePg/>
        </w:sectPr>
      </w:pPr>
    </w:p>
    <w:p w14:paraId="001CCF57" w14:textId="513C83F9" w:rsidR="00187D64" w:rsidRPr="00135D02" w:rsidRDefault="00187D64" w:rsidP="00187D64">
      <w:pPr>
        <w:pStyle w:val="FirstHeading"/>
        <w:numPr>
          <w:ilvl w:val="0"/>
          <w:numId w:val="0"/>
        </w:numPr>
        <w:rPr>
          <w:rFonts w:ascii="Arial" w:hAnsi="Arial" w:cs="Arial"/>
          <w:sz w:val="22"/>
          <w:szCs w:val="22"/>
        </w:rPr>
      </w:pPr>
      <w:r w:rsidRPr="00135D02">
        <w:rPr>
          <w:rFonts w:ascii="Arial" w:hAnsi="Arial" w:cs="Arial"/>
          <w:sz w:val="22"/>
          <w:szCs w:val="22"/>
        </w:rPr>
        <w:lastRenderedPageBreak/>
        <w:t>I.</w:t>
      </w:r>
      <w:r w:rsidRPr="00135D02">
        <w:rPr>
          <w:rFonts w:ascii="Arial" w:hAnsi="Arial" w:cs="Arial"/>
          <w:sz w:val="22"/>
          <w:szCs w:val="22"/>
        </w:rPr>
        <w:tab/>
      </w:r>
      <w:r w:rsidR="00B921D5" w:rsidRPr="00E67C22">
        <w:rPr>
          <w:rFonts w:ascii="Arial" w:hAnsi="Arial" w:cs="Arial"/>
          <w:sz w:val="22"/>
          <w:szCs w:val="22"/>
        </w:rPr>
        <w:t>Introducción</w:t>
      </w:r>
      <w:r w:rsidR="00A17CDD">
        <w:rPr>
          <w:rFonts w:ascii="Arial" w:hAnsi="Arial" w:cs="Arial"/>
          <w:b w:val="0"/>
          <w:color w:val="000000"/>
          <w:sz w:val="22"/>
          <w:szCs w:val="22"/>
          <w:shd w:val="clear" w:color="auto" w:fill="FFFFFF"/>
        </w:rPr>
        <w:t xml:space="preserve"> (</w:t>
      </w:r>
      <w:r w:rsidR="00B921D5" w:rsidRPr="00E67C22">
        <w:rPr>
          <w:rFonts w:ascii="Arial" w:eastAsia="Times New Roman" w:hAnsi="Arial" w:cs="Arial"/>
          <w:sz w:val="22"/>
          <w:szCs w:val="22"/>
        </w:rPr>
        <w:t>Descripción</w:t>
      </w:r>
      <w:r w:rsidR="00B26406" w:rsidRPr="00E67C22">
        <w:rPr>
          <w:rFonts w:ascii="Arial" w:eastAsia="Times New Roman" w:hAnsi="Arial" w:cs="Arial"/>
          <w:sz w:val="22"/>
          <w:szCs w:val="22"/>
        </w:rPr>
        <w:t xml:space="preserve"> Institucional de O.S.E.</w:t>
      </w:r>
      <w:r w:rsidR="00A17CDD">
        <w:rPr>
          <w:rFonts w:ascii="Arial" w:eastAsia="Times New Roman" w:hAnsi="Arial" w:cs="Arial"/>
          <w:sz w:val="22"/>
          <w:szCs w:val="22"/>
        </w:rPr>
        <w:t>)</w:t>
      </w:r>
    </w:p>
    <w:p w14:paraId="53387806" w14:textId="77777777" w:rsidR="00B921D5" w:rsidRPr="007A00F8" w:rsidRDefault="008E3D13" w:rsidP="007B1971">
      <w:pPr>
        <w:pStyle w:val="Paragraph"/>
        <w:tabs>
          <w:tab w:val="num" w:pos="720"/>
        </w:tabs>
        <w:ind w:left="720" w:hanging="720"/>
        <w:rPr>
          <w:rFonts w:ascii="Arial" w:hAnsi="Arial" w:cs="Arial"/>
          <w:sz w:val="22"/>
          <w:szCs w:val="22"/>
        </w:rPr>
      </w:pPr>
      <w:r w:rsidRPr="008F4AB4">
        <w:rPr>
          <w:rFonts w:ascii="Arial" w:eastAsia="Times New Roman" w:hAnsi="Arial" w:cs="Arial"/>
          <w:sz w:val="22"/>
          <w:szCs w:val="22"/>
        </w:rPr>
        <w:t xml:space="preserve">La Administración de las Obras Sanitarias del Estado (O.S.E.), es un servicio </w:t>
      </w:r>
      <w:r w:rsidRPr="007A00F8">
        <w:rPr>
          <w:rFonts w:ascii="Arial" w:eastAsia="Times New Roman" w:hAnsi="Arial" w:cs="Arial"/>
          <w:sz w:val="22"/>
          <w:szCs w:val="22"/>
        </w:rPr>
        <w:t>descentralizado estatal y una organización pública establecida el 19 de diciembre de 1952 por el Gobierno Nacional de Uruguay, creada originalmente con relacionamiento directo con el Poder Ejecutivo a través del Ministerio de Transporte y Obras Públicas, hoy a través del Ministerio de Vivienda, Ordenamiento Territorial y Medio Ambiente.</w:t>
      </w:r>
    </w:p>
    <w:p w14:paraId="2FF7FBF6" w14:textId="498A219E" w:rsidR="00891AB5" w:rsidRPr="007A00F8" w:rsidRDefault="008E3D13" w:rsidP="007B1971">
      <w:pPr>
        <w:pStyle w:val="Paragraph"/>
        <w:tabs>
          <w:tab w:val="num" w:pos="720"/>
        </w:tabs>
        <w:ind w:left="720" w:hanging="720"/>
        <w:rPr>
          <w:rFonts w:ascii="Arial" w:hAnsi="Arial" w:cs="Arial"/>
          <w:sz w:val="22"/>
          <w:szCs w:val="22"/>
        </w:rPr>
      </w:pPr>
      <w:r w:rsidRPr="007A00F8">
        <w:rPr>
          <w:rFonts w:ascii="Arial" w:eastAsia="Times New Roman" w:hAnsi="Arial" w:cs="Arial"/>
          <w:sz w:val="22"/>
          <w:szCs w:val="22"/>
        </w:rPr>
        <w:t>De acuerdo con la Ley Orgánica número 11,907 del 19 de diciembre de 1952 y con la Ley número 17,277 promulgada el 28 de septiembre de 2000, O.S.E. tiene los siguientes cometidos y facultades:</w:t>
      </w:r>
    </w:p>
    <w:p w14:paraId="392B6E64" w14:textId="53B05D4C"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la prestación del servicio de agua potable en todo el territorio de la República Oriental del Uruguay;</w:t>
      </w:r>
    </w:p>
    <w:p w14:paraId="5236CBB7" w14:textId="77777777"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 xml:space="preserve">la prestación del servicio de alcantarillado en todo el territorio de la República </w:t>
      </w:r>
      <w:r w:rsidRPr="007A00F8">
        <w:rPr>
          <w:rFonts w:ascii="Arial" w:hAnsi="Arial" w:cs="Arial"/>
          <w:sz w:val="22"/>
          <w:szCs w:val="22"/>
        </w:rPr>
        <w:br/>
        <w:t>Oriental del Uruguay, excepto en el Departamento de Montevideo;</w:t>
      </w:r>
    </w:p>
    <w:p w14:paraId="1B322012" w14:textId="099D273E"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la celebración de convenios con los Gobiernos Municipales y/o comisiones vecinales para realizar obras de alcantarillado y/o abastecimiento de agua potable de interés local, mediante contribución de las partes, con aprobación del Poder Ejecutivo;</w:t>
      </w:r>
    </w:p>
    <w:p w14:paraId="6D051E4A" w14:textId="2142AD3D"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el estudio, la construcción y la conservación de todas las obras destinadas a los servicios que se le cometen;</w:t>
      </w:r>
    </w:p>
    <w:p w14:paraId="7867EF38" w14:textId="77777777"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El contralor higiénico de todos los cursos de agua que utilice directa o indirectamente para la prestación de sus servicios;</w:t>
      </w:r>
    </w:p>
    <w:p w14:paraId="46513EBD" w14:textId="3F11A080"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Podrá proveer a terceros a título oneroso, el suministro de agua sin potabilizar para ser destinada a finalidades diversas del consumo humano, siempre que la disponibilidad del recurso natural resulte excedentaria respecto de los caudales necesarios para atender el servicio público de agua potable,</w:t>
      </w:r>
    </w:p>
    <w:p w14:paraId="35E0BB31" w14:textId="77777777" w:rsidR="008E3D13" w:rsidRPr="007A00F8" w:rsidRDefault="008E3D13" w:rsidP="007B1971">
      <w:pPr>
        <w:pStyle w:val="subpar"/>
        <w:tabs>
          <w:tab w:val="clear" w:pos="2592"/>
          <w:tab w:val="num" w:pos="1080"/>
        </w:tabs>
        <w:spacing w:before="0" w:after="0"/>
        <w:ind w:left="1080" w:hanging="360"/>
        <w:rPr>
          <w:rFonts w:ascii="Arial" w:hAnsi="Arial" w:cs="Arial"/>
          <w:sz w:val="22"/>
          <w:szCs w:val="22"/>
        </w:rPr>
      </w:pPr>
      <w:r w:rsidRPr="007A00F8">
        <w:rPr>
          <w:rFonts w:ascii="Arial" w:hAnsi="Arial" w:cs="Arial"/>
          <w:sz w:val="22"/>
          <w:szCs w:val="22"/>
        </w:rPr>
        <w:t>Podrá construir o adquirir ya construidos y enajenar a título oneroso a terceros dentro y fuera del país, ingenios para la potabilización de aguas y para el tratamiento de efluentes cloacales cuya tecnología de fabricación le pertenezca.</w:t>
      </w:r>
    </w:p>
    <w:p w14:paraId="097A1B2C" w14:textId="77777777" w:rsidR="008E3D13" w:rsidRPr="007A00F8" w:rsidRDefault="008E3D13" w:rsidP="00A17CDD">
      <w:pPr>
        <w:pStyle w:val="Paragraph"/>
        <w:tabs>
          <w:tab w:val="num" w:pos="720"/>
        </w:tabs>
        <w:ind w:left="720" w:hanging="720"/>
        <w:rPr>
          <w:rFonts w:ascii="Arial" w:eastAsia="Times New Roman" w:hAnsi="Arial" w:cs="Arial"/>
          <w:sz w:val="22"/>
          <w:szCs w:val="22"/>
        </w:rPr>
      </w:pPr>
      <w:r w:rsidRPr="007A00F8">
        <w:rPr>
          <w:rFonts w:ascii="Arial" w:eastAsia="Times New Roman" w:hAnsi="Arial" w:cs="Arial"/>
          <w:sz w:val="22"/>
          <w:szCs w:val="22"/>
        </w:rPr>
        <w:t xml:space="preserve">El 31 de octubre de 2004 se plebiscitó una Reforma Constitucional que introdujo agregados a los artículos 47º y 188º de la constitución de la República e incorporó una nueva Disposición Transitoria identificada con la letra “Z” que establece: “La reparación que correspondiere por la </w:t>
      </w:r>
      <w:proofErr w:type="gramStart"/>
      <w:r w:rsidRPr="007A00F8">
        <w:rPr>
          <w:rFonts w:ascii="Arial" w:eastAsia="Times New Roman" w:hAnsi="Arial" w:cs="Arial"/>
          <w:sz w:val="22"/>
          <w:szCs w:val="22"/>
        </w:rPr>
        <w:t>entrada en vigencia</w:t>
      </w:r>
      <w:proofErr w:type="gramEnd"/>
      <w:r w:rsidRPr="007A00F8">
        <w:rPr>
          <w:rFonts w:ascii="Arial" w:eastAsia="Times New Roman" w:hAnsi="Arial" w:cs="Arial"/>
          <w:sz w:val="22"/>
          <w:szCs w:val="22"/>
        </w:rPr>
        <w:t xml:space="preserve"> de esta reforma, no generará indemnización por lucro cesante, reembolsándose únicamente las inversiones no amortizadas”. Entre los agregados introducidos se incluye el siguiente: “el servicio público de saneamiento y el servicio público de </w:t>
      </w:r>
      <w:r w:rsidRPr="007A00F8">
        <w:rPr>
          <w:rFonts w:ascii="Arial" w:eastAsia="Times New Roman" w:hAnsi="Arial" w:cs="Arial"/>
          <w:sz w:val="22"/>
          <w:szCs w:val="22"/>
        </w:rPr>
        <w:br/>
        <w:t>abastecimiento de agua para el consumo humano será prestado exclusivamente por personas jurídicas estatales”.</w:t>
      </w:r>
    </w:p>
    <w:p w14:paraId="2C712EB1" w14:textId="77777777" w:rsidR="008E3D13" w:rsidRPr="00A17CDD" w:rsidRDefault="008E3D13" w:rsidP="00A17CDD">
      <w:pPr>
        <w:pStyle w:val="Paragraph"/>
        <w:tabs>
          <w:tab w:val="num" w:pos="720"/>
        </w:tabs>
        <w:ind w:left="720" w:hanging="720"/>
        <w:rPr>
          <w:rFonts w:ascii="Arial" w:eastAsia="Times New Roman" w:hAnsi="Arial" w:cs="Arial"/>
          <w:sz w:val="22"/>
          <w:szCs w:val="22"/>
        </w:rPr>
      </w:pPr>
      <w:r w:rsidRPr="00A17CDD">
        <w:rPr>
          <w:rFonts w:ascii="Arial" w:eastAsia="Times New Roman" w:hAnsi="Arial" w:cs="Arial"/>
          <w:sz w:val="22"/>
          <w:szCs w:val="22"/>
        </w:rPr>
        <w:t xml:space="preserve">Por resolución de Directorio </w:t>
      </w:r>
      <w:proofErr w:type="spellStart"/>
      <w:r w:rsidRPr="00A17CDD">
        <w:rPr>
          <w:rFonts w:ascii="Arial" w:eastAsia="Times New Roman" w:hAnsi="Arial" w:cs="Arial"/>
          <w:sz w:val="22"/>
          <w:szCs w:val="22"/>
        </w:rPr>
        <w:t>Nº</w:t>
      </w:r>
      <w:proofErr w:type="spellEnd"/>
      <w:r w:rsidRPr="00A17CDD">
        <w:rPr>
          <w:rFonts w:ascii="Arial" w:eastAsia="Times New Roman" w:hAnsi="Arial" w:cs="Arial"/>
          <w:sz w:val="22"/>
          <w:szCs w:val="22"/>
        </w:rPr>
        <w:t xml:space="preserve"> 760/05 del 1º de junio de 2005, O.S.E. resolvió rescindir el Contrato de Concesión otorgado a URAGUA S.A. por incumplimiento contractual de la concesionaria.</w:t>
      </w:r>
    </w:p>
    <w:p w14:paraId="0D190FA0" w14:textId="77777777" w:rsidR="008E3D13" w:rsidRPr="00A17CDD" w:rsidRDefault="008E3D13" w:rsidP="00A17CDD">
      <w:pPr>
        <w:pStyle w:val="Paragraph"/>
        <w:tabs>
          <w:tab w:val="num" w:pos="720"/>
        </w:tabs>
        <w:ind w:left="720" w:hanging="720"/>
        <w:rPr>
          <w:rFonts w:ascii="Arial" w:eastAsia="Times New Roman" w:hAnsi="Arial" w:cs="Arial"/>
          <w:sz w:val="22"/>
          <w:szCs w:val="22"/>
        </w:rPr>
      </w:pPr>
      <w:r w:rsidRPr="00A17CDD">
        <w:rPr>
          <w:rFonts w:ascii="Arial" w:eastAsia="Times New Roman" w:hAnsi="Arial" w:cs="Arial"/>
          <w:sz w:val="22"/>
          <w:szCs w:val="22"/>
        </w:rPr>
        <w:t xml:space="preserve">El 23 de septiembre de 2005 fue promulgada la Ley 17,902, a través de la cual se creó, dentro de la estructura funcional de O.S.E., una Unidad de Gestión </w:t>
      </w:r>
      <w:r w:rsidRPr="00A17CDD">
        <w:rPr>
          <w:rFonts w:ascii="Arial" w:eastAsia="Times New Roman" w:hAnsi="Arial" w:cs="Arial"/>
          <w:sz w:val="22"/>
          <w:szCs w:val="22"/>
        </w:rPr>
        <w:lastRenderedPageBreak/>
        <w:t xml:space="preserve">Desconcentrada (UGD), con el objeto de prestar el servicio público de saneamiento y de abastecimiento de agua para el consumo humano en el departamento de Maldonado. Dicha Unidad es administrada por una </w:t>
      </w:r>
      <w:r w:rsidRPr="00A17CDD">
        <w:rPr>
          <w:rFonts w:ascii="Arial" w:eastAsia="Times New Roman" w:hAnsi="Arial" w:cs="Arial"/>
          <w:sz w:val="22"/>
          <w:szCs w:val="22"/>
        </w:rPr>
        <w:br/>
        <w:t xml:space="preserve">Dirección conformada por el </w:t>
      </w:r>
      <w:proofErr w:type="gramStart"/>
      <w:r w:rsidRPr="00A17CDD">
        <w:rPr>
          <w:rFonts w:ascii="Arial" w:eastAsia="Times New Roman" w:hAnsi="Arial" w:cs="Arial"/>
          <w:sz w:val="22"/>
          <w:szCs w:val="22"/>
        </w:rPr>
        <w:t>Presidente</w:t>
      </w:r>
      <w:proofErr w:type="gramEnd"/>
      <w:r w:rsidRPr="00A17CDD">
        <w:rPr>
          <w:rFonts w:ascii="Arial" w:eastAsia="Times New Roman" w:hAnsi="Arial" w:cs="Arial"/>
          <w:sz w:val="22"/>
          <w:szCs w:val="22"/>
        </w:rPr>
        <w:t xml:space="preserve"> y Vicepresidente de O.S.E. y un tercer miembro designado en representación de la Intendencia Municipal de Maldonado.</w:t>
      </w:r>
    </w:p>
    <w:p w14:paraId="15792001" w14:textId="4ED79515" w:rsidR="008E3D13" w:rsidRPr="00A17CDD" w:rsidRDefault="008E3D13" w:rsidP="00A17CDD">
      <w:pPr>
        <w:pStyle w:val="Paragraph"/>
        <w:tabs>
          <w:tab w:val="num" w:pos="720"/>
        </w:tabs>
        <w:ind w:left="720" w:hanging="720"/>
        <w:rPr>
          <w:rFonts w:ascii="Arial" w:eastAsia="Times New Roman" w:hAnsi="Arial" w:cs="Arial"/>
          <w:sz w:val="22"/>
          <w:szCs w:val="22"/>
        </w:rPr>
      </w:pPr>
      <w:r w:rsidRPr="00A17CDD">
        <w:rPr>
          <w:rFonts w:ascii="Arial" w:eastAsia="Times New Roman" w:hAnsi="Arial" w:cs="Arial"/>
          <w:sz w:val="22"/>
          <w:szCs w:val="22"/>
        </w:rPr>
        <w:t>En el artículo 3º de dicha Ley se establece que O.S.E. mantendrá la contabilidad de la Unidad de Gestión Desconcentrada (UGD) en forma separada, y su presupuesto operativo y particularmente el monto de inversiones a realizar en el Departamento de Maldonado serán dispuestos en el presupuesto de O.S.E.</w:t>
      </w:r>
    </w:p>
    <w:p w14:paraId="37E5C090" w14:textId="7FBF62B5" w:rsidR="007250DB" w:rsidRPr="008B7D2F" w:rsidRDefault="008E3D13" w:rsidP="007250DB">
      <w:pPr>
        <w:pStyle w:val="Paragraph"/>
        <w:tabs>
          <w:tab w:val="num" w:pos="720"/>
        </w:tabs>
        <w:ind w:left="720" w:hanging="720"/>
        <w:rPr>
          <w:rFonts w:ascii="Arial" w:eastAsia="Times New Roman" w:hAnsi="Arial" w:cs="Arial"/>
          <w:sz w:val="22"/>
          <w:szCs w:val="22"/>
        </w:rPr>
      </w:pPr>
      <w:r w:rsidRPr="00A17CDD">
        <w:rPr>
          <w:rFonts w:ascii="Arial" w:eastAsia="Times New Roman" w:hAnsi="Arial" w:cs="Arial"/>
          <w:sz w:val="22"/>
          <w:szCs w:val="22"/>
        </w:rPr>
        <w:t>El 30 de septiembre de 2005, se suscribió un Acuerdo Transaccional entre O.S.E. y URAGUA S.A., a través del cual ambas partes renunciaron a todas las acciones administrativas y judiciales, y se determinaron los activos recibidos por aquella y las obligaciones asumidas. A partir del 8 de octubre de 2005, se produjo el traspaso de la operación y la transferencia de los servicios por parte de URAGUA S.A., así como la inmediata recepción definitiva por parte de O.S.E. que reasumió la prestación de los servicios de suministro de agua potable y saneamiento en toda el área concesionada.</w:t>
      </w:r>
    </w:p>
    <w:p w14:paraId="624596F7" w14:textId="47731C0A" w:rsidR="001F3F50" w:rsidRPr="007250DB" w:rsidRDefault="00B00430" w:rsidP="00BA4588">
      <w:pPr>
        <w:pStyle w:val="FirstHeading"/>
        <w:numPr>
          <w:ilvl w:val="0"/>
          <w:numId w:val="0"/>
        </w:numPr>
        <w:rPr>
          <w:rFonts w:ascii="Arial" w:hAnsi="Arial" w:cs="Arial"/>
          <w:sz w:val="22"/>
          <w:szCs w:val="22"/>
        </w:rPr>
      </w:pPr>
      <w:r w:rsidRPr="007250DB">
        <w:rPr>
          <w:rFonts w:ascii="Arial" w:hAnsi="Arial" w:cs="Arial"/>
          <w:sz w:val="22"/>
          <w:szCs w:val="22"/>
        </w:rPr>
        <w:t>I</w:t>
      </w:r>
      <w:r w:rsidR="00187D64" w:rsidRPr="007250DB">
        <w:rPr>
          <w:rFonts w:ascii="Arial" w:hAnsi="Arial" w:cs="Arial"/>
          <w:sz w:val="22"/>
          <w:szCs w:val="22"/>
        </w:rPr>
        <w:t>I</w:t>
      </w:r>
      <w:r w:rsidR="00F150FB" w:rsidRPr="007250DB">
        <w:rPr>
          <w:rFonts w:ascii="Arial" w:hAnsi="Arial" w:cs="Arial"/>
          <w:sz w:val="22"/>
          <w:szCs w:val="22"/>
        </w:rPr>
        <w:t>.</w:t>
      </w:r>
      <w:r w:rsidR="00F150FB" w:rsidRPr="007250DB">
        <w:rPr>
          <w:rFonts w:ascii="Arial" w:hAnsi="Arial" w:cs="Arial"/>
          <w:sz w:val="22"/>
          <w:szCs w:val="22"/>
        </w:rPr>
        <w:tab/>
      </w:r>
      <w:r w:rsidR="001F3F50" w:rsidRPr="007250DB">
        <w:rPr>
          <w:rFonts w:ascii="Arial" w:hAnsi="Arial" w:cs="Arial"/>
          <w:sz w:val="22"/>
          <w:szCs w:val="22"/>
        </w:rPr>
        <w:t>Alcance</w:t>
      </w:r>
    </w:p>
    <w:p w14:paraId="22BD6A55" w14:textId="77777777" w:rsidR="00B00430" w:rsidRPr="00135D02" w:rsidRDefault="00B00430" w:rsidP="00276398">
      <w:pPr>
        <w:pStyle w:val="ListParagraph"/>
        <w:keepNext/>
        <w:numPr>
          <w:ilvl w:val="0"/>
          <w:numId w:val="2"/>
        </w:numPr>
        <w:tabs>
          <w:tab w:val="clear" w:pos="2088"/>
          <w:tab w:val="num" w:pos="648"/>
          <w:tab w:val="left" w:pos="1440"/>
        </w:tabs>
        <w:spacing w:before="240" w:after="240"/>
        <w:ind w:left="0"/>
        <w:contextualSpacing w:val="0"/>
        <w:jc w:val="center"/>
        <w:rPr>
          <w:rFonts w:ascii="Arial" w:eastAsia="MS Mincho" w:hAnsi="Arial" w:cs="Arial"/>
          <w:b/>
          <w:i/>
          <w:smallCaps/>
          <w:vanish/>
          <w:szCs w:val="20"/>
          <w:lang w:eastAsia="en-US"/>
        </w:rPr>
      </w:pPr>
    </w:p>
    <w:p w14:paraId="4E091AE8" w14:textId="33B7B8E8" w:rsidR="00442359" w:rsidRPr="00135D02" w:rsidRDefault="007224EA" w:rsidP="0038632A">
      <w:pPr>
        <w:pStyle w:val="Paragraph"/>
        <w:tabs>
          <w:tab w:val="num" w:pos="720"/>
        </w:tabs>
        <w:ind w:left="720" w:hanging="720"/>
        <w:rPr>
          <w:rFonts w:ascii="Arial" w:hAnsi="Arial" w:cs="Arial"/>
          <w:sz w:val="22"/>
          <w:szCs w:val="22"/>
        </w:rPr>
      </w:pPr>
      <w:r w:rsidRPr="00135D02">
        <w:rPr>
          <w:rFonts w:ascii="Arial" w:hAnsi="Arial" w:cs="Arial"/>
          <w:sz w:val="22"/>
          <w:szCs w:val="22"/>
        </w:rPr>
        <w:t>Alcance del análisis financiero</w:t>
      </w:r>
      <w:r w:rsidR="00B00430" w:rsidRPr="00135D02">
        <w:rPr>
          <w:rFonts w:ascii="Arial" w:hAnsi="Arial" w:cs="Arial"/>
          <w:sz w:val="22"/>
          <w:szCs w:val="22"/>
        </w:rPr>
        <w:t>.</w:t>
      </w:r>
      <w:r w:rsidRPr="00135D02">
        <w:rPr>
          <w:rFonts w:ascii="Arial" w:hAnsi="Arial" w:cs="Arial"/>
          <w:sz w:val="22"/>
          <w:szCs w:val="22"/>
        </w:rPr>
        <w:t xml:space="preserve"> </w:t>
      </w:r>
      <w:r w:rsidR="00E57550" w:rsidRPr="00135D02">
        <w:rPr>
          <w:rFonts w:ascii="Arial" w:hAnsi="Arial" w:cs="Arial"/>
          <w:sz w:val="22"/>
          <w:szCs w:val="22"/>
        </w:rPr>
        <w:t xml:space="preserve">El análisis financiero </w:t>
      </w:r>
      <w:r w:rsidR="008E5B15" w:rsidRPr="00135D02">
        <w:rPr>
          <w:rFonts w:ascii="Arial" w:hAnsi="Arial" w:cs="Arial"/>
          <w:sz w:val="22"/>
          <w:szCs w:val="22"/>
        </w:rPr>
        <w:t xml:space="preserve">de </w:t>
      </w:r>
      <w:r w:rsidR="008B7D2F">
        <w:rPr>
          <w:rFonts w:ascii="Arial" w:hAnsi="Arial" w:cs="Arial"/>
          <w:sz w:val="22"/>
          <w:szCs w:val="22"/>
        </w:rPr>
        <w:t>OSE</w:t>
      </w:r>
      <w:r w:rsidR="005A244C">
        <w:rPr>
          <w:rFonts w:ascii="Arial" w:hAnsi="Arial" w:cs="Arial"/>
          <w:sz w:val="22"/>
          <w:szCs w:val="22"/>
        </w:rPr>
        <w:t xml:space="preserve"> </w:t>
      </w:r>
      <w:r w:rsidR="00E57550" w:rsidRPr="00135D02">
        <w:rPr>
          <w:rFonts w:ascii="Arial" w:hAnsi="Arial" w:cs="Arial"/>
          <w:sz w:val="22"/>
          <w:szCs w:val="22"/>
        </w:rPr>
        <w:t xml:space="preserve">se </w:t>
      </w:r>
      <w:r w:rsidR="00FC3C99" w:rsidRPr="00135D02">
        <w:rPr>
          <w:rFonts w:ascii="Arial" w:hAnsi="Arial" w:cs="Arial"/>
          <w:sz w:val="22"/>
          <w:szCs w:val="22"/>
        </w:rPr>
        <w:t>realizó</w:t>
      </w:r>
      <w:r w:rsidR="00E57550" w:rsidRPr="00135D02">
        <w:rPr>
          <w:rFonts w:ascii="Arial" w:hAnsi="Arial" w:cs="Arial"/>
          <w:sz w:val="22"/>
          <w:szCs w:val="22"/>
        </w:rPr>
        <w:t xml:space="preserve"> mediante un modelo desarrollado internamente por INE/WSA tomando como base </w:t>
      </w:r>
      <w:r w:rsidR="008E5B15" w:rsidRPr="00135D02">
        <w:rPr>
          <w:rFonts w:ascii="Arial" w:hAnsi="Arial" w:cs="Arial"/>
          <w:sz w:val="22"/>
          <w:szCs w:val="22"/>
        </w:rPr>
        <w:t xml:space="preserve">los últimos </w:t>
      </w:r>
      <w:r w:rsidR="00BC72AA" w:rsidRPr="00135D02">
        <w:rPr>
          <w:rFonts w:ascii="Arial" w:hAnsi="Arial" w:cs="Arial"/>
          <w:sz w:val="22"/>
          <w:szCs w:val="22"/>
        </w:rPr>
        <w:t xml:space="preserve">tres </w:t>
      </w:r>
      <w:r w:rsidR="00E57550" w:rsidRPr="00135D02">
        <w:rPr>
          <w:rFonts w:ascii="Arial" w:hAnsi="Arial" w:cs="Arial"/>
          <w:sz w:val="22"/>
          <w:szCs w:val="22"/>
        </w:rPr>
        <w:t xml:space="preserve">años de información histórica expresada en dólares del </w:t>
      </w:r>
      <w:r w:rsidR="00CA09F2" w:rsidRPr="00135D02">
        <w:rPr>
          <w:rFonts w:ascii="Arial" w:hAnsi="Arial" w:cs="Arial"/>
          <w:sz w:val="22"/>
          <w:szCs w:val="22"/>
        </w:rPr>
        <w:t>201</w:t>
      </w:r>
      <w:r w:rsidR="008B7D2F">
        <w:rPr>
          <w:rFonts w:ascii="Arial" w:hAnsi="Arial" w:cs="Arial"/>
          <w:sz w:val="22"/>
          <w:szCs w:val="22"/>
        </w:rPr>
        <w:t>7</w:t>
      </w:r>
      <w:r w:rsidR="00C50FE2" w:rsidRPr="00135D02">
        <w:rPr>
          <w:rFonts w:ascii="Arial" w:hAnsi="Arial" w:cs="Arial"/>
          <w:sz w:val="22"/>
          <w:szCs w:val="22"/>
          <w:vertAlign w:val="superscript"/>
        </w:rPr>
        <w:footnoteReference w:id="1"/>
      </w:r>
      <w:r w:rsidR="00B3367E" w:rsidRPr="00135D02">
        <w:rPr>
          <w:rFonts w:ascii="Arial" w:hAnsi="Arial" w:cs="Arial"/>
          <w:sz w:val="22"/>
          <w:szCs w:val="22"/>
        </w:rPr>
        <w:t>.</w:t>
      </w:r>
      <w:r w:rsidR="00E57550" w:rsidRPr="00135D02">
        <w:rPr>
          <w:rFonts w:ascii="Arial" w:hAnsi="Arial" w:cs="Arial"/>
          <w:sz w:val="22"/>
          <w:szCs w:val="22"/>
        </w:rPr>
        <w:t xml:space="preserve"> </w:t>
      </w:r>
      <w:r w:rsidR="00231616" w:rsidRPr="00135D02">
        <w:rPr>
          <w:rFonts w:ascii="Arial" w:hAnsi="Arial" w:cs="Arial"/>
          <w:sz w:val="22"/>
          <w:szCs w:val="22"/>
        </w:rPr>
        <w:t xml:space="preserve">El modelo financiero de INE/WSA </w:t>
      </w:r>
      <w:r w:rsidR="009B78DC" w:rsidRPr="00135D02">
        <w:rPr>
          <w:rFonts w:ascii="Arial" w:hAnsi="Arial" w:cs="Arial"/>
          <w:sz w:val="22"/>
          <w:szCs w:val="22"/>
        </w:rPr>
        <w:t>se realizó</w:t>
      </w:r>
      <w:r w:rsidR="00E57550" w:rsidRPr="00135D02">
        <w:rPr>
          <w:rFonts w:ascii="Arial" w:hAnsi="Arial" w:cs="Arial"/>
          <w:sz w:val="22"/>
          <w:szCs w:val="22"/>
        </w:rPr>
        <w:t xml:space="preserve"> </w:t>
      </w:r>
      <w:r w:rsidR="00231616" w:rsidRPr="00135D02">
        <w:rPr>
          <w:rFonts w:ascii="Arial" w:hAnsi="Arial" w:cs="Arial"/>
          <w:sz w:val="22"/>
          <w:szCs w:val="22"/>
        </w:rPr>
        <w:t xml:space="preserve">tomando como base las proyecciones de </w:t>
      </w:r>
      <w:r w:rsidR="008E5B15" w:rsidRPr="00135D02">
        <w:rPr>
          <w:rFonts w:ascii="Arial" w:hAnsi="Arial" w:cs="Arial"/>
          <w:sz w:val="22"/>
          <w:szCs w:val="22"/>
        </w:rPr>
        <w:t>la empresa</w:t>
      </w:r>
      <w:r w:rsidR="00231616" w:rsidRPr="00135D02">
        <w:rPr>
          <w:rFonts w:ascii="Arial" w:hAnsi="Arial" w:cs="Arial"/>
          <w:sz w:val="22"/>
          <w:szCs w:val="22"/>
        </w:rPr>
        <w:t xml:space="preserve"> y </w:t>
      </w:r>
      <w:r w:rsidR="00232E88" w:rsidRPr="00135D02">
        <w:rPr>
          <w:rFonts w:ascii="Arial" w:hAnsi="Arial" w:cs="Arial"/>
          <w:sz w:val="22"/>
          <w:szCs w:val="22"/>
        </w:rPr>
        <w:t>un conjunto</w:t>
      </w:r>
      <w:r w:rsidR="008E5B15" w:rsidRPr="00135D02">
        <w:rPr>
          <w:rFonts w:ascii="Arial" w:hAnsi="Arial" w:cs="Arial"/>
          <w:sz w:val="22"/>
          <w:szCs w:val="22"/>
        </w:rPr>
        <w:t xml:space="preserve"> de supuestos que se detallan má</w:t>
      </w:r>
      <w:r w:rsidR="00232E88" w:rsidRPr="00135D02">
        <w:rPr>
          <w:rFonts w:ascii="Arial" w:hAnsi="Arial" w:cs="Arial"/>
          <w:sz w:val="22"/>
          <w:szCs w:val="22"/>
        </w:rPr>
        <w:t>s adelante. La</w:t>
      </w:r>
      <w:r w:rsidR="008E5B15" w:rsidRPr="00135D02">
        <w:rPr>
          <w:rFonts w:ascii="Arial" w:hAnsi="Arial" w:cs="Arial"/>
          <w:sz w:val="22"/>
          <w:szCs w:val="22"/>
        </w:rPr>
        <w:t>s</w:t>
      </w:r>
      <w:r w:rsidR="00232E88" w:rsidRPr="00135D02">
        <w:rPr>
          <w:rFonts w:ascii="Arial" w:hAnsi="Arial" w:cs="Arial"/>
          <w:sz w:val="22"/>
          <w:szCs w:val="22"/>
        </w:rPr>
        <w:t xml:space="preserve"> proyecciones </w:t>
      </w:r>
      <w:r w:rsidR="00821F72" w:rsidRPr="00135D02">
        <w:rPr>
          <w:rFonts w:ascii="Arial" w:hAnsi="Arial" w:cs="Arial"/>
          <w:sz w:val="22"/>
          <w:szCs w:val="22"/>
        </w:rPr>
        <w:t xml:space="preserve">se realizaron </w:t>
      </w:r>
      <w:r w:rsidR="00E57550" w:rsidRPr="00135D02">
        <w:rPr>
          <w:rFonts w:ascii="Arial" w:hAnsi="Arial" w:cs="Arial"/>
          <w:sz w:val="22"/>
          <w:szCs w:val="22"/>
        </w:rPr>
        <w:t xml:space="preserve">por </w:t>
      </w:r>
      <w:r w:rsidR="00BC72AA" w:rsidRPr="00135D02">
        <w:rPr>
          <w:rFonts w:ascii="Arial" w:hAnsi="Arial" w:cs="Arial"/>
          <w:sz w:val="22"/>
          <w:szCs w:val="22"/>
        </w:rPr>
        <w:t xml:space="preserve">10 años </w:t>
      </w:r>
      <w:r w:rsidR="00E57550" w:rsidRPr="00135D02">
        <w:rPr>
          <w:rFonts w:ascii="Arial" w:hAnsi="Arial" w:cs="Arial"/>
          <w:sz w:val="22"/>
          <w:szCs w:val="22"/>
        </w:rPr>
        <w:t xml:space="preserve">y están expresadas en dólares constantes de diciembre de </w:t>
      </w:r>
      <w:r w:rsidR="008E5B15" w:rsidRPr="00135D02">
        <w:rPr>
          <w:rFonts w:ascii="Arial" w:hAnsi="Arial" w:cs="Arial"/>
          <w:sz w:val="22"/>
          <w:szCs w:val="22"/>
        </w:rPr>
        <w:t xml:space="preserve">del </w:t>
      </w:r>
      <w:r w:rsidR="00137140" w:rsidRPr="00135D02">
        <w:rPr>
          <w:rFonts w:ascii="Arial" w:hAnsi="Arial" w:cs="Arial"/>
          <w:sz w:val="22"/>
          <w:szCs w:val="22"/>
        </w:rPr>
        <w:t>201</w:t>
      </w:r>
      <w:r w:rsidR="007A00F8">
        <w:rPr>
          <w:rFonts w:ascii="Arial" w:hAnsi="Arial" w:cs="Arial"/>
          <w:sz w:val="22"/>
          <w:szCs w:val="22"/>
        </w:rPr>
        <w:t>7</w:t>
      </w:r>
      <w:r w:rsidR="00E57550" w:rsidRPr="00135D02">
        <w:rPr>
          <w:rFonts w:ascii="Arial" w:hAnsi="Arial" w:cs="Arial"/>
          <w:sz w:val="22"/>
          <w:szCs w:val="22"/>
        </w:rPr>
        <w:t>. Este modelo incluye proyecciones de los ingresos y costos operativos, inversiones de capital, financiamiento externo, activos fijos, y capital de trabajo con base en los cuales se prepararon los estado</w:t>
      </w:r>
      <w:r w:rsidR="00137140" w:rsidRPr="00135D02">
        <w:rPr>
          <w:rFonts w:ascii="Arial" w:hAnsi="Arial" w:cs="Arial"/>
          <w:sz w:val="22"/>
          <w:szCs w:val="22"/>
        </w:rPr>
        <w:t>s</w:t>
      </w:r>
      <w:r w:rsidR="00E57550" w:rsidRPr="00135D02">
        <w:rPr>
          <w:rFonts w:ascii="Arial" w:hAnsi="Arial" w:cs="Arial"/>
          <w:sz w:val="22"/>
          <w:szCs w:val="22"/>
        </w:rPr>
        <w:t xml:space="preserve"> financieros proyectados</w:t>
      </w:r>
      <w:r w:rsidR="008E5B15" w:rsidRPr="00135D02">
        <w:rPr>
          <w:rFonts w:ascii="Arial" w:hAnsi="Arial" w:cs="Arial"/>
          <w:sz w:val="22"/>
          <w:szCs w:val="22"/>
        </w:rPr>
        <w:t>.</w:t>
      </w:r>
    </w:p>
    <w:p w14:paraId="284E23CF" w14:textId="0A34AFE7" w:rsidR="00883A06" w:rsidRPr="00135D02" w:rsidRDefault="00B00430" w:rsidP="00442359">
      <w:pPr>
        <w:pStyle w:val="FirstHeading"/>
        <w:numPr>
          <w:ilvl w:val="0"/>
          <w:numId w:val="0"/>
        </w:numPr>
        <w:rPr>
          <w:rFonts w:ascii="Arial" w:hAnsi="Arial" w:cs="Arial"/>
          <w:sz w:val="22"/>
          <w:szCs w:val="22"/>
        </w:rPr>
      </w:pPr>
      <w:r w:rsidRPr="00135D02">
        <w:rPr>
          <w:rFonts w:ascii="Arial" w:hAnsi="Arial" w:cs="Arial"/>
          <w:sz w:val="22"/>
          <w:szCs w:val="22"/>
        </w:rPr>
        <w:t>I</w:t>
      </w:r>
      <w:r w:rsidR="00187D64">
        <w:rPr>
          <w:rFonts w:ascii="Arial" w:hAnsi="Arial" w:cs="Arial"/>
          <w:sz w:val="22"/>
          <w:szCs w:val="22"/>
        </w:rPr>
        <w:t>I</w:t>
      </w:r>
      <w:r w:rsidRPr="00135D02">
        <w:rPr>
          <w:rFonts w:ascii="Arial" w:hAnsi="Arial" w:cs="Arial"/>
          <w:sz w:val="22"/>
          <w:szCs w:val="22"/>
        </w:rPr>
        <w:t>I</w:t>
      </w:r>
      <w:r w:rsidR="00C30B36" w:rsidRPr="00135D02">
        <w:rPr>
          <w:rFonts w:ascii="Arial" w:hAnsi="Arial" w:cs="Arial"/>
          <w:sz w:val="22"/>
          <w:szCs w:val="22"/>
        </w:rPr>
        <w:t>.</w:t>
      </w:r>
      <w:r w:rsidR="00C30B36" w:rsidRPr="00135D02">
        <w:rPr>
          <w:rFonts w:ascii="Arial" w:hAnsi="Arial" w:cs="Arial"/>
          <w:sz w:val="22"/>
          <w:szCs w:val="22"/>
        </w:rPr>
        <w:tab/>
      </w:r>
      <w:r w:rsidR="00883A06" w:rsidRPr="00135D02">
        <w:rPr>
          <w:rFonts w:ascii="Arial" w:hAnsi="Arial" w:cs="Arial"/>
          <w:sz w:val="22"/>
          <w:szCs w:val="22"/>
        </w:rPr>
        <w:t>Análisis Financiero Histórico</w:t>
      </w:r>
    </w:p>
    <w:p w14:paraId="58C09510" w14:textId="77777777" w:rsidR="00883A06" w:rsidRPr="00135D02" w:rsidRDefault="00883A06" w:rsidP="00BA4588">
      <w:pPr>
        <w:pStyle w:val="SecHeading"/>
        <w:tabs>
          <w:tab w:val="clear" w:pos="5400"/>
        </w:tabs>
        <w:ind w:left="1276"/>
        <w:rPr>
          <w:rFonts w:ascii="Arial" w:hAnsi="Arial" w:cs="Arial"/>
          <w:sz w:val="22"/>
          <w:szCs w:val="22"/>
          <w:lang w:val="es-ES"/>
        </w:rPr>
      </w:pPr>
      <w:r w:rsidRPr="00135D02">
        <w:rPr>
          <w:rFonts w:ascii="Arial" w:hAnsi="Arial" w:cs="Arial"/>
          <w:sz w:val="22"/>
          <w:szCs w:val="22"/>
          <w:lang w:val="es-ES"/>
        </w:rPr>
        <w:t>Estados de resultados</w:t>
      </w:r>
    </w:p>
    <w:p w14:paraId="6F2370FC" w14:textId="77777777" w:rsidR="00B00430" w:rsidRPr="00135D02" w:rsidRDefault="00B00430" w:rsidP="00276398">
      <w:pPr>
        <w:pStyle w:val="ListParagraph"/>
        <w:keepNext/>
        <w:numPr>
          <w:ilvl w:val="0"/>
          <w:numId w:val="2"/>
        </w:numPr>
        <w:tabs>
          <w:tab w:val="clear" w:pos="2088"/>
          <w:tab w:val="num" w:pos="648"/>
          <w:tab w:val="left" w:pos="1440"/>
        </w:tabs>
        <w:spacing w:before="240" w:after="240"/>
        <w:ind w:left="0"/>
        <w:contextualSpacing w:val="0"/>
        <w:jc w:val="center"/>
        <w:rPr>
          <w:rFonts w:ascii="Arial" w:eastAsia="MS Mincho" w:hAnsi="Arial" w:cs="Arial"/>
          <w:b/>
          <w:smallCaps/>
          <w:vanish/>
          <w:szCs w:val="20"/>
          <w:lang w:eastAsia="en-US"/>
        </w:rPr>
      </w:pPr>
    </w:p>
    <w:p w14:paraId="3DB25C26" w14:textId="772FF90D" w:rsidR="009654EE" w:rsidRDefault="008E5B15" w:rsidP="00034940">
      <w:pPr>
        <w:pStyle w:val="Paragraph"/>
        <w:tabs>
          <w:tab w:val="num" w:pos="720"/>
        </w:tabs>
        <w:ind w:left="720" w:hanging="720"/>
        <w:rPr>
          <w:rFonts w:ascii="Arial" w:hAnsi="Arial" w:cs="Arial"/>
          <w:sz w:val="22"/>
          <w:szCs w:val="22"/>
        </w:rPr>
      </w:pPr>
      <w:r w:rsidRPr="00135D02">
        <w:rPr>
          <w:rFonts w:ascii="Arial" w:hAnsi="Arial" w:cs="Arial"/>
          <w:sz w:val="22"/>
          <w:szCs w:val="22"/>
        </w:rPr>
        <w:t>Como puede observarse en el siguiente Cuadro</w:t>
      </w:r>
      <w:r w:rsidR="00F35993" w:rsidRPr="00135D02">
        <w:rPr>
          <w:rFonts w:ascii="Arial" w:hAnsi="Arial" w:cs="Arial"/>
          <w:sz w:val="22"/>
          <w:szCs w:val="22"/>
        </w:rPr>
        <w:t xml:space="preserve"> </w:t>
      </w:r>
      <w:r w:rsidR="00D85E94" w:rsidRPr="00135D02">
        <w:rPr>
          <w:rFonts w:ascii="Arial" w:hAnsi="Arial" w:cs="Arial"/>
          <w:sz w:val="22"/>
          <w:szCs w:val="22"/>
        </w:rPr>
        <w:t>1</w:t>
      </w:r>
      <w:r w:rsidR="00155CED" w:rsidRPr="00135D02">
        <w:rPr>
          <w:rFonts w:ascii="Arial" w:hAnsi="Arial" w:cs="Arial"/>
          <w:sz w:val="22"/>
          <w:szCs w:val="22"/>
        </w:rPr>
        <w:t>.</w:t>
      </w:r>
      <w:r w:rsidR="00332038" w:rsidRPr="00135D02">
        <w:rPr>
          <w:rFonts w:ascii="Arial" w:hAnsi="Arial" w:cs="Arial"/>
          <w:sz w:val="22"/>
          <w:szCs w:val="22"/>
        </w:rPr>
        <w:t xml:space="preserve">, </w:t>
      </w:r>
      <w:r w:rsidR="00034940" w:rsidRPr="00135D02">
        <w:rPr>
          <w:rFonts w:ascii="Arial" w:hAnsi="Arial" w:cs="Arial"/>
          <w:sz w:val="22"/>
          <w:szCs w:val="22"/>
        </w:rPr>
        <w:t xml:space="preserve">durante los últimos años, ENACAL logró </w:t>
      </w:r>
      <w:r w:rsidR="000C5B04">
        <w:rPr>
          <w:rFonts w:ascii="Arial" w:hAnsi="Arial" w:cs="Arial"/>
          <w:sz w:val="22"/>
          <w:szCs w:val="22"/>
        </w:rPr>
        <w:t>consolidar aún</w:t>
      </w:r>
      <w:r w:rsidR="004B51AC">
        <w:rPr>
          <w:rFonts w:ascii="Arial" w:hAnsi="Arial" w:cs="Arial"/>
          <w:sz w:val="22"/>
          <w:szCs w:val="22"/>
        </w:rPr>
        <w:t xml:space="preserve"> más</w:t>
      </w:r>
      <w:r w:rsidR="000C5B04">
        <w:rPr>
          <w:rFonts w:ascii="Arial" w:hAnsi="Arial" w:cs="Arial"/>
          <w:sz w:val="22"/>
          <w:szCs w:val="22"/>
        </w:rPr>
        <w:t xml:space="preserve"> su s</w:t>
      </w:r>
      <w:r w:rsidR="004B51AC">
        <w:rPr>
          <w:rFonts w:ascii="Arial" w:hAnsi="Arial" w:cs="Arial"/>
          <w:sz w:val="22"/>
          <w:szCs w:val="22"/>
        </w:rPr>
        <w:t>ó</w:t>
      </w:r>
      <w:r w:rsidR="000C5B04">
        <w:rPr>
          <w:rFonts w:ascii="Arial" w:hAnsi="Arial" w:cs="Arial"/>
          <w:sz w:val="22"/>
          <w:szCs w:val="22"/>
        </w:rPr>
        <w:t xml:space="preserve">lida </w:t>
      </w:r>
      <w:r w:rsidR="004B51AC">
        <w:rPr>
          <w:rFonts w:ascii="Arial" w:hAnsi="Arial" w:cs="Arial"/>
          <w:sz w:val="22"/>
          <w:szCs w:val="22"/>
        </w:rPr>
        <w:t>situación financiera</w:t>
      </w:r>
      <w:r w:rsidR="00034940" w:rsidRPr="00135D02">
        <w:rPr>
          <w:rFonts w:ascii="Arial" w:hAnsi="Arial" w:cs="Arial"/>
          <w:sz w:val="22"/>
          <w:szCs w:val="22"/>
        </w:rPr>
        <w:t xml:space="preserve">, lo que se refleja en la mejora en su margen EBITDA (resultado neto antes de intereses, impuestos, depreciaciones y amortizaciones / ingresos operativos) del </w:t>
      </w:r>
      <w:r w:rsidR="00801E54">
        <w:rPr>
          <w:rFonts w:ascii="Arial" w:hAnsi="Arial" w:cs="Arial"/>
          <w:sz w:val="22"/>
          <w:szCs w:val="22"/>
        </w:rPr>
        <w:t>18</w:t>
      </w:r>
      <w:r w:rsidR="00034940" w:rsidRPr="00135D02">
        <w:rPr>
          <w:rFonts w:ascii="Arial" w:hAnsi="Arial" w:cs="Arial"/>
          <w:sz w:val="22"/>
          <w:szCs w:val="22"/>
        </w:rPr>
        <w:t>,</w:t>
      </w:r>
      <w:r w:rsidR="00801E54">
        <w:rPr>
          <w:rFonts w:ascii="Arial" w:hAnsi="Arial" w:cs="Arial"/>
          <w:sz w:val="22"/>
          <w:szCs w:val="22"/>
        </w:rPr>
        <w:t>6</w:t>
      </w:r>
      <w:r w:rsidR="00034940" w:rsidRPr="00135D02">
        <w:rPr>
          <w:rFonts w:ascii="Arial" w:hAnsi="Arial" w:cs="Arial"/>
          <w:sz w:val="22"/>
          <w:szCs w:val="22"/>
        </w:rPr>
        <w:t>% en el 201</w:t>
      </w:r>
      <w:r w:rsidR="00801E54">
        <w:rPr>
          <w:rFonts w:ascii="Arial" w:hAnsi="Arial" w:cs="Arial"/>
          <w:sz w:val="22"/>
          <w:szCs w:val="22"/>
        </w:rPr>
        <w:t>5</w:t>
      </w:r>
      <w:r w:rsidR="00034940" w:rsidRPr="00135D02">
        <w:rPr>
          <w:rFonts w:ascii="Arial" w:hAnsi="Arial" w:cs="Arial"/>
          <w:sz w:val="22"/>
          <w:szCs w:val="22"/>
        </w:rPr>
        <w:t xml:space="preserve"> al </w:t>
      </w:r>
      <w:r w:rsidR="00801E54">
        <w:rPr>
          <w:rFonts w:ascii="Arial" w:hAnsi="Arial" w:cs="Arial"/>
          <w:sz w:val="22"/>
          <w:szCs w:val="22"/>
        </w:rPr>
        <w:t>22</w:t>
      </w:r>
      <w:r w:rsidR="00034940" w:rsidRPr="00135D02">
        <w:rPr>
          <w:rFonts w:ascii="Arial" w:hAnsi="Arial" w:cs="Arial"/>
          <w:sz w:val="22"/>
          <w:szCs w:val="22"/>
        </w:rPr>
        <w:t>.</w:t>
      </w:r>
      <w:r w:rsidR="00801E54">
        <w:rPr>
          <w:rFonts w:ascii="Arial" w:hAnsi="Arial" w:cs="Arial"/>
          <w:sz w:val="22"/>
          <w:szCs w:val="22"/>
        </w:rPr>
        <w:t>3</w:t>
      </w:r>
      <w:r w:rsidR="00034940" w:rsidRPr="00135D02">
        <w:rPr>
          <w:rFonts w:ascii="Arial" w:hAnsi="Arial" w:cs="Arial"/>
          <w:sz w:val="22"/>
          <w:szCs w:val="22"/>
        </w:rPr>
        <w:t>% en el año 201</w:t>
      </w:r>
      <w:r w:rsidR="00801E54">
        <w:rPr>
          <w:rFonts w:ascii="Arial" w:hAnsi="Arial" w:cs="Arial"/>
          <w:sz w:val="22"/>
          <w:szCs w:val="22"/>
        </w:rPr>
        <w:t>7</w:t>
      </w:r>
      <w:r w:rsidR="00034940" w:rsidRPr="00135D02">
        <w:rPr>
          <w:rFonts w:ascii="Arial" w:hAnsi="Arial" w:cs="Arial"/>
          <w:sz w:val="22"/>
          <w:szCs w:val="22"/>
        </w:rPr>
        <w:t xml:space="preserve">. </w:t>
      </w:r>
    </w:p>
    <w:p w14:paraId="456A9041" w14:textId="3E68D938" w:rsidR="00187D64" w:rsidRDefault="00187D64" w:rsidP="00187D64">
      <w:pPr>
        <w:pStyle w:val="Chapter"/>
        <w:numPr>
          <w:ilvl w:val="0"/>
          <w:numId w:val="0"/>
        </w:numPr>
        <w:ind w:firstLine="288"/>
        <w:jc w:val="left"/>
      </w:pPr>
    </w:p>
    <w:p w14:paraId="57620F6F" w14:textId="40BCAADB" w:rsidR="00187D64" w:rsidRDefault="00187D64" w:rsidP="00187D64">
      <w:pPr>
        <w:rPr>
          <w:lang w:val="es-ES"/>
        </w:rPr>
      </w:pPr>
    </w:p>
    <w:p w14:paraId="7E85E728" w14:textId="0A3E5B63" w:rsidR="00912C6E" w:rsidRPr="00135D02" w:rsidRDefault="00FE5B5B" w:rsidP="00B35E51">
      <w:pPr>
        <w:pStyle w:val="Paragraph"/>
        <w:numPr>
          <w:ilvl w:val="0"/>
          <w:numId w:val="0"/>
        </w:numPr>
        <w:tabs>
          <w:tab w:val="num" w:pos="720"/>
        </w:tabs>
        <w:ind w:left="1386" w:hanging="1296"/>
        <w:jc w:val="center"/>
        <w:rPr>
          <w:rFonts w:ascii="Arial" w:hAnsi="Arial" w:cs="Arial"/>
          <w:sz w:val="22"/>
          <w:szCs w:val="22"/>
          <w:u w:val="single"/>
        </w:rPr>
      </w:pPr>
      <w:r w:rsidRPr="00135D02">
        <w:rPr>
          <w:rFonts w:ascii="Arial" w:hAnsi="Arial" w:cs="Arial"/>
          <w:sz w:val="22"/>
          <w:szCs w:val="22"/>
          <w:u w:val="single"/>
        </w:rPr>
        <w:lastRenderedPageBreak/>
        <w:t>Cuadro</w:t>
      </w:r>
      <w:r w:rsidR="00083CA4" w:rsidRPr="00135D02">
        <w:rPr>
          <w:rFonts w:ascii="Arial" w:hAnsi="Arial" w:cs="Arial"/>
          <w:sz w:val="22"/>
          <w:szCs w:val="22"/>
          <w:u w:val="single"/>
        </w:rPr>
        <w:t xml:space="preserve"> </w:t>
      </w:r>
      <w:r w:rsidR="00D85E94" w:rsidRPr="00135D02">
        <w:rPr>
          <w:rFonts w:ascii="Arial" w:hAnsi="Arial" w:cs="Arial"/>
          <w:sz w:val="22"/>
          <w:szCs w:val="22"/>
          <w:u w:val="single"/>
        </w:rPr>
        <w:t>1</w:t>
      </w:r>
      <w:r w:rsidR="00083CA4" w:rsidRPr="00135D02">
        <w:rPr>
          <w:rFonts w:ascii="Arial" w:hAnsi="Arial" w:cs="Arial"/>
          <w:sz w:val="22"/>
          <w:szCs w:val="22"/>
          <w:u w:val="single"/>
        </w:rPr>
        <w:t xml:space="preserve">. Estado de Resultados Histórico (en miles de </w:t>
      </w:r>
      <w:r w:rsidR="00155AB2" w:rsidRPr="00135D02">
        <w:rPr>
          <w:rFonts w:ascii="Arial" w:hAnsi="Arial" w:cs="Arial"/>
          <w:sz w:val="22"/>
          <w:szCs w:val="22"/>
          <w:u w:val="single"/>
        </w:rPr>
        <w:t>US$ de 201</w:t>
      </w:r>
      <w:r w:rsidR="00403289">
        <w:rPr>
          <w:rFonts w:ascii="Arial" w:hAnsi="Arial" w:cs="Arial"/>
          <w:sz w:val="22"/>
          <w:szCs w:val="22"/>
          <w:u w:val="single"/>
        </w:rPr>
        <w:t>7</w:t>
      </w:r>
      <w:r w:rsidR="00083CA4" w:rsidRPr="00135D02">
        <w:rPr>
          <w:rFonts w:ascii="Arial" w:hAnsi="Arial" w:cs="Arial"/>
          <w:sz w:val="22"/>
          <w:szCs w:val="22"/>
          <w:u w:val="single"/>
        </w:rPr>
        <w:t>)</w:t>
      </w:r>
    </w:p>
    <w:p w14:paraId="7AC8D832" w14:textId="03F6D00B" w:rsidR="00135D02" w:rsidRPr="00135D02" w:rsidRDefault="00400178" w:rsidP="00B35E51">
      <w:pPr>
        <w:pStyle w:val="Paragraph"/>
        <w:numPr>
          <w:ilvl w:val="0"/>
          <w:numId w:val="0"/>
        </w:numPr>
        <w:tabs>
          <w:tab w:val="num" w:pos="720"/>
        </w:tabs>
        <w:ind w:left="1386" w:hanging="1296"/>
        <w:jc w:val="center"/>
        <w:rPr>
          <w:rFonts w:ascii="Arial" w:hAnsi="Arial" w:cs="Arial"/>
          <w:sz w:val="22"/>
          <w:szCs w:val="22"/>
          <w:u w:val="single"/>
        </w:rPr>
      </w:pPr>
      <w:r w:rsidRPr="00400178">
        <w:rPr>
          <w:noProof/>
        </w:rPr>
        <w:drawing>
          <wp:inline distT="0" distB="0" distL="0" distR="0" wp14:anchorId="15BEB9B5" wp14:editId="177BD067">
            <wp:extent cx="5082540" cy="5021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40" cy="5021580"/>
                    </a:xfrm>
                    <a:prstGeom prst="rect">
                      <a:avLst/>
                    </a:prstGeom>
                    <a:noFill/>
                    <a:ln>
                      <a:noFill/>
                    </a:ln>
                  </pic:spPr>
                </pic:pic>
              </a:graphicData>
            </a:graphic>
          </wp:inline>
        </w:drawing>
      </w:r>
    </w:p>
    <w:p w14:paraId="5CC7D1C1" w14:textId="29CB78EC" w:rsidR="00FF3217" w:rsidRPr="00135D02" w:rsidRDefault="00977D10" w:rsidP="008435E4">
      <w:pPr>
        <w:pStyle w:val="Paragraph"/>
        <w:tabs>
          <w:tab w:val="num" w:pos="720"/>
        </w:tabs>
        <w:ind w:left="720" w:hanging="720"/>
        <w:rPr>
          <w:rFonts w:ascii="Arial" w:hAnsi="Arial" w:cs="Arial"/>
          <w:i/>
          <w:sz w:val="22"/>
          <w:szCs w:val="22"/>
        </w:rPr>
      </w:pPr>
      <w:r w:rsidRPr="00135D02">
        <w:rPr>
          <w:rFonts w:ascii="Arial" w:hAnsi="Arial" w:cs="Arial"/>
          <w:i/>
          <w:sz w:val="22"/>
          <w:szCs w:val="22"/>
        </w:rPr>
        <w:t>Ingresos Opera</w:t>
      </w:r>
      <w:r w:rsidR="00A56C2E" w:rsidRPr="00135D02">
        <w:rPr>
          <w:rFonts w:ascii="Arial" w:hAnsi="Arial" w:cs="Arial"/>
          <w:i/>
          <w:sz w:val="22"/>
          <w:szCs w:val="22"/>
        </w:rPr>
        <w:t>cionales.</w:t>
      </w:r>
      <w:r w:rsidRPr="00135D02">
        <w:rPr>
          <w:rFonts w:ascii="Arial" w:hAnsi="Arial" w:cs="Arial"/>
          <w:i/>
          <w:sz w:val="22"/>
          <w:szCs w:val="22"/>
        </w:rPr>
        <w:t xml:space="preserve"> </w:t>
      </w:r>
      <w:r w:rsidR="008E5B15" w:rsidRPr="00135D02">
        <w:rPr>
          <w:rFonts w:ascii="Arial" w:hAnsi="Arial" w:cs="Arial"/>
          <w:sz w:val="22"/>
          <w:szCs w:val="22"/>
        </w:rPr>
        <w:t xml:space="preserve">Durante el año </w:t>
      </w:r>
      <w:r w:rsidR="00E52152" w:rsidRPr="00135D02">
        <w:rPr>
          <w:rFonts w:ascii="Arial" w:hAnsi="Arial" w:cs="Arial"/>
          <w:sz w:val="22"/>
          <w:szCs w:val="22"/>
        </w:rPr>
        <w:t>201</w:t>
      </w:r>
      <w:r w:rsidR="00212E3D">
        <w:rPr>
          <w:rFonts w:ascii="Arial" w:hAnsi="Arial" w:cs="Arial"/>
          <w:sz w:val="22"/>
          <w:szCs w:val="22"/>
        </w:rPr>
        <w:t>7</w:t>
      </w:r>
      <w:r w:rsidR="008E5B15" w:rsidRPr="00135D02">
        <w:rPr>
          <w:rFonts w:ascii="Arial" w:hAnsi="Arial" w:cs="Arial"/>
          <w:sz w:val="22"/>
          <w:szCs w:val="22"/>
        </w:rPr>
        <w:t xml:space="preserve">, la empresa </w:t>
      </w:r>
      <w:r w:rsidR="00A56C2E" w:rsidRPr="00135D02">
        <w:rPr>
          <w:rFonts w:ascii="Arial" w:hAnsi="Arial" w:cs="Arial"/>
          <w:sz w:val="22"/>
          <w:szCs w:val="22"/>
        </w:rPr>
        <w:t xml:space="preserve">obtuvo ingresos operacionales de </w:t>
      </w:r>
      <w:r w:rsidR="008E5B15" w:rsidRPr="00135D02">
        <w:rPr>
          <w:rFonts w:ascii="Arial" w:hAnsi="Arial" w:cs="Arial"/>
          <w:sz w:val="22"/>
          <w:szCs w:val="22"/>
        </w:rPr>
        <w:t>US$</w:t>
      </w:r>
      <w:r w:rsidR="00212E3D">
        <w:rPr>
          <w:rFonts w:ascii="Arial" w:hAnsi="Arial" w:cs="Arial"/>
          <w:sz w:val="22"/>
          <w:szCs w:val="22"/>
        </w:rPr>
        <w:t>437</w:t>
      </w:r>
      <w:r w:rsidR="00E52152" w:rsidRPr="00135D02">
        <w:rPr>
          <w:rFonts w:ascii="Arial" w:hAnsi="Arial" w:cs="Arial"/>
          <w:sz w:val="22"/>
          <w:szCs w:val="22"/>
        </w:rPr>
        <w:t xml:space="preserve"> </w:t>
      </w:r>
      <w:r w:rsidR="008E5B15" w:rsidRPr="00135D02">
        <w:rPr>
          <w:rFonts w:ascii="Arial" w:hAnsi="Arial" w:cs="Arial"/>
          <w:sz w:val="22"/>
          <w:szCs w:val="22"/>
        </w:rPr>
        <w:t>millones</w:t>
      </w:r>
      <w:r w:rsidR="0065238A" w:rsidRPr="00135D02">
        <w:rPr>
          <w:rFonts w:ascii="Arial" w:hAnsi="Arial" w:cs="Arial"/>
          <w:sz w:val="22"/>
          <w:szCs w:val="22"/>
        </w:rPr>
        <w:t>.</w:t>
      </w:r>
      <w:r w:rsidR="003D16AD" w:rsidRPr="00135D02">
        <w:rPr>
          <w:rFonts w:ascii="Arial" w:hAnsi="Arial" w:cs="Arial"/>
          <w:sz w:val="22"/>
          <w:szCs w:val="22"/>
        </w:rPr>
        <w:t xml:space="preserve"> </w:t>
      </w:r>
      <w:r w:rsidR="009E23C2" w:rsidRPr="00135D02">
        <w:rPr>
          <w:rFonts w:ascii="Arial" w:hAnsi="Arial" w:cs="Arial"/>
          <w:sz w:val="22"/>
          <w:szCs w:val="22"/>
        </w:rPr>
        <w:t>La</w:t>
      </w:r>
      <w:r w:rsidR="003D16AD" w:rsidRPr="00135D02">
        <w:rPr>
          <w:rFonts w:ascii="Arial" w:hAnsi="Arial" w:cs="Arial"/>
          <w:sz w:val="22"/>
          <w:szCs w:val="22"/>
        </w:rPr>
        <w:t xml:space="preserve"> composición</w:t>
      </w:r>
      <w:r w:rsidR="009E23C2" w:rsidRPr="00135D02">
        <w:rPr>
          <w:rFonts w:ascii="Arial" w:hAnsi="Arial" w:cs="Arial"/>
          <w:sz w:val="22"/>
          <w:szCs w:val="22"/>
        </w:rPr>
        <w:t xml:space="preserve"> de dich</w:t>
      </w:r>
      <w:r w:rsidR="00A56C2E" w:rsidRPr="00135D02">
        <w:rPr>
          <w:rFonts w:ascii="Arial" w:hAnsi="Arial" w:cs="Arial"/>
          <w:sz w:val="22"/>
          <w:szCs w:val="22"/>
        </w:rPr>
        <w:t xml:space="preserve">os ingresos fueron </w:t>
      </w:r>
      <w:r w:rsidR="009E23C2" w:rsidRPr="00135D02">
        <w:rPr>
          <w:rFonts w:ascii="Arial" w:hAnsi="Arial" w:cs="Arial"/>
          <w:sz w:val="22"/>
          <w:szCs w:val="22"/>
        </w:rPr>
        <w:t>aproximadamente lo siguiente</w:t>
      </w:r>
      <w:r w:rsidR="003D16AD" w:rsidRPr="00135D02">
        <w:rPr>
          <w:rFonts w:ascii="Arial" w:hAnsi="Arial" w:cs="Arial"/>
          <w:sz w:val="22"/>
          <w:szCs w:val="22"/>
        </w:rPr>
        <w:t>:</w:t>
      </w:r>
      <w:r w:rsidR="00A56C2E" w:rsidRPr="00135D02">
        <w:rPr>
          <w:rFonts w:ascii="Arial" w:hAnsi="Arial" w:cs="Arial"/>
          <w:sz w:val="22"/>
          <w:szCs w:val="22"/>
        </w:rPr>
        <w:t xml:space="preserve"> </w:t>
      </w:r>
      <w:r w:rsidR="00212E3D">
        <w:rPr>
          <w:rFonts w:ascii="Arial" w:hAnsi="Arial" w:cs="Arial"/>
          <w:sz w:val="22"/>
          <w:szCs w:val="22"/>
        </w:rPr>
        <w:t>Ventas de agua</w:t>
      </w:r>
      <w:r w:rsidR="00A56C2E" w:rsidRPr="00135D02">
        <w:rPr>
          <w:rFonts w:ascii="Arial" w:hAnsi="Arial" w:cs="Arial"/>
          <w:sz w:val="22"/>
          <w:szCs w:val="22"/>
        </w:rPr>
        <w:t xml:space="preserve"> US$</w:t>
      </w:r>
      <w:r w:rsidR="00824642">
        <w:rPr>
          <w:rFonts w:ascii="Arial" w:hAnsi="Arial" w:cs="Arial"/>
          <w:sz w:val="22"/>
          <w:szCs w:val="22"/>
        </w:rPr>
        <w:t>359</w:t>
      </w:r>
      <w:r w:rsidR="00A56C2E" w:rsidRPr="00135D02">
        <w:rPr>
          <w:rFonts w:ascii="Arial" w:hAnsi="Arial" w:cs="Arial"/>
          <w:sz w:val="22"/>
          <w:szCs w:val="22"/>
        </w:rPr>
        <w:t xml:space="preserve"> millones (</w:t>
      </w:r>
      <w:r w:rsidR="00564839">
        <w:rPr>
          <w:rFonts w:ascii="Arial" w:hAnsi="Arial" w:cs="Arial"/>
          <w:sz w:val="22"/>
          <w:szCs w:val="22"/>
        </w:rPr>
        <w:t>82</w:t>
      </w:r>
      <w:r w:rsidR="00A56C2E" w:rsidRPr="00135D02">
        <w:rPr>
          <w:rFonts w:ascii="Arial" w:hAnsi="Arial" w:cs="Arial"/>
          <w:sz w:val="22"/>
          <w:szCs w:val="22"/>
        </w:rPr>
        <w:t xml:space="preserve">%), </w:t>
      </w:r>
      <w:r w:rsidR="00824642">
        <w:rPr>
          <w:rFonts w:ascii="Arial" w:hAnsi="Arial" w:cs="Arial"/>
          <w:sz w:val="22"/>
          <w:szCs w:val="22"/>
        </w:rPr>
        <w:t>Facturación alcantarillado</w:t>
      </w:r>
      <w:r w:rsidR="00D475B2" w:rsidRPr="00135D02">
        <w:rPr>
          <w:rFonts w:ascii="Arial" w:hAnsi="Arial" w:cs="Arial"/>
          <w:sz w:val="22"/>
          <w:szCs w:val="22"/>
        </w:rPr>
        <w:t xml:space="preserve"> </w:t>
      </w:r>
      <w:r w:rsidR="00A56C2E" w:rsidRPr="00135D02">
        <w:rPr>
          <w:rFonts w:ascii="Arial" w:hAnsi="Arial" w:cs="Arial"/>
          <w:sz w:val="22"/>
          <w:szCs w:val="22"/>
        </w:rPr>
        <w:t>US$</w:t>
      </w:r>
      <w:r w:rsidR="00824642">
        <w:rPr>
          <w:rFonts w:ascii="Arial" w:hAnsi="Arial" w:cs="Arial"/>
          <w:sz w:val="22"/>
          <w:szCs w:val="22"/>
        </w:rPr>
        <w:t>64</w:t>
      </w:r>
      <w:r w:rsidR="00A56C2E" w:rsidRPr="00135D02">
        <w:rPr>
          <w:rFonts w:ascii="Arial" w:hAnsi="Arial" w:cs="Arial"/>
          <w:sz w:val="22"/>
          <w:szCs w:val="22"/>
        </w:rPr>
        <w:t xml:space="preserve"> millones (</w:t>
      </w:r>
      <w:r w:rsidR="00564839">
        <w:rPr>
          <w:rFonts w:ascii="Arial" w:hAnsi="Arial" w:cs="Arial"/>
          <w:sz w:val="22"/>
          <w:szCs w:val="22"/>
        </w:rPr>
        <w:t>15</w:t>
      </w:r>
      <w:r w:rsidR="00A56C2E" w:rsidRPr="00135D02">
        <w:rPr>
          <w:rFonts w:ascii="Arial" w:hAnsi="Arial" w:cs="Arial"/>
          <w:sz w:val="22"/>
          <w:szCs w:val="22"/>
        </w:rPr>
        <w:t>%)</w:t>
      </w:r>
      <w:r w:rsidR="00D475B2" w:rsidRPr="00135D02">
        <w:rPr>
          <w:rFonts w:ascii="Arial" w:hAnsi="Arial" w:cs="Arial"/>
          <w:sz w:val="22"/>
          <w:szCs w:val="22"/>
        </w:rPr>
        <w:t>, y</w:t>
      </w:r>
      <w:r w:rsidR="00A56C2E" w:rsidRPr="00135D02">
        <w:rPr>
          <w:rFonts w:ascii="Arial" w:hAnsi="Arial" w:cs="Arial"/>
          <w:sz w:val="22"/>
          <w:szCs w:val="22"/>
        </w:rPr>
        <w:t xml:space="preserve"> </w:t>
      </w:r>
      <w:r w:rsidR="00D475B2" w:rsidRPr="00135D02">
        <w:rPr>
          <w:rFonts w:ascii="Arial" w:hAnsi="Arial" w:cs="Arial"/>
          <w:sz w:val="22"/>
          <w:szCs w:val="22"/>
        </w:rPr>
        <w:t>Otros</w:t>
      </w:r>
      <w:r w:rsidR="00A56C2E" w:rsidRPr="00135D02">
        <w:rPr>
          <w:rFonts w:ascii="Arial" w:hAnsi="Arial" w:cs="Arial"/>
          <w:sz w:val="22"/>
          <w:szCs w:val="22"/>
        </w:rPr>
        <w:t xml:space="preserve"> US$</w:t>
      </w:r>
      <w:r w:rsidR="00400178">
        <w:rPr>
          <w:rFonts w:ascii="Arial" w:hAnsi="Arial" w:cs="Arial"/>
          <w:sz w:val="22"/>
          <w:szCs w:val="22"/>
        </w:rPr>
        <w:t>15</w:t>
      </w:r>
      <w:r w:rsidR="00A56C2E" w:rsidRPr="00135D02">
        <w:rPr>
          <w:rFonts w:ascii="Arial" w:hAnsi="Arial" w:cs="Arial"/>
          <w:sz w:val="22"/>
          <w:szCs w:val="22"/>
        </w:rPr>
        <w:t xml:space="preserve"> millones (</w:t>
      </w:r>
      <w:r w:rsidR="00564839">
        <w:rPr>
          <w:rFonts w:ascii="Arial" w:hAnsi="Arial" w:cs="Arial"/>
          <w:sz w:val="22"/>
          <w:szCs w:val="22"/>
        </w:rPr>
        <w:t>3</w:t>
      </w:r>
      <w:r w:rsidR="00A56C2E" w:rsidRPr="00135D02">
        <w:rPr>
          <w:rFonts w:ascii="Arial" w:hAnsi="Arial" w:cs="Arial"/>
          <w:sz w:val="22"/>
          <w:szCs w:val="22"/>
        </w:rPr>
        <w:t>%).</w:t>
      </w:r>
      <w:r w:rsidR="00D475B2" w:rsidRPr="00135D02">
        <w:rPr>
          <w:rFonts w:ascii="Arial" w:hAnsi="Arial" w:cs="Arial"/>
          <w:sz w:val="22"/>
          <w:szCs w:val="22"/>
        </w:rPr>
        <w:t xml:space="preserve"> </w:t>
      </w:r>
      <w:r w:rsidR="008435E4" w:rsidRPr="00135D02">
        <w:rPr>
          <w:rFonts w:ascii="Arial" w:hAnsi="Arial" w:cs="Arial"/>
          <w:sz w:val="22"/>
          <w:szCs w:val="22"/>
        </w:rPr>
        <w:t xml:space="preserve">Los ingresos por </w:t>
      </w:r>
      <w:r w:rsidR="00351B39">
        <w:rPr>
          <w:rFonts w:ascii="Arial" w:hAnsi="Arial" w:cs="Arial"/>
          <w:sz w:val="22"/>
          <w:szCs w:val="22"/>
        </w:rPr>
        <w:t>ventas de agua</w:t>
      </w:r>
      <w:r w:rsidR="008435E4" w:rsidRPr="00135D02">
        <w:rPr>
          <w:rFonts w:ascii="Arial" w:hAnsi="Arial" w:cs="Arial"/>
          <w:sz w:val="22"/>
          <w:szCs w:val="22"/>
        </w:rPr>
        <w:t xml:space="preserve"> consisten en </w:t>
      </w:r>
      <w:r w:rsidR="00475FC1">
        <w:rPr>
          <w:rFonts w:ascii="Arial" w:hAnsi="Arial" w:cs="Arial"/>
          <w:sz w:val="22"/>
          <w:szCs w:val="22"/>
        </w:rPr>
        <w:t>el cargo variable</w:t>
      </w:r>
      <w:r w:rsidR="008435E4" w:rsidRPr="00135D02">
        <w:rPr>
          <w:rFonts w:ascii="Arial" w:hAnsi="Arial" w:cs="Arial"/>
          <w:sz w:val="22"/>
          <w:szCs w:val="22"/>
        </w:rPr>
        <w:t xml:space="preserve"> </w:t>
      </w:r>
      <w:r w:rsidR="009F116E" w:rsidRPr="00135D02">
        <w:rPr>
          <w:rFonts w:ascii="Arial" w:hAnsi="Arial" w:cs="Arial"/>
          <w:sz w:val="22"/>
          <w:szCs w:val="22"/>
        </w:rPr>
        <w:t>US$</w:t>
      </w:r>
      <w:r w:rsidR="00475FC1">
        <w:rPr>
          <w:rFonts w:ascii="Arial" w:hAnsi="Arial" w:cs="Arial"/>
          <w:sz w:val="22"/>
          <w:szCs w:val="22"/>
        </w:rPr>
        <w:t>225</w:t>
      </w:r>
      <w:r w:rsidR="00E52152" w:rsidRPr="00135D02">
        <w:rPr>
          <w:rFonts w:ascii="Arial" w:hAnsi="Arial" w:cs="Arial"/>
          <w:sz w:val="22"/>
          <w:szCs w:val="22"/>
        </w:rPr>
        <w:t xml:space="preserve"> </w:t>
      </w:r>
      <w:r w:rsidR="009F116E" w:rsidRPr="00135D02">
        <w:rPr>
          <w:rFonts w:ascii="Arial" w:hAnsi="Arial" w:cs="Arial"/>
          <w:sz w:val="22"/>
          <w:szCs w:val="22"/>
        </w:rPr>
        <w:t>millones (</w:t>
      </w:r>
      <w:r w:rsidR="006B6C28">
        <w:rPr>
          <w:rFonts w:ascii="Arial" w:hAnsi="Arial" w:cs="Arial"/>
          <w:sz w:val="22"/>
          <w:szCs w:val="22"/>
        </w:rPr>
        <w:t>63</w:t>
      </w:r>
      <w:r w:rsidR="009F116E" w:rsidRPr="00135D02">
        <w:rPr>
          <w:rFonts w:ascii="Arial" w:hAnsi="Arial" w:cs="Arial"/>
          <w:sz w:val="22"/>
          <w:szCs w:val="22"/>
        </w:rPr>
        <w:t xml:space="preserve">%), </w:t>
      </w:r>
      <w:r w:rsidR="00475FC1">
        <w:rPr>
          <w:rFonts w:ascii="Arial" w:hAnsi="Arial" w:cs="Arial"/>
          <w:sz w:val="22"/>
          <w:szCs w:val="22"/>
        </w:rPr>
        <w:t xml:space="preserve">y el cargo fijo </w:t>
      </w:r>
      <w:r w:rsidR="009F116E" w:rsidRPr="00135D02">
        <w:rPr>
          <w:rFonts w:ascii="Arial" w:hAnsi="Arial" w:cs="Arial"/>
          <w:sz w:val="22"/>
          <w:szCs w:val="22"/>
        </w:rPr>
        <w:t>US$</w:t>
      </w:r>
      <w:r w:rsidR="006B6C28">
        <w:rPr>
          <w:rFonts w:ascii="Arial" w:hAnsi="Arial" w:cs="Arial"/>
          <w:sz w:val="22"/>
          <w:szCs w:val="22"/>
        </w:rPr>
        <w:t>134</w:t>
      </w:r>
      <w:r w:rsidR="00E52152" w:rsidRPr="00135D02">
        <w:rPr>
          <w:rFonts w:ascii="Arial" w:hAnsi="Arial" w:cs="Arial"/>
          <w:sz w:val="22"/>
          <w:szCs w:val="22"/>
        </w:rPr>
        <w:t xml:space="preserve"> </w:t>
      </w:r>
      <w:r w:rsidR="009F116E" w:rsidRPr="00135D02">
        <w:rPr>
          <w:rFonts w:ascii="Arial" w:hAnsi="Arial" w:cs="Arial"/>
          <w:sz w:val="22"/>
          <w:szCs w:val="22"/>
        </w:rPr>
        <w:t>millones (</w:t>
      </w:r>
      <w:r w:rsidR="006B6C28">
        <w:rPr>
          <w:rFonts w:ascii="Arial" w:hAnsi="Arial" w:cs="Arial"/>
          <w:sz w:val="22"/>
          <w:szCs w:val="22"/>
        </w:rPr>
        <w:t>37</w:t>
      </w:r>
      <w:r w:rsidR="009F116E" w:rsidRPr="00135D02">
        <w:rPr>
          <w:rFonts w:ascii="Arial" w:hAnsi="Arial" w:cs="Arial"/>
          <w:sz w:val="22"/>
          <w:szCs w:val="22"/>
        </w:rPr>
        <w:t>%)</w:t>
      </w:r>
      <w:r w:rsidR="00720E4F">
        <w:rPr>
          <w:rFonts w:ascii="Arial" w:hAnsi="Arial" w:cs="Arial"/>
          <w:sz w:val="22"/>
          <w:szCs w:val="22"/>
        </w:rPr>
        <w:t>:</w:t>
      </w:r>
      <w:r w:rsidR="009F116E" w:rsidRPr="00135D02">
        <w:rPr>
          <w:rFonts w:ascii="Arial" w:hAnsi="Arial" w:cs="Arial"/>
          <w:sz w:val="22"/>
          <w:szCs w:val="22"/>
        </w:rPr>
        <w:t xml:space="preserve"> </w:t>
      </w:r>
      <w:r w:rsidR="001553E5">
        <w:rPr>
          <w:rFonts w:ascii="Arial" w:hAnsi="Arial" w:cs="Arial"/>
          <w:sz w:val="22"/>
          <w:szCs w:val="22"/>
        </w:rPr>
        <w:t xml:space="preserve">este último aumentó </w:t>
      </w:r>
      <w:r w:rsidR="00830E72">
        <w:rPr>
          <w:rFonts w:ascii="Arial" w:hAnsi="Arial" w:cs="Arial"/>
          <w:sz w:val="22"/>
          <w:szCs w:val="22"/>
        </w:rPr>
        <w:t xml:space="preserve">en el 2017, </w:t>
      </w:r>
      <w:r w:rsidR="001A4E4B">
        <w:rPr>
          <w:rFonts w:ascii="Arial" w:hAnsi="Arial" w:cs="Arial"/>
          <w:sz w:val="22"/>
          <w:szCs w:val="22"/>
        </w:rPr>
        <w:t xml:space="preserve">gracias </w:t>
      </w:r>
      <w:r w:rsidR="0096535C">
        <w:rPr>
          <w:rFonts w:ascii="Arial" w:hAnsi="Arial" w:cs="Arial"/>
          <w:sz w:val="22"/>
          <w:szCs w:val="22"/>
        </w:rPr>
        <w:t xml:space="preserve">principalmente </w:t>
      </w:r>
      <w:r w:rsidR="001A4E4B">
        <w:rPr>
          <w:rFonts w:ascii="Arial" w:hAnsi="Arial" w:cs="Arial"/>
          <w:sz w:val="22"/>
          <w:szCs w:val="22"/>
        </w:rPr>
        <w:t xml:space="preserve">a </w:t>
      </w:r>
      <w:r w:rsidR="003D4C6D">
        <w:rPr>
          <w:rFonts w:ascii="Arial" w:hAnsi="Arial" w:cs="Arial"/>
          <w:sz w:val="22"/>
          <w:szCs w:val="22"/>
        </w:rPr>
        <w:t>la aprobación de</w:t>
      </w:r>
      <w:r w:rsidR="009A6F25">
        <w:rPr>
          <w:rFonts w:ascii="Arial" w:hAnsi="Arial" w:cs="Arial"/>
          <w:sz w:val="22"/>
          <w:szCs w:val="22"/>
        </w:rPr>
        <w:t xml:space="preserve">l aumento adicional necesario para </w:t>
      </w:r>
      <w:r w:rsidR="00DF6E8C">
        <w:rPr>
          <w:rFonts w:ascii="Arial" w:hAnsi="Arial" w:cs="Arial"/>
          <w:sz w:val="22"/>
          <w:szCs w:val="22"/>
        </w:rPr>
        <w:t>cubrir</w:t>
      </w:r>
      <w:r w:rsidR="00BA40AF">
        <w:rPr>
          <w:rFonts w:ascii="Arial" w:hAnsi="Arial" w:cs="Arial"/>
          <w:sz w:val="22"/>
          <w:szCs w:val="22"/>
        </w:rPr>
        <w:t xml:space="preserve"> las</w:t>
      </w:r>
      <w:r w:rsidR="00DF6E8C">
        <w:rPr>
          <w:rFonts w:ascii="Arial" w:hAnsi="Arial" w:cs="Arial"/>
          <w:sz w:val="22"/>
          <w:szCs w:val="22"/>
        </w:rPr>
        <w:t xml:space="preserve"> inversiones del próximo quinque</w:t>
      </w:r>
      <w:r w:rsidR="0096535C">
        <w:rPr>
          <w:rFonts w:ascii="Arial" w:hAnsi="Arial" w:cs="Arial"/>
          <w:sz w:val="22"/>
          <w:szCs w:val="22"/>
        </w:rPr>
        <w:t>ni</w:t>
      </w:r>
      <w:r w:rsidR="00DF6E8C">
        <w:rPr>
          <w:rFonts w:ascii="Arial" w:hAnsi="Arial" w:cs="Arial"/>
          <w:sz w:val="22"/>
          <w:szCs w:val="22"/>
        </w:rPr>
        <w:t>o</w:t>
      </w:r>
      <w:r w:rsidR="0096535C">
        <w:rPr>
          <w:rFonts w:ascii="Arial" w:hAnsi="Arial" w:cs="Arial"/>
          <w:sz w:val="22"/>
          <w:szCs w:val="22"/>
        </w:rPr>
        <w:t xml:space="preserve"> (2017-2021)</w:t>
      </w:r>
      <w:r w:rsidR="00457AEE">
        <w:rPr>
          <w:rStyle w:val="FootnoteReference"/>
          <w:rFonts w:ascii="Arial" w:hAnsi="Arial" w:cs="Arial"/>
          <w:sz w:val="22"/>
          <w:szCs w:val="22"/>
        </w:rPr>
        <w:footnoteReference w:id="2"/>
      </w:r>
      <w:r w:rsidR="009F116E" w:rsidRPr="00135D02">
        <w:rPr>
          <w:rFonts w:ascii="Arial" w:hAnsi="Arial" w:cs="Arial"/>
          <w:sz w:val="22"/>
          <w:szCs w:val="22"/>
        </w:rPr>
        <w:t xml:space="preserve">. </w:t>
      </w:r>
    </w:p>
    <w:p w14:paraId="19BD8780" w14:textId="6141BFFE" w:rsidR="00875344" w:rsidRPr="009A0E85" w:rsidRDefault="00AE3DB3" w:rsidP="00716B4A">
      <w:pPr>
        <w:pStyle w:val="subpar"/>
        <w:numPr>
          <w:ilvl w:val="2"/>
          <w:numId w:val="5"/>
        </w:numPr>
        <w:tabs>
          <w:tab w:val="clear" w:pos="2592"/>
          <w:tab w:val="num" w:pos="2160"/>
        </w:tabs>
        <w:ind w:left="990" w:hanging="270"/>
        <w:rPr>
          <w:rFonts w:ascii="Arial" w:hAnsi="Arial" w:cs="Arial"/>
          <w:i/>
          <w:sz w:val="22"/>
        </w:rPr>
      </w:pPr>
      <w:r w:rsidRPr="009A0E85">
        <w:rPr>
          <w:rFonts w:ascii="Arial" w:hAnsi="Arial" w:cs="Arial"/>
          <w:sz w:val="22"/>
          <w:lang w:val="es-ES"/>
        </w:rPr>
        <w:t>E</w:t>
      </w:r>
      <w:r w:rsidR="00875344" w:rsidRPr="009A0E85">
        <w:rPr>
          <w:rFonts w:ascii="Arial" w:hAnsi="Arial" w:cs="Arial"/>
          <w:sz w:val="22"/>
          <w:lang w:val="es-ES"/>
        </w:rPr>
        <w:t xml:space="preserve">l número de </w:t>
      </w:r>
      <w:r w:rsidR="00875344" w:rsidRPr="009A0E85">
        <w:rPr>
          <w:rFonts w:ascii="Arial" w:hAnsi="Arial" w:cs="Arial"/>
          <w:sz w:val="22"/>
        </w:rPr>
        <w:t xml:space="preserve">conexión de agua </w:t>
      </w:r>
      <w:r w:rsidR="00F24C90" w:rsidRPr="009A0E85">
        <w:rPr>
          <w:rFonts w:ascii="Arial" w:hAnsi="Arial" w:cs="Arial"/>
          <w:sz w:val="22"/>
        </w:rPr>
        <w:t xml:space="preserve">prácticamente </w:t>
      </w:r>
      <w:r w:rsidR="00603CE0" w:rsidRPr="009A0E85">
        <w:rPr>
          <w:rFonts w:ascii="Arial" w:hAnsi="Arial" w:cs="Arial"/>
          <w:sz w:val="22"/>
        </w:rPr>
        <w:t xml:space="preserve">no </w:t>
      </w:r>
      <w:r w:rsidR="00F24C90" w:rsidRPr="009A0E85">
        <w:rPr>
          <w:rFonts w:ascii="Arial" w:hAnsi="Arial" w:cs="Arial"/>
          <w:sz w:val="22"/>
        </w:rPr>
        <w:t xml:space="preserve">creció entre 2015 y 2017, registrando </w:t>
      </w:r>
      <w:r w:rsidR="007420B5" w:rsidRPr="009A0E85">
        <w:rPr>
          <w:rFonts w:ascii="Arial" w:hAnsi="Arial" w:cs="Arial"/>
          <w:sz w:val="22"/>
        </w:rPr>
        <w:t xml:space="preserve">aproximadamente </w:t>
      </w:r>
      <w:r w:rsidR="009E014C" w:rsidRPr="009A0E85">
        <w:rPr>
          <w:rFonts w:ascii="Arial" w:hAnsi="Arial" w:cs="Arial"/>
          <w:sz w:val="22"/>
        </w:rPr>
        <w:t>1</w:t>
      </w:r>
      <w:r w:rsidR="007420B5" w:rsidRPr="009A0E85">
        <w:rPr>
          <w:rFonts w:ascii="Arial" w:hAnsi="Arial" w:cs="Arial"/>
          <w:sz w:val="22"/>
        </w:rPr>
        <w:t>,</w:t>
      </w:r>
      <w:r w:rsidR="009E014C" w:rsidRPr="009A0E85">
        <w:rPr>
          <w:rFonts w:ascii="Arial" w:hAnsi="Arial" w:cs="Arial"/>
          <w:sz w:val="22"/>
        </w:rPr>
        <w:t>1</w:t>
      </w:r>
      <w:r w:rsidR="007420B5" w:rsidRPr="009A0E85">
        <w:rPr>
          <w:rFonts w:ascii="Arial" w:hAnsi="Arial" w:cs="Arial"/>
          <w:sz w:val="22"/>
        </w:rPr>
        <w:t xml:space="preserve"> millones de</w:t>
      </w:r>
      <w:r w:rsidR="009E014C" w:rsidRPr="009A0E85">
        <w:rPr>
          <w:rFonts w:ascii="Arial" w:hAnsi="Arial" w:cs="Arial"/>
          <w:sz w:val="22"/>
        </w:rPr>
        <w:t xml:space="preserve"> conexiones.</w:t>
      </w:r>
      <w:r w:rsidR="006079E2" w:rsidRPr="009A0E85">
        <w:rPr>
          <w:rFonts w:ascii="Arial" w:hAnsi="Arial" w:cs="Arial"/>
          <w:sz w:val="22"/>
        </w:rPr>
        <w:t xml:space="preserve"> La cobertura del servicio de agua es </w:t>
      </w:r>
      <w:r w:rsidR="002C6046" w:rsidRPr="009A0E85">
        <w:rPr>
          <w:rFonts w:ascii="Arial" w:hAnsi="Arial" w:cs="Arial"/>
          <w:sz w:val="22"/>
        </w:rPr>
        <w:t>alta con</w:t>
      </w:r>
      <w:r w:rsidR="00603F90" w:rsidRPr="009A0E85">
        <w:rPr>
          <w:rFonts w:ascii="Arial" w:hAnsi="Arial" w:cs="Arial"/>
          <w:sz w:val="22"/>
        </w:rPr>
        <w:t xml:space="preserve"> </w:t>
      </w:r>
      <w:r w:rsidR="00B33D4A" w:rsidRPr="009A0E85">
        <w:rPr>
          <w:rFonts w:ascii="Arial" w:hAnsi="Arial" w:cs="Arial"/>
          <w:sz w:val="22"/>
        </w:rPr>
        <w:t>un</w:t>
      </w:r>
      <w:r w:rsidR="002C6046" w:rsidRPr="009A0E85">
        <w:rPr>
          <w:rFonts w:ascii="Arial" w:hAnsi="Arial" w:cs="Arial"/>
          <w:sz w:val="22"/>
        </w:rPr>
        <w:t xml:space="preserve"> </w:t>
      </w:r>
      <w:r w:rsidR="00603F90" w:rsidRPr="009A0E85">
        <w:rPr>
          <w:rFonts w:ascii="Arial" w:hAnsi="Arial" w:cs="Arial"/>
          <w:sz w:val="22"/>
        </w:rPr>
        <w:t>9</w:t>
      </w:r>
      <w:r w:rsidR="00EC20BF" w:rsidRPr="009A0E85">
        <w:rPr>
          <w:rFonts w:ascii="Arial" w:hAnsi="Arial" w:cs="Arial"/>
          <w:sz w:val="22"/>
        </w:rPr>
        <w:t>6</w:t>
      </w:r>
      <w:r w:rsidR="00603F90" w:rsidRPr="009A0E85">
        <w:rPr>
          <w:rFonts w:ascii="Arial" w:hAnsi="Arial" w:cs="Arial"/>
          <w:sz w:val="22"/>
        </w:rPr>
        <w:t>%.</w:t>
      </w:r>
      <w:r w:rsidR="0082343F" w:rsidRPr="009A0E85">
        <w:rPr>
          <w:rFonts w:ascii="Arial" w:hAnsi="Arial" w:cs="Arial"/>
          <w:sz w:val="22"/>
        </w:rPr>
        <w:t xml:space="preserve"> </w:t>
      </w:r>
      <w:r w:rsidR="00B33D4A" w:rsidRPr="009A0E85">
        <w:rPr>
          <w:rFonts w:ascii="Arial" w:hAnsi="Arial" w:cs="Arial"/>
          <w:sz w:val="22"/>
        </w:rPr>
        <w:t>El número de</w:t>
      </w:r>
      <w:r w:rsidR="00875344" w:rsidRPr="009A0E85">
        <w:rPr>
          <w:rFonts w:ascii="Arial" w:hAnsi="Arial" w:cs="Arial"/>
          <w:sz w:val="22"/>
        </w:rPr>
        <w:t xml:space="preserve"> conexión de alcantarillado </w:t>
      </w:r>
      <w:r w:rsidR="00875344" w:rsidRPr="009A0E85">
        <w:rPr>
          <w:rFonts w:ascii="Arial" w:hAnsi="Arial" w:cs="Arial"/>
          <w:sz w:val="22"/>
        </w:rPr>
        <w:lastRenderedPageBreak/>
        <w:t>se increment</w:t>
      </w:r>
      <w:r w:rsidR="00A81674" w:rsidRPr="009A0E85">
        <w:rPr>
          <w:rFonts w:ascii="Arial" w:hAnsi="Arial" w:cs="Arial"/>
          <w:sz w:val="22"/>
        </w:rPr>
        <w:t>ó</w:t>
      </w:r>
      <w:r w:rsidR="00875344" w:rsidRPr="009A0E85">
        <w:rPr>
          <w:rFonts w:ascii="Arial" w:hAnsi="Arial" w:cs="Arial"/>
          <w:sz w:val="22"/>
        </w:rPr>
        <w:t xml:space="preserve"> en los últimos tres años: </w:t>
      </w:r>
      <w:r w:rsidR="00FB367A">
        <w:rPr>
          <w:rFonts w:ascii="Arial" w:hAnsi="Arial" w:cs="Arial"/>
          <w:sz w:val="22"/>
        </w:rPr>
        <w:t>301</w:t>
      </w:r>
      <w:r w:rsidR="00875344" w:rsidRPr="009A0E85">
        <w:rPr>
          <w:rFonts w:ascii="Arial" w:hAnsi="Arial" w:cs="Arial"/>
          <w:sz w:val="22"/>
        </w:rPr>
        <w:t xml:space="preserve"> mil (201</w:t>
      </w:r>
      <w:r w:rsidR="006A641C" w:rsidRPr="009A0E85">
        <w:rPr>
          <w:rFonts w:ascii="Arial" w:hAnsi="Arial" w:cs="Arial"/>
          <w:sz w:val="22"/>
        </w:rPr>
        <w:t>5</w:t>
      </w:r>
      <w:r w:rsidR="00875344" w:rsidRPr="009A0E85">
        <w:rPr>
          <w:rFonts w:ascii="Arial" w:hAnsi="Arial" w:cs="Arial"/>
          <w:sz w:val="22"/>
        </w:rPr>
        <w:t xml:space="preserve">) a </w:t>
      </w:r>
      <w:r w:rsidR="00FB367A">
        <w:rPr>
          <w:rFonts w:ascii="Arial" w:hAnsi="Arial" w:cs="Arial"/>
          <w:sz w:val="22"/>
        </w:rPr>
        <w:t>327</w:t>
      </w:r>
      <w:r w:rsidR="00875344" w:rsidRPr="009A0E85">
        <w:rPr>
          <w:rFonts w:ascii="Arial" w:hAnsi="Arial" w:cs="Arial"/>
          <w:sz w:val="22"/>
        </w:rPr>
        <w:t xml:space="preserve"> mil (201</w:t>
      </w:r>
      <w:r w:rsidR="006E4756" w:rsidRPr="009A0E85">
        <w:rPr>
          <w:rFonts w:ascii="Arial" w:hAnsi="Arial" w:cs="Arial"/>
          <w:sz w:val="22"/>
        </w:rPr>
        <w:t>7</w:t>
      </w:r>
      <w:r w:rsidR="00875344" w:rsidRPr="009A0E85">
        <w:rPr>
          <w:rFonts w:ascii="Arial" w:hAnsi="Arial" w:cs="Arial"/>
          <w:sz w:val="22"/>
        </w:rPr>
        <w:t>).</w:t>
      </w:r>
      <w:r w:rsidR="006E4756" w:rsidRPr="009A0E85">
        <w:rPr>
          <w:rFonts w:ascii="Arial" w:hAnsi="Arial" w:cs="Arial"/>
          <w:sz w:val="22"/>
        </w:rPr>
        <w:t xml:space="preserve"> </w:t>
      </w:r>
      <w:r w:rsidR="00694365" w:rsidRPr="009A0E85">
        <w:rPr>
          <w:rFonts w:ascii="Arial" w:hAnsi="Arial" w:cs="Arial"/>
          <w:sz w:val="22"/>
        </w:rPr>
        <w:t xml:space="preserve">Existe </w:t>
      </w:r>
      <w:r w:rsidR="00807BD0" w:rsidRPr="009A0E85">
        <w:rPr>
          <w:rFonts w:ascii="Arial" w:hAnsi="Arial" w:cs="Arial"/>
          <w:sz w:val="22"/>
        </w:rPr>
        <w:t>una brecha grande en l</w:t>
      </w:r>
      <w:r w:rsidR="003F745B" w:rsidRPr="009A0E85">
        <w:rPr>
          <w:rFonts w:ascii="Arial" w:hAnsi="Arial" w:cs="Arial"/>
          <w:sz w:val="22"/>
        </w:rPr>
        <w:t xml:space="preserve">a cobertura del servicio de </w:t>
      </w:r>
      <w:r w:rsidR="00694365" w:rsidRPr="009A0E85">
        <w:rPr>
          <w:rFonts w:ascii="Arial" w:hAnsi="Arial" w:cs="Arial"/>
          <w:sz w:val="22"/>
        </w:rPr>
        <w:t>alcantarillado</w:t>
      </w:r>
      <w:r w:rsidR="00807BD0" w:rsidRPr="009A0E85">
        <w:rPr>
          <w:rFonts w:ascii="Arial" w:hAnsi="Arial" w:cs="Arial"/>
          <w:sz w:val="22"/>
        </w:rPr>
        <w:t xml:space="preserve">, </w:t>
      </w:r>
      <w:r w:rsidR="0082343F" w:rsidRPr="009A0E85">
        <w:rPr>
          <w:rFonts w:ascii="Arial" w:hAnsi="Arial" w:cs="Arial"/>
          <w:sz w:val="22"/>
        </w:rPr>
        <w:t xml:space="preserve">cuyo nivel en el 2017 fue de </w:t>
      </w:r>
      <w:r w:rsidR="003F745B" w:rsidRPr="009A0E85">
        <w:rPr>
          <w:rFonts w:ascii="Arial" w:hAnsi="Arial" w:cs="Arial"/>
          <w:sz w:val="22"/>
        </w:rPr>
        <w:t xml:space="preserve">un </w:t>
      </w:r>
      <w:r w:rsidR="00A22BF9">
        <w:rPr>
          <w:rFonts w:ascii="Arial" w:hAnsi="Arial" w:cs="Arial"/>
          <w:sz w:val="22"/>
        </w:rPr>
        <w:t>43</w:t>
      </w:r>
      <w:r w:rsidR="003F745B" w:rsidRPr="009A0E85">
        <w:rPr>
          <w:rFonts w:ascii="Arial" w:hAnsi="Arial" w:cs="Arial"/>
          <w:sz w:val="22"/>
        </w:rPr>
        <w:t>%.</w:t>
      </w:r>
    </w:p>
    <w:p w14:paraId="5CB322D0" w14:textId="0716BE01" w:rsidR="00FF3217" w:rsidRPr="009A0E85" w:rsidRDefault="00FF3217" w:rsidP="00276398">
      <w:pPr>
        <w:pStyle w:val="subpar"/>
        <w:numPr>
          <w:ilvl w:val="2"/>
          <w:numId w:val="5"/>
        </w:numPr>
        <w:tabs>
          <w:tab w:val="clear" w:pos="2592"/>
          <w:tab w:val="num" w:pos="2160"/>
        </w:tabs>
        <w:ind w:left="990" w:hanging="270"/>
        <w:rPr>
          <w:rFonts w:ascii="Arial" w:hAnsi="Arial" w:cs="Arial"/>
          <w:i/>
          <w:sz w:val="22"/>
        </w:rPr>
      </w:pPr>
      <w:r w:rsidRPr="009A0E85">
        <w:rPr>
          <w:rFonts w:ascii="Arial" w:hAnsi="Arial" w:cs="Arial"/>
          <w:sz w:val="22"/>
        </w:rPr>
        <w:t>El volumen</w:t>
      </w:r>
      <w:r w:rsidR="00BF5F51" w:rsidRPr="009A0E85">
        <w:rPr>
          <w:rFonts w:ascii="Arial" w:hAnsi="Arial" w:cs="Arial"/>
          <w:sz w:val="22"/>
        </w:rPr>
        <w:t xml:space="preserve"> promedio </w:t>
      </w:r>
      <w:r w:rsidRPr="009A0E85">
        <w:rPr>
          <w:rFonts w:ascii="Arial" w:hAnsi="Arial" w:cs="Arial"/>
          <w:sz w:val="22"/>
        </w:rPr>
        <w:t xml:space="preserve">del agua producida fue de </w:t>
      </w:r>
      <w:r w:rsidR="00A8280C" w:rsidRPr="009A0E85">
        <w:rPr>
          <w:rFonts w:ascii="Arial" w:hAnsi="Arial" w:cs="Arial"/>
          <w:sz w:val="22"/>
        </w:rPr>
        <w:t>3</w:t>
      </w:r>
      <w:r w:rsidR="00A22BF9">
        <w:rPr>
          <w:rFonts w:ascii="Arial" w:hAnsi="Arial" w:cs="Arial"/>
          <w:sz w:val="22"/>
        </w:rPr>
        <w:t>5</w:t>
      </w:r>
      <w:r w:rsidR="00A8280C" w:rsidRPr="009A0E85">
        <w:rPr>
          <w:rFonts w:ascii="Arial" w:hAnsi="Arial" w:cs="Arial"/>
          <w:sz w:val="22"/>
        </w:rPr>
        <w:t>2</w:t>
      </w:r>
      <w:r w:rsidR="000B182F" w:rsidRPr="009A0E85">
        <w:rPr>
          <w:rFonts w:ascii="Arial" w:hAnsi="Arial" w:cs="Arial"/>
          <w:sz w:val="22"/>
        </w:rPr>
        <w:t xml:space="preserve"> mil</w:t>
      </w:r>
      <w:r w:rsidR="00A8280C" w:rsidRPr="009A0E85">
        <w:rPr>
          <w:rFonts w:ascii="Arial" w:hAnsi="Arial" w:cs="Arial"/>
          <w:sz w:val="22"/>
        </w:rPr>
        <w:t>lones de</w:t>
      </w:r>
      <w:r w:rsidRPr="009A0E85">
        <w:rPr>
          <w:rFonts w:ascii="Arial" w:hAnsi="Arial" w:cs="Arial"/>
          <w:sz w:val="22"/>
        </w:rPr>
        <w:t xml:space="preserve"> </w:t>
      </w:r>
      <w:r w:rsidR="000B182F" w:rsidRPr="009A0E85">
        <w:rPr>
          <w:rFonts w:ascii="Arial" w:hAnsi="Arial" w:cs="Arial"/>
          <w:sz w:val="22"/>
        </w:rPr>
        <w:t>m</w:t>
      </w:r>
      <w:r w:rsidRPr="009A0E85">
        <w:rPr>
          <w:rFonts w:ascii="Arial" w:hAnsi="Arial" w:cs="Arial"/>
          <w:sz w:val="22"/>
        </w:rPr>
        <w:t>3 en el 201</w:t>
      </w:r>
      <w:r w:rsidR="000B182F" w:rsidRPr="009A0E85">
        <w:rPr>
          <w:rFonts w:ascii="Arial" w:hAnsi="Arial" w:cs="Arial"/>
          <w:sz w:val="22"/>
        </w:rPr>
        <w:t>7</w:t>
      </w:r>
      <w:r w:rsidRPr="009A0E85">
        <w:rPr>
          <w:rFonts w:ascii="Arial" w:hAnsi="Arial" w:cs="Arial"/>
          <w:sz w:val="22"/>
        </w:rPr>
        <w:t>, d</w:t>
      </w:r>
      <w:r w:rsidR="000B182F" w:rsidRPr="009A0E85">
        <w:rPr>
          <w:rFonts w:ascii="Arial" w:hAnsi="Arial" w:cs="Arial"/>
          <w:sz w:val="22"/>
        </w:rPr>
        <w:t>el</w:t>
      </w:r>
      <w:r w:rsidRPr="009A0E85">
        <w:rPr>
          <w:rFonts w:ascii="Arial" w:hAnsi="Arial" w:cs="Arial"/>
          <w:sz w:val="22"/>
        </w:rPr>
        <w:t xml:space="preserve"> cual se </w:t>
      </w:r>
      <w:r w:rsidR="00150309" w:rsidRPr="009A0E85">
        <w:rPr>
          <w:rFonts w:ascii="Arial" w:hAnsi="Arial" w:cs="Arial"/>
          <w:sz w:val="22"/>
        </w:rPr>
        <w:t>facturó</w:t>
      </w:r>
      <w:r w:rsidRPr="009A0E85">
        <w:rPr>
          <w:rFonts w:ascii="Arial" w:hAnsi="Arial" w:cs="Arial"/>
          <w:sz w:val="22"/>
        </w:rPr>
        <w:t xml:space="preserve"> aproximadamente </w:t>
      </w:r>
      <w:r w:rsidR="00A22BF9">
        <w:rPr>
          <w:rFonts w:ascii="Arial" w:hAnsi="Arial" w:cs="Arial"/>
          <w:sz w:val="22"/>
        </w:rPr>
        <w:t>167</w:t>
      </w:r>
      <w:r w:rsidRPr="009A0E85">
        <w:rPr>
          <w:rFonts w:ascii="Arial" w:hAnsi="Arial" w:cs="Arial"/>
          <w:sz w:val="22"/>
        </w:rPr>
        <w:t xml:space="preserve"> mil</w:t>
      </w:r>
      <w:r w:rsidR="00150309" w:rsidRPr="009A0E85">
        <w:rPr>
          <w:rFonts w:ascii="Arial" w:hAnsi="Arial" w:cs="Arial"/>
          <w:sz w:val="22"/>
        </w:rPr>
        <w:t>lones</w:t>
      </w:r>
      <w:r w:rsidRPr="009A0E85">
        <w:rPr>
          <w:rFonts w:ascii="Arial" w:hAnsi="Arial" w:cs="Arial"/>
          <w:sz w:val="22"/>
        </w:rPr>
        <w:t xml:space="preserve"> m</w:t>
      </w:r>
      <w:r w:rsidRPr="009A0E85">
        <w:rPr>
          <w:rFonts w:ascii="Arial" w:hAnsi="Arial" w:cs="Arial"/>
          <w:sz w:val="22"/>
          <w:vertAlign w:val="superscript"/>
        </w:rPr>
        <w:t>3</w:t>
      </w:r>
      <w:r w:rsidRPr="009A0E85">
        <w:rPr>
          <w:rFonts w:ascii="Arial" w:hAnsi="Arial" w:cs="Arial"/>
          <w:sz w:val="22"/>
        </w:rPr>
        <w:t xml:space="preserve"> de agua; por lo cual se registró unos </w:t>
      </w:r>
      <w:r w:rsidR="009A47F6" w:rsidRPr="009A0E85">
        <w:rPr>
          <w:rFonts w:ascii="Arial" w:hAnsi="Arial" w:cs="Arial"/>
          <w:sz w:val="22"/>
        </w:rPr>
        <w:t>1</w:t>
      </w:r>
      <w:r w:rsidR="00B86DA4">
        <w:rPr>
          <w:rFonts w:ascii="Arial" w:hAnsi="Arial" w:cs="Arial"/>
          <w:sz w:val="22"/>
        </w:rPr>
        <w:t>85</w:t>
      </w:r>
      <w:r w:rsidRPr="009A0E85">
        <w:rPr>
          <w:rFonts w:ascii="Arial" w:hAnsi="Arial" w:cs="Arial"/>
          <w:sz w:val="22"/>
        </w:rPr>
        <w:t xml:space="preserve"> mil</w:t>
      </w:r>
      <w:r w:rsidR="009A47F6" w:rsidRPr="009A0E85">
        <w:rPr>
          <w:rFonts w:ascii="Arial" w:hAnsi="Arial" w:cs="Arial"/>
          <w:sz w:val="22"/>
        </w:rPr>
        <w:t>lones de</w:t>
      </w:r>
      <w:r w:rsidRPr="009A0E85">
        <w:rPr>
          <w:rFonts w:ascii="Arial" w:hAnsi="Arial" w:cs="Arial"/>
          <w:sz w:val="22"/>
        </w:rPr>
        <w:t xml:space="preserve"> m</w:t>
      </w:r>
      <w:r w:rsidRPr="009A0E85">
        <w:rPr>
          <w:rFonts w:ascii="Arial" w:hAnsi="Arial" w:cs="Arial"/>
          <w:sz w:val="22"/>
          <w:vertAlign w:val="superscript"/>
        </w:rPr>
        <w:t>3</w:t>
      </w:r>
      <w:r w:rsidRPr="009A0E85">
        <w:rPr>
          <w:rFonts w:ascii="Arial" w:hAnsi="Arial" w:cs="Arial"/>
          <w:sz w:val="22"/>
        </w:rPr>
        <w:t xml:space="preserve"> como agua no </w:t>
      </w:r>
      <w:r w:rsidR="009A47F6" w:rsidRPr="009A0E85">
        <w:rPr>
          <w:rFonts w:ascii="Arial" w:hAnsi="Arial" w:cs="Arial"/>
          <w:sz w:val="22"/>
        </w:rPr>
        <w:t>facturada</w:t>
      </w:r>
      <w:r w:rsidRPr="009A0E85">
        <w:rPr>
          <w:rFonts w:ascii="Arial" w:hAnsi="Arial" w:cs="Arial"/>
          <w:sz w:val="22"/>
          <w:vertAlign w:val="superscript"/>
        </w:rPr>
        <w:footnoteReference w:id="3"/>
      </w:r>
      <w:r w:rsidRPr="009A0E85">
        <w:rPr>
          <w:rFonts w:ascii="Arial" w:hAnsi="Arial" w:cs="Arial"/>
          <w:sz w:val="22"/>
        </w:rPr>
        <w:t xml:space="preserve"> (equivalente a un 5</w:t>
      </w:r>
      <w:r w:rsidR="009A47F6" w:rsidRPr="009A0E85">
        <w:rPr>
          <w:rFonts w:ascii="Arial" w:hAnsi="Arial" w:cs="Arial"/>
          <w:sz w:val="22"/>
        </w:rPr>
        <w:t>3</w:t>
      </w:r>
      <w:r w:rsidRPr="009A0E85">
        <w:rPr>
          <w:rFonts w:ascii="Arial" w:hAnsi="Arial" w:cs="Arial"/>
          <w:sz w:val="22"/>
        </w:rPr>
        <w:t>%).</w:t>
      </w:r>
      <w:r w:rsidR="00A94F51" w:rsidRPr="009A0E85">
        <w:rPr>
          <w:rFonts w:ascii="Arial" w:hAnsi="Arial" w:cs="Arial"/>
          <w:sz w:val="22"/>
        </w:rPr>
        <w:t xml:space="preserve"> </w:t>
      </w:r>
      <w:r w:rsidR="003A13A5" w:rsidRPr="009A0E85">
        <w:rPr>
          <w:rFonts w:ascii="Arial" w:hAnsi="Arial" w:cs="Arial"/>
          <w:sz w:val="22"/>
        </w:rPr>
        <w:t>El volumen promedio diario del agua</w:t>
      </w:r>
    </w:p>
    <w:p w14:paraId="2EF8839D" w14:textId="385A16D0" w:rsidR="00FF3217" w:rsidRPr="009A0E85" w:rsidRDefault="002B0886" w:rsidP="00276398">
      <w:pPr>
        <w:pStyle w:val="subpar"/>
        <w:numPr>
          <w:ilvl w:val="2"/>
          <w:numId w:val="5"/>
        </w:numPr>
        <w:tabs>
          <w:tab w:val="clear" w:pos="2592"/>
          <w:tab w:val="num" w:pos="2160"/>
        </w:tabs>
        <w:ind w:left="990" w:hanging="270"/>
        <w:rPr>
          <w:rFonts w:ascii="Arial" w:hAnsi="Arial" w:cs="Arial"/>
          <w:i/>
          <w:sz w:val="22"/>
        </w:rPr>
      </w:pPr>
      <w:r w:rsidRPr="009A0E85">
        <w:rPr>
          <w:rFonts w:ascii="Arial" w:hAnsi="Arial" w:cs="Arial"/>
          <w:sz w:val="22"/>
        </w:rPr>
        <w:t>La suma de l</w:t>
      </w:r>
      <w:r w:rsidR="00FF3217" w:rsidRPr="009A0E85">
        <w:rPr>
          <w:rFonts w:ascii="Arial" w:hAnsi="Arial" w:cs="Arial"/>
          <w:sz w:val="22"/>
        </w:rPr>
        <w:t xml:space="preserve">os </w:t>
      </w:r>
      <w:r w:rsidR="00FF3217" w:rsidRPr="008E022B">
        <w:rPr>
          <w:rFonts w:ascii="Arial" w:hAnsi="Arial" w:cs="Arial"/>
          <w:sz w:val="22"/>
        </w:rPr>
        <w:t xml:space="preserve">ingresos </w:t>
      </w:r>
      <w:r w:rsidRPr="008E022B">
        <w:rPr>
          <w:rFonts w:ascii="Arial" w:hAnsi="Arial" w:cs="Arial"/>
          <w:sz w:val="22"/>
        </w:rPr>
        <w:t>operacionales</w:t>
      </w:r>
      <w:r w:rsidR="00FF3217" w:rsidRPr="008E022B">
        <w:rPr>
          <w:rFonts w:ascii="Arial" w:hAnsi="Arial" w:cs="Arial"/>
          <w:sz w:val="22"/>
        </w:rPr>
        <w:t xml:space="preserve"> aument</w:t>
      </w:r>
      <w:r w:rsidR="009D4CFD" w:rsidRPr="008E022B">
        <w:rPr>
          <w:rFonts w:ascii="Arial" w:hAnsi="Arial" w:cs="Arial"/>
          <w:sz w:val="22"/>
        </w:rPr>
        <w:t>ó</w:t>
      </w:r>
      <w:r w:rsidR="00FF3217" w:rsidRPr="008E022B">
        <w:rPr>
          <w:rFonts w:ascii="Arial" w:hAnsi="Arial" w:cs="Arial"/>
          <w:sz w:val="22"/>
        </w:rPr>
        <w:t xml:space="preserve"> de US$</w:t>
      </w:r>
      <w:r w:rsidR="00372C80" w:rsidRPr="008E022B">
        <w:rPr>
          <w:rFonts w:ascii="Arial" w:hAnsi="Arial" w:cs="Arial"/>
          <w:sz w:val="22"/>
        </w:rPr>
        <w:t>395</w:t>
      </w:r>
      <w:r w:rsidR="00FF3217" w:rsidRPr="008E022B">
        <w:rPr>
          <w:rFonts w:ascii="Arial" w:hAnsi="Arial" w:cs="Arial"/>
          <w:sz w:val="22"/>
        </w:rPr>
        <w:t xml:space="preserve"> millones en 201</w:t>
      </w:r>
      <w:r w:rsidR="00372C80" w:rsidRPr="008E022B">
        <w:rPr>
          <w:rFonts w:ascii="Arial" w:hAnsi="Arial" w:cs="Arial"/>
          <w:sz w:val="22"/>
        </w:rPr>
        <w:t>5</w:t>
      </w:r>
      <w:r w:rsidR="00FF3217" w:rsidRPr="008E022B">
        <w:rPr>
          <w:rFonts w:ascii="Arial" w:hAnsi="Arial" w:cs="Arial"/>
          <w:sz w:val="22"/>
        </w:rPr>
        <w:t xml:space="preserve"> a US$</w:t>
      </w:r>
      <w:r w:rsidR="00372C80" w:rsidRPr="008E022B">
        <w:rPr>
          <w:rFonts w:ascii="Arial" w:hAnsi="Arial" w:cs="Arial"/>
          <w:sz w:val="22"/>
        </w:rPr>
        <w:t>437</w:t>
      </w:r>
      <w:r w:rsidR="00FF3217" w:rsidRPr="008E022B">
        <w:rPr>
          <w:rFonts w:ascii="Arial" w:hAnsi="Arial" w:cs="Arial"/>
          <w:sz w:val="22"/>
        </w:rPr>
        <w:t xml:space="preserve"> millones en 201</w:t>
      </w:r>
      <w:r w:rsidR="00372C80" w:rsidRPr="008E022B">
        <w:rPr>
          <w:rFonts w:ascii="Arial" w:hAnsi="Arial" w:cs="Arial"/>
          <w:sz w:val="22"/>
        </w:rPr>
        <w:t>7</w:t>
      </w:r>
      <w:r w:rsidR="00FF3217" w:rsidRPr="008E022B">
        <w:rPr>
          <w:rFonts w:ascii="Arial" w:hAnsi="Arial" w:cs="Arial"/>
          <w:sz w:val="22"/>
        </w:rPr>
        <w:t xml:space="preserve">. </w:t>
      </w:r>
      <w:r w:rsidR="008E022B" w:rsidRPr="008E022B">
        <w:rPr>
          <w:rFonts w:ascii="Arial" w:hAnsi="Arial" w:cs="Arial"/>
          <w:sz w:val="22"/>
        </w:rPr>
        <w:t>En este periodo, la facturación promedio de cargo fijo de agua subió de US$7,</w:t>
      </w:r>
      <w:r w:rsidR="000829CA">
        <w:rPr>
          <w:rFonts w:ascii="Arial" w:hAnsi="Arial" w:cs="Arial"/>
          <w:sz w:val="22"/>
        </w:rPr>
        <w:t>4</w:t>
      </w:r>
      <w:r w:rsidR="008E022B" w:rsidRPr="008E022B">
        <w:rPr>
          <w:rFonts w:ascii="Arial" w:hAnsi="Arial" w:cs="Arial"/>
          <w:sz w:val="22"/>
        </w:rPr>
        <w:t>/mes/cuenta a US$</w:t>
      </w:r>
      <w:r w:rsidR="000829CA">
        <w:rPr>
          <w:rFonts w:ascii="Arial" w:hAnsi="Arial" w:cs="Arial"/>
          <w:sz w:val="22"/>
        </w:rPr>
        <w:t>9</w:t>
      </w:r>
      <w:r w:rsidR="008E022B" w:rsidRPr="008E022B">
        <w:rPr>
          <w:rFonts w:ascii="Arial" w:hAnsi="Arial" w:cs="Arial"/>
          <w:sz w:val="22"/>
        </w:rPr>
        <w:t>,</w:t>
      </w:r>
      <w:r w:rsidR="000829CA">
        <w:rPr>
          <w:rFonts w:ascii="Arial" w:hAnsi="Arial" w:cs="Arial"/>
          <w:sz w:val="22"/>
        </w:rPr>
        <w:t>9</w:t>
      </w:r>
      <w:r w:rsidR="008E022B" w:rsidRPr="008E022B">
        <w:rPr>
          <w:rFonts w:ascii="Arial" w:hAnsi="Arial" w:cs="Arial"/>
          <w:sz w:val="22"/>
        </w:rPr>
        <w:t>/mes/cuenta, la de cargo variable bajó de US$1,</w:t>
      </w:r>
      <w:r w:rsidR="00AF2054">
        <w:rPr>
          <w:rFonts w:ascii="Arial" w:hAnsi="Arial" w:cs="Arial"/>
          <w:sz w:val="22"/>
        </w:rPr>
        <w:t>48</w:t>
      </w:r>
      <w:r w:rsidR="008E022B" w:rsidRPr="008E022B">
        <w:rPr>
          <w:rFonts w:ascii="Arial" w:hAnsi="Arial" w:cs="Arial"/>
          <w:sz w:val="22"/>
        </w:rPr>
        <w:t>/m</w:t>
      </w:r>
      <w:r w:rsidR="008E022B" w:rsidRPr="008E022B">
        <w:rPr>
          <w:rFonts w:ascii="Arial" w:hAnsi="Arial" w:cs="Arial"/>
          <w:sz w:val="22"/>
          <w:vertAlign w:val="superscript"/>
        </w:rPr>
        <w:t>3</w:t>
      </w:r>
      <w:r w:rsidR="008E022B" w:rsidRPr="008E022B">
        <w:rPr>
          <w:rFonts w:ascii="Arial" w:hAnsi="Arial" w:cs="Arial"/>
          <w:sz w:val="22"/>
        </w:rPr>
        <w:t xml:space="preserve"> a US$1,</w:t>
      </w:r>
      <w:r w:rsidR="00AF2054">
        <w:rPr>
          <w:rFonts w:ascii="Arial" w:hAnsi="Arial" w:cs="Arial"/>
          <w:sz w:val="22"/>
        </w:rPr>
        <w:t>35</w:t>
      </w:r>
      <w:r w:rsidR="008E022B" w:rsidRPr="008E022B">
        <w:rPr>
          <w:rFonts w:ascii="Arial" w:hAnsi="Arial" w:cs="Arial"/>
          <w:sz w:val="22"/>
        </w:rPr>
        <w:t>/m</w:t>
      </w:r>
      <w:r w:rsidR="008E022B" w:rsidRPr="008E022B">
        <w:rPr>
          <w:rFonts w:ascii="Arial" w:hAnsi="Arial" w:cs="Arial"/>
          <w:sz w:val="22"/>
          <w:vertAlign w:val="superscript"/>
        </w:rPr>
        <w:t>3</w:t>
      </w:r>
      <w:r w:rsidR="008E022B" w:rsidRPr="008E022B">
        <w:rPr>
          <w:rFonts w:ascii="Arial" w:hAnsi="Arial" w:cs="Arial"/>
          <w:sz w:val="22"/>
        </w:rPr>
        <w:t>, mientras no hubo movimiento en la de alcantarillado con US$1,91/m</w:t>
      </w:r>
      <w:r w:rsidR="008E022B" w:rsidRPr="008E022B">
        <w:rPr>
          <w:rFonts w:ascii="Arial" w:hAnsi="Arial" w:cs="Arial"/>
          <w:sz w:val="22"/>
          <w:vertAlign w:val="superscript"/>
        </w:rPr>
        <w:t>3</w:t>
      </w:r>
      <w:r w:rsidR="008E022B" w:rsidRPr="008E022B">
        <w:rPr>
          <w:rFonts w:ascii="Arial" w:hAnsi="Arial" w:cs="Arial"/>
          <w:sz w:val="22"/>
        </w:rPr>
        <w:t>.</w:t>
      </w:r>
    </w:p>
    <w:p w14:paraId="298F18F8" w14:textId="7703FA78" w:rsidR="00831F5E" w:rsidRDefault="00A53F97" w:rsidP="003C495E">
      <w:pPr>
        <w:pStyle w:val="Paragraph"/>
        <w:tabs>
          <w:tab w:val="num" w:pos="720"/>
        </w:tabs>
        <w:ind w:left="720" w:hanging="720"/>
        <w:rPr>
          <w:rFonts w:ascii="Arial" w:hAnsi="Arial" w:cs="Arial"/>
          <w:i/>
          <w:sz w:val="22"/>
          <w:szCs w:val="22"/>
        </w:rPr>
      </w:pPr>
      <w:r w:rsidRPr="00135D02">
        <w:rPr>
          <w:rFonts w:ascii="Arial" w:hAnsi="Arial" w:cs="Arial"/>
          <w:i/>
          <w:sz w:val="22"/>
          <w:szCs w:val="22"/>
        </w:rPr>
        <w:t>Estructura tarifaria</w:t>
      </w:r>
      <w:r w:rsidR="00A56C2E" w:rsidRPr="00135D02">
        <w:rPr>
          <w:rFonts w:ascii="Arial" w:hAnsi="Arial" w:cs="Arial"/>
          <w:i/>
          <w:sz w:val="22"/>
          <w:szCs w:val="22"/>
        </w:rPr>
        <w:t xml:space="preserve">. </w:t>
      </w:r>
      <w:r w:rsidR="003C495E" w:rsidRPr="00135D02">
        <w:rPr>
          <w:rFonts w:ascii="Arial" w:hAnsi="Arial" w:cs="Arial"/>
          <w:sz w:val="22"/>
          <w:szCs w:val="22"/>
        </w:rPr>
        <w:t>Dentro de la estructura tarifaria,</w:t>
      </w:r>
      <w:r w:rsidR="00B56BBF">
        <w:rPr>
          <w:rFonts w:ascii="Arial" w:hAnsi="Arial" w:cs="Arial"/>
          <w:sz w:val="22"/>
          <w:szCs w:val="22"/>
        </w:rPr>
        <w:t xml:space="preserve"> tanto para agua como para saneamiento,</w:t>
      </w:r>
      <w:r w:rsidR="003C495E" w:rsidRPr="00135D02">
        <w:rPr>
          <w:rFonts w:ascii="Arial" w:hAnsi="Arial" w:cs="Arial"/>
          <w:sz w:val="22"/>
          <w:szCs w:val="22"/>
        </w:rPr>
        <w:t xml:space="preserve"> se establecen cuatro clasificaciones de tarifas: (i) </w:t>
      </w:r>
      <w:r w:rsidR="006820BB">
        <w:rPr>
          <w:rFonts w:ascii="Arial" w:hAnsi="Arial" w:cs="Arial"/>
          <w:sz w:val="22"/>
          <w:szCs w:val="22"/>
        </w:rPr>
        <w:t>tarifa residencial</w:t>
      </w:r>
      <w:r w:rsidR="00BA7AE6">
        <w:rPr>
          <w:rFonts w:ascii="Arial" w:hAnsi="Arial" w:cs="Arial"/>
          <w:sz w:val="22"/>
          <w:szCs w:val="22"/>
        </w:rPr>
        <w:t>;</w:t>
      </w:r>
      <w:r w:rsidR="003C495E" w:rsidRPr="00135D02">
        <w:rPr>
          <w:rFonts w:ascii="Arial" w:hAnsi="Arial" w:cs="Arial"/>
          <w:sz w:val="22"/>
          <w:szCs w:val="22"/>
        </w:rPr>
        <w:t xml:space="preserve"> (ii) tarifa </w:t>
      </w:r>
      <w:r w:rsidR="006820BB">
        <w:rPr>
          <w:rFonts w:ascii="Arial" w:hAnsi="Arial" w:cs="Arial"/>
          <w:sz w:val="22"/>
          <w:szCs w:val="22"/>
        </w:rPr>
        <w:t>comercial</w:t>
      </w:r>
      <w:r w:rsidR="00BA7AE6">
        <w:rPr>
          <w:rFonts w:ascii="Arial" w:hAnsi="Arial" w:cs="Arial"/>
          <w:sz w:val="22"/>
          <w:szCs w:val="22"/>
        </w:rPr>
        <w:t>;</w:t>
      </w:r>
      <w:r w:rsidR="003C495E" w:rsidRPr="00135D02">
        <w:rPr>
          <w:rFonts w:ascii="Arial" w:hAnsi="Arial" w:cs="Arial"/>
          <w:sz w:val="22"/>
          <w:szCs w:val="22"/>
        </w:rPr>
        <w:t xml:space="preserve"> (iii) tarifa </w:t>
      </w:r>
      <w:r w:rsidR="00FB027A">
        <w:rPr>
          <w:rFonts w:ascii="Arial" w:hAnsi="Arial" w:cs="Arial"/>
          <w:sz w:val="22"/>
          <w:szCs w:val="22"/>
        </w:rPr>
        <w:t>industrial</w:t>
      </w:r>
      <w:r w:rsidR="00BA7AE6">
        <w:rPr>
          <w:rFonts w:ascii="Arial" w:hAnsi="Arial" w:cs="Arial"/>
          <w:sz w:val="22"/>
          <w:szCs w:val="22"/>
        </w:rPr>
        <w:t>;</w:t>
      </w:r>
      <w:r w:rsidR="003C495E" w:rsidRPr="00135D02">
        <w:rPr>
          <w:rFonts w:ascii="Arial" w:hAnsi="Arial" w:cs="Arial"/>
          <w:sz w:val="22"/>
          <w:szCs w:val="22"/>
        </w:rPr>
        <w:t xml:space="preserve"> y (iv) tarifa </w:t>
      </w:r>
      <w:r w:rsidR="00732FB8">
        <w:rPr>
          <w:rFonts w:ascii="Arial" w:hAnsi="Arial" w:cs="Arial"/>
          <w:sz w:val="22"/>
          <w:szCs w:val="22"/>
        </w:rPr>
        <w:t>oficial</w:t>
      </w:r>
      <w:r w:rsidR="003C495E" w:rsidRPr="00135D02">
        <w:rPr>
          <w:rFonts w:ascii="Arial" w:hAnsi="Arial" w:cs="Arial"/>
          <w:sz w:val="22"/>
          <w:szCs w:val="22"/>
        </w:rPr>
        <w:t>.</w:t>
      </w:r>
      <w:r w:rsidR="00B56BBF">
        <w:rPr>
          <w:rFonts w:ascii="Arial" w:hAnsi="Arial" w:cs="Arial"/>
          <w:sz w:val="22"/>
          <w:szCs w:val="22"/>
        </w:rPr>
        <w:t xml:space="preserve"> En el caso del servicio de saneamiento, además </w:t>
      </w:r>
      <w:r w:rsidR="002A3EFC">
        <w:rPr>
          <w:rFonts w:ascii="Arial" w:hAnsi="Arial" w:cs="Arial"/>
          <w:sz w:val="22"/>
          <w:szCs w:val="22"/>
        </w:rPr>
        <w:t>existe</w:t>
      </w:r>
      <w:r w:rsidR="008746D6">
        <w:rPr>
          <w:rFonts w:ascii="Arial" w:hAnsi="Arial" w:cs="Arial"/>
          <w:sz w:val="22"/>
          <w:szCs w:val="22"/>
        </w:rPr>
        <w:t xml:space="preserve"> una diferenciación en la tarifa según</w:t>
      </w:r>
      <w:r w:rsidR="002A3EFC">
        <w:rPr>
          <w:rFonts w:ascii="Arial" w:hAnsi="Arial" w:cs="Arial"/>
          <w:sz w:val="22"/>
          <w:szCs w:val="22"/>
        </w:rPr>
        <w:t xml:space="preserve"> tipo</w:t>
      </w:r>
      <w:r w:rsidR="008746D6">
        <w:rPr>
          <w:rFonts w:ascii="Arial" w:hAnsi="Arial" w:cs="Arial"/>
          <w:sz w:val="22"/>
          <w:szCs w:val="22"/>
        </w:rPr>
        <w:t xml:space="preserve"> de sistema (</w:t>
      </w:r>
      <w:r w:rsidR="008C6560">
        <w:rPr>
          <w:rFonts w:ascii="Arial" w:hAnsi="Arial" w:cs="Arial"/>
          <w:sz w:val="22"/>
          <w:szCs w:val="22"/>
        </w:rPr>
        <w:t xml:space="preserve">el </w:t>
      </w:r>
      <w:r w:rsidR="009F3B4A">
        <w:rPr>
          <w:rFonts w:ascii="Arial" w:hAnsi="Arial" w:cs="Arial"/>
          <w:sz w:val="22"/>
          <w:szCs w:val="22"/>
        </w:rPr>
        <w:t xml:space="preserve">sistema </w:t>
      </w:r>
      <w:r w:rsidR="008746D6">
        <w:rPr>
          <w:rFonts w:ascii="Arial" w:hAnsi="Arial" w:cs="Arial"/>
          <w:sz w:val="22"/>
          <w:szCs w:val="22"/>
        </w:rPr>
        <w:t>convencional, o</w:t>
      </w:r>
      <w:r w:rsidR="009F3B4A">
        <w:rPr>
          <w:rFonts w:ascii="Arial" w:hAnsi="Arial" w:cs="Arial"/>
          <w:sz w:val="22"/>
          <w:szCs w:val="22"/>
        </w:rPr>
        <w:t xml:space="preserve"> el sistema</w:t>
      </w:r>
      <w:r w:rsidR="008746D6">
        <w:rPr>
          <w:rFonts w:ascii="Arial" w:hAnsi="Arial" w:cs="Arial"/>
          <w:sz w:val="22"/>
          <w:szCs w:val="22"/>
        </w:rPr>
        <w:t xml:space="preserve"> </w:t>
      </w:r>
      <w:r w:rsidR="001D24F0">
        <w:rPr>
          <w:rFonts w:ascii="Arial" w:hAnsi="Arial" w:cs="Arial"/>
          <w:sz w:val="22"/>
          <w:szCs w:val="22"/>
        </w:rPr>
        <w:t>por efluente decantado</w:t>
      </w:r>
      <w:r w:rsidR="005B637F">
        <w:rPr>
          <w:rStyle w:val="FootnoteReference"/>
          <w:rFonts w:ascii="Arial" w:hAnsi="Arial" w:cs="Arial"/>
          <w:sz w:val="22"/>
          <w:szCs w:val="22"/>
        </w:rPr>
        <w:footnoteReference w:id="4"/>
      </w:r>
      <w:r w:rsidR="008746D6">
        <w:rPr>
          <w:rFonts w:ascii="Arial" w:hAnsi="Arial" w:cs="Arial"/>
          <w:sz w:val="22"/>
          <w:szCs w:val="22"/>
        </w:rPr>
        <w:t>)</w:t>
      </w:r>
      <w:r w:rsidR="009F3B4A">
        <w:rPr>
          <w:rFonts w:ascii="Arial" w:hAnsi="Arial" w:cs="Arial"/>
          <w:sz w:val="22"/>
          <w:szCs w:val="22"/>
        </w:rPr>
        <w:t>.</w:t>
      </w:r>
      <w:r w:rsidR="002A3EFC">
        <w:rPr>
          <w:rFonts w:ascii="Arial" w:hAnsi="Arial" w:cs="Arial"/>
          <w:sz w:val="22"/>
          <w:szCs w:val="22"/>
        </w:rPr>
        <w:t xml:space="preserve"> </w:t>
      </w:r>
      <w:r w:rsidR="00831F5E" w:rsidRPr="00135D02">
        <w:rPr>
          <w:rFonts w:ascii="Arial" w:hAnsi="Arial" w:cs="Arial"/>
          <w:sz w:val="22"/>
          <w:szCs w:val="22"/>
        </w:rPr>
        <w:t>A cada clasificación, se cobran el cargo fijo y cargo variable.</w:t>
      </w:r>
    </w:p>
    <w:p w14:paraId="1989A5C4" w14:textId="16D9C2BE" w:rsidR="00A3164A" w:rsidRPr="004B1207" w:rsidRDefault="00DD74D7" w:rsidP="004B1207">
      <w:pPr>
        <w:pStyle w:val="Paragraph"/>
        <w:tabs>
          <w:tab w:val="num" w:pos="720"/>
        </w:tabs>
        <w:ind w:left="720" w:hanging="720"/>
        <w:rPr>
          <w:rFonts w:ascii="Arial" w:hAnsi="Arial" w:cs="Arial"/>
          <w:sz w:val="22"/>
          <w:szCs w:val="22"/>
        </w:rPr>
      </w:pPr>
      <w:r w:rsidRPr="004B1207">
        <w:rPr>
          <w:rFonts w:ascii="Arial" w:hAnsi="Arial" w:cs="Arial"/>
          <w:i/>
          <w:sz w:val="22"/>
          <w:szCs w:val="22"/>
        </w:rPr>
        <w:t>Facturación bonificada.</w:t>
      </w:r>
      <w:r w:rsidR="003C495E" w:rsidRPr="004B1207">
        <w:rPr>
          <w:rFonts w:ascii="Arial" w:hAnsi="Arial" w:cs="Arial"/>
          <w:i/>
          <w:sz w:val="22"/>
          <w:szCs w:val="22"/>
        </w:rPr>
        <w:t xml:space="preserve"> </w:t>
      </w:r>
      <w:r w:rsidR="00086D4B" w:rsidRPr="004B1207">
        <w:rPr>
          <w:rFonts w:ascii="Arial" w:hAnsi="Arial" w:cs="Arial"/>
          <w:sz w:val="22"/>
          <w:szCs w:val="22"/>
        </w:rPr>
        <w:t xml:space="preserve">La bonificación de la factura se aplica en los siguientes casos: (i) </w:t>
      </w:r>
      <w:r w:rsidR="004B1207" w:rsidRPr="004B1207">
        <w:rPr>
          <w:rFonts w:ascii="Arial" w:hAnsi="Arial" w:cs="Arial"/>
          <w:sz w:val="22"/>
          <w:szCs w:val="22"/>
        </w:rPr>
        <w:t>El servicio de agua prestado a beneficiarios de planes sociales del Ministerio de Desarrollo</w:t>
      </w:r>
      <w:r w:rsidR="004B1207">
        <w:rPr>
          <w:rFonts w:ascii="Arial" w:hAnsi="Arial" w:cs="Arial"/>
          <w:sz w:val="22"/>
          <w:szCs w:val="22"/>
        </w:rPr>
        <w:t xml:space="preserve"> </w:t>
      </w:r>
      <w:r w:rsidR="004B1207" w:rsidRPr="004B1207">
        <w:rPr>
          <w:rFonts w:ascii="Arial" w:hAnsi="Arial" w:cs="Arial"/>
          <w:sz w:val="22"/>
          <w:szCs w:val="22"/>
        </w:rPr>
        <w:t>Social (MI.DE.S.), así como inmuebles ubicados en asentamientos identificados por el Ministerio</w:t>
      </w:r>
      <w:r w:rsidR="004B1207">
        <w:rPr>
          <w:rFonts w:ascii="Arial" w:hAnsi="Arial" w:cs="Arial"/>
          <w:sz w:val="22"/>
          <w:szCs w:val="22"/>
        </w:rPr>
        <w:t xml:space="preserve"> </w:t>
      </w:r>
      <w:r w:rsidR="004B1207" w:rsidRPr="004B1207">
        <w:rPr>
          <w:rFonts w:ascii="Arial" w:hAnsi="Arial" w:cs="Arial"/>
          <w:sz w:val="22"/>
          <w:szCs w:val="22"/>
        </w:rPr>
        <w:t>de Vivienda Ordenamiento Territorial y Medio Ambiente (M.V.O.T.M.A.) y los hogares</w:t>
      </w:r>
      <w:r w:rsidR="004B1207">
        <w:rPr>
          <w:rFonts w:ascii="Arial" w:hAnsi="Arial" w:cs="Arial"/>
          <w:sz w:val="22"/>
          <w:szCs w:val="22"/>
        </w:rPr>
        <w:t xml:space="preserve"> </w:t>
      </w:r>
      <w:r w:rsidR="004B1207" w:rsidRPr="004B1207">
        <w:rPr>
          <w:rFonts w:ascii="Arial" w:hAnsi="Arial" w:cs="Arial"/>
          <w:sz w:val="22"/>
          <w:szCs w:val="22"/>
        </w:rPr>
        <w:t>considerados en situación de vulnerabilidad socioeconómica identificados por la Dirección</w:t>
      </w:r>
      <w:r w:rsidR="004B1207">
        <w:rPr>
          <w:rFonts w:ascii="Arial" w:hAnsi="Arial" w:cs="Arial"/>
          <w:sz w:val="22"/>
          <w:szCs w:val="22"/>
        </w:rPr>
        <w:t xml:space="preserve"> </w:t>
      </w:r>
      <w:r w:rsidR="004B1207" w:rsidRPr="004B1207">
        <w:rPr>
          <w:rFonts w:ascii="Arial" w:hAnsi="Arial" w:cs="Arial"/>
          <w:sz w:val="22"/>
          <w:szCs w:val="22"/>
        </w:rPr>
        <w:t>Nacional de Vivienda (DI.NA.VI.)</w:t>
      </w:r>
      <w:r w:rsidR="00BA7AE6">
        <w:rPr>
          <w:rFonts w:ascii="Arial" w:hAnsi="Arial" w:cs="Arial"/>
          <w:sz w:val="22"/>
          <w:szCs w:val="22"/>
        </w:rPr>
        <w:t xml:space="preserve">; (ii) </w:t>
      </w:r>
      <w:r w:rsidR="00781ED4" w:rsidRPr="00781ED4">
        <w:rPr>
          <w:rFonts w:ascii="Arial" w:hAnsi="Arial" w:cs="Arial"/>
          <w:sz w:val="22"/>
          <w:szCs w:val="22"/>
        </w:rPr>
        <w:t>El jubilado o pensionista titular de contrato que acredite que los ingresos del núcleo familiar provienen exclusivamente de pasividades</w:t>
      </w:r>
      <w:r w:rsidR="00C16AC8">
        <w:rPr>
          <w:rFonts w:ascii="Arial" w:hAnsi="Arial" w:cs="Arial"/>
          <w:sz w:val="22"/>
          <w:szCs w:val="22"/>
        </w:rPr>
        <w:t>;</w:t>
      </w:r>
      <w:r w:rsidR="006F42AC">
        <w:rPr>
          <w:rFonts w:ascii="Arial" w:hAnsi="Arial" w:cs="Arial"/>
          <w:sz w:val="22"/>
          <w:szCs w:val="22"/>
        </w:rPr>
        <w:t xml:space="preserve"> (iii) </w:t>
      </w:r>
      <w:r w:rsidR="006E6E86" w:rsidRPr="006E6E86">
        <w:rPr>
          <w:rFonts w:ascii="Arial" w:hAnsi="Arial" w:cs="Arial"/>
          <w:sz w:val="22"/>
          <w:szCs w:val="22"/>
        </w:rPr>
        <w:t>Los refugios diurnos y nocturnos gestionados por personas físicas o jurídicas privadas, habilitados por el MIDES</w:t>
      </w:r>
      <w:r w:rsidR="006E6E86">
        <w:rPr>
          <w:rFonts w:ascii="Arial" w:hAnsi="Arial" w:cs="Arial"/>
          <w:sz w:val="22"/>
          <w:szCs w:val="22"/>
        </w:rPr>
        <w:t xml:space="preserve">; (iv) </w:t>
      </w:r>
      <w:r w:rsidR="009D2A99" w:rsidRPr="009D2A99">
        <w:rPr>
          <w:rFonts w:ascii="Arial" w:hAnsi="Arial" w:cs="Arial"/>
          <w:sz w:val="22"/>
          <w:szCs w:val="22"/>
        </w:rPr>
        <w:t>El servicio de agua</w:t>
      </w:r>
      <w:r w:rsidR="00514B93">
        <w:rPr>
          <w:rFonts w:ascii="Arial" w:hAnsi="Arial" w:cs="Arial"/>
          <w:sz w:val="22"/>
          <w:szCs w:val="22"/>
        </w:rPr>
        <w:t xml:space="preserve"> (con </w:t>
      </w:r>
      <w:r w:rsidR="009049AE">
        <w:rPr>
          <w:rFonts w:ascii="Arial" w:hAnsi="Arial" w:cs="Arial"/>
          <w:sz w:val="22"/>
          <w:szCs w:val="22"/>
        </w:rPr>
        <w:t>medidor individual o mediante postes surtidores con medidor general</w:t>
      </w:r>
      <w:r w:rsidR="00514B93">
        <w:rPr>
          <w:rFonts w:ascii="Arial" w:hAnsi="Arial" w:cs="Arial"/>
          <w:sz w:val="22"/>
          <w:szCs w:val="22"/>
        </w:rPr>
        <w:t>)</w:t>
      </w:r>
      <w:r w:rsidR="009D2A99" w:rsidRPr="009D2A99">
        <w:rPr>
          <w:rFonts w:ascii="Arial" w:hAnsi="Arial" w:cs="Arial"/>
          <w:sz w:val="22"/>
          <w:szCs w:val="22"/>
        </w:rPr>
        <w:t xml:space="preserve"> en una localidad rural con gestión participativa de la comunidad</w:t>
      </w:r>
      <w:r w:rsidR="009049AE">
        <w:rPr>
          <w:rFonts w:ascii="Arial" w:hAnsi="Arial" w:cs="Arial"/>
          <w:sz w:val="22"/>
          <w:szCs w:val="22"/>
        </w:rPr>
        <w:t>.</w:t>
      </w:r>
    </w:p>
    <w:p w14:paraId="7E978089" w14:textId="1291AA16" w:rsidR="00A53463" w:rsidRPr="00135D02" w:rsidRDefault="00977D10" w:rsidP="00B679FA">
      <w:pPr>
        <w:pStyle w:val="Paragraph"/>
        <w:tabs>
          <w:tab w:val="num" w:pos="720"/>
        </w:tabs>
        <w:ind w:left="720" w:hanging="720"/>
        <w:rPr>
          <w:rFonts w:ascii="Arial" w:hAnsi="Arial" w:cs="Arial"/>
          <w:i/>
          <w:sz w:val="22"/>
          <w:szCs w:val="22"/>
        </w:rPr>
      </w:pPr>
      <w:r w:rsidRPr="00135D02">
        <w:rPr>
          <w:rFonts w:ascii="Arial" w:hAnsi="Arial" w:cs="Arial"/>
          <w:i/>
          <w:sz w:val="22"/>
          <w:szCs w:val="22"/>
        </w:rPr>
        <w:t>Costos operativos</w:t>
      </w:r>
      <w:r w:rsidR="00B679FA" w:rsidRPr="00135D02">
        <w:rPr>
          <w:rFonts w:ascii="Arial" w:hAnsi="Arial" w:cs="Arial"/>
          <w:i/>
          <w:sz w:val="22"/>
          <w:szCs w:val="22"/>
        </w:rPr>
        <w:t>.</w:t>
      </w:r>
      <w:r w:rsidRPr="00135D02">
        <w:rPr>
          <w:rFonts w:ascii="Arial" w:hAnsi="Arial" w:cs="Arial"/>
          <w:i/>
          <w:sz w:val="22"/>
          <w:szCs w:val="22"/>
        </w:rPr>
        <w:t xml:space="preserve"> </w:t>
      </w:r>
      <w:r w:rsidRPr="00135D02">
        <w:rPr>
          <w:rFonts w:ascii="Arial" w:hAnsi="Arial" w:cs="Arial"/>
          <w:sz w:val="22"/>
          <w:szCs w:val="22"/>
        </w:rPr>
        <w:t xml:space="preserve">Los costos operativos </w:t>
      </w:r>
      <w:r w:rsidR="00221B96" w:rsidRPr="00135D02">
        <w:rPr>
          <w:rFonts w:ascii="Arial" w:hAnsi="Arial" w:cs="Arial"/>
          <w:sz w:val="22"/>
          <w:szCs w:val="22"/>
        </w:rPr>
        <w:t xml:space="preserve">durante los últimos </w:t>
      </w:r>
      <w:r w:rsidR="00546FA6" w:rsidRPr="00135D02">
        <w:rPr>
          <w:rFonts w:ascii="Arial" w:hAnsi="Arial" w:cs="Arial"/>
          <w:sz w:val="22"/>
          <w:szCs w:val="22"/>
        </w:rPr>
        <w:t xml:space="preserve">dos </w:t>
      </w:r>
      <w:r w:rsidR="00221B96" w:rsidRPr="00135D02">
        <w:rPr>
          <w:rFonts w:ascii="Arial" w:hAnsi="Arial" w:cs="Arial"/>
          <w:sz w:val="22"/>
          <w:szCs w:val="22"/>
        </w:rPr>
        <w:t xml:space="preserve">años </w:t>
      </w:r>
      <w:r w:rsidRPr="00135D02">
        <w:rPr>
          <w:rFonts w:ascii="Arial" w:hAnsi="Arial" w:cs="Arial"/>
          <w:sz w:val="22"/>
          <w:szCs w:val="22"/>
        </w:rPr>
        <w:t xml:space="preserve">se </w:t>
      </w:r>
      <w:r w:rsidR="00270BB3">
        <w:rPr>
          <w:rFonts w:ascii="Arial" w:hAnsi="Arial" w:cs="Arial"/>
          <w:sz w:val="22"/>
          <w:szCs w:val="22"/>
        </w:rPr>
        <w:t>aumenta</w:t>
      </w:r>
      <w:r w:rsidR="00B679FA" w:rsidRPr="00135D02">
        <w:rPr>
          <w:rFonts w:ascii="Arial" w:hAnsi="Arial" w:cs="Arial"/>
          <w:sz w:val="22"/>
          <w:szCs w:val="22"/>
        </w:rPr>
        <w:t>ron</w:t>
      </w:r>
      <w:r w:rsidRPr="00135D02">
        <w:rPr>
          <w:rFonts w:ascii="Arial" w:hAnsi="Arial" w:cs="Arial"/>
          <w:sz w:val="22"/>
          <w:szCs w:val="22"/>
        </w:rPr>
        <w:t xml:space="preserve"> </w:t>
      </w:r>
      <w:r w:rsidR="00B679FA" w:rsidRPr="00135D02">
        <w:rPr>
          <w:rFonts w:ascii="Arial" w:hAnsi="Arial" w:cs="Arial"/>
          <w:sz w:val="22"/>
          <w:szCs w:val="22"/>
        </w:rPr>
        <w:t>de US$</w:t>
      </w:r>
      <w:r w:rsidR="0072580B">
        <w:rPr>
          <w:rFonts w:ascii="Arial" w:hAnsi="Arial" w:cs="Arial"/>
          <w:sz w:val="22"/>
          <w:szCs w:val="22"/>
        </w:rPr>
        <w:t>322</w:t>
      </w:r>
      <w:r w:rsidR="00B679FA" w:rsidRPr="00135D02">
        <w:rPr>
          <w:rFonts w:ascii="Arial" w:hAnsi="Arial" w:cs="Arial"/>
          <w:sz w:val="22"/>
          <w:szCs w:val="22"/>
        </w:rPr>
        <w:t xml:space="preserve"> millones a US$</w:t>
      </w:r>
      <w:r w:rsidR="0072580B">
        <w:rPr>
          <w:rFonts w:ascii="Arial" w:hAnsi="Arial" w:cs="Arial"/>
          <w:sz w:val="22"/>
          <w:szCs w:val="22"/>
        </w:rPr>
        <w:t>340</w:t>
      </w:r>
      <w:r w:rsidR="00B679FA" w:rsidRPr="00135D02">
        <w:rPr>
          <w:rFonts w:ascii="Arial" w:hAnsi="Arial" w:cs="Arial"/>
          <w:sz w:val="22"/>
          <w:szCs w:val="22"/>
        </w:rPr>
        <w:t xml:space="preserve"> millones, e</w:t>
      </w:r>
      <w:r w:rsidR="00546FA6" w:rsidRPr="00135D02">
        <w:rPr>
          <w:rFonts w:ascii="Arial" w:hAnsi="Arial" w:cs="Arial"/>
          <w:sz w:val="22"/>
          <w:szCs w:val="22"/>
        </w:rPr>
        <w:t xml:space="preserve">n un </w:t>
      </w:r>
      <w:r w:rsidR="0072580B">
        <w:rPr>
          <w:rFonts w:ascii="Arial" w:hAnsi="Arial" w:cs="Arial"/>
          <w:sz w:val="22"/>
          <w:szCs w:val="22"/>
        </w:rPr>
        <w:t>6</w:t>
      </w:r>
      <w:r w:rsidR="00221B96" w:rsidRPr="00135D02">
        <w:rPr>
          <w:rFonts w:ascii="Arial" w:hAnsi="Arial" w:cs="Arial"/>
          <w:sz w:val="22"/>
          <w:szCs w:val="22"/>
        </w:rPr>
        <w:t>%</w:t>
      </w:r>
      <w:r w:rsidR="004137AE" w:rsidRPr="00135D02">
        <w:rPr>
          <w:rFonts w:ascii="Arial" w:hAnsi="Arial" w:cs="Arial"/>
          <w:sz w:val="22"/>
          <w:szCs w:val="22"/>
        </w:rPr>
        <w:t xml:space="preserve"> en términos reales.</w:t>
      </w:r>
      <w:r w:rsidR="004F152B" w:rsidRPr="00135D02">
        <w:rPr>
          <w:rFonts w:ascii="Arial" w:hAnsi="Arial" w:cs="Arial"/>
          <w:sz w:val="22"/>
          <w:szCs w:val="22"/>
        </w:rPr>
        <w:t xml:space="preserve"> </w:t>
      </w:r>
      <w:r w:rsidR="00123AC8">
        <w:rPr>
          <w:rFonts w:ascii="Arial" w:hAnsi="Arial" w:cs="Arial"/>
          <w:sz w:val="22"/>
          <w:szCs w:val="22"/>
        </w:rPr>
        <w:t xml:space="preserve">Dicho aumento </w:t>
      </w:r>
      <w:r w:rsidR="00574CCD">
        <w:rPr>
          <w:rFonts w:ascii="Arial" w:hAnsi="Arial" w:cs="Arial"/>
          <w:sz w:val="22"/>
          <w:szCs w:val="22"/>
        </w:rPr>
        <w:t xml:space="preserve">se </w:t>
      </w:r>
      <w:r w:rsidR="00E75460">
        <w:rPr>
          <w:rFonts w:ascii="Arial" w:hAnsi="Arial" w:cs="Arial"/>
          <w:sz w:val="22"/>
          <w:szCs w:val="22"/>
        </w:rPr>
        <w:t xml:space="preserve">debe a </w:t>
      </w:r>
      <w:r w:rsidR="00370BCA">
        <w:rPr>
          <w:rFonts w:ascii="Arial" w:hAnsi="Arial" w:cs="Arial"/>
          <w:sz w:val="22"/>
          <w:szCs w:val="22"/>
        </w:rPr>
        <w:t>l</w:t>
      </w:r>
      <w:r w:rsidR="00E75460">
        <w:rPr>
          <w:rFonts w:ascii="Arial" w:hAnsi="Arial" w:cs="Arial"/>
          <w:sz w:val="22"/>
          <w:szCs w:val="22"/>
        </w:rPr>
        <w:t>os</w:t>
      </w:r>
      <w:r w:rsidR="00370BCA">
        <w:rPr>
          <w:rFonts w:ascii="Arial" w:hAnsi="Arial" w:cs="Arial"/>
          <w:sz w:val="22"/>
          <w:szCs w:val="22"/>
        </w:rPr>
        <w:t xml:space="preserve"> </w:t>
      </w:r>
      <w:r w:rsidR="00E75460">
        <w:rPr>
          <w:rFonts w:ascii="Arial" w:hAnsi="Arial" w:cs="Arial"/>
          <w:sz w:val="22"/>
          <w:szCs w:val="22"/>
        </w:rPr>
        <w:t xml:space="preserve">incrementos </w:t>
      </w:r>
      <w:r w:rsidR="00370BCA">
        <w:rPr>
          <w:rFonts w:ascii="Arial" w:hAnsi="Arial" w:cs="Arial"/>
          <w:sz w:val="22"/>
          <w:szCs w:val="22"/>
        </w:rPr>
        <w:t xml:space="preserve">en el costo de servicios tercerizados (US$9 millones), </w:t>
      </w:r>
      <w:r w:rsidR="00C52FD0">
        <w:rPr>
          <w:rFonts w:ascii="Arial" w:hAnsi="Arial" w:cs="Arial"/>
          <w:sz w:val="22"/>
          <w:szCs w:val="22"/>
        </w:rPr>
        <w:t>el de incobrables (</w:t>
      </w:r>
      <w:r w:rsidR="00657F9D">
        <w:rPr>
          <w:rFonts w:ascii="Arial" w:hAnsi="Arial" w:cs="Arial"/>
          <w:sz w:val="22"/>
          <w:szCs w:val="22"/>
        </w:rPr>
        <w:t>US$5 millones</w:t>
      </w:r>
      <w:r w:rsidR="00C52FD0">
        <w:rPr>
          <w:rFonts w:ascii="Arial" w:hAnsi="Arial" w:cs="Arial"/>
          <w:sz w:val="22"/>
          <w:szCs w:val="22"/>
        </w:rPr>
        <w:t>), y el de personal (</w:t>
      </w:r>
      <w:r w:rsidR="00657F9D">
        <w:rPr>
          <w:rFonts w:ascii="Arial" w:hAnsi="Arial" w:cs="Arial"/>
          <w:sz w:val="22"/>
          <w:szCs w:val="22"/>
        </w:rPr>
        <w:t>US$2 millones</w:t>
      </w:r>
      <w:r w:rsidR="00C52FD0">
        <w:rPr>
          <w:rFonts w:ascii="Arial" w:hAnsi="Arial" w:cs="Arial"/>
          <w:sz w:val="22"/>
          <w:szCs w:val="22"/>
        </w:rPr>
        <w:t>).</w:t>
      </w:r>
      <w:r w:rsidR="00B679FA" w:rsidRPr="00135D02">
        <w:rPr>
          <w:rFonts w:ascii="Arial" w:hAnsi="Arial" w:cs="Arial"/>
          <w:sz w:val="22"/>
          <w:szCs w:val="22"/>
        </w:rPr>
        <w:t xml:space="preserve"> </w:t>
      </w:r>
      <w:r w:rsidR="00546FA6" w:rsidRPr="00135D02">
        <w:rPr>
          <w:rFonts w:ascii="Arial" w:hAnsi="Arial" w:cs="Arial"/>
          <w:sz w:val="22"/>
          <w:szCs w:val="22"/>
        </w:rPr>
        <w:t xml:space="preserve">Los costos operativos </w:t>
      </w:r>
      <w:r w:rsidR="00663300" w:rsidRPr="00135D02">
        <w:rPr>
          <w:rFonts w:ascii="Arial" w:hAnsi="Arial" w:cs="Arial"/>
          <w:sz w:val="22"/>
          <w:szCs w:val="22"/>
        </w:rPr>
        <w:t xml:space="preserve">se </w:t>
      </w:r>
      <w:r w:rsidR="00546FA6" w:rsidRPr="00135D02">
        <w:rPr>
          <w:rFonts w:ascii="Arial" w:hAnsi="Arial" w:cs="Arial"/>
          <w:sz w:val="22"/>
          <w:szCs w:val="22"/>
        </w:rPr>
        <w:t>encuentran distribuidos de la siguiente manera</w:t>
      </w:r>
      <w:r w:rsidR="00B679FA" w:rsidRPr="00135D02">
        <w:rPr>
          <w:rFonts w:ascii="Arial" w:hAnsi="Arial" w:cs="Arial"/>
          <w:sz w:val="22"/>
          <w:szCs w:val="22"/>
        </w:rPr>
        <w:t xml:space="preserve"> en el 201</w:t>
      </w:r>
      <w:r w:rsidR="00657F9D">
        <w:rPr>
          <w:rFonts w:ascii="Arial" w:hAnsi="Arial" w:cs="Arial"/>
          <w:sz w:val="22"/>
          <w:szCs w:val="22"/>
        </w:rPr>
        <w:t>7</w:t>
      </w:r>
      <w:r w:rsidR="004137AE" w:rsidRPr="00135D02">
        <w:rPr>
          <w:rFonts w:ascii="Arial" w:hAnsi="Arial" w:cs="Arial"/>
          <w:sz w:val="22"/>
          <w:szCs w:val="22"/>
        </w:rPr>
        <w:t>:</w:t>
      </w:r>
      <w:r w:rsidR="00546FA6" w:rsidRPr="00135D02">
        <w:rPr>
          <w:rFonts w:ascii="Arial" w:hAnsi="Arial" w:cs="Arial"/>
          <w:sz w:val="22"/>
          <w:szCs w:val="22"/>
        </w:rPr>
        <w:t xml:space="preserve"> </w:t>
      </w:r>
      <w:r w:rsidR="00657F9D">
        <w:rPr>
          <w:rFonts w:ascii="Arial" w:hAnsi="Arial" w:cs="Arial"/>
          <w:sz w:val="22"/>
          <w:szCs w:val="22"/>
        </w:rPr>
        <w:t>Gastos de personal</w:t>
      </w:r>
      <w:r w:rsidR="00B679FA" w:rsidRPr="00135D02">
        <w:rPr>
          <w:rFonts w:ascii="Arial" w:hAnsi="Arial" w:cs="Arial"/>
          <w:sz w:val="22"/>
          <w:szCs w:val="22"/>
        </w:rPr>
        <w:t xml:space="preserve"> </w:t>
      </w:r>
      <w:r w:rsidR="00B456E0">
        <w:rPr>
          <w:rFonts w:ascii="Arial" w:hAnsi="Arial" w:cs="Arial"/>
          <w:sz w:val="22"/>
          <w:szCs w:val="22"/>
        </w:rPr>
        <w:t>39</w:t>
      </w:r>
      <w:r w:rsidR="00B679FA" w:rsidRPr="00135D02">
        <w:rPr>
          <w:rFonts w:ascii="Arial" w:hAnsi="Arial" w:cs="Arial"/>
          <w:sz w:val="22"/>
          <w:szCs w:val="22"/>
        </w:rPr>
        <w:t>%</w:t>
      </w:r>
      <w:r w:rsidR="005D5CC9">
        <w:rPr>
          <w:rFonts w:ascii="Arial" w:hAnsi="Arial" w:cs="Arial"/>
          <w:sz w:val="22"/>
          <w:szCs w:val="22"/>
        </w:rPr>
        <w:t>; S</w:t>
      </w:r>
      <w:r w:rsidR="005D5CC9" w:rsidRPr="00135D02">
        <w:rPr>
          <w:rFonts w:ascii="Arial" w:hAnsi="Arial" w:cs="Arial"/>
          <w:sz w:val="22"/>
          <w:szCs w:val="22"/>
        </w:rPr>
        <w:t xml:space="preserve">ervicios tercerizados </w:t>
      </w:r>
      <w:r w:rsidR="005D5CC9">
        <w:rPr>
          <w:rFonts w:ascii="Arial" w:hAnsi="Arial" w:cs="Arial"/>
          <w:sz w:val="22"/>
          <w:szCs w:val="22"/>
        </w:rPr>
        <w:t>28</w:t>
      </w:r>
      <w:r w:rsidR="005D5CC9" w:rsidRPr="00135D02">
        <w:rPr>
          <w:rFonts w:ascii="Arial" w:hAnsi="Arial" w:cs="Arial"/>
          <w:sz w:val="22"/>
          <w:szCs w:val="22"/>
        </w:rPr>
        <w:t>%</w:t>
      </w:r>
      <w:r w:rsidR="005D5CC9">
        <w:rPr>
          <w:rFonts w:ascii="Arial" w:hAnsi="Arial" w:cs="Arial"/>
          <w:sz w:val="22"/>
          <w:szCs w:val="22"/>
        </w:rPr>
        <w:t xml:space="preserve">; </w:t>
      </w:r>
      <w:r w:rsidR="00B456E0">
        <w:rPr>
          <w:rFonts w:ascii="Arial" w:hAnsi="Arial" w:cs="Arial"/>
          <w:sz w:val="22"/>
          <w:szCs w:val="22"/>
        </w:rPr>
        <w:t>Energía y fluidos</w:t>
      </w:r>
      <w:r w:rsidR="00B22951" w:rsidRPr="00135D02">
        <w:rPr>
          <w:rFonts w:ascii="Arial" w:hAnsi="Arial" w:cs="Arial"/>
          <w:sz w:val="22"/>
          <w:szCs w:val="22"/>
        </w:rPr>
        <w:t xml:space="preserve"> </w:t>
      </w:r>
      <w:r w:rsidR="005D5CC9">
        <w:rPr>
          <w:rFonts w:ascii="Arial" w:hAnsi="Arial" w:cs="Arial"/>
          <w:sz w:val="22"/>
          <w:szCs w:val="22"/>
        </w:rPr>
        <w:t>11</w:t>
      </w:r>
      <w:r w:rsidR="00546FA6" w:rsidRPr="00135D02">
        <w:rPr>
          <w:rFonts w:ascii="Arial" w:hAnsi="Arial" w:cs="Arial"/>
          <w:sz w:val="22"/>
          <w:szCs w:val="22"/>
        </w:rPr>
        <w:t>%</w:t>
      </w:r>
      <w:r w:rsidR="005D5CC9">
        <w:rPr>
          <w:rFonts w:ascii="Arial" w:hAnsi="Arial" w:cs="Arial"/>
          <w:sz w:val="22"/>
          <w:szCs w:val="22"/>
        </w:rPr>
        <w:t xml:space="preserve">; Materiales </w:t>
      </w:r>
      <w:r w:rsidR="007C2E85">
        <w:rPr>
          <w:rFonts w:ascii="Arial" w:hAnsi="Arial" w:cs="Arial"/>
          <w:sz w:val="22"/>
          <w:szCs w:val="22"/>
        </w:rPr>
        <w:t>10</w:t>
      </w:r>
      <w:r w:rsidR="005D5CC9">
        <w:rPr>
          <w:rFonts w:ascii="Arial" w:hAnsi="Arial" w:cs="Arial"/>
          <w:sz w:val="22"/>
          <w:szCs w:val="22"/>
        </w:rPr>
        <w:t>%;</w:t>
      </w:r>
      <w:r w:rsidR="00546FA6" w:rsidRPr="00135D02">
        <w:rPr>
          <w:rFonts w:ascii="Arial" w:hAnsi="Arial" w:cs="Arial"/>
          <w:sz w:val="22"/>
          <w:szCs w:val="22"/>
        </w:rPr>
        <w:t xml:space="preserve"> </w:t>
      </w:r>
      <w:r w:rsidR="007C2E85">
        <w:rPr>
          <w:rFonts w:ascii="Arial" w:hAnsi="Arial" w:cs="Arial"/>
          <w:sz w:val="22"/>
          <w:szCs w:val="22"/>
        </w:rPr>
        <w:t>O</w:t>
      </w:r>
      <w:r w:rsidR="00546FA6" w:rsidRPr="00135D02">
        <w:rPr>
          <w:rFonts w:ascii="Arial" w:hAnsi="Arial" w:cs="Arial"/>
          <w:sz w:val="22"/>
          <w:szCs w:val="22"/>
        </w:rPr>
        <w:t xml:space="preserve">tros </w:t>
      </w:r>
      <w:r w:rsidR="00B679FA" w:rsidRPr="00135D02">
        <w:rPr>
          <w:rFonts w:ascii="Arial" w:hAnsi="Arial" w:cs="Arial"/>
          <w:sz w:val="22"/>
          <w:szCs w:val="22"/>
        </w:rPr>
        <w:t>7</w:t>
      </w:r>
      <w:r w:rsidR="00546FA6" w:rsidRPr="00135D02">
        <w:rPr>
          <w:rFonts w:ascii="Arial" w:hAnsi="Arial" w:cs="Arial"/>
          <w:sz w:val="22"/>
          <w:szCs w:val="22"/>
        </w:rPr>
        <w:t>%</w:t>
      </w:r>
      <w:r w:rsidR="007C2E85">
        <w:rPr>
          <w:rFonts w:ascii="Arial" w:hAnsi="Arial" w:cs="Arial"/>
          <w:sz w:val="22"/>
          <w:szCs w:val="22"/>
        </w:rPr>
        <w:t>; y Pérdida por deudores incobrables 5%</w:t>
      </w:r>
      <w:r w:rsidR="00221B96" w:rsidRPr="00135D02">
        <w:rPr>
          <w:rFonts w:ascii="Arial" w:hAnsi="Arial" w:cs="Arial"/>
          <w:sz w:val="22"/>
          <w:szCs w:val="22"/>
        </w:rPr>
        <w:t>.</w:t>
      </w:r>
      <w:r w:rsidR="00546FA6" w:rsidRPr="00135D02">
        <w:rPr>
          <w:rFonts w:ascii="Arial" w:hAnsi="Arial" w:cs="Arial"/>
          <w:i/>
          <w:sz w:val="22"/>
          <w:szCs w:val="22"/>
        </w:rPr>
        <w:t xml:space="preserve"> </w:t>
      </w:r>
      <w:r w:rsidR="005A1C56">
        <w:rPr>
          <w:rFonts w:ascii="Arial" w:hAnsi="Arial" w:cs="Arial"/>
          <w:sz w:val="22"/>
          <w:szCs w:val="22"/>
        </w:rPr>
        <w:t xml:space="preserve">OSE </w:t>
      </w:r>
      <w:r w:rsidR="005A1C56">
        <w:rPr>
          <w:rFonts w:ascii="Arial" w:hAnsi="Arial" w:cs="Arial"/>
          <w:sz w:val="22"/>
          <w:szCs w:val="22"/>
        </w:rPr>
        <w:lastRenderedPageBreak/>
        <w:t xml:space="preserve">registra una </w:t>
      </w:r>
      <w:r w:rsidR="0085524B">
        <w:rPr>
          <w:rFonts w:ascii="Arial" w:hAnsi="Arial" w:cs="Arial"/>
          <w:sz w:val="22"/>
          <w:szCs w:val="22"/>
        </w:rPr>
        <w:t xml:space="preserve">alta </w:t>
      </w:r>
      <w:r w:rsidR="005A1C56" w:rsidRPr="00135D02">
        <w:rPr>
          <w:rFonts w:ascii="Arial" w:hAnsi="Arial" w:cs="Arial"/>
          <w:sz w:val="22"/>
          <w:szCs w:val="22"/>
        </w:rPr>
        <w:t xml:space="preserve">eficiencia de mano de obra de la empresa </w:t>
      </w:r>
      <w:r w:rsidR="005A1C56">
        <w:rPr>
          <w:rFonts w:ascii="Arial" w:hAnsi="Arial" w:cs="Arial"/>
          <w:sz w:val="22"/>
          <w:szCs w:val="22"/>
        </w:rPr>
        <w:t>OSE</w:t>
      </w:r>
      <w:r w:rsidR="0085524B">
        <w:rPr>
          <w:rFonts w:ascii="Arial" w:hAnsi="Arial" w:cs="Arial"/>
          <w:sz w:val="22"/>
          <w:szCs w:val="22"/>
        </w:rPr>
        <w:t>, la cual además mejoró durante los últimos años</w:t>
      </w:r>
      <w:r w:rsidR="005A1C56" w:rsidRPr="00135D02">
        <w:rPr>
          <w:rFonts w:ascii="Arial" w:hAnsi="Arial" w:cs="Arial"/>
          <w:sz w:val="22"/>
          <w:szCs w:val="22"/>
        </w:rPr>
        <w:t xml:space="preserve"> (en términos del número de empleados por 1,000 conexiones de agua</w:t>
      </w:r>
      <w:r w:rsidR="005A1C56">
        <w:rPr>
          <w:rFonts w:ascii="Arial" w:hAnsi="Arial" w:cs="Arial"/>
          <w:sz w:val="22"/>
          <w:szCs w:val="22"/>
        </w:rPr>
        <w:t>: de 4.</w:t>
      </w:r>
      <w:r w:rsidR="0085524B">
        <w:rPr>
          <w:rFonts w:ascii="Arial" w:hAnsi="Arial" w:cs="Arial"/>
          <w:sz w:val="22"/>
          <w:szCs w:val="22"/>
        </w:rPr>
        <w:t>3</w:t>
      </w:r>
      <w:r w:rsidR="005A1C56">
        <w:rPr>
          <w:rFonts w:ascii="Arial" w:hAnsi="Arial" w:cs="Arial"/>
          <w:sz w:val="22"/>
          <w:szCs w:val="22"/>
        </w:rPr>
        <w:t xml:space="preserve"> en el 201</w:t>
      </w:r>
      <w:r w:rsidR="0085524B">
        <w:rPr>
          <w:rFonts w:ascii="Arial" w:hAnsi="Arial" w:cs="Arial"/>
          <w:sz w:val="22"/>
          <w:szCs w:val="22"/>
        </w:rPr>
        <w:t>5</w:t>
      </w:r>
      <w:r w:rsidR="005A1C56">
        <w:rPr>
          <w:rFonts w:ascii="Arial" w:hAnsi="Arial" w:cs="Arial"/>
          <w:sz w:val="22"/>
          <w:szCs w:val="22"/>
        </w:rPr>
        <w:t xml:space="preserve"> a </w:t>
      </w:r>
      <w:r w:rsidR="0085524B">
        <w:rPr>
          <w:rFonts w:ascii="Arial" w:hAnsi="Arial" w:cs="Arial"/>
          <w:sz w:val="22"/>
          <w:szCs w:val="22"/>
        </w:rPr>
        <w:t>4.1</w:t>
      </w:r>
      <w:r w:rsidR="005A1C56">
        <w:rPr>
          <w:rFonts w:ascii="Arial" w:hAnsi="Arial" w:cs="Arial"/>
          <w:sz w:val="22"/>
          <w:szCs w:val="22"/>
        </w:rPr>
        <w:t xml:space="preserve"> en el 20</w:t>
      </w:r>
      <w:r w:rsidR="0085524B">
        <w:rPr>
          <w:rFonts w:ascii="Arial" w:hAnsi="Arial" w:cs="Arial"/>
          <w:sz w:val="22"/>
          <w:szCs w:val="22"/>
        </w:rPr>
        <w:t>17</w:t>
      </w:r>
      <w:r w:rsidR="005A1C56" w:rsidRPr="00135D02">
        <w:rPr>
          <w:rFonts w:ascii="Arial" w:hAnsi="Arial" w:cs="Arial"/>
          <w:sz w:val="22"/>
          <w:szCs w:val="22"/>
        </w:rPr>
        <w:t>).</w:t>
      </w:r>
    </w:p>
    <w:p w14:paraId="075C61D5" w14:textId="77777777" w:rsidR="00A92B1F" w:rsidRPr="00177B0A" w:rsidRDefault="00A92B1F" w:rsidP="00A92B1F">
      <w:pPr>
        <w:pStyle w:val="Paragraph"/>
        <w:tabs>
          <w:tab w:val="num" w:pos="720"/>
        </w:tabs>
        <w:ind w:left="720" w:hanging="720"/>
        <w:rPr>
          <w:rFonts w:ascii="Arial" w:hAnsi="Arial" w:cs="Arial"/>
          <w:i/>
          <w:sz w:val="22"/>
          <w:szCs w:val="22"/>
        </w:rPr>
      </w:pPr>
      <w:r w:rsidRPr="00177B0A">
        <w:rPr>
          <w:rFonts w:ascii="Arial" w:hAnsi="Arial" w:cs="Arial"/>
          <w:i/>
          <w:sz w:val="22"/>
          <w:szCs w:val="22"/>
        </w:rPr>
        <w:t>Previsión de incobrables.</w:t>
      </w:r>
      <w:r w:rsidRPr="00177B0A">
        <w:rPr>
          <w:rFonts w:ascii="Arial" w:hAnsi="Arial" w:cs="Arial"/>
          <w:sz w:val="22"/>
          <w:szCs w:val="22"/>
        </w:rPr>
        <w:t xml:space="preserve"> En el promedio de los últimos tres años, se registró una pérdida por previsión de incobrables de US$12 millones. Este monto equivale a un 2.9% del total de los ingresos operativos, lo cual es consistente con el alto indicador de cobranza </w:t>
      </w:r>
      <w:r>
        <w:rPr>
          <w:rFonts w:ascii="Arial" w:hAnsi="Arial" w:cs="Arial"/>
          <w:sz w:val="22"/>
          <w:szCs w:val="22"/>
        </w:rPr>
        <w:t>que posee OSE, de un 96% en el promedio del periodo de análisis histórico.</w:t>
      </w:r>
      <w:r w:rsidRPr="00177B0A">
        <w:rPr>
          <w:rFonts w:ascii="Arial" w:hAnsi="Arial" w:cs="Arial"/>
          <w:sz w:val="22"/>
          <w:szCs w:val="22"/>
        </w:rPr>
        <w:t xml:space="preserve"> </w:t>
      </w:r>
    </w:p>
    <w:p w14:paraId="30915885" w14:textId="1C1A43BE" w:rsidR="00D06BA0" w:rsidRDefault="00D06BA0" w:rsidP="00BC2DF6">
      <w:pPr>
        <w:pStyle w:val="Paragraph"/>
        <w:tabs>
          <w:tab w:val="num" w:pos="720"/>
        </w:tabs>
        <w:ind w:left="720" w:hanging="720"/>
        <w:rPr>
          <w:rFonts w:ascii="Arial" w:hAnsi="Arial" w:cs="Arial"/>
          <w:sz w:val="22"/>
          <w:szCs w:val="22"/>
        </w:rPr>
      </w:pPr>
      <w:r w:rsidRPr="00135D02">
        <w:rPr>
          <w:rFonts w:ascii="Arial" w:hAnsi="Arial" w:cs="Arial"/>
          <w:i/>
          <w:sz w:val="22"/>
          <w:szCs w:val="22"/>
        </w:rPr>
        <w:t>EBITDA (resultado neto antes de intereses, impuestos, depreciaciones y amortizaciones / ingresos operativos)</w:t>
      </w:r>
      <w:r w:rsidRPr="00135D02">
        <w:rPr>
          <w:rFonts w:ascii="Arial" w:hAnsi="Arial" w:cs="Arial"/>
          <w:sz w:val="22"/>
          <w:szCs w:val="22"/>
        </w:rPr>
        <w:t xml:space="preserve">. La empresa logró </w:t>
      </w:r>
      <w:r w:rsidR="0003752A">
        <w:rPr>
          <w:rFonts w:ascii="Arial" w:hAnsi="Arial" w:cs="Arial"/>
          <w:sz w:val="22"/>
          <w:szCs w:val="22"/>
        </w:rPr>
        <w:t xml:space="preserve">mejorar </w:t>
      </w:r>
      <w:r w:rsidR="002E0808" w:rsidRPr="00135D02">
        <w:rPr>
          <w:rFonts w:ascii="Arial" w:hAnsi="Arial" w:cs="Arial"/>
          <w:sz w:val="22"/>
          <w:szCs w:val="22"/>
        </w:rPr>
        <w:t xml:space="preserve">su margen EBITDA del </w:t>
      </w:r>
      <w:r w:rsidR="002E0808">
        <w:rPr>
          <w:rFonts w:ascii="Arial" w:hAnsi="Arial" w:cs="Arial"/>
          <w:sz w:val="22"/>
          <w:szCs w:val="22"/>
        </w:rPr>
        <w:t>18</w:t>
      </w:r>
      <w:r w:rsidR="002E0808" w:rsidRPr="00135D02">
        <w:rPr>
          <w:rFonts w:ascii="Arial" w:hAnsi="Arial" w:cs="Arial"/>
          <w:sz w:val="22"/>
          <w:szCs w:val="22"/>
        </w:rPr>
        <w:t>,</w:t>
      </w:r>
      <w:r w:rsidR="002E0808">
        <w:rPr>
          <w:rFonts w:ascii="Arial" w:hAnsi="Arial" w:cs="Arial"/>
          <w:sz w:val="22"/>
          <w:szCs w:val="22"/>
        </w:rPr>
        <w:t>6</w:t>
      </w:r>
      <w:r w:rsidR="002E0808" w:rsidRPr="00135D02">
        <w:rPr>
          <w:rFonts w:ascii="Arial" w:hAnsi="Arial" w:cs="Arial"/>
          <w:sz w:val="22"/>
          <w:szCs w:val="22"/>
        </w:rPr>
        <w:t>% en el 201</w:t>
      </w:r>
      <w:r w:rsidR="002E0808">
        <w:rPr>
          <w:rFonts w:ascii="Arial" w:hAnsi="Arial" w:cs="Arial"/>
          <w:sz w:val="22"/>
          <w:szCs w:val="22"/>
        </w:rPr>
        <w:t>5</w:t>
      </w:r>
      <w:r w:rsidR="002E0808" w:rsidRPr="00135D02">
        <w:rPr>
          <w:rFonts w:ascii="Arial" w:hAnsi="Arial" w:cs="Arial"/>
          <w:sz w:val="22"/>
          <w:szCs w:val="22"/>
        </w:rPr>
        <w:t xml:space="preserve"> al </w:t>
      </w:r>
      <w:r w:rsidR="002E0808">
        <w:rPr>
          <w:rFonts w:ascii="Arial" w:hAnsi="Arial" w:cs="Arial"/>
          <w:sz w:val="22"/>
          <w:szCs w:val="22"/>
        </w:rPr>
        <w:t>22</w:t>
      </w:r>
      <w:r w:rsidR="002E0808" w:rsidRPr="00135D02">
        <w:rPr>
          <w:rFonts w:ascii="Arial" w:hAnsi="Arial" w:cs="Arial"/>
          <w:sz w:val="22"/>
          <w:szCs w:val="22"/>
        </w:rPr>
        <w:t>.</w:t>
      </w:r>
      <w:r w:rsidR="002E0808">
        <w:rPr>
          <w:rFonts w:ascii="Arial" w:hAnsi="Arial" w:cs="Arial"/>
          <w:sz w:val="22"/>
          <w:szCs w:val="22"/>
        </w:rPr>
        <w:t>3</w:t>
      </w:r>
      <w:r w:rsidR="002E0808" w:rsidRPr="00135D02">
        <w:rPr>
          <w:rFonts w:ascii="Arial" w:hAnsi="Arial" w:cs="Arial"/>
          <w:sz w:val="22"/>
          <w:szCs w:val="22"/>
        </w:rPr>
        <w:t>% en el año 201</w:t>
      </w:r>
      <w:r w:rsidR="002E0808">
        <w:rPr>
          <w:rFonts w:ascii="Arial" w:hAnsi="Arial" w:cs="Arial"/>
          <w:sz w:val="22"/>
          <w:szCs w:val="22"/>
        </w:rPr>
        <w:t>7.</w:t>
      </w:r>
    </w:p>
    <w:p w14:paraId="152B026E" w14:textId="68D5BDCA" w:rsidR="000563EE" w:rsidRPr="00135D02" w:rsidRDefault="00A53463" w:rsidP="00BC2DF6">
      <w:pPr>
        <w:pStyle w:val="Paragraph"/>
        <w:tabs>
          <w:tab w:val="num" w:pos="720"/>
        </w:tabs>
        <w:ind w:left="720" w:hanging="720"/>
        <w:rPr>
          <w:rFonts w:ascii="Arial" w:hAnsi="Arial" w:cs="Arial"/>
          <w:sz w:val="22"/>
          <w:szCs w:val="22"/>
        </w:rPr>
      </w:pPr>
      <w:r w:rsidRPr="00135D02">
        <w:rPr>
          <w:rFonts w:ascii="Arial" w:hAnsi="Arial" w:cs="Arial"/>
          <w:i/>
          <w:sz w:val="22"/>
          <w:szCs w:val="22"/>
        </w:rPr>
        <w:t xml:space="preserve">Depreciación. </w:t>
      </w:r>
      <w:r w:rsidR="007B290E">
        <w:rPr>
          <w:rFonts w:ascii="Arial" w:hAnsi="Arial" w:cs="Arial"/>
          <w:sz w:val="22"/>
          <w:szCs w:val="22"/>
        </w:rPr>
        <w:t>OSE</w:t>
      </w:r>
      <w:r w:rsidR="00D06BA0" w:rsidRPr="00135D02">
        <w:rPr>
          <w:rFonts w:ascii="Arial" w:hAnsi="Arial" w:cs="Arial"/>
          <w:sz w:val="22"/>
          <w:szCs w:val="22"/>
        </w:rPr>
        <w:t xml:space="preserve"> registró el costo de depreciación y amortización de sus activos de un </w:t>
      </w:r>
      <w:r w:rsidR="00F03B47" w:rsidRPr="00135D02">
        <w:rPr>
          <w:rFonts w:ascii="Arial" w:hAnsi="Arial" w:cs="Arial"/>
          <w:sz w:val="22"/>
          <w:szCs w:val="22"/>
        </w:rPr>
        <w:t>US</w:t>
      </w:r>
      <w:r w:rsidR="00103445" w:rsidRPr="00135D02">
        <w:rPr>
          <w:rFonts w:ascii="Arial" w:hAnsi="Arial" w:cs="Arial"/>
          <w:sz w:val="22"/>
          <w:szCs w:val="22"/>
        </w:rPr>
        <w:t>$</w:t>
      </w:r>
      <w:r w:rsidR="007B290E">
        <w:rPr>
          <w:rFonts w:ascii="Arial" w:hAnsi="Arial" w:cs="Arial"/>
          <w:sz w:val="22"/>
          <w:szCs w:val="22"/>
        </w:rPr>
        <w:t>58</w:t>
      </w:r>
      <w:r w:rsidR="007236C3" w:rsidRPr="00135D02">
        <w:rPr>
          <w:rFonts w:ascii="Arial" w:hAnsi="Arial" w:cs="Arial"/>
          <w:sz w:val="22"/>
          <w:szCs w:val="22"/>
        </w:rPr>
        <w:t xml:space="preserve"> </w:t>
      </w:r>
      <w:r w:rsidR="00EB09E4" w:rsidRPr="00135D02">
        <w:rPr>
          <w:rFonts w:ascii="Arial" w:hAnsi="Arial" w:cs="Arial"/>
          <w:sz w:val="22"/>
          <w:szCs w:val="22"/>
        </w:rPr>
        <w:t>millones</w:t>
      </w:r>
      <w:r w:rsidR="007B290E">
        <w:rPr>
          <w:rFonts w:ascii="Arial" w:hAnsi="Arial" w:cs="Arial"/>
          <w:sz w:val="22"/>
          <w:szCs w:val="22"/>
        </w:rPr>
        <w:t xml:space="preserve"> en el </w:t>
      </w:r>
      <w:r w:rsidR="007236C3" w:rsidRPr="00135D02">
        <w:rPr>
          <w:rFonts w:ascii="Arial" w:hAnsi="Arial" w:cs="Arial"/>
          <w:sz w:val="22"/>
          <w:szCs w:val="22"/>
        </w:rPr>
        <w:t>201</w:t>
      </w:r>
      <w:r w:rsidR="007B290E">
        <w:rPr>
          <w:rFonts w:ascii="Arial" w:hAnsi="Arial" w:cs="Arial"/>
          <w:sz w:val="22"/>
          <w:szCs w:val="22"/>
        </w:rPr>
        <w:t>7</w:t>
      </w:r>
      <w:r w:rsidR="00712A9D" w:rsidRPr="00135D02">
        <w:rPr>
          <w:rFonts w:ascii="Arial" w:hAnsi="Arial" w:cs="Arial"/>
          <w:sz w:val="22"/>
          <w:szCs w:val="22"/>
          <w:lang w:val="es-ES_tradnl"/>
        </w:rPr>
        <w:t>.</w:t>
      </w:r>
    </w:p>
    <w:p w14:paraId="2E08F6C6" w14:textId="5653B7DF" w:rsidR="004D6F8B" w:rsidRPr="00135D02" w:rsidRDefault="004D6F8B" w:rsidP="00BC2DF6">
      <w:pPr>
        <w:pStyle w:val="Paragraph"/>
        <w:tabs>
          <w:tab w:val="num" w:pos="720"/>
        </w:tabs>
        <w:ind w:left="720" w:hanging="720"/>
        <w:rPr>
          <w:rFonts w:ascii="Arial" w:hAnsi="Arial" w:cs="Arial"/>
          <w:sz w:val="22"/>
          <w:szCs w:val="22"/>
        </w:rPr>
      </w:pPr>
      <w:r w:rsidRPr="00135D02">
        <w:rPr>
          <w:rFonts w:ascii="Arial" w:hAnsi="Arial" w:cs="Arial"/>
          <w:i/>
          <w:sz w:val="22"/>
          <w:szCs w:val="22"/>
        </w:rPr>
        <w:t xml:space="preserve">Resultados </w:t>
      </w:r>
      <w:r w:rsidR="006A7F4C">
        <w:rPr>
          <w:rFonts w:ascii="Arial" w:hAnsi="Arial" w:cs="Arial"/>
          <w:i/>
          <w:sz w:val="22"/>
          <w:szCs w:val="22"/>
        </w:rPr>
        <w:t>no-operativo</w:t>
      </w:r>
      <w:r w:rsidR="00FC2FC0">
        <w:rPr>
          <w:rFonts w:ascii="Arial" w:hAnsi="Arial" w:cs="Arial"/>
          <w:i/>
          <w:sz w:val="22"/>
          <w:szCs w:val="22"/>
        </w:rPr>
        <w:t>s</w:t>
      </w:r>
      <w:r w:rsidRPr="00135D02">
        <w:rPr>
          <w:rFonts w:ascii="Arial" w:hAnsi="Arial" w:cs="Arial"/>
          <w:i/>
          <w:sz w:val="22"/>
          <w:szCs w:val="22"/>
        </w:rPr>
        <w:t>.</w:t>
      </w:r>
      <w:r w:rsidR="00C642F4" w:rsidRPr="00135D02">
        <w:rPr>
          <w:rFonts w:ascii="Arial" w:hAnsi="Arial" w:cs="Arial"/>
          <w:i/>
          <w:sz w:val="22"/>
          <w:szCs w:val="22"/>
        </w:rPr>
        <w:t xml:space="preserve"> </w:t>
      </w:r>
      <w:r w:rsidR="009E732C">
        <w:rPr>
          <w:rFonts w:ascii="Arial" w:hAnsi="Arial" w:cs="Arial"/>
          <w:sz w:val="22"/>
          <w:szCs w:val="22"/>
        </w:rPr>
        <w:t>OSE tuvo</w:t>
      </w:r>
      <w:r w:rsidR="0059468A" w:rsidRPr="00135D02">
        <w:rPr>
          <w:rFonts w:ascii="Arial" w:hAnsi="Arial" w:cs="Arial"/>
          <w:sz w:val="22"/>
          <w:szCs w:val="22"/>
        </w:rPr>
        <w:t xml:space="preserve"> </w:t>
      </w:r>
      <w:r w:rsidR="009E732C">
        <w:rPr>
          <w:rFonts w:ascii="Arial" w:hAnsi="Arial" w:cs="Arial"/>
          <w:sz w:val="22"/>
          <w:szCs w:val="22"/>
        </w:rPr>
        <w:t>la ganancia</w:t>
      </w:r>
      <w:r w:rsidR="0062265A">
        <w:rPr>
          <w:rFonts w:ascii="Arial" w:hAnsi="Arial" w:cs="Arial"/>
          <w:sz w:val="22"/>
          <w:szCs w:val="22"/>
        </w:rPr>
        <w:t xml:space="preserve"> neta</w:t>
      </w:r>
      <w:r w:rsidR="00D06BA0" w:rsidRPr="00135D02">
        <w:rPr>
          <w:rFonts w:ascii="Arial" w:hAnsi="Arial" w:cs="Arial"/>
          <w:sz w:val="22"/>
          <w:szCs w:val="22"/>
        </w:rPr>
        <w:t xml:space="preserve"> </w:t>
      </w:r>
      <w:r w:rsidR="00390AE7">
        <w:rPr>
          <w:rFonts w:ascii="Arial" w:hAnsi="Arial" w:cs="Arial"/>
          <w:sz w:val="22"/>
          <w:szCs w:val="22"/>
        </w:rPr>
        <w:t>no-operativ</w:t>
      </w:r>
      <w:r w:rsidR="00FC2FC0">
        <w:rPr>
          <w:rFonts w:ascii="Arial" w:hAnsi="Arial" w:cs="Arial"/>
          <w:sz w:val="22"/>
          <w:szCs w:val="22"/>
        </w:rPr>
        <w:t>a</w:t>
      </w:r>
      <w:r w:rsidR="0059468A" w:rsidRPr="00135D02">
        <w:rPr>
          <w:rFonts w:ascii="Arial" w:hAnsi="Arial" w:cs="Arial"/>
          <w:sz w:val="22"/>
          <w:szCs w:val="22"/>
        </w:rPr>
        <w:t xml:space="preserve"> de</w:t>
      </w:r>
      <w:r w:rsidR="009E732C">
        <w:rPr>
          <w:rFonts w:ascii="Arial" w:hAnsi="Arial" w:cs="Arial"/>
          <w:sz w:val="22"/>
          <w:szCs w:val="22"/>
        </w:rPr>
        <w:t xml:space="preserve"> </w:t>
      </w:r>
      <w:r w:rsidR="0059468A" w:rsidRPr="00135D02">
        <w:rPr>
          <w:rFonts w:ascii="Arial" w:hAnsi="Arial" w:cs="Arial"/>
          <w:sz w:val="22"/>
          <w:szCs w:val="22"/>
        </w:rPr>
        <w:t xml:space="preserve">un </w:t>
      </w:r>
      <w:r w:rsidR="00D602B9" w:rsidRPr="00135D02">
        <w:rPr>
          <w:rFonts w:ascii="Arial" w:hAnsi="Arial" w:cs="Arial"/>
          <w:sz w:val="22"/>
          <w:szCs w:val="22"/>
        </w:rPr>
        <w:t>US</w:t>
      </w:r>
      <w:r w:rsidR="0059468A" w:rsidRPr="00135D02">
        <w:rPr>
          <w:rFonts w:ascii="Arial" w:hAnsi="Arial" w:cs="Arial"/>
          <w:sz w:val="22"/>
          <w:szCs w:val="22"/>
        </w:rPr>
        <w:t>$</w:t>
      </w:r>
      <w:r w:rsidR="005107CD">
        <w:rPr>
          <w:rFonts w:ascii="Arial" w:hAnsi="Arial" w:cs="Arial"/>
          <w:sz w:val="22"/>
          <w:szCs w:val="22"/>
        </w:rPr>
        <w:t>6</w:t>
      </w:r>
      <w:r w:rsidR="00E87E92" w:rsidRPr="00135D02">
        <w:rPr>
          <w:rFonts w:ascii="Arial" w:hAnsi="Arial" w:cs="Arial"/>
          <w:sz w:val="22"/>
          <w:szCs w:val="22"/>
        </w:rPr>
        <w:t xml:space="preserve"> </w:t>
      </w:r>
      <w:r w:rsidR="0059468A" w:rsidRPr="00135D02">
        <w:rPr>
          <w:rFonts w:ascii="Arial" w:hAnsi="Arial" w:cs="Arial"/>
          <w:sz w:val="22"/>
          <w:szCs w:val="22"/>
        </w:rPr>
        <w:t>millones</w:t>
      </w:r>
      <w:r w:rsidR="005107CD">
        <w:rPr>
          <w:rFonts w:ascii="Arial" w:hAnsi="Arial" w:cs="Arial"/>
          <w:sz w:val="22"/>
          <w:szCs w:val="22"/>
        </w:rPr>
        <w:t xml:space="preserve"> en el 2017</w:t>
      </w:r>
      <w:r w:rsidR="00390AE7">
        <w:rPr>
          <w:rFonts w:ascii="Arial" w:hAnsi="Arial" w:cs="Arial"/>
          <w:sz w:val="22"/>
          <w:szCs w:val="22"/>
        </w:rPr>
        <w:t>. La misma incluye</w:t>
      </w:r>
      <w:r w:rsidR="0013080E">
        <w:rPr>
          <w:rFonts w:ascii="Arial" w:hAnsi="Arial" w:cs="Arial"/>
          <w:sz w:val="22"/>
          <w:szCs w:val="22"/>
        </w:rPr>
        <w:t>, además de intereses ganados y perdidos, otros ingresos</w:t>
      </w:r>
      <w:r w:rsidR="00F925D9">
        <w:rPr>
          <w:rFonts w:ascii="Arial" w:hAnsi="Arial" w:cs="Arial"/>
          <w:sz w:val="22"/>
          <w:szCs w:val="22"/>
        </w:rPr>
        <w:t xml:space="preserve">/gastos financieros, otros ingresos/gastos </w:t>
      </w:r>
      <w:r w:rsidR="003D0D04">
        <w:rPr>
          <w:rFonts w:ascii="Arial" w:hAnsi="Arial" w:cs="Arial"/>
          <w:sz w:val="22"/>
          <w:szCs w:val="22"/>
        </w:rPr>
        <w:t>diversos, y diferencias cambiarias.</w:t>
      </w:r>
      <w:r w:rsidR="00F925D9">
        <w:rPr>
          <w:rFonts w:ascii="Arial" w:hAnsi="Arial" w:cs="Arial"/>
          <w:sz w:val="22"/>
          <w:szCs w:val="22"/>
        </w:rPr>
        <w:t xml:space="preserve"> </w:t>
      </w:r>
      <w:r w:rsidR="00D5737D">
        <w:rPr>
          <w:rFonts w:ascii="Arial" w:hAnsi="Arial" w:cs="Arial"/>
          <w:sz w:val="22"/>
          <w:szCs w:val="22"/>
        </w:rPr>
        <w:t xml:space="preserve">Salvo </w:t>
      </w:r>
      <w:r w:rsidR="008542EA">
        <w:rPr>
          <w:rFonts w:ascii="Arial" w:hAnsi="Arial" w:cs="Arial"/>
          <w:sz w:val="22"/>
          <w:szCs w:val="22"/>
        </w:rPr>
        <w:t xml:space="preserve">las diferencias cambiarias, el impacto de </w:t>
      </w:r>
      <w:r w:rsidR="0062265A">
        <w:rPr>
          <w:rFonts w:ascii="Arial" w:hAnsi="Arial" w:cs="Arial"/>
          <w:sz w:val="22"/>
          <w:szCs w:val="22"/>
        </w:rPr>
        <w:t xml:space="preserve">los </w:t>
      </w:r>
      <w:r w:rsidR="008542EA">
        <w:rPr>
          <w:rFonts w:ascii="Arial" w:hAnsi="Arial" w:cs="Arial"/>
          <w:sz w:val="22"/>
          <w:szCs w:val="22"/>
        </w:rPr>
        <w:t xml:space="preserve">resultados no-operativos </w:t>
      </w:r>
      <w:r w:rsidR="0062265A">
        <w:rPr>
          <w:rFonts w:ascii="Arial" w:hAnsi="Arial" w:cs="Arial"/>
          <w:sz w:val="22"/>
          <w:szCs w:val="22"/>
        </w:rPr>
        <w:t xml:space="preserve">es </w:t>
      </w:r>
      <w:r w:rsidR="00366ABE">
        <w:rPr>
          <w:rFonts w:ascii="Arial" w:hAnsi="Arial" w:cs="Arial"/>
          <w:sz w:val="22"/>
          <w:szCs w:val="22"/>
        </w:rPr>
        <w:t>limitado</w:t>
      </w:r>
      <w:r w:rsidR="0095003E">
        <w:rPr>
          <w:rFonts w:ascii="Arial" w:hAnsi="Arial" w:cs="Arial"/>
          <w:sz w:val="22"/>
          <w:szCs w:val="22"/>
        </w:rPr>
        <w:t xml:space="preserve">. </w:t>
      </w:r>
      <w:r w:rsidR="00366ABE">
        <w:rPr>
          <w:rFonts w:ascii="Arial" w:hAnsi="Arial" w:cs="Arial"/>
          <w:sz w:val="22"/>
          <w:szCs w:val="22"/>
        </w:rPr>
        <w:t>Es de</w:t>
      </w:r>
      <w:r w:rsidR="00C81EE2">
        <w:rPr>
          <w:rFonts w:ascii="Arial" w:hAnsi="Arial" w:cs="Arial"/>
          <w:sz w:val="22"/>
          <w:szCs w:val="22"/>
        </w:rPr>
        <w:t xml:space="preserve"> notar que OSE sufrió una </w:t>
      </w:r>
      <w:r w:rsidR="00B01D83">
        <w:rPr>
          <w:rFonts w:ascii="Arial" w:hAnsi="Arial" w:cs="Arial"/>
          <w:sz w:val="22"/>
          <w:szCs w:val="22"/>
        </w:rPr>
        <w:t>pérdida</w:t>
      </w:r>
      <w:r w:rsidR="00C81EE2">
        <w:rPr>
          <w:rFonts w:ascii="Arial" w:hAnsi="Arial" w:cs="Arial"/>
          <w:sz w:val="22"/>
          <w:szCs w:val="22"/>
        </w:rPr>
        <w:t xml:space="preserve"> </w:t>
      </w:r>
      <w:r w:rsidR="00B01D83">
        <w:rPr>
          <w:rFonts w:ascii="Arial" w:hAnsi="Arial" w:cs="Arial"/>
          <w:sz w:val="22"/>
          <w:szCs w:val="22"/>
        </w:rPr>
        <w:t>significativa en el 2015</w:t>
      </w:r>
      <w:r w:rsidR="0026532F">
        <w:rPr>
          <w:rFonts w:ascii="Arial" w:hAnsi="Arial" w:cs="Arial"/>
          <w:sz w:val="22"/>
          <w:szCs w:val="22"/>
        </w:rPr>
        <w:t xml:space="preserve"> </w:t>
      </w:r>
      <w:r w:rsidR="002D7170">
        <w:rPr>
          <w:rFonts w:ascii="Arial" w:hAnsi="Arial" w:cs="Arial"/>
          <w:sz w:val="22"/>
          <w:szCs w:val="22"/>
        </w:rPr>
        <w:t xml:space="preserve">de </w:t>
      </w:r>
      <w:r w:rsidR="0026532F">
        <w:rPr>
          <w:rFonts w:ascii="Arial" w:hAnsi="Arial" w:cs="Arial"/>
          <w:sz w:val="22"/>
          <w:szCs w:val="22"/>
        </w:rPr>
        <w:t>US$60 millones</w:t>
      </w:r>
      <w:r w:rsidR="00B01D83">
        <w:rPr>
          <w:rFonts w:ascii="Arial" w:hAnsi="Arial" w:cs="Arial"/>
          <w:sz w:val="22"/>
          <w:szCs w:val="22"/>
        </w:rPr>
        <w:t>,</w:t>
      </w:r>
      <w:r w:rsidR="002D7170">
        <w:rPr>
          <w:rFonts w:ascii="Arial" w:hAnsi="Arial" w:cs="Arial"/>
          <w:sz w:val="22"/>
          <w:szCs w:val="22"/>
        </w:rPr>
        <w:t xml:space="preserve"> cuando el peso </w:t>
      </w:r>
      <w:r w:rsidR="00022037">
        <w:rPr>
          <w:rFonts w:ascii="Arial" w:hAnsi="Arial" w:cs="Arial"/>
          <w:sz w:val="22"/>
          <w:szCs w:val="22"/>
        </w:rPr>
        <w:t xml:space="preserve">experimentó </w:t>
      </w:r>
      <w:r w:rsidR="004C4D6E">
        <w:rPr>
          <w:rFonts w:ascii="Arial" w:hAnsi="Arial" w:cs="Arial"/>
          <w:sz w:val="22"/>
          <w:szCs w:val="22"/>
        </w:rPr>
        <w:t>una caída</w:t>
      </w:r>
      <w:r w:rsidR="007D1C8C">
        <w:rPr>
          <w:rFonts w:ascii="Arial" w:hAnsi="Arial" w:cs="Arial"/>
          <w:sz w:val="22"/>
          <w:szCs w:val="22"/>
        </w:rPr>
        <w:t xml:space="preserve"> drástica</w:t>
      </w:r>
      <w:r w:rsidR="00AA3FA0">
        <w:rPr>
          <w:rStyle w:val="FootnoteReference"/>
          <w:rFonts w:ascii="Arial" w:hAnsi="Arial" w:cs="Arial"/>
          <w:sz w:val="22"/>
          <w:szCs w:val="22"/>
        </w:rPr>
        <w:footnoteReference w:id="5"/>
      </w:r>
      <w:r w:rsidR="00E64607">
        <w:rPr>
          <w:rFonts w:ascii="Arial" w:hAnsi="Arial" w:cs="Arial"/>
          <w:sz w:val="22"/>
          <w:szCs w:val="22"/>
        </w:rPr>
        <w:t>.</w:t>
      </w:r>
    </w:p>
    <w:p w14:paraId="5520C5FB" w14:textId="1424BC5F" w:rsidR="008605B8" w:rsidRPr="00135D02" w:rsidRDefault="00366ABE" w:rsidP="008605B8">
      <w:pPr>
        <w:pStyle w:val="Paragraph"/>
        <w:tabs>
          <w:tab w:val="num" w:pos="720"/>
        </w:tabs>
        <w:ind w:left="720" w:hanging="720"/>
        <w:rPr>
          <w:rFonts w:ascii="Arial" w:hAnsi="Arial" w:cs="Arial"/>
          <w:sz w:val="22"/>
          <w:szCs w:val="22"/>
        </w:rPr>
      </w:pPr>
      <w:r>
        <w:rPr>
          <w:rFonts w:ascii="Arial" w:hAnsi="Arial" w:cs="Arial"/>
          <w:i/>
          <w:sz w:val="22"/>
          <w:szCs w:val="22"/>
        </w:rPr>
        <w:t xml:space="preserve">Utilidad </w:t>
      </w:r>
      <w:r w:rsidR="008605B8" w:rsidRPr="00135D02">
        <w:rPr>
          <w:rFonts w:ascii="Arial" w:hAnsi="Arial" w:cs="Arial"/>
          <w:i/>
          <w:sz w:val="22"/>
          <w:szCs w:val="22"/>
        </w:rPr>
        <w:t xml:space="preserve">neta del ejercicio. </w:t>
      </w:r>
      <w:r w:rsidR="00C830FD">
        <w:rPr>
          <w:rFonts w:ascii="Arial" w:hAnsi="Arial" w:cs="Arial"/>
          <w:sz w:val="22"/>
          <w:szCs w:val="22"/>
        </w:rPr>
        <w:t>En el 2017, se</w:t>
      </w:r>
      <w:r w:rsidR="00905E57">
        <w:rPr>
          <w:rFonts w:ascii="Arial" w:hAnsi="Arial" w:cs="Arial"/>
          <w:sz w:val="22"/>
          <w:szCs w:val="22"/>
        </w:rPr>
        <w:t xml:space="preserve"> registró l</w:t>
      </w:r>
      <w:r w:rsidR="006C594D" w:rsidRPr="00135D02">
        <w:rPr>
          <w:rFonts w:ascii="Arial" w:hAnsi="Arial" w:cs="Arial"/>
          <w:sz w:val="22"/>
          <w:szCs w:val="22"/>
        </w:rPr>
        <w:t xml:space="preserve">a </w:t>
      </w:r>
      <w:r w:rsidR="00476F2F">
        <w:rPr>
          <w:rFonts w:ascii="Arial" w:hAnsi="Arial" w:cs="Arial"/>
          <w:sz w:val="22"/>
          <w:szCs w:val="22"/>
        </w:rPr>
        <w:t>utilidad n</w:t>
      </w:r>
      <w:r w:rsidR="006C594D" w:rsidRPr="00135D02">
        <w:rPr>
          <w:rFonts w:ascii="Arial" w:hAnsi="Arial" w:cs="Arial"/>
          <w:sz w:val="22"/>
          <w:szCs w:val="22"/>
        </w:rPr>
        <w:t>eta del ejercicio del US$</w:t>
      </w:r>
      <w:r w:rsidR="00476F2F">
        <w:rPr>
          <w:rFonts w:ascii="Arial" w:hAnsi="Arial" w:cs="Arial"/>
          <w:sz w:val="22"/>
          <w:szCs w:val="22"/>
        </w:rPr>
        <w:t>67</w:t>
      </w:r>
      <w:r w:rsidR="006C594D" w:rsidRPr="00135D02">
        <w:rPr>
          <w:rFonts w:ascii="Arial" w:hAnsi="Arial" w:cs="Arial"/>
          <w:sz w:val="22"/>
          <w:szCs w:val="22"/>
        </w:rPr>
        <w:t xml:space="preserve"> millones (equivalente al margen neto de</w:t>
      </w:r>
      <w:r w:rsidR="00476F2F">
        <w:rPr>
          <w:rFonts w:ascii="Arial" w:hAnsi="Arial" w:cs="Arial"/>
          <w:sz w:val="22"/>
          <w:szCs w:val="22"/>
        </w:rPr>
        <w:t xml:space="preserve"> un</w:t>
      </w:r>
      <w:r w:rsidR="006C594D" w:rsidRPr="00135D02">
        <w:rPr>
          <w:rFonts w:ascii="Arial" w:hAnsi="Arial" w:cs="Arial"/>
          <w:sz w:val="22"/>
          <w:szCs w:val="22"/>
        </w:rPr>
        <w:t xml:space="preserve"> </w:t>
      </w:r>
      <w:r w:rsidR="00476F2F">
        <w:rPr>
          <w:rFonts w:ascii="Arial" w:hAnsi="Arial" w:cs="Arial"/>
          <w:sz w:val="22"/>
          <w:szCs w:val="22"/>
        </w:rPr>
        <w:t>15</w:t>
      </w:r>
      <w:r w:rsidR="006C594D" w:rsidRPr="00135D02">
        <w:rPr>
          <w:rFonts w:ascii="Arial" w:hAnsi="Arial" w:cs="Arial"/>
          <w:sz w:val="22"/>
          <w:szCs w:val="22"/>
        </w:rPr>
        <w:t xml:space="preserve">%). </w:t>
      </w:r>
    </w:p>
    <w:p w14:paraId="25190EE2" w14:textId="77777777" w:rsidR="00977D10" w:rsidRPr="00135D02" w:rsidRDefault="00977D10" w:rsidP="00BA4588">
      <w:pPr>
        <w:pStyle w:val="SecHeading"/>
        <w:tabs>
          <w:tab w:val="clear" w:pos="5400"/>
          <w:tab w:val="num" w:pos="1276"/>
        </w:tabs>
        <w:ind w:left="1276"/>
        <w:rPr>
          <w:rFonts w:ascii="Arial" w:hAnsi="Arial" w:cs="Arial"/>
          <w:sz w:val="22"/>
          <w:szCs w:val="22"/>
          <w:lang w:val="es-ES"/>
        </w:rPr>
      </w:pPr>
      <w:bookmarkStart w:id="14" w:name="_Toc4523743"/>
      <w:r w:rsidRPr="00135D02">
        <w:rPr>
          <w:rFonts w:ascii="Arial" w:hAnsi="Arial" w:cs="Arial"/>
          <w:sz w:val="22"/>
          <w:szCs w:val="22"/>
          <w:lang w:val="es-ES"/>
        </w:rPr>
        <w:t>Flujo de Caja</w:t>
      </w:r>
      <w:bookmarkEnd w:id="14"/>
    </w:p>
    <w:p w14:paraId="4D5CB2D1" w14:textId="3F6ED9CB" w:rsidR="00065A4A" w:rsidRPr="00135D02" w:rsidRDefault="00372E23" w:rsidP="00BC2DF6">
      <w:pPr>
        <w:pStyle w:val="Paragraph"/>
        <w:tabs>
          <w:tab w:val="num" w:pos="720"/>
        </w:tabs>
        <w:ind w:left="720" w:hanging="720"/>
        <w:rPr>
          <w:rFonts w:ascii="Arial" w:hAnsi="Arial" w:cs="Arial"/>
          <w:sz w:val="22"/>
          <w:szCs w:val="22"/>
        </w:rPr>
      </w:pPr>
      <w:proofErr w:type="spellStart"/>
      <w:r>
        <w:rPr>
          <w:rFonts w:ascii="Arial" w:hAnsi="Arial" w:cs="Arial"/>
          <w:i/>
          <w:sz w:val="22"/>
          <w:szCs w:val="22"/>
        </w:rPr>
        <w:t>Fjujo</w:t>
      </w:r>
      <w:proofErr w:type="spellEnd"/>
      <w:r>
        <w:rPr>
          <w:rFonts w:ascii="Arial" w:hAnsi="Arial" w:cs="Arial"/>
          <w:i/>
          <w:sz w:val="22"/>
          <w:szCs w:val="22"/>
        </w:rPr>
        <w:t xml:space="preserve"> de caja operativo</w:t>
      </w:r>
      <w:r w:rsidR="006D5903" w:rsidRPr="00135D02">
        <w:rPr>
          <w:rFonts w:ascii="Arial" w:hAnsi="Arial" w:cs="Arial"/>
          <w:sz w:val="22"/>
          <w:szCs w:val="22"/>
        </w:rPr>
        <w:t xml:space="preserve">. </w:t>
      </w:r>
      <w:r w:rsidR="002C6015">
        <w:rPr>
          <w:rFonts w:ascii="Arial" w:hAnsi="Arial" w:cs="Arial"/>
          <w:sz w:val="22"/>
          <w:szCs w:val="22"/>
        </w:rPr>
        <w:t xml:space="preserve">OSE mantuvo un </w:t>
      </w:r>
      <w:r w:rsidR="007D1C8C">
        <w:rPr>
          <w:rFonts w:ascii="Arial" w:hAnsi="Arial" w:cs="Arial"/>
          <w:sz w:val="22"/>
          <w:szCs w:val="22"/>
        </w:rPr>
        <w:t>fuerte f</w:t>
      </w:r>
      <w:r w:rsidR="00253AC7" w:rsidRPr="00135D02">
        <w:rPr>
          <w:rFonts w:ascii="Arial" w:hAnsi="Arial" w:cs="Arial"/>
          <w:sz w:val="22"/>
          <w:szCs w:val="22"/>
        </w:rPr>
        <w:t xml:space="preserve">lujo de caja </w:t>
      </w:r>
      <w:r w:rsidR="00103DAD" w:rsidRPr="00135D02">
        <w:rPr>
          <w:rFonts w:ascii="Arial" w:hAnsi="Arial" w:cs="Arial"/>
          <w:sz w:val="22"/>
          <w:szCs w:val="22"/>
        </w:rPr>
        <w:t>operativ</w:t>
      </w:r>
      <w:r w:rsidR="000D429E" w:rsidRPr="00135D02">
        <w:rPr>
          <w:rFonts w:ascii="Arial" w:hAnsi="Arial" w:cs="Arial"/>
          <w:sz w:val="22"/>
          <w:szCs w:val="22"/>
        </w:rPr>
        <w:t>o</w:t>
      </w:r>
      <w:r w:rsidR="00A0669E" w:rsidRPr="00135D02">
        <w:rPr>
          <w:rFonts w:ascii="Arial" w:hAnsi="Arial" w:cs="Arial"/>
          <w:sz w:val="22"/>
          <w:szCs w:val="22"/>
        </w:rPr>
        <w:t xml:space="preserve"> </w:t>
      </w:r>
      <w:r w:rsidR="007424F0" w:rsidRPr="00135D02">
        <w:rPr>
          <w:rFonts w:ascii="Arial" w:hAnsi="Arial" w:cs="Arial"/>
          <w:sz w:val="22"/>
          <w:szCs w:val="22"/>
        </w:rPr>
        <w:t xml:space="preserve">durante los últimos tres años </w:t>
      </w:r>
      <w:r w:rsidR="00575245" w:rsidRPr="00135D02">
        <w:rPr>
          <w:rFonts w:ascii="Arial" w:hAnsi="Arial" w:cs="Arial"/>
          <w:sz w:val="22"/>
          <w:szCs w:val="22"/>
        </w:rPr>
        <w:t>(</w:t>
      </w:r>
      <w:r w:rsidR="007D1C8C" w:rsidRPr="00135D02">
        <w:rPr>
          <w:rFonts w:ascii="Arial" w:hAnsi="Arial" w:cs="Arial"/>
          <w:sz w:val="22"/>
          <w:szCs w:val="22"/>
        </w:rPr>
        <w:t>en el promedio</w:t>
      </w:r>
      <w:r w:rsidR="007D1C8C">
        <w:rPr>
          <w:rFonts w:ascii="Arial" w:hAnsi="Arial" w:cs="Arial"/>
          <w:sz w:val="22"/>
          <w:szCs w:val="22"/>
        </w:rPr>
        <w:t xml:space="preserve"> </w:t>
      </w:r>
      <w:r w:rsidR="00575245" w:rsidRPr="00135D02">
        <w:rPr>
          <w:rFonts w:ascii="Arial" w:hAnsi="Arial" w:cs="Arial"/>
          <w:sz w:val="22"/>
          <w:szCs w:val="22"/>
        </w:rPr>
        <w:t>US$</w:t>
      </w:r>
      <w:r w:rsidR="006A293E">
        <w:rPr>
          <w:rFonts w:ascii="Arial" w:hAnsi="Arial" w:cs="Arial"/>
          <w:sz w:val="22"/>
          <w:szCs w:val="22"/>
        </w:rPr>
        <w:t>101</w:t>
      </w:r>
      <w:r w:rsidR="00E95880" w:rsidRPr="00135D02">
        <w:rPr>
          <w:rFonts w:ascii="Arial" w:hAnsi="Arial" w:cs="Arial"/>
          <w:sz w:val="22"/>
          <w:szCs w:val="22"/>
        </w:rPr>
        <w:t xml:space="preserve"> </w:t>
      </w:r>
      <w:r w:rsidR="00575245" w:rsidRPr="00135D02">
        <w:rPr>
          <w:rFonts w:ascii="Arial" w:hAnsi="Arial" w:cs="Arial"/>
          <w:sz w:val="22"/>
          <w:szCs w:val="22"/>
        </w:rPr>
        <w:t>millones).</w:t>
      </w:r>
      <w:r w:rsidR="00253AC7" w:rsidRPr="00135D02">
        <w:rPr>
          <w:rFonts w:ascii="Arial" w:hAnsi="Arial" w:cs="Arial"/>
          <w:sz w:val="22"/>
          <w:szCs w:val="22"/>
        </w:rPr>
        <w:t xml:space="preserve"> </w:t>
      </w:r>
      <w:r w:rsidR="009568B3" w:rsidRPr="00135D02">
        <w:rPr>
          <w:rFonts w:ascii="Arial" w:hAnsi="Arial" w:cs="Arial"/>
          <w:sz w:val="22"/>
          <w:szCs w:val="22"/>
        </w:rPr>
        <w:t>P</w:t>
      </w:r>
      <w:r w:rsidR="00E95880" w:rsidRPr="00135D02">
        <w:rPr>
          <w:rFonts w:ascii="Arial" w:hAnsi="Arial" w:cs="Arial"/>
          <w:sz w:val="22"/>
          <w:szCs w:val="22"/>
        </w:rPr>
        <w:t>or el mo</w:t>
      </w:r>
      <w:r w:rsidR="009568B3" w:rsidRPr="00135D02">
        <w:rPr>
          <w:rFonts w:ascii="Arial" w:hAnsi="Arial" w:cs="Arial"/>
          <w:sz w:val="22"/>
          <w:szCs w:val="22"/>
        </w:rPr>
        <w:t xml:space="preserve">vimiento del capital de trabajo, la empresa registró el egreso de caja </w:t>
      </w:r>
      <w:r w:rsidR="00E95880" w:rsidRPr="00135D02">
        <w:rPr>
          <w:rFonts w:ascii="Arial" w:hAnsi="Arial" w:cs="Arial"/>
          <w:sz w:val="22"/>
          <w:szCs w:val="22"/>
        </w:rPr>
        <w:t>de</w:t>
      </w:r>
      <w:r w:rsidR="009568B3" w:rsidRPr="00135D02">
        <w:rPr>
          <w:rFonts w:ascii="Arial" w:hAnsi="Arial" w:cs="Arial"/>
          <w:sz w:val="22"/>
          <w:szCs w:val="22"/>
        </w:rPr>
        <w:t>l</w:t>
      </w:r>
      <w:r w:rsidR="00E95880" w:rsidRPr="00135D02">
        <w:rPr>
          <w:rFonts w:ascii="Arial" w:hAnsi="Arial" w:cs="Arial"/>
          <w:sz w:val="22"/>
          <w:szCs w:val="22"/>
        </w:rPr>
        <w:t xml:space="preserve"> US$</w:t>
      </w:r>
      <w:r w:rsidR="007E416A">
        <w:rPr>
          <w:rFonts w:ascii="Arial" w:hAnsi="Arial" w:cs="Arial"/>
          <w:sz w:val="22"/>
          <w:szCs w:val="22"/>
        </w:rPr>
        <w:t>13</w:t>
      </w:r>
      <w:r w:rsidR="00E95880" w:rsidRPr="00135D02">
        <w:rPr>
          <w:rFonts w:ascii="Arial" w:hAnsi="Arial" w:cs="Arial"/>
          <w:sz w:val="22"/>
          <w:szCs w:val="22"/>
        </w:rPr>
        <w:t xml:space="preserve"> millones en el promedio de los tres últimos años</w:t>
      </w:r>
      <w:r w:rsidR="00B9412B" w:rsidRPr="00135D02">
        <w:rPr>
          <w:rFonts w:ascii="Arial" w:hAnsi="Arial" w:cs="Arial"/>
          <w:sz w:val="22"/>
          <w:szCs w:val="22"/>
        </w:rPr>
        <w:t>.</w:t>
      </w:r>
      <w:r w:rsidR="009568B3" w:rsidRPr="00135D02">
        <w:rPr>
          <w:rFonts w:ascii="Arial" w:hAnsi="Arial" w:cs="Arial"/>
          <w:sz w:val="22"/>
          <w:szCs w:val="22"/>
        </w:rPr>
        <w:t xml:space="preserve"> Como resultado, </w:t>
      </w:r>
      <w:r w:rsidR="007E416A">
        <w:rPr>
          <w:rFonts w:ascii="Arial" w:hAnsi="Arial" w:cs="Arial"/>
          <w:sz w:val="22"/>
          <w:szCs w:val="22"/>
        </w:rPr>
        <w:t>OSE</w:t>
      </w:r>
      <w:r w:rsidR="009568B3" w:rsidRPr="00135D02">
        <w:rPr>
          <w:rFonts w:ascii="Arial" w:hAnsi="Arial" w:cs="Arial"/>
          <w:sz w:val="22"/>
          <w:szCs w:val="22"/>
        </w:rPr>
        <w:t xml:space="preserve"> tuvo el flujo de caja antes de inversión de US$</w:t>
      </w:r>
      <w:r w:rsidR="007E416A">
        <w:rPr>
          <w:rFonts w:ascii="Arial" w:hAnsi="Arial" w:cs="Arial"/>
          <w:sz w:val="22"/>
          <w:szCs w:val="22"/>
        </w:rPr>
        <w:t>88</w:t>
      </w:r>
      <w:r w:rsidR="009568B3" w:rsidRPr="00135D02">
        <w:rPr>
          <w:rFonts w:ascii="Arial" w:hAnsi="Arial" w:cs="Arial"/>
          <w:sz w:val="22"/>
          <w:szCs w:val="22"/>
        </w:rPr>
        <w:t xml:space="preserve"> millones en el promedio de</w:t>
      </w:r>
      <w:r w:rsidR="001F179E">
        <w:rPr>
          <w:rFonts w:ascii="Arial" w:hAnsi="Arial" w:cs="Arial"/>
          <w:sz w:val="22"/>
          <w:szCs w:val="22"/>
        </w:rPr>
        <w:t>l periodo del análisis histórico</w:t>
      </w:r>
      <w:r w:rsidR="009568B3" w:rsidRPr="00135D02">
        <w:rPr>
          <w:rFonts w:ascii="Arial" w:hAnsi="Arial" w:cs="Arial"/>
          <w:sz w:val="22"/>
          <w:szCs w:val="22"/>
        </w:rPr>
        <w:t>.</w:t>
      </w:r>
      <w:r w:rsidR="00B9412B" w:rsidRPr="00135D02">
        <w:rPr>
          <w:rFonts w:ascii="Arial" w:hAnsi="Arial" w:cs="Arial"/>
          <w:sz w:val="22"/>
          <w:szCs w:val="22"/>
        </w:rPr>
        <w:t xml:space="preserve"> </w:t>
      </w:r>
    </w:p>
    <w:p w14:paraId="7844D709" w14:textId="1AEC039A" w:rsidR="00065A4A" w:rsidRPr="00135D02" w:rsidRDefault="00065A4A" w:rsidP="00BC2DF6">
      <w:pPr>
        <w:pStyle w:val="Paragraph"/>
        <w:tabs>
          <w:tab w:val="num" w:pos="720"/>
        </w:tabs>
        <w:ind w:left="720" w:hanging="720"/>
        <w:rPr>
          <w:rFonts w:ascii="Arial" w:hAnsi="Arial" w:cs="Arial"/>
          <w:sz w:val="22"/>
          <w:szCs w:val="22"/>
        </w:rPr>
      </w:pPr>
      <w:r w:rsidRPr="00135D02">
        <w:rPr>
          <w:rFonts w:ascii="Arial" w:hAnsi="Arial" w:cs="Arial"/>
          <w:i/>
          <w:sz w:val="22"/>
          <w:szCs w:val="22"/>
        </w:rPr>
        <w:t>Programa de Inversiones.</w:t>
      </w:r>
      <w:r w:rsidRPr="00135D02">
        <w:rPr>
          <w:rFonts w:ascii="Arial" w:hAnsi="Arial" w:cs="Arial"/>
          <w:sz w:val="22"/>
          <w:szCs w:val="22"/>
        </w:rPr>
        <w:t xml:space="preserve"> </w:t>
      </w:r>
      <w:r w:rsidR="00297D50" w:rsidRPr="00135D02">
        <w:rPr>
          <w:rFonts w:ascii="Arial" w:hAnsi="Arial" w:cs="Arial"/>
          <w:sz w:val="22"/>
          <w:szCs w:val="22"/>
        </w:rPr>
        <w:t xml:space="preserve">La empresa realizó una serie de inversiones con el monto promedio anual de </w:t>
      </w:r>
      <w:r w:rsidRPr="00135D02">
        <w:rPr>
          <w:rFonts w:ascii="Arial" w:hAnsi="Arial" w:cs="Arial"/>
          <w:sz w:val="22"/>
          <w:szCs w:val="22"/>
        </w:rPr>
        <w:t>US$</w:t>
      </w:r>
      <w:r w:rsidR="0005744C">
        <w:rPr>
          <w:rFonts w:ascii="Arial" w:hAnsi="Arial" w:cs="Arial"/>
          <w:sz w:val="22"/>
          <w:szCs w:val="22"/>
        </w:rPr>
        <w:t>97</w:t>
      </w:r>
      <w:r w:rsidR="00E95880" w:rsidRPr="00135D02">
        <w:rPr>
          <w:rFonts w:ascii="Arial" w:hAnsi="Arial" w:cs="Arial"/>
          <w:sz w:val="22"/>
          <w:szCs w:val="22"/>
        </w:rPr>
        <w:t xml:space="preserve"> </w:t>
      </w:r>
      <w:r w:rsidRPr="00135D02">
        <w:rPr>
          <w:rFonts w:ascii="Arial" w:hAnsi="Arial" w:cs="Arial"/>
          <w:sz w:val="22"/>
          <w:szCs w:val="22"/>
        </w:rPr>
        <w:t>millones</w:t>
      </w:r>
      <w:r w:rsidR="009568B3" w:rsidRPr="00135D02">
        <w:rPr>
          <w:rFonts w:ascii="Arial" w:hAnsi="Arial" w:cs="Arial"/>
          <w:sz w:val="22"/>
          <w:szCs w:val="22"/>
        </w:rPr>
        <w:t>.</w:t>
      </w:r>
      <w:r w:rsidR="003C749B">
        <w:rPr>
          <w:rFonts w:ascii="Arial" w:hAnsi="Arial" w:cs="Arial"/>
          <w:sz w:val="22"/>
          <w:szCs w:val="22"/>
        </w:rPr>
        <w:t xml:space="preserve"> </w:t>
      </w:r>
      <w:r w:rsidR="003C5616">
        <w:rPr>
          <w:rFonts w:ascii="Arial" w:hAnsi="Arial" w:cs="Arial"/>
          <w:sz w:val="22"/>
          <w:szCs w:val="22"/>
        </w:rPr>
        <w:t xml:space="preserve">Con </w:t>
      </w:r>
      <w:r w:rsidR="001E6B6E">
        <w:rPr>
          <w:rFonts w:ascii="Arial" w:hAnsi="Arial" w:cs="Arial"/>
          <w:sz w:val="22"/>
          <w:szCs w:val="22"/>
        </w:rPr>
        <w:t>el flujo de caja antes de inversión</w:t>
      </w:r>
      <w:r w:rsidR="003C5616">
        <w:rPr>
          <w:rFonts w:ascii="Arial" w:hAnsi="Arial" w:cs="Arial"/>
          <w:sz w:val="22"/>
          <w:szCs w:val="22"/>
        </w:rPr>
        <w:t xml:space="preserve">, OSE pudo cubrir </w:t>
      </w:r>
      <w:r w:rsidR="00372E23">
        <w:rPr>
          <w:rFonts w:ascii="Arial" w:hAnsi="Arial" w:cs="Arial"/>
          <w:sz w:val="22"/>
          <w:szCs w:val="22"/>
        </w:rPr>
        <w:t xml:space="preserve">un </w:t>
      </w:r>
      <w:r w:rsidR="001E6B6E">
        <w:rPr>
          <w:rFonts w:ascii="Arial" w:hAnsi="Arial" w:cs="Arial"/>
          <w:sz w:val="22"/>
          <w:szCs w:val="22"/>
        </w:rPr>
        <w:t>90% de este programa de inversiones.</w:t>
      </w:r>
      <w:r w:rsidR="003C5616">
        <w:rPr>
          <w:rFonts w:ascii="Arial" w:hAnsi="Arial" w:cs="Arial"/>
          <w:sz w:val="22"/>
          <w:szCs w:val="22"/>
        </w:rPr>
        <w:t xml:space="preserve"> </w:t>
      </w:r>
    </w:p>
    <w:p w14:paraId="1D68D9E0" w14:textId="16493321" w:rsidR="00985B51" w:rsidRPr="00135D02" w:rsidRDefault="00297D50" w:rsidP="006C51F6">
      <w:pPr>
        <w:pStyle w:val="Paragraph"/>
        <w:tabs>
          <w:tab w:val="num" w:pos="720"/>
        </w:tabs>
        <w:ind w:left="720" w:hanging="720"/>
        <w:rPr>
          <w:rFonts w:ascii="Arial" w:hAnsi="Arial" w:cs="Arial"/>
          <w:sz w:val="22"/>
          <w:szCs w:val="22"/>
        </w:rPr>
      </w:pPr>
      <w:r w:rsidRPr="00135D02">
        <w:rPr>
          <w:rFonts w:ascii="Arial" w:hAnsi="Arial" w:cs="Arial"/>
          <w:i/>
          <w:sz w:val="22"/>
          <w:szCs w:val="22"/>
        </w:rPr>
        <w:t>Financiamiento</w:t>
      </w:r>
      <w:r w:rsidR="00065A4A" w:rsidRPr="00135D02">
        <w:rPr>
          <w:rFonts w:ascii="Arial" w:hAnsi="Arial" w:cs="Arial"/>
          <w:i/>
          <w:sz w:val="22"/>
          <w:szCs w:val="22"/>
        </w:rPr>
        <w:t>.</w:t>
      </w:r>
      <w:r w:rsidR="00065A4A" w:rsidRPr="00135D02">
        <w:rPr>
          <w:rFonts w:ascii="Arial" w:hAnsi="Arial" w:cs="Arial"/>
          <w:sz w:val="22"/>
          <w:szCs w:val="22"/>
        </w:rPr>
        <w:t xml:space="preserve"> </w:t>
      </w:r>
      <w:r w:rsidR="009568B3" w:rsidRPr="00135D02">
        <w:rPr>
          <w:rFonts w:ascii="Arial" w:hAnsi="Arial" w:cs="Arial"/>
          <w:sz w:val="22"/>
          <w:szCs w:val="22"/>
        </w:rPr>
        <w:t xml:space="preserve">Durante los últimos tres años, </w:t>
      </w:r>
      <w:r w:rsidR="001C5021">
        <w:rPr>
          <w:rFonts w:ascii="Arial" w:hAnsi="Arial" w:cs="Arial"/>
          <w:sz w:val="22"/>
          <w:szCs w:val="22"/>
        </w:rPr>
        <w:t>se obtuvo el</w:t>
      </w:r>
      <w:r w:rsidR="00FF10B0">
        <w:rPr>
          <w:rFonts w:ascii="Arial" w:hAnsi="Arial" w:cs="Arial"/>
          <w:sz w:val="22"/>
          <w:szCs w:val="22"/>
        </w:rPr>
        <w:t xml:space="preserve"> flujo de caja de </w:t>
      </w:r>
      <w:r w:rsidR="001C5021">
        <w:rPr>
          <w:rFonts w:ascii="Arial" w:hAnsi="Arial" w:cs="Arial"/>
          <w:sz w:val="22"/>
          <w:szCs w:val="22"/>
        </w:rPr>
        <w:t xml:space="preserve">financiamiento de </w:t>
      </w:r>
      <w:r w:rsidR="009568B3" w:rsidRPr="00135D02">
        <w:rPr>
          <w:rFonts w:ascii="Arial" w:hAnsi="Arial" w:cs="Arial"/>
          <w:sz w:val="22"/>
          <w:szCs w:val="22"/>
        </w:rPr>
        <w:t>unos US$</w:t>
      </w:r>
      <w:r w:rsidR="00C852A3">
        <w:rPr>
          <w:rFonts w:ascii="Arial" w:hAnsi="Arial" w:cs="Arial"/>
          <w:sz w:val="22"/>
          <w:szCs w:val="22"/>
        </w:rPr>
        <w:t>13</w:t>
      </w:r>
      <w:r w:rsidR="009568B3" w:rsidRPr="00135D02">
        <w:rPr>
          <w:rFonts w:ascii="Arial" w:hAnsi="Arial" w:cs="Arial"/>
          <w:sz w:val="22"/>
          <w:szCs w:val="22"/>
        </w:rPr>
        <w:t xml:space="preserve"> millones</w:t>
      </w:r>
      <w:r w:rsidR="00FF10B0">
        <w:rPr>
          <w:rFonts w:ascii="Arial" w:hAnsi="Arial" w:cs="Arial"/>
          <w:sz w:val="22"/>
          <w:szCs w:val="22"/>
        </w:rPr>
        <w:t>,</w:t>
      </w:r>
      <w:r w:rsidR="009568B3" w:rsidRPr="00135D02">
        <w:rPr>
          <w:rFonts w:ascii="Arial" w:hAnsi="Arial" w:cs="Arial"/>
          <w:sz w:val="22"/>
          <w:szCs w:val="22"/>
        </w:rPr>
        <w:t xml:space="preserve"> en el promedio</w:t>
      </w:r>
      <w:r w:rsidR="00C852A3">
        <w:rPr>
          <w:rFonts w:ascii="Arial" w:hAnsi="Arial" w:cs="Arial"/>
          <w:sz w:val="22"/>
          <w:szCs w:val="22"/>
        </w:rPr>
        <w:t xml:space="preserve"> anua</w:t>
      </w:r>
      <w:r w:rsidR="004A6187">
        <w:rPr>
          <w:rFonts w:ascii="Arial" w:hAnsi="Arial" w:cs="Arial"/>
          <w:sz w:val="22"/>
          <w:szCs w:val="22"/>
        </w:rPr>
        <w:t xml:space="preserve">l. </w:t>
      </w:r>
      <w:r w:rsidR="0086032E">
        <w:rPr>
          <w:rFonts w:ascii="Arial" w:hAnsi="Arial" w:cs="Arial"/>
          <w:sz w:val="22"/>
          <w:szCs w:val="22"/>
        </w:rPr>
        <w:t xml:space="preserve">Además del BID, diversas </w:t>
      </w:r>
      <w:r w:rsidR="004A6187">
        <w:rPr>
          <w:rFonts w:ascii="Arial" w:hAnsi="Arial" w:cs="Arial"/>
          <w:sz w:val="22"/>
          <w:szCs w:val="22"/>
        </w:rPr>
        <w:t>entidades ot</w:t>
      </w:r>
      <w:r w:rsidR="00EB379F">
        <w:rPr>
          <w:rFonts w:ascii="Arial" w:hAnsi="Arial" w:cs="Arial"/>
          <w:sz w:val="22"/>
          <w:szCs w:val="22"/>
        </w:rPr>
        <w:t xml:space="preserve">organ </w:t>
      </w:r>
      <w:r w:rsidR="006C51F6" w:rsidRPr="00135D02">
        <w:rPr>
          <w:rFonts w:ascii="Arial" w:hAnsi="Arial" w:cs="Arial"/>
          <w:sz w:val="22"/>
          <w:szCs w:val="22"/>
        </w:rPr>
        <w:t>financia</w:t>
      </w:r>
      <w:r w:rsidR="00EB379F">
        <w:rPr>
          <w:rFonts w:ascii="Arial" w:hAnsi="Arial" w:cs="Arial"/>
          <w:sz w:val="22"/>
          <w:szCs w:val="22"/>
        </w:rPr>
        <w:t>miento</w:t>
      </w:r>
      <w:r w:rsidR="0086032E">
        <w:rPr>
          <w:rFonts w:ascii="Arial" w:hAnsi="Arial" w:cs="Arial"/>
          <w:sz w:val="22"/>
          <w:szCs w:val="22"/>
        </w:rPr>
        <w:t>s</w:t>
      </w:r>
      <w:r w:rsidR="00EB379F">
        <w:rPr>
          <w:rFonts w:ascii="Arial" w:hAnsi="Arial" w:cs="Arial"/>
          <w:sz w:val="22"/>
          <w:szCs w:val="22"/>
        </w:rPr>
        <w:t xml:space="preserve"> a OSE</w:t>
      </w:r>
      <w:r w:rsidR="00983D41">
        <w:rPr>
          <w:rFonts w:ascii="Arial" w:hAnsi="Arial" w:cs="Arial"/>
          <w:sz w:val="22"/>
          <w:szCs w:val="22"/>
        </w:rPr>
        <w:t>, incluyendo</w:t>
      </w:r>
      <w:r w:rsidR="00EB379F">
        <w:rPr>
          <w:rFonts w:ascii="Arial" w:hAnsi="Arial" w:cs="Arial"/>
          <w:sz w:val="22"/>
          <w:szCs w:val="22"/>
        </w:rPr>
        <w:t xml:space="preserve"> </w:t>
      </w:r>
      <w:r w:rsidR="0086032E">
        <w:rPr>
          <w:rFonts w:ascii="Arial" w:hAnsi="Arial" w:cs="Arial"/>
          <w:sz w:val="22"/>
          <w:szCs w:val="22"/>
        </w:rPr>
        <w:t>e</w:t>
      </w:r>
      <w:r w:rsidR="00880314">
        <w:rPr>
          <w:rFonts w:ascii="Arial" w:hAnsi="Arial" w:cs="Arial"/>
          <w:sz w:val="22"/>
          <w:szCs w:val="22"/>
        </w:rPr>
        <w:t>l CAF,</w:t>
      </w:r>
      <w:r w:rsidR="004A6187">
        <w:rPr>
          <w:rFonts w:ascii="Arial" w:hAnsi="Arial" w:cs="Arial"/>
          <w:sz w:val="22"/>
          <w:szCs w:val="22"/>
        </w:rPr>
        <w:t xml:space="preserve"> </w:t>
      </w:r>
      <w:r w:rsidR="00880314">
        <w:rPr>
          <w:rFonts w:ascii="Arial" w:hAnsi="Arial" w:cs="Arial"/>
          <w:sz w:val="22"/>
          <w:szCs w:val="22"/>
        </w:rPr>
        <w:t>BIRF</w:t>
      </w:r>
      <w:r w:rsidR="000608B9">
        <w:rPr>
          <w:rFonts w:ascii="Arial" w:hAnsi="Arial" w:cs="Arial"/>
          <w:sz w:val="22"/>
          <w:szCs w:val="22"/>
        </w:rPr>
        <w:t>, BROU, Santander, ITAU, BBVA</w:t>
      </w:r>
      <w:r w:rsidR="008B2208" w:rsidRPr="00135D02">
        <w:rPr>
          <w:rFonts w:ascii="Arial" w:hAnsi="Arial" w:cs="Arial"/>
          <w:sz w:val="22"/>
          <w:szCs w:val="22"/>
        </w:rPr>
        <w:t>.</w:t>
      </w:r>
      <w:r w:rsidR="009568B3" w:rsidRPr="00135D02">
        <w:rPr>
          <w:rFonts w:ascii="Arial" w:hAnsi="Arial" w:cs="Arial"/>
          <w:sz w:val="22"/>
          <w:szCs w:val="22"/>
        </w:rPr>
        <w:t xml:space="preserve"> </w:t>
      </w:r>
      <w:r w:rsidR="0047560E">
        <w:rPr>
          <w:rFonts w:ascii="Arial" w:hAnsi="Arial" w:cs="Arial"/>
          <w:sz w:val="22"/>
          <w:szCs w:val="22"/>
        </w:rPr>
        <w:t>E</w:t>
      </w:r>
      <w:r w:rsidR="00985B51" w:rsidRPr="00135D02">
        <w:rPr>
          <w:rFonts w:ascii="Arial" w:hAnsi="Arial" w:cs="Arial"/>
          <w:sz w:val="22"/>
          <w:szCs w:val="22"/>
        </w:rPr>
        <w:t xml:space="preserve">n el 2016, </w:t>
      </w:r>
      <w:r w:rsidR="0047560E">
        <w:rPr>
          <w:rFonts w:ascii="Arial" w:hAnsi="Arial" w:cs="Arial"/>
          <w:sz w:val="22"/>
          <w:szCs w:val="22"/>
        </w:rPr>
        <w:t xml:space="preserve">OSE recibió </w:t>
      </w:r>
      <w:r w:rsidR="004B54D4">
        <w:rPr>
          <w:rFonts w:ascii="Arial" w:hAnsi="Arial" w:cs="Arial"/>
          <w:sz w:val="22"/>
          <w:szCs w:val="22"/>
        </w:rPr>
        <w:t xml:space="preserve">transferencias puntuales </w:t>
      </w:r>
      <w:r w:rsidR="004B54D4">
        <w:rPr>
          <w:rFonts w:ascii="Arial" w:hAnsi="Arial" w:cs="Arial"/>
          <w:sz w:val="22"/>
          <w:szCs w:val="22"/>
        </w:rPr>
        <w:lastRenderedPageBreak/>
        <w:t xml:space="preserve">por parte del </w:t>
      </w:r>
      <w:r w:rsidR="0025626A">
        <w:rPr>
          <w:rFonts w:ascii="Arial" w:hAnsi="Arial" w:cs="Arial"/>
          <w:sz w:val="22"/>
          <w:szCs w:val="22"/>
        </w:rPr>
        <w:t>Estado</w:t>
      </w:r>
      <w:r w:rsidR="007A11D6">
        <w:rPr>
          <w:rFonts w:ascii="Arial" w:hAnsi="Arial" w:cs="Arial"/>
          <w:sz w:val="22"/>
          <w:szCs w:val="22"/>
        </w:rPr>
        <w:t xml:space="preserve"> con la suma de </w:t>
      </w:r>
      <w:r w:rsidR="004C7B32">
        <w:rPr>
          <w:rFonts w:ascii="Arial" w:hAnsi="Arial" w:cs="Arial"/>
          <w:sz w:val="22"/>
          <w:szCs w:val="22"/>
        </w:rPr>
        <w:t>US$26 millones</w:t>
      </w:r>
      <w:r w:rsidR="000A12BE">
        <w:rPr>
          <w:rFonts w:ascii="Arial" w:hAnsi="Arial" w:cs="Arial"/>
          <w:sz w:val="22"/>
          <w:szCs w:val="22"/>
        </w:rPr>
        <w:t>:</w:t>
      </w:r>
      <w:r w:rsidR="004C7B32">
        <w:rPr>
          <w:rFonts w:ascii="Arial" w:hAnsi="Arial" w:cs="Arial"/>
          <w:sz w:val="22"/>
          <w:szCs w:val="22"/>
        </w:rPr>
        <w:t xml:space="preserve"> </w:t>
      </w:r>
      <w:r w:rsidR="005E4DF5">
        <w:rPr>
          <w:rFonts w:ascii="Arial" w:hAnsi="Arial" w:cs="Arial"/>
          <w:sz w:val="22"/>
          <w:szCs w:val="22"/>
        </w:rPr>
        <w:t>(i) el convenio con el MVOTMA</w:t>
      </w:r>
      <w:r w:rsidR="00675377">
        <w:rPr>
          <w:rStyle w:val="FootnoteReference"/>
          <w:rFonts w:ascii="Arial" w:hAnsi="Arial" w:cs="Arial"/>
          <w:sz w:val="22"/>
          <w:szCs w:val="22"/>
        </w:rPr>
        <w:footnoteReference w:id="6"/>
      </w:r>
      <w:r w:rsidR="00675377">
        <w:rPr>
          <w:rFonts w:ascii="Arial" w:hAnsi="Arial" w:cs="Arial"/>
          <w:sz w:val="22"/>
          <w:szCs w:val="22"/>
        </w:rPr>
        <w:t>,</w:t>
      </w:r>
      <w:r w:rsidR="008A7900">
        <w:rPr>
          <w:rFonts w:ascii="Arial" w:hAnsi="Arial" w:cs="Arial"/>
          <w:sz w:val="22"/>
          <w:szCs w:val="22"/>
        </w:rPr>
        <w:t xml:space="preserve"> </w:t>
      </w:r>
      <w:r w:rsidR="00CD6972">
        <w:rPr>
          <w:rFonts w:ascii="Arial" w:hAnsi="Arial" w:cs="Arial"/>
          <w:sz w:val="22"/>
          <w:szCs w:val="22"/>
        </w:rPr>
        <w:t>US$</w:t>
      </w:r>
      <w:r w:rsidR="00F572E3">
        <w:rPr>
          <w:rFonts w:ascii="Arial" w:hAnsi="Arial" w:cs="Arial"/>
          <w:sz w:val="22"/>
          <w:szCs w:val="22"/>
        </w:rPr>
        <w:t>19 millones</w:t>
      </w:r>
      <w:r w:rsidR="00675377">
        <w:rPr>
          <w:rFonts w:ascii="Arial" w:hAnsi="Arial" w:cs="Arial"/>
          <w:sz w:val="22"/>
          <w:szCs w:val="22"/>
        </w:rPr>
        <w:t>;</w:t>
      </w:r>
      <w:r w:rsidR="00F572E3">
        <w:rPr>
          <w:rFonts w:ascii="Arial" w:hAnsi="Arial" w:cs="Arial"/>
          <w:sz w:val="22"/>
          <w:szCs w:val="22"/>
        </w:rPr>
        <w:t xml:space="preserve"> y (ii) bonificaciones Maldonado</w:t>
      </w:r>
      <w:r w:rsidR="002E5B98">
        <w:rPr>
          <w:rStyle w:val="FootnoteReference"/>
          <w:rFonts w:ascii="Arial" w:hAnsi="Arial" w:cs="Arial"/>
          <w:sz w:val="22"/>
          <w:szCs w:val="22"/>
        </w:rPr>
        <w:footnoteReference w:id="7"/>
      </w:r>
      <w:r w:rsidR="00675377">
        <w:rPr>
          <w:rFonts w:ascii="Arial" w:hAnsi="Arial" w:cs="Arial"/>
          <w:sz w:val="22"/>
          <w:szCs w:val="22"/>
        </w:rPr>
        <w:t>;</w:t>
      </w:r>
      <w:r w:rsidR="00F572E3">
        <w:rPr>
          <w:rFonts w:ascii="Arial" w:hAnsi="Arial" w:cs="Arial"/>
          <w:sz w:val="22"/>
          <w:szCs w:val="22"/>
        </w:rPr>
        <w:t xml:space="preserve"> US$</w:t>
      </w:r>
      <w:r w:rsidR="00675377">
        <w:rPr>
          <w:rFonts w:ascii="Arial" w:hAnsi="Arial" w:cs="Arial"/>
          <w:sz w:val="22"/>
          <w:szCs w:val="22"/>
        </w:rPr>
        <w:t>7 millones</w:t>
      </w:r>
      <w:r w:rsidR="00F572E3">
        <w:rPr>
          <w:rFonts w:ascii="Arial" w:hAnsi="Arial" w:cs="Arial"/>
          <w:sz w:val="22"/>
          <w:szCs w:val="22"/>
        </w:rPr>
        <w:t>.</w:t>
      </w:r>
    </w:p>
    <w:p w14:paraId="03FA6FAE" w14:textId="4205ACBC" w:rsidR="003A7411" w:rsidRPr="00135D02" w:rsidRDefault="00985B51" w:rsidP="006C51F6">
      <w:pPr>
        <w:pStyle w:val="Paragraph"/>
        <w:tabs>
          <w:tab w:val="num" w:pos="720"/>
        </w:tabs>
        <w:ind w:left="720" w:hanging="720"/>
        <w:rPr>
          <w:rFonts w:ascii="Arial" w:hAnsi="Arial" w:cs="Arial"/>
          <w:sz w:val="22"/>
          <w:szCs w:val="22"/>
        </w:rPr>
      </w:pPr>
      <w:r w:rsidRPr="00135D02">
        <w:rPr>
          <w:rFonts w:ascii="Arial" w:hAnsi="Arial" w:cs="Arial"/>
          <w:i/>
          <w:sz w:val="22"/>
          <w:szCs w:val="22"/>
        </w:rPr>
        <w:t>Flujo de caja del ejercicio</w:t>
      </w:r>
      <w:r w:rsidRPr="00135D02">
        <w:rPr>
          <w:rFonts w:ascii="Arial" w:hAnsi="Arial" w:cs="Arial"/>
          <w:sz w:val="22"/>
          <w:szCs w:val="22"/>
        </w:rPr>
        <w:t xml:space="preserve">. </w:t>
      </w:r>
      <w:r w:rsidR="00F45CD8" w:rsidRPr="00135D02">
        <w:rPr>
          <w:rFonts w:ascii="Arial" w:hAnsi="Arial" w:cs="Arial"/>
          <w:sz w:val="22"/>
          <w:szCs w:val="22"/>
        </w:rPr>
        <w:t>El Flujo de caja del ejercicio, en el promedio de los últimos tres años, fue ligeramente positivo (US$</w:t>
      </w:r>
      <w:r w:rsidR="000E278A">
        <w:rPr>
          <w:rFonts w:ascii="Arial" w:hAnsi="Arial" w:cs="Arial"/>
          <w:sz w:val="22"/>
          <w:szCs w:val="22"/>
        </w:rPr>
        <w:t>4</w:t>
      </w:r>
      <w:r w:rsidR="00F45CD8" w:rsidRPr="00135D02">
        <w:rPr>
          <w:rFonts w:ascii="Arial" w:hAnsi="Arial" w:cs="Arial"/>
          <w:sz w:val="22"/>
          <w:szCs w:val="22"/>
        </w:rPr>
        <w:t xml:space="preserve"> millones), lo que significa que la empresa </w:t>
      </w:r>
      <w:r w:rsidR="00B9412B" w:rsidRPr="00135D02">
        <w:rPr>
          <w:rFonts w:ascii="Arial" w:hAnsi="Arial" w:cs="Arial"/>
          <w:sz w:val="22"/>
          <w:szCs w:val="22"/>
        </w:rPr>
        <w:t>alcanzó a</w:t>
      </w:r>
      <w:r w:rsidR="00120C29" w:rsidRPr="00135D02">
        <w:rPr>
          <w:rFonts w:ascii="Arial" w:hAnsi="Arial" w:cs="Arial"/>
          <w:sz w:val="22"/>
          <w:szCs w:val="22"/>
        </w:rPr>
        <w:t xml:space="preserve"> mantener el</w:t>
      </w:r>
      <w:r w:rsidR="00F45CD8" w:rsidRPr="00135D02">
        <w:rPr>
          <w:rFonts w:ascii="Arial" w:hAnsi="Arial" w:cs="Arial"/>
          <w:sz w:val="22"/>
          <w:szCs w:val="22"/>
        </w:rPr>
        <w:t xml:space="preserve"> </w:t>
      </w:r>
      <w:r w:rsidR="00120C29" w:rsidRPr="00135D02">
        <w:rPr>
          <w:rFonts w:ascii="Arial" w:hAnsi="Arial" w:cs="Arial"/>
          <w:sz w:val="22"/>
          <w:szCs w:val="22"/>
        </w:rPr>
        <w:t xml:space="preserve">equilibrio </w:t>
      </w:r>
      <w:r w:rsidR="00B9412B" w:rsidRPr="00135D02">
        <w:rPr>
          <w:rFonts w:ascii="Arial" w:hAnsi="Arial" w:cs="Arial"/>
          <w:sz w:val="22"/>
          <w:szCs w:val="22"/>
        </w:rPr>
        <w:t>de la</w:t>
      </w:r>
      <w:r w:rsidR="00120C29" w:rsidRPr="00135D02">
        <w:rPr>
          <w:rFonts w:ascii="Arial" w:hAnsi="Arial" w:cs="Arial"/>
          <w:sz w:val="22"/>
          <w:szCs w:val="22"/>
        </w:rPr>
        <w:t xml:space="preserve"> caja final</w:t>
      </w:r>
      <w:r w:rsidR="00F45CD8" w:rsidRPr="00135D02">
        <w:rPr>
          <w:rFonts w:ascii="Arial" w:hAnsi="Arial" w:cs="Arial"/>
          <w:sz w:val="22"/>
          <w:szCs w:val="22"/>
        </w:rPr>
        <w:t xml:space="preserve"> durante este periodo</w:t>
      </w:r>
      <w:r w:rsidR="00120C29" w:rsidRPr="00135D02">
        <w:rPr>
          <w:rFonts w:ascii="Arial" w:hAnsi="Arial" w:cs="Arial"/>
          <w:sz w:val="22"/>
          <w:szCs w:val="22"/>
        </w:rPr>
        <w:t>.</w:t>
      </w:r>
    </w:p>
    <w:p w14:paraId="399B1FFB" w14:textId="7369DB22" w:rsidR="00120C29" w:rsidRPr="00135D02" w:rsidRDefault="007225CF" w:rsidP="00BA4588">
      <w:pPr>
        <w:pStyle w:val="Paragraph"/>
        <w:numPr>
          <w:ilvl w:val="0"/>
          <w:numId w:val="0"/>
        </w:numPr>
        <w:jc w:val="center"/>
        <w:rPr>
          <w:rFonts w:ascii="Arial" w:hAnsi="Arial" w:cs="Arial"/>
          <w:sz w:val="22"/>
          <w:szCs w:val="22"/>
          <w:u w:val="single"/>
        </w:rPr>
      </w:pPr>
      <w:r w:rsidRPr="00135D02">
        <w:rPr>
          <w:rFonts w:ascii="Arial" w:hAnsi="Arial" w:cs="Arial"/>
          <w:sz w:val="22"/>
          <w:szCs w:val="22"/>
          <w:u w:val="single"/>
        </w:rPr>
        <w:t xml:space="preserve">Cuadro </w:t>
      </w:r>
      <w:r w:rsidR="002829FE">
        <w:rPr>
          <w:rFonts w:ascii="Arial" w:hAnsi="Arial" w:cs="Arial"/>
          <w:sz w:val="22"/>
          <w:szCs w:val="22"/>
          <w:u w:val="single"/>
        </w:rPr>
        <w:t>2</w:t>
      </w:r>
      <w:r w:rsidRPr="00135D02">
        <w:rPr>
          <w:rFonts w:ascii="Arial" w:hAnsi="Arial" w:cs="Arial"/>
          <w:sz w:val="22"/>
          <w:szCs w:val="22"/>
          <w:u w:val="single"/>
        </w:rPr>
        <w:t xml:space="preserve">. Estado de Flujo de Caja Histórico (en miles de </w:t>
      </w:r>
      <w:r w:rsidR="00403289">
        <w:rPr>
          <w:rFonts w:ascii="Arial" w:hAnsi="Arial" w:cs="Arial"/>
          <w:sz w:val="22"/>
          <w:szCs w:val="22"/>
          <w:u w:val="single"/>
        </w:rPr>
        <w:t>US$ de 2017</w:t>
      </w:r>
      <w:r w:rsidRPr="00135D02">
        <w:rPr>
          <w:rFonts w:ascii="Arial" w:hAnsi="Arial" w:cs="Arial"/>
          <w:sz w:val="22"/>
          <w:szCs w:val="22"/>
          <w:u w:val="single"/>
        </w:rPr>
        <w:t>)</w:t>
      </w:r>
    </w:p>
    <w:p w14:paraId="0F26BBC0" w14:textId="472D747E" w:rsidR="00155AB2" w:rsidRPr="00135D02" w:rsidRDefault="000415CD" w:rsidP="00BA4588">
      <w:pPr>
        <w:pStyle w:val="Paragraph"/>
        <w:numPr>
          <w:ilvl w:val="0"/>
          <w:numId w:val="0"/>
        </w:numPr>
        <w:jc w:val="center"/>
        <w:rPr>
          <w:rFonts w:ascii="Arial" w:hAnsi="Arial" w:cs="Arial"/>
          <w:sz w:val="22"/>
          <w:szCs w:val="22"/>
          <w:u w:val="single"/>
        </w:rPr>
      </w:pPr>
      <w:r w:rsidRPr="000415CD">
        <w:rPr>
          <w:noProof/>
        </w:rPr>
        <w:drawing>
          <wp:inline distT="0" distB="0" distL="0" distR="0" wp14:anchorId="57E932C8" wp14:editId="41391D7F">
            <wp:extent cx="5280660" cy="3528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660" cy="3528060"/>
                    </a:xfrm>
                    <a:prstGeom prst="rect">
                      <a:avLst/>
                    </a:prstGeom>
                    <a:noFill/>
                    <a:ln>
                      <a:noFill/>
                    </a:ln>
                  </pic:spPr>
                </pic:pic>
              </a:graphicData>
            </a:graphic>
          </wp:inline>
        </w:drawing>
      </w:r>
    </w:p>
    <w:p w14:paraId="12F838F1" w14:textId="77777777" w:rsidR="00F45CD8" w:rsidRPr="00135D02" w:rsidRDefault="00F45CD8" w:rsidP="00F45CD8">
      <w:pPr>
        <w:pStyle w:val="SecHeading"/>
        <w:numPr>
          <w:ilvl w:val="0"/>
          <w:numId w:val="0"/>
        </w:numPr>
        <w:ind w:left="1276"/>
        <w:rPr>
          <w:rFonts w:ascii="Arial" w:hAnsi="Arial" w:cs="Arial"/>
          <w:sz w:val="22"/>
          <w:szCs w:val="22"/>
          <w:lang w:val="es-ES"/>
        </w:rPr>
      </w:pPr>
      <w:bookmarkStart w:id="15" w:name="_Toc4523741"/>
    </w:p>
    <w:p w14:paraId="4A10C261" w14:textId="51E32B12" w:rsidR="00977D10" w:rsidRPr="00135D02" w:rsidRDefault="00977D10" w:rsidP="00BA4588">
      <w:pPr>
        <w:pStyle w:val="SecHeading"/>
        <w:tabs>
          <w:tab w:val="clear" w:pos="5400"/>
          <w:tab w:val="num" w:pos="1276"/>
        </w:tabs>
        <w:ind w:left="1276"/>
        <w:rPr>
          <w:rFonts w:ascii="Arial" w:hAnsi="Arial" w:cs="Arial"/>
          <w:sz w:val="22"/>
          <w:szCs w:val="22"/>
          <w:lang w:val="es-ES"/>
        </w:rPr>
      </w:pPr>
      <w:r w:rsidRPr="00135D02">
        <w:rPr>
          <w:rFonts w:ascii="Arial" w:hAnsi="Arial" w:cs="Arial"/>
          <w:sz w:val="22"/>
          <w:szCs w:val="22"/>
          <w:lang w:val="es-ES"/>
        </w:rPr>
        <w:t>Balance General</w:t>
      </w:r>
      <w:bookmarkEnd w:id="15"/>
    </w:p>
    <w:p w14:paraId="7FFDF114" w14:textId="46B7BB17" w:rsidR="00F13C5A" w:rsidRPr="00135D02" w:rsidRDefault="007225CF" w:rsidP="00BC2DF6">
      <w:pPr>
        <w:pStyle w:val="Paragraph"/>
        <w:tabs>
          <w:tab w:val="num" w:pos="720"/>
        </w:tabs>
        <w:ind w:left="720" w:hanging="720"/>
        <w:rPr>
          <w:rFonts w:ascii="Arial" w:hAnsi="Arial" w:cs="Arial"/>
          <w:sz w:val="22"/>
          <w:szCs w:val="22"/>
        </w:rPr>
      </w:pPr>
      <w:r w:rsidRPr="00135D02">
        <w:rPr>
          <w:rFonts w:ascii="Arial" w:hAnsi="Arial" w:cs="Arial"/>
          <w:sz w:val="22"/>
          <w:szCs w:val="22"/>
        </w:rPr>
        <w:t xml:space="preserve">El Balance General de </w:t>
      </w:r>
      <w:r w:rsidR="00E95880" w:rsidRPr="00135D02">
        <w:rPr>
          <w:rFonts w:ascii="Arial" w:hAnsi="Arial" w:cs="Arial"/>
          <w:sz w:val="22"/>
          <w:szCs w:val="22"/>
        </w:rPr>
        <w:t>201</w:t>
      </w:r>
      <w:r w:rsidR="00DC68A0">
        <w:rPr>
          <w:rFonts w:ascii="Arial" w:hAnsi="Arial" w:cs="Arial"/>
          <w:sz w:val="22"/>
          <w:szCs w:val="22"/>
        </w:rPr>
        <w:t>7</w:t>
      </w:r>
      <w:r w:rsidR="00E95880" w:rsidRPr="00135D02">
        <w:rPr>
          <w:rFonts w:ascii="Arial" w:hAnsi="Arial" w:cs="Arial"/>
          <w:sz w:val="22"/>
          <w:szCs w:val="22"/>
        </w:rPr>
        <w:t xml:space="preserve"> </w:t>
      </w:r>
      <w:r w:rsidR="00F13C5A" w:rsidRPr="00135D02">
        <w:rPr>
          <w:rFonts w:ascii="Arial" w:hAnsi="Arial" w:cs="Arial"/>
          <w:sz w:val="22"/>
          <w:szCs w:val="22"/>
        </w:rPr>
        <w:t>indica que</w:t>
      </w:r>
      <w:r w:rsidR="000E0F2F" w:rsidRPr="00135D02">
        <w:rPr>
          <w:rFonts w:ascii="Arial" w:hAnsi="Arial" w:cs="Arial"/>
          <w:sz w:val="22"/>
          <w:szCs w:val="22"/>
        </w:rPr>
        <w:t xml:space="preserve"> i) la suma de los activos de la empresa fue del US$</w:t>
      </w:r>
      <w:r w:rsidR="00DC68A0">
        <w:rPr>
          <w:rFonts w:ascii="Arial" w:hAnsi="Arial" w:cs="Arial"/>
          <w:sz w:val="22"/>
          <w:szCs w:val="22"/>
        </w:rPr>
        <w:t>1.881</w:t>
      </w:r>
      <w:r w:rsidR="00E95880" w:rsidRPr="00135D02">
        <w:rPr>
          <w:rFonts w:ascii="Arial" w:hAnsi="Arial" w:cs="Arial"/>
          <w:sz w:val="22"/>
          <w:szCs w:val="22"/>
        </w:rPr>
        <w:t xml:space="preserve"> </w:t>
      </w:r>
      <w:r w:rsidR="000E0F2F" w:rsidRPr="00135D02">
        <w:rPr>
          <w:rFonts w:ascii="Arial" w:hAnsi="Arial" w:cs="Arial"/>
          <w:sz w:val="22"/>
          <w:szCs w:val="22"/>
        </w:rPr>
        <w:t>millones, y ii)</w:t>
      </w:r>
      <w:r w:rsidR="00F13C5A" w:rsidRPr="00135D02">
        <w:rPr>
          <w:rFonts w:ascii="Arial" w:hAnsi="Arial" w:cs="Arial"/>
          <w:sz w:val="22"/>
          <w:szCs w:val="22"/>
        </w:rPr>
        <w:t xml:space="preserve"> </w:t>
      </w:r>
      <w:r w:rsidR="000E0F2F" w:rsidRPr="00135D02">
        <w:rPr>
          <w:rFonts w:ascii="Arial" w:hAnsi="Arial" w:cs="Arial"/>
          <w:sz w:val="22"/>
          <w:szCs w:val="22"/>
        </w:rPr>
        <w:t xml:space="preserve">dichos </w:t>
      </w:r>
      <w:r w:rsidR="00F13C5A" w:rsidRPr="00135D02">
        <w:rPr>
          <w:rFonts w:ascii="Arial" w:hAnsi="Arial" w:cs="Arial"/>
          <w:sz w:val="22"/>
          <w:szCs w:val="22"/>
        </w:rPr>
        <w:t>activos se encuentra</w:t>
      </w:r>
      <w:r w:rsidR="00D42DA6" w:rsidRPr="00135D02">
        <w:rPr>
          <w:rFonts w:ascii="Arial" w:hAnsi="Arial" w:cs="Arial"/>
          <w:sz w:val="22"/>
          <w:szCs w:val="22"/>
        </w:rPr>
        <w:t>n</w:t>
      </w:r>
      <w:r w:rsidR="00F13C5A" w:rsidRPr="00135D02">
        <w:rPr>
          <w:rFonts w:ascii="Arial" w:hAnsi="Arial" w:cs="Arial"/>
          <w:sz w:val="22"/>
          <w:szCs w:val="22"/>
        </w:rPr>
        <w:t xml:space="preserve"> </w:t>
      </w:r>
      <w:r w:rsidR="006D36ED" w:rsidRPr="00135D02">
        <w:rPr>
          <w:rFonts w:ascii="Arial" w:hAnsi="Arial" w:cs="Arial"/>
          <w:sz w:val="22"/>
          <w:szCs w:val="22"/>
        </w:rPr>
        <w:t>respaldados</w:t>
      </w:r>
      <w:r w:rsidR="00F13C5A" w:rsidRPr="00135D02">
        <w:rPr>
          <w:rFonts w:ascii="Arial" w:hAnsi="Arial" w:cs="Arial"/>
          <w:sz w:val="22"/>
          <w:szCs w:val="22"/>
        </w:rPr>
        <w:t xml:space="preserve"> en un </w:t>
      </w:r>
      <w:r w:rsidR="00043AF2">
        <w:rPr>
          <w:rFonts w:ascii="Arial" w:hAnsi="Arial" w:cs="Arial"/>
          <w:sz w:val="22"/>
          <w:szCs w:val="22"/>
        </w:rPr>
        <w:t>71</w:t>
      </w:r>
      <w:r w:rsidR="007706C4" w:rsidRPr="00135D02">
        <w:rPr>
          <w:rFonts w:ascii="Arial" w:hAnsi="Arial" w:cs="Arial"/>
          <w:sz w:val="22"/>
          <w:szCs w:val="22"/>
        </w:rPr>
        <w:t>%</w:t>
      </w:r>
      <w:r w:rsidR="00F13C5A" w:rsidRPr="00135D02">
        <w:rPr>
          <w:rFonts w:ascii="Arial" w:hAnsi="Arial" w:cs="Arial"/>
          <w:sz w:val="22"/>
          <w:szCs w:val="22"/>
        </w:rPr>
        <w:t xml:space="preserve"> con capital propio</w:t>
      </w:r>
      <w:r w:rsidR="000E0F2F" w:rsidRPr="00135D02">
        <w:rPr>
          <w:rFonts w:ascii="Arial" w:hAnsi="Arial" w:cs="Arial"/>
          <w:sz w:val="22"/>
          <w:szCs w:val="22"/>
        </w:rPr>
        <w:t xml:space="preserve"> (US$</w:t>
      </w:r>
      <w:r w:rsidR="00043AF2">
        <w:rPr>
          <w:rFonts w:ascii="Arial" w:hAnsi="Arial" w:cs="Arial"/>
          <w:sz w:val="22"/>
          <w:szCs w:val="22"/>
        </w:rPr>
        <w:t>1.336</w:t>
      </w:r>
      <w:r w:rsidR="00E95880" w:rsidRPr="00135D02">
        <w:rPr>
          <w:rFonts w:ascii="Arial" w:hAnsi="Arial" w:cs="Arial"/>
          <w:sz w:val="22"/>
          <w:szCs w:val="22"/>
        </w:rPr>
        <w:t xml:space="preserve"> </w:t>
      </w:r>
      <w:r w:rsidR="000E0F2F" w:rsidRPr="00135D02">
        <w:rPr>
          <w:rFonts w:ascii="Arial" w:hAnsi="Arial" w:cs="Arial"/>
          <w:sz w:val="22"/>
          <w:szCs w:val="22"/>
        </w:rPr>
        <w:t>millones)</w:t>
      </w:r>
      <w:r w:rsidR="007706C4" w:rsidRPr="00135D02">
        <w:rPr>
          <w:rFonts w:ascii="Arial" w:hAnsi="Arial" w:cs="Arial"/>
          <w:sz w:val="22"/>
          <w:szCs w:val="22"/>
        </w:rPr>
        <w:t xml:space="preserve"> </w:t>
      </w:r>
      <w:r w:rsidR="00F13C5A" w:rsidRPr="00135D02">
        <w:rPr>
          <w:rFonts w:ascii="Arial" w:hAnsi="Arial" w:cs="Arial"/>
          <w:sz w:val="22"/>
          <w:szCs w:val="22"/>
        </w:rPr>
        <w:t>y</w:t>
      </w:r>
      <w:r w:rsidR="007706C4" w:rsidRPr="00135D02">
        <w:rPr>
          <w:rFonts w:ascii="Arial" w:hAnsi="Arial" w:cs="Arial"/>
          <w:sz w:val="22"/>
          <w:szCs w:val="22"/>
        </w:rPr>
        <w:t xml:space="preserve"> </w:t>
      </w:r>
      <w:r w:rsidR="00043AF2">
        <w:rPr>
          <w:rFonts w:ascii="Arial" w:hAnsi="Arial" w:cs="Arial"/>
          <w:sz w:val="22"/>
          <w:szCs w:val="22"/>
        </w:rPr>
        <w:t>29</w:t>
      </w:r>
      <w:r w:rsidR="007706C4" w:rsidRPr="00135D02">
        <w:rPr>
          <w:rFonts w:ascii="Arial" w:hAnsi="Arial" w:cs="Arial"/>
          <w:sz w:val="22"/>
          <w:szCs w:val="22"/>
        </w:rPr>
        <w:t>%</w:t>
      </w:r>
      <w:r w:rsidR="00F13C5A" w:rsidRPr="00135D02">
        <w:rPr>
          <w:rFonts w:ascii="Arial" w:hAnsi="Arial" w:cs="Arial"/>
          <w:sz w:val="22"/>
          <w:szCs w:val="22"/>
        </w:rPr>
        <w:t xml:space="preserve"> con capital de terceros</w:t>
      </w:r>
      <w:r w:rsidR="000E0F2F" w:rsidRPr="00135D02">
        <w:rPr>
          <w:rFonts w:ascii="Arial" w:hAnsi="Arial" w:cs="Arial"/>
          <w:sz w:val="22"/>
          <w:szCs w:val="22"/>
        </w:rPr>
        <w:t xml:space="preserve"> (US$</w:t>
      </w:r>
      <w:r w:rsidR="00043AF2">
        <w:rPr>
          <w:rFonts w:ascii="Arial" w:hAnsi="Arial" w:cs="Arial"/>
          <w:sz w:val="22"/>
          <w:szCs w:val="22"/>
        </w:rPr>
        <w:t>545</w:t>
      </w:r>
      <w:r w:rsidR="00E95880" w:rsidRPr="00135D02">
        <w:rPr>
          <w:rFonts w:ascii="Arial" w:hAnsi="Arial" w:cs="Arial"/>
          <w:sz w:val="22"/>
          <w:szCs w:val="22"/>
        </w:rPr>
        <w:t xml:space="preserve"> </w:t>
      </w:r>
      <w:r w:rsidR="000E0F2F" w:rsidRPr="00135D02">
        <w:rPr>
          <w:rFonts w:ascii="Arial" w:hAnsi="Arial" w:cs="Arial"/>
          <w:sz w:val="22"/>
          <w:szCs w:val="22"/>
        </w:rPr>
        <w:t>millones)</w:t>
      </w:r>
      <w:r w:rsidR="00F13C5A" w:rsidRPr="00135D02">
        <w:rPr>
          <w:rFonts w:ascii="Arial" w:hAnsi="Arial" w:cs="Arial"/>
          <w:sz w:val="22"/>
          <w:szCs w:val="22"/>
        </w:rPr>
        <w:t xml:space="preserve">. </w:t>
      </w:r>
    </w:p>
    <w:p w14:paraId="73246C44" w14:textId="75D299A1" w:rsidR="004F0DE4" w:rsidRPr="007A67CE" w:rsidRDefault="00977D10" w:rsidP="007A67CE">
      <w:pPr>
        <w:pStyle w:val="Paragraph"/>
        <w:tabs>
          <w:tab w:val="num" w:pos="720"/>
        </w:tabs>
        <w:ind w:left="720" w:hanging="720"/>
        <w:rPr>
          <w:rFonts w:ascii="Arial" w:hAnsi="Arial" w:cs="Arial"/>
          <w:sz w:val="22"/>
          <w:szCs w:val="22"/>
        </w:rPr>
      </w:pPr>
      <w:r w:rsidRPr="00135D02">
        <w:rPr>
          <w:rFonts w:ascii="Arial" w:hAnsi="Arial" w:cs="Arial"/>
          <w:i/>
          <w:sz w:val="22"/>
          <w:szCs w:val="22"/>
        </w:rPr>
        <w:lastRenderedPageBreak/>
        <w:t>Activo</w:t>
      </w:r>
      <w:r w:rsidR="00F13C5A" w:rsidRPr="00135D02">
        <w:rPr>
          <w:rFonts w:ascii="Arial" w:hAnsi="Arial" w:cs="Arial"/>
          <w:i/>
          <w:sz w:val="22"/>
          <w:szCs w:val="22"/>
        </w:rPr>
        <w:t>.</w:t>
      </w:r>
      <w:r w:rsidR="00F13C5A" w:rsidRPr="00135D02">
        <w:rPr>
          <w:rFonts w:ascii="Arial" w:hAnsi="Arial" w:cs="Arial"/>
          <w:sz w:val="22"/>
          <w:szCs w:val="22"/>
        </w:rPr>
        <w:t xml:space="preserve"> </w:t>
      </w:r>
      <w:r w:rsidR="00103DAD" w:rsidRPr="00135D02">
        <w:rPr>
          <w:rFonts w:ascii="Arial" w:hAnsi="Arial" w:cs="Arial"/>
          <w:sz w:val="22"/>
          <w:szCs w:val="22"/>
        </w:rPr>
        <w:t xml:space="preserve">Al final de </w:t>
      </w:r>
      <w:r w:rsidR="00D42DA6" w:rsidRPr="00135D02">
        <w:rPr>
          <w:rFonts w:ascii="Arial" w:hAnsi="Arial" w:cs="Arial"/>
          <w:sz w:val="22"/>
          <w:szCs w:val="22"/>
        </w:rPr>
        <w:t>201</w:t>
      </w:r>
      <w:r w:rsidR="00043AF2">
        <w:rPr>
          <w:rFonts w:ascii="Arial" w:hAnsi="Arial" w:cs="Arial"/>
          <w:sz w:val="22"/>
          <w:szCs w:val="22"/>
        </w:rPr>
        <w:t>7</w:t>
      </w:r>
      <w:r w:rsidR="00103DAD" w:rsidRPr="00135D02">
        <w:rPr>
          <w:rFonts w:ascii="Arial" w:hAnsi="Arial" w:cs="Arial"/>
          <w:sz w:val="22"/>
          <w:szCs w:val="22"/>
        </w:rPr>
        <w:t>, e</w:t>
      </w:r>
      <w:r w:rsidR="00F13C5A" w:rsidRPr="00135D02">
        <w:rPr>
          <w:rFonts w:ascii="Arial" w:hAnsi="Arial" w:cs="Arial"/>
          <w:sz w:val="22"/>
          <w:szCs w:val="22"/>
        </w:rPr>
        <w:t>l activo corriente</w:t>
      </w:r>
      <w:r w:rsidR="00533D1C" w:rsidRPr="00135D02">
        <w:rPr>
          <w:rFonts w:ascii="Arial" w:hAnsi="Arial" w:cs="Arial"/>
          <w:sz w:val="22"/>
          <w:szCs w:val="22"/>
        </w:rPr>
        <w:t xml:space="preserve"> (US$</w:t>
      </w:r>
      <w:r w:rsidR="00F069BA">
        <w:rPr>
          <w:rFonts w:ascii="Arial" w:hAnsi="Arial" w:cs="Arial"/>
          <w:sz w:val="22"/>
          <w:szCs w:val="22"/>
        </w:rPr>
        <w:t>131</w:t>
      </w:r>
      <w:r w:rsidR="00533D1C" w:rsidRPr="00135D02">
        <w:rPr>
          <w:rFonts w:ascii="Arial" w:hAnsi="Arial" w:cs="Arial"/>
          <w:sz w:val="22"/>
          <w:szCs w:val="22"/>
        </w:rPr>
        <w:t xml:space="preserve"> millones)</w:t>
      </w:r>
      <w:r w:rsidR="00F13C5A" w:rsidRPr="00135D02">
        <w:rPr>
          <w:rFonts w:ascii="Arial" w:hAnsi="Arial" w:cs="Arial"/>
          <w:sz w:val="22"/>
          <w:szCs w:val="22"/>
        </w:rPr>
        <w:t xml:space="preserve"> </w:t>
      </w:r>
      <w:r w:rsidR="00103DAD" w:rsidRPr="00135D02">
        <w:rPr>
          <w:rFonts w:ascii="Arial" w:hAnsi="Arial" w:cs="Arial"/>
          <w:sz w:val="22"/>
          <w:szCs w:val="22"/>
        </w:rPr>
        <w:t xml:space="preserve">tuvo la </w:t>
      </w:r>
      <w:r w:rsidR="00F13C5A" w:rsidRPr="00135D02">
        <w:rPr>
          <w:rFonts w:ascii="Arial" w:hAnsi="Arial" w:cs="Arial"/>
          <w:sz w:val="22"/>
          <w:szCs w:val="22"/>
        </w:rPr>
        <w:t>capacidad de cubrir</w:t>
      </w:r>
      <w:r w:rsidR="00103DAD" w:rsidRPr="00135D02">
        <w:rPr>
          <w:rFonts w:ascii="Arial" w:hAnsi="Arial" w:cs="Arial"/>
          <w:sz w:val="22"/>
          <w:szCs w:val="22"/>
        </w:rPr>
        <w:t xml:space="preserve"> </w:t>
      </w:r>
      <w:r w:rsidR="00F069BA">
        <w:rPr>
          <w:rFonts w:ascii="Arial" w:hAnsi="Arial" w:cs="Arial"/>
          <w:sz w:val="22"/>
          <w:szCs w:val="22"/>
        </w:rPr>
        <w:t>0</w:t>
      </w:r>
      <w:r w:rsidR="00F13C5A" w:rsidRPr="00135D02">
        <w:rPr>
          <w:rFonts w:ascii="Arial" w:hAnsi="Arial" w:cs="Arial"/>
          <w:sz w:val="22"/>
          <w:szCs w:val="22"/>
        </w:rPr>
        <w:t>,</w:t>
      </w:r>
      <w:r w:rsidR="00F069BA">
        <w:rPr>
          <w:rFonts w:ascii="Arial" w:hAnsi="Arial" w:cs="Arial"/>
          <w:sz w:val="22"/>
          <w:szCs w:val="22"/>
        </w:rPr>
        <w:t>7</w:t>
      </w:r>
      <w:r w:rsidR="00D42DA6" w:rsidRPr="00135D02">
        <w:rPr>
          <w:rFonts w:ascii="Arial" w:hAnsi="Arial" w:cs="Arial"/>
          <w:sz w:val="22"/>
          <w:szCs w:val="22"/>
        </w:rPr>
        <w:t xml:space="preserve"> </w:t>
      </w:r>
      <w:r w:rsidR="00F13C5A" w:rsidRPr="00135D02">
        <w:rPr>
          <w:rFonts w:ascii="Arial" w:hAnsi="Arial" w:cs="Arial"/>
          <w:sz w:val="22"/>
          <w:szCs w:val="22"/>
        </w:rPr>
        <w:t>veces</w:t>
      </w:r>
      <w:r w:rsidR="007706C4" w:rsidRPr="00135D02">
        <w:rPr>
          <w:rFonts w:ascii="Arial" w:hAnsi="Arial" w:cs="Arial"/>
          <w:sz w:val="22"/>
          <w:szCs w:val="22"/>
        </w:rPr>
        <w:t xml:space="preserve"> de</w:t>
      </w:r>
      <w:r w:rsidR="00F13C5A" w:rsidRPr="00135D02">
        <w:rPr>
          <w:rFonts w:ascii="Arial" w:hAnsi="Arial" w:cs="Arial"/>
          <w:sz w:val="22"/>
          <w:szCs w:val="22"/>
        </w:rPr>
        <w:t xml:space="preserve">l pasivo corriente. </w:t>
      </w:r>
      <w:r w:rsidR="007E418D">
        <w:rPr>
          <w:rFonts w:ascii="Arial" w:hAnsi="Arial" w:cs="Arial"/>
          <w:sz w:val="22"/>
          <w:szCs w:val="22"/>
        </w:rPr>
        <w:t>E</w:t>
      </w:r>
      <w:r w:rsidR="007E418D" w:rsidRPr="00135D02">
        <w:rPr>
          <w:rFonts w:ascii="Arial" w:hAnsi="Arial" w:cs="Arial"/>
          <w:sz w:val="22"/>
          <w:szCs w:val="22"/>
        </w:rPr>
        <w:t xml:space="preserve">l activo corriente </w:t>
      </w:r>
      <w:r w:rsidR="007E418D">
        <w:rPr>
          <w:rFonts w:ascii="Arial" w:hAnsi="Arial" w:cs="Arial"/>
          <w:sz w:val="22"/>
          <w:szCs w:val="22"/>
        </w:rPr>
        <w:t xml:space="preserve">se compone de </w:t>
      </w:r>
      <w:r w:rsidR="007E418D" w:rsidRPr="00135D02">
        <w:rPr>
          <w:rFonts w:ascii="Arial" w:hAnsi="Arial" w:cs="Arial"/>
          <w:sz w:val="22"/>
          <w:szCs w:val="22"/>
        </w:rPr>
        <w:t xml:space="preserve">la siguiente manera: </w:t>
      </w:r>
      <w:r w:rsidR="007E418D">
        <w:rPr>
          <w:rFonts w:ascii="Arial" w:hAnsi="Arial" w:cs="Arial"/>
          <w:sz w:val="22"/>
          <w:szCs w:val="22"/>
        </w:rPr>
        <w:t>Caja y bancos</w:t>
      </w:r>
      <w:r w:rsidR="007E418D" w:rsidRPr="00135D02">
        <w:rPr>
          <w:rFonts w:ascii="Arial" w:hAnsi="Arial" w:cs="Arial"/>
          <w:sz w:val="22"/>
          <w:szCs w:val="22"/>
        </w:rPr>
        <w:t xml:space="preserve"> </w:t>
      </w:r>
      <w:r w:rsidR="007E418D">
        <w:rPr>
          <w:rFonts w:ascii="Arial" w:hAnsi="Arial" w:cs="Arial"/>
          <w:sz w:val="22"/>
          <w:szCs w:val="22"/>
        </w:rPr>
        <w:t>20</w:t>
      </w:r>
      <w:r w:rsidR="007E418D" w:rsidRPr="00135D02">
        <w:rPr>
          <w:rFonts w:ascii="Arial" w:hAnsi="Arial" w:cs="Arial"/>
          <w:sz w:val="22"/>
          <w:szCs w:val="22"/>
        </w:rPr>
        <w:t>%</w:t>
      </w:r>
      <w:r w:rsidR="007E418D">
        <w:rPr>
          <w:rFonts w:ascii="Arial" w:hAnsi="Arial" w:cs="Arial"/>
          <w:sz w:val="22"/>
          <w:szCs w:val="22"/>
        </w:rPr>
        <w:t>; Inversiones en activos financieros</w:t>
      </w:r>
      <w:r w:rsidR="007E418D" w:rsidRPr="00135D02">
        <w:rPr>
          <w:rFonts w:ascii="Arial" w:hAnsi="Arial" w:cs="Arial"/>
          <w:sz w:val="22"/>
          <w:szCs w:val="22"/>
        </w:rPr>
        <w:t xml:space="preserve"> </w:t>
      </w:r>
      <w:r w:rsidR="007E418D">
        <w:rPr>
          <w:rFonts w:ascii="Arial" w:hAnsi="Arial" w:cs="Arial"/>
          <w:sz w:val="22"/>
          <w:szCs w:val="22"/>
        </w:rPr>
        <w:t>12</w:t>
      </w:r>
      <w:r w:rsidR="007E418D" w:rsidRPr="00135D02">
        <w:rPr>
          <w:rFonts w:ascii="Arial" w:hAnsi="Arial" w:cs="Arial"/>
          <w:sz w:val="22"/>
          <w:szCs w:val="22"/>
        </w:rPr>
        <w:t>%</w:t>
      </w:r>
      <w:r w:rsidR="007E418D">
        <w:rPr>
          <w:rFonts w:ascii="Arial" w:hAnsi="Arial" w:cs="Arial"/>
          <w:sz w:val="22"/>
          <w:szCs w:val="22"/>
        </w:rPr>
        <w:t>; Cuentas por cobrar</w:t>
      </w:r>
      <w:r w:rsidR="007E418D" w:rsidRPr="00135D02">
        <w:rPr>
          <w:rFonts w:ascii="Arial" w:hAnsi="Arial" w:cs="Arial"/>
          <w:sz w:val="22"/>
          <w:szCs w:val="22"/>
        </w:rPr>
        <w:t xml:space="preserve"> </w:t>
      </w:r>
      <w:r w:rsidR="007E418D">
        <w:rPr>
          <w:rFonts w:ascii="Arial" w:hAnsi="Arial" w:cs="Arial"/>
          <w:sz w:val="22"/>
          <w:szCs w:val="22"/>
        </w:rPr>
        <w:t>52</w:t>
      </w:r>
      <w:r w:rsidR="007E418D" w:rsidRPr="00135D02">
        <w:rPr>
          <w:rFonts w:ascii="Arial" w:hAnsi="Arial" w:cs="Arial"/>
          <w:sz w:val="22"/>
          <w:szCs w:val="22"/>
        </w:rPr>
        <w:t>%</w:t>
      </w:r>
      <w:r w:rsidR="007E418D">
        <w:rPr>
          <w:rFonts w:ascii="Arial" w:hAnsi="Arial" w:cs="Arial"/>
          <w:sz w:val="22"/>
          <w:szCs w:val="22"/>
        </w:rPr>
        <w:t>; Inventarios 11%; y</w:t>
      </w:r>
      <w:r w:rsidR="007E418D" w:rsidRPr="00135D02">
        <w:rPr>
          <w:rFonts w:ascii="Arial" w:hAnsi="Arial" w:cs="Arial"/>
          <w:sz w:val="22"/>
          <w:szCs w:val="22"/>
        </w:rPr>
        <w:t xml:space="preserve"> </w:t>
      </w:r>
      <w:r w:rsidR="007E418D">
        <w:rPr>
          <w:rFonts w:ascii="Arial" w:hAnsi="Arial" w:cs="Arial"/>
          <w:sz w:val="22"/>
          <w:szCs w:val="22"/>
        </w:rPr>
        <w:t>O</w:t>
      </w:r>
      <w:r w:rsidR="007E418D" w:rsidRPr="00135D02">
        <w:rPr>
          <w:rFonts w:ascii="Arial" w:hAnsi="Arial" w:cs="Arial"/>
          <w:sz w:val="22"/>
          <w:szCs w:val="22"/>
        </w:rPr>
        <w:t xml:space="preserve">tros </w:t>
      </w:r>
      <w:r w:rsidR="007E418D">
        <w:rPr>
          <w:rFonts w:ascii="Arial" w:hAnsi="Arial" w:cs="Arial"/>
          <w:sz w:val="22"/>
          <w:szCs w:val="22"/>
        </w:rPr>
        <w:t>4</w:t>
      </w:r>
      <w:r w:rsidR="007E418D" w:rsidRPr="00135D02">
        <w:rPr>
          <w:rFonts w:ascii="Arial" w:hAnsi="Arial" w:cs="Arial"/>
          <w:sz w:val="22"/>
          <w:szCs w:val="22"/>
        </w:rPr>
        <w:t>%</w:t>
      </w:r>
      <w:r w:rsidR="007706C4" w:rsidRPr="00135D02">
        <w:rPr>
          <w:rFonts w:ascii="Arial" w:hAnsi="Arial" w:cs="Arial"/>
          <w:sz w:val="22"/>
          <w:szCs w:val="22"/>
        </w:rPr>
        <w:t xml:space="preserve"> </w:t>
      </w:r>
      <w:r w:rsidR="002856D4" w:rsidRPr="00135D02">
        <w:rPr>
          <w:rFonts w:ascii="Arial" w:hAnsi="Arial" w:cs="Arial"/>
          <w:sz w:val="22"/>
          <w:szCs w:val="22"/>
        </w:rPr>
        <w:t>Por otro lado, l</w:t>
      </w:r>
      <w:r w:rsidR="00F13C5A" w:rsidRPr="00135D02">
        <w:rPr>
          <w:rFonts w:ascii="Arial" w:hAnsi="Arial" w:cs="Arial"/>
          <w:sz w:val="22"/>
          <w:szCs w:val="22"/>
        </w:rPr>
        <w:t xml:space="preserve">os activos </w:t>
      </w:r>
      <w:r w:rsidR="00533D1C" w:rsidRPr="00135D02">
        <w:rPr>
          <w:rFonts w:ascii="Arial" w:hAnsi="Arial" w:cs="Arial"/>
          <w:sz w:val="22"/>
          <w:szCs w:val="22"/>
        </w:rPr>
        <w:t>no corrientes</w:t>
      </w:r>
      <w:r w:rsidR="00F13C5A" w:rsidRPr="00135D02">
        <w:rPr>
          <w:rFonts w:ascii="Arial" w:hAnsi="Arial" w:cs="Arial"/>
          <w:sz w:val="22"/>
          <w:szCs w:val="22"/>
        </w:rPr>
        <w:t xml:space="preserve"> de la empresa están constituidos principalmente por </w:t>
      </w:r>
      <w:r w:rsidR="00927033">
        <w:rPr>
          <w:rFonts w:ascii="Arial" w:hAnsi="Arial" w:cs="Arial"/>
          <w:sz w:val="22"/>
          <w:szCs w:val="22"/>
        </w:rPr>
        <w:t>el Activo fijo neto (</w:t>
      </w:r>
      <w:r w:rsidR="00AB77F9">
        <w:rPr>
          <w:rFonts w:ascii="Arial" w:hAnsi="Arial" w:cs="Arial"/>
          <w:sz w:val="22"/>
          <w:szCs w:val="22"/>
        </w:rPr>
        <w:t>91%</w:t>
      </w:r>
      <w:r w:rsidR="00927033">
        <w:rPr>
          <w:rFonts w:ascii="Arial" w:hAnsi="Arial" w:cs="Arial"/>
          <w:sz w:val="22"/>
          <w:szCs w:val="22"/>
        </w:rPr>
        <w:t>)</w:t>
      </w:r>
      <w:r w:rsidR="007A67CE">
        <w:rPr>
          <w:rFonts w:ascii="Arial" w:hAnsi="Arial" w:cs="Arial"/>
          <w:sz w:val="22"/>
          <w:szCs w:val="22"/>
        </w:rPr>
        <w:t>.</w:t>
      </w:r>
    </w:p>
    <w:p w14:paraId="19BB5676" w14:textId="46A12BE8" w:rsidR="003B150C" w:rsidRPr="00135D02" w:rsidRDefault="00784A90" w:rsidP="00BA4588">
      <w:pPr>
        <w:pStyle w:val="Paragraph"/>
        <w:numPr>
          <w:ilvl w:val="0"/>
          <w:numId w:val="0"/>
        </w:numPr>
        <w:jc w:val="center"/>
        <w:rPr>
          <w:rFonts w:ascii="Arial" w:hAnsi="Arial" w:cs="Arial"/>
          <w:sz w:val="22"/>
          <w:szCs w:val="22"/>
          <w:u w:val="single"/>
        </w:rPr>
      </w:pPr>
      <w:r w:rsidRPr="00135D02">
        <w:rPr>
          <w:rFonts w:ascii="Arial" w:hAnsi="Arial" w:cs="Arial"/>
          <w:sz w:val="22"/>
          <w:szCs w:val="22"/>
          <w:u w:val="single"/>
        </w:rPr>
        <w:t>C</w:t>
      </w:r>
      <w:r w:rsidR="00BA4588" w:rsidRPr="00135D02">
        <w:rPr>
          <w:rFonts w:ascii="Arial" w:hAnsi="Arial" w:cs="Arial"/>
          <w:sz w:val="22"/>
          <w:szCs w:val="22"/>
          <w:u w:val="single"/>
        </w:rPr>
        <w:t>uadro</w:t>
      </w:r>
      <w:r w:rsidRPr="00135D02">
        <w:rPr>
          <w:rFonts w:ascii="Arial" w:hAnsi="Arial" w:cs="Arial"/>
          <w:sz w:val="22"/>
          <w:szCs w:val="22"/>
          <w:u w:val="single"/>
        </w:rPr>
        <w:t xml:space="preserve"> </w:t>
      </w:r>
      <w:r w:rsidR="002829FE">
        <w:rPr>
          <w:rFonts w:ascii="Arial" w:hAnsi="Arial" w:cs="Arial"/>
          <w:sz w:val="22"/>
          <w:szCs w:val="22"/>
          <w:u w:val="single"/>
        </w:rPr>
        <w:t>3</w:t>
      </w:r>
      <w:r w:rsidRPr="00135D02">
        <w:rPr>
          <w:rFonts w:ascii="Arial" w:hAnsi="Arial" w:cs="Arial"/>
          <w:sz w:val="22"/>
          <w:szCs w:val="22"/>
          <w:u w:val="single"/>
        </w:rPr>
        <w:t xml:space="preserve">. Balance General Histórico (en miles de </w:t>
      </w:r>
      <w:r w:rsidR="00403289">
        <w:rPr>
          <w:rFonts w:ascii="Arial" w:hAnsi="Arial" w:cs="Arial"/>
          <w:sz w:val="22"/>
          <w:szCs w:val="22"/>
          <w:u w:val="single"/>
        </w:rPr>
        <w:t>US$ de 2017</w:t>
      </w:r>
      <w:r w:rsidRPr="00135D02">
        <w:rPr>
          <w:rFonts w:ascii="Arial" w:hAnsi="Arial" w:cs="Arial"/>
          <w:sz w:val="22"/>
          <w:szCs w:val="22"/>
          <w:u w:val="single"/>
        </w:rPr>
        <w:t>)</w:t>
      </w:r>
    </w:p>
    <w:p w14:paraId="42F0B300" w14:textId="49A685FF" w:rsidR="00155AB2" w:rsidRPr="00135D02" w:rsidRDefault="000637C5" w:rsidP="00BA4588">
      <w:pPr>
        <w:pStyle w:val="Paragraph"/>
        <w:numPr>
          <w:ilvl w:val="0"/>
          <w:numId w:val="0"/>
        </w:numPr>
        <w:jc w:val="center"/>
        <w:rPr>
          <w:rFonts w:ascii="Arial" w:hAnsi="Arial" w:cs="Arial"/>
          <w:sz w:val="22"/>
          <w:szCs w:val="22"/>
          <w:u w:val="single"/>
        </w:rPr>
      </w:pPr>
      <w:r w:rsidRPr="000637C5">
        <w:rPr>
          <w:noProof/>
        </w:rPr>
        <w:drawing>
          <wp:inline distT="0" distB="0" distL="0" distR="0" wp14:anchorId="10D240AE" wp14:editId="540E74E0">
            <wp:extent cx="5143500" cy="5875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5875020"/>
                    </a:xfrm>
                    <a:prstGeom prst="rect">
                      <a:avLst/>
                    </a:prstGeom>
                    <a:noFill/>
                    <a:ln>
                      <a:noFill/>
                    </a:ln>
                  </pic:spPr>
                </pic:pic>
              </a:graphicData>
            </a:graphic>
          </wp:inline>
        </w:drawing>
      </w:r>
    </w:p>
    <w:p w14:paraId="270FE171" w14:textId="77777777" w:rsidR="00155AB2" w:rsidRPr="00135D02" w:rsidRDefault="00155AB2" w:rsidP="00BA4588">
      <w:pPr>
        <w:pStyle w:val="Paragraph"/>
        <w:numPr>
          <w:ilvl w:val="0"/>
          <w:numId w:val="0"/>
        </w:numPr>
        <w:jc w:val="center"/>
        <w:rPr>
          <w:rFonts w:ascii="Arial" w:hAnsi="Arial" w:cs="Arial"/>
          <w:sz w:val="22"/>
          <w:szCs w:val="22"/>
          <w:u w:val="single"/>
        </w:rPr>
      </w:pPr>
    </w:p>
    <w:p w14:paraId="4B281A2D" w14:textId="78C30493" w:rsidR="003B150C" w:rsidRPr="00135D02" w:rsidRDefault="003B150C" w:rsidP="00BC2DF6">
      <w:pPr>
        <w:pStyle w:val="Paragraph"/>
        <w:tabs>
          <w:tab w:val="num" w:pos="720"/>
        </w:tabs>
        <w:ind w:left="720" w:hanging="720"/>
        <w:rPr>
          <w:rFonts w:ascii="Arial" w:hAnsi="Arial" w:cs="Arial"/>
          <w:sz w:val="22"/>
          <w:szCs w:val="22"/>
        </w:rPr>
      </w:pPr>
      <w:r w:rsidRPr="007A67CE">
        <w:rPr>
          <w:rFonts w:ascii="Arial" w:hAnsi="Arial" w:cs="Arial"/>
          <w:i/>
          <w:sz w:val="22"/>
          <w:szCs w:val="22"/>
        </w:rPr>
        <w:lastRenderedPageBreak/>
        <w:t>Pasivo</w:t>
      </w:r>
      <w:r w:rsidR="00E84C70" w:rsidRPr="007A67CE">
        <w:rPr>
          <w:rFonts w:ascii="Arial" w:hAnsi="Arial" w:cs="Arial"/>
          <w:i/>
          <w:sz w:val="22"/>
          <w:szCs w:val="22"/>
        </w:rPr>
        <w:t>.</w:t>
      </w:r>
      <w:r w:rsidRPr="00135D02">
        <w:rPr>
          <w:rFonts w:ascii="Arial" w:hAnsi="Arial" w:cs="Arial"/>
          <w:sz w:val="22"/>
          <w:szCs w:val="22"/>
        </w:rPr>
        <w:t xml:space="preserve"> El pasivo corriente de la empresa </w:t>
      </w:r>
      <w:r w:rsidR="00457E4D" w:rsidRPr="00135D02">
        <w:rPr>
          <w:rFonts w:ascii="Arial" w:hAnsi="Arial" w:cs="Arial"/>
          <w:sz w:val="22"/>
          <w:szCs w:val="22"/>
        </w:rPr>
        <w:t>(</w:t>
      </w:r>
      <w:r w:rsidR="00C2523A">
        <w:rPr>
          <w:rFonts w:ascii="Arial" w:hAnsi="Arial" w:cs="Arial"/>
          <w:sz w:val="22"/>
          <w:szCs w:val="22"/>
        </w:rPr>
        <w:t>35</w:t>
      </w:r>
      <w:r w:rsidR="00016FFE" w:rsidRPr="00135D02">
        <w:rPr>
          <w:rFonts w:ascii="Arial" w:hAnsi="Arial" w:cs="Arial"/>
          <w:sz w:val="22"/>
          <w:szCs w:val="22"/>
        </w:rPr>
        <w:t>%</w:t>
      </w:r>
      <w:r w:rsidRPr="00135D02">
        <w:rPr>
          <w:rFonts w:ascii="Arial" w:hAnsi="Arial" w:cs="Arial"/>
          <w:sz w:val="22"/>
          <w:szCs w:val="22"/>
        </w:rPr>
        <w:t xml:space="preserve"> del total de pasivo</w:t>
      </w:r>
      <w:r w:rsidR="000E0F2F" w:rsidRPr="00135D02">
        <w:rPr>
          <w:rFonts w:ascii="Arial" w:hAnsi="Arial" w:cs="Arial"/>
          <w:sz w:val="22"/>
          <w:szCs w:val="22"/>
        </w:rPr>
        <w:t>s</w:t>
      </w:r>
      <w:r w:rsidR="00457E4D" w:rsidRPr="00135D02">
        <w:rPr>
          <w:rFonts w:ascii="Arial" w:hAnsi="Arial" w:cs="Arial"/>
          <w:sz w:val="22"/>
          <w:szCs w:val="22"/>
        </w:rPr>
        <w:t>)</w:t>
      </w:r>
      <w:r w:rsidRPr="00135D02">
        <w:rPr>
          <w:rFonts w:ascii="Arial" w:hAnsi="Arial" w:cs="Arial"/>
          <w:sz w:val="22"/>
          <w:szCs w:val="22"/>
        </w:rPr>
        <w:t xml:space="preserve"> está compuesto principalmente por</w:t>
      </w:r>
      <w:r w:rsidR="00E71A6E">
        <w:rPr>
          <w:rFonts w:ascii="Arial" w:hAnsi="Arial" w:cs="Arial"/>
          <w:sz w:val="22"/>
          <w:szCs w:val="22"/>
        </w:rPr>
        <w:t xml:space="preserve"> la porción corriente de</w:t>
      </w:r>
      <w:r w:rsidRPr="00135D02">
        <w:rPr>
          <w:rFonts w:ascii="Arial" w:hAnsi="Arial" w:cs="Arial"/>
          <w:sz w:val="22"/>
          <w:szCs w:val="22"/>
        </w:rPr>
        <w:t xml:space="preserve"> </w:t>
      </w:r>
      <w:r w:rsidR="007807CF">
        <w:rPr>
          <w:rFonts w:ascii="Arial" w:hAnsi="Arial" w:cs="Arial"/>
          <w:sz w:val="22"/>
          <w:szCs w:val="22"/>
        </w:rPr>
        <w:t>las deudas financieras</w:t>
      </w:r>
      <w:r w:rsidR="000533A3" w:rsidRPr="00135D02">
        <w:rPr>
          <w:rFonts w:ascii="Arial" w:hAnsi="Arial" w:cs="Arial"/>
          <w:sz w:val="22"/>
          <w:szCs w:val="22"/>
        </w:rPr>
        <w:t xml:space="preserve"> (</w:t>
      </w:r>
      <w:r w:rsidR="00212A91">
        <w:rPr>
          <w:rFonts w:ascii="Arial" w:hAnsi="Arial" w:cs="Arial"/>
          <w:sz w:val="22"/>
          <w:szCs w:val="22"/>
        </w:rPr>
        <w:t>42%</w:t>
      </w:r>
      <w:r w:rsidR="000533A3" w:rsidRPr="00135D02">
        <w:rPr>
          <w:rFonts w:ascii="Arial" w:hAnsi="Arial" w:cs="Arial"/>
          <w:sz w:val="22"/>
          <w:szCs w:val="22"/>
        </w:rPr>
        <w:t xml:space="preserve">), </w:t>
      </w:r>
      <w:r w:rsidR="00E71A6E">
        <w:rPr>
          <w:rFonts w:ascii="Arial" w:hAnsi="Arial" w:cs="Arial"/>
          <w:sz w:val="22"/>
          <w:szCs w:val="22"/>
        </w:rPr>
        <w:t>deudas comerciales</w:t>
      </w:r>
      <w:r w:rsidR="00212A91">
        <w:rPr>
          <w:rFonts w:ascii="Arial" w:hAnsi="Arial" w:cs="Arial"/>
          <w:sz w:val="22"/>
          <w:szCs w:val="22"/>
        </w:rPr>
        <w:t xml:space="preserve"> (29%)</w:t>
      </w:r>
      <w:r w:rsidR="000533A3" w:rsidRPr="00135D02">
        <w:rPr>
          <w:rFonts w:ascii="Arial" w:hAnsi="Arial" w:cs="Arial"/>
          <w:sz w:val="22"/>
          <w:szCs w:val="22"/>
        </w:rPr>
        <w:t xml:space="preserve">, y </w:t>
      </w:r>
      <w:r w:rsidR="00E71A6E">
        <w:rPr>
          <w:rFonts w:ascii="Arial" w:hAnsi="Arial" w:cs="Arial"/>
          <w:sz w:val="22"/>
          <w:szCs w:val="22"/>
        </w:rPr>
        <w:t>deudas diversas</w:t>
      </w:r>
      <w:r w:rsidR="00374B0A">
        <w:rPr>
          <w:rStyle w:val="FootnoteReference"/>
          <w:rFonts w:ascii="Arial" w:hAnsi="Arial" w:cs="Arial"/>
          <w:sz w:val="22"/>
          <w:szCs w:val="22"/>
        </w:rPr>
        <w:footnoteReference w:id="8"/>
      </w:r>
      <w:r w:rsidR="00212A91">
        <w:rPr>
          <w:rFonts w:ascii="Arial" w:hAnsi="Arial" w:cs="Arial"/>
          <w:sz w:val="22"/>
          <w:szCs w:val="22"/>
        </w:rPr>
        <w:t xml:space="preserve"> (26%)</w:t>
      </w:r>
      <w:r w:rsidR="000533A3" w:rsidRPr="00135D02">
        <w:rPr>
          <w:rFonts w:ascii="Arial" w:hAnsi="Arial" w:cs="Arial"/>
          <w:sz w:val="22"/>
          <w:szCs w:val="22"/>
        </w:rPr>
        <w:t>.</w:t>
      </w:r>
      <w:r w:rsidRPr="00135D02">
        <w:rPr>
          <w:rFonts w:ascii="Arial" w:hAnsi="Arial" w:cs="Arial"/>
          <w:sz w:val="22"/>
          <w:szCs w:val="22"/>
        </w:rPr>
        <w:t xml:space="preserve"> El Pasivo </w:t>
      </w:r>
      <w:r w:rsidR="000E0F2F" w:rsidRPr="00135D02">
        <w:rPr>
          <w:rFonts w:ascii="Arial" w:hAnsi="Arial" w:cs="Arial"/>
          <w:sz w:val="22"/>
          <w:szCs w:val="22"/>
        </w:rPr>
        <w:t xml:space="preserve">no corriente </w:t>
      </w:r>
      <w:r w:rsidRPr="00135D02">
        <w:rPr>
          <w:rFonts w:ascii="Arial" w:hAnsi="Arial" w:cs="Arial"/>
          <w:sz w:val="22"/>
          <w:szCs w:val="22"/>
        </w:rPr>
        <w:t>de la empresa</w:t>
      </w:r>
      <w:r w:rsidR="000E0F2F" w:rsidRPr="00135D02">
        <w:rPr>
          <w:rFonts w:ascii="Arial" w:hAnsi="Arial" w:cs="Arial"/>
          <w:sz w:val="22"/>
          <w:szCs w:val="22"/>
        </w:rPr>
        <w:t xml:space="preserve"> (</w:t>
      </w:r>
      <w:r w:rsidR="00675D02">
        <w:rPr>
          <w:rFonts w:ascii="Arial" w:hAnsi="Arial" w:cs="Arial"/>
          <w:sz w:val="22"/>
          <w:szCs w:val="22"/>
        </w:rPr>
        <w:t>65</w:t>
      </w:r>
      <w:r w:rsidRPr="00135D02">
        <w:rPr>
          <w:rFonts w:ascii="Arial" w:hAnsi="Arial" w:cs="Arial"/>
          <w:sz w:val="22"/>
          <w:szCs w:val="22"/>
        </w:rPr>
        <w:t>%</w:t>
      </w:r>
      <w:r w:rsidR="00016FFE" w:rsidRPr="00135D02">
        <w:rPr>
          <w:rFonts w:ascii="Arial" w:hAnsi="Arial" w:cs="Arial"/>
          <w:sz w:val="22"/>
          <w:szCs w:val="22"/>
        </w:rPr>
        <w:t xml:space="preserve"> </w:t>
      </w:r>
      <w:r w:rsidRPr="00135D02">
        <w:rPr>
          <w:rFonts w:ascii="Arial" w:hAnsi="Arial" w:cs="Arial"/>
          <w:sz w:val="22"/>
          <w:szCs w:val="22"/>
        </w:rPr>
        <w:t>del total</w:t>
      </w:r>
      <w:r w:rsidR="000E0F2F" w:rsidRPr="00135D02">
        <w:rPr>
          <w:rFonts w:ascii="Arial" w:hAnsi="Arial" w:cs="Arial"/>
          <w:sz w:val="22"/>
          <w:szCs w:val="22"/>
        </w:rPr>
        <w:t xml:space="preserve"> de </w:t>
      </w:r>
      <w:r w:rsidRPr="00135D02">
        <w:rPr>
          <w:rFonts w:ascii="Arial" w:hAnsi="Arial" w:cs="Arial"/>
          <w:sz w:val="22"/>
          <w:szCs w:val="22"/>
        </w:rPr>
        <w:t>pasivo</w:t>
      </w:r>
      <w:r w:rsidR="000E0F2F" w:rsidRPr="00135D02">
        <w:rPr>
          <w:rFonts w:ascii="Arial" w:hAnsi="Arial" w:cs="Arial"/>
          <w:sz w:val="22"/>
          <w:szCs w:val="22"/>
        </w:rPr>
        <w:t>s)</w:t>
      </w:r>
      <w:r w:rsidRPr="00135D02">
        <w:rPr>
          <w:rFonts w:ascii="Arial" w:hAnsi="Arial" w:cs="Arial"/>
          <w:sz w:val="22"/>
          <w:szCs w:val="22"/>
        </w:rPr>
        <w:t xml:space="preserve"> comprende </w:t>
      </w:r>
      <w:r w:rsidR="00792CDC">
        <w:rPr>
          <w:rFonts w:ascii="Arial" w:hAnsi="Arial" w:cs="Arial"/>
          <w:sz w:val="22"/>
          <w:szCs w:val="22"/>
        </w:rPr>
        <w:t>exclusivamente</w:t>
      </w:r>
      <w:r w:rsidR="000533A3" w:rsidRPr="00135D02">
        <w:rPr>
          <w:rFonts w:ascii="Arial" w:hAnsi="Arial" w:cs="Arial"/>
          <w:sz w:val="22"/>
          <w:szCs w:val="22"/>
        </w:rPr>
        <w:t xml:space="preserve"> de</w:t>
      </w:r>
      <w:r w:rsidRPr="00135D02">
        <w:rPr>
          <w:rFonts w:ascii="Arial" w:hAnsi="Arial" w:cs="Arial"/>
          <w:sz w:val="22"/>
          <w:szCs w:val="22"/>
        </w:rPr>
        <w:t xml:space="preserve"> </w:t>
      </w:r>
      <w:r w:rsidR="000533A3" w:rsidRPr="00135D02">
        <w:rPr>
          <w:rFonts w:ascii="Arial" w:hAnsi="Arial" w:cs="Arial"/>
          <w:sz w:val="22"/>
          <w:szCs w:val="22"/>
        </w:rPr>
        <w:t>l</w:t>
      </w:r>
      <w:r w:rsidR="00792CDC">
        <w:rPr>
          <w:rFonts w:ascii="Arial" w:hAnsi="Arial" w:cs="Arial"/>
          <w:sz w:val="22"/>
          <w:szCs w:val="22"/>
        </w:rPr>
        <w:t>as deudas financieras</w:t>
      </w:r>
      <w:r w:rsidR="000533A3" w:rsidRPr="00135D02">
        <w:rPr>
          <w:rFonts w:ascii="Arial" w:hAnsi="Arial" w:cs="Arial"/>
          <w:sz w:val="22"/>
          <w:szCs w:val="22"/>
        </w:rPr>
        <w:t>.</w:t>
      </w:r>
      <w:r w:rsidRPr="00135D02">
        <w:rPr>
          <w:rFonts w:ascii="Arial" w:hAnsi="Arial" w:cs="Arial"/>
          <w:sz w:val="22"/>
          <w:szCs w:val="22"/>
        </w:rPr>
        <w:t xml:space="preserve"> </w:t>
      </w:r>
    </w:p>
    <w:p w14:paraId="5C81174D" w14:textId="662D08FB" w:rsidR="00750B90" w:rsidRDefault="003B150C" w:rsidP="00BC2DF6">
      <w:pPr>
        <w:pStyle w:val="Paragraph"/>
        <w:tabs>
          <w:tab w:val="num" w:pos="720"/>
        </w:tabs>
        <w:ind w:left="720" w:hanging="720"/>
        <w:rPr>
          <w:rFonts w:ascii="Arial" w:hAnsi="Arial" w:cs="Arial"/>
          <w:sz w:val="22"/>
          <w:szCs w:val="22"/>
        </w:rPr>
      </w:pPr>
      <w:r w:rsidRPr="007A67CE">
        <w:rPr>
          <w:rFonts w:ascii="Arial" w:hAnsi="Arial" w:cs="Arial"/>
          <w:i/>
          <w:sz w:val="22"/>
          <w:szCs w:val="22"/>
        </w:rPr>
        <w:t>Patrimonio</w:t>
      </w:r>
      <w:r w:rsidR="00E84C70" w:rsidRPr="007A67CE">
        <w:rPr>
          <w:rFonts w:ascii="Arial" w:hAnsi="Arial" w:cs="Arial"/>
          <w:i/>
          <w:sz w:val="22"/>
          <w:szCs w:val="22"/>
        </w:rPr>
        <w:t>.</w:t>
      </w:r>
      <w:r w:rsidRPr="00135D02">
        <w:rPr>
          <w:rFonts w:ascii="Arial" w:hAnsi="Arial" w:cs="Arial"/>
          <w:sz w:val="22"/>
          <w:szCs w:val="22"/>
        </w:rPr>
        <w:t xml:space="preserve"> El patrimonio</w:t>
      </w:r>
      <w:r w:rsidR="00F0051D" w:rsidRPr="00135D02">
        <w:rPr>
          <w:rFonts w:ascii="Arial" w:hAnsi="Arial" w:cs="Arial"/>
          <w:sz w:val="22"/>
          <w:szCs w:val="22"/>
        </w:rPr>
        <w:t xml:space="preserve"> (US$</w:t>
      </w:r>
      <w:r w:rsidR="007F1C49">
        <w:rPr>
          <w:rFonts w:ascii="Arial" w:hAnsi="Arial" w:cs="Arial"/>
          <w:sz w:val="22"/>
          <w:szCs w:val="22"/>
        </w:rPr>
        <w:t>1.336</w:t>
      </w:r>
      <w:r w:rsidR="00F0051D" w:rsidRPr="00135D02">
        <w:rPr>
          <w:rFonts w:ascii="Arial" w:hAnsi="Arial" w:cs="Arial"/>
          <w:sz w:val="22"/>
          <w:szCs w:val="22"/>
        </w:rPr>
        <w:t xml:space="preserve"> millones)</w:t>
      </w:r>
      <w:r w:rsidRPr="00135D02">
        <w:rPr>
          <w:rFonts w:ascii="Arial" w:hAnsi="Arial" w:cs="Arial"/>
          <w:sz w:val="22"/>
          <w:szCs w:val="22"/>
        </w:rPr>
        <w:t xml:space="preserve"> de </w:t>
      </w:r>
      <w:r w:rsidR="007F1C49">
        <w:rPr>
          <w:rFonts w:ascii="Arial" w:hAnsi="Arial" w:cs="Arial"/>
          <w:sz w:val="22"/>
          <w:szCs w:val="22"/>
        </w:rPr>
        <w:t>OSE</w:t>
      </w:r>
      <w:r w:rsidRPr="00135D02">
        <w:rPr>
          <w:rFonts w:ascii="Arial" w:hAnsi="Arial" w:cs="Arial"/>
          <w:sz w:val="22"/>
          <w:szCs w:val="22"/>
        </w:rPr>
        <w:t xml:space="preserve"> </w:t>
      </w:r>
      <w:r w:rsidR="00045DA7">
        <w:rPr>
          <w:rFonts w:ascii="Arial" w:hAnsi="Arial" w:cs="Arial"/>
          <w:sz w:val="22"/>
          <w:szCs w:val="22"/>
        </w:rPr>
        <w:t xml:space="preserve">consiste en </w:t>
      </w:r>
      <w:r w:rsidR="00810285">
        <w:rPr>
          <w:rFonts w:ascii="Arial" w:hAnsi="Arial" w:cs="Arial"/>
          <w:sz w:val="22"/>
          <w:szCs w:val="22"/>
        </w:rPr>
        <w:t xml:space="preserve">el capital, </w:t>
      </w:r>
      <w:r w:rsidR="00B34C0D">
        <w:rPr>
          <w:rFonts w:ascii="Arial" w:hAnsi="Arial" w:cs="Arial"/>
          <w:sz w:val="22"/>
          <w:szCs w:val="22"/>
        </w:rPr>
        <w:t>r</w:t>
      </w:r>
      <w:r w:rsidR="00810285">
        <w:rPr>
          <w:rFonts w:ascii="Arial" w:hAnsi="Arial" w:cs="Arial"/>
          <w:sz w:val="22"/>
          <w:szCs w:val="22"/>
        </w:rPr>
        <w:t xml:space="preserve">eservas y </w:t>
      </w:r>
      <w:r w:rsidR="00B34C0D">
        <w:rPr>
          <w:rFonts w:ascii="Arial" w:hAnsi="Arial" w:cs="Arial"/>
          <w:sz w:val="22"/>
          <w:szCs w:val="22"/>
        </w:rPr>
        <w:t>resultados acumulados</w:t>
      </w:r>
      <w:r w:rsidR="00F0051D" w:rsidRPr="00135D02">
        <w:rPr>
          <w:rFonts w:ascii="Arial" w:hAnsi="Arial" w:cs="Arial"/>
          <w:sz w:val="22"/>
          <w:szCs w:val="22"/>
        </w:rPr>
        <w:t>.</w:t>
      </w:r>
      <w:r w:rsidRPr="00135D02">
        <w:rPr>
          <w:rFonts w:ascii="Arial" w:hAnsi="Arial" w:cs="Arial"/>
          <w:sz w:val="22"/>
          <w:szCs w:val="22"/>
        </w:rPr>
        <w:t xml:space="preserve"> </w:t>
      </w:r>
      <w:r w:rsidR="00016FFE" w:rsidRPr="00135D02">
        <w:rPr>
          <w:rFonts w:ascii="Arial" w:hAnsi="Arial" w:cs="Arial"/>
          <w:sz w:val="22"/>
          <w:szCs w:val="22"/>
        </w:rPr>
        <w:t xml:space="preserve"> </w:t>
      </w:r>
    </w:p>
    <w:p w14:paraId="68BE842F" w14:textId="77777777" w:rsidR="00B34C0D" w:rsidRPr="00135D02" w:rsidRDefault="00B34C0D" w:rsidP="00B34C0D">
      <w:pPr>
        <w:pStyle w:val="Paragraph"/>
        <w:numPr>
          <w:ilvl w:val="0"/>
          <w:numId w:val="0"/>
        </w:numPr>
        <w:tabs>
          <w:tab w:val="num" w:pos="2088"/>
        </w:tabs>
        <w:ind w:left="720"/>
        <w:rPr>
          <w:rFonts w:ascii="Arial" w:hAnsi="Arial" w:cs="Arial"/>
          <w:sz w:val="22"/>
          <w:szCs w:val="22"/>
        </w:rPr>
      </w:pPr>
    </w:p>
    <w:p w14:paraId="5F67B9F1" w14:textId="6DCA2816" w:rsidR="00977D10" w:rsidRPr="00135D02" w:rsidRDefault="00442359" w:rsidP="00BA4588">
      <w:pPr>
        <w:pStyle w:val="FirstHeading"/>
        <w:numPr>
          <w:ilvl w:val="0"/>
          <w:numId w:val="0"/>
        </w:numPr>
        <w:rPr>
          <w:rFonts w:ascii="Arial" w:hAnsi="Arial" w:cs="Arial"/>
        </w:rPr>
      </w:pPr>
      <w:bookmarkStart w:id="16" w:name="_Toc4523756"/>
      <w:bookmarkStart w:id="17" w:name="_Toc450478058"/>
      <w:bookmarkStart w:id="18" w:name="_Toc451059710"/>
      <w:bookmarkStart w:id="19" w:name="_Toc451059774"/>
      <w:bookmarkStart w:id="20" w:name="_Toc451922482"/>
      <w:bookmarkStart w:id="21" w:name="_Toc456499473"/>
      <w:bookmarkStart w:id="22" w:name="_Toc456499567"/>
      <w:bookmarkStart w:id="23" w:name="_Toc456499762"/>
      <w:bookmarkStart w:id="24" w:name="_Toc456503330"/>
      <w:bookmarkStart w:id="25" w:name="_Toc456503700"/>
      <w:bookmarkStart w:id="26" w:name="_Toc456504252"/>
      <w:bookmarkStart w:id="27" w:name="_Toc456504340"/>
      <w:bookmarkStart w:id="28" w:name="_Toc456504434"/>
      <w:bookmarkStart w:id="29" w:name="_Toc456504521"/>
      <w:bookmarkEnd w:id="1"/>
      <w:bookmarkEnd w:id="2"/>
      <w:bookmarkEnd w:id="3"/>
      <w:bookmarkEnd w:id="4"/>
      <w:bookmarkEnd w:id="5"/>
      <w:bookmarkEnd w:id="6"/>
      <w:bookmarkEnd w:id="7"/>
      <w:bookmarkEnd w:id="8"/>
      <w:bookmarkEnd w:id="9"/>
      <w:bookmarkEnd w:id="10"/>
      <w:bookmarkEnd w:id="11"/>
      <w:bookmarkEnd w:id="12"/>
      <w:bookmarkEnd w:id="13"/>
      <w:r w:rsidRPr="00135D02">
        <w:rPr>
          <w:rFonts w:ascii="Arial" w:hAnsi="Arial" w:cs="Arial"/>
        </w:rPr>
        <w:t>I</w:t>
      </w:r>
      <w:r w:rsidR="00A60056">
        <w:rPr>
          <w:rFonts w:ascii="Arial" w:hAnsi="Arial" w:cs="Arial"/>
        </w:rPr>
        <w:t>V</w:t>
      </w:r>
      <w:r w:rsidR="00C07882" w:rsidRPr="00135D02">
        <w:rPr>
          <w:rFonts w:ascii="Arial" w:hAnsi="Arial" w:cs="Arial"/>
        </w:rPr>
        <w:t>.</w:t>
      </w:r>
      <w:r w:rsidR="00C07882" w:rsidRPr="00135D02">
        <w:rPr>
          <w:rFonts w:ascii="Arial" w:hAnsi="Arial" w:cs="Arial"/>
        </w:rPr>
        <w:tab/>
      </w:r>
      <w:r w:rsidR="00543280" w:rsidRPr="00135D02">
        <w:rPr>
          <w:rFonts w:ascii="Arial" w:hAnsi="Arial" w:cs="Arial"/>
        </w:rPr>
        <w:t xml:space="preserve">Análisis de </w:t>
      </w:r>
      <w:bookmarkEnd w:id="16"/>
      <w:r w:rsidR="00B00430" w:rsidRPr="00135D02">
        <w:rPr>
          <w:rFonts w:ascii="Arial" w:hAnsi="Arial" w:cs="Arial"/>
          <w:sz w:val="22"/>
          <w:szCs w:val="22"/>
        </w:rPr>
        <w:t>las proyecciones</w:t>
      </w:r>
    </w:p>
    <w:p w14:paraId="29552BA4" w14:textId="5032BF83" w:rsidR="00B00430" w:rsidRPr="00135D02" w:rsidRDefault="00B00430" w:rsidP="00276398">
      <w:pPr>
        <w:pStyle w:val="ListParagraph"/>
        <w:keepNext/>
        <w:numPr>
          <w:ilvl w:val="0"/>
          <w:numId w:val="2"/>
        </w:numPr>
        <w:tabs>
          <w:tab w:val="clear" w:pos="2088"/>
          <w:tab w:val="num" w:pos="648"/>
          <w:tab w:val="left" w:pos="1440"/>
        </w:tabs>
        <w:spacing w:before="240" w:after="240"/>
        <w:ind w:left="0"/>
        <w:contextualSpacing w:val="0"/>
        <w:jc w:val="center"/>
        <w:rPr>
          <w:rFonts w:ascii="Arial" w:eastAsia="MS Mincho" w:hAnsi="Arial" w:cs="Arial"/>
          <w:b/>
          <w:smallCaps/>
          <w:vanish/>
          <w:szCs w:val="20"/>
          <w:lang w:eastAsia="en-US"/>
        </w:rPr>
      </w:pPr>
    </w:p>
    <w:p w14:paraId="54F61786" w14:textId="77777777" w:rsidR="00977D10" w:rsidRPr="00135D02" w:rsidRDefault="00977D10" w:rsidP="00276398">
      <w:pPr>
        <w:pStyle w:val="SecHeading"/>
        <w:numPr>
          <w:ilvl w:val="1"/>
          <w:numId w:val="4"/>
        </w:numPr>
        <w:tabs>
          <w:tab w:val="clear" w:pos="5400"/>
          <w:tab w:val="num" w:pos="1276"/>
        </w:tabs>
        <w:ind w:left="1276"/>
        <w:rPr>
          <w:rFonts w:ascii="Arial" w:hAnsi="Arial" w:cs="Arial"/>
          <w:sz w:val="22"/>
          <w:szCs w:val="22"/>
        </w:rPr>
      </w:pPr>
      <w:r w:rsidRPr="00135D02">
        <w:rPr>
          <w:rFonts w:ascii="Arial" w:hAnsi="Arial" w:cs="Arial"/>
          <w:sz w:val="22"/>
          <w:szCs w:val="22"/>
        </w:rPr>
        <w:t>Estado de Resultados</w:t>
      </w:r>
    </w:p>
    <w:p w14:paraId="5075B808" w14:textId="5C8C786C" w:rsidR="003B185F" w:rsidRPr="00135D02" w:rsidRDefault="003B185F" w:rsidP="003B185F">
      <w:pPr>
        <w:pStyle w:val="Paragraph"/>
        <w:tabs>
          <w:tab w:val="num" w:pos="720"/>
        </w:tabs>
        <w:ind w:left="720" w:hanging="720"/>
        <w:rPr>
          <w:rFonts w:ascii="Arial" w:hAnsi="Arial" w:cs="Arial"/>
          <w:i/>
          <w:sz w:val="22"/>
          <w:szCs w:val="22"/>
        </w:rPr>
      </w:pPr>
      <w:r w:rsidRPr="00135D02">
        <w:rPr>
          <w:rFonts w:ascii="Arial" w:hAnsi="Arial" w:cs="Arial"/>
          <w:i/>
          <w:sz w:val="22"/>
          <w:szCs w:val="22"/>
        </w:rPr>
        <w:t xml:space="preserve">Ingresos Operacionales. </w:t>
      </w:r>
      <w:r w:rsidRPr="00135D02">
        <w:rPr>
          <w:rFonts w:ascii="Arial" w:hAnsi="Arial" w:cs="Arial"/>
          <w:sz w:val="22"/>
          <w:szCs w:val="22"/>
        </w:rPr>
        <w:t xml:space="preserve">Durante los primeros 5 </w:t>
      </w:r>
      <w:r w:rsidR="00B42692">
        <w:rPr>
          <w:rFonts w:ascii="Arial" w:hAnsi="Arial" w:cs="Arial"/>
          <w:sz w:val="22"/>
          <w:szCs w:val="22"/>
          <w:lang w:val="es-ES_tradnl"/>
        </w:rPr>
        <w:t xml:space="preserve">año </w:t>
      </w:r>
      <w:r w:rsidRPr="00135D02">
        <w:rPr>
          <w:rFonts w:ascii="Arial" w:hAnsi="Arial" w:cs="Arial"/>
          <w:sz w:val="22"/>
          <w:szCs w:val="22"/>
          <w:lang w:val="es-ES_tradnl"/>
        </w:rPr>
        <w:t xml:space="preserve">de la proyección, en el promedio </w:t>
      </w:r>
      <w:r w:rsidR="00F760A4">
        <w:rPr>
          <w:rFonts w:ascii="Arial" w:hAnsi="Arial" w:cs="Arial"/>
          <w:sz w:val="22"/>
          <w:szCs w:val="22"/>
          <w:lang w:val="es-ES_tradnl"/>
        </w:rPr>
        <w:t>OSE</w:t>
      </w:r>
      <w:r w:rsidRPr="00135D02">
        <w:rPr>
          <w:rFonts w:ascii="Arial" w:hAnsi="Arial" w:cs="Arial"/>
          <w:sz w:val="22"/>
          <w:szCs w:val="22"/>
          <w:lang w:val="es-ES_tradnl"/>
        </w:rPr>
        <w:t xml:space="preserve"> </w:t>
      </w:r>
      <w:r w:rsidRPr="00135D02">
        <w:rPr>
          <w:rFonts w:ascii="Arial" w:hAnsi="Arial" w:cs="Arial"/>
          <w:sz w:val="22"/>
          <w:szCs w:val="22"/>
        </w:rPr>
        <w:t>tendrá ingresos operacionales de US$</w:t>
      </w:r>
      <w:r w:rsidR="00F760A4">
        <w:rPr>
          <w:rFonts w:ascii="Arial" w:hAnsi="Arial" w:cs="Arial"/>
          <w:sz w:val="22"/>
          <w:szCs w:val="22"/>
        </w:rPr>
        <w:t>45</w:t>
      </w:r>
      <w:r w:rsidR="00687975">
        <w:rPr>
          <w:rFonts w:ascii="Arial" w:hAnsi="Arial" w:cs="Arial"/>
          <w:sz w:val="22"/>
          <w:szCs w:val="22"/>
        </w:rPr>
        <w:t>4</w:t>
      </w:r>
      <w:r w:rsidRPr="00135D02">
        <w:rPr>
          <w:rFonts w:ascii="Arial" w:hAnsi="Arial" w:cs="Arial"/>
          <w:sz w:val="22"/>
          <w:szCs w:val="22"/>
        </w:rPr>
        <w:t xml:space="preserve"> millones. La composición de dichos ingresos serán aproximadamente lo siguiente: </w:t>
      </w:r>
      <w:r w:rsidR="00F760A4">
        <w:rPr>
          <w:rFonts w:ascii="Arial" w:hAnsi="Arial" w:cs="Arial"/>
          <w:sz w:val="22"/>
          <w:szCs w:val="22"/>
        </w:rPr>
        <w:t>Ventas de agua</w:t>
      </w:r>
      <w:r w:rsidR="00F760A4" w:rsidRPr="00135D02">
        <w:rPr>
          <w:rFonts w:ascii="Arial" w:hAnsi="Arial" w:cs="Arial"/>
          <w:sz w:val="22"/>
          <w:szCs w:val="22"/>
        </w:rPr>
        <w:t xml:space="preserve"> US$</w:t>
      </w:r>
      <w:r w:rsidR="007D1FA2">
        <w:rPr>
          <w:rFonts w:ascii="Arial" w:hAnsi="Arial" w:cs="Arial"/>
          <w:sz w:val="22"/>
          <w:szCs w:val="22"/>
        </w:rPr>
        <w:t>3</w:t>
      </w:r>
      <w:r w:rsidR="00687975">
        <w:rPr>
          <w:rFonts w:ascii="Arial" w:hAnsi="Arial" w:cs="Arial"/>
          <w:sz w:val="22"/>
          <w:szCs w:val="22"/>
        </w:rPr>
        <w:t>69</w:t>
      </w:r>
      <w:r w:rsidR="00F760A4" w:rsidRPr="00135D02">
        <w:rPr>
          <w:rFonts w:ascii="Arial" w:hAnsi="Arial" w:cs="Arial"/>
          <w:sz w:val="22"/>
          <w:szCs w:val="22"/>
        </w:rPr>
        <w:t xml:space="preserve"> millones (</w:t>
      </w:r>
      <w:r w:rsidR="00F760A4">
        <w:rPr>
          <w:rFonts w:ascii="Arial" w:hAnsi="Arial" w:cs="Arial"/>
          <w:sz w:val="22"/>
          <w:szCs w:val="22"/>
        </w:rPr>
        <w:t>8</w:t>
      </w:r>
      <w:r w:rsidR="007D1FA2">
        <w:rPr>
          <w:rFonts w:ascii="Arial" w:hAnsi="Arial" w:cs="Arial"/>
          <w:sz w:val="22"/>
          <w:szCs w:val="22"/>
        </w:rPr>
        <w:t>1</w:t>
      </w:r>
      <w:r w:rsidR="00F760A4" w:rsidRPr="00135D02">
        <w:rPr>
          <w:rFonts w:ascii="Arial" w:hAnsi="Arial" w:cs="Arial"/>
          <w:sz w:val="22"/>
          <w:szCs w:val="22"/>
        </w:rPr>
        <w:t xml:space="preserve">%), </w:t>
      </w:r>
      <w:r w:rsidR="00F760A4">
        <w:rPr>
          <w:rFonts w:ascii="Arial" w:hAnsi="Arial" w:cs="Arial"/>
          <w:sz w:val="22"/>
          <w:szCs w:val="22"/>
        </w:rPr>
        <w:t>Facturación alcantarillado</w:t>
      </w:r>
      <w:r w:rsidR="00F760A4" w:rsidRPr="00135D02">
        <w:rPr>
          <w:rFonts w:ascii="Arial" w:hAnsi="Arial" w:cs="Arial"/>
          <w:sz w:val="22"/>
          <w:szCs w:val="22"/>
        </w:rPr>
        <w:t xml:space="preserve"> US$</w:t>
      </w:r>
      <w:r w:rsidR="007D1FA2">
        <w:rPr>
          <w:rFonts w:ascii="Arial" w:hAnsi="Arial" w:cs="Arial"/>
          <w:sz w:val="22"/>
          <w:szCs w:val="22"/>
        </w:rPr>
        <w:t>6</w:t>
      </w:r>
      <w:r w:rsidR="00687975">
        <w:rPr>
          <w:rFonts w:ascii="Arial" w:hAnsi="Arial" w:cs="Arial"/>
          <w:sz w:val="22"/>
          <w:szCs w:val="22"/>
        </w:rPr>
        <w:t>8</w:t>
      </w:r>
      <w:r w:rsidR="00F760A4" w:rsidRPr="00135D02">
        <w:rPr>
          <w:rFonts w:ascii="Arial" w:hAnsi="Arial" w:cs="Arial"/>
          <w:sz w:val="22"/>
          <w:szCs w:val="22"/>
        </w:rPr>
        <w:t xml:space="preserve"> millones (</w:t>
      </w:r>
      <w:r w:rsidR="00F760A4">
        <w:rPr>
          <w:rFonts w:ascii="Arial" w:hAnsi="Arial" w:cs="Arial"/>
          <w:sz w:val="22"/>
          <w:szCs w:val="22"/>
        </w:rPr>
        <w:t>15</w:t>
      </w:r>
      <w:r w:rsidR="00F760A4" w:rsidRPr="00135D02">
        <w:rPr>
          <w:rFonts w:ascii="Arial" w:hAnsi="Arial" w:cs="Arial"/>
          <w:sz w:val="22"/>
          <w:szCs w:val="22"/>
        </w:rPr>
        <w:t>%), y Otros US$</w:t>
      </w:r>
      <w:r w:rsidR="00F760A4">
        <w:rPr>
          <w:rFonts w:ascii="Arial" w:hAnsi="Arial" w:cs="Arial"/>
          <w:sz w:val="22"/>
          <w:szCs w:val="22"/>
        </w:rPr>
        <w:t>1</w:t>
      </w:r>
      <w:r w:rsidR="007D1FA2">
        <w:rPr>
          <w:rFonts w:ascii="Arial" w:hAnsi="Arial" w:cs="Arial"/>
          <w:sz w:val="22"/>
          <w:szCs w:val="22"/>
        </w:rPr>
        <w:t>6</w:t>
      </w:r>
      <w:r w:rsidR="00F760A4" w:rsidRPr="00135D02">
        <w:rPr>
          <w:rFonts w:ascii="Arial" w:hAnsi="Arial" w:cs="Arial"/>
          <w:sz w:val="22"/>
          <w:szCs w:val="22"/>
        </w:rPr>
        <w:t xml:space="preserve"> millones (</w:t>
      </w:r>
      <w:r w:rsidR="007D1FA2">
        <w:rPr>
          <w:rFonts w:ascii="Arial" w:hAnsi="Arial" w:cs="Arial"/>
          <w:sz w:val="22"/>
          <w:szCs w:val="22"/>
        </w:rPr>
        <w:t>4</w:t>
      </w:r>
      <w:r w:rsidR="00F760A4" w:rsidRPr="00135D02">
        <w:rPr>
          <w:rFonts w:ascii="Arial" w:hAnsi="Arial" w:cs="Arial"/>
          <w:sz w:val="22"/>
          <w:szCs w:val="22"/>
        </w:rPr>
        <w:t xml:space="preserve">%). Los ingresos por </w:t>
      </w:r>
      <w:r w:rsidR="00F760A4">
        <w:rPr>
          <w:rFonts w:ascii="Arial" w:hAnsi="Arial" w:cs="Arial"/>
          <w:sz w:val="22"/>
          <w:szCs w:val="22"/>
        </w:rPr>
        <w:t>ventas de agua</w:t>
      </w:r>
      <w:r w:rsidR="00F760A4" w:rsidRPr="00135D02">
        <w:rPr>
          <w:rFonts w:ascii="Arial" w:hAnsi="Arial" w:cs="Arial"/>
          <w:sz w:val="22"/>
          <w:szCs w:val="22"/>
        </w:rPr>
        <w:t xml:space="preserve"> consisten en </w:t>
      </w:r>
      <w:r w:rsidR="00F760A4">
        <w:rPr>
          <w:rFonts w:ascii="Arial" w:hAnsi="Arial" w:cs="Arial"/>
          <w:sz w:val="22"/>
          <w:szCs w:val="22"/>
        </w:rPr>
        <w:t>el cargo variable</w:t>
      </w:r>
      <w:r w:rsidR="00F760A4" w:rsidRPr="00135D02">
        <w:rPr>
          <w:rFonts w:ascii="Arial" w:hAnsi="Arial" w:cs="Arial"/>
          <w:sz w:val="22"/>
          <w:szCs w:val="22"/>
        </w:rPr>
        <w:t xml:space="preserve"> US$</w:t>
      </w:r>
      <w:r w:rsidR="00F760A4">
        <w:rPr>
          <w:rFonts w:ascii="Arial" w:hAnsi="Arial" w:cs="Arial"/>
          <w:sz w:val="22"/>
          <w:szCs w:val="22"/>
        </w:rPr>
        <w:t>22</w:t>
      </w:r>
      <w:r w:rsidR="005B00FE">
        <w:rPr>
          <w:rFonts w:ascii="Arial" w:hAnsi="Arial" w:cs="Arial"/>
          <w:sz w:val="22"/>
          <w:szCs w:val="22"/>
        </w:rPr>
        <w:t>6</w:t>
      </w:r>
      <w:r w:rsidR="00F760A4" w:rsidRPr="00135D02">
        <w:rPr>
          <w:rFonts w:ascii="Arial" w:hAnsi="Arial" w:cs="Arial"/>
          <w:sz w:val="22"/>
          <w:szCs w:val="22"/>
        </w:rPr>
        <w:t xml:space="preserve"> millones (</w:t>
      </w:r>
      <w:r w:rsidR="00F760A4">
        <w:rPr>
          <w:rFonts w:ascii="Arial" w:hAnsi="Arial" w:cs="Arial"/>
          <w:sz w:val="22"/>
          <w:szCs w:val="22"/>
        </w:rPr>
        <w:t>6</w:t>
      </w:r>
      <w:r w:rsidR="005B00FE">
        <w:rPr>
          <w:rFonts w:ascii="Arial" w:hAnsi="Arial" w:cs="Arial"/>
          <w:sz w:val="22"/>
          <w:szCs w:val="22"/>
        </w:rPr>
        <w:t>1</w:t>
      </w:r>
      <w:r w:rsidR="00F760A4" w:rsidRPr="00135D02">
        <w:rPr>
          <w:rFonts w:ascii="Arial" w:hAnsi="Arial" w:cs="Arial"/>
          <w:sz w:val="22"/>
          <w:szCs w:val="22"/>
        </w:rPr>
        <w:t xml:space="preserve">%), </w:t>
      </w:r>
      <w:r w:rsidR="00F760A4">
        <w:rPr>
          <w:rFonts w:ascii="Arial" w:hAnsi="Arial" w:cs="Arial"/>
          <w:sz w:val="22"/>
          <w:szCs w:val="22"/>
        </w:rPr>
        <w:t xml:space="preserve">y el cargo fijo </w:t>
      </w:r>
      <w:r w:rsidR="00F760A4" w:rsidRPr="00135D02">
        <w:rPr>
          <w:rFonts w:ascii="Arial" w:hAnsi="Arial" w:cs="Arial"/>
          <w:sz w:val="22"/>
          <w:szCs w:val="22"/>
        </w:rPr>
        <w:t>US$</w:t>
      </w:r>
      <w:r w:rsidR="00F760A4">
        <w:rPr>
          <w:rFonts w:ascii="Arial" w:hAnsi="Arial" w:cs="Arial"/>
          <w:sz w:val="22"/>
          <w:szCs w:val="22"/>
        </w:rPr>
        <w:t>1</w:t>
      </w:r>
      <w:r w:rsidR="007D1FA2">
        <w:rPr>
          <w:rFonts w:ascii="Arial" w:hAnsi="Arial" w:cs="Arial"/>
          <w:sz w:val="22"/>
          <w:szCs w:val="22"/>
        </w:rPr>
        <w:t>43</w:t>
      </w:r>
      <w:r w:rsidR="00F760A4" w:rsidRPr="00135D02">
        <w:rPr>
          <w:rFonts w:ascii="Arial" w:hAnsi="Arial" w:cs="Arial"/>
          <w:sz w:val="22"/>
          <w:szCs w:val="22"/>
        </w:rPr>
        <w:t xml:space="preserve"> millones (</w:t>
      </w:r>
      <w:r w:rsidR="00F760A4">
        <w:rPr>
          <w:rFonts w:ascii="Arial" w:hAnsi="Arial" w:cs="Arial"/>
          <w:sz w:val="22"/>
          <w:szCs w:val="22"/>
        </w:rPr>
        <w:t>3</w:t>
      </w:r>
      <w:r w:rsidR="005B00FE">
        <w:rPr>
          <w:rFonts w:ascii="Arial" w:hAnsi="Arial" w:cs="Arial"/>
          <w:sz w:val="22"/>
          <w:szCs w:val="22"/>
        </w:rPr>
        <w:t>9</w:t>
      </w:r>
      <w:r w:rsidR="00F760A4" w:rsidRPr="00135D02">
        <w:rPr>
          <w:rFonts w:ascii="Arial" w:hAnsi="Arial" w:cs="Arial"/>
          <w:sz w:val="22"/>
          <w:szCs w:val="22"/>
        </w:rPr>
        <w:t>%)</w:t>
      </w:r>
      <w:r w:rsidRPr="00135D02">
        <w:rPr>
          <w:rFonts w:ascii="Arial" w:hAnsi="Arial" w:cs="Arial"/>
          <w:sz w:val="22"/>
          <w:szCs w:val="22"/>
        </w:rPr>
        <w:t xml:space="preserve">. </w:t>
      </w:r>
    </w:p>
    <w:p w14:paraId="4F21DB27" w14:textId="78D54598" w:rsidR="003B185F" w:rsidRPr="00135D02" w:rsidRDefault="00937850" w:rsidP="003B185F">
      <w:pPr>
        <w:pStyle w:val="subpar"/>
        <w:numPr>
          <w:ilvl w:val="2"/>
          <w:numId w:val="5"/>
        </w:numPr>
        <w:tabs>
          <w:tab w:val="clear" w:pos="2592"/>
          <w:tab w:val="num" w:pos="2160"/>
        </w:tabs>
        <w:ind w:left="990" w:hanging="270"/>
        <w:rPr>
          <w:rFonts w:ascii="Arial" w:hAnsi="Arial" w:cs="Arial"/>
          <w:i/>
          <w:sz w:val="22"/>
        </w:rPr>
      </w:pPr>
      <w:r w:rsidRPr="00135D02">
        <w:rPr>
          <w:rFonts w:ascii="Arial" w:hAnsi="Arial" w:cs="Arial"/>
          <w:sz w:val="22"/>
          <w:lang w:val="es-ES"/>
        </w:rPr>
        <w:t>E</w:t>
      </w:r>
      <w:r w:rsidR="003B185F" w:rsidRPr="00135D02">
        <w:rPr>
          <w:rFonts w:ascii="Arial" w:hAnsi="Arial" w:cs="Arial"/>
          <w:sz w:val="22"/>
          <w:lang w:val="es-ES"/>
        </w:rPr>
        <w:t xml:space="preserve">l número de </w:t>
      </w:r>
      <w:r w:rsidR="003B185F" w:rsidRPr="00135D02">
        <w:rPr>
          <w:rFonts w:ascii="Arial" w:hAnsi="Arial" w:cs="Arial"/>
          <w:sz w:val="22"/>
        </w:rPr>
        <w:t xml:space="preserve">conexión de agua </w:t>
      </w:r>
      <w:r w:rsidRPr="00135D02">
        <w:rPr>
          <w:rFonts w:ascii="Arial" w:hAnsi="Arial" w:cs="Arial"/>
          <w:sz w:val="22"/>
        </w:rPr>
        <w:t xml:space="preserve">y </w:t>
      </w:r>
      <w:r w:rsidR="003B185F" w:rsidRPr="00135D02">
        <w:rPr>
          <w:rFonts w:ascii="Arial" w:hAnsi="Arial" w:cs="Arial"/>
          <w:sz w:val="22"/>
        </w:rPr>
        <w:t>de alcantarillado se incrementa</w:t>
      </w:r>
      <w:r w:rsidRPr="00135D02">
        <w:rPr>
          <w:rFonts w:ascii="Arial" w:hAnsi="Arial" w:cs="Arial"/>
          <w:sz w:val="22"/>
        </w:rPr>
        <w:t xml:space="preserve"> respectivamente</w:t>
      </w:r>
      <w:r w:rsidR="003B185F" w:rsidRPr="00135D02">
        <w:rPr>
          <w:rFonts w:ascii="Arial" w:hAnsi="Arial" w:cs="Arial"/>
          <w:sz w:val="22"/>
        </w:rPr>
        <w:t>. En el caso de agua</w:t>
      </w:r>
      <w:r w:rsidR="00604295">
        <w:rPr>
          <w:rFonts w:ascii="Arial" w:hAnsi="Arial" w:cs="Arial"/>
          <w:sz w:val="22"/>
        </w:rPr>
        <w:t xml:space="preserve"> llegaría</w:t>
      </w:r>
      <w:r w:rsidRPr="00135D02">
        <w:rPr>
          <w:rFonts w:ascii="Arial" w:hAnsi="Arial" w:cs="Arial"/>
          <w:sz w:val="22"/>
        </w:rPr>
        <w:t xml:space="preserve"> a</w:t>
      </w:r>
      <w:r w:rsidR="0007627C">
        <w:rPr>
          <w:rFonts w:ascii="Arial" w:hAnsi="Arial" w:cs="Arial"/>
          <w:sz w:val="22"/>
        </w:rPr>
        <w:t xml:space="preserve"> 1.</w:t>
      </w:r>
      <w:r w:rsidR="00FD1926">
        <w:rPr>
          <w:rFonts w:ascii="Arial" w:hAnsi="Arial" w:cs="Arial"/>
          <w:sz w:val="22"/>
        </w:rPr>
        <w:t>3</w:t>
      </w:r>
      <w:r w:rsidRPr="00135D02">
        <w:rPr>
          <w:rFonts w:ascii="Arial" w:hAnsi="Arial" w:cs="Arial"/>
          <w:sz w:val="22"/>
        </w:rPr>
        <w:t xml:space="preserve"> mil</w:t>
      </w:r>
      <w:r w:rsidR="0007627C">
        <w:rPr>
          <w:rFonts w:ascii="Arial" w:hAnsi="Arial" w:cs="Arial"/>
          <w:sz w:val="22"/>
        </w:rPr>
        <w:t>lones</w:t>
      </w:r>
      <w:r w:rsidRPr="00135D02">
        <w:rPr>
          <w:rFonts w:ascii="Arial" w:hAnsi="Arial" w:cs="Arial"/>
          <w:sz w:val="22"/>
        </w:rPr>
        <w:t xml:space="preserve"> (202</w:t>
      </w:r>
      <w:r w:rsidR="0007627C">
        <w:rPr>
          <w:rFonts w:ascii="Arial" w:hAnsi="Arial" w:cs="Arial"/>
          <w:sz w:val="22"/>
        </w:rPr>
        <w:t>2</w:t>
      </w:r>
      <w:r w:rsidRPr="00135D02">
        <w:rPr>
          <w:rFonts w:ascii="Arial" w:hAnsi="Arial" w:cs="Arial"/>
          <w:sz w:val="22"/>
        </w:rPr>
        <w:t>, cobertura de 9</w:t>
      </w:r>
      <w:r w:rsidR="00554A6C">
        <w:rPr>
          <w:rFonts w:ascii="Arial" w:hAnsi="Arial" w:cs="Arial"/>
          <w:sz w:val="22"/>
        </w:rPr>
        <w:t>8</w:t>
      </w:r>
      <w:r w:rsidRPr="00135D02">
        <w:rPr>
          <w:rFonts w:ascii="Arial" w:hAnsi="Arial" w:cs="Arial"/>
          <w:sz w:val="22"/>
        </w:rPr>
        <w:t>%)</w:t>
      </w:r>
      <w:r w:rsidR="003B185F" w:rsidRPr="00135D02">
        <w:rPr>
          <w:rFonts w:ascii="Arial" w:hAnsi="Arial" w:cs="Arial"/>
          <w:sz w:val="22"/>
        </w:rPr>
        <w:t>,</w:t>
      </w:r>
      <w:r w:rsidRPr="00135D02">
        <w:rPr>
          <w:rFonts w:ascii="Arial" w:hAnsi="Arial" w:cs="Arial"/>
          <w:sz w:val="22"/>
        </w:rPr>
        <w:t xml:space="preserve"> </w:t>
      </w:r>
      <w:r w:rsidR="003B185F" w:rsidRPr="00135D02">
        <w:rPr>
          <w:rFonts w:ascii="Arial" w:hAnsi="Arial" w:cs="Arial"/>
          <w:sz w:val="22"/>
        </w:rPr>
        <w:t xml:space="preserve">y en el caso de alcantarillado </w:t>
      </w:r>
      <w:r w:rsidRPr="00135D02">
        <w:rPr>
          <w:rFonts w:ascii="Arial" w:hAnsi="Arial" w:cs="Arial"/>
          <w:sz w:val="22"/>
        </w:rPr>
        <w:t xml:space="preserve">a </w:t>
      </w:r>
      <w:r w:rsidR="00235511">
        <w:rPr>
          <w:rFonts w:ascii="Arial" w:hAnsi="Arial" w:cs="Arial"/>
          <w:sz w:val="22"/>
        </w:rPr>
        <w:t>394</w:t>
      </w:r>
      <w:r w:rsidRPr="00135D02">
        <w:rPr>
          <w:rFonts w:ascii="Arial" w:hAnsi="Arial" w:cs="Arial"/>
          <w:sz w:val="22"/>
        </w:rPr>
        <w:t xml:space="preserve"> mil (202</w:t>
      </w:r>
      <w:r w:rsidR="0069623C">
        <w:rPr>
          <w:rFonts w:ascii="Arial" w:hAnsi="Arial" w:cs="Arial"/>
          <w:sz w:val="22"/>
        </w:rPr>
        <w:t>2</w:t>
      </w:r>
      <w:r w:rsidRPr="00135D02">
        <w:rPr>
          <w:rFonts w:ascii="Arial" w:hAnsi="Arial" w:cs="Arial"/>
          <w:sz w:val="22"/>
        </w:rPr>
        <w:t xml:space="preserve">, </w:t>
      </w:r>
      <w:r w:rsidR="00235511">
        <w:rPr>
          <w:rFonts w:ascii="Arial" w:hAnsi="Arial" w:cs="Arial"/>
          <w:sz w:val="22"/>
        </w:rPr>
        <w:t>49</w:t>
      </w:r>
      <w:r w:rsidRPr="00135D02">
        <w:rPr>
          <w:rFonts w:ascii="Arial" w:hAnsi="Arial" w:cs="Arial"/>
          <w:sz w:val="22"/>
        </w:rPr>
        <w:t>%)</w:t>
      </w:r>
      <w:r w:rsidR="003B185F" w:rsidRPr="00135D02">
        <w:rPr>
          <w:rFonts w:ascii="Arial" w:hAnsi="Arial" w:cs="Arial"/>
          <w:sz w:val="22"/>
        </w:rPr>
        <w:t xml:space="preserve">. </w:t>
      </w:r>
    </w:p>
    <w:p w14:paraId="60E1559C" w14:textId="7A00A936" w:rsidR="003B185F" w:rsidRPr="00455FE9" w:rsidRDefault="00937850" w:rsidP="00401810">
      <w:pPr>
        <w:pStyle w:val="subpar"/>
        <w:numPr>
          <w:ilvl w:val="2"/>
          <w:numId w:val="5"/>
        </w:numPr>
        <w:tabs>
          <w:tab w:val="clear" w:pos="2592"/>
          <w:tab w:val="num" w:pos="2160"/>
        </w:tabs>
        <w:ind w:left="990" w:hanging="270"/>
        <w:rPr>
          <w:rFonts w:ascii="Arial" w:hAnsi="Arial" w:cs="Arial"/>
          <w:i/>
          <w:sz w:val="22"/>
        </w:rPr>
      </w:pPr>
      <w:r w:rsidRPr="00455FE9">
        <w:rPr>
          <w:rFonts w:ascii="Arial" w:hAnsi="Arial" w:cs="Arial"/>
          <w:sz w:val="22"/>
        </w:rPr>
        <w:t>Se espera que e</w:t>
      </w:r>
      <w:r w:rsidR="003B185F" w:rsidRPr="00455FE9">
        <w:rPr>
          <w:rFonts w:ascii="Arial" w:hAnsi="Arial" w:cs="Arial"/>
          <w:sz w:val="22"/>
        </w:rPr>
        <w:t>l volumen del agua producida</w:t>
      </w:r>
      <w:r w:rsidR="003A3C25" w:rsidRPr="00455FE9">
        <w:rPr>
          <w:rFonts w:ascii="Arial" w:hAnsi="Arial" w:cs="Arial"/>
          <w:sz w:val="22"/>
        </w:rPr>
        <w:t xml:space="preserve">, gracias a </w:t>
      </w:r>
      <w:r w:rsidR="00F7430C" w:rsidRPr="00455FE9">
        <w:rPr>
          <w:rFonts w:ascii="Arial" w:hAnsi="Arial" w:cs="Arial"/>
          <w:sz w:val="22"/>
        </w:rPr>
        <w:t xml:space="preserve">eficiencia mayor </w:t>
      </w:r>
      <w:r w:rsidR="00874884" w:rsidRPr="00455FE9">
        <w:rPr>
          <w:rFonts w:ascii="Arial" w:hAnsi="Arial" w:cs="Arial"/>
          <w:sz w:val="22"/>
        </w:rPr>
        <w:t>en la prestación</w:t>
      </w:r>
      <w:r w:rsidR="00E6538A" w:rsidRPr="00455FE9">
        <w:rPr>
          <w:rFonts w:ascii="Arial" w:hAnsi="Arial" w:cs="Arial"/>
          <w:sz w:val="22"/>
        </w:rPr>
        <w:t xml:space="preserve"> del servicio</w:t>
      </w:r>
      <w:r w:rsidR="003A3C25" w:rsidRPr="00455FE9">
        <w:rPr>
          <w:rFonts w:ascii="Arial" w:hAnsi="Arial" w:cs="Arial"/>
          <w:sz w:val="22"/>
        </w:rPr>
        <w:t>,</w:t>
      </w:r>
      <w:r w:rsidR="003B185F" w:rsidRPr="00455FE9">
        <w:rPr>
          <w:rFonts w:ascii="Arial" w:hAnsi="Arial" w:cs="Arial"/>
          <w:sz w:val="22"/>
        </w:rPr>
        <w:t xml:space="preserve"> </w:t>
      </w:r>
      <w:r w:rsidR="003A3C25" w:rsidRPr="00455FE9">
        <w:rPr>
          <w:rFonts w:ascii="Arial" w:hAnsi="Arial" w:cs="Arial"/>
          <w:sz w:val="22"/>
        </w:rPr>
        <w:t xml:space="preserve">se baja marginalmente </w:t>
      </w:r>
      <w:r w:rsidRPr="00455FE9">
        <w:rPr>
          <w:rFonts w:ascii="Arial" w:hAnsi="Arial" w:cs="Arial"/>
          <w:sz w:val="22"/>
        </w:rPr>
        <w:t>a</w:t>
      </w:r>
      <w:r w:rsidR="00E30BB0" w:rsidRPr="00455FE9">
        <w:rPr>
          <w:rFonts w:ascii="Arial" w:hAnsi="Arial" w:cs="Arial"/>
          <w:sz w:val="22"/>
        </w:rPr>
        <w:t xml:space="preserve"> unos </w:t>
      </w:r>
      <w:r w:rsidR="00020354" w:rsidRPr="00455FE9">
        <w:rPr>
          <w:rFonts w:ascii="Arial" w:hAnsi="Arial" w:cs="Arial"/>
          <w:sz w:val="22"/>
        </w:rPr>
        <w:t>3</w:t>
      </w:r>
      <w:r w:rsidR="00DE5A70" w:rsidRPr="00455FE9">
        <w:rPr>
          <w:rFonts w:ascii="Arial" w:hAnsi="Arial" w:cs="Arial"/>
          <w:sz w:val="22"/>
        </w:rPr>
        <w:t>38</w:t>
      </w:r>
      <w:r w:rsidR="003B185F" w:rsidRPr="00455FE9">
        <w:rPr>
          <w:rFonts w:ascii="Arial" w:hAnsi="Arial" w:cs="Arial"/>
          <w:sz w:val="22"/>
        </w:rPr>
        <w:t xml:space="preserve"> millones de m</w:t>
      </w:r>
      <w:r w:rsidR="003B185F" w:rsidRPr="00455FE9">
        <w:rPr>
          <w:rFonts w:ascii="Arial" w:hAnsi="Arial" w:cs="Arial"/>
          <w:sz w:val="22"/>
          <w:vertAlign w:val="superscript"/>
        </w:rPr>
        <w:t>3</w:t>
      </w:r>
      <w:r w:rsidR="003B185F" w:rsidRPr="00455FE9">
        <w:rPr>
          <w:rFonts w:ascii="Arial" w:hAnsi="Arial" w:cs="Arial"/>
          <w:sz w:val="22"/>
        </w:rPr>
        <w:t xml:space="preserve"> en el 20</w:t>
      </w:r>
      <w:r w:rsidR="00E30BB0" w:rsidRPr="00455FE9">
        <w:rPr>
          <w:rFonts w:ascii="Arial" w:hAnsi="Arial" w:cs="Arial"/>
          <w:sz w:val="22"/>
        </w:rPr>
        <w:t>2</w:t>
      </w:r>
      <w:r w:rsidR="003A3C25" w:rsidRPr="00455FE9">
        <w:rPr>
          <w:rFonts w:ascii="Arial" w:hAnsi="Arial" w:cs="Arial"/>
          <w:sz w:val="22"/>
        </w:rPr>
        <w:t>2</w:t>
      </w:r>
      <w:r w:rsidR="003B185F" w:rsidRPr="00455FE9">
        <w:rPr>
          <w:rFonts w:ascii="Arial" w:hAnsi="Arial" w:cs="Arial"/>
          <w:sz w:val="22"/>
        </w:rPr>
        <w:t>, del cual se factur</w:t>
      </w:r>
      <w:r w:rsidR="00E30BB0" w:rsidRPr="00455FE9">
        <w:rPr>
          <w:rFonts w:ascii="Arial" w:hAnsi="Arial" w:cs="Arial"/>
          <w:sz w:val="22"/>
        </w:rPr>
        <w:t>a</w:t>
      </w:r>
      <w:r w:rsidR="003B185F" w:rsidRPr="00455FE9">
        <w:rPr>
          <w:rFonts w:ascii="Arial" w:hAnsi="Arial" w:cs="Arial"/>
          <w:sz w:val="22"/>
        </w:rPr>
        <w:t xml:space="preserve"> aproximadamente </w:t>
      </w:r>
      <w:r w:rsidR="003519F4" w:rsidRPr="00455FE9">
        <w:rPr>
          <w:rFonts w:ascii="Arial" w:hAnsi="Arial" w:cs="Arial"/>
          <w:sz w:val="22"/>
        </w:rPr>
        <w:t>1</w:t>
      </w:r>
      <w:r w:rsidR="00020354" w:rsidRPr="00455FE9">
        <w:rPr>
          <w:rFonts w:ascii="Arial" w:hAnsi="Arial" w:cs="Arial"/>
          <w:sz w:val="22"/>
        </w:rPr>
        <w:t>70</w:t>
      </w:r>
      <w:r w:rsidR="003B185F" w:rsidRPr="00455FE9">
        <w:rPr>
          <w:rFonts w:ascii="Arial" w:hAnsi="Arial" w:cs="Arial"/>
          <w:sz w:val="22"/>
        </w:rPr>
        <w:t xml:space="preserve"> millones de m</w:t>
      </w:r>
      <w:r w:rsidR="003B185F" w:rsidRPr="00455FE9">
        <w:rPr>
          <w:rFonts w:ascii="Arial" w:hAnsi="Arial" w:cs="Arial"/>
          <w:sz w:val="22"/>
          <w:vertAlign w:val="superscript"/>
        </w:rPr>
        <w:t>3</w:t>
      </w:r>
      <w:r w:rsidR="003B185F" w:rsidRPr="00455FE9">
        <w:rPr>
          <w:rFonts w:ascii="Arial" w:hAnsi="Arial" w:cs="Arial"/>
          <w:sz w:val="22"/>
        </w:rPr>
        <w:t xml:space="preserve"> de agua</w:t>
      </w:r>
      <w:r w:rsidR="00E30BB0" w:rsidRPr="00455FE9">
        <w:rPr>
          <w:rFonts w:ascii="Arial" w:hAnsi="Arial" w:cs="Arial"/>
          <w:sz w:val="22"/>
        </w:rPr>
        <w:t>.</w:t>
      </w:r>
      <w:r w:rsidR="003B185F" w:rsidRPr="00455FE9">
        <w:rPr>
          <w:rFonts w:ascii="Arial" w:hAnsi="Arial" w:cs="Arial"/>
          <w:sz w:val="22"/>
        </w:rPr>
        <w:t xml:space="preserve"> </w:t>
      </w:r>
      <w:r w:rsidR="00E30BB0" w:rsidRPr="00455FE9">
        <w:rPr>
          <w:rFonts w:ascii="Arial" w:hAnsi="Arial" w:cs="Arial"/>
          <w:sz w:val="22"/>
        </w:rPr>
        <w:t>El índice de agua no contabilizada de la empresa ligeramente disminuye al 5</w:t>
      </w:r>
      <w:r w:rsidR="00455FE9" w:rsidRPr="00455FE9">
        <w:rPr>
          <w:rFonts w:ascii="Arial" w:hAnsi="Arial" w:cs="Arial"/>
          <w:sz w:val="22"/>
        </w:rPr>
        <w:t>0</w:t>
      </w:r>
      <w:r w:rsidR="00E30BB0" w:rsidRPr="00455FE9">
        <w:rPr>
          <w:rFonts w:ascii="Arial" w:hAnsi="Arial" w:cs="Arial"/>
          <w:sz w:val="22"/>
        </w:rPr>
        <w:t>%</w:t>
      </w:r>
      <w:r w:rsidR="005A244C" w:rsidRPr="00455FE9">
        <w:rPr>
          <w:rFonts w:ascii="Arial" w:hAnsi="Arial" w:cs="Arial"/>
          <w:sz w:val="22"/>
        </w:rPr>
        <w:t>.</w:t>
      </w:r>
    </w:p>
    <w:p w14:paraId="3F9E37D6" w14:textId="20C590AC" w:rsidR="003B185F" w:rsidRPr="0005312E" w:rsidRDefault="00E30BB0" w:rsidP="003B185F">
      <w:pPr>
        <w:pStyle w:val="subpar"/>
        <w:numPr>
          <w:ilvl w:val="2"/>
          <w:numId w:val="5"/>
        </w:numPr>
        <w:tabs>
          <w:tab w:val="clear" w:pos="2592"/>
          <w:tab w:val="num" w:pos="2160"/>
        </w:tabs>
        <w:ind w:left="990" w:hanging="270"/>
        <w:rPr>
          <w:rFonts w:ascii="Arial" w:hAnsi="Arial" w:cs="Arial"/>
          <w:i/>
          <w:sz w:val="22"/>
        </w:rPr>
      </w:pPr>
      <w:r w:rsidRPr="00135D02">
        <w:rPr>
          <w:rFonts w:ascii="Arial" w:hAnsi="Arial" w:cs="Arial"/>
          <w:sz w:val="22"/>
        </w:rPr>
        <w:t xml:space="preserve">Se </w:t>
      </w:r>
      <w:r w:rsidRPr="005F2952">
        <w:rPr>
          <w:rFonts w:ascii="Arial" w:hAnsi="Arial" w:cs="Arial"/>
          <w:sz w:val="22"/>
        </w:rPr>
        <w:t xml:space="preserve">mantiene, en términos reales, el nivel de tarifa al que se observó </w:t>
      </w:r>
      <w:r w:rsidR="00D21451" w:rsidRPr="005F2952">
        <w:rPr>
          <w:rFonts w:ascii="Arial" w:hAnsi="Arial" w:cs="Arial"/>
          <w:sz w:val="22"/>
        </w:rPr>
        <w:t>en el 2017</w:t>
      </w:r>
      <w:r w:rsidR="005F56BD" w:rsidRPr="005F2952">
        <w:rPr>
          <w:rFonts w:ascii="Arial" w:hAnsi="Arial" w:cs="Arial"/>
          <w:sz w:val="22"/>
        </w:rPr>
        <w:t>:</w:t>
      </w:r>
      <w:r w:rsidRPr="005F2952">
        <w:rPr>
          <w:rFonts w:ascii="Arial" w:hAnsi="Arial" w:cs="Arial"/>
          <w:sz w:val="22"/>
        </w:rPr>
        <w:t xml:space="preserve"> </w:t>
      </w:r>
      <w:r w:rsidR="005F56BD" w:rsidRPr="005F2952">
        <w:rPr>
          <w:rFonts w:ascii="Arial" w:hAnsi="Arial" w:cs="Arial"/>
          <w:sz w:val="22"/>
        </w:rPr>
        <w:t xml:space="preserve">cargo fijo de agua </w:t>
      </w:r>
      <w:r w:rsidR="00EA1F26" w:rsidRPr="005F2952">
        <w:rPr>
          <w:rFonts w:ascii="Arial" w:hAnsi="Arial" w:cs="Arial"/>
          <w:sz w:val="22"/>
        </w:rPr>
        <w:t>US$</w:t>
      </w:r>
      <w:r w:rsidR="00455FE9" w:rsidRPr="005F2952">
        <w:rPr>
          <w:rFonts w:ascii="Arial" w:hAnsi="Arial" w:cs="Arial"/>
          <w:sz w:val="22"/>
        </w:rPr>
        <w:t>9</w:t>
      </w:r>
      <w:r w:rsidR="00EA1F26" w:rsidRPr="005F2952">
        <w:rPr>
          <w:rFonts w:ascii="Arial" w:hAnsi="Arial" w:cs="Arial"/>
          <w:sz w:val="22"/>
        </w:rPr>
        <w:t>,</w:t>
      </w:r>
      <w:r w:rsidR="00455FE9" w:rsidRPr="005F2952">
        <w:rPr>
          <w:rFonts w:ascii="Arial" w:hAnsi="Arial" w:cs="Arial"/>
          <w:sz w:val="22"/>
        </w:rPr>
        <w:t>9</w:t>
      </w:r>
      <w:r w:rsidR="00EA1F26" w:rsidRPr="005F2952">
        <w:rPr>
          <w:rFonts w:ascii="Arial" w:hAnsi="Arial" w:cs="Arial"/>
          <w:sz w:val="22"/>
        </w:rPr>
        <w:t xml:space="preserve">/mes/cuenta; cargo variable </w:t>
      </w:r>
      <w:r w:rsidR="00B8205C" w:rsidRPr="005F2952">
        <w:rPr>
          <w:rFonts w:ascii="Arial" w:hAnsi="Arial" w:cs="Arial"/>
          <w:sz w:val="22"/>
        </w:rPr>
        <w:t>de agua US$1,</w:t>
      </w:r>
      <w:r w:rsidR="00455FE9" w:rsidRPr="005F2952">
        <w:rPr>
          <w:rFonts w:ascii="Arial" w:hAnsi="Arial" w:cs="Arial"/>
          <w:sz w:val="22"/>
        </w:rPr>
        <w:t>35</w:t>
      </w:r>
      <w:r w:rsidR="00B8205C" w:rsidRPr="005F2952">
        <w:rPr>
          <w:rFonts w:ascii="Arial" w:hAnsi="Arial" w:cs="Arial"/>
          <w:sz w:val="22"/>
        </w:rPr>
        <w:t>/m</w:t>
      </w:r>
      <w:r w:rsidR="00B8205C" w:rsidRPr="005F2952">
        <w:rPr>
          <w:rFonts w:ascii="Arial" w:hAnsi="Arial" w:cs="Arial"/>
          <w:sz w:val="22"/>
          <w:vertAlign w:val="superscript"/>
        </w:rPr>
        <w:t>3</w:t>
      </w:r>
      <w:r w:rsidR="00B8205C" w:rsidRPr="005F2952">
        <w:rPr>
          <w:rFonts w:ascii="Arial" w:hAnsi="Arial" w:cs="Arial"/>
          <w:sz w:val="22"/>
        </w:rPr>
        <w:t xml:space="preserve">; y </w:t>
      </w:r>
      <w:r w:rsidR="008E022B" w:rsidRPr="005F2952">
        <w:rPr>
          <w:rFonts w:ascii="Arial" w:hAnsi="Arial" w:cs="Arial"/>
          <w:sz w:val="22"/>
        </w:rPr>
        <w:t>alcantarillado US$1,91/m</w:t>
      </w:r>
      <w:r w:rsidR="008E022B" w:rsidRPr="005F2952">
        <w:rPr>
          <w:rFonts w:ascii="Arial" w:hAnsi="Arial" w:cs="Arial"/>
          <w:sz w:val="22"/>
          <w:vertAlign w:val="superscript"/>
        </w:rPr>
        <w:t>3</w:t>
      </w:r>
      <w:r w:rsidR="008E022B" w:rsidRPr="005F2952">
        <w:rPr>
          <w:rFonts w:ascii="Arial" w:hAnsi="Arial" w:cs="Arial"/>
          <w:sz w:val="22"/>
        </w:rPr>
        <w:t>.</w:t>
      </w:r>
    </w:p>
    <w:p w14:paraId="74A9913B" w14:textId="1E25DAED" w:rsidR="003B185F" w:rsidRPr="00114175" w:rsidRDefault="003B185F" w:rsidP="003B185F">
      <w:pPr>
        <w:pStyle w:val="Paragraph"/>
        <w:tabs>
          <w:tab w:val="num" w:pos="720"/>
        </w:tabs>
        <w:ind w:left="720" w:hanging="720"/>
        <w:rPr>
          <w:rFonts w:ascii="Arial" w:hAnsi="Arial" w:cs="Arial"/>
          <w:i/>
          <w:sz w:val="22"/>
          <w:szCs w:val="22"/>
        </w:rPr>
      </w:pPr>
      <w:r w:rsidRPr="00135D02">
        <w:rPr>
          <w:rFonts w:ascii="Arial" w:hAnsi="Arial" w:cs="Arial"/>
          <w:i/>
          <w:sz w:val="22"/>
          <w:szCs w:val="22"/>
        </w:rPr>
        <w:t xml:space="preserve">Costos operativos. </w:t>
      </w:r>
      <w:r w:rsidRPr="00135D02">
        <w:rPr>
          <w:rFonts w:ascii="Arial" w:hAnsi="Arial" w:cs="Arial"/>
          <w:sz w:val="22"/>
          <w:szCs w:val="22"/>
        </w:rPr>
        <w:t>Los costos operativos</w:t>
      </w:r>
      <w:r w:rsidR="0019645F" w:rsidRPr="00135D02">
        <w:rPr>
          <w:rFonts w:ascii="Arial" w:hAnsi="Arial" w:cs="Arial"/>
          <w:sz w:val="22"/>
          <w:szCs w:val="22"/>
        </w:rPr>
        <w:t>, en el promedio de los primeros 5 años de la proyección, será del</w:t>
      </w:r>
      <w:r w:rsidRPr="00135D02">
        <w:rPr>
          <w:rFonts w:ascii="Arial" w:hAnsi="Arial" w:cs="Arial"/>
          <w:sz w:val="22"/>
          <w:szCs w:val="22"/>
        </w:rPr>
        <w:t xml:space="preserve"> US$</w:t>
      </w:r>
      <w:r w:rsidR="008E53AD">
        <w:rPr>
          <w:rFonts w:ascii="Arial" w:hAnsi="Arial" w:cs="Arial"/>
          <w:sz w:val="22"/>
          <w:szCs w:val="22"/>
        </w:rPr>
        <w:t>352</w:t>
      </w:r>
      <w:r w:rsidRPr="00135D02">
        <w:rPr>
          <w:rFonts w:ascii="Arial" w:hAnsi="Arial" w:cs="Arial"/>
          <w:sz w:val="22"/>
          <w:szCs w:val="22"/>
        </w:rPr>
        <w:t xml:space="preserve"> millones, </w:t>
      </w:r>
      <w:r w:rsidR="0019645F" w:rsidRPr="00135D02">
        <w:rPr>
          <w:rFonts w:ascii="Arial" w:hAnsi="Arial" w:cs="Arial"/>
          <w:sz w:val="22"/>
          <w:szCs w:val="22"/>
        </w:rPr>
        <w:t xml:space="preserve">lo cual es un incremento de </w:t>
      </w:r>
      <w:r w:rsidRPr="00135D02">
        <w:rPr>
          <w:rFonts w:ascii="Arial" w:hAnsi="Arial" w:cs="Arial"/>
          <w:sz w:val="22"/>
          <w:szCs w:val="22"/>
        </w:rPr>
        <w:t xml:space="preserve">un </w:t>
      </w:r>
      <w:r w:rsidR="002944BA">
        <w:rPr>
          <w:rFonts w:ascii="Arial" w:hAnsi="Arial" w:cs="Arial"/>
          <w:sz w:val="22"/>
          <w:szCs w:val="22"/>
        </w:rPr>
        <w:t>4</w:t>
      </w:r>
      <w:r w:rsidRPr="00135D02">
        <w:rPr>
          <w:rFonts w:ascii="Arial" w:hAnsi="Arial" w:cs="Arial"/>
          <w:sz w:val="22"/>
          <w:szCs w:val="22"/>
        </w:rPr>
        <w:t>%</w:t>
      </w:r>
      <w:r w:rsidR="0019645F" w:rsidRPr="00135D02">
        <w:rPr>
          <w:rFonts w:ascii="Arial" w:hAnsi="Arial" w:cs="Arial"/>
          <w:sz w:val="22"/>
          <w:szCs w:val="22"/>
        </w:rPr>
        <w:t>, comparado con el 201</w:t>
      </w:r>
      <w:r w:rsidR="002944BA">
        <w:rPr>
          <w:rFonts w:ascii="Arial" w:hAnsi="Arial" w:cs="Arial"/>
          <w:sz w:val="22"/>
          <w:szCs w:val="22"/>
        </w:rPr>
        <w:t>7</w:t>
      </w:r>
      <w:r w:rsidRPr="00135D02">
        <w:rPr>
          <w:rFonts w:ascii="Arial" w:hAnsi="Arial" w:cs="Arial"/>
          <w:sz w:val="22"/>
          <w:szCs w:val="22"/>
        </w:rPr>
        <w:t xml:space="preserve">. </w:t>
      </w:r>
      <w:r w:rsidR="0019645F" w:rsidRPr="00135D02">
        <w:rPr>
          <w:rFonts w:ascii="Arial" w:hAnsi="Arial" w:cs="Arial"/>
          <w:sz w:val="22"/>
          <w:szCs w:val="22"/>
        </w:rPr>
        <w:t>Los mismos se comprende de</w:t>
      </w:r>
      <w:r w:rsidRPr="00135D02">
        <w:rPr>
          <w:rFonts w:ascii="Arial" w:hAnsi="Arial" w:cs="Arial"/>
          <w:sz w:val="22"/>
          <w:szCs w:val="22"/>
        </w:rPr>
        <w:t xml:space="preserve">: </w:t>
      </w:r>
      <w:r w:rsidR="002944BA">
        <w:rPr>
          <w:rFonts w:ascii="Arial" w:hAnsi="Arial" w:cs="Arial"/>
          <w:sz w:val="22"/>
          <w:szCs w:val="22"/>
        </w:rPr>
        <w:t>Gastos de personal</w:t>
      </w:r>
      <w:r w:rsidR="002944BA" w:rsidRPr="00135D02">
        <w:rPr>
          <w:rFonts w:ascii="Arial" w:hAnsi="Arial" w:cs="Arial"/>
          <w:sz w:val="22"/>
          <w:szCs w:val="22"/>
        </w:rPr>
        <w:t xml:space="preserve"> </w:t>
      </w:r>
      <w:r w:rsidR="00460C35">
        <w:rPr>
          <w:rFonts w:ascii="Arial" w:hAnsi="Arial" w:cs="Arial"/>
          <w:sz w:val="22"/>
          <w:szCs w:val="22"/>
        </w:rPr>
        <w:t>US</w:t>
      </w:r>
      <w:r w:rsidR="00A5555C">
        <w:rPr>
          <w:rFonts w:ascii="Arial" w:hAnsi="Arial" w:cs="Arial"/>
          <w:sz w:val="22"/>
          <w:szCs w:val="22"/>
        </w:rPr>
        <w:t>$137 millones (</w:t>
      </w:r>
      <w:r w:rsidR="002944BA">
        <w:rPr>
          <w:rFonts w:ascii="Arial" w:hAnsi="Arial" w:cs="Arial"/>
          <w:sz w:val="22"/>
          <w:szCs w:val="22"/>
        </w:rPr>
        <w:t>39</w:t>
      </w:r>
      <w:r w:rsidR="002944BA" w:rsidRPr="00135D02">
        <w:rPr>
          <w:rFonts w:ascii="Arial" w:hAnsi="Arial" w:cs="Arial"/>
          <w:sz w:val="22"/>
          <w:szCs w:val="22"/>
        </w:rPr>
        <w:t>%</w:t>
      </w:r>
      <w:r w:rsidR="00A5555C">
        <w:rPr>
          <w:rFonts w:ascii="Arial" w:hAnsi="Arial" w:cs="Arial"/>
          <w:sz w:val="22"/>
          <w:szCs w:val="22"/>
        </w:rPr>
        <w:t>)</w:t>
      </w:r>
      <w:r w:rsidR="002944BA">
        <w:rPr>
          <w:rFonts w:ascii="Arial" w:hAnsi="Arial" w:cs="Arial"/>
          <w:sz w:val="22"/>
          <w:szCs w:val="22"/>
        </w:rPr>
        <w:t>; S</w:t>
      </w:r>
      <w:r w:rsidR="002944BA" w:rsidRPr="00135D02">
        <w:rPr>
          <w:rFonts w:ascii="Arial" w:hAnsi="Arial" w:cs="Arial"/>
          <w:sz w:val="22"/>
          <w:szCs w:val="22"/>
        </w:rPr>
        <w:t>ervicios tercerizados</w:t>
      </w:r>
      <w:r w:rsidR="00A5555C">
        <w:rPr>
          <w:rFonts w:ascii="Arial" w:hAnsi="Arial" w:cs="Arial"/>
          <w:sz w:val="22"/>
          <w:szCs w:val="22"/>
        </w:rPr>
        <w:t xml:space="preserve"> US$103 millones</w:t>
      </w:r>
      <w:r w:rsidR="002944BA" w:rsidRPr="00135D02">
        <w:rPr>
          <w:rFonts w:ascii="Arial" w:hAnsi="Arial" w:cs="Arial"/>
          <w:sz w:val="22"/>
          <w:szCs w:val="22"/>
        </w:rPr>
        <w:t xml:space="preserve"> </w:t>
      </w:r>
      <w:r w:rsidR="00A5555C">
        <w:rPr>
          <w:rFonts w:ascii="Arial" w:hAnsi="Arial" w:cs="Arial"/>
          <w:sz w:val="22"/>
          <w:szCs w:val="22"/>
        </w:rPr>
        <w:t>(</w:t>
      </w:r>
      <w:r w:rsidR="002944BA">
        <w:rPr>
          <w:rFonts w:ascii="Arial" w:hAnsi="Arial" w:cs="Arial"/>
          <w:sz w:val="22"/>
          <w:szCs w:val="22"/>
        </w:rPr>
        <w:t>2</w:t>
      </w:r>
      <w:r w:rsidR="00A5555C">
        <w:rPr>
          <w:rFonts w:ascii="Arial" w:hAnsi="Arial" w:cs="Arial"/>
          <w:sz w:val="22"/>
          <w:szCs w:val="22"/>
        </w:rPr>
        <w:t>9</w:t>
      </w:r>
      <w:r w:rsidR="002944BA" w:rsidRPr="00135D02">
        <w:rPr>
          <w:rFonts w:ascii="Arial" w:hAnsi="Arial" w:cs="Arial"/>
          <w:sz w:val="22"/>
          <w:szCs w:val="22"/>
        </w:rPr>
        <w:t>%</w:t>
      </w:r>
      <w:r w:rsidR="00A5555C">
        <w:rPr>
          <w:rFonts w:ascii="Arial" w:hAnsi="Arial" w:cs="Arial"/>
          <w:sz w:val="22"/>
          <w:szCs w:val="22"/>
        </w:rPr>
        <w:t>)</w:t>
      </w:r>
      <w:r w:rsidR="002944BA">
        <w:rPr>
          <w:rFonts w:ascii="Arial" w:hAnsi="Arial" w:cs="Arial"/>
          <w:sz w:val="22"/>
          <w:szCs w:val="22"/>
        </w:rPr>
        <w:t>; Energía y fluidos</w:t>
      </w:r>
      <w:r w:rsidR="00A5555C">
        <w:rPr>
          <w:rFonts w:ascii="Arial" w:hAnsi="Arial" w:cs="Arial"/>
          <w:sz w:val="22"/>
          <w:szCs w:val="22"/>
        </w:rPr>
        <w:t xml:space="preserve"> US$38 millones</w:t>
      </w:r>
      <w:r w:rsidR="002944BA" w:rsidRPr="00135D02">
        <w:rPr>
          <w:rFonts w:ascii="Arial" w:hAnsi="Arial" w:cs="Arial"/>
          <w:sz w:val="22"/>
          <w:szCs w:val="22"/>
        </w:rPr>
        <w:t xml:space="preserve"> </w:t>
      </w:r>
      <w:r w:rsidR="00A5555C">
        <w:rPr>
          <w:rFonts w:ascii="Arial" w:hAnsi="Arial" w:cs="Arial"/>
          <w:sz w:val="22"/>
          <w:szCs w:val="22"/>
        </w:rPr>
        <w:t>(</w:t>
      </w:r>
      <w:r w:rsidR="002944BA">
        <w:rPr>
          <w:rFonts w:ascii="Arial" w:hAnsi="Arial" w:cs="Arial"/>
          <w:sz w:val="22"/>
          <w:szCs w:val="22"/>
        </w:rPr>
        <w:t>11</w:t>
      </w:r>
      <w:r w:rsidR="002944BA" w:rsidRPr="00135D02">
        <w:rPr>
          <w:rFonts w:ascii="Arial" w:hAnsi="Arial" w:cs="Arial"/>
          <w:sz w:val="22"/>
          <w:szCs w:val="22"/>
        </w:rPr>
        <w:t>%</w:t>
      </w:r>
      <w:r w:rsidR="00A5555C">
        <w:rPr>
          <w:rFonts w:ascii="Arial" w:hAnsi="Arial" w:cs="Arial"/>
          <w:sz w:val="22"/>
          <w:szCs w:val="22"/>
        </w:rPr>
        <w:t>)</w:t>
      </w:r>
      <w:r w:rsidR="002944BA">
        <w:rPr>
          <w:rFonts w:ascii="Arial" w:hAnsi="Arial" w:cs="Arial"/>
          <w:sz w:val="22"/>
          <w:szCs w:val="22"/>
        </w:rPr>
        <w:t xml:space="preserve">; Materiales </w:t>
      </w:r>
      <w:r w:rsidR="006473AA">
        <w:rPr>
          <w:rFonts w:ascii="Arial" w:hAnsi="Arial" w:cs="Arial"/>
          <w:sz w:val="22"/>
          <w:szCs w:val="22"/>
        </w:rPr>
        <w:t>US$34 millones (</w:t>
      </w:r>
      <w:r w:rsidR="002944BA">
        <w:rPr>
          <w:rFonts w:ascii="Arial" w:hAnsi="Arial" w:cs="Arial"/>
          <w:sz w:val="22"/>
          <w:szCs w:val="22"/>
        </w:rPr>
        <w:t>10%</w:t>
      </w:r>
      <w:r w:rsidR="006473AA">
        <w:rPr>
          <w:rFonts w:ascii="Arial" w:hAnsi="Arial" w:cs="Arial"/>
          <w:sz w:val="22"/>
          <w:szCs w:val="22"/>
        </w:rPr>
        <w:t>)</w:t>
      </w:r>
      <w:r w:rsidR="002944BA">
        <w:rPr>
          <w:rFonts w:ascii="Arial" w:hAnsi="Arial" w:cs="Arial"/>
          <w:sz w:val="22"/>
          <w:szCs w:val="22"/>
        </w:rPr>
        <w:t>;</w:t>
      </w:r>
      <w:r w:rsidR="002944BA" w:rsidRPr="00135D02">
        <w:rPr>
          <w:rFonts w:ascii="Arial" w:hAnsi="Arial" w:cs="Arial"/>
          <w:sz w:val="22"/>
          <w:szCs w:val="22"/>
        </w:rPr>
        <w:t xml:space="preserve"> </w:t>
      </w:r>
      <w:r w:rsidR="002944BA">
        <w:rPr>
          <w:rFonts w:ascii="Arial" w:hAnsi="Arial" w:cs="Arial"/>
          <w:sz w:val="22"/>
          <w:szCs w:val="22"/>
        </w:rPr>
        <w:t>O</w:t>
      </w:r>
      <w:r w:rsidR="002944BA" w:rsidRPr="00135D02">
        <w:rPr>
          <w:rFonts w:ascii="Arial" w:hAnsi="Arial" w:cs="Arial"/>
          <w:sz w:val="22"/>
          <w:szCs w:val="22"/>
        </w:rPr>
        <w:t>tros</w:t>
      </w:r>
      <w:r w:rsidR="006473AA">
        <w:rPr>
          <w:rFonts w:ascii="Arial" w:hAnsi="Arial" w:cs="Arial"/>
          <w:sz w:val="22"/>
          <w:szCs w:val="22"/>
        </w:rPr>
        <w:t xml:space="preserve"> US$25 millones</w:t>
      </w:r>
      <w:r w:rsidR="002944BA" w:rsidRPr="00135D02">
        <w:rPr>
          <w:rFonts w:ascii="Arial" w:hAnsi="Arial" w:cs="Arial"/>
          <w:sz w:val="22"/>
          <w:szCs w:val="22"/>
        </w:rPr>
        <w:t xml:space="preserve"> </w:t>
      </w:r>
      <w:r w:rsidR="006473AA">
        <w:rPr>
          <w:rFonts w:ascii="Arial" w:hAnsi="Arial" w:cs="Arial"/>
          <w:sz w:val="22"/>
          <w:szCs w:val="22"/>
        </w:rPr>
        <w:t>(</w:t>
      </w:r>
      <w:r w:rsidR="002944BA" w:rsidRPr="00135D02">
        <w:rPr>
          <w:rFonts w:ascii="Arial" w:hAnsi="Arial" w:cs="Arial"/>
          <w:sz w:val="22"/>
          <w:szCs w:val="22"/>
        </w:rPr>
        <w:t>7%</w:t>
      </w:r>
      <w:r w:rsidR="006473AA">
        <w:rPr>
          <w:rFonts w:ascii="Arial" w:hAnsi="Arial" w:cs="Arial"/>
          <w:sz w:val="22"/>
          <w:szCs w:val="22"/>
        </w:rPr>
        <w:t>)</w:t>
      </w:r>
      <w:r w:rsidR="002944BA">
        <w:rPr>
          <w:rFonts w:ascii="Arial" w:hAnsi="Arial" w:cs="Arial"/>
          <w:sz w:val="22"/>
          <w:szCs w:val="22"/>
        </w:rPr>
        <w:t>; y Pérdida por deudores incobrables</w:t>
      </w:r>
      <w:r w:rsidR="006473AA">
        <w:rPr>
          <w:rFonts w:ascii="Arial" w:hAnsi="Arial" w:cs="Arial"/>
          <w:sz w:val="22"/>
          <w:szCs w:val="22"/>
        </w:rPr>
        <w:t xml:space="preserve"> US$</w:t>
      </w:r>
      <w:r w:rsidR="00DE5B06">
        <w:rPr>
          <w:rFonts w:ascii="Arial" w:hAnsi="Arial" w:cs="Arial"/>
          <w:sz w:val="22"/>
          <w:szCs w:val="22"/>
        </w:rPr>
        <w:t>16 millones</w:t>
      </w:r>
      <w:r w:rsidR="002944BA">
        <w:rPr>
          <w:rFonts w:ascii="Arial" w:hAnsi="Arial" w:cs="Arial"/>
          <w:sz w:val="22"/>
          <w:szCs w:val="22"/>
        </w:rPr>
        <w:t xml:space="preserve"> </w:t>
      </w:r>
      <w:r w:rsidR="00DE5B06">
        <w:rPr>
          <w:rFonts w:ascii="Arial" w:hAnsi="Arial" w:cs="Arial"/>
          <w:sz w:val="22"/>
          <w:szCs w:val="22"/>
        </w:rPr>
        <w:t>(</w:t>
      </w:r>
      <w:r w:rsidR="002944BA">
        <w:rPr>
          <w:rFonts w:ascii="Arial" w:hAnsi="Arial" w:cs="Arial"/>
          <w:sz w:val="22"/>
          <w:szCs w:val="22"/>
        </w:rPr>
        <w:t>5%</w:t>
      </w:r>
      <w:r w:rsidR="00DE5B06">
        <w:rPr>
          <w:rFonts w:ascii="Arial" w:hAnsi="Arial" w:cs="Arial"/>
          <w:sz w:val="22"/>
          <w:szCs w:val="22"/>
        </w:rPr>
        <w:t>)</w:t>
      </w:r>
      <w:r w:rsidR="002944BA" w:rsidRPr="00135D02">
        <w:rPr>
          <w:rFonts w:ascii="Arial" w:hAnsi="Arial" w:cs="Arial"/>
          <w:sz w:val="22"/>
          <w:szCs w:val="22"/>
        </w:rPr>
        <w:t>.</w:t>
      </w:r>
      <w:r w:rsidR="002944BA">
        <w:rPr>
          <w:rFonts w:ascii="Arial" w:hAnsi="Arial" w:cs="Arial"/>
          <w:sz w:val="22"/>
          <w:szCs w:val="22"/>
        </w:rPr>
        <w:t xml:space="preserve"> </w:t>
      </w:r>
      <w:r w:rsidR="001777A3" w:rsidRPr="00135D02">
        <w:rPr>
          <w:rFonts w:ascii="Arial" w:hAnsi="Arial" w:cs="Arial"/>
          <w:sz w:val="22"/>
          <w:szCs w:val="22"/>
        </w:rPr>
        <w:t xml:space="preserve">Se proyecta </w:t>
      </w:r>
      <w:r w:rsidR="00BF7C69">
        <w:rPr>
          <w:rFonts w:ascii="Arial" w:hAnsi="Arial" w:cs="Arial"/>
          <w:sz w:val="22"/>
          <w:szCs w:val="22"/>
        </w:rPr>
        <w:t>una liviana</w:t>
      </w:r>
      <w:r w:rsidR="001777A3" w:rsidRPr="00135D02">
        <w:rPr>
          <w:rFonts w:ascii="Arial" w:hAnsi="Arial" w:cs="Arial"/>
          <w:sz w:val="22"/>
          <w:szCs w:val="22"/>
        </w:rPr>
        <w:t xml:space="preserve"> </w:t>
      </w:r>
      <w:r w:rsidR="00BF7C69">
        <w:rPr>
          <w:rFonts w:ascii="Arial" w:hAnsi="Arial" w:cs="Arial"/>
          <w:sz w:val="22"/>
          <w:szCs w:val="22"/>
        </w:rPr>
        <w:t xml:space="preserve">mejora en </w:t>
      </w:r>
      <w:r w:rsidR="001777A3" w:rsidRPr="00135D02">
        <w:rPr>
          <w:rFonts w:ascii="Arial" w:hAnsi="Arial" w:cs="Arial"/>
          <w:sz w:val="22"/>
          <w:szCs w:val="22"/>
        </w:rPr>
        <w:t xml:space="preserve">la eficiencia de mano de obra de la empresa </w:t>
      </w:r>
      <w:r w:rsidR="003B55D4">
        <w:rPr>
          <w:rFonts w:ascii="Arial" w:hAnsi="Arial" w:cs="Arial"/>
          <w:sz w:val="22"/>
          <w:szCs w:val="22"/>
        </w:rPr>
        <w:t>OSE</w:t>
      </w:r>
      <w:r w:rsidR="001777A3" w:rsidRPr="00135D02">
        <w:rPr>
          <w:rFonts w:ascii="Arial" w:hAnsi="Arial" w:cs="Arial"/>
          <w:sz w:val="22"/>
          <w:szCs w:val="22"/>
        </w:rPr>
        <w:t xml:space="preserve"> (en términos del número de empleados por 1,000 conexiones de agua</w:t>
      </w:r>
      <w:r w:rsidR="00BF7C69">
        <w:rPr>
          <w:rFonts w:ascii="Arial" w:hAnsi="Arial" w:cs="Arial"/>
          <w:sz w:val="22"/>
          <w:szCs w:val="22"/>
        </w:rPr>
        <w:t>: de 4.1</w:t>
      </w:r>
      <w:r w:rsidR="005A1C56">
        <w:rPr>
          <w:rFonts w:ascii="Arial" w:hAnsi="Arial" w:cs="Arial"/>
          <w:sz w:val="22"/>
          <w:szCs w:val="22"/>
        </w:rPr>
        <w:t xml:space="preserve"> en el 2017</w:t>
      </w:r>
      <w:r w:rsidR="00BF7C69">
        <w:rPr>
          <w:rFonts w:ascii="Arial" w:hAnsi="Arial" w:cs="Arial"/>
          <w:sz w:val="22"/>
          <w:szCs w:val="22"/>
        </w:rPr>
        <w:t xml:space="preserve"> </w:t>
      </w:r>
      <w:r w:rsidR="005A1C56">
        <w:rPr>
          <w:rFonts w:ascii="Arial" w:hAnsi="Arial" w:cs="Arial"/>
          <w:sz w:val="22"/>
          <w:szCs w:val="22"/>
        </w:rPr>
        <w:t>a 3.9 en el 2022</w:t>
      </w:r>
      <w:r w:rsidR="001777A3" w:rsidRPr="00135D02">
        <w:rPr>
          <w:rFonts w:ascii="Arial" w:hAnsi="Arial" w:cs="Arial"/>
          <w:sz w:val="22"/>
          <w:szCs w:val="22"/>
        </w:rPr>
        <w:t xml:space="preserve">). </w:t>
      </w:r>
    </w:p>
    <w:p w14:paraId="7F3A298A" w14:textId="77777777" w:rsidR="00114175" w:rsidRPr="00135D02" w:rsidRDefault="00114175" w:rsidP="00114175">
      <w:pPr>
        <w:pStyle w:val="Paragraph"/>
        <w:tabs>
          <w:tab w:val="num" w:pos="720"/>
        </w:tabs>
        <w:ind w:left="720" w:hanging="720"/>
        <w:rPr>
          <w:rFonts w:ascii="Arial" w:hAnsi="Arial" w:cs="Arial"/>
          <w:i/>
          <w:sz w:val="22"/>
          <w:szCs w:val="22"/>
        </w:rPr>
      </w:pPr>
      <w:r w:rsidRPr="00135D02">
        <w:rPr>
          <w:rFonts w:ascii="Arial" w:hAnsi="Arial" w:cs="Arial"/>
          <w:i/>
          <w:sz w:val="22"/>
          <w:szCs w:val="22"/>
        </w:rPr>
        <w:t>Previsión de incobrables.</w:t>
      </w:r>
      <w:r w:rsidRPr="00135D02">
        <w:rPr>
          <w:rFonts w:ascii="Arial" w:hAnsi="Arial" w:cs="Arial"/>
          <w:sz w:val="22"/>
          <w:szCs w:val="22"/>
        </w:rPr>
        <w:t xml:space="preserve"> Durante los próximos 5 año, manteniendo la misma eficiencia de cobranza del 20</w:t>
      </w:r>
      <w:r>
        <w:rPr>
          <w:rFonts w:ascii="Arial" w:hAnsi="Arial" w:cs="Arial"/>
          <w:sz w:val="22"/>
          <w:szCs w:val="22"/>
        </w:rPr>
        <w:t>17</w:t>
      </w:r>
      <w:r w:rsidRPr="00135D02">
        <w:rPr>
          <w:rFonts w:ascii="Arial" w:hAnsi="Arial" w:cs="Arial"/>
          <w:sz w:val="22"/>
          <w:szCs w:val="22"/>
        </w:rPr>
        <w:t xml:space="preserve"> (9</w:t>
      </w:r>
      <w:r>
        <w:rPr>
          <w:rFonts w:ascii="Arial" w:hAnsi="Arial" w:cs="Arial"/>
          <w:sz w:val="22"/>
          <w:szCs w:val="22"/>
        </w:rPr>
        <w:t>6</w:t>
      </w:r>
      <w:r w:rsidRPr="00135D02">
        <w:rPr>
          <w:rFonts w:ascii="Arial" w:hAnsi="Arial" w:cs="Arial"/>
          <w:sz w:val="22"/>
          <w:szCs w:val="22"/>
        </w:rPr>
        <w:t xml:space="preserve">%), se calcula que la empresa debe registrar, </w:t>
      </w:r>
      <w:r w:rsidRPr="00135D02">
        <w:rPr>
          <w:rFonts w:ascii="Arial" w:hAnsi="Arial" w:cs="Arial"/>
          <w:sz w:val="22"/>
          <w:szCs w:val="22"/>
        </w:rPr>
        <w:lastRenderedPageBreak/>
        <w:t xml:space="preserve">en el promedio, el costo de previsión de incobrables de unos </w:t>
      </w:r>
      <w:r w:rsidRPr="00135D02">
        <w:rPr>
          <w:rFonts w:ascii="Arial" w:hAnsi="Arial" w:cs="Arial"/>
          <w:sz w:val="22"/>
        </w:rPr>
        <w:t>US$</w:t>
      </w:r>
      <w:r>
        <w:rPr>
          <w:rFonts w:ascii="Arial" w:hAnsi="Arial" w:cs="Arial"/>
          <w:sz w:val="22"/>
        </w:rPr>
        <w:t>16</w:t>
      </w:r>
      <w:r w:rsidRPr="00135D02">
        <w:rPr>
          <w:rFonts w:ascii="Arial" w:hAnsi="Arial" w:cs="Arial"/>
          <w:sz w:val="22"/>
        </w:rPr>
        <w:t xml:space="preserve"> </w:t>
      </w:r>
      <w:r w:rsidRPr="00135D02">
        <w:rPr>
          <w:rFonts w:ascii="Arial" w:hAnsi="Arial" w:cs="Arial"/>
          <w:sz w:val="22"/>
          <w:szCs w:val="22"/>
        </w:rPr>
        <w:t>millones (</w:t>
      </w:r>
      <w:r>
        <w:rPr>
          <w:rFonts w:ascii="Arial" w:hAnsi="Arial" w:cs="Arial"/>
          <w:sz w:val="22"/>
          <w:szCs w:val="22"/>
        </w:rPr>
        <w:t>3.5</w:t>
      </w:r>
      <w:r w:rsidRPr="00135D02">
        <w:rPr>
          <w:rFonts w:ascii="Arial" w:hAnsi="Arial" w:cs="Arial"/>
          <w:sz w:val="22"/>
          <w:szCs w:val="22"/>
        </w:rPr>
        <w:t xml:space="preserve">% de los ingresos por acueducto y alcantarillado). </w:t>
      </w:r>
    </w:p>
    <w:p w14:paraId="28356BE9" w14:textId="47C80CF2" w:rsidR="003B185F" w:rsidRPr="00135D02" w:rsidRDefault="003B185F" w:rsidP="003B185F">
      <w:pPr>
        <w:pStyle w:val="Paragraph"/>
        <w:tabs>
          <w:tab w:val="num" w:pos="720"/>
        </w:tabs>
        <w:ind w:left="720" w:hanging="720"/>
        <w:rPr>
          <w:rFonts w:ascii="Arial" w:hAnsi="Arial" w:cs="Arial"/>
          <w:sz w:val="22"/>
          <w:szCs w:val="22"/>
        </w:rPr>
      </w:pPr>
      <w:r w:rsidRPr="00135D02">
        <w:rPr>
          <w:rFonts w:ascii="Arial" w:hAnsi="Arial" w:cs="Arial"/>
          <w:i/>
          <w:sz w:val="22"/>
          <w:szCs w:val="22"/>
        </w:rPr>
        <w:t>EBITDA</w:t>
      </w:r>
      <w:r w:rsidRPr="00135D02">
        <w:rPr>
          <w:rFonts w:ascii="Arial" w:hAnsi="Arial" w:cs="Arial"/>
          <w:sz w:val="22"/>
          <w:szCs w:val="22"/>
        </w:rPr>
        <w:t xml:space="preserve">. </w:t>
      </w:r>
      <w:r w:rsidR="00E00676">
        <w:rPr>
          <w:rFonts w:ascii="Arial" w:hAnsi="Arial" w:cs="Arial"/>
          <w:sz w:val="22"/>
          <w:szCs w:val="22"/>
        </w:rPr>
        <w:t>102</w:t>
      </w:r>
      <w:r w:rsidRPr="00135D02">
        <w:rPr>
          <w:rFonts w:ascii="Arial" w:hAnsi="Arial" w:cs="Arial"/>
          <w:sz w:val="22"/>
          <w:szCs w:val="22"/>
        </w:rPr>
        <w:t>,</w:t>
      </w:r>
      <w:r w:rsidR="00E72681">
        <w:rPr>
          <w:rFonts w:ascii="Arial" w:hAnsi="Arial" w:cs="Arial"/>
          <w:sz w:val="22"/>
          <w:szCs w:val="22"/>
        </w:rPr>
        <w:t xml:space="preserve"> con lo cual se considera que se podrá</w:t>
      </w:r>
      <w:r w:rsidRPr="00135D02">
        <w:rPr>
          <w:rFonts w:ascii="Arial" w:hAnsi="Arial" w:cs="Arial"/>
          <w:sz w:val="22"/>
          <w:szCs w:val="22"/>
        </w:rPr>
        <w:t xml:space="preserve"> </w:t>
      </w:r>
      <w:r w:rsidR="00CC7719">
        <w:rPr>
          <w:rFonts w:ascii="Arial" w:hAnsi="Arial" w:cs="Arial"/>
          <w:sz w:val="22"/>
          <w:szCs w:val="22"/>
        </w:rPr>
        <w:t>manten</w:t>
      </w:r>
      <w:r w:rsidR="00E72681">
        <w:rPr>
          <w:rFonts w:ascii="Arial" w:hAnsi="Arial" w:cs="Arial"/>
          <w:sz w:val="22"/>
          <w:szCs w:val="22"/>
        </w:rPr>
        <w:t>er</w:t>
      </w:r>
      <w:r w:rsidR="00CC7719">
        <w:rPr>
          <w:rFonts w:ascii="Arial" w:hAnsi="Arial" w:cs="Arial"/>
          <w:sz w:val="22"/>
          <w:szCs w:val="22"/>
        </w:rPr>
        <w:t xml:space="preserve"> la solidez financiera actual</w:t>
      </w:r>
      <w:r w:rsidRPr="00135D02">
        <w:rPr>
          <w:rFonts w:ascii="Arial" w:hAnsi="Arial" w:cs="Arial"/>
          <w:sz w:val="22"/>
          <w:szCs w:val="22"/>
        </w:rPr>
        <w:t>.</w:t>
      </w:r>
      <w:r w:rsidR="00195337" w:rsidRPr="00135D02">
        <w:rPr>
          <w:rFonts w:ascii="Arial" w:hAnsi="Arial" w:cs="Arial"/>
          <w:sz w:val="22"/>
          <w:szCs w:val="22"/>
        </w:rPr>
        <w:t xml:space="preserve"> </w:t>
      </w:r>
    </w:p>
    <w:p w14:paraId="205D7C9B" w14:textId="2B24B7BD" w:rsidR="00195337" w:rsidRPr="00135D02" w:rsidRDefault="00195337" w:rsidP="00195337">
      <w:pPr>
        <w:pStyle w:val="Paragraph"/>
        <w:tabs>
          <w:tab w:val="num" w:pos="720"/>
          <w:tab w:val="left" w:pos="1276"/>
        </w:tabs>
        <w:ind w:left="720" w:hanging="720"/>
        <w:rPr>
          <w:rFonts w:ascii="Arial" w:hAnsi="Arial" w:cs="Arial"/>
          <w:sz w:val="22"/>
          <w:szCs w:val="22"/>
        </w:rPr>
      </w:pPr>
      <w:r w:rsidRPr="00135D02">
        <w:rPr>
          <w:rFonts w:ascii="Arial" w:hAnsi="Arial" w:cs="Arial"/>
          <w:i/>
          <w:sz w:val="22"/>
          <w:szCs w:val="22"/>
        </w:rPr>
        <w:t>Cobertura de costos operativos.</w:t>
      </w:r>
      <w:r w:rsidRPr="00135D02">
        <w:rPr>
          <w:rFonts w:ascii="Arial" w:hAnsi="Arial" w:cs="Arial"/>
          <w:sz w:val="22"/>
          <w:szCs w:val="22"/>
        </w:rPr>
        <w:t xml:space="preserve"> Dicho de otra forma, durante los próximos 5 años de la proyección, se espera que la empresa cubrirá en torno a un 1</w:t>
      </w:r>
      <w:r w:rsidR="00456B60">
        <w:rPr>
          <w:rFonts w:ascii="Arial" w:hAnsi="Arial" w:cs="Arial"/>
          <w:sz w:val="22"/>
          <w:szCs w:val="22"/>
        </w:rPr>
        <w:t>29</w:t>
      </w:r>
      <w:r w:rsidRPr="00135D02">
        <w:rPr>
          <w:rFonts w:ascii="Arial" w:hAnsi="Arial" w:cs="Arial"/>
          <w:sz w:val="22"/>
          <w:szCs w:val="22"/>
        </w:rPr>
        <w:t xml:space="preserve">% de sus costos operacionales con los ingresos operacionales. </w:t>
      </w:r>
    </w:p>
    <w:p w14:paraId="24799DA4" w14:textId="4180B156" w:rsidR="003B185F" w:rsidRPr="00135D02" w:rsidRDefault="003B185F" w:rsidP="003B185F">
      <w:pPr>
        <w:pStyle w:val="Paragraph"/>
        <w:tabs>
          <w:tab w:val="num" w:pos="720"/>
        </w:tabs>
        <w:ind w:left="720" w:hanging="720"/>
        <w:rPr>
          <w:rFonts w:ascii="Arial" w:hAnsi="Arial" w:cs="Arial"/>
          <w:sz w:val="22"/>
          <w:szCs w:val="22"/>
        </w:rPr>
      </w:pPr>
      <w:r w:rsidRPr="00135D02">
        <w:rPr>
          <w:rFonts w:ascii="Arial" w:hAnsi="Arial" w:cs="Arial"/>
          <w:i/>
          <w:sz w:val="22"/>
          <w:szCs w:val="22"/>
        </w:rPr>
        <w:t xml:space="preserve">Depreciación. </w:t>
      </w:r>
      <w:r w:rsidR="00D24922" w:rsidRPr="00135D02">
        <w:rPr>
          <w:rFonts w:ascii="Arial" w:hAnsi="Arial" w:cs="Arial"/>
          <w:sz w:val="22"/>
          <w:szCs w:val="22"/>
        </w:rPr>
        <w:t>E</w:t>
      </w:r>
      <w:r w:rsidRPr="00135D02">
        <w:rPr>
          <w:rFonts w:ascii="Arial" w:hAnsi="Arial" w:cs="Arial"/>
          <w:sz w:val="22"/>
          <w:szCs w:val="22"/>
        </w:rPr>
        <w:t>l costo de depreciación y amortización</w:t>
      </w:r>
      <w:r w:rsidR="00D24922" w:rsidRPr="00135D02">
        <w:rPr>
          <w:rFonts w:ascii="Arial" w:hAnsi="Arial" w:cs="Arial"/>
          <w:sz w:val="22"/>
          <w:szCs w:val="22"/>
        </w:rPr>
        <w:t xml:space="preserve"> de </w:t>
      </w:r>
      <w:r w:rsidR="00657E5C">
        <w:rPr>
          <w:rFonts w:ascii="Arial" w:hAnsi="Arial" w:cs="Arial"/>
          <w:sz w:val="22"/>
          <w:szCs w:val="22"/>
        </w:rPr>
        <w:t>OSE</w:t>
      </w:r>
      <w:r w:rsidR="00D24922" w:rsidRPr="00135D02">
        <w:rPr>
          <w:rFonts w:ascii="Arial" w:hAnsi="Arial" w:cs="Arial"/>
          <w:sz w:val="22"/>
          <w:szCs w:val="22"/>
        </w:rPr>
        <w:t xml:space="preserve"> se incrementará </w:t>
      </w:r>
      <w:r w:rsidR="0012766D">
        <w:rPr>
          <w:rFonts w:ascii="Arial" w:hAnsi="Arial" w:cs="Arial"/>
          <w:sz w:val="22"/>
          <w:szCs w:val="22"/>
        </w:rPr>
        <w:t xml:space="preserve">marginalmente </w:t>
      </w:r>
      <w:r w:rsidR="00D24922" w:rsidRPr="00135D02">
        <w:rPr>
          <w:rFonts w:ascii="Arial" w:hAnsi="Arial" w:cs="Arial"/>
          <w:sz w:val="22"/>
          <w:szCs w:val="22"/>
        </w:rPr>
        <w:t>durante los próximos años (de US$</w:t>
      </w:r>
      <w:r w:rsidR="00657E5C">
        <w:rPr>
          <w:rFonts w:ascii="Arial" w:hAnsi="Arial" w:cs="Arial"/>
          <w:sz w:val="22"/>
          <w:szCs w:val="22"/>
        </w:rPr>
        <w:t>58</w:t>
      </w:r>
      <w:r w:rsidR="00D24922" w:rsidRPr="00135D02">
        <w:rPr>
          <w:rFonts w:ascii="Arial" w:hAnsi="Arial" w:cs="Arial"/>
          <w:sz w:val="22"/>
          <w:szCs w:val="22"/>
        </w:rPr>
        <w:t xml:space="preserve"> millones en el 201</w:t>
      </w:r>
      <w:r w:rsidR="00657E5C">
        <w:rPr>
          <w:rFonts w:ascii="Arial" w:hAnsi="Arial" w:cs="Arial"/>
          <w:sz w:val="22"/>
          <w:szCs w:val="22"/>
        </w:rPr>
        <w:t>7</w:t>
      </w:r>
      <w:r w:rsidR="00D24922" w:rsidRPr="00135D02">
        <w:rPr>
          <w:rFonts w:ascii="Arial" w:hAnsi="Arial" w:cs="Arial"/>
          <w:sz w:val="22"/>
          <w:szCs w:val="22"/>
        </w:rPr>
        <w:t>, al US$</w:t>
      </w:r>
      <w:r w:rsidR="0012766D">
        <w:rPr>
          <w:rFonts w:ascii="Arial" w:hAnsi="Arial" w:cs="Arial"/>
          <w:sz w:val="22"/>
          <w:szCs w:val="22"/>
        </w:rPr>
        <w:t>59</w:t>
      </w:r>
      <w:r w:rsidR="00D24922" w:rsidRPr="00135D02">
        <w:rPr>
          <w:rFonts w:ascii="Arial" w:hAnsi="Arial" w:cs="Arial"/>
          <w:sz w:val="22"/>
          <w:szCs w:val="22"/>
        </w:rPr>
        <w:t xml:space="preserve"> millones para el periodo 201</w:t>
      </w:r>
      <w:r w:rsidR="0012766D">
        <w:rPr>
          <w:rFonts w:ascii="Arial" w:hAnsi="Arial" w:cs="Arial"/>
          <w:sz w:val="22"/>
          <w:szCs w:val="22"/>
        </w:rPr>
        <w:t>8</w:t>
      </w:r>
      <w:r w:rsidR="00D24922" w:rsidRPr="00135D02">
        <w:rPr>
          <w:rFonts w:ascii="Arial" w:hAnsi="Arial" w:cs="Arial"/>
          <w:sz w:val="22"/>
          <w:szCs w:val="22"/>
        </w:rPr>
        <w:t>-202</w:t>
      </w:r>
      <w:r w:rsidR="0012766D">
        <w:rPr>
          <w:rFonts w:ascii="Arial" w:hAnsi="Arial" w:cs="Arial"/>
          <w:sz w:val="22"/>
          <w:szCs w:val="22"/>
        </w:rPr>
        <w:t>2</w:t>
      </w:r>
      <w:r w:rsidR="00D24922" w:rsidRPr="00135D02">
        <w:rPr>
          <w:rFonts w:ascii="Arial" w:hAnsi="Arial" w:cs="Arial"/>
          <w:sz w:val="22"/>
          <w:szCs w:val="22"/>
        </w:rPr>
        <w:t>), debido al aumento del monto total de los activos, como consecuencia de la ejecución de su programa de inversión.</w:t>
      </w:r>
    </w:p>
    <w:p w14:paraId="68A167CE" w14:textId="56D264A6" w:rsidR="003B185F" w:rsidRDefault="00484EA8" w:rsidP="003B185F">
      <w:pPr>
        <w:pStyle w:val="Paragraph"/>
        <w:tabs>
          <w:tab w:val="num" w:pos="720"/>
        </w:tabs>
        <w:ind w:left="720" w:hanging="720"/>
        <w:rPr>
          <w:rFonts w:ascii="Arial" w:hAnsi="Arial" w:cs="Arial"/>
          <w:sz w:val="22"/>
          <w:szCs w:val="22"/>
        </w:rPr>
      </w:pPr>
      <w:r w:rsidRPr="00135D02">
        <w:rPr>
          <w:rFonts w:ascii="Arial" w:hAnsi="Arial" w:cs="Arial"/>
          <w:i/>
          <w:sz w:val="22"/>
          <w:szCs w:val="22"/>
        </w:rPr>
        <w:t xml:space="preserve">Resultados </w:t>
      </w:r>
      <w:r>
        <w:rPr>
          <w:rFonts w:ascii="Arial" w:hAnsi="Arial" w:cs="Arial"/>
          <w:i/>
          <w:sz w:val="22"/>
          <w:szCs w:val="22"/>
        </w:rPr>
        <w:t>no-operativos</w:t>
      </w:r>
      <w:r w:rsidRPr="00135D02">
        <w:rPr>
          <w:rFonts w:ascii="Arial" w:hAnsi="Arial" w:cs="Arial"/>
          <w:i/>
          <w:sz w:val="22"/>
          <w:szCs w:val="22"/>
        </w:rPr>
        <w:t xml:space="preserve">. </w:t>
      </w:r>
      <w:r w:rsidR="00E714B8" w:rsidRPr="00E714B8">
        <w:rPr>
          <w:rFonts w:ascii="Arial" w:hAnsi="Arial" w:cs="Arial"/>
          <w:sz w:val="22"/>
          <w:szCs w:val="22"/>
        </w:rPr>
        <w:t xml:space="preserve">Se </w:t>
      </w:r>
      <w:r w:rsidR="00E714B8">
        <w:rPr>
          <w:rFonts w:ascii="Arial" w:hAnsi="Arial" w:cs="Arial"/>
          <w:sz w:val="22"/>
          <w:szCs w:val="22"/>
        </w:rPr>
        <w:t>proyecta que</w:t>
      </w:r>
      <w:r w:rsidR="00700DB6">
        <w:rPr>
          <w:rFonts w:ascii="Arial" w:hAnsi="Arial" w:cs="Arial"/>
          <w:sz w:val="22"/>
          <w:szCs w:val="22"/>
        </w:rPr>
        <w:t xml:space="preserve"> </w:t>
      </w:r>
      <w:r w:rsidR="00E714B8">
        <w:rPr>
          <w:rFonts w:ascii="Arial" w:hAnsi="Arial" w:cs="Arial"/>
          <w:sz w:val="22"/>
          <w:szCs w:val="22"/>
        </w:rPr>
        <w:t xml:space="preserve">la ganancia neta no-operativa de OSE </w:t>
      </w:r>
      <w:r w:rsidR="00361205">
        <w:rPr>
          <w:rFonts w:ascii="Arial" w:hAnsi="Arial" w:cs="Arial"/>
          <w:sz w:val="22"/>
          <w:szCs w:val="22"/>
        </w:rPr>
        <w:t xml:space="preserve">no será significativo durante </w:t>
      </w:r>
      <w:r w:rsidR="00D24922" w:rsidRPr="00135D02">
        <w:rPr>
          <w:rFonts w:ascii="Arial" w:hAnsi="Arial" w:cs="Arial"/>
          <w:sz w:val="22"/>
          <w:szCs w:val="22"/>
        </w:rPr>
        <w:t>los próximos 5 años</w:t>
      </w:r>
      <w:r w:rsidR="00361205">
        <w:rPr>
          <w:rFonts w:ascii="Arial" w:hAnsi="Arial" w:cs="Arial"/>
          <w:sz w:val="22"/>
          <w:szCs w:val="22"/>
        </w:rPr>
        <w:t xml:space="preserve"> (en el promedio</w:t>
      </w:r>
      <w:r w:rsidR="00D24922" w:rsidRPr="00135D02">
        <w:rPr>
          <w:rFonts w:ascii="Arial" w:hAnsi="Arial" w:cs="Arial"/>
          <w:sz w:val="22"/>
          <w:szCs w:val="22"/>
        </w:rPr>
        <w:t xml:space="preserve"> US$</w:t>
      </w:r>
      <w:r w:rsidR="00361205">
        <w:rPr>
          <w:rFonts w:ascii="Arial" w:hAnsi="Arial" w:cs="Arial"/>
          <w:sz w:val="22"/>
          <w:szCs w:val="22"/>
        </w:rPr>
        <w:t>1</w:t>
      </w:r>
      <w:r w:rsidR="00D24922" w:rsidRPr="00135D02">
        <w:rPr>
          <w:rFonts w:ascii="Arial" w:hAnsi="Arial" w:cs="Arial"/>
          <w:sz w:val="22"/>
          <w:szCs w:val="22"/>
        </w:rPr>
        <w:t xml:space="preserve"> mill</w:t>
      </w:r>
      <w:r w:rsidR="00361205">
        <w:rPr>
          <w:rFonts w:ascii="Arial" w:hAnsi="Arial" w:cs="Arial"/>
          <w:sz w:val="22"/>
          <w:szCs w:val="22"/>
        </w:rPr>
        <w:t>ó</w:t>
      </w:r>
      <w:r w:rsidR="00D24922" w:rsidRPr="00135D02">
        <w:rPr>
          <w:rFonts w:ascii="Arial" w:hAnsi="Arial" w:cs="Arial"/>
          <w:sz w:val="22"/>
          <w:szCs w:val="22"/>
        </w:rPr>
        <w:t xml:space="preserve">n </w:t>
      </w:r>
      <w:r w:rsidR="00361205">
        <w:rPr>
          <w:rFonts w:ascii="Arial" w:hAnsi="Arial" w:cs="Arial"/>
          <w:sz w:val="22"/>
          <w:szCs w:val="22"/>
        </w:rPr>
        <w:t>entre 2017-2022)</w:t>
      </w:r>
      <w:r w:rsidR="00D24922" w:rsidRPr="00135D02">
        <w:rPr>
          <w:rFonts w:ascii="Arial" w:hAnsi="Arial" w:cs="Arial"/>
          <w:sz w:val="22"/>
          <w:szCs w:val="22"/>
        </w:rPr>
        <w:t>.</w:t>
      </w:r>
    </w:p>
    <w:p w14:paraId="7C7F20D6" w14:textId="16A6689E" w:rsidR="00E51BA4" w:rsidRPr="00135D02" w:rsidRDefault="002A1A0E" w:rsidP="00031E38">
      <w:pPr>
        <w:pStyle w:val="Paragraph"/>
        <w:tabs>
          <w:tab w:val="num" w:pos="720"/>
        </w:tabs>
        <w:ind w:left="720" w:hanging="720"/>
      </w:pPr>
      <w:r>
        <w:rPr>
          <w:rFonts w:ascii="Arial" w:hAnsi="Arial" w:cs="Arial"/>
          <w:i/>
          <w:sz w:val="22"/>
          <w:szCs w:val="22"/>
        </w:rPr>
        <w:t>Utilidad</w:t>
      </w:r>
      <w:r w:rsidR="003B185F" w:rsidRPr="00135D02">
        <w:rPr>
          <w:rFonts w:ascii="Arial" w:hAnsi="Arial" w:cs="Arial"/>
          <w:i/>
          <w:sz w:val="22"/>
          <w:szCs w:val="22"/>
        </w:rPr>
        <w:t xml:space="preserve"> neta del ejercicio. </w:t>
      </w:r>
      <w:r w:rsidR="00D24922" w:rsidRPr="00135D02">
        <w:rPr>
          <w:rFonts w:ascii="Arial" w:hAnsi="Arial" w:cs="Arial"/>
          <w:sz w:val="22"/>
          <w:szCs w:val="22"/>
        </w:rPr>
        <w:t>Se estima que, en el promedio para 201</w:t>
      </w:r>
      <w:r>
        <w:rPr>
          <w:rFonts w:ascii="Arial" w:hAnsi="Arial" w:cs="Arial"/>
          <w:sz w:val="22"/>
          <w:szCs w:val="22"/>
        </w:rPr>
        <w:t>8</w:t>
      </w:r>
      <w:r w:rsidR="00D24922" w:rsidRPr="00135D02">
        <w:rPr>
          <w:rFonts w:ascii="Arial" w:hAnsi="Arial" w:cs="Arial"/>
          <w:sz w:val="22"/>
          <w:szCs w:val="22"/>
        </w:rPr>
        <w:t>-202</w:t>
      </w:r>
      <w:r>
        <w:rPr>
          <w:rFonts w:ascii="Arial" w:hAnsi="Arial" w:cs="Arial"/>
          <w:sz w:val="22"/>
          <w:szCs w:val="22"/>
        </w:rPr>
        <w:t>2</w:t>
      </w:r>
      <w:r w:rsidR="00D24922" w:rsidRPr="00135D02">
        <w:rPr>
          <w:rFonts w:ascii="Arial" w:hAnsi="Arial" w:cs="Arial"/>
          <w:sz w:val="22"/>
          <w:szCs w:val="22"/>
        </w:rPr>
        <w:t>, l</w:t>
      </w:r>
      <w:r w:rsidR="003B185F" w:rsidRPr="00135D02">
        <w:rPr>
          <w:rFonts w:ascii="Arial" w:hAnsi="Arial" w:cs="Arial"/>
          <w:sz w:val="22"/>
          <w:szCs w:val="22"/>
        </w:rPr>
        <w:t xml:space="preserve">a </w:t>
      </w:r>
      <w:r>
        <w:rPr>
          <w:rFonts w:ascii="Arial" w:hAnsi="Arial" w:cs="Arial"/>
          <w:sz w:val="22"/>
          <w:szCs w:val="22"/>
        </w:rPr>
        <w:t>utilidad</w:t>
      </w:r>
      <w:r w:rsidR="003B185F" w:rsidRPr="00135D02">
        <w:rPr>
          <w:rFonts w:ascii="Arial" w:hAnsi="Arial" w:cs="Arial"/>
          <w:sz w:val="22"/>
          <w:szCs w:val="22"/>
        </w:rPr>
        <w:t xml:space="preserve"> neta del ejercicio</w:t>
      </w:r>
      <w:r w:rsidR="00D24922" w:rsidRPr="00135D02">
        <w:rPr>
          <w:rFonts w:ascii="Arial" w:hAnsi="Arial" w:cs="Arial"/>
          <w:sz w:val="22"/>
          <w:szCs w:val="22"/>
        </w:rPr>
        <w:t xml:space="preserve"> será de</w:t>
      </w:r>
      <w:r w:rsidR="003B185F" w:rsidRPr="00135D02">
        <w:rPr>
          <w:rFonts w:ascii="Arial" w:hAnsi="Arial" w:cs="Arial"/>
          <w:sz w:val="22"/>
          <w:szCs w:val="22"/>
        </w:rPr>
        <w:t xml:space="preserve"> US$</w:t>
      </w:r>
      <w:r w:rsidR="007C5219">
        <w:rPr>
          <w:rFonts w:ascii="Arial" w:hAnsi="Arial" w:cs="Arial"/>
          <w:sz w:val="22"/>
          <w:szCs w:val="22"/>
        </w:rPr>
        <w:t>32</w:t>
      </w:r>
      <w:r w:rsidR="003B185F" w:rsidRPr="00135D02">
        <w:rPr>
          <w:rFonts w:ascii="Arial" w:hAnsi="Arial" w:cs="Arial"/>
          <w:sz w:val="22"/>
          <w:szCs w:val="22"/>
        </w:rPr>
        <w:t xml:space="preserve"> millones (equivalente al margen neto de menos </w:t>
      </w:r>
      <w:r w:rsidR="007C5219">
        <w:rPr>
          <w:rFonts w:ascii="Arial" w:hAnsi="Arial" w:cs="Arial"/>
          <w:sz w:val="22"/>
          <w:szCs w:val="22"/>
        </w:rPr>
        <w:t>7</w:t>
      </w:r>
      <w:r w:rsidR="003B185F" w:rsidRPr="00135D02">
        <w:rPr>
          <w:rFonts w:ascii="Arial" w:hAnsi="Arial" w:cs="Arial"/>
          <w:sz w:val="22"/>
          <w:szCs w:val="22"/>
        </w:rPr>
        <w:t>%)</w:t>
      </w:r>
      <w:r w:rsidR="00195337" w:rsidRPr="00135D02">
        <w:rPr>
          <w:rFonts w:ascii="Arial" w:hAnsi="Arial" w:cs="Arial"/>
          <w:sz w:val="22"/>
          <w:szCs w:val="22"/>
        </w:rPr>
        <w:t>.</w:t>
      </w:r>
      <w:r w:rsidR="00E51BA4" w:rsidRPr="00135D02">
        <w:rPr>
          <w:rFonts w:ascii="Arial" w:hAnsi="Arial" w:cs="Arial"/>
          <w:sz w:val="22"/>
          <w:szCs w:val="22"/>
          <w:lang w:val="es-419"/>
        </w:rPr>
        <w:t xml:space="preserve"> </w:t>
      </w:r>
    </w:p>
    <w:p w14:paraId="2247A81D" w14:textId="3E4D5BF9" w:rsidR="00B53F18" w:rsidRPr="00135D02" w:rsidRDefault="00784A90" w:rsidP="00D8718A">
      <w:pPr>
        <w:pStyle w:val="Paragraph"/>
        <w:numPr>
          <w:ilvl w:val="0"/>
          <w:numId w:val="0"/>
        </w:numPr>
        <w:jc w:val="center"/>
        <w:rPr>
          <w:rFonts w:ascii="Arial" w:hAnsi="Arial" w:cs="Arial"/>
          <w:sz w:val="22"/>
          <w:szCs w:val="22"/>
          <w:u w:val="single"/>
        </w:rPr>
      </w:pPr>
      <w:r w:rsidRPr="00135D02">
        <w:rPr>
          <w:rFonts w:ascii="Arial" w:hAnsi="Arial" w:cs="Arial"/>
          <w:sz w:val="22"/>
          <w:szCs w:val="22"/>
          <w:u w:val="single"/>
        </w:rPr>
        <w:t xml:space="preserve">Cuadro </w:t>
      </w:r>
      <w:r w:rsidR="002829FE">
        <w:rPr>
          <w:rFonts w:ascii="Arial" w:hAnsi="Arial" w:cs="Arial"/>
          <w:sz w:val="22"/>
          <w:szCs w:val="22"/>
          <w:u w:val="single"/>
        </w:rPr>
        <w:t>4</w:t>
      </w:r>
      <w:r w:rsidRPr="00135D02">
        <w:rPr>
          <w:rFonts w:ascii="Arial" w:hAnsi="Arial" w:cs="Arial"/>
          <w:sz w:val="22"/>
          <w:szCs w:val="22"/>
          <w:u w:val="single"/>
        </w:rPr>
        <w:t>. Estado de Resultados Proyectado (en mil</w:t>
      </w:r>
      <w:r w:rsidR="00D27CDF" w:rsidRPr="00135D02">
        <w:rPr>
          <w:rFonts w:ascii="Arial" w:hAnsi="Arial" w:cs="Arial"/>
          <w:sz w:val="22"/>
          <w:szCs w:val="22"/>
          <w:u w:val="single"/>
        </w:rPr>
        <w:t>es</w:t>
      </w:r>
      <w:r w:rsidRPr="00135D02">
        <w:rPr>
          <w:rFonts w:ascii="Arial" w:hAnsi="Arial" w:cs="Arial"/>
          <w:sz w:val="22"/>
          <w:szCs w:val="22"/>
          <w:u w:val="single"/>
        </w:rPr>
        <w:t xml:space="preserve"> de </w:t>
      </w:r>
      <w:r w:rsidR="00403289">
        <w:rPr>
          <w:rFonts w:ascii="Arial" w:hAnsi="Arial" w:cs="Arial"/>
          <w:sz w:val="22"/>
          <w:szCs w:val="22"/>
          <w:u w:val="single"/>
        </w:rPr>
        <w:t>US$ de 2017</w:t>
      </w:r>
      <w:r w:rsidRPr="00135D02">
        <w:rPr>
          <w:rFonts w:ascii="Arial" w:hAnsi="Arial" w:cs="Arial"/>
          <w:sz w:val="22"/>
          <w:szCs w:val="22"/>
          <w:u w:val="single"/>
        </w:rPr>
        <w:t>)</w:t>
      </w:r>
    </w:p>
    <w:p w14:paraId="295ECEDD" w14:textId="0DF583D0" w:rsidR="00135D02" w:rsidRPr="00135D02" w:rsidRDefault="00030D85" w:rsidP="00D8718A">
      <w:pPr>
        <w:pStyle w:val="Paragraph"/>
        <w:numPr>
          <w:ilvl w:val="0"/>
          <w:numId w:val="0"/>
        </w:numPr>
        <w:jc w:val="center"/>
        <w:rPr>
          <w:rFonts w:ascii="Arial" w:hAnsi="Arial" w:cs="Arial"/>
          <w:sz w:val="22"/>
          <w:szCs w:val="22"/>
          <w:u w:val="single"/>
        </w:rPr>
      </w:pPr>
      <w:r w:rsidRPr="00030D85">
        <w:drawing>
          <wp:inline distT="0" distB="0" distL="0" distR="0" wp14:anchorId="4AAD2F35" wp14:editId="3B74A600">
            <wp:extent cx="5486400" cy="38098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809839"/>
                    </a:xfrm>
                    <a:prstGeom prst="rect">
                      <a:avLst/>
                    </a:prstGeom>
                    <a:noFill/>
                    <a:ln>
                      <a:noFill/>
                    </a:ln>
                  </pic:spPr>
                </pic:pic>
              </a:graphicData>
            </a:graphic>
          </wp:inline>
        </w:drawing>
      </w:r>
    </w:p>
    <w:p w14:paraId="70EB3D8C" w14:textId="43D8DAB6" w:rsidR="00977D10" w:rsidRPr="00135D02" w:rsidRDefault="00166674" w:rsidP="00BA4588">
      <w:pPr>
        <w:pStyle w:val="SecHeading"/>
        <w:tabs>
          <w:tab w:val="clear" w:pos="5400"/>
        </w:tabs>
        <w:ind w:left="1843" w:hanging="1147"/>
        <w:rPr>
          <w:rFonts w:ascii="Arial" w:hAnsi="Arial" w:cs="Arial"/>
          <w:sz w:val="22"/>
          <w:szCs w:val="22"/>
        </w:rPr>
      </w:pPr>
      <w:r w:rsidRPr="00135D02">
        <w:rPr>
          <w:rFonts w:ascii="Arial" w:hAnsi="Arial" w:cs="Arial"/>
          <w:sz w:val="22"/>
          <w:szCs w:val="22"/>
        </w:rPr>
        <w:lastRenderedPageBreak/>
        <w:t>F</w:t>
      </w:r>
      <w:r w:rsidR="00977D10" w:rsidRPr="00135D02">
        <w:rPr>
          <w:rFonts w:ascii="Arial" w:hAnsi="Arial" w:cs="Arial"/>
          <w:sz w:val="22"/>
          <w:szCs w:val="22"/>
        </w:rPr>
        <w:t>lujo de Caja</w:t>
      </w:r>
    </w:p>
    <w:p w14:paraId="69949994" w14:textId="71EAD201" w:rsidR="004E2BEE" w:rsidRPr="00A60056" w:rsidRDefault="00826C35" w:rsidP="00BC2DF6">
      <w:pPr>
        <w:pStyle w:val="Paragraph"/>
        <w:tabs>
          <w:tab w:val="num" w:pos="720"/>
        </w:tabs>
        <w:ind w:left="720" w:hanging="720"/>
        <w:rPr>
          <w:rFonts w:ascii="Arial" w:hAnsi="Arial" w:cs="Arial"/>
          <w:sz w:val="22"/>
          <w:szCs w:val="22"/>
        </w:rPr>
      </w:pPr>
      <w:proofErr w:type="spellStart"/>
      <w:r w:rsidRPr="00A60056">
        <w:rPr>
          <w:rFonts w:ascii="Arial" w:hAnsi="Arial" w:cs="Arial"/>
          <w:i/>
          <w:sz w:val="22"/>
          <w:szCs w:val="22"/>
        </w:rPr>
        <w:t>Fjujo</w:t>
      </w:r>
      <w:proofErr w:type="spellEnd"/>
      <w:r w:rsidRPr="00A60056">
        <w:rPr>
          <w:rFonts w:ascii="Arial" w:hAnsi="Arial" w:cs="Arial"/>
          <w:i/>
          <w:sz w:val="22"/>
          <w:szCs w:val="22"/>
        </w:rPr>
        <w:t xml:space="preserve"> de caja operativo</w:t>
      </w:r>
      <w:r w:rsidRPr="00A60056">
        <w:rPr>
          <w:rFonts w:ascii="Arial" w:hAnsi="Arial" w:cs="Arial"/>
          <w:sz w:val="22"/>
          <w:szCs w:val="22"/>
        </w:rPr>
        <w:t xml:space="preserve">. </w:t>
      </w:r>
      <w:r w:rsidR="00537D51" w:rsidRPr="00A60056">
        <w:rPr>
          <w:rFonts w:ascii="Arial" w:hAnsi="Arial" w:cs="Arial"/>
          <w:sz w:val="22"/>
          <w:szCs w:val="22"/>
        </w:rPr>
        <w:t xml:space="preserve">Se espera </w:t>
      </w:r>
      <w:r w:rsidR="00D90337" w:rsidRPr="00A60056">
        <w:rPr>
          <w:rFonts w:ascii="Arial" w:hAnsi="Arial" w:cs="Arial"/>
          <w:sz w:val="22"/>
          <w:szCs w:val="22"/>
        </w:rPr>
        <w:t xml:space="preserve">que OSE </w:t>
      </w:r>
      <w:r w:rsidR="00941D44" w:rsidRPr="00A60056">
        <w:rPr>
          <w:rFonts w:ascii="Arial" w:hAnsi="Arial" w:cs="Arial"/>
          <w:sz w:val="22"/>
          <w:szCs w:val="22"/>
        </w:rPr>
        <w:t xml:space="preserve">mantiene su alta capacidad para la </w:t>
      </w:r>
      <w:r w:rsidR="00770AC3" w:rsidRPr="00A60056">
        <w:rPr>
          <w:rFonts w:ascii="Arial" w:hAnsi="Arial" w:cs="Arial"/>
          <w:sz w:val="22"/>
          <w:szCs w:val="22"/>
        </w:rPr>
        <w:t xml:space="preserve">generación </w:t>
      </w:r>
      <w:r w:rsidR="00294EF9" w:rsidRPr="00A60056">
        <w:rPr>
          <w:rFonts w:ascii="Arial" w:hAnsi="Arial" w:cs="Arial"/>
          <w:sz w:val="22"/>
          <w:szCs w:val="22"/>
        </w:rPr>
        <w:t xml:space="preserve">del </w:t>
      </w:r>
      <w:r w:rsidR="00294EF9" w:rsidRPr="00A60056">
        <w:rPr>
          <w:rFonts w:ascii="Arial" w:hAnsi="Arial" w:cs="Arial"/>
          <w:sz w:val="22"/>
          <w:szCs w:val="22"/>
        </w:rPr>
        <w:t>flujo de caja operativo</w:t>
      </w:r>
      <w:r w:rsidR="00294EF9" w:rsidRPr="00A60056">
        <w:rPr>
          <w:rFonts w:ascii="Arial" w:hAnsi="Arial" w:cs="Arial"/>
          <w:sz w:val="22"/>
          <w:szCs w:val="22"/>
        </w:rPr>
        <w:t xml:space="preserve"> </w:t>
      </w:r>
      <w:r w:rsidR="00537D51" w:rsidRPr="00A60056">
        <w:rPr>
          <w:rFonts w:ascii="Arial" w:hAnsi="Arial" w:cs="Arial"/>
          <w:sz w:val="22"/>
          <w:szCs w:val="22"/>
        </w:rPr>
        <w:t>durante los próximos años</w:t>
      </w:r>
      <w:r w:rsidR="00BC467A" w:rsidRPr="00A60056">
        <w:rPr>
          <w:rFonts w:ascii="Arial" w:hAnsi="Arial" w:cs="Arial"/>
          <w:sz w:val="22"/>
          <w:szCs w:val="22"/>
        </w:rPr>
        <w:t xml:space="preserve"> (</w:t>
      </w:r>
      <w:r w:rsidR="00BC467A" w:rsidRPr="00A60056">
        <w:rPr>
          <w:rFonts w:ascii="Arial" w:hAnsi="Arial" w:cs="Arial"/>
          <w:sz w:val="22"/>
          <w:szCs w:val="22"/>
        </w:rPr>
        <w:t>en el promedio US$10</w:t>
      </w:r>
      <w:r w:rsidR="00BC467A" w:rsidRPr="00A60056">
        <w:rPr>
          <w:rFonts w:ascii="Arial" w:hAnsi="Arial" w:cs="Arial"/>
          <w:sz w:val="22"/>
          <w:szCs w:val="22"/>
        </w:rPr>
        <w:t>9</w:t>
      </w:r>
      <w:r w:rsidR="00BC467A" w:rsidRPr="00A60056">
        <w:rPr>
          <w:rFonts w:ascii="Arial" w:hAnsi="Arial" w:cs="Arial"/>
          <w:sz w:val="22"/>
          <w:szCs w:val="22"/>
        </w:rPr>
        <w:t xml:space="preserve"> millones</w:t>
      </w:r>
      <w:r w:rsidR="00BC467A" w:rsidRPr="00A60056">
        <w:rPr>
          <w:rFonts w:ascii="Arial" w:hAnsi="Arial" w:cs="Arial"/>
          <w:sz w:val="22"/>
          <w:szCs w:val="22"/>
        </w:rPr>
        <w:t>)</w:t>
      </w:r>
      <w:r w:rsidR="00C24674" w:rsidRPr="00A60056">
        <w:rPr>
          <w:rFonts w:ascii="Arial" w:hAnsi="Arial" w:cs="Arial"/>
          <w:sz w:val="22"/>
          <w:szCs w:val="22"/>
        </w:rPr>
        <w:t>, lo cual refleja el alto y estable margen EBITDA de la empresa</w:t>
      </w:r>
      <w:r w:rsidR="00C27947" w:rsidRPr="00A60056">
        <w:rPr>
          <w:rFonts w:ascii="Arial" w:hAnsi="Arial" w:cs="Arial"/>
          <w:sz w:val="22"/>
          <w:szCs w:val="22"/>
        </w:rPr>
        <w:t xml:space="preserve">. </w:t>
      </w:r>
      <w:r w:rsidR="003002AF" w:rsidRPr="00A60056">
        <w:rPr>
          <w:rFonts w:ascii="Arial" w:hAnsi="Arial" w:cs="Arial"/>
          <w:sz w:val="22"/>
          <w:szCs w:val="22"/>
        </w:rPr>
        <w:t xml:space="preserve">Se espera un mínimo impacto </w:t>
      </w:r>
      <w:r w:rsidR="003002AF" w:rsidRPr="00A60056">
        <w:rPr>
          <w:rFonts w:ascii="Arial" w:hAnsi="Arial" w:cs="Arial"/>
          <w:sz w:val="22"/>
          <w:szCs w:val="22"/>
        </w:rPr>
        <w:t>por</w:t>
      </w:r>
      <w:r w:rsidR="00C27947" w:rsidRPr="00A60056">
        <w:rPr>
          <w:rFonts w:ascii="Arial" w:hAnsi="Arial" w:cs="Arial"/>
          <w:sz w:val="22"/>
          <w:szCs w:val="22"/>
        </w:rPr>
        <w:t xml:space="preserve"> </w:t>
      </w:r>
      <w:r w:rsidR="00C27947" w:rsidRPr="00A60056">
        <w:rPr>
          <w:rFonts w:ascii="Arial" w:hAnsi="Arial" w:cs="Arial"/>
          <w:sz w:val="22"/>
          <w:szCs w:val="22"/>
        </w:rPr>
        <w:t>el movimiento del capital de trabajo</w:t>
      </w:r>
      <w:r w:rsidR="000036C6" w:rsidRPr="00A60056">
        <w:rPr>
          <w:rFonts w:ascii="Arial" w:hAnsi="Arial" w:cs="Arial"/>
          <w:sz w:val="22"/>
          <w:szCs w:val="22"/>
        </w:rPr>
        <w:t>.</w:t>
      </w:r>
    </w:p>
    <w:p w14:paraId="46778283" w14:textId="6C079990" w:rsidR="00537D51" w:rsidRPr="00A60056" w:rsidRDefault="00826C35" w:rsidP="00537D51">
      <w:pPr>
        <w:pStyle w:val="Paragraph"/>
        <w:tabs>
          <w:tab w:val="num" w:pos="720"/>
        </w:tabs>
        <w:ind w:left="720" w:hanging="720"/>
        <w:rPr>
          <w:rFonts w:ascii="Arial" w:hAnsi="Arial" w:cs="Arial"/>
          <w:sz w:val="22"/>
          <w:szCs w:val="22"/>
        </w:rPr>
      </w:pPr>
      <w:r w:rsidRPr="00A60056">
        <w:rPr>
          <w:rFonts w:ascii="Arial" w:hAnsi="Arial" w:cs="Arial"/>
          <w:i/>
          <w:sz w:val="22"/>
          <w:szCs w:val="22"/>
        </w:rPr>
        <w:t>Programa de Inversiones.</w:t>
      </w:r>
      <w:r w:rsidRPr="00A60056">
        <w:rPr>
          <w:rFonts w:ascii="Arial" w:hAnsi="Arial" w:cs="Arial"/>
          <w:sz w:val="22"/>
          <w:szCs w:val="22"/>
        </w:rPr>
        <w:t xml:space="preserve"> </w:t>
      </w:r>
      <w:r w:rsidR="00B83ED3" w:rsidRPr="00A60056">
        <w:rPr>
          <w:rFonts w:ascii="Arial" w:hAnsi="Arial" w:cs="Arial"/>
          <w:sz w:val="22"/>
          <w:szCs w:val="22"/>
        </w:rPr>
        <w:t>Entre el 201</w:t>
      </w:r>
      <w:r w:rsidR="00E00676">
        <w:rPr>
          <w:rFonts w:ascii="Arial" w:hAnsi="Arial" w:cs="Arial"/>
          <w:sz w:val="22"/>
          <w:szCs w:val="22"/>
        </w:rPr>
        <w:t>8</w:t>
      </w:r>
      <w:r w:rsidR="00B83ED3" w:rsidRPr="00A60056">
        <w:rPr>
          <w:rFonts w:ascii="Arial" w:hAnsi="Arial" w:cs="Arial"/>
          <w:sz w:val="22"/>
          <w:szCs w:val="22"/>
        </w:rPr>
        <w:t xml:space="preserve"> y 202</w:t>
      </w:r>
      <w:r w:rsidR="00A40637" w:rsidRPr="00A60056">
        <w:rPr>
          <w:rFonts w:ascii="Arial" w:hAnsi="Arial" w:cs="Arial"/>
          <w:sz w:val="22"/>
          <w:szCs w:val="22"/>
        </w:rPr>
        <w:t>1</w:t>
      </w:r>
      <w:r w:rsidR="00F7565D" w:rsidRPr="00A60056">
        <w:rPr>
          <w:rFonts w:ascii="Arial" w:hAnsi="Arial" w:cs="Arial"/>
          <w:sz w:val="22"/>
          <w:szCs w:val="22"/>
        </w:rPr>
        <w:t xml:space="preserve">, </w:t>
      </w:r>
      <w:r w:rsidR="00B83ED3" w:rsidRPr="00A60056">
        <w:rPr>
          <w:rFonts w:ascii="Arial" w:hAnsi="Arial" w:cs="Arial"/>
          <w:sz w:val="22"/>
          <w:szCs w:val="22"/>
        </w:rPr>
        <w:t xml:space="preserve">se proyecta </w:t>
      </w:r>
      <w:r w:rsidR="00A40637" w:rsidRPr="00A60056">
        <w:rPr>
          <w:rFonts w:ascii="Arial" w:hAnsi="Arial" w:cs="Arial"/>
          <w:sz w:val="22"/>
          <w:szCs w:val="22"/>
        </w:rPr>
        <w:t xml:space="preserve">que </w:t>
      </w:r>
      <w:r w:rsidR="008C4624" w:rsidRPr="00A60056">
        <w:rPr>
          <w:rFonts w:ascii="Arial" w:hAnsi="Arial" w:cs="Arial"/>
          <w:sz w:val="22"/>
          <w:szCs w:val="22"/>
        </w:rPr>
        <w:t>OSE</w:t>
      </w:r>
      <w:r w:rsidR="00A40637" w:rsidRPr="00A60056">
        <w:rPr>
          <w:rFonts w:ascii="Arial" w:hAnsi="Arial" w:cs="Arial"/>
          <w:sz w:val="22"/>
          <w:szCs w:val="22"/>
        </w:rPr>
        <w:t xml:space="preserve"> invierte aproximadamente US$</w:t>
      </w:r>
      <w:r w:rsidR="008C4624" w:rsidRPr="00A60056">
        <w:rPr>
          <w:rFonts w:ascii="Arial" w:hAnsi="Arial" w:cs="Arial"/>
          <w:sz w:val="22"/>
          <w:szCs w:val="22"/>
        </w:rPr>
        <w:t>102</w:t>
      </w:r>
      <w:r w:rsidR="00A40637" w:rsidRPr="00A60056">
        <w:rPr>
          <w:rFonts w:ascii="Arial" w:hAnsi="Arial" w:cs="Arial"/>
          <w:sz w:val="22"/>
          <w:szCs w:val="22"/>
        </w:rPr>
        <w:t xml:space="preserve"> millones en el promedio anual, lo cual es </w:t>
      </w:r>
      <w:r w:rsidR="00F57174" w:rsidRPr="00A60056">
        <w:rPr>
          <w:rFonts w:ascii="Arial" w:hAnsi="Arial" w:cs="Arial"/>
          <w:sz w:val="22"/>
          <w:szCs w:val="22"/>
        </w:rPr>
        <w:t xml:space="preserve">casi </w:t>
      </w:r>
      <w:r w:rsidR="00A40637" w:rsidRPr="00A60056">
        <w:rPr>
          <w:rFonts w:ascii="Arial" w:hAnsi="Arial" w:cs="Arial"/>
          <w:sz w:val="22"/>
          <w:szCs w:val="22"/>
        </w:rPr>
        <w:t xml:space="preserve">equivalente al nivel de inversión que hizo </w:t>
      </w:r>
      <w:r w:rsidR="00C4567E" w:rsidRPr="00A60056">
        <w:rPr>
          <w:rFonts w:ascii="Arial" w:hAnsi="Arial" w:cs="Arial"/>
          <w:sz w:val="22"/>
          <w:szCs w:val="22"/>
        </w:rPr>
        <w:t>la entidad</w:t>
      </w:r>
      <w:r w:rsidR="00A40637" w:rsidRPr="00A60056">
        <w:rPr>
          <w:rFonts w:ascii="Arial" w:hAnsi="Arial" w:cs="Arial"/>
          <w:sz w:val="22"/>
          <w:szCs w:val="22"/>
        </w:rPr>
        <w:t xml:space="preserve"> </w:t>
      </w:r>
      <w:r w:rsidR="00F57174" w:rsidRPr="00A60056">
        <w:rPr>
          <w:rFonts w:ascii="Arial" w:hAnsi="Arial" w:cs="Arial"/>
          <w:sz w:val="22"/>
          <w:szCs w:val="22"/>
        </w:rPr>
        <w:t xml:space="preserve">durante </w:t>
      </w:r>
      <w:r w:rsidR="00C4567E" w:rsidRPr="00A60056">
        <w:rPr>
          <w:rFonts w:ascii="Arial" w:hAnsi="Arial" w:cs="Arial"/>
          <w:sz w:val="22"/>
          <w:szCs w:val="22"/>
        </w:rPr>
        <w:t>el periodo 2015-2017 (US$98 millones/año)</w:t>
      </w:r>
      <w:r w:rsidR="00A40637" w:rsidRPr="00A60056">
        <w:rPr>
          <w:rFonts w:ascii="Arial" w:hAnsi="Arial" w:cs="Arial"/>
          <w:sz w:val="22"/>
          <w:szCs w:val="22"/>
        </w:rPr>
        <w:t xml:space="preserve">. </w:t>
      </w:r>
    </w:p>
    <w:p w14:paraId="06EE1F86" w14:textId="6F72F00C" w:rsidR="00294EF9" w:rsidRPr="00A60056" w:rsidRDefault="00294EF9" w:rsidP="00294EF9">
      <w:pPr>
        <w:pStyle w:val="Paragraph"/>
        <w:tabs>
          <w:tab w:val="num" w:pos="720"/>
        </w:tabs>
        <w:ind w:left="720" w:hanging="720"/>
        <w:rPr>
          <w:rFonts w:ascii="Arial" w:hAnsi="Arial" w:cs="Arial"/>
          <w:sz w:val="22"/>
          <w:szCs w:val="22"/>
        </w:rPr>
      </w:pPr>
      <w:r w:rsidRPr="00A60056">
        <w:rPr>
          <w:rFonts w:ascii="Arial" w:hAnsi="Arial" w:cs="Arial"/>
          <w:i/>
          <w:sz w:val="22"/>
          <w:szCs w:val="22"/>
        </w:rPr>
        <w:t>Financiamiento.</w:t>
      </w:r>
      <w:r w:rsidRPr="00A60056">
        <w:rPr>
          <w:rFonts w:ascii="Arial" w:hAnsi="Arial" w:cs="Arial"/>
          <w:sz w:val="22"/>
          <w:szCs w:val="22"/>
        </w:rPr>
        <w:t xml:space="preserve"> Durante los </w:t>
      </w:r>
      <w:r w:rsidR="00C2610D" w:rsidRPr="00A60056">
        <w:rPr>
          <w:rFonts w:ascii="Arial" w:hAnsi="Arial" w:cs="Arial"/>
          <w:sz w:val="22"/>
          <w:szCs w:val="22"/>
        </w:rPr>
        <w:t>primeros cinco</w:t>
      </w:r>
      <w:r w:rsidRPr="00A60056">
        <w:rPr>
          <w:rFonts w:ascii="Arial" w:hAnsi="Arial" w:cs="Arial"/>
          <w:sz w:val="22"/>
          <w:szCs w:val="22"/>
        </w:rPr>
        <w:t xml:space="preserve"> años</w:t>
      </w:r>
      <w:r w:rsidR="00C2610D" w:rsidRPr="00A60056">
        <w:rPr>
          <w:rFonts w:ascii="Arial" w:hAnsi="Arial" w:cs="Arial"/>
          <w:sz w:val="22"/>
          <w:szCs w:val="22"/>
        </w:rPr>
        <w:t xml:space="preserve"> de la proyección</w:t>
      </w:r>
      <w:r w:rsidRPr="00A60056">
        <w:rPr>
          <w:rFonts w:ascii="Arial" w:hAnsi="Arial" w:cs="Arial"/>
          <w:sz w:val="22"/>
          <w:szCs w:val="22"/>
        </w:rPr>
        <w:t>,</w:t>
      </w:r>
      <w:r w:rsidR="00C2610D" w:rsidRPr="00A60056">
        <w:rPr>
          <w:rFonts w:ascii="Arial" w:hAnsi="Arial" w:cs="Arial"/>
          <w:sz w:val="22"/>
          <w:szCs w:val="22"/>
        </w:rPr>
        <w:t xml:space="preserve"> </w:t>
      </w:r>
      <w:r w:rsidR="00F7729D">
        <w:rPr>
          <w:rFonts w:ascii="Arial" w:hAnsi="Arial" w:cs="Arial"/>
          <w:sz w:val="22"/>
          <w:szCs w:val="22"/>
        </w:rPr>
        <w:t>en el promedio a</w:t>
      </w:r>
      <w:r w:rsidR="00A30707">
        <w:rPr>
          <w:rFonts w:ascii="Arial" w:hAnsi="Arial" w:cs="Arial"/>
          <w:sz w:val="22"/>
          <w:szCs w:val="22"/>
        </w:rPr>
        <w:t>n</w:t>
      </w:r>
      <w:r w:rsidR="00F7729D">
        <w:rPr>
          <w:rFonts w:ascii="Arial" w:hAnsi="Arial" w:cs="Arial"/>
          <w:sz w:val="22"/>
          <w:szCs w:val="22"/>
        </w:rPr>
        <w:t xml:space="preserve">ual </w:t>
      </w:r>
      <w:r w:rsidR="00C2610D" w:rsidRPr="00A60056">
        <w:rPr>
          <w:rFonts w:ascii="Arial" w:hAnsi="Arial" w:cs="Arial"/>
          <w:sz w:val="22"/>
          <w:szCs w:val="22"/>
        </w:rPr>
        <w:t xml:space="preserve">OSE tendrá </w:t>
      </w:r>
      <w:r w:rsidR="00681690" w:rsidRPr="00A60056">
        <w:rPr>
          <w:rFonts w:ascii="Arial" w:hAnsi="Arial" w:cs="Arial"/>
          <w:sz w:val="22"/>
          <w:szCs w:val="22"/>
        </w:rPr>
        <w:t xml:space="preserve">el monto de </w:t>
      </w:r>
      <w:r w:rsidR="00DA259B" w:rsidRPr="00A60056">
        <w:rPr>
          <w:rFonts w:ascii="Arial" w:hAnsi="Arial" w:cs="Arial"/>
          <w:sz w:val="22"/>
          <w:szCs w:val="22"/>
        </w:rPr>
        <w:t>obtención neta de deudas financieras de unos US$10</w:t>
      </w:r>
      <w:r w:rsidR="006D7B99" w:rsidRPr="00A60056">
        <w:rPr>
          <w:rFonts w:ascii="Arial" w:hAnsi="Arial" w:cs="Arial"/>
          <w:sz w:val="22"/>
          <w:szCs w:val="22"/>
        </w:rPr>
        <w:t xml:space="preserve"> millones. En el mismo periodo, </w:t>
      </w:r>
      <w:r w:rsidR="009F782A" w:rsidRPr="00A60056">
        <w:rPr>
          <w:rFonts w:ascii="Arial" w:hAnsi="Arial" w:cs="Arial"/>
          <w:sz w:val="22"/>
          <w:szCs w:val="22"/>
        </w:rPr>
        <w:t>se proyecta los pagos de intereses con el monto promedio anual de US$</w:t>
      </w:r>
      <w:r w:rsidR="00C53476" w:rsidRPr="00A60056">
        <w:rPr>
          <w:rFonts w:ascii="Arial" w:hAnsi="Arial" w:cs="Arial"/>
          <w:sz w:val="22"/>
          <w:szCs w:val="22"/>
        </w:rPr>
        <w:t xml:space="preserve">17 millones. Como resultado, OSE obtendrá </w:t>
      </w:r>
      <w:r w:rsidRPr="00A60056">
        <w:rPr>
          <w:rFonts w:ascii="Arial" w:hAnsi="Arial" w:cs="Arial"/>
          <w:sz w:val="22"/>
          <w:szCs w:val="22"/>
        </w:rPr>
        <w:t>el flujo de caja</w:t>
      </w:r>
      <w:r w:rsidR="00E7343D" w:rsidRPr="00A60056">
        <w:rPr>
          <w:rFonts w:ascii="Arial" w:hAnsi="Arial" w:cs="Arial"/>
          <w:sz w:val="22"/>
          <w:szCs w:val="22"/>
        </w:rPr>
        <w:t xml:space="preserve"> </w:t>
      </w:r>
      <w:r w:rsidR="00E7343D" w:rsidRPr="00A60056">
        <w:rPr>
          <w:rFonts w:ascii="Arial" w:hAnsi="Arial" w:cs="Arial"/>
          <w:sz w:val="22"/>
          <w:szCs w:val="22"/>
        </w:rPr>
        <w:t>de financiamiento</w:t>
      </w:r>
      <w:r w:rsidR="00E7343D" w:rsidRPr="00A60056">
        <w:rPr>
          <w:rFonts w:ascii="Arial" w:hAnsi="Arial" w:cs="Arial"/>
          <w:sz w:val="22"/>
          <w:szCs w:val="22"/>
        </w:rPr>
        <w:t xml:space="preserve"> neto negativo</w:t>
      </w:r>
      <w:r w:rsidRPr="00A60056">
        <w:rPr>
          <w:rFonts w:ascii="Arial" w:hAnsi="Arial" w:cs="Arial"/>
          <w:sz w:val="22"/>
          <w:szCs w:val="22"/>
        </w:rPr>
        <w:t xml:space="preserve"> de unos US$</w:t>
      </w:r>
      <w:r w:rsidR="00C94498" w:rsidRPr="00A60056">
        <w:rPr>
          <w:rFonts w:ascii="Arial" w:hAnsi="Arial" w:cs="Arial"/>
          <w:sz w:val="22"/>
          <w:szCs w:val="22"/>
        </w:rPr>
        <w:t>7</w:t>
      </w:r>
      <w:r w:rsidRPr="00A60056">
        <w:rPr>
          <w:rFonts w:ascii="Arial" w:hAnsi="Arial" w:cs="Arial"/>
          <w:sz w:val="22"/>
          <w:szCs w:val="22"/>
        </w:rPr>
        <w:t xml:space="preserve"> millones</w:t>
      </w:r>
      <w:r w:rsidR="006B510A" w:rsidRPr="00A60056">
        <w:rPr>
          <w:rFonts w:ascii="Arial" w:hAnsi="Arial" w:cs="Arial"/>
          <w:sz w:val="22"/>
          <w:szCs w:val="22"/>
        </w:rPr>
        <w:t>,</w:t>
      </w:r>
      <w:r w:rsidRPr="00A60056">
        <w:rPr>
          <w:rFonts w:ascii="Arial" w:hAnsi="Arial" w:cs="Arial"/>
          <w:sz w:val="22"/>
          <w:szCs w:val="22"/>
        </w:rPr>
        <w:t xml:space="preserve"> en el promedio anual. </w:t>
      </w:r>
    </w:p>
    <w:p w14:paraId="783C0036" w14:textId="2BBFF3B5" w:rsidR="00294EF9" w:rsidRPr="00A60056" w:rsidRDefault="00294EF9" w:rsidP="00294EF9">
      <w:pPr>
        <w:pStyle w:val="Paragraph"/>
        <w:tabs>
          <w:tab w:val="num" w:pos="720"/>
        </w:tabs>
        <w:ind w:left="720" w:hanging="720"/>
        <w:rPr>
          <w:rFonts w:ascii="Arial" w:hAnsi="Arial" w:cs="Arial"/>
          <w:sz w:val="22"/>
          <w:szCs w:val="22"/>
        </w:rPr>
      </w:pPr>
      <w:r w:rsidRPr="00A60056">
        <w:rPr>
          <w:rFonts w:ascii="Arial" w:hAnsi="Arial" w:cs="Arial"/>
          <w:i/>
          <w:sz w:val="22"/>
          <w:szCs w:val="22"/>
        </w:rPr>
        <w:t>Flujo de caja del ejercicio</w:t>
      </w:r>
      <w:r w:rsidRPr="00A60056">
        <w:rPr>
          <w:rFonts w:ascii="Arial" w:hAnsi="Arial" w:cs="Arial"/>
          <w:sz w:val="22"/>
          <w:szCs w:val="22"/>
        </w:rPr>
        <w:t xml:space="preserve">. </w:t>
      </w:r>
      <w:r w:rsidR="006B510A" w:rsidRPr="00A60056">
        <w:rPr>
          <w:rFonts w:ascii="Arial" w:hAnsi="Arial" w:cs="Arial"/>
          <w:sz w:val="22"/>
          <w:szCs w:val="22"/>
        </w:rPr>
        <w:t xml:space="preserve">Se </w:t>
      </w:r>
      <w:r w:rsidR="00F22AD3" w:rsidRPr="00A60056">
        <w:rPr>
          <w:rFonts w:ascii="Arial" w:hAnsi="Arial" w:cs="Arial"/>
          <w:sz w:val="22"/>
          <w:szCs w:val="22"/>
        </w:rPr>
        <w:t xml:space="preserve">espera que OSE podrá mantener el equilibrio de la caja durante </w:t>
      </w:r>
      <w:r w:rsidR="00E61974" w:rsidRPr="00A60056">
        <w:rPr>
          <w:rFonts w:ascii="Arial" w:hAnsi="Arial" w:cs="Arial"/>
          <w:sz w:val="22"/>
          <w:szCs w:val="22"/>
        </w:rPr>
        <w:t xml:space="preserve">los próximos 5 años, por lo cual </w:t>
      </w:r>
      <w:r w:rsidR="00163F0D" w:rsidRPr="00A60056">
        <w:rPr>
          <w:rFonts w:ascii="Arial" w:hAnsi="Arial" w:cs="Arial"/>
          <w:sz w:val="22"/>
          <w:szCs w:val="22"/>
        </w:rPr>
        <w:t>se proyecta en el promedio</w:t>
      </w:r>
      <w:r w:rsidR="00754205" w:rsidRPr="00A60056">
        <w:rPr>
          <w:rFonts w:ascii="Arial" w:hAnsi="Arial" w:cs="Arial"/>
          <w:sz w:val="22"/>
          <w:szCs w:val="22"/>
        </w:rPr>
        <w:t xml:space="preserve"> anual entre 201</w:t>
      </w:r>
      <w:r w:rsidR="00E00676">
        <w:rPr>
          <w:rFonts w:ascii="Arial" w:hAnsi="Arial" w:cs="Arial"/>
          <w:sz w:val="22"/>
          <w:szCs w:val="22"/>
        </w:rPr>
        <w:t>8</w:t>
      </w:r>
      <w:r w:rsidR="00754205" w:rsidRPr="00A60056">
        <w:rPr>
          <w:rFonts w:ascii="Arial" w:hAnsi="Arial" w:cs="Arial"/>
          <w:sz w:val="22"/>
          <w:szCs w:val="22"/>
        </w:rPr>
        <w:t xml:space="preserve">-2022, US$0 millones de </w:t>
      </w:r>
      <w:r w:rsidR="00A60056" w:rsidRPr="00A60056">
        <w:rPr>
          <w:rFonts w:ascii="Arial" w:hAnsi="Arial" w:cs="Arial"/>
          <w:sz w:val="22"/>
          <w:szCs w:val="22"/>
        </w:rPr>
        <w:t>flujo de caja del ejercicio.</w:t>
      </w:r>
    </w:p>
    <w:p w14:paraId="2FC48CF4" w14:textId="5856C2DA" w:rsidR="00770AC3" w:rsidRPr="00135D02" w:rsidRDefault="00D27CDF" w:rsidP="00B35E51">
      <w:pPr>
        <w:pStyle w:val="Paragraph"/>
        <w:numPr>
          <w:ilvl w:val="0"/>
          <w:numId w:val="0"/>
        </w:numPr>
        <w:ind w:left="1386" w:hanging="1296"/>
        <w:jc w:val="center"/>
        <w:rPr>
          <w:rFonts w:ascii="Arial" w:hAnsi="Arial" w:cs="Arial"/>
          <w:sz w:val="22"/>
          <w:szCs w:val="22"/>
          <w:u w:val="single"/>
        </w:rPr>
      </w:pPr>
      <w:r w:rsidRPr="00135D02">
        <w:rPr>
          <w:rFonts w:ascii="Arial" w:hAnsi="Arial" w:cs="Arial"/>
          <w:sz w:val="22"/>
          <w:szCs w:val="22"/>
          <w:u w:val="single"/>
        </w:rPr>
        <w:t xml:space="preserve">Cuadro </w:t>
      </w:r>
      <w:r w:rsidR="002829FE">
        <w:rPr>
          <w:rFonts w:ascii="Arial" w:hAnsi="Arial" w:cs="Arial"/>
          <w:sz w:val="22"/>
          <w:szCs w:val="22"/>
          <w:u w:val="single"/>
          <w:lang w:val="es-419"/>
        </w:rPr>
        <w:t>5</w:t>
      </w:r>
      <w:r w:rsidRPr="00135D02">
        <w:rPr>
          <w:rFonts w:ascii="Arial" w:hAnsi="Arial" w:cs="Arial"/>
          <w:sz w:val="22"/>
          <w:szCs w:val="22"/>
          <w:u w:val="single"/>
        </w:rPr>
        <w:t>. Estado de Flujo de Caja Proyectado (en mil</w:t>
      </w:r>
      <w:r w:rsidR="00276398" w:rsidRPr="00135D02">
        <w:rPr>
          <w:rFonts w:ascii="Arial" w:hAnsi="Arial" w:cs="Arial"/>
          <w:sz w:val="22"/>
          <w:szCs w:val="22"/>
          <w:u w:val="single"/>
        </w:rPr>
        <w:t>e</w:t>
      </w:r>
      <w:r w:rsidRPr="00135D02">
        <w:rPr>
          <w:rFonts w:ascii="Arial" w:hAnsi="Arial" w:cs="Arial"/>
          <w:sz w:val="22"/>
          <w:szCs w:val="22"/>
          <w:u w:val="single"/>
        </w:rPr>
        <w:t xml:space="preserve">s de </w:t>
      </w:r>
      <w:r w:rsidR="00403289">
        <w:rPr>
          <w:rFonts w:ascii="Arial" w:hAnsi="Arial" w:cs="Arial"/>
          <w:sz w:val="22"/>
          <w:szCs w:val="22"/>
          <w:u w:val="single"/>
        </w:rPr>
        <w:t>US$ de 2017</w:t>
      </w:r>
      <w:r w:rsidRPr="00135D02">
        <w:rPr>
          <w:rFonts w:ascii="Arial" w:hAnsi="Arial" w:cs="Arial"/>
          <w:sz w:val="22"/>
          <w:szCs w:val="22"/>
          <w:u w:val="single"/>
        </w:rPr>
        <w:t>)</w:t>
      </w:r>
    </w:p>
    <w:p w14:paraId="1EEB2EE8" w14:textId="447A95C7" w:rsidR="00B74F44" w:rsidRPr="00135D02" w:rsidRDefault="00184F3C" w:rsidP="00B35E51">
      <w:pPr>
        <w:pStyle w:val="Paragraph"/>
        <w:numPr>
          <w:ilvl w:val="0"/>
          <w:numId w:val="0"/>
        </w:numPr>
        <w:ind w:left="1386" w:hanging="1296"/>
        <w:jc w:val="center"/>
        <w:rPr>
          <w:rFonts w:ascii="Arial" w:hAnsi="Arial" w:cs="Arial"/>
          <w:sz w:val="22"/>
          <w:szCs w:val="22"/>
          <w:u w:val="single"/>
        </w:rPr>
      </w:pPr>
      <w:r w:rsidRPr="00184F3C">
        <w:drawing>
          <wp:inline distT="0" distB="0" distL="0" distR="0" wp14:anchorId="17666BFB" wp14:editId="3E6FE80C">
            <wp:extent cx="5486400" cy="251256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512565"/>
                    </a:xfrm>
                    <a:prstGeom prst="rect">
                      <a:avLst/>
                    </a:prstGeom>
                    <a:noFill/>
                    <a:ln>
                      <a:noFill/>
                    </a:ln>
                  </pic:spPr>
                </pic:pic>
              </a:graphicData>
            </a:graphic>
          </wp:inline>
        </w:drawing>
      </w:r>
    </w:p>
    <w:p w14:paraId="4F8A2108" w14:textId="4B83FA0F" w:rsidR="00B74F44" w:rsidRPr="00135D02" w:rsidRDefault="00B74F44" w:rsidP="00B35E51">
      <w:pPr>
        <w:pStyle w:val="Paragraph"/>
        <w:numPr>
          <w:ilvl w:val="0"/>
          <w:numId w:val="0"/>
        </w:numPr>
        <w:ind w:left="1386" w:hanging="1296"/>
        <w:jc w:val="center"/>
        <w:rPr>
          <w:rFonts w:ascii="Arial" w:hAnsi="Arial" w:cs="Arial"/>
          <w:sz w:val="22"/>
          <w:szCs w:val="22"/>
          <w:u w:val="single"/>
        </w:rPr>
      </w:pPr>
    </w:p>
    <w:p w14:paraId="201D3137" w14:textId="1E894E1F" w:rsidR="00B74F44" w:rsidRPr="00135D02" w:rsidRDefault="00B74F44" w:rsidP="00B35E51">
      <w:pPr>
        <w:pStyle w:val="Paragraph"/>
        <w:numPr>
          <w:ilvl w:val="0"/>
          <w:numId w:val="0"/>
        </w:numPr>
        <w:ind w:left="1386" w:hanging="1296"/>
        <w:jc w:val="center"/>
        <w:rPr>
          <w:rFonts w:ascii="Arial" w:hAnsi="Arial" w:cs="Arial"/>
          <w:sz w:val="22"/>
          <w:szCs w:val="22"/>
          <w:u w:val="single"/>
        </w:rPr>
      </w:pPr>
    </w:p>
    <w:p w14:paraId="2260297C" w14:textId="0DE41BCC" w:rsidR="00136A0F" w:rsidRPr="00135D02" w:rsidRDefault="00136A0F" w:rsidP="00B35E51">
      <w:pPr>
        <w:pStyle w:val="Paragraph"/>
        <w:numPr>
          <w:ilvl w:val="0"/>
          <w:numId w:val="0"/>
        </w:numPr>
        <w:ind w:left="1386" w:hanging="1296"/>
        <w:jc w:val="center"/>
        <w:rPr>
          <w:rFonts w:ascii="Arial" w:hAnsi="Arial" w:cs="Arial"/>
          <w:sz w:val="22"/>
          <w:szCs w:val="22"/>
          <w:u w:val="single"/>
        </w:rPr>
      </w:pPr>
    </w:p>
    <w:p w14:paraId="5E244067" w14:textId="278F13D1" w:rsidR="00136A0F" w:rsidRPr="00135D02" w:rsidRDefault="00136A0F" w:rsidP="00B35E51">
      <w:pPr>
        <w:pStyle w:val="Paragraph"/>
        <w:numPr>
          <w:ilvl w:val="0"/>
          <w:numId w:val="0"/>
        </w:numPr>
        <w:ind w:left="1386" w:hanging="1296"/>
        <w:jc w:val="center"/>
        <w:rPr>
          <w:rFonts w:ascii="Arial" w:hAnsi="Arial" w:cs="Arial"/>
          <w:sz w:val="22"/>
          <w:szCs w:val="22"/>
          <w:u w:val="single"/>
        </w:rPr>
      </w:pPr>
    </w:p>
    <w:p w14:paraId="3588FAF4" w14:textId="40F2EB70" w:rsidR="0067124D" w:rsidRPr="00135D02" w:rsidRDefault="0067124D" w:rsidP="00BA4588">
      <w:pPr>
        <w:pStyle w:val="SecHeading"/>
        <w:tabs>
          <w:tab w:val="clear" w:pos="5400"/>
        </w:tabs>
        <w:ind w:left="1560" w:hanging="851"/>
        <w:rPr>
          <w:rFonts w:ascii="Arial" w:hAnsi="Arial" w:cs="Arial"/>
          <w:sz w:val="22"/>
          <w:szCs w:val="22"/>
        </w:rPr>
      </w:pPr>
      <w:r w:rsidRPr="00135D02">
        <w:rPr>
          <w:rFonts w:ascii="Arial" w:hAnsi="Arial" w:cs="Arial"/>
          <w:sz w:val="22"/>
          <w:szCs w:val="22"/>
        </w:rPr>
        <w:lastRenderedPageBreak/>
        <w:t>Balance General</w:t>
      </w:r>
    </w:p>
    <w:p w14:paraId="63103E47" w14:textId="7DA9B732" w:rsidR="00A779C6" w:rsidRPr="00BA1228" w:rsidRDefault="00A779C6" w:rsidP="00C80F44">
      <w:pPr>
        <w:pStyle w:val="Paragraph"/>
        <w:tabs>
          <w:tab w:val="num" w:pos="720"/>
        </w:tabs>
        <w:ind w:left="720" w:hanging="720"/>
        <w:rPr>
          <w:rFonts w:ascii="Arial" w:hAnsi="Arial" w:cs="Arial"/>
          <w:sz w:val="22"/>
          <w:szCs w:val="22"/>
        </w:rPr>
      </w:pPr>
      <w:r w:rsidRPr="00BA1228">
        <w:rPr>
          <w:rFonts w:ascii="Arial" w:hAnsi="Arial" w:cs="Arial"/>
          <w:b/>
          <w:sz w:val="22"/>
          <w:szCs w:val="22"/>
        </w:rPr>
        <w:t>Activo.</w:t>
      </w:r>
      <w:r w:rsidRPr="00BA1228">
        <w:rPr>
          <w:rFonts w:ascii="Arial" w:hAnsi="Arial" w:cs="Arial"/>
          <w:sz w:val="22"/>
          <w:szCs w:val="22"/>
        </w:rPr>
        <w:t xml:space="preserve"> El</w:t>
      </w:r>
      <w:r w:rsidR="00D27CDF" w:rsidRPr="00BA1228">
        <w:rPr>
          <w:rFonts w:ascii="Arial" w:hAnsi="Arial" w:cs="Arial"/>
          <w:sz w:val="22"/>
          <w:szCs w:val="22"/>
        </w:rPr>
        <w:t xml:space="preserve"> total de </w:t>
      </w:r>
      <w:r w:rsidR="00412CEF" w:rsidRPr="00BA1228">
        <w:rPr>
          <w:rFonts w:ascii="Arial" w:hAnsi="Arial" w:cs="Arial"/>
          <w:sz w:val="22"/>
          <w:szCs w:val="22"/>
        </w:rPr>
        <w:t xml:space="preserve">los </w:t>
      </w:r>
      <w:r w:rsidRPr="00BA1228">
        <w:rPr>
          <w:rFonts w:ascii="Arial" w:hAnsi="Arial" w:cs="Arial"/>
          <w:sz w:val="22"/>
          <w:szCs w:val="22"/>
        </w:rPr>
        <w:t>activo</w:t>
      </w:r>
      <w:r w:rsidR="00D27CDF" w:rsidRPr="00BA1228">
        <w:rPr>
          <w:rFonts w:ascii="Arial" w:hAnsi="Arial" w:cs="Arial"/>
          <w:sz w:val="22"/>
          <w:szCs w:val="22"/>
        </w:rPr>
        <w:t>s crecerá a un US$</w:t>
      </w:r>
      <w:r w:rsidR="00244F41" w:rsidRPr="00BA1228">
        <w:rPr>
          <w:rFonts w:ascii="Arial" w:hAnsi="Arial" w:cs="Arial"/>
          <w:sz w:val="22"/>
          <w:szCs w:val="22"/>
        </w:rPr>
        <w:t xml:space="preserve">2.102 </w:t>
      </w:r>
      <w:r w:rsidR="00D27CDF" w:rsidRPr="00BA1228">
        <w:rPr>
          <w:rFonts w:ascii="Arial" w:hAnsi="Arial" w:cs="Arial"/>
          <w:sz w:val="22"/>
          <w:szCs w:val="22"/>
        </w:rPr>
        <w:t>millones</w:t>
      </w:r>
      <w:r w:rsidR="001612E8" w:rsidRPr="00BA1228">
        <w:rPr>
          <w:rFonts w:ascii="Arial" w:hAnsi="Arial" w:cs="Arial"/>
          <w:sz w:val="22"/>
          <w:szCs w:val="22"/>
        </w:rPr>
        <w:t xml:space="preserve"> en el </w:t>
      </w:r>
      <w:r w:rsidR="005109AE" w:rsidRPr="00BA1228">
        <w:rPr>
          <w:rFonts w:ascii="Arial" w:hAnsi="Arial" w:cs="Arial"/>
          <w:sz w:val="22"/>
          <w:szCs w:val="22"/>
        </w:rPr>
        <w:t>202</w:t>
      </w:r>
      <w:r w:rsidR="00244F41" w:rsidRPr="00BA1228">
        <w:rPr>
          <w:rFonts w:ascii="Arial" w:hAnsi="Arial" w:cs="Arial"/>
          <w:sz w:val="22"/>
          <w:szCs w:val="22"/>
        </w:rPr>
        <w:t>2</w:t>
      </w:r>
      <w:r w:rsidR="00D27CDF" w:rsidRPr="00BA1228">
        <w:rPr>
          <w:rFonts w:ascii="Arial" w:hAnsi="Arial" w:cs="Arial"/>
          <w:sz w:val="22"/>
          <w:szCs w:val="22"/>
        </w:rPr>
        <w:t xml:space="preserve">, principalmente por el aumento de </w:t>
      </w:r>
      <w:r w:rsidR="00412CEF" w:rsidRPr="00BA1228">
        <w:rPr>
          <w:rFonts w:ascii="Arial" w:hAnsi="Arial" w:cs="Arial"/>
          <w:sz w:val="22"/>
          <w:szCs w:val="22"/>
        </w:rPr>
        <w:t>los activos fijos al</w:t>
      </w:r>
      <w:r w:rsidR="00D27CDF" w:rsidRPr="00BA1228">
        <w:rPr>
          <w:rFonts w:ascii="Arial" w:hAnsi="Arial" w:cs="Arial"/>
          <w:sz w:val="22"/>
          <w:szCs w:val="22"/>
        </w:rPr>
        <w:t xml:space="preserve"> incorporar</w:t>
      </w:r>
      <w:r w:rsidR="00412CEF" w:rsidRPr="00BA1228">
        <w:rPr>
          <w:rFonts w:ascii="Arial" w:hAnsi="Arial" w:cs="Arial"/>
          <w:sz w:val="22"/>
          <w:szCs w:val="22"/>
        </w:rPr>
        <w:t xml:space="preserve"> las obras </w:t>
      </w:r>
      <w:r w:rsidR="00244F41" w:rsidRPr="00BA1228">
        <w:rPr>
          <w:rFonts w:ascii="Arial" w:hAnsi="Arial" w:cs="Arial"/>
          <w:sz w:val="22"/>
          <w:szCs w:val="22"/>
        </w:rPr>
        <w:t xml:space="preserve">resultantes del programa de inversiones. </w:t>
      </w:r>
      <w:r w:rsidR="00412CEF" w:rsidRPr="00BA1228">
        <w:rPr>
          <w:rFonts w:ascii="Arial" w:hAnsi="Arial" w:cs="Arial"/>
          <w:sz w:val="22"/>
          <w:szCs w:val="22"/>
        </w:rPr>
        <w:t xml:space="preserve">La suma de los activos no corrientes representará un </w:t>
      </w:r>
      <w:r w:rsidR="00E378BD" w:rsidRPr="00BA1228">
        <w:rPr>
          <w:rFonts w:ascii="Arial" w:hAnsi="Arial" w:cs="Arial"/>
          <w:sz w:val="22"/>
          <w:szCs w:val="22"/>
        </w:rPr>
        <w:t>93</w:t>
      </w:r>
      <w:r w:rsidR="00412CEF" w:rsidRPr="00BA1228">
        <w:rPr>
          <w:rFonts w:ascii="Arial" w:hAnsi="Arial" w:cs="Arial"/>
          <w:sz w:val="22"/>
          <w:szCs w:val="22"/>
        </w:rPr>
        <w:t>% del total de los activos.</w:t>
      </w:r>
      <w:r w:rsidRPr="00BA1228">
        <w:rPr>
          <w:rFonts w:ascii="Arial" w:hAnsi="Arial" w:cs="Arial"/>
          <w:sz w:val="22"/>
          <w:szCs w:val="22"/>
        </w:rPr>
        <w:t xml:space="preserve"> </w:t>
      </w:r>
      <w:r w:rsidR="00412CEF" w:rsidRPr="00BA1228">
        <w:rPr>
          <w:rFonts w:ascii="Arial" w:hAnsi="Arial" w:cs="Arial"/>
          <w:sz w:val="22"/>
          <w:szCs w:val="22"/>
        </w:rPr>
        <w:t xml:space="preserve">Se </w:t>
      </w:r>
      <w:r w:rsidRPr="00BA1228">
        <w:rPr>
          <w:rFonts w:ascii="Arial" w:hAnsi="Arial" w:cs="Arial"/>
          <w:sz w:val="22"/>
          <w:szCs w:val="22"/>
        </w:rPr>
        <w:t>proyecta</w:t>
      </w:r>
      <w:r w:rsidR="00412CEF" w:rsidRPr="00BA1228">
        <w:rPr>
          <w:rFonts w:ascii="Arial" w:hAnsi="Arial" w:cs="Arial"/>
          <w:sz w:val="22"/>
          <w:szCs w:val="22"/>
        </w:rPr>
        <w:t xml:space="preserve"> que el total de activos corrientes</w:t>
      </w:r>
      <w:r w:rsidR="006A34E0" w:rsidRPr="00BA1228">
        <w:rPr>
          <w:rFonts w:ascii="Arial" w:hAnsi="Arial" w:cs="Arial"/>
          <w:sz w:val="22"/>
          <w:szCs w:val="22"/>
        </w:rPr>
        <w:t xml:space="preserve"> (</w:t>
      </w:r>
      <w:r w:rsidR="002B3ACA" w:rsidRPr="00BA1228">
        <w:rPr>
          <w:rFonts w:ascii="Arial" w:hAnsi="Arial" w:cs="Arial"/>
          <w:sz w:val="22"/>
          <w:szCs w:val="22"/>
        </w:rPr>
        <w:t>7</w:t>
      </w:r>
      <w:r w:rsidR="006A34E0" w:rsidRPr="00BA1228">
        <w:rPr>
          <w:rFonts w:ascii="Arial" w:hAnsi="Arial" w:cs="Arial"/>
          <w:sz w:val="22"/>
          <w:szCs w:val="22"/>
        </w:rPr>
        <w:t>% del total de los activos)</w:t>
      </w:r>
      <w:r w:rsidRPr="00BA1228">
        <w:rPr>
          <w:rFonts w:ascii="Arial" w:hAnsi="Arial" w:cs="Arial"/>
          <w:sz w:val="22"/>
          <w:szCs w:val="22"/>
        </w:rPr>
        <w:t xml:space="preserve"> </w:t>
      </w:r>
      <w:r w:rsidR="00412CEF" w:rsidRPr="00BA1228">
        <w:rPr>
          <w:rFonts w:ascii="Arial" w:hAnsi="Arial" w:cs="Arial"/>
          <w:sz w:val="22"/>
          <w:szCs w:val="22"/>
        </w:rPr>
        <w:t xml:space="preserve">cubrirá </w:t>
      </w:r>
      <w:r w:rsidR="004A5CFF" w:rsidRPr="00BA1228">
        <w:rPr>
          <w:rFonts w:ascii="Arial" w:hAnsi="Arial" w:cs="Arial"/>
          <w:sz w:val="22"/>
          <w:szCs w:val="22"/>
        </w:rPr>
        <w:t>0</w:t>
      </w:r>
      <w:r w:rsidR="00412CEF" w:rsidRPr="00BA1228">
        <w:rPr>
          <w:rFonts w:ascii="Arial" w:hAnsi="Arial" w:cs="Arial"/>
          <w:sz w:val="22"/>
          <w:szCs w:val="22"/>
        </w:rPr>
        <w:t>,</w:t>
      </w:r>
      <w:r w:rsidR="004A5CFF" w:rsidRPr="00BA1228">
        <w:rPr>
          <w:rFonts w:ascii="Arial" w:hAnsi="Arial" w:cs="Arial"/>
          <w:sz w:val="22"/>
          <w:szCs w:val="22"/>
        </w:rPr>
        <w:t>8</w:t>
      </w:r>
      <w:r w:rsidR="005109AE" w:rsidRPr="00BA1228">
        <w:rPr>
          <w:rFonts w:ascii="Arial" w:hAnsi="Arial" w:cs="Arial"/>
          <w:sz w:val="22"/>
          <w:szCs w:val="22"/>
        </w:rPr>
        <w:t xml:space="preserve"> </w:t>
      </w:r>
      <w:r w:rsidR="00412CEF" w:rsidRPr="00BA1228">
        <w:rPr>
          <w:rFonts w:ascii="Arial" w:hAnsi="Arial" w:cs="Arial"/>
          <w:sz w:val="22"/>
          <w:szCs w:val="22"/>
        </w:rPr>
        <w:t>veces</w:t>
      </w:r>
      <w:r w:rsidRPr="00BA1228">
        <w:rPr>
          <w:rFonts w:ascii="Arial" w:hAnsi="Arial" w:cs="Arial"/>
          <w:sz w:val="22"/>
          <w:szCs w:val="22"/>
        </w:rPr>
        <w:t xml:space="preserve"> </w:t>
      </w:r>
      <w:r w:rsidR="007029FE" w:rsidRPr="00BA1228">
        <w:rPr>
          <w:rFonts w:ascii="Arial" w:hAnsi="Arial" w:cs="Arial"/>
          <w:sz w:val="22"/>
          <w:szCs w:val="22"/>
        </w:rPr>
        <w:t>la suma de los</w:t>
      </w:r>
      <w:r w:rsidRPr="00BA1228">
        <w:rPr>
          <w:rFonts w:ascii="Arial" w:hAnsi="Arial" w:cs="Arial"/>
          <w:sz w:val="22"/>
          <w:szCs w:val="22"/>
        </w:rPr>
        <w:t xml:space="preserve"> pasivo</w:t>
      </w:r>
      <w:r w:rsidR="00412CEF" w:rsidRPr="00BA1228">
        <w:rPr>
          <w:rFonts w:ascii="Arial" w:hAnsi="Arial" w:cs="Arial"/>
          <w:sz w:val="22"/>
          <w:szCs w:val="22"/>
        </w:rPr>
        <w:t>s</w:t>
      </w:r>
      <w:r w:rsidRPr="00BA1228">
        <w:rPr>
          <w:rFonts w:ascii="Arial" w:hAnsi="Arial" w:cs="Arial"/>
          <w:sz w:val="22"/>
          <w:szCs w:val="22"/>
        </w:rPr>
        <w:t xml:space="preserve"> corriente</w:t>
      </w:r>
      <w:r w:rsidR="00412CEF" w:rsidRPr="00BA1228">
        <w:rPr>
          <w:rFonts w:ascii="Arial" w:hAnsi="Arial" w:cs="Arial"/>
          <w:sz w:val="22"/>
          <w:szCs w:val="22"/>
        </w:rPr>
        <w:t>s</w:t>
      </w:r>
      <w:r w:rsidRPr="00BA1228">
        <w:rPr>
          <w:rFonts w:ascii="Arial" w:hAnsi="Arial" w:cs="Arial"/>
          <w:sz w:val="22"/>
          <w:szCs w:val="22"/>
        </w:rPr>
        <w:t xml:space="preserve">. </w:t>
      </w:r>
      <w:r w:rsidR="000D4263" w:rsidRPr="00BA1228">
        <w:rPr>
          <w:rFonts w:ascii="Arial" w:hAnsi="Arial" w:cs="Arial"/>
          <w:sz w:val="22"/>
          <w:szCs w:val="22"/>
        </w:rPr>
        <w:t>La composición de</w:t>
      </w:r>
      <w:r w:rsidR="000D4263" w:rsidRPr="00BA1228">
        <w:rPr>
          <w:rFonts w:ascii="Arial" w:hAnsi="Arial" w:cs="Arial"/>
          <w:sz w:val="22"/>
          <w:szCs w:val="22"/>
        </w:rPr>
        <w:t xml:space="preserve">l activo corriente se </w:t>
      </w:r>
      <w:r w:rsidR="00422AEA" w:rsidRPr="00BA1228">
        <w:rPr>
          <w:rFonts w:ascii="Arial" w:hAnsi="Arial" w:cs="Arial"/>
          <w:sz w:val="22"/>
          <w:szCs w:val="22"/>
        </w:rPr>
        <w:t xml:space="preserve">mantendrá similar comparado con la situación del 2017: </w:t>
      </w:r>
      <w:r w:rsidR="000D4263" w:rsidRPr="00BA1228">
        <w:rPr>
          <w:rFonts w:ascii="Arial" w:hAnsi="Arial" w:cs="Arial"/>
          <w:sz w:val="22"/>
          <w:szCs w:val="22"/>
        </w:rPr>
        <w:t>Caja y bancos 20%; Inversiones en activos financieros 1</w:t>
      </w:r>
      <w:r w:rsidR="00422AEA" w:rsidRPr="00BA1228">
        <w:rPr>
          <w:rFonts w:ascii="Arial" w:hAnsi="Arial" w:cs="Arial"/>
          <w:sz w:val="22"/>
          <w:szCs w:val="22"/>
        </w:rPr>
        <w:t>1</w:t>
      </w:r>
      <w:r w:rsidR="000D4263" w:rsidRPr="00BA1228">
        <w:rPr>
          <w:rFonts w:ascii="Arial" w:hAnsi="Arial" w:cs="Arial"/>
          <w:sz w:val="22"/>
          <w:szCs w:val="22"/>
        </w:rPr>
        <w:t xml:space="preserve">%; Cuentas por cobrar </w:t>
      </w:r>
      <w:r w:rsidR="00422AEA" w:rsidRPr="00BA1228">
        <w:rPr>
          <w:rFonts w:ascii="Arial" w:hAnsi="Arial" w:cs="Arial"/>
          <w:sz w:val="22"/>
          <w:szCs w:val="22"/>
        </w:rPr>
        <w:t>53</w:t>
      </w:r>
      <w:r w:rsidR="000D4263" w:rsidRPr="00BA1228">
        <w:rPr>
          <w:rFonts w:ascii="Arial" w:hAnsi="Arial" w:cs="Arial"/>
          <w:sz w:val="22"/>
          <w:szCs w:val="22"/>
        </w:rPr>
        <w:t>%; Inventarios 11%; y Otros 4%</w:t>
      </w:r>
      <w:r w:rsidR="00BA1228" w:rsidRPr="00BA1228">
        <w:rPr>
          <w:rFonts w:ascii="Arial" w:hAnsi="Arial" w:cs="Arial"/>
          <w:sz w:val="22"/>
          <w:szCs w:val="22"/>
        </w:rPr>
        <w:t xml:space="preserve">. El </w:t>
      </w:r>
      <w:r w:rsidR="00EE4D17" w:rsidRPr="00BA1228">
        <w:rPr>
          <w:rFonts w:ascii="Arial" w:hAnsi="Arial" w:cs="Arial"/>
          <w:sz w:val="22"/>
          <w:szCs w:val="22"/>
        </w:rPr>
        <w:t>nivel</w:t>
      </w:r>
      <w:r w:rsidR="00BA1228">
        <w:rPr>
          <w:rFonts w:ascii="Arial" w:hAnsi="Arial" w:cs="Arial"/>
          <w:sz w:val="22"/>
          <w:szCs w:val="22"/>
        </w:rPr>
        <w:t xml:space="preserve"> de </w:t>
      </w:r>
      <w:r w:rsidR="00BA1228" w:rsidRPr="00BA1228">
        <w:rPr>
          <w:rFonts w:ascii="Arial" w:hAnsi="Arial" w:cs="Arial"/>
          <w:sz w:val="22"/>
          <w:szCs w:val="22"/>
        </w:rPr>
        <w:t>las cuentas por cobrar en términos de meses de ingresos</w:t>
      </w:r>
      <w:r w:rsidR="00BA1228">
        <w:rPr>
          <w:rFonts w:ascii="Arial" w:hAnsi="Arial" w:cs="Arial"/>
          <w:sz w:val="22"/>
          <w:szCs w:val="22"/>
        </w:rPr>
        <w:t xml:space="preserve"> también se mantendrá </w:t>
      </w:r>
      <w:r w:rsidR="008911DC">
        <w:rPr>
          <w:rFonts w:ascii="Arial" w:hAnsi="Arial" w:cs="Arial"/>
          <w:sz w:val="22"/>
          <w:szCs w:val="22"/>
        </w:rPr>
        <w:t xml:space="preserve">al nivel equivalente </w:t>
      </w:r>
      <w:r w:rsidR="00427D8D">
        <w:rPr>
          <w:rFonts w:ascii="Arial" w:hAnsi="Arial" w:cs="Arial"/>
          <w:sz w:val="22"/>
          <w:szCs w:val="22"/>
        </w:rPr>
        <w:t>al 2017 (</w:t>
      </w:r>
      <w:r w:rsidR="003B14C2">
        <w:rPr>
          <w:rFonts w:ascii="Arial" w:hAnsi="Arial" w:cs="Arial"/>
          <w:sz w:val="22"/>
          <w:szCs w:val="22"/>
        </w:rPr>
        <w:t xml:space="preserve">equivalente a 2 meses de </w:t>
      </w:r>
      <w:r w:rsidR="00A47402">
        <w:rPr>
          <w:rFonts w:ascii="Arial" w:hAnsi="Arial" w:cs="Arial"/>
          <w:sz w:val="22"/>
          <w:szCs w:val="22"/>
        </w:rPr>
        <w:t>los ingresos operativos</w:t>
      </w:r>
      <w:r w:rsidR="00427D8D">
        <w:rPr>
          <w:rFonts w:ascii="Arial" w:hAnsi="Arial" w:cs="Arial"/>
          <w:sz w:val="22"/>
          <w:szCs w:val="22"/>
        </w:rPr>
        <w:t>)</w:t>
      </w:r>
      <w:r w:rsidR="00EE4D17" w:rsidRPr="00BA1228">
        <w:rPr>
          <w:rFonts w:ascii="Arial" w:hAnsi="Arial" w:cs="Arial"/>
          <w:sz w:val="22"/>
          <w:szCs w:val="22"/>
        </w:rPr>
        <w:t>,</w:t>
      </w:r>
      <w:r w:rsidR="00A47402">
        <w:rPr>
          <w:rFonts w:ascii="Arial" w:hAnsi="Arial" w:cs="Arial"/>
          <w:sz w:val="22"/>
          <w:szCs w:val="22"/>
        </w:rPr>
        <w:t xml:space="preserve"> lo cual está </w:t>
      </w:r>
      <w:r w:rsidRPr="00BA1228">
        <w:rPr>
          <w:rFonts w:ascii="Arial" w:hAnsi="Arial" w:cs="Arial"/>
          <w:sz w:val="22"/>
          <w:szCs w:val="22"/>
        </w:rPr>
        <w:t>respaldad</w:t>
      </w:r>
      <w:r w:rsidR="00E84C70" w:rsidRPr="00BA1228">
        <w:rPr>
          <w:rFonts w:ascii="Arial" w:hAnsi="Arial" w:cs="Arial"/>
          <w:sz w:val="22"/>
          <w:szCs w:val="22"/>
        </w:rPr>
        <w:t>o</w:t>
      </w:r>
      <w:r w:rsidRPr="00BA1228">
        <w:rPr>
          <w:rFonts w:ascii="Arial" w:hAnsi="Arial" w:cs="Arial"/>
          <w:sz w:val="22"/>
          <w:szCs w:val="22"/>
        </w:rPr>
        <w:t xml:space="preserve"> por </w:t>
      </w:r>
      <w:r w:rsidR="00E84C70" w:rsidRPr="00BA1228">
        <w:rPr>
          <w:rFonts w:ascii="Arial" w:hAnsi="Arial" w:cs="Arial"/>
          <w:sz w:val="22"/>
          <w:szCs w:val="22"/>
        </w:rPr>
        <w:t>la eficiencia de cobranza que tiene la empresa actualmente.</w:t>
      </w:r>
    </w:p>
    <w:p w14:paraId="01320941" w14:textId="6C6BCD72" w:rsidR="00A779C6" w:rsidRPr="00135D02" w:rsidRDefault="00A779C6" w:rsidP="007029FE">
      <w:pPr>
        <w:pStyle w:val="Paragraph"/>
        <w:tabs>
          <w:tab w:val="num" w:pos="720"/>
        </w:tabs>
        <w:ind w:left="720" w:hanging="720"/>
        <w:rPr>
          <w:rFonts w:ascii="Arial" w:hAnsi="Arial" w:cs="Arial"/>
          <w:sz w:val="22"/>
          <w:szCs w:val="22"/>
        </w:rPr>
      </w:pPr>
      <w:r w:rsidRPr="00135D02">
        <w:rPr>
          <w:rFonts w:ascii="Arial" w:hAnsi="Arial" w:cs="Arial"/>
          <w:b/>
          <w:sz w:val="22"/>
          <w:szCs w:val="22"/>
        </w:rPr>
        <w:t>Pasivo</w:t>
      </w:r>
      <w:r w:rsidR="00E321DA" w:rsidRPr="00135D02">
        <w:rPr>
          <w:rFonts w:ascii="Arial" w:hAnsi="Arial" w:cs="Arial"/>
          <w:b/>
          <w:sz w:val="22"/>
          <w:szCs w:val="22"/>
        </w:rPr>
        <w:t xml:space="preserve"> y Patrimonio</w:t>
      </w:r>
      <w:r w:rsidR="00E84C70" w:rsidRPr="00135D02">
        <w:rPr>
          <w:rFonts w:ascii="Arial" w:hAnsi="Arial" w:cs="Arial"/>
          <w:b/>
          <w:sz w:val="22"/>
          <w:szCs w:val="22"/>
        </w:rPr>
        <w:t>.</w:t>
      </w:r>
      <w:r w:rsidRPr="00135D02">
        <w:rPr>
          <w:rFonts w:ascii="Arial" w:hAnsi="Arial" w:cs="Arial"/>
          <w:sz w:val="22"/>
          <w:szCs w:val="22"/>
        </w:rPr>
        <w:t xml:space="preserve"> </w:t>
      </w:r>
      <w:r w:rsidR="008B7F11">
        <w:rPr>
          <w:rFonts w:ascii="Arial" w:hAnsi="Arial" w:cs="Arial"/>
          <w:sz w:val="22"/>
          <w:szCs w:val="22"/>
        </w:rPr>
        <w:t xml:space="preserve">El patrimonio de OSE </w:t>
      </w:r>
      <w:r w:rsidR="0011351A">
        <w:rPr>
          <w:rFonts w:ascii="Arial" w:hAnsi="Arial" w:cs="Arial"/>
          <w:sz w:val="22"/>
          <w:szCs w:val="22"/>
        </w:rPr>
        <w:t xml:space="preserve">aumentará con por acumulación de los resultados netos positivos </w:t>
      </w:r>
      <w:r w:rsidR="00F148AF">
        <w:rPr>
          <w:rFonts w:ascii="Arial" w:hAnsi="Arial" w:cs="Arial"/>
          <w:sz w:val="22"/>
          <w:szCs w:val="22"/>
        </w:rPr>
        <w:t xml:space="preserve">durante el periodo de proyección (de </w:t>
      </w:r>
      <w:r w:rsidR="00B823A5">
        <w:rPr>
          <w:rFonts w:ascii="Arial" w:hAnsi="Arial" w:cs="Arial"/>
          <w:sz w:val="22"/>
          <w:szCs w:val="22"/>
        </w:rPr>
        <w:t>US$</w:t>
      </w:r>
      <w:r w:rsidR="00F148AF">
        <w:rPr>
          <w:rFonts w:ascii="Arial" w:hAnsi="Arial" w:cs="Arial"/>
          <w:sz w:val="22"/>
          <w:szCs w:val="22"/>
        </w:rPr>
        <w:t>1</w:t>
      </w:r>
      <w:r w:rsidR="00B823A5">
        <w:rPr>
          <w:rFonts w:ascii="Arial" w:hAnsi="Arial" w:cs="Arial"/>
          <w:sz w:val="22"/>
          <w:szCs w:val="22"/>
        </w:rPr>
        <w:t>.</w:t>
      </w:r>
      <w:r w:rsidR="00F148AF">
        <w:rPr>
          <w:rFonts w:ascii="Arial" w:hAnsi="Arial" w:cs="Arial"/>
          <w:sz w:val="22"/>
          <w:szCs w:val="22"/>
        </w:rPr>
        <w:t>336 millones en el 2017 a US$</w:t>
      </w:r>
      <w:r w:rsidR="00B823A5">
        <w:rPr>
          <w:rFonts w:ascii="Arial" w:hAnsi="Arial" w:cs="Arial"/>
          <w:sz w:val="22"/>
          <w:szCs w:val="22"/>
        </w:rPr>
        <w:t>1.496 millones en el 2022</w:t>
      </w:r>
      <w:r w:rsidR="00F148AF">
        <w:rPr>
          <w:rFonts w:ascii="Arial" w:hAnsi="Arial" w:cs="Arial"/>
          <w:sz w:val="22"/>
          <w:szCs w:val="22"/>
        </w:rPr>
        <w:t xml:space="preserve">). </w:t>
      </w:r>
      <w:r w:rsidR="0011351A">
        <w:rPr>
          <w:rFonts w:ascii="Arial" w:hAnsi="Arial" w:cs="Arial"/>
          <w:sz w:val="22"/>
          <w:szCs w:val="22"/>
        </w:rPr>
        <w:t xml:space="preserve"> </w:t>
      </w:r>
      <w:r w:rsidR="00B823A5">
        <w:rPr>
          <w:rFonts w:ascii="Arial" w:hAnsi="Arial" w:cs="Arial"/>
          <w:sz w:val="22"/>
          <w:szCs w:val="22"/>
        </w:rPr>
        <w:t>Asimismo, c</w:t>
      </w:r>
      <w:r w:rsidR="00A34234">
        <w:rPr>
          <w:rFonts w:ascii="Arial" w:hAnsi="Arial" w:cs="Arial"/>
          <w:sz w:val="22"/>
          <w:szCs w:val="22"/>
        </w:rPr>
        <w:t xml:space="preserve">omo resultado de la </w:t>
      </w:r>
      <w:r w:rsidR="00A34234" w:rsidRPr="00A60056">
        <w:rPr>
          <w:rFonts w:ascii="Arial" w:hAnsi="Arial" w:cs="Arial"/>
          <w:sz w:val="22"/>
          <w:szCs w:val="22"/>
        </w:rPr>
        <w:t xml:space="preserve">obtención neta de deudas financieras </w:t>
      </w:r>
      <w:r w:rsidR="00A34234">
        <w:rPr>
          <w:rFonts w:ascii="Arial" w:hAnsi="Arial" w:cs="Arial"/>
          <w:sz w:val="22"/>
          <w:szCs w:val="22"/>
        </w:rPr>
        <w:t xml:space="preserve">mencionada arriba, </w:t>
      </w:r>
      <w:r w:rsidR="00A73F53">
        <w:rPr>
          <w:rFonts w:ascii="Arial" w:hAnsi="Arial" w:cs="Arial"/>
          <w:sz w:val="22"/>
          <w:szCs w:val="22"/>
        </w:rPr>
        <w:t>el total de lo</w:t>
      </w:r>
      <w:r w:rsidR="00E84C70" w:rsidRPr="00135D02">
        <w:rPr>
          <w:rFonts w:ascii="Arial" w:hAnsi="Arial" w:cs="Arial"/>
          <w:sz w:val="22"/>
          <w:szCs w:val="22"/>
        </w:rPr>
        <w:t xml:space="preserve">s pasivos </w:t>
      </w:r>
      <w:r w:rsidR="00A73F53">
        <w:rPr>
          <w:rFonts w:ascii="Arial" w:hAnsi="Arial" w:cs="Arial"/>
          <w:sz w:val="22"/>
          <w:szCs w:val="22"/>
        </w:rPr>
        <w:t>se crece de US$</w:t>
      </w:r>
      <w:r w:rsidR="00363663">
        <w:rPr>
          <w:rFonts w:ascii="Arial" w:hAnsi="Arial" w:cs="Arial"/>
          <w:sz w:val="22"/>
          <w:szCs w:val="22"/>
        </w:rPr>
        <w:t xml:space="preserve">545 millones en </w:t>
      </w:r>
      <w:proofErr w:type="spellStart"/>
      <w:r w:rsidR="00363663">
        <w:rPr>
          <w:rFonts w:ascii="Arial" w:hAnsi="Arial" w:cs="Arial"/>
          <w:sz w:val="22"/>
          <w:szCs w:val="22"/>
        </w:rPr>
        <w:t>el</w:t>
      </w:r>
      <w:proofErr w:type="spellEnd"/>
      <w:r w:rsidR="00363663">
        <w:rPr>
          <w:rFonts w:ascii="Arial" w:hAnsi="Arial" w:cs="Arial"/>
          <w:sz w:val="22"/>
          <w:szCs w:val="22"/>
        </w:rPr>
        <w:t xml:space="preserve"> 2017 a US$605 millones en el 20</w:t>
      </w:r>
      <w:r w:rsidR="00F66F3B">
        <w:rPr>
          <w:rFonts w:ascii="Arial" w:hAnsi="Arial" w:cs="Arial"/>
          <w:sz w:val="22"/>
          <w:szCs w:val="22"/>
        </w:rPr>
        <w:t>22.</w:t>
      </w:r>
      <w:r w:rsidR="00A73F53">
        <w:rPr>
          <w:rFonts w:ascii="Arial" w:hAnsi="Arial" w:cs="Arial"/>
          <w:sz w:val="22"/>
          <w:szCs w:val="22"/>
        </w:rPr>
        <w:t xml:space="preserve"> </w:t>
      </w:r>
      <w:r w:rsidR="00F66F3B" w:rsidRPr="00135D02">
        <w:rPr>
          <w:rFonts w:ascii="Arial" w:hAnsi="Arial" w:cs="Arial"/>
          <w:sz w:val="22"/>
          <w:szCs w:val="22"/>
        </w:rPr>
        <w:t>Los activos de la empresa en el 202</w:t>
      </w:r>
      <w:r w:rsidR="00F66F3B">
        <w:rPr>
          <w:rFonts w:ascii="Arial" w:hAnsi="Arial" w:cs="Arial"/>
          <w:sz w:val="22"/>
          <w:szCs w:val="22"/>
        </w:rPr>
        <w:t>2</w:t>
      </w:r>
      <w:r w:rsidR="00F66F3B" w:rsidRPr="00135D02">
        <w:rPr>
          <w:rFonts w:ascii="Arial" w:hAnsi="Arial" w:cs="Arial"/>
          <w:sz w:val="22"/>
          <w:szCs w:val="22"/>
        </w:rPr>
        <w:t xml:space="preserve"> serán respaldados </w:t>
      </w:r>
      <w:r w:rsidR="003B394B">
        <w:rPr>
          <w:rFonts w:ascii="Arial" w:hAnsi="Arial" w:cs="Arial"/>
          <w:sz w:val="22"/>
          <w:szCs w:val="22"/>
        </w:rPr>
        <w:t xml:space="preserve">mayoritariamente por </w:t>
      </w:r>
      <w:r w:rsidR="00F66F3B" w:rsidRPr="00135D02">
        <w:rPr>
          <w:rFonts w:ascii="Arial" w:hAnsi="Arial" w:cs="Arial"/>
          <w:sz w:val="22"/>
          <w:szCs w:val="22"/>
        </w:rPr>
        <w:t>el patrimonio (</w:t>
      </w:r>
      <w:r w:rsidR="003B394B">
        <w:rPr>
          <w:rFonts w:ascii="Arial" w:hAnsi="Arial" w:cs="Arial"/>
          <w:sz w:val="22"/>
          <w:szCs w:val="22"/>
        </w:rPr>
        <w:t>71</w:t>
      </w:r>
      <w:r w:rsidR="003B394B" w:rsidRPr="00135D02">
        <w:rPr>
          <w:rFonts w:ascii="Arial" w:hAnsi="Arial" w:cs="Arial"/>
          <w:sz w:val="22"/>
          <w:szCs w:val="22"/>
        </w:rPr>
        <w:t>%</w:t>
      </w:r>
      <w:r w:rsidR="003B394B">
        <w:rPr>
          <w:rFonts w:ascii="Arial" w:hAnsi="Arial" w:cs="Arial"/>
          <w:sz w:val="22"/>
          <w:szCs w:val="22"/>
        </w:rPr>
        <w:t xml:space="preserve">, o </w:t>
      </w:r>
      <w:r w:rsidR="00F66F3B" w:rsidRPr="00135D02">
        <w:rPr>
          <w:rFonts w:ascii="Arial" w:hAnsi="Arial" w:cs="Arial"/>
          <w:sz w:val="22"/>
          <w:szCs w:val="22"/>
        </w:rPr>
        <w:t>US$</w:t>
      </w:r>
      <w:r w:rsidR="00F66F3B">
        <w:rPr>
          <w:rFonts w:ascii="Arial" w:hAnsi="Arial" w:cs="Arial"/>
          <w:sz w:val="22"/>
          <w:szCs w:val="22"/>
        </w:rPr>
        <w:t>1.496</w:t>
      </w:r>
      <w:r w:rsidR="00F66F3B" w:rsidRPr="00135D02">
        <w:rPr>
          <w:rFonts w:ascii="Arial" w:hAnsi="Arial" w:cs="Arial"/>
          <w:sz w:val="22"/>
          <w:szCs w:val="22"/>
        </w:rPr>
        <w:t xml:space="preserve"> millones) y </w:t>
      </w:r>
      <w:r w:rsidR="005F2C28">
        <w:rPr>
          <w:rFonts w:ascii="Arial" w:hAnsi="Arial" w:cs="Arial"/>
          <w:sz w:val="22"/>
          <w:szCs w:val="22"/>
        </w:rPr>
        <w:t xml:space="preserve">el resto </w:t>
      </w:r>
      <w:r w:rsidR="00F66F3B" w:rsidRPr="00135D02">
        <w:rPr>
          <w:rFonts w:ascii="Arial" w:hAnsi="Arial" w:cs="Arial"/>
          <w:sz w:val="22"/>
          <w:szCs w:val="22"/>
        </w:rPr>
        <w:t xml:space="preserve">con los pasivos </w:t>
      </w:r>
      <w:r w:rsidR="008B13FE">
        <w:rPr>
          <w:rFonts w:ascii="Arial" w:hAnsi="Arial" w:cs="Arial"/>
          <w:sz w:val="22"/>
          <w:szCs w:val="22"/>
        </w:rPr>
        <w:t>(29</w:t>
      </w:r>
      <w:r w:rsidR="008B13FE" w:rsidRPr="00135D02">
        <w:rPr>
          <w:rFonts w:ascii="Arial" w:hAnsi="Arial" w:cs="Arial"/>
          <w:sz w:val="22"/>
          <w:szCs w:val="22"/>
        </w:rPr>
        <w:t>%</w:t>
      </w:r>
      <w:r w:rsidR="008B13FE">
        <w:rPr>
          <w:rFonts w:ascii="Arial" w:hAnsi="Arial" w:cs="Arial"/>
          <w:sz w:val="22"/>
          <w:szCs w:val="22"/>
        </w:rPr>
        <w:t xml:space="preserve">, o </w:t>
      </w:r>
      <w:r w:rsidR="00F66F3B" w:rsidRPr="00135D02">
        <w:rPr>
          <w:rFonts w:ascii="Arial" w:hAnsi="Arial" w:cs="Arial"/>
          <w:sz w:val="22"/>
          <w:szCs w:val="22"/>
        </w:rPr>
        <w:t>US$</w:t>
      </w:r>
      <w:r w:rsidR="00F66F3B">
        <w:rPr>
          <w:rFonts w:ascii="Arial" w:hAnsi="Arial" w:cs="Arial"/>
          <w:sz w:val="22"/>
          <w:szCs w:val="22"/>
        </w:rPr>
        <w:t>605</w:t>
      </w:r>
      <w:r w:rsidR="00F66F3B" w:rsidRPr="00135D02">
        <w:rPr>
          <w:rFonts w:ascii="Arial" w:hAnsi="Arial" w:cs="Arial"/>
          <w:sz w:val="22"/>
          <w:szCs w:val="22"/>
        </w:rPr>
        <w:t xml:space="preserve"> millones). </w:t>
      </w:r>
    </w:p>
    <w:p w14:paraId="7799C5D2" w14:textId="72E5FDEF" w:rsidR="00666E6A" w:rsidRPr="00135D02" w:rsidRDefault="00E453CC" w:rsidP="00B35E51">
      <w:pPr>
        <w:pStyle w:val="Paragraph"/>
        <w:numPr>
          <w:ilvl w:val="0"/>
          <w:numId w:val="0"/>
        </w:numPr>
        <w:jc w:val="center"/>
        <w:rPr>
          <w:rFonts w:ascii="Arial" w:hAnsi="Arial" w:cs="Arial"/>
          <w:sz w:val="22"/>
          <w:szCs w:val="22"/>
          <w:u w:val="single"/>
        </w:rPr>
      </w:pPr>
      <w:r w:rsidRPr="00E453CC">
        <w:drawing>
          <wp:anchor distT="0" distB="0" distL="114300" distR="114300" simplePos="0" relativeHeight="251658240" behindDoc="0" locked="0" layoutInCell="1" allowOverlap="1" wp14:anchorId="41154239" wp14:editId="7C4BB4EE">
            <wp:simplePos x="0" y="0"/>
            <wp:positionH relativeFrom="margin">
              <wp:align>right</wp:align>
            </wp:positionH>
            <wp:positionV relativeFrom="paragraph">
              <wp:posOffset>290830</wp:posOffset>
            </wp:positionV>
            <wp:extent cx="5486400" cy="4122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2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E6A" w:rsidRPr="00135D02">
        <w:rPr>
          <w:rFonts w:ascii="Arial" w:hAnsi="Arial" w:cs="Arial"/>
          <w:sz w:val="22"/>
          <w:szCs w:val="22"/>
          <w:u w:val="single"/>
        </w:rPr>
        <w:t xml:space="preserve">Cuadro </w:t>
      </w:r>
      <w:r w:rsidR="002829FE">
        <w:rPr>
          <w:rFonts w:ascii="Arial" w:hAnsi="Arial" w:cs="Arial"/>
          <w:sz w:val="22"/>
          <w:szCs w:val="22"/>
          <w:u w:val="single"/>
          <w:lang w:val="es-419"/>
        </w:rPr>
        <w:t>6</w:t>
      </w:r>
      <w:r w:rsidR="00666E6A" w:rsidRPr="00135D02">
        <w:rPr>
          <w:rFonts w:ascii="Arial" w:hAnsi="Arial" w:cs="Arial"/>
          <w:sz w:val="22"/>
          <w:szCs w:val="22"/>
          <w:u w:val="single"/>
        </w:rPr>
        <w:t xml:space="preserve">. Balance General Proyectado (en miles de </w:t>
      </w:r>
      <w:r w:rsidR="00403289">
        <w:rPr>
          <w:rFonts w:ascii="Arial" w:hAnsi="Arial" w:cs="Arial"/>
          <w:sz w:val="22"/>
          <w:szCs w:val="22"/>
          <w:u w:val="single"/>
        </w:rPr>
        <w:t>US$ de 2017</w:t>
      </w:r>
      <w:r w:rsidR="00666E6A" w:rsidRPr="00135D02">
        <w:rPr>
          <w:rFonts w:ascii="Arial" w:hAnsi="Arial" w:cs="Arial"/>
          <w:sz w:val="22"/>
          <w:szCs w:val="22"/>
          <w:u w:val="single"/>
        </w:rPr>
        <w:t>)</w:t>
      </w:r>
    </w:p>
    <w:p w14:paraId="54027379" w14:textId="31838EF1" w:rsidR="000F5AFC" w:rsidRPr="00135D02" w:rsidRDefault="000F5AFC" w:rsidP="00B35E51">
      <w:pPr>
        <w:pStyle w:val="Paragraph"/>
        <w:numPr>
          <w:ilvl w:val="0"/>
          <w:numId w:val="0"/>
        </w:numPr>
        <w:jc w:val="center"/>
        <w:rPr>
          <w:rFonts w:ascii="Arial" w:hAnsi="Arial" w:cs="Arial"/>
          <w:sz w:val="22"/>
          <w:szCs w:val="22"/>
          <w:u w:val="single"/>
        </w:rPr>
      </w:pPr>
    </w:p>
    <w:p w14:paraId="4C50CE6A" w14:textId="7177E44D" w:rsidR="000F5AFC" w:rsidRPr="00135D02" w:rsidRDefault="000F5AFC" w:rsidP="00B35E51">
      <w:pPr>
        <w:pStyle w:val="Paragraph"/>
        <w:numPr>
          <w:ilvl w:val="0"/>
          <w:numId w:val="0"/>
        </w:numPr>
        <w:jc w:val="center"/>
        <w:rPr>
          <w:rFonts w:ascii="Arial" w:hAnsi="Arial" w:cs="Arial"/>
          <w:sz w:val="22"/>
          <w:szCs w:val="22"/>
          <w:u w:val="single"/>
        </w:rPr>
      </w:pPr>
    </w:p>
    <w:p w14:paraId="45B92D86" w14:textId="25CB913F" w:rsidR="000F5AFC" w:rsidRPr="00135D02" w:rsidRDefault="000F5AFC" w:rsidP="00B35E51">
      <w:pPr>
        <w:pStyle w:val="Paragraph"/>
        <w:numPr>
          <w:ilvl w:val="0"/>
          <w:numId w:val="0"/>
        </w:numPr>
        <w:jc w:val="center"/>
        <w:rPr>
          <w:rFonts w:ascii="Arial" w:hAnsi="Arial" w:cs="Arial"/>
          <w:sz w:val="22"/>
          <w:szCs w:val="22"/>
          <w:u w:val="single"/>
        </w:rPr>
      </w:pPr>
    </w:p>
    <w:p w14:paraId="17C7B247" w14:textId="4E5A9AF4" w:rsidR="000F5AFC" w:rsidRPr="00135D02" w:rsidRDefault="000F5AFC" w:rsidP="00B35E51">
      <w:pPr>
        <w:pStyle w:val="Paragraph"/>
        <w:numPr>
          <w:ilvl w:val="0"/>
          <w:numId w:val="0"/>
        </w:numPr>
        <w:jc w:val="center"/>
        <w:rPr>
          <w:rFonts w:ascii="Arial" w:hAnsi="Arial" w:cs="Arial"/>
          <w:sz w:val="22"/>
          <w:szCs w:val="22"/>
          <w:u w:val="single"/>
        </w:rPr>
      </w:pPr>
    </w:p>
    <w:p w14:paraId="789B9B91" w14:textId="079941F3" w:rsidR="000F5AFC" w:rsidRPr="00135D02" w:rsidRDefault="000F5AFC" w:rsidP="00B35E51">
      <w:pPr>
        <w:pStyle w:val="Paragraph"/>
        <w:numPr>
          <w:ilvl w:val="0"/>
          <w:numId w:val="0"/>
        </w:numPr>
        <w:jc w:val="center"/>
        <w:rPr>
          <w:rFonts w:ascii="Arial" w:hAnsi="Arial" w:cs="Arial"/>
          <w:sz w:val="22"/>
          <w:szCs w:val="22"/>
          <w:u w:val="single"/>
        </w:rPr>
      </w:pPr>
    </w:p>
    <w:p w14:paraId="15607342" w14:textId="1C91D247" w:rsidR="000F5AFC" w:rsidRPr="00135D02" w:rsidRDefault="000F5AFC" w:rsidP="00B35E51">
      <w:pPr>
        <w:pStyle w:val="Paragraph"/>
        <w:numPr>
          <w:ilvl w:val="0"/>
          <w:numId w:val="0"/>
        </w:numPr>
        <w:jc w:val="center"/>
        <w:rPr>
          <w:rFonts w:ascii="Arial" w:hAnsi="Arial" w:cs="Arial"/>
          <w:sz w:val="22"/>
          <w:szCs w:val="22"/>
          <w:u w:val="single"/>
        </w:rPr>
      </w:pPr>
    </w:p>
    <w:p w14:paraId="213CBF51" w14:textId="2089CF77" w:rsidR="000F5AFC" w:rsidRPr="00135D02" w:rsidRDefault="000F5AFC" w:rsidP="00B35E51">
      <w:pPr>
        <w:pStyle w:val="Paragraph"/>
        <w:numPr>
          <w:ilvl w:val="0"/>
          <w:numId w:val="0"/>
        </w:numPr>
        <w:jc w:val="center"/>
        <w:rPr>
          <w:rFonts w:ascii="Arial" w:hAnsi="Arial" w:cs="Arial"/>
          <w:sz w:val="22"/>
          <w:szCs w:val="22"/>
          <w:u w:val="single"/>
        </w:rPr>
      </w:pPr>
    </w:p>
    <w:p w14:paraId="61E8DC00" w14:textId="6D4A3767" w:rsidR="000F5AFC" w:rsidRPr="00135D02" w:rsidRDefault="000F5AFC" w:rsidP="00B35E51">
      <w:pPr>
        <w:pStyle w:val="Paragraph"/>
        <w:numPr>
          <w:ilvl w:val="0"/>
          <w:numId w:val="0"/>
        </w:numPr>
        <w:jc w:val="center"/>
        <w:rPr>
          <w:rFonts w:ascii="Arial" w:hAnsi="Arial" w:cs="Arial"/>
          <w:sz w:val="22"/>
          <w:szCs w:val="22"/>
          <w:u w:val="single"/>
        </w:rPr>
      </w:pPr>
    </w:p>
    <w:bookmarkEnd w:id="17"/>
    <w:bookmarkEnd w:id="18"/>
    <w:bookmarkEnd w:id="19"/>
    <w:bookmarkEnd w:id="20"/>
    <w:bookmarkEnd w:id="21"/>
    <w:bookmarkEnd w:id="22"/>
    <w:bookmarkEnd w:id="23"/>
    <w:bookmarkEnd w:id="24"/>
    <w:bookmarkEnd w:id="25"/>
    <w:bookmarkEnd w:id="26"/>
    <w:bookmarkEnd w:id="27"/>
    <w:bookmarkEnd w:id="28"/>
    <w:bookmarkEnd w:id="29"/>
    <w:p w14:paraId="1F82AFC1" w14:textId="35C5ACEE" w:rsidR="00487C75" w:rsidRPr="00224FAF" w:rsidRDefault="00B00430" w:rsidP="00224FAF">
      <w:pPr>
        <w:rPr>
          <w:rFonts w:ascii="Arial" w:hAnsi="Arial" w:cs="Arial"/>
          <w:b/>
          <w:sz w:val="22"/>
          <w:szCs w:val="22"/>
          <w:lang w:val="es-ES"/>
        </w:rPr>
      </w:pPr>
      <w:r w:rsidRPr="00135D02">
        <w:rPr>
          <w:rFonts w:ascii="Arial" w:hAnsi="Arial" w:cs="Arial"/>
          <w:b/>
          <w:sz w:val="22"/>
          <w:szCs w:val="22"/>
        </w:rPr>
        <w:br w:type="page"/>
      </w:r>
      <w:bookmarkStart w:id="30" w:name="_GoBack"/>
      <w:bookmarkEnd w:id="30"/>
      <w:r w:rsidRPr="00135D02">
        <w:rPr>
          <w:rFonts w:ascii="Arial" w:hAnsi="Arial" w:cs="Arial"/>
          <w:b/>
          <w:sz w:val="22"/>
          <w:szCs w:val="22"/>
        </w:rPr>
        <w:lastRenderedPageBreak/>
        <w:t xml:space="preserve">V. </w:t>
      </w:r>
      <w:r w:rsidR="00487C75" w:rsidRPr="00135D02">
        <w:rPr>
          <w:rFonts w:ascii="Arial" w:hAnsi="Arial" w:cs="Arial"/>
          <w:b/>
          <w:sz w:val="22"/>
          <w:szCs w:val="22"/>
        </w:rPr>
        <w:t xml:space="preserve">Supuestos </w:t>
      </w:r>
      <w:r w:rsidR="007D440F" w:rsidRPr="00135D02">
        <w:rPr>
          <w:rFonts w:ascii="Arial" w:hAnsi="Arial" w:cs="Arial"/>
          <w:b/>
          <w:sz w:val="22"/>
          <w:szCs w:val="22"/>
        </w:rPr>
        <w:t>de las proyecciones financieras</w:t>
      </w:r>
    </w:p>
    <w:tbl>
      <w:tblPr>
        <w:tblW w:w="8931" w:type="dxa"/>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2070"/>
        <w:gridCol w:w="6861"/>
      </w:tblGrid>
      <w:tr w:rsidR="000F5AFC" w:rsidRPr="00135D02" w14:paraId="3974FE5F" w14:textId="77777777" w:rsidTr="00FD2A08">
        <w:trPr>
          <w:trHeight w:val="390"/>
        </w:trPr>
        <w:tc>
          <w:tcPr>
            <w:tcW w:w="2070" w:type="dxa"/>
            <w:tcBorders>
              <w:top w:val="single" w:sz="24" w:space="0" w:color="auto"/>
            </w:tcBorders>
          </w:tcPr>
          <w:p w14:paraId="704FAEF7" w14:textId="77777777" w:rsidR="000F5AFC" w:rsidRPr="00135D02" w:rsidRDefault="000F5AFC" w:rsidP="00FD2A08">
            <w:pPr>
              <w:pStyle w:val="Heading1"/>
              <w:keepLines/>
              <w:numPr>
                <w:ilvl w:val="0"/>
                <w:numId w:val="0"/>
              </w:numPr>
              <w:tabs>
                <w:tab w:val="left" w:pos="0"/>
              </w:tabs>
              <w:spacing w:before="60"/>
              <w:ind w:left="72"/>
              <w:rPr>
                <w:rFonts w:cs="Arial"/>
                <w:i/>
                <w:iCs/>
                <w:sz w:val="22"/>
                <w:szCs w:val="22"/>
                <w:lang w:val="es-ES"/>
              </w:rPr>
            </w:pPr>
            <w:r w:rsidRPr="00135D02">
              <w:rPr>
                <w:rFonts w:cs="Arial"/>
                <w:i/>
                <w:iCs/>
                <w:sz w:val="22"/>
                <w:szCs w:val="22"/>
                <w:lang w:val="es-ES"/>
              </w:rPr>
              <w:lastRenderedPageBreak/>
              <w:t>Rubros</w:t>
            </w:r>
          </w:p>
        </w:tc>
        <w:tc>
          <w:tcPr>
            <w:tcW w:w="6861" w:type="dxa"/>
            <w:tcBorders>
              <w:top w:val="single" w:sz="24" w:space="0" w:color="auto"/>
            </w:tcBorders>
          </w:tcPr>
          <w:p w14:paraId="3BF82374" w14:textId="77777777" w:rsidR="000F5AFC" w:rsidRPr="00135D02" w:rsidRDefault="000F5AFC" w:rsidP="00FD2A08">
            <w:pPr>
              <w:pStyle w:val="Heading2"/>
              <w:keepLines/>
              <w:numPr>
                <w:ilvl w:val="0"/>
                <w:numId w:val="0"/>
              </w:numPr>
              <w:spacing w:before="60"/>
              <w:rPr>
                <w:rFonts w:cs="Arial"/>
                <w:sz w:val="22"/>
                <w:szCs w:val="22"/>
                <w:lang w:val="es-ES"/>
              </w:rPr>
            </w:pPr>
            <w:r w:rsidRPr="00135D02">
              <w:rPr>
                <w:rFonts w:cs="Arial"/>
                <w:sz w:val="22"/>
                <w:szCs w:val="22"/>
                <w:lang w:val="es-ES"/>
              </w:rPr>
              <w:t>Supuestos</w:t>
            </w:r>
          </w:p>
        </w:tc>
      </w:tr>
      <w:tr w:rsidR="000F5AFC" w:rsidRPr="00FB367A" w14:paraId="517AB152" w14:textId="77777777" w:rsidTr="00FD2A08">
        <w:tc>
          <w:tcPr>
            <w:tcW w:w="2070" w:type="dxa"/>
          </w:tcPr>
          <w:p w14:paraId="584F4532" w14:textId="38E1B997" w:rsidR="000F5AFC" w:rsidRPr="00135D02" w:rsidRDefault="000F5AFC" w:rsidP="00FD2A08">
            <w:pPr>
              <w:pStyle w:val="Heading1"/>
              <w:keepLines/>
              <w:numPr>
                <w:ilvl w:val="0"/>
                <w:numId w:val="0"/>
              </w:numPr>
              <w:tabs>
                <w:tab w:val="left" w:pos="0"/>
              </w:tabs>
              <w:spacing w:before="0" w:after="0"/>
              <w:ind w:left="72"/>
              <w:rPr>
                <w:rFonts w:cs="Arial"/>
                <w:i/>
                <w:iCs/>
                <w:sz w:val="22"/>
                <w:szCs w:val="22"/>
                <w:lang w:val="es-ES"/>
              </w:rPr>
            </w:pPr>
            <w:r w:rsidRPr="00135D02">
              <w:rPr>
                <w:rFonts w:cs="Arial"/>
                <w:i/>
                <w:iCs/>
                <w:sz w:val="22"/>
                <w:szCs w:val="22"/>
                <w:lang w:val="es-ES"/>
              </w:rPr>
              <w:t>Tarifas</w:t>
            </w:r>
          </w:p>
        </w:tc>
        <w:tc>
          <w:tcPr>
            <w:tcW w:w="6861" w:type="dxa"/>
          </w:tcPr>
          <w:p w14:paraId="741E8253" w14:textId="6EB068FC" w:rsidR="000F5AFC" w:rsidRPr="00135D02" w:rsidRDefault="00813526" w:rsidP="00433B42">
            <w:pPr>
              <w:keepNext/>
              <w:keepLines/>
              <w:jc w:val="both"/>
              <w:rPr>
                <w:rFonts w:ascii="Arial" w:hAnsi="Arial" w:cs="Arial"/>
                <w:sz w:val="22"/>
                <w:szCs w:val="22"/>
                <w:lang w:val="es-ES_tradnl"/>
              </w:rPr>
            </w:pPr>
            <w:r w:rsidRPr="00813526">
              <w:rPr>
                <w:rFonts w:ascii="Arial" w:hAnsi="Arial" w:cs="Arial"/>
                <w:sz w:val="22"/>
                <w:szCs w:val="22"/>
                <w:lang w:val="es-ES"/>
              </w:rPr>
              <w:t>Se mantiene, en términos reales, el nivel de tarifa al que se observó en el 2017: cargo fijo de agua US$9,9/mes/cuenta; cargo variable de agua US$1,35/m3; y alcantarillado US$1,91/m3.</w:t>
            </w:r>
          </w:p>
        </w:tc>
      </w:tr>
      <w:tr w:rsidR="000F5AFC" w:rsidRPr="00FB367A" w14:paraId="2263CA63" w14:textId="77777777" w:rsidTr="006B3970">
        <w:tc>
          <w:tcPr>
            <w:tcW w:w="2070" w:type="dxa"/>
            <w:shd w:val="clear" w:color="auto" w:fill="auto"/>
          </w:tcPr>
          <w:p w14:paraId="6AF18AB3" w14:textId="77777777"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Consumos y Base de Clientes</w:t>
            </w:r>
          </w:p>
        </w:tc>
        <w:tc>
          <w:tcPr>
            <w:tcW w:w="6861" w:type="dxa"/>
            <w:shd w:val="clear" w:color="auto" w:fill="auto"/>
          </w:tcPr>
          <w:p w14:paraId="4F62F527" w14:textId="227A810B" w:rsidR="000F5AFC" w:rsidRPr="00135D02" w:rsidRDefault="000F5AFC" w:rsidP="00433B42">
            <w:pPr>
              <w:pStyle w:val="BodyText"/>
              <w:jc w:val="both"/>
              <w:rPr>
                <w:rFonts w:ascii="Arial" w:hAnsi="Arial" w:cs="Arial"/>
                <w:sz w:val="22"/>
                <w:szCs w:val="22"/>
                <w:lang w:val="es-ES_tradnl"/>
              </w:rPr>
            </w:pPr>
            <w:r w:rsidRPr="00135D02">
              <w:rPr>
                <w:rFonts w:ascii="Arial" w:hAnsi="Arial" w:cs="Arial"/>
                <w:sz w:val="22"/>
                <w:szCs w:val="22"/>
                <w:lang w:val="es-ES"/>
              </w:rPr>
              <w:t xml:space="preserve">El número de </w:t>
            </w:r>
            <w:r w:rsidR="00B0255C" w:rsidRPr="00135D02">
              <w:rPr>
                <w:rFonts w:ascii="Arial" w:hAnsi="Arial" w:cs="Arial"/>
                <w:sz w:val="22"/>
                <w:szCs w:val="22"/>
                <w:lang w:val="es-ES"/>
              </w:rPr>
              <w:t>conexiones</w:t>
            </w:r>
            <w:r w:rsidRPr="00135D02">
              <w:rPr>
                <w:rFonts w:ascii="Arial" w:hAnsi="Arial" w:cs="Arial"/>
                <w:sz w:val="22"/>
                <w:szCs w:val="22"/>
                <w:lang w:val="es-ES"/>
              </w:rPr>
              <w:t xml:space="preserve"> </w:t>
            </w:r>
            <w:r w:rsidR="00B0255C" w:rsidRPr="00135D02">
              <w:rPr>
                <w:rFonts w:ascii="Arial" w:hAnsi="Arial" w:cs="Arial"/>
                <w:sz w:val="22"/>
                <w:szCs w:val="22"/>
                <w:lang w:val="es-ES"/>
              </w:rPr>
              <w:t>d</w:t>
            </w:r>
            <w:r w:rsidRPr="00135D02">
              <w:rPr>
                <w:rFonts w:ascii="Arial" w:hAnsi="Arial" w:cs="Arial"/>
                <w:sz w:val="22"/>
                <w:szCs w:val="22"/>
                <w:lang w:val="es-ES"/>
              </w:rPr>
              <w:t xml:space="preserve">el servicio de agua crece de </w:t>
            </w:r>
            <w:r w:rsidR="00A74B7D">
              <w:rPr>
                <w:rFonts w:ascii="Arial" w:hAnsi="Arial" w:cs="Arial"/>
                <w:sz w:val="22"/>
                <w:szCs w:val="22"/>
                <w:lang w:val="es-ES"/>
              </w:rPr>
              <w:t xml:space="preserve">1,1 millones </w:t>
            </w:r>
            <w:r w:rsidR="00B0255C" w:rsidRPr="00135D02">
              <w:rPr>
                <w:rFonts w:ascii="Arial" w:hAnsi="Arial" w:cs="Arial"/>
                <w:sz w:val="22"/>
                <w:szCs w:val="22"/>
                <w:lang w:val="es-ES"/>
              </w:rPr>
              <w:t>en el 201</w:t>
            </w:r>
            <w:r w:rsidR="00A74B7D">
              <w:rPr>
                <w:rFonts w:ascii="Arial" w:hAnsi="Arial" w:cs="Arial"/>
                <w:sz w:val="22"/>
                <w:szCs w:val="22"/>
                <w:lang w:val="es-ES"/>
              </w:rPr>
              <w:t>7</w:t>
            </w:r>
            <w:r w:rsidR="00B0255C" w:rsidRPr="00135D02">
              <w:rPr>
                <w:rFonts w:ascii="Arial" w:hAnsi="Arial" w:cs="Arial"/>
                <w:sz w:val="22"/>
                <w:szCs w:val="22"/>
                <w:lang w:val="es-ES"/>
              </w:rPr>
              <w:t xml:space="preserve"> a </w:t>
            </w:r>
            <w:r w:rsidR="00A74B7D">
              <w:rPr>
                <w:rFonts w:ascii="Arial" w:hAnsi="Arial" w:cs="Arial"/>
                <w:sz w:val="22"/>
                <w:szCs w:val="22"/>
                <w:lang w:val="es-ES"/>
              </w:rPr>
              <w:t>1,</w:t>
            </w:r>
            <w:r w:rsidR="00B430A4">
              <w:rPr>
                <w:rFonts w:ascii="Arial" w:hAnsi="Arial" w:cs="Arial"/>
                <w:sz w:val="22"/>
                <w:szCs w:val="22"/>
                <w:lang w:val="es-ES"/>
              </w:rPr>
              <w:t>3 millones en</w:t>
            </w:r>
            <w:r w:rsidR="00B0255C" w:rsidRPr="00135D02">
              <w:rPr>
                <w:rFonts w:ascii="Arial" w:hAnsi="Arial" w:cs="Arial"/>
                <w:sz w:val="22"/>
                <w:szCs w:val="22"/>
                <w:lang w:val="es-ES"/>
              </w:rPr>
              <w:t xml:space="preserve"> el 202</w:t>
            </w:r>
            <w:r w:rsidR="00B430A4">
              <w:rPr>
                <w:rFonts w:ascii="Arial" w:hAnsi="Arial" w:cs="Arial"/>
                <w:sz w:val="22"/>
                <w:szCs w:val="22"/>
                <w:lang w:val="es-ES"/>
              </w:rPr>
              <w:t>2</w:t>
            </w:r>
            <w:r w:rsidR="00B0255C" w:rsidRPr="00135D02">
              <w:rPr>
                <w:rFonts w:ascii="Arial" w:hAnsi="Arial" w:cs="Arial"/>
                <w:sz w:val="22"/>
                <w:szCs w:val="22"/>
                <w:lang w:val="es-ES"/>
              </w:rPr>
              <w:t xml:space="preserve">, y el de alcantarillado de </w:t>
            </w:r>
            <w:r w:rsidR="00B430A4">
              <w:rPr>
                <w:rFonts w:ascii="Arial" w:hAnsi="Arial" w:cs="Arial"/>
                <w:sz w:val="22"/>
                <w:szCs w:val="22"/>
                <w:lang w:val="es-ES"/>
              </w:rPr>
              <w:t>327</w:t>
            </w:r>
            <w:r w:rsidR="00B0255C" w:rsidRPr="00135D02">
              <w:rPr>
                <w:rFonts w:ascii="Arial" w:hAnsi="Arial" w:cs="Arial"/>
                <w:sz w:val="22"/>
                <w:szCs w:val="22"/>
                <w:lang w:val="es-ES"/>
              </w:rPr>
              <w:t xml:space="preserve"> mil a </w:t>
            </w:r>
            <w:r w:rsidR="00B430A4">
              <w:rPr>
                <w:rFonts w:ascii="Arial" w:hAnsi="Arial" w:cs="Arial"/>
                <w:sz w:val="22"/>
                <w:szCs w:val="22"/>
                <w:lang w:val="es-ES"/>
              </w:rPr>
              <w:t>393</w:t>
            </w:r>
            <w:r w:rsidR="00B0255C" w:rsidRPr="00135D02">
              <w:rPr>
                <w:rFonts w:ascii="Arial" w:hAnsi="Arial" w:cs="Arial"/>
                <w:sz w:val="22"/>
                <w:szCs w:val="22"/>
                <w:lang w:val="es-ES"/>
              </w:rPr>
              <w:t xml:space="preserve"> mil.</w:t>
            </w:r>
            <w:r w:rsidRPr="00135D02">
              <w:rPr>
                <w:rFonts w:ascii="Arial" w:hAnsi="Arial" w:cs="Arial"/>
                <w:sz w:val="22"/>
                <w:szCs w:val="22"/>
                <w:lang w:val="es-ES"/>
              </w:rPr>
              <w:t xml:space="preserve"> </w:t>
            </w:r>
            <w:r w:rsidR="003D5276" w:rsidRPr="00135D02">
              <w:rPr>
                <w:rFonts w:ascii="Arial" w:hAnsi="Arial" w:cs="Arial"/>
                <w:sz w:val="22"/>
                <w:szCs w:val="22"/>
                <w:lang w:val="es-ES"/>
              </w:rPr>
              <w:t xml:space="preserve"> </w:t>
            </w:r>
            <w:r w:rsidR="00D6252A">
              <w:rPr>
                <w:rFonts w:ascii="Arial" w:hAnsi="Arial" w:cs="Arial"/>
                <w:sz w:val="22"/>
                <w:szCs w:val="22"/>
                <w:lang w:val="es-ES"/>
              </w:rPr>
              <w:t xml:space="preserve">En </w:t>
            </w:r>
            <w:r w:rsidR="00BD182E">
              <w:rPr>
                <w:rFonts w:ascii="Arial" w:hAnsi="Arial" w:cs="Arial"/>
                <w:sz w:val="22"/>
                <w:szCs w:val="22"/>
                <w:lang w:val="es-ES"/>
              </w:rPr>
              <w:t xml:space="preserve">línea con la tendencia de los últimos años, se proyecta una </w:t>
            </w:r>
            <w:r w:rsidR="001E588F">
              <w:rPr>
                <w:rFonts w:ascii="Arial" w:hAnsi="Arial" w:cs="Arial"/>
                <w:sz w:val="22"/>
                <w:szCs w:val="22"/>
                <w:lang w:val="es-ES"/>
              </w:rPr>
              <w:t>ligera caída en</w:t>
            </w:r>
            <w:r w:rsidR="00BD182E">
              <w:rPr>
                <w:rFonts w:ascii="Arial" w:hAnsi="Arial" w:cs="Arial"/>
                <w:sz w:val="22"/>
                <w:szCs w:val="22"/>
                <w:lang w:val="es-ES"/>
              </w:rPr>
              <w:t xml:space="preserve"> el</w:t>
            </w:r>
            <w:r w:rsidR="00B0255C" w:rsidRPr="00135D02">
              <w:rPr>
                <w:rFonts w:ascii="Arial" w:hAnsi="Arial" w:cs="Arial"/>
                <w:sz w:val="22"/>
                <w:szCs w:val="22"/>
                <w:lang w:val="es-ES"/>
              </w:rPr>
              <w:t xml:space="preserve"> consumo p</w:t>
            </w:r>
            <w:r w:rsidR="00991874">
              <w:rPr>
                <w:rFonts w:ascii="Arial" w:hAnsi="Arial" w:cs="Arial"/>
                <w:sz w:val="22"/>
                <w:szCs w:val="22"/>
                <w:lang w:val="es-ES"/>
              </w:rPr>
              <w:t xml:space="preserve">er cápita </w:t>
            </w:r>
            <w:r w:rsidR="001E588F">
              <w:rPr>
                <w:rFonts w:ascii="Arial" w:hAnsi="Arial" w:cs="Arial"/>
                <w:sz w:val="22"/>
                <w:szCs w:val="22"/>
                <w:lang w:val="es-ES"/>
              </w:rPr>
              <w:t>(</w:t>
            </w:r>
            <w:r w:rsidR="00991874">
              <w:rPr>
                <w:rFonts w:ascii="Arial" w:hAnsi="Arial" w:cs="Arial"/>
                <w:sz w:val="22"/>
                <w:szCs w:val="22"/>
                <w:lang w:val="es-ES"/>
              </w:rPr>
              <w:t>de 137l/h/d en el 2017 a 134</w:t>
            </w:r>
            <w:r w:rsidR="006712B6">
              <w:rPr>
                <w:rFonts w:ascii="Arial" w:hAnsi="Arial" w:cs="Arial"/>
                <w:sz w:val="22"/>
                <w:szCs w:val="22"/>
                <w:lang w:val="es-ES"/>
              </w:rPr>
              <w:t>l/h/d en el 2022</w:t>
            </w:r>
            <w:r w:rsidR="001E588F">
              <w:rPr>
                <w:rFonts w:ascii="Arial" w:hAnsi="Arial" w:cs="Arial"/>
                <w:sz w:val="22"/>
                <w:szCs w:val="22"/>
                <w:lang w:val="es-ES"/>
              </w:rPr>
              <w:t>)</w:t>
            </w:r>
            <w:r w:rsidR="006712B6">
              <w:rPr>
                <w:rFonts w:ascii="Arial" w:hAnsi="Arial" w:cs="Arial"/>
                <w:sz w:val="22"/>
                <w:szCs w:val="22"/>
                <w:lang w:val="es-ES"/>
              </w:rPr>
              <w:t>.</w:t>
            </w:r>
            <w:r w:rsidR="00B0255C" w:rsidRPr="00135D02">
              <w:rPr>
                <w:rFonts w:ascii="Arial" w:hAnsi="Arial" w:cs="Arial"/>
                <w:sz w:val="22"/>
                <w:szCs w:val="22"/>
                <w:lang w:val="es-ES"/>
              </w:rPr>
              <w:t xml:space="preserve"> </w:t>
            </w:r>
            <w:r w:rsidR="006712B6">
              <w:rPr>
                <w:rFonts w:ascii="Arial" w:hAnsi="Arial" w:cs="Arial"/>
                <w:sz w:val="22"/>
                <w:szCs w:val="22"/>
                <w:lang w:val="es-ES"/>
              </w:rPr>
              <w:t>E</w:t>
            </w:r>
            <w:r w:rsidR="00B0255C" w:rsidRPr="00135D02">
              <w:rPr>
                <w:rFonts w:ascii="Arial" w:hAnsi="Arial" w:cs="Arial"/>
                <w:sz w:val="22"/>
                <w:szCs w:val="22"/>
                <w:lang w:val="es-ES"/>
              </w:rPr>
              <w:t xml:space="preserve">l volumen </w:t>
            </w:r>
            <w:r w:rsidR="00A576AC">
              <w:rPr>
                <w:rFonts w:ascii="Arial" w:hAnsi="Arial" w:cs="Arial"/>
                <w:sz w:val="22"/>
                <w:szCs w:val="22"/>
                <w:lang w:val="es-ES"/>
              </w:rPr>
              <w:t>facturado de agua al</w:t>
            </w:r>
            <w:r w:rsidR="00B0255C" w:rsidRPr="00135D02">
              <w:rPr>
                <w:rFonts w:ascii="Arial" w:hAnsi="Arial" w:cs="Arial"/>
                <w:sz w:val="22"/>
                <w:szCs w:val="22"/>
                <w:lang w:val="es-ES"/>
              </w:rPr>
              <w:t xml:space="preserve"> a</w:t>
            </w:r>
            <w:r w:rsidR="00A576AC">
              <w:rPr>
                <w:rFonts w:ascii="Arial" w:hAnsi="Arial" w:cs="Arial"/>
                <w:sz w:val="22"/>
                <w:szCs w:val="22"/>
                <w:lang w:val="es-ES"/>
              </w:rPr>
              <w:t xml:space="preserve">ño </w:t>
            </w:r>
            <w:r w:rsidRPr="00135D02">
              <w:rPr>
                <w:rFonts w:ascii="Arial" w:hAnsi="Arial" w:cs="Arial"/>
                <w:sz w:val="22"/>
                <w:szCs w:val="22"/>
                <w:lang w:val="es-ES"/>
              </w:rPr>
              <w:t xml:space="preserve">se </w:t>
            </w:r>
            <w:r w:rsidR="00B8052A">
              <w:rPr>
                <w:rFonts w:ascii="Arial" w:hAnsi="Arial" w:cs="Arial"/>
                <w:sz w:val="22"/>
                <w:szCs w:val="22"/>
                <w:lang w:val="es-ES"/>
              </w:rPr>
              <w:t>aumenta</w:t>
            </w:r>
            <w:r w:rsidR="00A576AC">
              <w:rPr>
                <w:rFonts w:ascii="Arial" w:hAnsi="Arial" w:cs="Arial"/>
                <w:sz w:val="22"/>
                <w:szCs w:val="22"/>
                <w:lang w:val="es-ES"/>
              </w:rPr>
              <w:t xml:space="preserve"> marginalmente de </w:t>
            </w:r>
            <w:r w:rsidR="00B8052A">
              <w:rPr>
                <w:rFonts w:ascii="Arial" w:hAnsi="Arial" w:cs="Arial"/>
                <w:sz w:val="22"/>
                <w:szCs w:val="22"/>
                <w:lang w:val="es-ES"/>
              </w:rPr>
              <w:t>167</w:t>
            </w:r>
            <w:r w:rsidR="00B0255C" w:rsidRPr="00135D02">
              <w:rPr>
                <w:rFonts w:ascii="Arial" w:hAnsi="Arial" w:cs="Arial"/>
                <w:sz w:val="22"/>
                <w:szCs w:val="22"/>
                <w:lang w:val="es-ES"/>
              </w:rPr>
              <w:t xml:space="preserve"> millones de m3 a </w:t>
            </w:r>
            <w:r w:rsidR="002E2AD5">
              <w:rPr>
                <w:rFonts w:ascii="Arial" w:hAnsi="Arial" w:cs="Arial"/>
                <w:sz w:val="22"/>
                <w:szCs w:val="22"/>
                <w:lang w:val="es-ES"/>
              </w:rPr>
              <w:t>170</w:t>
            </w:r>
            <w:r w:rsidR="00B0255C" w:rsidRPr="00135D02">
              <w:rPr>
                <w:rFonts w:ascii="Arial" w:hAnsi="Arial" w:cs="Arial"/>
                <w:sz w:val="22"/>
                <w:szCs w:val="22"/>
                <w:lang w:val="es-ES"/>
              </w:rPr>
              <w:t xml:space="preserve"> millones de m3. </w:t>
            </w:r>
            <w:r w:rsidR="00863A29" w:rsidRPr="00135D02">
              <w:rPr>
                <w:rFonts w:ascii="Arial" w:hAnsi="Arial" w:cs="Arial"/>
                <w:sz w:val="22"/>
                <w:szCs w:val="22"/>
                <w:lang w:val="es-ES"/>
              </w:rPr>
              <w:t xml:space="preserve">Para ello, se requiere el volumen de agua </w:t>
            </w:r>
            <w:r w:rsidR="00B0255C" w:rsidRPr="00135D02">
              <w:rPr>
                <w:rFonts w:ascii="Arial" w:hAnsi="Arial" w:cs="Arial"/>
                <w:sz w:val="22"/>
                <w:szCs w:val="22"/>
                <w:lang w:val="es-ES"/>
              </w:rPr>
              <w:t>producida</w:t>
            </w:r>
            <w:r w:rsidR="00863A29" w:rsidRPr="00135D02">
              <w:rPr>
                <w:rFonts w:ascii="Arial" w:hAnsi="Arial" w:cs="Arial"/>
                <w:sz w:val="22"/>
                <w:szCs w:val="22"/>
                <w:lang w:val="es-ES"/>
              </w:rPr>
              <w:t xml:space="preserve"> de </w:t>
            </w:r>
            <w:r w:rsidR="00423D8E">
              <w:rPr>
                <w:rFonts w:ascii="Arial" w:hAnsi="Arial" w:cs="Arial"/>
                <w:sz w:val="22"/>
                <w:szCs w:val="22"/>
                <w:lang w:val="es-ES"/>
              </w:rPr>
              <w:t>338</w:t>
            </w:r>
            <w:r w:rsidR="00863A29" w:rsidRPr="00135D02">
              <w:rPr>
                <w:rFonts w:ascii="Arial" w:hAnsi="Arial" w:cs="Arial"/>
                <w:sz w:val="22"/>
                <w:szCs w:val="22"/>
                <w:lang w:val="es-ES"/>
              </w:rPr>
              <w:t xml:space="preserve"> millones de m</w:t>
            </w:r>
            <w:r w:rsidR="00B0255C" w:rsidRPr="00135D02">
              <w:rPr>
                <w:rFonts w:ascii="Arial" w:hAnsi="Arial" w:cs="Arial"/>
                <w:sz w:val="22"/>
                <w:szCs w:val="22"/>
                <w:lang w:val="es-ES"/>
              </w:rPr>
              <w:t>3</w:t>
            </w:r>
            <w:r w:rsidR="00863A29" w:rsidRPr="00135D02">
              <w:rPr>
                <w:rFonts w:ascii="Arial" w:hAnsi="Arial" w:cs="Arial"/>
                <w:sz w:val="22"/>
                <w:szCs w:val="22"/>
                <w:lang w:val="es-ES"/>
              </w:rPr>
              <w:t xml:space="preserve"> el 202</w:t>
            </w:r>
            <w:r w:rsidR="00423D8E">
              <w:rPr>
                <w:rFonts w:ascii="Arial" w:hAnsi="Arial" w:cs="Arial"/>
                <w:sz w:val="22"/>
                <w:szCs w:val="22"/>
                <w:lang w:val="es-ES"/>
              </w:rPr>
              <w:t>2</w:t>
            </w:r>
            <w:r w:rsidR="00863A29" w:rsidRPr="00135D02">
              <w:rPr>
                <w:rFonts w:ascii="Arial" w:hAnsi="Arial" w:cs="Arial"/>
                <w:sz w:val="22"/>
                <w:szCs w:val="22"/>
                <w:lang w:val="es-ES"/>
              </w:rPr>
              <w:t xml:space="preserve">, suponiendo </w:t>
            </w:r>
            <w:r w:rsidR="00B0255C" w:rsidRPr="00135D02">
              <w:rPr>
                <w:rFonts w:ascii="Arial" w:hAnsi="Arial" w:cs="Arial"/>
                <w:sz w:val="22"/>
                <w:szCs w:val="22"/>
                <w:lang w:val="es-ES"/>
              </w:rPr>
              <w:t xml:space="preserve">una </w:t>
            </w:r>
            <w:r w:rsidR="003D5276" w:rsidRPr="00135D02">
              <w:rPr>
                <w:rFonts w:ascii="Arial" w:hAnsi="Arial" w:cs="Arial"/>
                <w:sz w:val="22"/>
                <w:szCs w:val="22"/>
                <w:lang w:val="es-ES"/>
              </w:rPr>
              <w:t>mejora de</w:t>
            </w:r>
            <w:r w:rsidR="00863A29" w:rsidRPr="00135D02">
              <w:rPr>
                <w:rFonts w:ascii="Arial" w:hAnsi="Arial" w:cs="Arial"/>
                <w:sz w:val="22"/>
                <w:szCs w:val="22"/>
                <w:lang w:val="es-ES"/>
              </w:rPr>
              <w:t xml:space="preserve">l índice de agua no contabilizada del </w:t>
            </w:r>
            <w:r w:rsidR="003D5276" w:rsidRPr="00135D02">
              <w:rPr>
                <w:rFonts w:ascii="Arial" w:hAnsi="Arial" w:cs="Arial"/>
                <w:sz w:val="22"/>
                <w:szCs w:val="22"/>
                <w:lang w:val="es-ES"/>
              </w:rPr>
              <w:t>52.5%</w:t>
            </w:r>
            <w:r w:rsidR="00863A29" w:rsidRPr="00135D02">
              <w:rPr>
                <w:rFonts w:ascii="Arial" w:hAnsi="Arial" w:cs="Arial"/>
                <w:sz w:val="22"/>
                <w:szCs w:val="22"/>
                <w:lang w:val="es-ES"/>
              </w:rPr>
              <w:t xml:space="preserve">% actualmente a </w:t>
            </w:r>
            <w:r w:rsidR="00CF65B2">
              <w:rPr>
                <w:rFonts w:ascii="Arial" w:hAnsi="Arial" w:cs="Arial"/>
                <w:sz w:val="22"/>
                <w:szCs w:val="22"/>
                <w:lang w:val="es-ES"/>
              </w:rPr>
              <w:t>49</w:t>
            </w:r>
            <w:r w:rsidR="003D5276" w:rsidRPr="00135D02">
              <w:rPr>
                <w:rFonts w:ascii="Arial" w:hAnsi="Arial" w:cs="Arial"/>
                <w:sz w:val="22"/>
                <w:szCs w:val="22"/>
                <w:lang w:val="es-ES"/>
              </w:rPr>
              <w:t>.</w:t>
            </w:r>
            <w:r w:rsidR="00CF65B2">
              <w:rPr>
                <w:rFonts w:ascii="Arial" w:hAnsi="Arial" w:cs="Arial"/>
                <w:sz w:val="22"/>
                <w:szCs w:val="22"/>
                <w:lang w:val="es-ES"/>
              </w:rPr>
              <w:t>9</w:t>
            </w:r>
            <w:r w:rsidR="00863A29" w:rsidRPr="00135D02">
              <w:rPr>
                <w:rFonts w:ascii="Arial" w:hAnsi="Arial" w:cs="Arial"/>
                <w:sz w:val="22"/>
                <w:szCs w:val="22"/>
                <w:lang w:val="es-ES"/>
              </w:rPr>
              <w:t>% en el citado año.</w:t>
            </w:r>
          </w:p>
        </w:tc>
      </w:tr>
      <w:tr w:rsidR="000F5AFC" w:rsidRPr="00FB367A" w14:paraId="3E7BFA52" w14:textId="77777777" w:rsidTr="006B3970">
        <w:tc>
          <w:tcPr>
            <w:tcW w:w="2070" w:type="dxa"/>
            <w:tcBorders>
              <w:bottom w:val="single" w:sz="4" w:space="0" w:color="auto"/>
            </w:tcBorders>
            <w:shd w:val="clear" w:color="auto" w:fill="auto"/>
          </w:tcPr>
          <w:p w14:paraId="7605BC74" w14:textId="196F76D8"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Ingresos Opera</w:t>
            </w:r>
            <w:r w:rsidR="006B3970" w:rsidRPr="00135D02">
              <w:rPr>
                <w:rFonts w:cs="Arial"/>
                <w:i/>
                <w:iCs/>
                <w:sz w:val="22"/>
                <w:szCs w:val="22"/>
                <w:lang w:val="es-ES"/>
              </w:rPr>
              <w:t>cionales</w:t>
            </w:r>
          </w:p>
          <w:p w14:paraId="551BB0AA" w14:textId="77777777" w:rsidR="000F5AFC" w:rsidRPr="00135D02" w:rsidRDefault="000F5AFC" w:rsidP="00FD2A08">
            <w:pPr>
              <w:tabs>
                <w:tab w:val="left" w:pos="0"/>
              </w:tabs>
              <w:ind w:left="72"/>
              <w:rPr>
                <w:rFonts w:ascii="Arial" w:hAnsi="Arial" w:cs="Arial"/>
                <w:i/>
                <w:iCs/>
                <w:sz w:val="22"/>
                <w:szCs w:val="22"/>
                <w:lang w:val="es-ES"/>
              </w:rPr>
            </w:pPr>
          </w:p>
        </w:tc>
        <w:tc>
          <w:tcPr>
            <w:tcW w:w="6861" w:type="dxa"/>
            <w:tcBorders>
              <w:bottom w:val="single" w:sz="4" w:space="0" w:color="auto"/>
            </w:tcBorders>
            <w:shd w:val="clear" w:color="auto" w:fill="auto"/>
          </w:tcPr>
          <w:p w14:paraId="225553C9" w14:textId="488E1DC7" w:rsidR="006B3970" w:rsidRPr="00135D02" w:rsidRDefault="0086315A" w:rsidP="006B3970">
            <w:pPr>
              <w:pStyle w:val="BodyText"/>
              <w:jc w:val="both"/>
              <w:rPr>
                <w:rFonts w:ascii="Arial" w:hAnsi="Arial" w:cs="Arial"/>
                <w:sz w:val="22"/>
                <w:szCs w:val="22"/>
                <w:lang w:val="es-ES"/>
              </w:rPr>
            </w:pPr>
            <w:r w:rsidRPr="00135D02">
              <w:rPr>
                <w:rFonts w:ascii="Arial" w:hAnsi="Arial" w:cs="Arial"/>
                <w:sz w:val="22"/>
                <w:szCs w:val="22"/>
                <w:lang w:val="es-ES_tradnl"/>
              </w:rPr>
              <w:t xml:space="preserve">Durante los primeros 5 años de la proyección, en el promedio </w:t>
            </w:r>
            <w:r w:rsidR="00CF65B2">
              <w:rPr>
                <w:rFonts w:ascii="Arial" w:hAnsi="Arial" w:cs="Arial"/>
                <w:sz w:val="22"/>
                <w:szCs w:val="22"/>
                <w:lang w:val="es-ES_tradnl"/>
              </w:rPr>
              <w:t>OSE</w:t>
            </w:r>
            <w:r w:rsidRPr="00135D02">
              <w:rPr>
                <w:rFonts w:ascii="Arial" w:hAnsi="Arial" w:cs="Arial"/>
                <w:sz w:val="22"/>
                <w:szCs w:val="22"/>
                <w:lang w:val="es-ES_tradnl"/>
              </w:rPr>
              <w:t xml:space="preserve"> tendrá ingresos operacionales de US$</w:t>
            </w:r>
            <w:r w:rsidR="00185247">
              <w:rPr>
                <w:rFonts w:ascii="Arial" w:hAnsi="Arial" w:cs="Arial"/>
                <w:sz w:val="22"/>
                <w:szCs w:val="22"/>
                <w:lang w:val="es-ES_tradnl"/>
              </w:rPr>
              <w:t>454</w:t>
            </w:r>
            <w:r w:rsidRPr="00135D02">
              <w:rPr>
                <w:rFonts w:ascii="Arial" w:hAnsi="Arial" w:cs="Arial"/>
                <w:sz w:val="22"/>
                <w:szCs w:val="22"/>
                <w:lang w:val="es-ES_tradnl"/>
              </w:rPr>
              <w:t xml:space="preserve"> millones. La composición de dichos ingresos serán aproximadamente lo siguiente: </w:t>
            </w:r>
            <w:r w:rsidR="002226AE" w:rsidRPr="002226AE">
              <w:rPr>
                <w:rFonts w:ascii="Arial" w:hAnsi="Arial" w:cs="Arial"/>
                <w:sz w:val="22"/>
                <w:szCs w:val="22"/>
                <w:lang w:val="es-ES_tradnl"/>
              </w:rPr>
              <w:t>Ventas de agua US$369 millones (81%), Facturación alcantarillado US$68 millones (15%), y Otros US$16 millones (4%).</w:t>
            </w:r>
            <w:r w:rsidR="002226AE" w:rsidRPr="002226AE">
              <w:rPr>
                <w:rFonts w:ascii="Arial" w:hAnsi="Arial" w:cs="Arial"/>
                <w:sz w:val="22"/>
                <w:szCs w:val="22"/>
                <w:lang w:val="es-ES_tradnl"/>
              </w:rPr>
              <w:t xml:space="preserve"> </w:t>
            </w:r>
            <w:r w:rsidR="002226AE" w:rsidRPr="002226AE">
              <w:rPr>
                <w:rFonts w:ascii="Arial" w:hAnsi="Arial" w:cs="Arial"/>
                <w:sz w:val="22"/>
                <w:szCs w:val="22"/>
                <w:lang w:val="es-ES_tradnl"/>
              </w:rPr>
              <w:t>Los ingresos por ventas de agua consisten en el cargo variable US$226 millones (61%), y el cargo fijo US$143 millones (39%).</w:t>
            </w:r>
          </w:p>
        </w:tc>
      </w:tr>
      <w:tr w:rsidR="000F5AFC" w:rsidRPr="00FB367A" w14:paraId="25365971" w14:textId="77777777" w:rsidTr="00FD2A08">
        <w:tblPrEx>
          <w:tblBorders>
            <w:left w:val="single" w:sz="4" w:space="0" w:color="auto"/>
            <w:right w:val="single" w:sz="4" w:space="0" w:color="auto"/>
            <w:insideV w:val="single" w:sz="4" w:space="0" w:color="auto"/>
          </w:tblBorders>
        </w:tblPrEx>
        <w:tc>
          <w:tcPr>
            <w:tcW w:w="2070" w:type="dxa"/>
            <w:tcBorders>
              <w:left w:val="nil"/>
              <w:right w:val="nil"/>
            </w:tcBorders>
          </w:tcPr>
          <w:p w14:paraId="353EED63" w14:textId="77AA4232"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 xml:space="preserve">Costos </w:t>
            </w:r>
            <w:r w:rsidR="006B3970" w:rsidRPr="00135D02">
              <w:rPr>
                <w:rFonts w:cs="Arial"/>
                <w:i/>
                <w:iCs/>
                <w:sz w:val="22"/>
                <w:szCs w:val="22"/>
                <w:lang w:val="es-ES"/>
              </w:rPr>
              <w:t>Operacionales</w:t>
            </w:r>
          </w:p>
          <w:p w14:paraId="4A25C163" w14:textId="77777777" w:rsidR="000F5AFC" w:rsidRPr="00135D02" w:rsidRDefault="000F5AFC" w:rsidP="00FD2A08">
            <w:pPr>
              <w:tabs>
                <w:tab w:val="left" w:pos="0"/>
              </w:tabs>
              <w:ind w:left="72"/>
              <w:rPr>
                <w:rFonts w:ascii="Arial" w:hAnsi="Arial" w:cs="Arial"/>
                <w:i/>
                <w:iCs/>
                <w:sz w:val="22"/>
                <w:szCs w:val="22"/>
                <w:lang w:val="es-ES"/>
              </w:rPr>
            </w:pPr>
          </w:p>
        </w:tc>
        <w:tc>
          <w:tcPr>
            <w:tcW w:w="6861" w:type="dxa"/>
            <w:tcBorders>
              <w:left w:val="nil"/>
              <w:right w:val="nil"/>
            </w:tcBorders>
          </w:tcPr>
          <w:p w14:paraId="2578C550" w14:textId="7EB6621D" w:rsidR="000F5AFC" w:rsidRPr="00135D02" w:rsidRDefault="006B3970" w:rsidP="00433B42">
            <w:pPr>
              <w:jc w:val="both"/>
              <w:rPr>
                <w:rFonts w:ascii="Arial" w:hAnsi="Arial" w:cs="Arial"/>
                <w:sz w:val="22"/>
                <w:szCs w:val="22"/>
                <w:lang w:val="es-ES"/>
              </w:rPr>
            </w:pPr>
            <w:r w:rsidRPr="00135D02">
              <w:rPr>
                <w:rFonts w:ascii="Arial" w:hAnsi="Arial" w:cs="Arial"/>
                <w:sz w:val="22"/>
                <w:szCs w:val="22"/>
                <w:lang w:val="es-ES_tradnl"/>
              </w:rPr>
              <w:t>Los costos operativos, en el promedio de los primeros 5 años de la proyección, será del US$</w:t>
            </w:r>
            <w:r w:rsidR="002226AE">
              <w:rPr>
                <w:rFonts w:ascii="Arial" w:hAnsi="Arial" w:cs="Arial"/>
                <w:sz w:val="22"/>
                <w:szCs w:val="22"/>
                <w:lang w:val="es-ES_tradnl"/>
              </w:rPr>
              <w:t>352</w:t>
            </w:r>
            <w:r w:rsidRPr="00135D02">
              <w:rPr>
                <w:rFonts w:ascii="Arial" w:hAnsi="Arial" w:cs="Arial"/>
                <w:sz w:val="22"/>
                <w:szCs w:val="22"/>
                <w:lang w:val="es-ES_tradnl"/>
              </w:rPr>
              <w:t xml:space="preserve"> millones, lo cual es un incremento de un </w:t>
            </w:r>
            <w:r w:rsidR="00903A48">
              <w:rPr>
                <w:rFonts w:ascii="Arial" w:hAnsi="Arial" w:cs="Arial"/>
                <w:sz w:val="22"/>
                <w:szCs w:val="22"/>
                <w:lang w:val="es-ES_tradnl"/>
              </w:rPr>
              <w:t>4</w:t>
            </w:r>
            <w:r w:rsidRPr="00135D02">
              <w:rPr>
                <w:rFonts w:ascii="Arial" w:hAnsi="Arial" w:cs="Arial"/>
                <w:sz w:val="22"/>
                <w:szCs w:val="22"/>
                <w:lang w:val="es-ES_tradnl"/>
              </w:rPr>
              <w:t>%, comparado con el 201</w:t>
            </w:r>
            <w:r w:rsidR="00903A48">
              <w:rPr>
                <w:rFonts w:ascii="Arial" w:hAnsi="Arial" w:cs="Arial"/>
                <w:sz w:val="22"/>
                <w:szCs w:val="22"/>
                <w:lang w:val="es-ES_tradnl"/>
              </w:rPr>
              <w:t>7</w:t>
            </w:r>
            <w:r w:rsidRPr="00135D02">
              <w:rPr>
                <w:rFonts w:ascii="Arial" w:hAnsi="Arial" w:cs="Arial"/>
                <w:sz w:val="22"/>
                <w:szCs w:val="22"/>
                <w:lang w:val="es-ES_tradnl"/>
              </w:rPr>
              <w:t xml:space="preserve">. </w:t>
            </w:r>
            <w:r w:rsidR="00903A48" w:rsidRPr="00903A48">
              <w:rPr>
                <w:rFonts w:ascii="Arial" w:hAnsi="Arial" w:cs="Arial"/>
                <w:sz w:val="22"/>
                <w:szCs w:val="22"/>
                <w:lang w:val="es-ES_tradnl"/>
              </w:rPr>
              <w:t>Gastos de personal US$137 millones (39%); Servicios tercerizados US$103 millones (29%); Energía y fluidos US$38 millones (11%); Materiales US$34 millones (10%); Otros US$25 millones (7%); y Pérdida por deudores incobrables US$16 millones (5%). Se proyecta una liviana mejora en la eficiencia de mano de obra de la empresa OSE (en términos del número de empleados por 1,000 conexiones de agua: de 4.1 en el 2017 a 3.9 en el 2022)</w:t>
            </w:r>
            <w:r w:rsidR="00903A48" w:rsidRPr="00903A48">
              <w:rPr>
                <w:rFonts w:ascii="Arial" w:hAnsi="Arial" w:cs="Arial"/>
                <w:sz w:val="22"/>
                <w:szCs w:val="22"/>
                <w:lang w:val="es-ES_tradnl"/>
              </w:rPr>
              <w:t xml:space="preserve">. </w:t>
            </w:r>
            <w:r w:rsidR="002226AE" w:rsidRPr="00135D02">
              <w:rPr>
                <w:rFonts w:ascii="Arial" w:hAnsi="Arial" w:cs="Arial"/>
                <w:sz w:val="22"/>
                <w:szCs w:val="22"/>
                <w:lang w:val="es-ES_tradnl"/>
              </w:rPr>
              <w:t>Se ha calculado el costo de p</w:t>
            </w:r>
            <w:r w:rsidR="002226AE" w:rsidRPr="00135D02">
              <w:rPr>
                <w:rFonts w:ascii="Arial" w:hAnsi="Arial" w:cs="Arial"/>
                <w:sz w:val="22"/>
                <w:szCs w:val="22"/>
                <w:lang w:val="es-ES"/>
              </w:rPr>
              <w:t>revisión de incobrables, teniendo en cuenta la misma eficiencia de cobranza del 201</w:t>
            </w:r>
            <w:r w:rsidR="007B7BA2">
              <w:rPr>
                <w:rFonts w:ascii="Arial" w:hAnsi="Arial" w:cs="Arial"/>
                <w:sz w:val="22"/>
                <w:szCs w:val="22"/>
                <w:lang w:val="es-ES"/>
              </w:rPr>
              <w:t>7</w:t>
            </w:r>
            <w:r w:rsidR="002226AE" w:rsidRPr="00135D02">
              <w:rPr>
                <w:rFonts w:ascii="Arial" w:hAnsi="Arial" w:cs="Arial"/>
                <w:sz w:val="22"/>
                <w:szCs w:val="22"/>
                <w:lang w:val="es-ES"/>
              </w:rPr>
              <w:t xml:space="preserve"> (9</w:t>
            </w:r>
            <w:r w:rsidR="007B7BA2">
              <w:rPr>
                <w:rFonts w:ascii="Arial" w:hAnsi="Arial" w:cs="Arial"/>
                <w:sz w:val="22"/>
                <w:szCs w:val="22"/>
                <w:lang w:val="es-ES"/>
              </w:rPr>
              <w:t>6</w:t>
            </w:r>
            <w:r w:rsidR="002226AE" w:rsidRPr="00135D02">
              <w:rPr>
                <w:rFonts w:ascii="Arial" w:hAnsi="Arial" w:cs="Arial"/>
                <w:sz w:val="22"/>
                <w:szCs w:val="22"/>
                <w:lang w:val="es-ES"/>
              </w:rPr>
              <w:t>%</w:t>
            </w:r>
            <w:r w:rsidR="007B7BA2">
              <w:rPr>
                <w:rFonts w:ascii="Arial" w:hAnsi="Arial" w:cs="Arial"/>
                <w:sz w:val="22"/>
                <w:szCs w:val="22"/>
                <w:lang w:val="es-ES"/>
              </w:rPr>
              <w:t>).</w:t>
            </w:r>
          </w:p>
        </w:tc>
      </w:tr>
      <w:tr w:rsidR="000F5AFC" w:rsidRPr="00FB367A" w14:paraId="0C4643FB" w14:textId="77777777" w:rsidTr="00FD2A08">
        <w:tblPrEx>
          <w:tblBorders>
            <w:left w:val="single" w:sz="4" w:space="0" w:color="auto"/>
            <w:right w:val="single" w:sz="4" w:space="0" w:color="auto"/>
            <w:insideV w:val="single" w:sz="4" w:space="0" w:color="auto"/>
          </w:tblBorders>
        </w:tblPrEx>
        <w:trPr>
          <w:trHeight w:val="1043"/>
        </w:trPr>
        <w:tc>
          <w:tcPr>
            <w:tcW w:w="2070" w:type="dxa"/>
            <w:tcBorders>
              <w:left w:val="nil"/>
              <w:right w:val="nil"/>
            </w:tcBorders>
          </w:tcPr>
          <w:p w14:paraId="3112138D" w14:textId="77777777"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sz w:val="22"/>
                <w:szCs w:val="22"/>
                <w:lang w:val="es-ES"/>
              </w:rPr>
              <w:t xml:space="preserve">EBITDA Margen </w:t>
            </w:r>
            <w:r w:rsidRPr="00135D02">
              <w:rPr>
                <w:rFonts w:cs="Arial"/>
                <w:b w:val="0"/>
                <w:sz w:val="22"/>
                <w:szCs w:val="22"/>
                <w:lang w:val="es-ES"/>
              </w:rPr>
              <w:t>(Ingresos antes de intereses, impuestos, depreciación y amortización)</w:t>
            </w:r>
          </w:p>
        </w:tc>
        <w:tc>
          <w:tcPr>
            <w:tcW w:w="6861" w:type="dxa"/>
            <w:tcBorders>
              <w:left w:val="nil"/>
              <w:right w:val="nil"/>
            </w:tcBorders>
          </w:tcPr>
          <w:p w14:paraId="1D84D759" w14:textId="0BEFBE66" w:rsidR="000F5AFC" w:rsidRPr="00135D02" w:rsidRDefault="00E72681" w:rsidP="00433B42">
            <w:pPr>
              <w:jc w:val="both"/>
              <w:rPr>
                <w:rFonts w:ascii="Arial" w:hAnsi="Arial" w:cs="Arial"/>
                <w:sz w:val="22"/>
                <w:szCs w:val="22"/>
                <w:lang w:val="es-ES"/>
              </w:rPr>
            </w:pPr>
            <w:r w:rsidRPr="00E72681">
              <w:rPr>
                <w:rFonts w:ascii="Arial" w:hAnsi="Arial" w:cs="Arial"/>
                <w:sz w:val="22"/>
                <w:szCs w:val="22"/>
                <w:lang w:val="es-ES_tradnl"/>
              </w:rPr>
              <w:t>El margen EBITDA de la empresa, en el promedio del periodo 2018-2022, será de un 22%</w:t>
            </w:r>
            <w:r w:rsidR="006B3970" w:rsidRPr="00135D02">
              <w:rPr>
                <w:rFonts w:ascii="Arial" w:hAnsi="Arial" w:cs="Arial"/>
                <w:sz w:val="22"/>
                <w:szCs w:val="22"/>
                <w:lang w:val="es-ES_tradnl"/>
              </w:rPr>
              <w:t>.</w:t>
            </w:r>
            <w:r w:rsidR="000F5AFC" w:rsidRPr="00135D02">
              <w:rPr>
                <w:rFonts w:ascii="Arial" w:hAnsi="Arial" w:cs="Arial"/>
                <w:iCs/>
                <w:sz w:val="22"/>
                <w:szCs w:val="22"/>
                <w:lang w:val="es-ES"/>
              </w:rPr>
              <w:t xml:space="preserve"> </w:t>
            </w:r>
          </w:p>
        </w:tc>
      </w:tr>
      <w:tr w:rsidR="000F5AFC" w:rsidRPr="00FB367A" w14:paraId="0D287E25" w14:textId="77777777" w:rsidTr="00FD2A08">
        <w:tblPrEx>
          <w:tblBorders>
            <w:left w:val="single" w:sz="4" w:space="0" w:color="auto"/>
            <w:right w:val="single" w:sz="4" w:space="0" w:color="auto"/>
            <w:insideV w:val="single" w:sz="4" w:space="0" w:color="auto"/>
          </w:tblBorders>
        </w:tblPrEx>
        <w:trPr>
          <w:trHeight w:val="656"/>
        </w:trPr>
        <w:tc>
          <w:tcPr>
            <w:tcW w:w="2070" w:type="dxa"/>
            <w:tcBorders>
              <w:left w:val="nil"/>
              <w:right w:val="nil"/>
            </w:tcBorders>
          </w:tcPr>
          <w:p w14:paraId="7EAAB511" w14:textId="77777777"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Inversión de Capital</w:t>
            </w:r>
          </w:p>
          <w:p w14:paraId="75F158EA" w14:textId="77777777" w:rsidR="000F5AFC" w:rsidRPr="00135D02" w:rsidRDefault="000F5AFC" w:rsidP="00FD2A08">
            <w:pPr>
              <w:tabs>
                <w:tab w:val="left" w:pos="0"/>
              </w:tabs>
              <w:ind w:left="72"/>
              <w:rPr>
                <w:rFonts w:ascii="Arial" w:hAnsi="Arial" w:cs="Arial"/>
                <w:i/>
                <w:iCs/>
                <w:sz w:val="22"/>
                <w:szCs w:val="22"/>
                <w:lang w:val="es-ES"/>
              </w:rPr>
            </w:pPr>
            <w:r w:rsidRPr="00135D02">
              <w:rPr>
                <w:rFonts w:ascii="Arial" w:hAnsi="Arial" w:cs="Arial"/>
                <w:i/>
                <w:iCs/>
                <w:sz w:val="22"/>
                <w:szCs w:val="22"/>
                <w:lang w:val="es-ES"/>
              </w:rPr>
              <w:t>(CAPEX)</w:t>
            </w:r>
          </w:p>
        </w:tc>
        <w:tc>
          <w:tcPr>
            <w:tcW w:w="6861" w:type="dxa"/>
            <w:tcBorders>
              <w:left w:val="nil"/>
              <w:right w:val="nil"/>
            </w:tcBorders>
          </w:tcPr>
          <w:p w14:paraId="46ED0012" w14:textId="776BCA66" w:rsidR="000F5AFC" w:rsidRPr="00135D02" w:rsidRDefault="006B3970" w:rsidP="00433B42">
            <w:pPr>
              <w:jc w:val="both"/>
              <w:rPr>
                <w:rFonts w:ascii="Arial" w:hAnsi="Arial" w:cs="Arial"/>
                <w:sz w:val="22"/>
                <w:szCs w:val="22"/>
                <w:lang w:val="es-ES_tradnl"/>
              </w:rPr>
            </w:pPr>
            <w:r w:rsidRPr="00135D02">
              <w:rPr>
                <w:rFonts w:ascii="Arial" w:hAnsi="Arial" w:cs="Arial"/>
                <w:sz w:val="22"/>
                <w:szCs w:val="22"/>
                <w:lang w:val="es-ES_tradnl"/>
              </w:rPr>
              <w:t>Entre el 201</w:t>
            </w:r>
            <w:r w:rsidR="00E72681">
              <w:rPr>
                <w:rFonts w:ascii="Arial" w:hAnsi="Arial" w:cs="Arial"/>
                <w:sz w:val="22"/>
                <w:szCs w:val="22"/>
                <w:lang w:val="es-ES_tradnl"/>
              </w:rPr>
              <w:t>8</w:t>
            </w:r>
            <w:r w:rsidRPr="00135D02">
              <w:rPr>
                <w:rFonts w:ascii="Arial" w:hAnsi="Arial" w:cs="Arial"/>
                <w:sz w:val="22"/>
                <w:szCs w:val="22"/>
                <w:lang w:val="es-ES_tradnl"/>
              </w:rPr>
              <w:t xml:space="preserve"> y 202</w:t>
            </w:r>
            <w:r w:rsidR="00E72681">
              <w:rPr>
                <w:rFonts w:ascii="Arial" w:hAnsi="Arial" w:cs="Arial"/>
                <w:sz w:val="22"/>
                <w:szCs w:val="22"/>
                <w:lang w:val="es-ES_tradnl"/>
              </w:rPr>
              <w:t>2</w:t>
            </w:r>
            <w:r w:rsidRPr="00135D02">
              <w:rPr>
                <w:rFonts w:ascii="Arial" w:hAnsi="Arial" w:cs="Arial"/>
                <w:sz w:val="22"/>
                <w:szCs w:val="22"/>
                <w:lang w:val="es-ES_tradnl"/>
              </w:rPr>
              <w:t xml:space="preserve">, se proyecta que </w:t>
            </w:r>
            <w:r w:rsidR="00E72681">
              <w:rPr>
                <w:rFonts w:ascii="Arial" w:hAnsi="Arial" w:cs="Arial"/>
                <w:sz w:val="22"/>
                <w:szCs w:val="22"/>
                <w:lang w:val="es-ES_tradnl"/>
              </w:rPr>
              <w:t>OSE</w:t>
            </w:r>
            <w:r w:rsidRPr="00135D02">
              <w:rPr>
                <w:rFonts w:ascii="Arial" w:hAnsi="Arial" w:cs="Arial"/>
                <w:sz w:val="22"/>
                <w:szCs w:val="22"/>
                <w:lang w:val="es-ES_tradnl"/>
              </w:rPr>
              <w:t xml:space="preserve"> invierte aproximadamente US$</w:t>
            </w:r>
            <w:r w:rsidR="00E00676">
              <w:rPr>
                <w:rFonts w:ascii="Arial" w:hAnsi="Arial" w:cs="Arial"/>
                <w:sz w:val="22"/>
                <w:szCs w:val="22"/>
                <w:lang w:val="es-ES_tradnl"/>
              </w:rPr>
              <w:t>102</w:t>
            </w:r>
            <w:r w:rsidRPr="00135D02">
              <w:rPr>
                <w:rFonts w:ascii="Arial" w:hAnsi="Arial" w:cs="Arial"/>
                <w:sz w:val="22"/>
                <w:szCs w:val="22"/>
                <w:lang w:val="es-ES_tradnl"/>
              </w:rPr>
              <w:t xml:space="preserve"> millones en el promedio anual, </w:t>
            </w:r>
            <w:r w:rsidR="00E00676" w:rsidRPr="00E00676">
              <w:rPr>
                <w:rFonts w:ascii="Arial" w:hAnsi="Arial" w:cs="Arial"/>
                <w:sz w:val="22"/>
                <w:szCs w:val="22"/>
                <w:lang w:val="es-ES_tradnl"/>
              </w:rPr>
              <w:t>lo cual es casi equivalente al nivel de inversión que hizo la entidad durante el periodo 2015-2017 (US$98 millones/año)</w:t>
            </w:r>
            <w:r w:rsidRPr="00135D02">
              <w:rPr>
                <w:rFonts w:ascii="Arial" w:hAnsi="Arial" w:cs="Arial"/>
                <w:sz w:val="22"/>
                <w:szCs w:val="22"/>
                <w:lang w:val="es-ES_tradnl"/>
              </w:rPr>
              <w:t xml:space="preserve">. </w:t>
            </w:r>
          </w:p>
        </w:tc>
      </w:tr>
      <w:tr w:rsidR="000F5AFC" w:rsidRPr="00FB367A" w14:paraId="182A18C8" w14:textId="77777777" w:rsidTr="00FD2A08">
        <w:tblPrEx>
          <w:tblBorders>
            <w:left w:val="single" w:sz="4" w:space="0" w:color="auto"/>
            <w:right w:val="single" w:sz="4" w:space="0" w:color="auto"/>
            <w:insideV w:val="single" w:sz="4" w:space="0" w:color="auto"/>
          </w:tblBorders>
        </w:tblPrEx>
        <w:trPr>
          <w:trHeight w:val="710"/>
        </w:trPr>
        <w:tc>
          <w:tcPr>
            <w:tcW w:w="2070" w:type="dxa"/>
            <w:tcBorders>
              <w:left w:val="nil"/>
              <w:bottom w:val="single" w:sz="4" w:space="0" w:color="auto"/>
              <w:right w:val="nil"/>
            </w:tcBorders>
          </w:tcPr>
          <w:p w14:paraId="657C0F7B" w14:textId="3D8F9C34"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 xml:space="preserve">Financiamiento </w:t>
            </w:r>
          </w:p>
          <w:p w14:paraId="636ACACE" w14:textId="77777777" w:rsidR="000F5AFC" w:rsidRPr="00135D02" w:rsidRDefault="000F5AFC" w:rsidP="00FD2A08">
            <w:pPr>
              <w:tabs>
                <w:tab w:val="left" w:pos="0"/>
              </w:tabs>
              <w:ind w:left="72"/>
              <w:rPr>
                <w:rFonts w:ascii="Arial" w:hAnsi="Arial" w:cs="Arial"/>
                <w:i/>
                <w:iCs/>
                <w:sz w:val="22"/>
                <w:szCs w:val="22"/>
                <w:lang w:val="es-ES"/>
              </w:rPr>
            </w:pPr>
          </w:p>
        </w:tc>
        <w:tc>
          <w:tcPr>
            <w:tcW w:w="6861" w:type="dxa"/>
            <w:tcBorders>
              <w:left w:val="nil"/>
              <w:bottom w:val="single" w:sz="4" w:space="0" w:color="auto"/>
              <w:right w:val="nil"/>
            </w:tcBorders>
          </w:tcPr>
          <w:p w14:paraId="12F33AF9" w14:textId="629ED433" w:rsidR="000F5AFC" w:rsidRPr="00135D02" w:rsidRDefault="00E852F1" w:rsidP="00433B42">
            <w:pPr>
              <w:jc w:val="both"/>
              <w:rPr>
                <w:rFonts w:ascii="Arial" w:hAnsi="Arial" w:cs="Arial"/>
                <w:sz w:val="22"/>
                <w:szCs w:val="22"/>
                <w:lang w:val="es-ES"/>
              </w:rPr>
            </w:pPr>
            <w:r w:rsidRPr="00E852F1">
              <w:rPr>
                <w:rFonts w:ascii="Arial" w:hAnsi="Arial" w:cs="Arial"/>
                <w:sz w:val="22"/>
                <w:szCs w:val="22"/>
                <w:lang w:val="es-ES_tradnl"/>
              </w:rPr>
              <w:t>Durante los primeros cinco años de la proyección, en el promedio anual OSE tendrá el monto de obtención neta de deudas financieras de unos US$10 millones. En el mismo periodo, se proyecta los pagos de intereses con el monto promedio anual de US$17 millones.</w:t>
            </w:r>
          </w:p>
        </w:tc>
      </w:tr>
      <w:tr w:rsidR="000F5AFC" w:rsidRPr="00FB367A" w14:paraId="757348F8" w14:textId="77777777" w:rsidTr="00FD2A08">
        <w:tblPrEx>
          <w:tblBorders>
            <w:left w:val="single" w:sz="4" w:space="0" w:color="auto"/>
            <w:right w:val="single" w:sz="4" w:space="0" w:color="auto"/>
            <w:insideV w:val="single" w:sz="4" w:space="0" w:color="auto"/>
          </w:tblBorders>
        </w:tblPrEx>
        <w:tc>
          <w:tcPr>
            <w:tcW w:w="2070" w:type="dxa"/>
            <w:tcBorders>
              <w:left w:val="nil"/>
              <w:right w:val="nil"/>
            </w:tcBorders>
          </w:tcPr>
          <w:p w14:paraId="22057E95" w14:textId="77777777"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lastRenderedPageBreak/>
              <w:t>Impuestos</w:t>
            </w:r>
          </w:p>
        </w:tc>
        <w:tc>
          <w:tcPr>
            <w:tcW w:w="6861" w:type="dxa"/>
            <w:tcBorders>
              <w:left w:val="nil"/>
              <w:right w:val="nil"/>
            </w:tcBorders>
          </w:tcPr>
          <w:p w14:paraId="47D5F05F" w14:textId="3CB6EFC7" w:rsidR="000F5AFC" w:rsidRPr="00135D02" w:rsidRDefault="00DC4CEA" w:rsidP="00433B42">
            <w:pPr>
              <w:jc w:val="both"/>
              <w:rPr>
                <w:rFonts w:ascii="Arial" w:hAnsi="Arial" w:cs="Arial"/>
                <w:sz w:val="22"/>
                <w:szCs w:val="22"/>
                <w:lang w:val="es-ES"/>
              </w:rPr>
            </w:pPr>
            <w:r>
              <w:rPr>
                <w:rFonts w:ascii="Arial" w:hAnsi="Arial" w:cs="Arial"/>
                <w:sz w:val="22"/>
                <w:szCs w:val="22"/>
                <w:lang w:val="es-ES"/>
              </w:rPr>
              <w:t xml:space="preserve">El Organismo es </w:t>
            </w:r>
            <w:r w:rsidR="00AA46AD">
              <w:rPr>
                <w:rFonts w:ascii="Arial" w:hAnsi="Arial" w:cs="Arial"/>
                <w:sz w:val="22"/>
                <w:szCs w:val="22"/>
                <w:lang w:val="es-ES"/>
              </w:rPr>
              <w:t xml:space="preserve">contribuyente del impuesto a las rentas de las actividades económicas. La tasa de dicho impuesto es del 25%. En esta proyección, no se </w:t>
            </w:r>
            <w:r w:rsidR="00C860DE">
              <w:rPr>
                <w:rFonts w:ascii="Arial" w:hAnsi="Arial" w:cs="Arial"/>
                <w:sz w:val="22"/>
                <w:szCs w:val="22"/>
                <w:lang w:val="es-ES"/>
              </w:rPr>
              <w:t xml:space="preserve">consideró el </w:t>
            </w:r>
            <w:r w:rsidR="00740A92">
              <w:rPr>
                <w:rFonts w:ascii="Arial" w:hAnsi="Arial" w:cs="Arial"/>
                <w:sz w:val="22"/>
                <w:szCs w:val="22"/>
                <w:lang w:val="es-ES"/>
              </w:rPr>
              <w:t>rubro d</w:t>
            </w:r>
            <w:r w:rsidR="009A6619">
              <w:rPr>
                <w:rFonts w:ascii="Arial" w:hAnsi="Arial" w:cs="Arial"/>
                <w:sz w:val="22"/>
                <w:szCs w:val="22"/>
                <w:lang w:val="es-ES"/>
              </w:rPr>
              <w:t>el impuesto</w:t>
            </w:r>
            <w:r w:rsidR="00740A92">
              <w:rPr>
                <w:rFonts w:ascii="Arial" w:hAnsi="Arial" w:cs="Arial"/>
                <w:sz w:val="22"/>
                <w:szCs w:val="22"/>
                <w:lang w:val="es-ES"/>
              </w:rPr>
              <w:t xml:space="preserve"> diferido que pueda surgir por diferencias temporales</w:t>
            </w:r>
            <w:r w:rsidR="00BA2DDA">
              <w:rPr>
                <w:rFonts w:ascii="Arial" w:hAnsi="Arial" w:cs="Arial"/>
                <w:sz w:val="22"/>
                <w:szCs w:val="22"/>
                <w:lang w:val="es-ES"/>
              </w:rPr>
              <w:t>.</w:t>
            </w:r>
          </w:p>
        </w:tc>
      </w:tr>
      <w:tr w:rsidR="000F5AFC" w:rsidRPr="00FB367A" w14:paraId="5803C253" w14:textId="77777777" w:rsidTr="00FD2A08">
        <w:tblPrEx>
          <w:tblBorders>
            <w:left w:val="single" w:sz="4" w:space="0" w:color="auto"/>
            <w:right w:val="single" w:sz="4" w:space="0" w:color="auto"/>
            <w:insideV w:val="single" w:sz="4" w:space="0" w:color="auto"/>
          </w:tblBorders>
        </w:tblPrEx>
        <w:tc>
          <w:tcPr>
            <w:tcW w:w="2070" w:type="dxa"/>
            <w:tcBorders>
              <w:left w:val="nil"/>
              <w:bottom w:val="single" w:sz="18" w:space="0" w:color="auto"/>
              <w:right w:val="nil"/>
            </w:tcBorders>
          </w:tcPr>
          <w:p w14:paraId="62C357D7" w14:textId="77777777" w:rsidR="000F5AFC" w:rsidRPr="00135D02" w:rsidRDefault="000F5AFC" w:rsidP="00FD2A08">
            <w:pPr>
              <w:pStyle w:val="Heading1"/>
              <w:numPr>
                <w:ilvl w:val="0"/>
                <w:numId w:val="0"/>
              </w:numPr>
              <w:spacing w:before="0" w:after="0"/>
              <w:ind w:left="72"/>
              <w:rPr>
                <w:rFonts w:cs="Arial"/>
                <w:i/>
                <w:iCs/>
                <w:sz w:val="22"/>
                <w:szCs w:val="22"/>
                <w:lang w:val="es-ES"/>
              </w:rPr>
            </w:pPr>
            <w:r w:rsidRPr="00135D02">
              <w:rPr>
                <w:rFonts w:cs="Arial"/>
                <w:i/>
                <w:iCs/>
                <w:sz w:val="22"/>
                <w:szCs w:val="22"/>
                <w:lang w:val="es-ES"/>
              </w:rPr>
              <w:t>Activos</w:t>
            </w:r>
          </w:p>
        </w:tc>
        <w:tc>
          <w:tcPr>
            <w:tcW w:w="6861" w:type="dxa"/>
            <w:tcBorders>
              <w:left w:val="nil"/>
              <w:bottom w:val="single" w:sz="18" w:space="0" w:color="auto"/>
              <w:right w:val="nil"/>
            </w:tcBorders>
          </w:tcPr>
          <w:p w14:paraId="7B0DB5C8" w14:textId="3C3A6999" w:rsidR="000F5AFC" w:rsidRPr="00135D02" w:rsidRDefault="00CF5648" w:rsidP="00433B42">
            <w:pPr>
              <w:jc w:val="both"/>
              <w:rPr>
                <w:rFonts w:ascii="Arial" w:hAnsi="Arial" w:cs="Arial"/>
                <w:sz w:val="22"/>
                <w:szCs w:val="22"/>
                <w:lang w:val="es-ES_tradnl"/>
              </w:rPr>
            </w:pPr>
            <w:r w:rsidRPr="00B67DF7">
              <w:rPr>
                <w:rFonts w:ascii="Arial" w:hAnsi="Arial" w:cs="Arial"/>
                <w:sz w:val="22"/>
                <w:szCs w:val="22"/>
                <w:lang w:val="es-ES_tradnl"/>
              </w:rPr>
              <w:t>El total de los activos crecerá a un US$2.102 millones en el 2022, principalmente por el aumento de los activos fijos al incorporar las obras resultantes del programa de inversiones.</w:t>
            </w:r>
          </w:p>
        </w:tc>
      </w:tr>
    </w:tbl>
    <w:p w14:paraId="3F63CC9B" w14:textId="77777777" w:rsidR="000F5AFC" w:rsidRPr="00135D02" w:rsidRDefault="000F5AFC" w:rsidP="00B35E51">
      <w:pPr>
        <w:pStyle w:val="Paragraph"/>
        <w:keepNext/>
        <w:keepLines/>
        <w:numPr>
          <w:ilvl w:val="0"/>
          <w:numId w:val="0"/>
        </w:numPr>
        <w:ind w:right="440"/>
        <w:rPr>
          <w:rFonts w:ascii="Arial" w:hAnsi="Arial" w:cs="Arial"/>
          <w:b/>
          <w:sz w:val="22"/>
          <w:szCs w:val="22"/>
        </w:rPr>
      </w:pPr>
    </w:p>
    <w:p w14:paraId="3A34823C" w14:textId="77777777" w:rsidR="007D440F" w:rsidRPr="00135D02" w:rsidRDefault="007D440F" w:rsidP="00487C75">
      <w:pPr>
        <w:pStyle w:val="Paragraph"/>
        <w:numPr>
          <w:ilvl w:val="0"/>
          <w:numId w:val="0"/>
        </w:numPr>
        <w:rPr>
          <w:rFonts w:ascii="Arial" w:hAnsi="Arial" w:cs="Arial"/>
          <w:b/>
          <w:sz w:val="22"/>
          <w:szCs w:val="22"/>
        </w:rPr>
      </w:pPr>
    </w:p>
    <w:p w14:paraId="0B75080C" w14:textId="77777777" w:rsidR="00487C75" w:rsidRPr="00135D02" w:rsidRDefault="00487C75" w:rsidP="00487C75">
      <w:pPr>
        <w:pStyle w:val="Paragraph"/>
        <w:numPr>
          <w:ilvl w:val="0"/>
          <w:numId w:val="0"/>
        </w:numPr>
        <w:rPr>
          <w:rFonts w:ascii="Arial" w:hAnsi="Arial" w:cs="Arial"/>
          <w:b/>
          <w:sz w:val="22"/>
          <w:szCs w:val="22"/>
        </w:rPr>
        <w:sectPr w:rsidR="00487C75" w:rsidRPr="00135D02" w:rsidSect="00CA09F2">
          <w:headerReference w:type="first" r:id="rId17"/>
          <w:pgSz w:w="12240" w:h="15840" w:code="1"/>
          <w:pgMar w:top="1800" w:right="1800" w:bottom="1530" w:left="1800" w:header="706" w:footer="706" w:gutter="0"/>
          <w:pgNumType w:start="1"/>
          <w:cols w:space="720"/>
          <w:formProt w:val="0"/>
          <w:titlePg/>
        </w:sectPr>
      </w:pPr>
    </w:p>
    <w:p w14:paraId="23C27C71" w14:textId="77777777" w:rsidR="00487C75" w:rsidRPr="00135D02" w:rsidRDefault="00B00430" w:rsidP="00B35E51">
      <w:pPr>
        <w:pStyle w:val="Paragraph"/>
        <w:numPr>
          <w:ilvl w:val="0"/>
          <w:numId w:val="0"/>
        </w:numPr>
        <w:ind w:left="360"/>
        <w:rPr>
          <w:rFonts w:ascii="Arial" w:hAnsi="Arial" w:cs="Arial"/>
          <w:b/>
          <w:sz w:val="22"/>
          <w:szCs w:val="22"/>
        </w:rPr>
      </w:pPr>
      <w:r w:rsidRPr="00135D02">
        <w:rPr>
          <w:rFonts w:ascii="Arial" w:hAnsi="Arial" w:cs="Arial"/>
          <w:b/>
          <w:sz w:val="22"/>
          <w:szCs w:val="22"/>
        </w:rPr>
        <w:lastRenderedPageBreak/>
        <w:t xml:space="preserve">VI. </w:t>
      </w:r>
      <w:r w:rsidR="00487C75" w:rsidRPr="00135D02">
        <w:rPr>
          <w:rFonts w:ascii="Arial" w:hAnsi="Arial" w:cs="Arial"/>
          <w:b/>
          <w:sz w:val="22"/>
          <w:szCs w:val="22"/>
        </w:rPr>
        <w:t>Proyecciones financieras</w:t>
      </w:r>
    </w:p>
    <w:p w14:paraId="772CCAD9" w14:textId="0816164E" w:rsidR="00B00430" w:rsidRPr="00135D02" w:rsidRDefault="00B00430" w:rsidP="00AC2E08">
      <w:pPr>
        <w:pStyle w:val="Paragraph"/>
        <w:numPr>
          <w:ilvl w:val="0"/>
          <w:numId w:val="0"/>
        </w:numPr>
        <w:ind w:left="1386" w:hanging="1296"/>
        <w:rPr>
          <w:rFonts w:ascii="Arial" w:hAnsi="Arial" w:cs="Arial"/>
          <w:sz w:val="22"/>
          <w:szCs w:val="22"/>
        </w:rPr>
      </w:pPr>
      <w:r w:rsidRPr="00135D02">
        <w:rPr>
          <w:rFonts w:ascii="Arial" w:hAnsi="Arial" w:cs="Arial"/>
          <w:sz w:val="22"/>
          <w:szCs w:val="22"/>
        </w:rPr>
        <w:t>a) Estado de Resultados Proyectados (en mil</w:t>
      </w:r>
      <w:r w:rsidR="00CA70DE" w:rsidRPr="00135D02">
        <w:rPr>
          <w:rFonts w:ascii="Arial" w:hAnsi="Arial" w:cs="Arial"/>
          <w:sz w:val="22"/>
          <w:szCs w:val="22"/>
        </w:rPr>
        <w:t>es</w:t>
      </w:r>
      <w:r w:rsidRPr="00135D02">
        <w:rPr>
          <w:rFonts w:ascii="Arial" w:hAnsi="Arial" w:cs="Arial"/>
          <w:sz w:val="22"/>
          <w:szCs w:val="22"/>
        </w:rPr>
        <w:t xml:space="preserve"> de </w:t>
      </w:r>
      <w:r w:rsidR="00403289">
        <w:rPr>
          <w:rFonts w:ascii="Arial" w:hAnsi="Arial" w:cs="Arial"/>
          <w:sz w:val="22"/>
          <w:szCs w:val="22"/>
        </w:rPr>
        <w:t>US$ de 2017</w:t>
      </w:r>
      <w:r w:rsidRPr="00135D02">
        <w:rPr>
          <w:rFonts w:ascii="Arial" w:hAnsi="Arial" w:cs="Arial"/>
          <w:sz w:val="22"/>
          <w:szCs w:val="22"/>
        </w:rPr>
        <w:t>)</w:t>
      </w:r>
    </w:p>
    <w:p w14:paraId="0C6ED1D5" w14:textId="52729DED" w:rsidR="008A74F4" w:rsidRPr="00135D02" w:rsidRDefault="00AC2E08" w:rsidP="00AC2E08">
      <w:pPr>
        <w:pStyle w:val="Paragraph"/>
        <w:numPr>
          <w:ilvl w:val="0"/>
          <w:numId w:val="0"/>
        </w:numPr>
        <w:ind w:left="1386" w:hanging="1296"/>
        <w:rPr>
          <w:rFonts w:ascii="Arial" w:hAnsi="Arial" w:cs="Arial"/>
          <w:b/>
          <w:sz w:val="22"/>
          <w:szCs w:val="22"/>
        </w:rPr>
      </w:pPr>
      <w:r w:rsidRPr="00AC2E08">
        <w:drawing>
          <wp:inline distT="0" distB="0" distL="0" distR="0" wp14:anchorId="29B591A7" wp14:editId="4C056D41">
            <wp:extent cx="7772400" cy="36095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0" cy="3609592"/>
                    </a:xfrm>
                    <a:prstGeom prst="rect">
                      <a:avLst/>
                    </a:prstGeom>
                    <a:noFill/>
                    <a:ln>
                      <a:noFill/>
                    </a:ln>
                  </pic:spPr>
                </pic:pic>
              </a:graphicData>
            </a:graphic>
          </wp:inline>
        </w:drawing>
      </w:r>
    </w:p>
    <w:p w14:paraId="12749A8B" w14:textId="77777777" w:rsidR="008A74F4" w:rsidRPr="00135D02" w:rsidRDefault="008A74F4" w:rsidP="00F75C42">
      <w:pPr>
        <w:pStyle w:val="Paragraph"/>
        <w:numPr>
          <w:ilvl w:val="0"/>
          <w:numId w:val="0"/>
        </w:numPr>
        <w:ind w:left="-567"/>
        <w:rPr>
          <w:rFonts w:ascii="Arial" w:hAnsi="Arial" w:cs="Arial"/>
          <w:sz w:val="22"/>
          <w:szCs w:val="22"/>
        </w:rPr>
      </w:pPr>
    </w:p>
    <w:p w14:paraId="55AEF38F" w14:textId="77777777" w:rsidR="00813526" w:rsidRDefault="00F75C42" w:rsidP="00BF571D">
      <w:pPr>
        <w:pStyle w:val="Paragraph"/>
        <w:numPr>
          <w:ilvl w:val="0"/>
          <w:numId w:val="0"/>
        </w:numPr>
        <w:ind w:left="1386" w:hanging="1296"/>
        <w:jc w:val="left"/>
        <w:rPr>
          <w:rFonts w:ascii="Arial" w:hAnsi="Arial" w:cs="Arial"/>
          <w:sz w:val="22"/>
          <w:szCs w:val="22"/>
        </w:rPr>
      </w:pPr>
      <w:r w:rsidRPr="00135D02">
        <w:rPr>
          <w:rFonts w:ascii="Arial" w:hAnsi="Arial" w:cs="Arial"/>
          <w:sz w:val="22"/>
          <w:szCs w:val="22"/>
        </w:rPr>
        <w:br w:type="page"/>
      </w:r>
    </w:p>
    <w:p w14:paraId="4E143D34" w14:textId="77777777" w:rsidR="00813526" w:rsidRDefault="00813526" w:rsidP="00BF571D">
      <w:pPr>
        <w:pStyle w:val="Paragraph"/>
        <w:numPr>
          <w:ilvl w:val="0"/>
          <w:numId w:val="0"/>
        </w:numPr>
        <w:ind w:left="1386" w:hanging="1296"/>
        <w:jc w:val="left"/>
        <w:rPr>
          <w:rFonts w:ascii="Arial" w:hAnsi="Arial" w:cs="Arial"/>
          <w:sz w:val="22"/>
          <w:szCs w:val="22"/>
        </w:rPr>
      </w:pPr>
    </w:p>
    <w:p w14:paraId="4551C092" w14:textId="77777777" w:rsidR="00813526" w:rsidRDefault="00813526" w:rsidP="00BF571D">
      <w:pPr>
        <w:pStyle w:val="Paragraph"/>
        <w:numPr>
          <w:ilvl w:val="0"/>
          <w:numId w:val="0"/>
        </w:numPr>
        <w:ind w:left="1386" w:hanging="1296"/>
        <w:jc w:val="left"/>
        <w:rPr>
          <w:rFonts w:ascii="Arial" w:hAnsi="Arial" w:cs="Arial"/>
          <w:sz w:val="22"/>
          <w:szCs w:val="22"/>
        </w:rPr>
      </w:pPr>
    </w:p>
    <w:p w14:paraId="1E5988E3" w14:textId="797CD704" w:rsidR="008A74F4" w:rsidRPr="00135D02" w:rsidRDefault="00CA70DE" w:rsidP="00BF571D">
      <w:pPr>
        <w:pStyle w:val="Paragraph"/>
        <w:numPr>
          <w:ilvl w:val="0"/>
          <w:numId w:val="0"/>
        </w:numPr>
        <w:ind w:left="1386" w:hanging="1296"/>
        <w:jc w:val="left"/>
        <w:rPr>
          <w:rFonts w:ascii="Arial" w:hAnsi="Arial" w:cs="Arial"/>
          <w:sz w:val="22"/>
          <w:szCs w:val="22"/>
        </w:rPr>
      </w:pPr>
      <w:r w:rsidRPr="00135D02">
        <w:rPr>
          <w:rFonts w:ascii="Arial" w:hAnsi="Arial" w:cs="Arial"/>
          <w:sz w:val="22"/>
          <w:szCs w:val="22"/>
        </w:rPr>
        <w:t xml:space="preserve">b) Estado de Flujo de Caja Proyectados (en miles de </w:t>
      </w:r>
      <w:r w:rsidR="00403289">
        <w:rPr>
          <w:rFonts w:ascii="Arial" w:hAnsi="Arial" w:cs="Arial"/>
          <w:sz w:val="22"/>
          <w:szCs w:val="22"/>
        </w:rPr>
        <w:t>US$ de 2017</w:t>
      </w:r>
      <w:r w:rsidRPr="00135D02">
        <w:rPr>
          <w:rFonts w:ascii="Arial" w:hAnsi="Arial" w:cs="Arial"/>
          <w:sz w:val="22"/>
          <w:szCs w:val="22"/>
        </w:rPr>
        <w:t>)</w:t>
      </w:r>
    </w:p>
    <w:p w14:paraId="6BE51D64" w14:textId="7B441263" w:rsidR="008A74F4" w:rsidRPr="00135D02" w:rsidRDefault="00BF571D" w:rsidP="00BF571D">
      <w:pPr>
        <w:pStyle w:val="Paragraph"/>
        <w:numPr>
          <w:ilvl w:val="0"/>
          <w:numId w:val="0"/>
        </w:numPr>
        <w:ind w:left="1386" w:hanging="1296"/>
        <w:rPr>
          <w:rFonts w:ascii="Arial" w:hAnsi="Arial" w:cs="Arial"/>
          <w:sz w:val="22"/>
          <w:szCs w:val="22"/>
        </w:rPr>
      </w:pPr>
      <w:r w:rsidRPr="00BF571D">
        <w:drawing>
          <wp:inline distT="0" distB="0" distL="0" distR="0" wp14:anchorId="57E3094E" wp14:editId="765EBD94">
            <wp:extent cx="7772400" cy="233525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0" cy="2335251"/>
                    </a:xfrm>
                    <a:prstGeom prst="rect">
                      <a:avLst/>
                    </a:prstGeom>
                    <a:noFill/>
                    <a:ln>
                      <a:noFill/>
                    </a:ln>
                  </pic:spPr>
                </pic:pic>
              </a:graphicData>
            </a:graphic>
          </wp:inline>
        </w:drawing>
      </w:r>
    </w:p>
    <w:p w14:paraId="421CA076" w14:textId="5F44A961" w:rsidR="00813526" w:rsidRDefault="00813526">
      <w:pPr>
        <w:rPr>
          <w:rFonts w:ascii="Arial" w:hAnsi="Arial" w:cs="Arial"/>
          <w:sz w:val="22"/>
          <w:szCs w:val="22"/>
          <w:lang w:val="es-ES"/>
        </w:rPr>
      </w:pPr>
      <w:r>
        <w:rPr>
          <w:rFonts w:ascii="Arial" w:hAnsi="Arial" w:cs="Arial"/>
          <w:sz w:val="22"/>
          <w:szCs w:val="22"/>
        </w:rPr>
        <w:br w:type="page"/>
      </w:r>
    </w:p>
    <w:p w14:paraId="2474F124" w14:textId="77777777" w:rsidR="00813526" w:rsidRDefault="00813526" w:rsidP="00BF571D">
      <w:pPr>
        <w:pStyle w:val="Paragraph"/>
        <w:numPr>
          <w:ilvl w:val="0"/>
          <w:numId w:val="0"/>
        </w:numPr>
        <w:ind w:left="1386" w:hanging="1296"/>
        <w:rPr>
          <w:rFonts w:ascii="Arial" w:hAnsi="Arial" w:cs="Arial"/>
          <w:sz w:val="22"/>
          <w:szCs w:val="22"/>
        </w:rPr>
      </w:pPr>
    </w:p>
    <w:p w14:paraId="653C87AB" w14:textId="77777777" w:rsidR="00813526" w:rsidRDefault="00813526" w:rsidP="00BF571D">
      <w:pPr>
        <w:pStyle w:val="Paragraph"/>
        <w:numPr>
          <w:ilvl w:val="0"/>
          <w:numId w:val="0"/>
        </w:numPr>
        <w:ind w:left="1386" w:hanging="1296"/>
        <w:rPr>
          <w:rFonts w:ascii="Arial" w:hAnsi="Arial" w:cs="Arial"/>
          <w:sz w:val="22"/>
          <w:szCs w:val="22"/>
        </w:rPr>
      </w:pPr>
    </w:p>
    <w:p w14:paraId="4FA5769E" w14:textId="3553A70E" w:rsidR="00CA70DE" w:rsidRPr="00135D02" w:rsidRDefault="00CA70DE" w:rsidP="00BF571D">
      <w:pPr>
        <w:pStyle w:val="Paragraph"/>
        <w:numPr>
          <w:ilvl w:val="0"/>
          <w:numId w:val="0"/>
        </w:numPr>
        <w:ind w:left="1386" w:hanging="1296"/>
        <w:rPr>
          <w:rFonts w:ascii="Arial" w:hAnsi="Arial" w:cs="Arial"/>
          <w:sz w:val="22"/>
          <w:szCs w:val="22"/>
        </w:rPr>
      </w:pPr>
      <w:r w:rsidRPr="00135D02">
        <w:rPr>
          <w:rFonts w:ascii="Arial" w:hAnsi="Arial" w:cs="Arial"/>
          <w:sz w:val="22"/>
          <w:szCs w:val="22"/>
        </w:rPr>
        <w:t xml:space="preserve">c) Estado de Balance Proyectados (en miles de </w:t>
      </w:r>
      <w:r w:rsidR="00403289">
        <w:rPr>
          <w:rFonts w:ascii="Arial" w:hAnsi="Arial" w:cs="Arial"/>
          <w:sz w:val="22"/>
          <w:szCs w:val="22"/>
        </w:rPr>
        <w:t>US$ de 2017</w:t>
      </w:r>
      <w:r w:rsidRPr="00135D02">
        <w:rPr>
          <w:rFonts w:ascii="Arial" w:hAnsi="Arial" w:cs="Arial"/>
          <w:sz w:val="22"/>
          <w:szCs w:val="22"/>
        </w:rPr>
        <w:t>)</w:t>
      </w:r>
    </w:p>
    <w:p w14:paraId="411F1D08" w14:textId="0C524304" w:rsidR="00135D02" w:rsidRPr="00144CAE" w:rsidRDefault="00813526" w:rsidP="00BF571D">
      <w:pPr>
        <w:pStyle w:val="Paragraph"/>
        <w:numPr>
          <w:ilvl w:val="0"/>
          <w:numId w:val="0"/>
        </w:numPr>
        <w:ind w:left="1386" w:hanging="1296"/>
        <w:rPr>
          <w:rFonts w:ascii="Arial" w:hAnsi="Arial" w:cs="Arial"/>
          <w:sz w:val="22"/>
          <w:szCs w:val="22"/>
        </w:rPr>
      </w:pPr>
      <w:r w:rsidRPr="00813526">
        <w:drawing>
          <wp:inline distT="0" distB="0" distL="0" distR="0" wp14:anchorId="6D557AC4" wp14:editId="572229A4">
            <wp:extent cx="7772400" cy="37197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0" cy="3719752"/>
                    </a:xfrm>
                    <a:prstGeom prst="rect">
                      <a:avLst/>
                    </a:prstGeom>
                    <a:noFill/>
                    <a:ln>
                      <a:noFill/>
                    </a:ln>
                  </pic:spPr>
                </pic:pic>
              </a:graphicData>
            </a:graphic>
          </wp:inline>
        </w:drawing>
      </w:r>
    </w:p>
    <w:sectPr w:rsidR="00135D02" w:rsidRPr="00144CAE" w:rsidSect="00912187">
      <w:type w:val="nextColumn"/>
      <w:pgSz w:w="15840" w:h="12240" w:orient="landscape" w:code="1"/>
      <w:pgMar w:top="1080" w:right="1800" w:bottom="540" w:left="1800" w:header="706" w:footer="706"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CE76" w14:textId="77777777" w:rsidR="00F10C7E" w:rsidRDefault="00F10C7E">
      <w:r>
        <w:separator/>
      </w:r>
    </w:p>
  </w:endnote>
  <w:endnote w:type="continuationSeparator" w:id="0">
    <w:p w14:paraId="1FBB3457" w14:textId="77777777" w:rsidR="00F10C7E" w:rsidRDefault="00F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6B1A" w14:textId="77777777" w:rsidR="00F10C7E" w:rsidRDefault="00F10C7E">
      <w:r>
        <w:separator/>
      </w:r>
    </w:p>
  </w:footnote>
  <w:footnote w:type="continuationSeparator" w:id="0">
    <w:p w14:paraId="6838A9F3" w14:textId="77777777" w:rsidR="00F10C7E" w:rsidRDefault="00F10C7E">
      <w:r>
        <w:continuationSeparator/>
      </w:r>
    </w:p>
  </w:footnote>
  <w:footnote w:id="1">
    <w:p w14:paraId="576E1920" w14:textId="2E63B002" w:rsidR="00B80D4D" w:rsidRPr="00FD65FB" w:rsidRDefault="00B80D4D">
      <w:pPr>
        <w:pStyle w:val="FootnoteText"/>
        <w:rPr>
          <w:rFonts w:ascii="Arial" w:hAnsi="Arial" w:cs="Arial"/>
          <w:sz w:val="18"/>
          <w:szCs w:val="18"/>
          <w:lang w:val="es-ES_tradnl"/>
        </w:rPr>
      </w:pPr>
      <w:r w:rsidRPr="00FD65FB">
        <w:rPr>
          <w:rStyle w:val="FootnoteReference"/>
          <w:rFonts w:ascii="Arial" w:hAnsi="Arial" w:cs="Arial"/>
          <w:sz w:val="18"/>
          <w:szCs w:val="18"/>
        </w:rPr>
        <w:footnoteRef/>
      </w:r>
      <w:r w:rsidRPr="00FD65FB">
        <w:rPr>
          <w:rFonts w:ascii="Arial" w:hAnsi="Arial" w:cs="Arial"/>
          <w:sz w:val="18"/>
          <w:szCs w:val="18"/>
          <w:lang w:val="es-ES_tradnl"/>
        </w:rPr>
        <w:t xml:space="preserve"> Se convirtieron los estados financieros a dólares de 201</w:t>
      </w:r>
      <w:r w:rsidR="008B7D2F">
        <w:rPr>
          <w:rFonts w:ascii="Arial" w:hAnsi="Arial" w:cs="Arial"/>
          <w:sz w:val="18"/>
          <w:szCs w:val="18"/>
          <w:lang w:val="es-ES_tradnl"/>
        </w:rPr>
        <w:t>7</w:t>
      </w:r>
      <w:r w:rsidRPr="00FD65FB">
        <w:rPr>
          <w:rFonts w:ascii="Arial" w:hAnsi="Arial" w:cs="Arial"/>
          <w:sz w:val="18"/>
          <w:szCs w:val="18"/>
          <w:lang w:val="es-ES_tradnl"/>
        </w:rPr>
        <w:t>, utilizando el IPC</w:t>
      </w:r>
      <w:r w:rsidR="004B50BC">
        <w:rPr>
          <w:rFonts w:ascii="Arial" w:hAnsi="Arial" w:cs="Arial"/>
          <w:sz w:val="18"/>
          <w:szCs w:val="18"/>
          <w:lang w:val="es-ES_tradnl"/>
        </w:rPr>
        <w:t xml:space="preserve"> publicado por el Instituto Nacional de Estadística</w:t>
      </w:r>
      <w:r w:rsidR="007A00F8">
        <w:rPr>
          <w:rFonts w:ascii="Arial" w:hAnsi="Arial" w:cs="Arial"/>
          <w:sz w:val="18"/>
          <w:szCs w:val="18"/>
          <w:lang w:val="es-ES_tradnl"/>
        </w:rPr>
        <w:t xml:space="preserve"> (INE)</w:t>
      </w:r>
      <w:r w:rsidRPr="00FD65FB">
        <w:rPr>
          <w:rFonts w:ascii="Arial" w:hAnsi="Arial" w:cs="Arial"/>
          <w:sz w:val="18"/>
          <w:szCs w:val="18"/>
          <w:lang w:val="es-ES_tradnl"/>
        </w:rPr>
        <w:t xml:space="preserve"> y tipo de cambio del diciembre de 201</w:t>
      </w:r>
      <w:r w:rsidR="008B7D2F">
        <w:rPr>
          <w:rFonts w:ascii="Arial" w:hAnsi="Arial" w:cs="Arial"/>
          <w:sz w:val="18"/>
          <w:szCs w:val="18"/>
          <w:lang w:val="es-ES_tradnl"/>
        </w:rPr>
        <w:t>7</w:t>
      </w:r>
      <w:r w:rsidR="00A87307" w:rsidRPr="00FD65FB">
        <w:rPr>
          <w:rFonts w:ascii="Arial" w:hAnsi="Arial" w:cs="Arial"/>
          <w:sz w:val="18"/>
          <w:szCs w:val="18"/>
          <w:lang w:val="es-ES_tradnl"/>
        </w:rPr>
        <w:t xml:space="preserve"> publicado por el Banco Central de </w:t>
      </w:r>
      <w:r w:rsidR="008B7D2F">
        <w:rPr>
          <w:rFonts w:ascii="Arial" w:hAnsi="Arial" w:cs="Arial"/>
          <w:sz w:val="18"/>
          <w:szCs w:val="18"/>
          <w:lang w:val="es-ES_tradnl"/>
        </w:rPr>
        <w:t>Uruguay</w:t>
      </w:r>
      <w:r w:rsidR="00CA392B">
        <w:rPr>
          <w:rFonts w:ascii="Arial" w:hAnsi="Arial" w:cs="Arial"/>
          <w:sz w:val="18"/>
          <w:szCs w:val="18"/>
          <w:lang w:val="es-ES_tradnl"/>
        </w:rPr>
        <w:t xml:space="preserve"> (BC</w:t>
      </w:r>
      <w:r w:rsidR="008B7D2F">
        <w:rPr>
          <w:rFonts w:ascii="Arial" w:hAnsi="Arial" w:cs="Arial"/>
          <w:sz w:val="18"/>
          <w:szCs w:val="18"/>
          <w:lang w:val="es-ES_tradnl"/>
        </w:rPr>
        <w:t>U</w:t>
      </w:r>
      <w:r w:rsidR="00CA392B">
        <w:rPr>
          <w:rFonts w:ascii="Arial" w:hAnsi="Arial" w:cs="Arial"/>
          <w:sz w:val="18"/>
          <w:szCs w:val="18"/>
          <w:lang w:val="es-ES_tradnl"/>
        </w:rPr>
        <w:t>)</w:t>
      </w:r>
      <w:r w:rsidRPr="00FD65FB">
        <w:rPr>
          <w:rFonts w:ascii="Arial" w:hAnsi="Arial" w:cs="Arial"/>
          <w:sz w:val="18"/>
          <w:szCs w:val="18"/>
          <w:lang w:val="es-ES_tradnl"/>
        </w:rPr>
        <w:t>.</w:t>
      </w:r>
    </w:p>
  </w:footnote>
  <w:footnote w:id="2">
    <w:p w14:paraId="652A35D9" w14:textId="06E73345" w:rsidR="00457AEE" w:rsidRPr="00457AEE" w:rsidRDefault="00457AEE">
      <w:pPr>
        <w:pStyle w:val="FootnoteText"/>
        <w:rPr>
          <w:rFonts w:ascii="Arial" w:hAnsi="Arial" w:cs="Arial"/>
          <w:sz w:val="18"/>
          <w:szCs w:val="18"/>
          <w:lang w:val="es-ES_tradnl"/>
        </w:rPr>
      </w:pPr>
      <w:r w:rsidRPr="00457AEE">
        <w:rPr>
          <w:rStyle w:val="FootnoteReference"/>
          <w:rFonts w:ascii="Arial" w:hAnsi="Arial" w:cs="Arial"/>
          <w:sz w:val="18"/>
          <w:szCs w:val="18"/>
        </w:rPr>
        <w:footnoteRef/>
      </w:r>
      <w:r w:rsidRPr="00457AEE">
        <w:rPr>
          <w:rFonts w:ascii="Arial" w:hAnsi="Arial" w:cs="Arial"/>
          <w:sz w:val="18"/>
          <w:szCs w:val="18"/>
          <w:lang w:val="es-ES_tradnl"/>
        </w:rPr>
        <w:t xml:space="preserve"> Informe Ajuste de Tarifas OSE - </w:t>
      </w:r>
      <w:proofErr w:type="gramStart"/>
      <w:r w:rsidRPr="00457AEE">
        <w:rPr>
          <w:rFonts w:ascii="Arial" w:hAnsi="Arial" w:cs="Arial"/>
          <w:sz w:val="18"/>
          <w:szCs w:val="18"/>
          <w:lang w:val="es-ES_tradnl"/>
        </w:rPr>
        <w:t>Enero</w:t>
      </w:r>
      <w:proofErr w:type="gramEnd"/>
      <w:r w:rsidRPr="00457AEE">
        <w:rPr>
          <w:rFonts w:ascii="Arial" w:hAnsi="Arial" w:cs="Arial"/>
          <w:sz w:val="18"/>
          <w:szCs w:val="18"/>
          <w:lang w:val="es-ES_tradnl"/>
        </w:rPr>
        <w:t xml:space="preserve"> 2017</w:t>
      </w:r>
    </w:p>
  </w:footnote>
  <w:footnote w:id="3">
    <w:p w14:paraId="5F4B74AE" w14:textId="24D52307" w:rsidR="00FF3217" w:rsidRPr="00FD65FB" w:rsidRDefault="00FF3217" w:rsidP="00FF3217">
      <w:pPr>
        <w:pStyle w:val="FootnoteText"/>
        <w:rPr>
          <w:rFonts w:ascii="Arial" w:hAnsi="Arial" w:cs="Arial"/>
          <w:sz w:val="18"/>
          <w:szCs w:val="18"/>
          <w:lang w:val="es-ES_tradnl"/>
        </w:rPr>
      </w:pPr>
      <w:r w:rsidRPr="00FD65FB">
        <w:rPr>
          <w:rStyle w:val="FootnoteReference"/>
          <w:rFonts w:ascii="Arial" w:hAnsi="Arial" w:cs="Arial"/>
          <w:sz w:val="18"/>
          <w:szCs w:val="18"/>
        </w:rPr>
        <w:footnoteRef/>
      </w:r>
      <w:r w:rsidRPr="00FD65FB">
        <w:rPr>
          <w:rFonts w:ascii="Arial" w:hAnsi="Arial" w:cs="Arial"/>
          <w:sz w:val="18"/>
          <w:szCs w:val="18"/>
          <w:lang w:val="es-ES_tradnl"/>
        </w:rPr>
        <w:t xml:space="preserve"> </w:t>
      </w:r>
      <w:r w:rsidR="00CC16D4">
        <w:rPr>
          <w:rFonts w:ascii="Arial" w:hAnsi="Arial" w:cs="Arial"/>
          <w:sz w:val="18"/>
          <w:szCs w:val="18"/>
          <w:lang w:val="es-ES_tradnl"/>
        </w:rPr>
        <w:t xml:space="preserve">El agua no </w:t>
      </w:r>
      <w:r w:rsidR="009A47F6">
        <w:rPr>
          <w:rFonts w:ascii="Arial" w:hAnsi="Arial" w:cs="Arial"/>
          <w:sz w:val="18"/>
          <w:szCs w:val="18"/>
          <w:lang w:val="es-ES_tradnl"/>
        </w:rPr>
        <w:t>facturada</w:t>
      </w:r>
      <w:r w:rsidR="00CC16D4">
        <w:rPr>
          <w:rFonts w:ascii="Arial" w:hAnsi="Arial" w:cs="Arial"/>
          <w:sz w:val="18"/>
          <w:szCs w:val="18"/>
          <w:lang w:val="es-ES_tradnl"/>
        </w:rPr>
        <w:t xml:space="preserve"> </w:t>
      </w:r>
      <w:r w:rsidR="00D41918">
        <w:rPr>
          <w:rFonts w:ascii="Arial" w:hAnsi="Arial" w:cs="Arial"/>
          <w:sz w:val="18"/>
          <w:szCs w:val="18"/>
          <w:lang w:val="es-ES_tradnl"/>
        </w:rPr>
        <w:t>c</w:t>
      </w:r>
      <w:r w:rsidR="00CC16D4">
        <w:rPr>
          <w:rFonts w:ascii="Arial" w:hAnsi="Arial" w:cs="Arial"/>
          <w:sz w:val="18"/>
          <w:szCs w:val="18"/>
          <w:lang w:val="es-ES_tradnl"/>
        </w:rPr>
        <w:t>orre</w:t>
      </w:r>
      <w:r w:rsidR="00D41918">
        <w:rPr>
          <w:rFonts w:ascii="Arial" w:hAnsi="Arial" w:cs="Arial"/>
          <w:sz w:val="18"/>
          <w:szCs w:val="18"/>
          <w:lang w:val="es-ES_tradnl"/>
        </w:rPr>
        <w:t>sponde</w:t>
      </w:r>
      <w:r w:rsidR="009A47F6">
        <w:rPr>
          <w:rFonts w:ascii="Arial" w:hAnsi="Arial" w:cs="Arial"/>
          <w:sz w:val="18"/>
          <w:szCs w:val="18"/>
          <w:lang w:val="es-ES_tradnl"/>
        </w:rPr>
        <w:t xml:space="preserve"> tanto a </w:t>
      </w:r>
      <w:r w:rsidR="00D94F48">
        <w:rPr>
          <w:rFonts w:ascii="Arial" w:hAnsi="Arial" w:cs="Arial"/>
          <w:sz w:val="18"/>
          <w:szCs w:val="18"/>
          <w:lang w:val="es-ES_tradnl"/>
        </w:rPr>
        <w:t>consumo autorizado no facturado, como</w:t>
      </w:r>
      <w:r w:rsidR="00D41918">
        <w:rPr>
          <w:rFonts w:ascii="Arial" w:hAnsi="Arial" w:cs="Arial"/>
          <w:sz w:val="18"/>
          <w:szCs w:val="18"/>
          <w:lang w:val="es-ES_tradnl"/>
        </w:rPr>
        <w:t xml:space="preserve"> a pérdidas físicas y aparentes (</w:t>
      </w:r>
      <w:r w:rsidR="003005F8">
        <w:rPr>
          <w:rFonts w:ascii="Arial" w:hAnsi="Arial" w:cs="Arial"/>
          <w:sz w:val="18"/>
          <w:szCs w:val="18"/>
          <w:lang w:val="es-ES_tradnl"/>
        </w:rPr>
        <w:t>errores de medición, fraudes</w:t>
      </w:r>
      <w:r w:rsidR="00D41918">
        <w:rPr>
          <w:rFonts w:ascii="Arial" w:hAnsi="Arial" w:cs="Arial"/>
          <w:sz w:val="18"/>
          <w:szCs w:val="18"/>
          <w:lang w:val="es-ES_tradnl"/>
        </w:rPr>
        <w:t>)</w:t>
      </w:r>
      <w:r w:rsidRPr="00FD65FB">
        <w:rPr>
          <w:rFonts w:ascii="Arial" w:hAnsi="Arial" w:cs="Arial"/>
          <w:sz w:val="18"/>
          <w:szCs w:val="18"/>
          <w:lang w:val="es-ES_tradnl"/>
        </w:rPr>
        <w:t>.</w:t>
      </w:r>
    </w:p>
  </w:footnote>
  <w:footnote w:id="4">
    <w:p w14:paraId="0495D9D1" w14:textId="322F5A86" w:rsidR="005B637F" w:rsidRPr="005B637F" w:rsidRDefault="005B637F" w:rsidP="00A9260E">
      <w:pPr>
        <w:pStyle w:val="FootnoteText"/>
        <w:rPr>
          <w:lang w:val="es-ES_tradnl"/>
        </w:rPr>
      </w:pPr>
      <w:r w:rsidRPr="005B637F">
        <w:rPr>
          <w:rStyle w:val="FootnoteReference"/>
          <w:rFonts w:ascii="Arial" w:hAnsi="Arial" w:cs="Arial"/>
          <w:sz w:val="18"/>
          <w:szCs w:val="18"/>
        </w:rPr>
        <w:footnoteRef/>
      </w:r>
      <w:r w:rsidRPr="000413F1">
        <w:rPr>
          <w:rStyle w:val="FootnoteReference"/>
          <w:rFonts w:ascii="Arial" w:hAnsi="Arial" w:cs="Arial"/>
          <w:sz w:val="18"/>
          <w:szCs w:val="18"/>
          <w:lang w:val="es-ES_tradnl"/>
        </w:rPr>
        <w:t xml:space="preserve"> </w:t>
      </w:r>
      <w:r w:rsidRPr="000413F1">
        <w:rPr>
          <w:rStyle w:val="FootnoteReference"/>
          <w:rFonts w:ascii="Arial" w:hAnsi="Arial" w:cs="Arial"/>
          <w:sz w:val="18"/>
          <w:szCs w:val="18"/>
          <w:vertAlign w:val="baseline"/>
          <w:lang w:val="es-ES_tradnl"/>
        </w:rPr>
        <w:t>El sistema está compuesto por una fosa séptica unitaria o colectiva que</w:t>
      </w:r>
      <w:r w:rsidRPr="000413F1">
        <w:rPr>
          <w:rFonts w:ascii="Arial" w:hAnsi="Arial" w:cs="Arial"/>
          <w:sz w:val="18"/>
          <w:szCs w:val="18"/>
          <w:lang w:val="es-ES_tradnl"/>
        </w:rPr>
        <w:t xml:space="preserve"> </w:t>
      </w:r>
      <w:r w:rsidRPr="000413F1">
        <w:rPr>
          <w:rStyle w:val="FootnoteReference"/>
          <w:rFonts w:ascii="Arial" w:hAnsi="Arial" w:cs="Arial"/>
          <w:sz w:val="18"/>
          <w:szCs w:val="18"/>
          <w:vertAlign w:val="baseline"/>
          <w:lang w:val="es-ES_tradnl"/>
        </w:rPr>
        <w:t>recibe el efluente de la(s) vivienda(s), el cual es conducido a través de redes de alcantarillado</w:t>
      </w:r>
      <w:r w:rsidRPr="000413F1">
        <w:rPr>
          <w:rFonts w:ascii="Arial" w:hAnsi="Arial" w:cs="Arial"/>
          <w:sz w:val="18"/>
          <w:szCs w:val="18"/>
          <w:lang w:val="es-ES_tradnl"/>
        </w:rPr>
        <w:t xml:space="preserve"> </w:t>
      </w:r>
      <w:r w:rsidRPr="000413F1">
        <w:rPr>
          <w:rStyle w:val="FootnoteReference"/>
          <w:rFonts w:ascii="Arial" w:hAnsi="Arial" w:cs="Arial"/>
          <w:sz w:val="18"/>
          <w:szCs w:val="18"/>
          <w:vertAlign w:val="baseline"/>
          <w:lang w:val="es-ES_tradnl"/>
        </w:rPr>
        <w:t>a una planta de tratamiento15. Los sólidos almacenados y digeridos de la fosa séptica deben</w:t>
      </w:r>
      <w:r w:rsidRPr="000413F1">
        <w:rPr>
          <w:rFonts w:ascii="Arial" w:hAnsi="Arial" w:cs="Arial"/>
          <w:sz w:val="18"/>
          <w:szCs w:val="18"/>
          <w:lang w:val="es-ES_tradnl"/>
        </w:rPr>
        <w:t xml:space="preserve"> </w:t>
      </w:r>
      <w:r w:rsidRPr="000413F1">
        <w:rPr>
          <w:rStyle w:val="FootnoteReference"/>
          <w:rFonts w:ascii="Arial" w:hAnsi="Arial" w:cs="Arial"/>
          <w:sz w:val="18"/>
          <w:szCs w:val="18"/>
          <w:vertAlign w:val="baseline"/>
          <w:lang w:val="es-ES_tradnl"/>
        </w:rPr>
        <w:t>ser recolectados con una frecuencia anual (como mínimo) y conducidos a una planta de tratamiento</w:t>
      </w:r>
      <w:r w:rsidRPr="000413F1">
        <w:rPr>
          <w:rFonts w:ascii="Arial" w:hAnsi="Arial" w:cs="Arial"/>
          <w:sz w:val="18"/>
          <w:szCs w:val="18"/>
          <w:lang w:val="es-ES_tradnl"/>
        </w:rPr>
        <w:t xml:space="preserve">. </w:t>
      </w:r>
      <w:r w:rsidR="00C718D2">
        <w:rPr>
          <w:rFonts w:ascii="Arial" w:hAnsi="Arial" w:cs="Arial"/>
          <w:sz w:val="18"/>
          <w:szCs w:val="18"/>
          <w:lang w:val="es-ES_tradnl"/>
        </w:rPr>
        <w:t>(</w:t>
      </w:r>
      <w:r w:rsidR="008D4D98">
        <w:rPr>
          <w:rFonts w:ascii="Arial" w:hAnsi="Arial" w:cs="Arial"/>
          <w:sz w:val="18"/>
          <w:szCs w:val="18"/>
          <w:lang w:val="es-ES_tradnl"/>
        </w:rPr>
        <w:t xml:space="preserve">ver. </w:t>
      </w:r>
      <w:r w:rsidR="009F04ED">
        <w:rPr>
          <w:rFonts w:ascii="Arial" w:hAnsi="Arial" w:cs="Arial"/>
          <w:sz w:val="18"/>
          <w:szCs w:val="18"/>
          <w:lang w:val="es-ES_tradnl"/>
        </w:rPr>
        <w:t>T. Paez et al. (2015)</w:t>
      </w:r>
      <w:r w:rsidR="00C718D2">
        <w:rPr>
          <w:rFonts w:ascii="Arial" w:hAnsi="Arial" w:cs="Arial"/>
          <w:sz w:val="18"/>
          <w:szCs w:val="18"/>
          <w:lang w:val="es-ES_tradnl"/>
        </w:rPr>
        <w:t>)</w:t>
      </w:r>
    </w:p>
  </w:footnote>
  <w:footnote w:id="5">
    <w:p w14:paraId="6570BCF2" w14:textId="72A42CAB" w:rsidR="00AA3FA0" w:rsidRPr="009A75D6" w:rsidRDefault="00AA3FA0">
      <w:pPr>
        <w:pStyle w:val="FootnoteText"/>
        <w:rPr>
          <w:rFonts w:ascii="Arial" w:hAnsi="Arial" w:cs="Arial"/>
          <w:sz w:val="18"/>
          <w:szCs w:val="18"/>
          <w:lang w:val="es-ES_tradnl"/>
        </w:rPr>
      </w:pPr>
      <w:r w:rsidRPr="009A75D6">
        <w:rPr>
          <w:rStyle w:val="FootnoteReference"/>
          <w:rFonts w:ascii="Arial" w:hAnsi="Arial" w:cs="Arial"/>
          <w:sz w:val="18"/>
          <w:szCs w:val="18"/>
        </w:rPr>
        <w:footnoteRef/>
      </w:r>
      <w:r w:rsidRPr="009A75D6">
        <w:rPr>
          <w:rFonts w:ascii="Arial" w:hAnsi="Arial" w:cs="Arial"/>
          <w:sz w:val="18"/>
          <w:szCs w:val="18"/>
          <w:lang w:val="es-ES_tradnl"/>
        </w:rPr>
        <w:t xml:space="preserve"> El peso </w:t>
      </w:r>
      <w:r w:rsidR="00683FE0" w:rsidRPr="009A75D6">
        <w:rPr>
          <w:rFonts w:ascii="Arial" w:hAnsi="Arial" w:cs="Arial"/>
          <w:sz w:val="18"/>
          <w:szCs w:val="18"/>
          <w:lang w:val="es-ES_tradnl"/>
        </w:rPr>
        <w:t>se devaluó</w:t>
      </w:r>
      <w:r w:rsidR="009B1021" w:rsidRPr="009A75D6">
        <w:rPr>
          <w:rFonts w:ascii="Arial" w:hAnsi="Arial" w:cs="Arial"/>
          <w:sz w:val="18"/>
          <w:szCs w:val="18"/>
          <w:lang w:val="es-ES_tradnl"/>
        </w:rPr>
        <w:t xml:space="preserve"> frente al dólar en un 23% en un año (</w:t>
      </w:r>
      <w:r w:rsidR="00817892" w:rsidRPr="009A75D6">
        <w:rPr>
          <w:rFonts w:ascii="Arial" w:hAnsi="Arial" w:cs="Arial"/>
          <w:sz w:val="18"/>
          <w:szCs w:val="18"/>
          <w:lang w:val="es-ES_tradnl"/>
        </w:rPr>
        <w:t xml:space="preserve">de </w:t>
      </w:r>
      <w:r w:rsidR="008476BD" w:rsidRPr="009A75D6">
        <w:rPr>
          <w:rFonts w:ascii="Arial" w:hAnsi="Arial" w:cs="Arial"/>
          <w:sz w:val="18"/>
          <w:szCs w:val="18"/>
          <w:lang w:val="es-ES_tradnl"/>
        </w:rPr>
        <w:t>UYU</w:t>
      </w:r>
      <w:r w:rsidR="009B1021" w:rsidRPr="009A75D6">
        <w:rPr>
          <w:rFonts w:ascii="Arial" w:hAnsi="Arial" w:cs="Arial"/>
          <w:sz w:val="18"/>
          <w:szCs w:val="18"/>
          <w:lang w:val="es-ES_tradnl"/>
        </w:rPr>
        <w:t>24,33</w:t>
      </w:r>
      <w:r w:rsidR="00262B5C" w:rsidRPr="009A75D6">
        <w:rPr>
          <w:rFonts w:ascii="Arial" w:hAnsi="Arial" w:cs="Arial"/>
          <w:sz w:val="18"/>
          <w:szCs w:val="18"/>
          <w:lang w:val="es-ES_tradnl"/>
        </w:rPr>
        <w:t>/</w:t>
      </w:r>
      <w:r w:rsidR="008476BD" w:rsidRPr="009A75D6">
        <w:rPr>
          <w:rFonts w:ascii="Arial" w:hAnsi="Arial" w:cs="Arial"/>
          <w:sz w:val="18"/>
          <w:szCs w:val="18"/>
          <w:lang w:val="es-ES_tradnl"/>
        </w:rPr>
        <w:t>US$</w:t>
      </w:r>
      <w:r w:rsidR="009B1021" w:rsidRPr="009A75D6">
        <w:rPr>
          <w:rFonts w:ascii="Arial" w:hAnsi="Arial" w:cs="Arial"/>
          <w:sz w:val="18"/>
          <w:szCs w:val="18"/>
          <w:lang w:val="es-ES_tradnl"/>
        </w:rPr>
        <w:t xml:space="preserve"> a </w:t>
      </w:r>
      <w:r w:rsidR="008476BD" w:rsidRPr="009A75D6">
        <w:rPr>
          <w:rFonts w:ascii="Arial" w:hAnsi="Arial" w:cs="Arial"/>
          <w:sz w:val="18"/>
          <w:szCs w:val="18"/>
          <w:lang w:val="es-ES_tradnl"/>
        </w:rPr>
        <w:t>UYU</w:t>
      </w:r>
      <w:r w:rsidR="00262B5C" w:rsidRPr="009A75D6">
        <w:rPr>
          <w:rFonts w:ascii="Arial" w:hAnsi="Arial" w:cs="Arial"/>
          <w:sz w:val="18"/>
          <w:szCs w:val="18"/>
          <w:lang w:val="es-ES_tradnl"/>
        </w:rPr>
        <w:t>29.87</w:t>
      </w:r>
      <w:r w:rsidR="008476BD" w:rsidRPr="009A75D6">
        <w:rPr>
          <w:rFonts w:ascii="Arial" w:hAnsi="Arial" w:cs="Arial"/>
          <w:sz w:val="18"/>
          <w:szCs w:val="18"/>
          <w:lang w:val="es-ES_tradnl"/>
        </w:rPr>
        <w:t>/</w:t>
      </w:r>
      <w:r w:rsidR="00262B5C" w:rsidRPr="009A75D6">
        <w:rPr>
          <w:rFonts w:ascii="Arial" w:hAnsi="Arial" w:cs="Arial"/>
          <w:sz w:val="18"/>
          <w:szCs w:val="18"/>
          <w:lang w:val="es-ES_tradnl"/>
        </w:rPr>
        <w:t>US</w:t>
      </w:r>
      <w:r w:rsidR="008476BD" w:rsidRPr="009A75D6">
        <w:rPr>
          <w:rFonts w:ascii="Arial" w:hAnsi="Arial" w:cs="Arial"/>
          <w:sz w:val="18"/>
          <w:szCs w:val="18"/>
          <w:lang w:val="es-ES_tradnl"/>
        </w:rPr>
        <w:t>$</w:t>
      </w:r>
      <w:r w:rsidR="00262B5C" w:rsidRPr="009A75D6">
        <w:rPr>
          <w:rFonts w:ascii="Arial" w:hAnsi="Arial" w:cs="Arial"/>
          <w:sz w:val="18"/>
          <w:szCs w:val="18"/>
          <w:lang w:val="es-ES_tradnl"/>
        </w:rPr>
        <w:t>).</w:t>
      </w:r>
    </w:p>
  </w:footnote>
  <w:footnote w:id="6">
    <w:p w14:paraId="3190AA9D" w14:textId="3C835D7E" w:rsidR="00675377" w:rsidRPr="00675377" w:rsidRDefault="00675377">
      <w:pPr>
        <w:pStyle w:val="FootnoteText"/>
        <w:rPr>
          <w:lang w:val="es-ES_tradnl"/>
        </w:rPr>
      </w:pPr>
      <w:r w:rsidRPr="009A75D6">
        <w:rPr>
          <w:rStyle w:val="FootnoteReference"/>
          <w:rFonts w:ascii="Arial" w:hAnsi="Arial" w:cs="Arial"/>
          <w:sz w:val="18"/>
          <w:szCs w:val="18"/>
        </w:rPr>
        <w:footnoteRef/>
      </w:r>
      <w:r w:rsidRPr="00486D43">
        <w:rPr>
          <w:rFonts w:ascii="Arial" w:hAnsi="Arial" w:cs="Arial"/>
          <w:sz w:val="18"/>
          <w:szCs w:val="18"/>
          <w:lang w:val="es-ES_tradnl"/>
        </w:rPr>
        <w:t xml:space="preserve"> </w:t>
      </w:r>
      <w:r w:rsidR="003A524E">
        <w:rPr>
          <w:rFonts w:ascii="Arial" w:hAnsi="Arial" w:cs="Arial"/>
          <w:sz w:val="18"/>
          <w:szCs w:val="18"/>
          <w:lang w:val="es-ES_tradnl"/>
        </w:rPr>
        <w:t xml:space="preserve">Convenio de cooperación para la implementación de acciones </w:t>
      </w:r>
      <w:r w:rsidR="00EA785F">
        <w:rPr>
          <w:rFonts w:ascii="Arial" w:hAnsi="Arial" w:cs="Arial"/>
          <w:sz w:val="18"/>
          <w:szCs w:val="18"/>
          <w:lang w:val="es-ES_tradnl"/>
        </w:rPr>
        <w:t xml:space="preserve">vinculadas al cuidado del medio ambiente, a la gestión de agua y a mitigación de los efectos asociados al impacto del cambio climático, firmado entre el MVOTMA y OSE. </w:t>
      </w:r>
      <w:r w:rsidRPr="009A75D6">
        <w:rPr>
          <w:rFonts w:ascii="Arial" w:hAnsi="Arial" w:cs="Arial"/>
          <w:sz w:val="18"/>
          <w:szCs w:val="18"/>
          <w:lang w:val="es-ES_tradnl"/>
        </w:rPr>
        <w:t>En este conveni</w:t>
      </w:r>
      <w:r w:rsidRPr="00DF44E8">
        <w:rPr>
          <w:rFonts w:ascii="Arial" w:hAnsi="Arial" w:cs="Arial"/>
          <w:sz w:val="18"/>
          <w:szCs w:val="18"/>
          <w:lang w:val="es-ES_tradnl"/>
        </w:rPr>
        <w:t xml:space="preserve">o, </w:t>
      </w:r>
      <w:r w:rsidR="005809A0">
        <w:rPr>
          <w:rFonts w:ascii="Arial" w:hAnsi="Arial" w:cs="Arial"/>
          <w:sz w:val="18"/>
          <w:szCs w:val="18"/>
          <w:lang w:val="es-ES_tradnl"/>
        </w:rPr>
        <w:t xml:space="preserve">, se expresa que para el cumplimiento de </w:t>
      </w:r>
      <w:r w:rsidR="006E678C">
        <w:rPr>
          <w:rFonts w:ascii="Arial" w:hAnsi="Arial" w:cs="Arial"/>
          <w:sz w:val="18"/>
          <w:szCs w:val="18"/>
          <w:lang w:val="es-ES_tradnl"/>
        </w:rPr>
        <w:t>la responsabilidad de OSE en brindar el servicio de agua potable en todo el país y saneamiento en el interior,</w:t>
      </w:r>
      <w:r w:rsidR="005809A0">
        <w:rPr>
          <w:rFonts w:ascii="Arial" w:hAnsi="Arial" w:cs="Arial"/>
          <w:sz w:val="18"/>
          <w:szCs w:val="18"/>
          <w:lang w:val="es-ES_tradnl"/>
        </w:rPr>
        <w:t xml:space="preserve"> OSE debe enfrentar la realización de inversiones </w:t>
      </w:r>
      <w:r w:rsidR="000A67A4">
        <w:rPr>
          <w:rFonts w:ascii="Arial" w:hAnsi="Arial" w:cs="Arial"/>
          <w:sz w:val="18"/>
          <w:szCs w:val="18"/>
          <w:lang w:val="es-ES_tradnl"/>
        </w:rPr>
        <w:t>extraordinarias</w:t>
      </w:r>
      <w:r w:rsidR="005809A0">
        <w:rPr>
          <w:rFonts w:ascii="Arial" w:hAnsi="Arial" w:cs="Arial"/>
          <w:sz w:val="18"/>
          <w:szCs w:val="18"/>
          <w:lang w:val="es-ES_tradnl"/>
        </w:rPr>
        <w:t xml:space="preserve"> en materia de agua y saneamiento en todo territorio nacional</w:t>
      </w:r>
      <w:r w:rsidR="00560C46">
        <w:rPr>
          <w:rFonts w:ascii="Arial" w:hAnsi="Arial" w:cs="Arial"/>
          <w:sz w:val="18"/>
          <w:szCs w:val="18"/>
          <w:lang w:val="es-ES_tradnl"/>
        </w:rPr>
        <w:t xml:space="preserve">. </w:t>
      </w:r>
      <w:r w:rsidR="0023476C">
        <w:rPr>
          <w:rFonts w:ascii="Arial" w:hAnsi="Arial" w:cs="Arial"/>
          <w:sz w:val="18"/>
          <w:szCs w:val="18"/>
          <w:lang w:val="es-ES_tradnl"/>
        </w:rPr>
        <w:t xml:space="preserve">El convenio establece como mecanismo de financiación </w:t>
      </w:r>
      <w:r w:rsidR="002E5B98">
        <w:rPr>
          <w:rFonts w:ascii="Arial" w:hAnsi="Arial" w:cs="Arial"/>
          <w:sz w:val="18"/>
          <w:szCs w:val="18"/>
          <w:lang w:val="es-ES_tradnl"/>
        </w:rPr>
        <w:t>una transferencia a realizar por el MVOTMA.</w:t>
      </w:r>
    </w:p>
  </w:footnote>
  <w:footnote w:id="7">
    <w:p w14:paraId="113B43EB" w14:textId="76954C37" w:rsidR="002E5B98" w:rsidRPr="00CA6BA3" w:rsidRDefault="002E5B98">
      <w:pPr>
        <w:pStyle w:val="FootnoteText"/>
        <w:rPr>
          <w:rFonts w:ascii="Arial" w:hAnsi="Arial" w:cs="Arial"/>
          <w:sz w:val="18"/>
          <w:szCs w:val="18"/>
          <w:lang w:val="es-ES_tradnl"/>
        </w:rPr>
      </w:pPr>
      <w:r w:rsidRPr="002E5B98">
        <w:rPr>
          <w:rStyle w:val="FootnoteReference"/>
          <w:rFonts w:ascii="Arial" w:hAnsi="Arial" w:cs="Arial"/>
          <w:sz w:val="18"/>
          <w:szCs w:val="18"/>
        </w:rPr>
        <w:footnoteRef/>
      </w:r>
      <w:r w:rsidRPr="00CA6BA3">
        <w:rPr>
          <w:rFonts w:ascii="Arial" w:hAnsi="Arial" w:cs="Arial"/>
          <w:sz w:val="18"/>
          <w:szCs w:val="18"/>
          <w:lang w:val="es-ES_tradnl"/>
        </w:rPr>
        <w:t xml:space="preserve"> </w:t>
      </w:r>
      <w:r w:rsidR="00A950BA">
        <w:rPr>
          <w:rFonts w:ascii="Arial" w:hAnsi="Arial" w:cs="Arial"/>
          <w:sz w:val="18"/>
          <w:szCs w:val="18"/>
          <w:lang w:val="es-ES_tradnl"/>
        </w:rPr>
        <w:t xml:space="preserve">Por lo establecido en el artículo 694 de la </w:t>
      </w:r>
      <w:r w:rsidR="00CA6BA3" w:rsidRPr="00CA6BA3">
        <w:rPr>
          <w:rFonts w:ascii="Arial" w:hAnsi="Arial" w:cs="Arial"/>
          <w:sz w:val="18"/>
          <w:szCs w:val="18"/>
          <w:lang w:val="es-ES_tradnl"/>
        </w:rPr>
        <w:t>ley de 19.355 de Presupuesto N</w:t>
      </w:r>
      <w:r w:rsidR="00CA6BA3">
        <w:rPr>
          <w:rFonts w:ascii="Arial" w:hAnsi="Arial" w:cs="Arial"/>
          <w:sz w:val="18"/>
          <w:szCs w:val="18"/>
          <w:lang w:val="es-ES_tradnl"/>
        </w:rPr>
        <w:t>acional de Sueldos, Gastos e Inversiones ejercicio 2015-2019</w:t>
      </w:r>
      <w:r w:rsidR="00A950BA">
        <w:rPr>
          <w:rFonts w:ascii="Arial" w:hAnsi="Arial" w:cs="Arial"/>
          <w:sz w:val="18"/>
          <w:szCs w:val="18"/>
          <w:lang w:val="es-ES_tradnl"/>
        </w:rPr>
        <w:t>.</w:t>
      </w:r>
    </w:p>
  </w:footnote>
  <w:footnote w:id="8">
    <w:p w14:paraId="7DE43BDB" w14:textId="438B7D9C" w:rsidR="00374B0A" w:rsidRPr="00B00EAE" w:rsidRDefault="00374B0A">
      <w:pPr>
        <w:pStyle w:val="FootnoteText"/>
        <w:rPr>
          <w:rFonts w:ascii="Arial" w:hAnsi="Arial" w:cs="Arial"/>
          <w:sz w:val="18"/>
          <w:szCs w:val="18"/>
          <w:lang w:val="es-ES_tradnl"/>
        </w:rPr>
      </w:pPr>
      <w:r w:rsidRPr="00B00EAE">
        <w:rPr>
          <w:rStyle w:val="FootnoteReference"/>
          <w:rFonts w:ascii="Arial" w:hAnsi="Arial" w:cs="Arial"/>
          <w:sz w:val="18"/>
          <w:szCs w:val="18"/>
        </w:rPr>
        <w:footnoteRef/>
      </w:r>
      <w:r w:rsidRPr="00B00EAE">
        <w:rPr>
          <w:rFonts w:ascii="Arial" w:hAnsi="Arial" w:cs="Arial"/>
          <w:sz w:val="18"/>
          <w:szCs w:val="18"/>
          <w:lang w:val="es-ES_tradnl"/>
        </w:rPr>
        <w:t xml:space="preserve"> </w:t>
      </w:r>
      <w:r w:rsidR="00B00EAE">
        <w:rPr>
          <w:rFonts w:ascii="Arial" w:hAnsi="Arial" w:cs="Arial"/>
          <w:sz w:val="18"/>
          <w:szCs w:val="18"/>
          <w:lang w:val="es-ES_tradnl"/>
        </w:rPr>
        <w:t>Este rubro i</w:t>
      </w:r>
      <w:r w:rsidRPr="00B00EAE">
        <w:rPr>
          <w:rFonts w:ascii="Arial" w:hAnsi="Arial" w:cs="Arial"/>
          <w:sz w:val="18"/>
          <w:szCs w:val="18"/>
          <w:lang w:val="es-ES_tradnl"/>
        </w:rPr>
        <w:t>ncluye</w:t>
      </w:r>
      <w:r w:rsidR="00B00EAE" w:rsidRPr="00B00EAE">
        <w:rPr>
          <w:rFonts w:ascii="Arial" w:hAnsi="Arial" w:cs="Arial"/>
          <w:sz w:val="18"/>
          <w:szCs w:val="18"/>
          <w:lang w:val="es-ES_tradnl"/>
        </w:rPr>
        <w:t xml:space="preserve"> las provisiones por beneficios al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9963" w14:textId="7D97F1C5" w:rsidR="00B80D4D" w:rsidRDefault="00B80D4D">
    <w:pPr>
      <w:pStyle w:val="Header"/>
      <w:framePr w:wrap="around" w:vAnchor="text" w:hAnchor="page" w:x="1729" w:y="15"/>
      <w:jc w:val="right"/>
      <w:rPr>
        <w:rStyle w:val="PageNumber"/>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B42692">
      <w:rPr>
        <w:rStyle w:val="PageNumber"/>
        <w:noProof/>
        <w:snapToGrid w:val="0"/>
      </w:rPr>
      <w:t>18</w:t>
    </w:r>
    <w:r>
      <w:rPr>
        <w:rStyle w:val="PageNumber"/>
        <w:snapToGrid w:val="0"/>
      </w:rPr>
      <w:fldChar w:fldCharType="end"/>
    </w:r>
    <w:r>
      <w:rPr>
        <w:rStyle w:val="PageNumber"/>
        <w:snapToGrid w:val="0"/>
      </w:rPr>
      <w:t xml:space="preserve"> -</w:t>
    </w:r>
  </w:p>
  <w:p w14:paraId="2E66BC5C" w14:textId="77777777" w:rsidR="00B80D4D" w:rsidRPr="00433B42" w:rsidRDefault="00B80D4D">
    <w:pPr>
      <w:pStyle w:val="Header"/>
      <w:ind w:right="360"/>
      <w:jc w:val="both"/>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DB7F" w14:textId="77777777" w:rsidR="00B80D4D" w:rsidRDefault="00B80D4D">
    <w:pPr>
      <w:pStyle w:val="Header"/>
      <w:framePr w:wrap="around" w:vAnchor="text" w:hAnchor="margin" w:xAlign="center" w:y="1"/>
      <w:rPr>
        <w:rStyle w:val="PageNumber"/>
      </w:rPr>
    </w:pPr>
  </w:p>
  <w:p w14:paraId="3785C4CD" w14:textId="0710694A" w:rsidR="00B80D4D" w:rsidRDefault="00B80D4D" w:rsidP="000738FB">
    <w:pPr>
      <w:pStyle w:val="Header"/>
      <w:framePr w:wrap="around" w:vAnchor="text" w:hAnchor="page" w:x="1729" w:y="1"/>
      <w:jc w:val="right"/>
      <w:rPr>
        <w:rStyle w:val="PageNumber"/>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B42692">
      <w:rPr>
        <w:rStyle w:val="PageNumber"/>
        <w:noProof/>
        <w:snapToGrid w:val="0"/>
      </w:rPr>
      <w:t>17</w:t>
    </w:r>
    <w:r>
      <w:rPr>
        <w:rStyle w:val="PageNumber"/>
        <w:snapToGrid w:val="0"/>
      </w:rPr>
      <w:fldChar w:fldCharType="end"/>
    </w:r>
    <w:r>
      <w:rPr>
        <w:rStyle w:val="PageNumber"/>
        <w:snapToGrid w:val="0"/>
      </w:rPr>
      <w:t xml:space="preserve"> -</w:t>
    </w:r>
  </w:p>
  <w:p w14:paraId="11B11256" w14:textId="77777777" w:rsidR="00B80D4D" w:rsidRDefault="00B80D4D" w:rsidP="00433B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0DC" w14:textId="77777777" w:rsidR="00B80D4D" w:rsidRDefault="00B80D4D">
    <w:pPr>
      <w:pStyle w:val="Header"/>
      <w:rPr>
        <w:rStyle w:val="PageNumber"/>
        <w:snapToGrid w:val="0"/>
      </w:rPr>
    </w:pPr>
  </w:p>
  <w:p w14:paraId="0ACDF4BA" w14:textId="77777777" w:rsidR="00B80D4D" w:rsidRDefault="00B80D4D">
    <w:pPr>
      <w:pStyle w:val="Header"/>
    </w:pPr>
    <w:r>
      <w:rPr>
        <w:rStyle w:val="PageNumber"/>
        <w:snapToGrid w:val="0"/>
      </w:rPr>
      <w:tab/>
    </w:r>
    <w:r>
      <w:rPr>
        <w:rStyle w:val="PageNumber"/>
        <w:snapToGrid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43BC" w14:textId="77777777" w:rsidR="00B80D4D" w:rsidRDefault="00B80D4D">
    <w:pPr>
      <w:pStyle w:val="Header"/>
      <w:rPr>
        <w:rStyle w:val="PageNumber"/>
        <w:snapToGrid w:val="0"/>
      </w:rPr>
    </w:pPr>
  </w:p>
  <w:p w14:paraId="2D28F666" w14:textId="1796A45E" w:rsidR="00B80D4D" w:rsidRDefault="00B80D4D" w:rsidP="00045050">
    <w:pPr>
      <w:pStyle w:val="Header"/>
      <w:framePr w:wrap="around" w:vAnchor="text" w:hAnchor="page" w:x="1729" w:y="1"/>
      <w:jc w:val="right"/>
      <w:rPr>
        <w:rStyle w:val="PageNumber"/>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B42692">
      <w:rPr>
        <w:rStyle w:val="PageNumber"/>
        <w:noProof/>
        <w:snapToGrid w:val="0"/>
      </w:rPr>
      <w:t>16</w:t>
    </w:r>
    <w:r>
      <w:rPr>
        <w:rStyle w:val="PageNumber"/>
        <w:snapToGrid w:val="0"/>
      </w:rPr>
      <w:fldChar w:fldCharType="end"/>
    </w:r>
    <w:r>
      <w:rPr>
        <w:rStyle w:val="PageNumber"/>
        <w:snapToGrid w:val="0"/>
      </w:rPr>
      <w:t xml:space="preserve"> -</w:t>
    </w:r>
  </w:p>
  <w:p w14:paraId="5D127171" w14:textId="77777777" w:rsidR="00B80D4D" w:rsidRDefault="00B80D4D">
    <w:pPr>
      <w:pStyle w:val="Header"/>
    </w:pPr>
    <w:r>
      <w:rPr>
        <w:rStyle w:val="PageNumber"/>
        <w:snapToGrid w:val="0"/>
      </w:rPr>
      <w:tab/>
    </w:r>
    <w:r>
      <w:rPr>
        <w:rStyle w:val="PageNumbe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618"/>
    <w:multiLevelType w:val="hybridMultilevel"/>
    <w:tmpl w:val="384ABB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59A"/>
    <w:multiLevelType w:val="hybridMultilevel"/>
    <w:tmpl w:val="99BA2200"/>
    <w:lvl w:ilvl="0" w:tplc="26109C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52529"/>
    <w:multiLevelType w:val="multilevel"/>
    <w:tmpl w:val="90D0DE8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386"/>
        </w:tabs>
        <w:ind w:left="1386" w:hanging="1296"/>
      </w:p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15:restartNumberingAfterBreak="0">
    <w:nsid w:val="1D79533A"/>
    <w:multiLevelType w:val="multilevel"/>
    <w:tmpl w:val="B54C966C"/>
    <w:lvl w:ilvl="0">
      <w:start w:val="1"/>
      <w:numFmt w:val="none"/>
      <w:suff w:val="nothing"/>
      <w:lvlText w:val=""/>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49DF468D"/>
    <w:multiLevelType w:val="multilevel"/>
    <w:tmpl w:val="A48E4BA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386"/>
        </w:tabs>
        <w:ind w:left="1386" w:hanging="1296"/>
      </w:pPr>
    </w:lvl>
    <w:lvl w:ilvl="2">
      <w:start w:val="1"/>
      <w:numFmt w:val="bullet"/>
      <w:lvlText w:val=""/>
      <w:lvlJc w:val="left"/>
      <w:pPr>
        <w:tabs>
          <w:tab w:val="num" w:pos="2592"/>
        </w:tabs>
        <w:ind w:left="2592" w:hanging="432"/>
      </w:pPr>
      <w:rPr>
        <w:rFonts w:ascii="Symbol" w:hAnsi="Symbol" w:hint="default"/>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 w15:restartNumberingAfterBreak="0">
    <w:nsid w:val="5D8757E6"/>
    <w:multiLevelType w:val="multilevel"/>
    <w:tmpl w:val="61C092B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15:restartNumberingAfterBreak="0">
    <w:nsid w:val="74C74592"/>
    <w:multiLevelType w:val="multilevel"/>
    <w:tmpl w:val="BBAE952C"/>
    <w:lvl w:ilvl="0">
      <w:start w:val="1"/>
      <w:numFmt w:val="upperRoman"/>
      <w:pStyle w:val="Heading1"/>
      <w:lvlText w:val="%1."/>
      <w:lvlJc w:val="left"/>
      <w:pPr>
        <w:tabs>
          <w:tab w:val="num" w:pos="-360"/>
        </w:tabs>
        <w:ind w:left="-72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440"/>
        </w:tabs>
        <w:ind w:left="360" w:firstLine="1080"/>
      </w:pPr>
      <w:rPr>
        <w:rFonts w:hint="default"/>
      </w:rPr>
    </w:lvl>
    <w:lvl w:ilvl="3">
      <w:start w:val="1"/>
      <w:numFmt w:val="lowerLetter"/>
      <w:pStyle w:val="Heading4"/>
      <w:lvlText w:val="%4)"/>
      <w:lvlJc w:val="left"/>
      <w:pPr>
        <w:tabs>
          <w:tab w:val="num" w:pos="1800"/>
        </w:tabs>
        <w:ind w:left="1440" w:firstLine="0"/>
      </w:pPr>
      <w:rPr>
        <w:rFonts w:hint="default"/>
      </w:rPr>
    </w:lvl>
    <w:lvl w:ilvl="4">
      <w:start w:val="1"/>
      <w:numFmt w:val="decimal"/>
      <w:lvlText w:val="(%5)"/>
      <w:lvlJc w:val="left"/>
      <w:pPr>
        <w:tabs>
          <w:tab w:val="num" w:pos="216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6"/>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3"/>
  </w:num>
  <w:num w:numId="26">
    <w:abstractNumId w:val="0"/>
  </w:num>
  <w:num w:numId="27">
    <w:abstractNumId w:val="2"/>
  </w:num>
  <w:num w:numId="28">
    <w:abstractNumId w:val="2"/>
  </w:num>
  <w:num w:numId="29">
    <w:abstractNumId w:val="2"/>
  </w:num>
  <w:num w:numId="30">
    <w:abstractNumId w:val="2"/>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fillcolor="silver">
      <v:fill color="silver"/>
      <v:stroke weight="1.5pt"/>
      <v:textbox inset="14.4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PR"/>
    <w:docVar w:name="LANG" w:val="SP"/>
  </w:docVars>
  <w:rsids>
    <w:rsidRoot w:val="00977D10"/>
    <w:rsid w:val="000036C6"/>
    <w:rsid w:val="00003745"/>
    <w:rsid w:val="00003BB5"/>
    <w:rsid w:val="00016FFE"/>
    <w:rsid w:val="000170DF"/>
    <w:rsid w:val="00020354"/>
    <w:rsid w:val="00022037"/>
    <w:rsid w:val="00030D85"/>
    <w:rsid w:val="00032A8E"/>
    <w:rsid w:val="00034940"/>
    <w:rsid w:val="0003553F"/>
    <w:rsid w:val="00036A98"/>
    <w:rsid w:val="0003713A"/>
    <w:rsid w:val="0003752A"/>
    <w:rsid w:val="00037913"/>
    <w:rsid w:val="00040E0F"/>
    <w:rsid w:val="000413F1"/>
    <w:rsid w:val="000415CD"/>
    <w:rsid w:val="00043AF2"/>
    <w:rsid w:val="00043E85"/>
    <w:rsid w:val="0004408B"/>
    <w:rsid w:val="00045050"/>
    <w:rsid w:val="00045DA7"/>
    <w:rsid w:val="0005312E"/>
    <w:rsid w:val="000533A3"/>
    <w:rsid w:val="000563EE"/>
    <w:rsid w:val="0005744C"/>
    <w:rsid w:val="000608B9"/>
    <w:rsid w:val="000613A8"/>
    <w:rsid w:val="00061948"/>
    <w:rsid w:val="00062FE3"/>
    <w:rsid w:val="000637C5"/>
    <w:rsid w:val="00065A4A"/>
    <w:rsid w:val="0007062D"/>
    <w:rsid w:val="00072005"/>
    <w:rsid w:val="000738FB"/>
    <w:rsid w:val="0007627C"/>
    <w:rsid w:val="000778DF"/>
    <w:rsid w:val="0008145C"/>
    <w:rsid w:val="000829CA"/>
    <w:rsid w:val="00083CA4"/>
    <w:rsid w:val="00086D4B"/>
    <w:rsid w:val="00087B35"/>
    <w:rsid w:val="00091D30"/>
    <w:rsid w:val="00093659"/>
    <w:rsid w:val="00097363"/>
    <w:rsid w:val="000A12BE"/>
    <w:rsid w:val="000A5230"/>
    <w:rsid w:val="000A67A4"/>
    <w:rsid w:val="000A7397"/>
    <w:rsid w:val="000A7CBF"/>
    <w:rsid w:val="000B0504"/>
    <w:rsid w:val="000B0CD0"/>
    <w:rsid w:val="000B114F"/>
    <w:rsid w:val="000B182F"/>
    <w:rsid w:val="000B2C0A"/>
    <w:rsid w:val="000B6947"/>
    <w:rsid w:val="000B7999"/>
    <w:rsid w:val="000C24EB"/>
    <w:rsid w:val="000C37E7"/>
    <w:rsid w:val="000C5B04"/>
    <w:rsid w:val="000D0044"/>
    <w:rsid w:val="000D01F4"/>
    <w:rsid w:val="000D4263"/>
    <w:rsid w:val="000D429E"/>
    <w:rsid w:val="000E0F2F"/>
    <w:rsid w:val="000E278A"/>
    <w:rsid w:val="000E2CE0"/>
    <w:rsid w:val="000E71B8"/>
    <w:rsid w:val="000F2A94"/>
    <w:rsid w:val="000F3282"/>
    <w:rsid w:val="000F5AFC"/>
    <w:rsid w:val="00103445"/>
    <w:rsid w:val="001036E8"/>
    <w:rsid w:val="00103DAD"/>
    <w:rsid w:val="0010627B"/>
    <w:rsid w:val="001063C5"/>
    <w:rsid w:val="00106AB0"/>
    <w:rsid w:val="00110DFE"/>
    <w:rsid w:val="0011351A"/>
    <w:rsid w:val="00114175"/>
    <w:rsid w:val="00117BB3"/>
    <w:rsid w:val="00120C29"/>
    <w:rsid w:val="0012211C"/>
    <w:rsid w:val="0012229C"/>
    <w:rsid w:val="00123AC8"/>
    <w:rsid w:val="0012766D"/>
    <w:rsid w:val="001300A3"/>
    <w:rsid w:val="0013080E"/>
    <w:rsid w:val="0013245F"/>
    <w:rsid w:val="00135D02"/>
    <w:rsid w:val="00136A0F"/>
    <w:rsid w:val="00136A2C"/>
    <w:rsid w:val="00137140"/>
    <w:rsid w:val="0014150D"/>
    <w:rsid w:val="00144CAE"/>
    <w:rsid w:val="00146915"/>
    <w:rsid w:val="00150309"/>
    <w:rsid w:val="001512F2"/>
    <w:rsid w:val="001535F9"/>
    <w:rsid w:val="001553E5"/>
    <w:rsid w:val="00155AB2"/>
    <w:rsid w:val="00155CED"/>
    <w:rsid w:val="001612E8"/>
    <w:rsid w:val="00163F0D"/>
    <w:rsid w:val="00166674"/>
    <w:rsid w:val="00171777"/>
    <w:rsid w:val="001739FB"/>
    <w:rsid w:val="001777A3"/>
    <w:rsid w:val="00177892"/>
    <w:rsid w:val="00177B0A"/>
    <w:rsid w:val="001804F0"/>
    <w:rsid w:val="00182FD1"/>
    <w:rsid w:val="00184F3C"/>
    <w:rsid w:val="00185247"/>
    <w:rsid w:val="00187D64"/>
    <w:rsid w:val="00191B77"/>
    <w:rsid w:val="001951E8"/>
    <w:rsid w:val="00195337"/>
    <w:rsid w:val="0019645F"/>
    <w:rsid w:val="001A10B4"/>
    <w:rsid w:val="001A1124"/>
    <w:rsid w:val="001A120C"/>
    <w:rsid w:val="001A4E4B"/>
    <w:rsid w:val="001A6AC8"/>
    <w:rsid w:val="001B20FA"/>
    <w:rsid w:val="001B2E2B"/>
    <w:rsid w:val="001B47D0"/>
    <w:rsid w:val="001B4FE3"/>
    <w:rsid w:val="001B6AD1"/>
    <w:rsid w:val="001C3B8B"/>
    <w:rsid w:val="001C5021"/>
    <w:rsid w:val="001D110E"/>
    <w:rsid w:val="001D24F0"/>
    <w:rsid w:val="001E4534"/>
    <w:rsid w:val="001E588F"/>
    <w:rsid w:val="001E6B6E"/>
    <w:rsid w:val="001F179E"/>
    <w:rsid w:val="001F3F50"/>
    <w:rsid w:val="001F4813"/>
    <w:rsid w:val="001F5966"/>
    <w:rsid w:val="00212A91"/>
    <w:rsid w:val="00212E3D"/>
    <w:rsid w:val="00213295"/>
    <w:rsid w:val="00215241"/>
    <w:rsid w:val="00221648"/>
    <w:rsid w:val="00221B96"/>
    <w:rsid w:val="002226AE"/>
    <w:rsid w:val="00224FAF"/>
    <w:rsid w:val="00226D09"/>
    <w:rsid w:val="00231616"/>
    <w:rsid w:val="002316D8"/>
    <w:rsid w:val="00231946"/>
    <w:rsid w:val="002326D4"/>
    <w:rsid w:val="00232E88"/>
    <w:rsid w:val="0023343B"/>
    <w:rsid w:val="00234700"/>
    <w:rsid w:val="0023476C"/>
    <w:rsid w:val="00234C74"/>
    <w:rsid w:val="00235511"/>
    <w:rsid w:val="00236631"/>
    <w:rsid w:val="00242125"/>
    <w:rsid w:val="002424C0"/>
    <w:rsid w:val="00244F41"/>
    <w:rsid w:val="00245D81"/>
    <w:rsid w:val="00245FC5"/>
    <w:rsid w:val="00247645"/>
    <w:rsid w:val="00250E87"/>
    <w:rsid w:val="00251F25"/>
    <w:rsid w:val="00253AC7"/>
    <w:rsid w:val="002543BC"/>
    <w:rsid w:val="0025626A"/>
    <w:rsid w:val="00260086"/>
    <w:rsid w:val="0026143E"/>
    <w:rsid w:val="00261D63"/>
    <w:rsid w:val="00262B5C"/>
    <w:rsid w:val="0026532F"/>
    <w:rsid w:val="00267674"/>
    <w:rsid w:val="00270BB3"/>
    <w:rsid w:val="00271C79"/>
    <w:rsid w:val="00273292"/>
    <w:rsid w:val="00275F0D"/>
    <w:rsid w:val="00276398"/>
    <w:rsid w:val="00276FAC"/>
    <w:rsid w:val="002829FE"/>
    <w:rsid w:val="002856D4"/>
    <w:rsid w:val="00285BFB"/>
    <w:rsid w:val="002879E0"/>
    <w:rsid w:val="002903A1"/>
    <w:rsid w:val="00290B39"/>
    <w:rsid w:val="002944BA"/>
    <w:rsid w:val="00294EF9"/>
    <w:rsid w:val="00297C98"/>
    <w:rsid w:val="00297D50"/>
    <w:rsid w:val="002A1A0E"/>
    <w:rsid w:val="002A21AF"/>
    <w:rsid w:val="002A3EFC"/>
    <w:rsid w:val="002B0886"/>
    <w:rsid w:val="002B0D62"/>
    <w:rsid w:val="002B3ACA"/>
    <w:rsid w:val="002B774B"/>
    <w:rsid w:val="002C3CA4"/>
    <w:rsid w:val="002C6015"/>
    <w:rsid w:val="002C6046"/>
    <w:rsid w:val="002D06C4"/>
    <w:rsid w:val="002D1C0F"/>
    <w:rsid w:val="002D7170"/>
    <w:rsid w:val="002E0808"/>
    <w:rsid w:val="002E1D5D"/>
    <w:rsid w:val="002E2AD5"/>
    <w:rsid w:val="002E5562"/>
    <w:rsid w:val="002E5B98"/>
    <w:rsid w:val="002F3752"/>
    <w:rsid w:val="002F6999"/>
    <w:rsid w:val="003002AF"/>
    <w:rsid w:val="003005F8"/>
    <w:rsid w:val="00302459"/>
    <w:rsid w:val="00312D9A"/>
    <w:rsid w:val="00314825"/>
    <w:rsid w:val="00322313"/>
    <w:rsid w:val="00323311"/>
    <w:rsid w:val="00327F4E"/>
    <w:rsid w:val="00331618"/>
    <w:rsid w:val="00332038"/>
    <w:rsid w:val="00337CEA"/>
    <w:rsid w:val="0034501C"/>
    <w:rsid w:val="003519F4"/>
    <w:rsid w:val="00351B39"/>
    <w:rsid w:val="00352B1F"/>
    <w:rsid w:val="00353D6D"/>
    <w:rsid w:val="00361205"/>
    <w:rsid w:val="00363663"/>
    <w:rsid w:val="003644DD"/>
    <w:rsid w:val="003645C3"/>
    <w:rsid w:val="00364EB8"/>
    <w:rsid w:val="0036610F"/>
    <w:rsid w:val="00366ABE"/>
    <w:rsid w:val="00370BCA"/>
    <w:rsid w:val="00372C75"/>
    <w:rsid w:val="00372C80"/>
    <w:rsid w:val="00372E23"/>
    <w:rsid w:val="00374B0A"/>
    <w:rsid w:val="003843FF"/>
    <w:rsid w:val="0038632A"/>
    <w:rsid w:val="00390AE7"/>
    <w:rsid w:val="00395095"/>
    <w:rsid w:val="003A13A5"/>
    <w:rsid w:val="003A35DB"/>
    <w:rsid w:val="003A3C25"/>
    <w:rsid w:val="003A524E"/>
    <w:rsid w:val="003A6CC0"/>
    <w:rsid w:val="003A7411"/>
    <w:rsid w:val="003B14C2"/>
    <w:rsid w:val="003B150C"/>
    <w:rsid w:val="003B185F"/>
    <w:rsid w:val="003B394B"/>
    <w:rsid w:val="003B3BF3"/>
    <w:rsid w:val="003B41E8"/>
    <w:rsid w:val="003B4DA7"/>
    <w:rsid w:val="003B5007"/>
    <w:rsid w:val="003B55D4"/>
    <w:rsid w:val="003C334D"/>
    <w:rsid w:val="003C495E"/>
    <w:rsid w:val="003C5616"/>
    <w:rsid w:val="003C5D54"/>
    <w:rsid w:val="003C749B"/>
    <w:rsid w:val="003D0D04"/>
    <w:rsid w:val="003D16AD"/>
    <w:rsid w:val="003D1A70"/>
    <w:rsid w:val="003D409F"/>
    <w:rsid w:val="003D4C6D"/>
    <w:rsid w:val="003D5276"/>
    <w:rsid w:val="003D59ED"/>
    <w:rsid w:val="003D5B94"/>
    <w:rsid w:val="003D7293"/>
    <w:rsid w:val="003F3019"/>
    <w:rsid w:val="003F617E"/>
    <w:rsid w:val="003F745B"/>
    <w:rsid w:val="00400178"/>
    <w:rsid w:val="00403289"/>
    <w:rsid w:val="004056C3"/>
    <w:rsid w:val="00412BC4"/>
    <w:rsid w:val="00412CCC"/>
    <w:rsid w:val="00412CEF"/>
    <w:rsid w:val="00413485"/>
    <w:rsid w:val="004137AE"/>
    <w:rsid w:val="00422AEA"/>
    <w:rsid w:val="00423D8E"/>
    <w:rsid w:val="00427D8D"/>
    <w:rsid w:val="00430F86"/>
    <w:rsid w:val="00432A39"/>
    <w:rsid w:val="00433B42"/>
    <w:rsid w:val="00435215"/>
    <w:rsid w:val="00442359"/>
    <w:rsid w:val="00451DA2"/>
    <w:rsid w:val="00453FE8"/>
    <w:rsid w:val="00455FE9"/>
    <w:rsid w:val="00456B60"/>
    <w:rsid w:val="00457AEE"/>
    <w:rsid w:val="00457E4D"/>
    <w:rsid w:val="00460C35"/>
    <w:rsid w:val="00461EBE"/>
    <w:rsid w:val="004657D7"/>
    <w:rsid w:val="0047560E"/>
    <w:rsid w:val="00475FC1"/>
    <w:rsid w:val="00476524"/>
    <w:rsid w:val="00476F2F"/>
    <w:rsid w:val="00477E53"/>
    <w:rsid w:val="00484276"/>
    <w:rsid w:val="00484EA8"/>
    <w:rsid w:val="00485239"/>
    <w:rsid w:val="004861FD"/>
    <w:rsid w:val="004865F6"/>
    <w:rsid w:val="00486783"/>
    <w:rsid w:val="00486D43"/>
    <w:rsid w:val="00486D50"/>
    <w:rsid w:val="00487C75"/>
    <w:rsid w:val="00490CDE"/>
    <w:rsid w:val="00492264"/>
    <w:rsid w:val="004A08C4"/>
    <w:rsid w:val="004A2254"/>
    <w:rsid w:val="004A5CFF"/>
    <w:rsid w:val="004A6187"/>
    <w:rsid w:val="004B0707"/>
    <w:rsid w:val="004B1207"/>
    <w:rsid w:val="004B38E6"/>
    <w:rsid w:val="004B4EA6"/>
    <w:rsid w:val="004B50BC"/>
    <w:rsid w:val="004B5185"/>
    <w:rsid w:val="004B51AC"/>
    <w:rsid w:val="004B54D4"/>
    <w:rsid w:val="004C122D"/>
    <w:rsid w:val="004C45EC"/>
    <w:rsid w:val="004C4D6E"/>
    <w:rsid w:val="004C4E54"/>
    <w:rsid w:val="004C6D1B"/>
    <w:rsid w:val="004C7B32"/>
    <w:rsid w:val="004D6F8B"/>
    <w:rsid w:val="004D71CA"/>
    <w:rsid w:val="004E2B6C"/>
    <w:rsid w:val="004E2BEE"/>
    <w:rsid w:val="004E6CEB"/>
    <w:rsid w:val="004F0DE4"/>
    <w:rsid w:val="004F152B"/>
    <w:rsid w:val="004F405E"/>
    <w:rsid w:val="004F5CCE"/>
    <w:rsid w:val="004F7755"/>
    <w:rsid w:val="005037B3"/>
    <w:rsid w:val="00503E33"/>
    <w:rsid w:val="00505CB0"/>
    <w:rsid w:val="005107CD"/>
    <w:rsid w:val="005109AE"/>
    <w:rsid w:val="005132DF"/>
    <w:rsid w:val="00513513"/>
    <w:rsid w:val="00514B93"/>
    <w:rsid w:val="00523698"/>
    <w:rsid w:val="00523938"/>
    <w:rsid w:val="00527E2C"/>
    <w:rsid w:val="00533D1C"/>
    <w:rsid w:val="00537D51"/>
    <w:rsid w:val="005411F9"/>
    <w:rsid w:val="00543280"/>
    <w:rsid w:val="00546FA6"/>
    <w:rsid w:val="00547BF6"/>
    <w:rsid w:val="00554A6C"/>
    <w:rsid w:val="00560C46"/>
    <w:rsid w:val="00564839"/>
    <w:rsid w:val="00566239"/>
    <w:rsid w:val="00567DAD"/>
    <w:rsid w:val="00571A5D"/>
    <w:rsid w:val="00574CCD"/>
    <w:rsid w:val="00575245"/>
    <w:rsid w:val="00575EA0"/>
    <w:rsid w:val="005772D5"/>
    <w:rsid w:val="005809A0"/>
    <w:rsid w:val="00584C7C"/>
    <w:rsid w:val="00585B1A"/>
    <w:rsid w:val="00590EAE"/>
    <w:rsid w:val="0059468A"/>
    <w:rsid w:val="00595F2C"/>
    <w:rsid w:val="005A1C56"/>
    <w:rsid w:val="005A244C"/>
    <w:rsid w:val="005A266E"/>
    <w:rsid w:val="005A4A2E"/>
    <w:rsid w:val="005A7740"/>
    <w:rsid w:val="005B00FE"/>
    <w:rsid w:val="005B59A6"/>
    <w:rsid w:val="005B637F"/>
    <w:rsid w:val="005B6750"/>
    <w:rsid w:val="005C2BB4"/>
    <w:rsid w:val="005C38BB"/>
    <w:rsid w:val="005D1C0A"/>
    <w:rsid w:val="005D213B"/>
    <w:rsid w:val="005D5CC9"/>
    <w:rsid w:val="005D6407"/>
    <w:rsid w:val="005E0303"/>
    <w:rsid w:val="005E06B5"/>
    <w:rsid w:val="005E2673"/>
    <w:rsid w:val="005E4DF5"/>
    <w:rsid w:val="005F17F7"/>
    <w:rsid w:val="005F2952"/>
    <w:rsid w:val="005F2C28"/>
    <w:rsid w:val="005F50B8"/>
    <w:rsid w:val="005F56BD"/>
    <w:rsid w:val="005F6BCC"/>
    <w:rsid w:val="00602721"/>
    <w:rsid w:val="00603CE0"/>
    <w:rsid w:val="00603F90"/>
    <w:rsid w:val="00604295"/>
    <w:rsid w:val="00606338"/>
    <w:rsid w:val="00606F01"/>
    <w:rsid w:val="006079E2"/>
    <w:rsid w:val="006123D8"/>
    <w:rsid w:val="0062265A"/>
    <w:rsid w:val="00624BEC"/>
    <w:rsid w:val="006338B7"/>
    <w:rsid w:val="0064183D"/>
    <w:rsid w:val="006423AC"/>
    <w:rsid w:val="0064268A"/>
    <w:rsid w:val="006473AA"/>
    <w:rsid w:val="0065238A"/>
    <w:rsid w:val="00655F94"/>
    <w:rsid w:val="00656B8B"/>
    <w:rsid w:val="00657E5C"/>
    <w:rsid w:val="00657F9D"/>
    <w:rsid w:val="0066063E"/>
    <w:rsid w:val="00663300"/>
    <w:rsid w:val="00666E6A"/>
    <w:rsid w:val="0066731A"/>
    <w:rsid w:val="0067124D"/>
    <w:rsid w:val="006712B6"/>
    <w:rsid w:val="006725A5"/>
    <w:rsid w:val="0067344F"/>
    <w:rsid w:val="00673B37"/>
    <w:rsid w:val="00675377"/>
    <w:rsid w:val="00675D02"/>
    <w:rsid w:val="0067775E"/>
    <w:rsid w:val="00677FCF"/>
    <w:rsid w:val="006801F0"/>
    <w:rsid w:val="00681690"/>
    <w:rsid w:val="006820BB"/>
    <w:rsid w:val="00683FE0"/>
    <w:rsid w:val="006857D5"/>
    <w:rsid w:val="006871D0"/>
    <w:rsid w:val="00687421"/>
    <w:rsid w:val="00687975"/>
    <w:rsid w:val="00690E61"/>
    <w:rsid w:val="00694365"/>
    <w:rsid w:val="0069623C"/>
    <w:rsid w:val="006A03EE"/>
    <w:rsid w:val="006A293E"/>
    <w:rsid w:val="006A34E0"/>
    <w:rsid w:val="006A5D9D"/>
    <w:rsid w:val="006A641C"/>
    <w:rsid w:val="006A7F4C"/>
    <w:rsid w:val="006B138B"/>
    <w:rsid w:val="006B17D6"/>
    <w:rsid w:val="006B3970"/>
    <w:rsid w:val="006B510A"/>
    <w:rsid w:val="006B6C28"/>
    <w:rsid w:val="006B7300"/>
    <w:rsid w:val="006C0886"/>
    <w:rsid w:val="006C0F77"/>
    <w:rsid w:val="006C4F73"/>
    <w:rsid w:val="006C51F6"/>
    <w:rsid w:val="006C594D"/>
    <w:rsid w:val="006C5F4C"/>
    <w:rsid w:val="006C72B1"/>
    <w:rsid w:val="006D36ED"/>
    <w:rsid w:val="006D5903"/>
    <w:rsid w:val="006D61F0"/>
    <w:rsid w:val="006D7B99"/>
    <w:rsid w:val="006E0838"/>
    <w:rsid w:val="006E4756"/>
    <w:rsid w:val="006E678C"/>
    <w:rsid w:val="006E6E86"/>
    <w:rsid w:val="006F010C"/>
    <w:rsid w:val="006F3B47"/>
    <w:rsid w:val="006F42AC"/>
    <w:rsid w:val="006F4E1C"/>
    <w:rsid w:val="006F5841"/>
    <w:rsid w:val="00700DB6"/>
    <w:rsid w:val="007029FE"/>
    <w:rsid w:val="007048ED"/>
    <w:rsid w:val="0070542D"/>
    <w:rsid w:val="00706F32"/>
    <w:rsid w:val="00707078"/>
    <w:rsid w:val="00707AA6"/>
    <w:rsid w:val="0071105F"/>
    <w:rsid w:val="00712548"/>
    <w:rsid w:val="00712A9D"/>
    <w:rsid w:val="00717F9E"/>
    <w:rsid w:val="00720E4F"/>
    <w:rsid w:val="0072187D"/>
    <w:rsid w:val="007224EA"/>
    <w:rsid w:val="007225CF"/>
    <w:rsid w:val="00722644"/>
    <w:rsid w:val="007236C3"/>
    <w:rsid w:val="0072389D"/>
    <w:rsid w:val="007250DB"/>
    <w:rsid w:val="0072580B"/>
    <w:rsid w:val="00732FB8"/>
    <w:rsid w:val="00734F31"/>
    <w:rsid w:val="00740A92"/>
    <w:rsid w:val="007420B5"/>
    <w:rsid w:val="007424F0"/>
    <w:rsid w:val="007440CD"/>
    <w:rsid w:val="00744CAD"/>
    <w:rsid w:val="00750B90"/>
    <w:rsid w:val="00754205"/>
    <w:rsid w:val="0075699C"/>
    <w:rsid w:val="00756EF5"/>
    <w:rsid w:val="0076136E"/>
    <w:rsid w:val="00763356"/>
    <w:rsid w:val="007660AA"/>
    <w:rsid w:val="0076716A"/>
    <w:rsid w:val="007706C4"/>
    <w:rsid w:val="00770AC3"/>
    <w:rsid w:val="00772B9D"/>
    <w:rsid w:val="00774BBE"/>
    <w:rsid w:val="00777566"/>
    <w:rsid w:val="007807CF"/>
    <w:rsid w:val="00781ED4"/>
    <w:rsid w:val="007839D2"/>
    <w:rsid w:val="00784A90"/>
    <w:rsid w:val="00785083"/>
    <w:rsid w:val="007864B4"/>
    <w:rsid w:val="007873F4"/>
    <w:rsid w:val="007917B2"/>
    <w:rsid w:val="00792CDC"/>
    <w:rsid w:val="00796501"/>
    <w:rsid w:val="007A00F8"/>
    <w:rsid w:val="007A0460"/>
    <w:rsid w:val="007A11D6"/>
    <w:rsid w:val="007A67CE"/>
    <w:rsid w:val="007A759A"/>
    <w:rsid w:val="007A7B9C"/>
    <w:rsid w:val="007B1971"/>
    <w:rsid w:val="007B290E"/>
    <w:rsid w:val="007B7BA2"/>
    <w:rsid w:val="007C0AB2"/>
    <w:rsid w:val="007C2E85"/>
    <w:rsid w:val="007C4E7A"/>
    <w:rsid w:val="007C5219"/>
    <w:rsid w:val="007C56A6"/>
    <w:rsid w:val="007C59EB"/>
    <w:rsid w:val="007D1C8C"/>
    <w:rsid w:val="007D1FA2"/>
    <w:rsid w:val="007D440F"/>
    <w:rsid w:val="007D7486"/>
    <w:rsid w:val="007E115D"/>
    <w:rsid w:val="007E15DA"/>
    <w:rsid w:val="007E416A"/>
    <w:rsid w:val="007E418D"/>
    <w:rsid w:val="007E652F"/>
    <w:rsid w:val="007F1913"/>
    <w:rsid w:val="007F1C49"/>
    <w:rsid w:val="007F382B"/>
    <w:rsid w:val="007F428C"/>
    <w:rsid w:val="007F471C"/>
    <w:rsid w:val="007F4B16"/>
    <w:rsid w:val="007F51DE"/>
    <w:rsid w:val="007F6142"/>
    <w:rsid w:val="007F6948"/>
    <w:rsid w:val="00800DDE"/>
    <w:rsid w:val="00801E54"/>
    <w:rsid w:val="00806F61"/>
    <w:rsid w:val="00807638"/>
    <w:rsid w:val="00807BD0"/>
    <w:rsid w:val="00810285"/>
    <w:rsid w:val="00813526"/>
    <w:rsid w:val="00814725"/>
    <w:rsid w:val="00817892"/>
    <w:rsid w:val="00820A84"/>
    <w:rsid w:val="00821F72"/>
    <w:rsid w:val="00821FBB"/>
    <w:rsid w:val="0082343F"/>
    <w:rsid w:val="00824217"/>
    <w:rsid w:val="00824642"/>
    <w:rsid w:val="008255AB"/>
    <w:rsid w:val="0082581B"/>
    <w:rsid w:val="008260C0"/>
    <w:rsid w:val="00826C35"/>
    <w:rsid w:val="00830E72"/>
    <w:rsid w:val="00831F5E"/>
    <w:rsid w:val="008336D0"/>
    <w:rsid w:val="00834D1D"/>
    <w:rsid w:val="00841690"/>
    <w:rsid w:val="0084206F"/>
    <w:rsid w:val="008435E4"/>
    <w:rsid w:val="008476BD"/>
    <w:rsid w:val="008542EA"/>
    <w:rsid w:val="0085524B"/>
    <w:rsid w:val="0086032E"/>
    <w:rsid w:val="008605B8"/>
    <w:rsid w:val="00862357"/>
    <w:rsid w:val="00862A1B"/>
    <w:rsid w:val="0086315A"/>
    <w:rsid w:val="00863A29"/>
    <w:rsid w:val="00864733"/>
    <w:rsid w:val="00864B8D"/>
    <w:rsid w:val="00866C64"/>
    <w:rsid w:val="008718A0"/>
    <w:rsid w:val="0087443E"/>
    <w:rsid w:val="008746D6"/>
    <w:rsid w:val="00874884"/>
    <w:rsid w:val="00875344"/>
    <w:rsid w:val="0088009C"/>
    <w:rsid w:val="00880314"/>
    <w:rsid w:val="00883A06"/>
    <w:rsid w:val="00887688"/>
    <w:rsid w:val="008911DC"/>
    <w:rsid w:val="008915B8"/>
    <w:rsid w:val="00891722"/>
    <w:rsid w:val="00891AB5"/>
    <w:rsid w:val="00897E19"/>
    <w:rsid w:val="008A0C1D"/>
    <w:rsid w:val="008A1A50"/>
    <w:rsid w:val="008A67F9"/>
    <w:rsid w:val="008A6E40"/>
    <w:rsid w:val="008A74F4"/>
    <w:rsid w:val="008A7900"/>
    <w:rsid w:val="008B13FE"/>
    <w:rsid w:val="008B2208"/>
    <w:rsid w:val="008B5B1F"/>
    <w:rsid w:val="008B661F"/>
    <w:rsid w:val="008B6F29"/>
    <w:rsid w:val="008B7D2F"/>
    <w:rsid w:val="008B7F11"/>
    <w:rsid w:val="008C2340"/>
    <w:rsid w:val="008C254A"/>
    <w:rsid w:val="008C3A58"/>
    <w:rsid w:val="008C4624"/>
    <w:rsid w:val="008C6560"/>
    <w:rsid w:val="008D11DA"/>
    <w:rsid w:val="008D4D98"/>
    <w:rsid w:val="008E022B"/>
    <w:rsid w:val="008E3D13"/>
    <w:rsid w:val="008E53AD"/>
    <w:rsid w:val="008E5B15"/>
    <w:rsid w:val="008E66CC"/>
    <w:rsid w:val="008F4AB4"/>
    <w:rsid w:val="008F6930"/>
    <w:rsid w:val="00900395"/>
    <w:rsid w:val="009016F5"/>
    <w:rsid w:val="00903A48"/>
    <w:rsid w:val="009049AE"/>
    <w:rsid w:val="00905E57"/>
    <w:rsid w:val="00910D04"/>
    <w:rsid w:val="00911329"/>
    <w:rsid w:val="009118C9"/>
    <w:rsid w:val="00912187"/>
    <w:rsid w:val="00912C6E"/>
    <w:rsid w:val="00913780"/>
    <w:rsid w:val="009147CB"/>
    <w:rsid w:val="0092027C"/>
    <w:rsid w:val="00921834"/>
    <w:rsid w:val="0092289F"/>
    <w:rsid w:val="009238C9"/>
    <w:rsid w:val="00926375"/>
    <w:rsid w:val="00927033"/>
    <w:rsid w:val="00931BA3"/>
    <w:rsid w:val="009333A0"/>
    <w:rsid w:val="00937850"/>
    <w:rsid w:val="00941D44"/>
    <w:rsid w:val="0095003E"/>
    <w:rsid w:val="00952AD1"/>
    <w:rsid w:val="0095616D"/>
    <w:rsid w:val="009568B3"/>
    <w:rsid w:val="009603BB"/>
    <w:rsid w:val="00960D01"/>
    <w:rsid w:val="00962CAC"/>
    <w:rsid w:val="0096535C"/>
    <w:rsid w:val="009654EE"/>
    <w:rsid w:val="00966A9C"/>
    <w:rsid w:val="00971CA9"/>
    <w:rsid w:val="009734A5"/>
    <w:rsid w:val="00977D10"/>
    <w:rsid w:val="00983072"/>
    <w:rsid w:val="00983D41"/>
    <w:rsid w:val="00985B51"/>
    <w:rsid w:val="00986D42"/>
    <w:rsid w:val="0099139F"/>
    <w:rsid w:val="00991874"/>
    <w:rsid w:val="009A0E85"/>
    <w:rsid w:val="009A1119"/>
    <w:rsid w:val="009A47F6"/>
    <w:rsid w:val="009A6619"/>
    <w:rsid w:val="009A6F25"/>
    <w:rsid w:val="009A75D6"/>
    <w:rsid w:val="009B1021"/>
    <w:rsid w:val="009B125C"/>
    <w:rsid w:val="009B4A9C"/>
    <w:rsid w:val="009B6256"/>
    <w:rsid w:val="009B78DC"/>
    <w:rsid w:val="009B7CC8"/>
    <w:rsid w:val="009D08A6"/>
    <w:rsid w:val="009D2A99"/>
    <w:rsid w:val="009D35CC"/>
    <w:rsid w:val="009D4CFD"/>
    <w:rsid w:val="009D7804"/>
    <w:rsid w:val="009E014C"/>
    <w:rsid w:val="009E23C2"/>
    <w:rsid w:val="009E732C"/>
    <w:rsid w:val="009F04ED"/>
    <w:rsid w:val="009F116E"/>
    <w:rsid w:val="009F11CE"/>
    <w:rsid w:val="009F1F47"/>
    <w:rsid w:val="009F3B4A"/>
    <w:rsid w:val="009F782A"/>
    <w:rsid w:val="00A019D6"/>
    <w:rsid w:val="00A0669E"/>
    <w:rsid w:val="00A06853"/>
    <w:rsid w:val="00A06ED8"/>
    <w:rsid w:val="00A1071C"/>
    <w:rsid w:val="00A140D7"/>
    <w:rsid w:val="00A14F08"/>
    <w:rsid w:val="00A17CDD"/>
    <w:rsid w:val="00A22BF9"/>
    <w:rsid w:val="00A22D0F"/>
    <w:rsid w:val="00A23462"/>
    <w:rsid w:val="00A23FA9"/>
    <w:rsid w:val="00A30707"/>
    <w:rsid w:val="00A3164A"/>
    <w:rsid w:val="00A34234"/>
    <w:rsid w:val="00A34DBB"/>
    <w:rsid w:val="00A36A07"/>
    <w:rsid w:val="00A37B54"/>
    <w:rsid w:val="00A40637"/>
    <w:rsid w:val="00A43C21"/>
    <w:rsid w:val="00A43E50"/>
    <w:rsid w:val="00A4628E"/>
    <w:rsid w:val="00A47402"/>
    <w:rsid w:val="00A519E6"/>
    <w:rsid w:val="00A53463"/>
    <w:rsid w:val="00A53F97"/>
    <w:rsid w:val="00A5555C"/>
    <w:rsid w:val="00A56C2E"/>
    <w:rsid w:val="00A576AC"/>
    <w:rsid w:val="00A60056"/>
    <w:rsid w:val="00A60ABE"/>
    <w:rsid w:val="00A60CB6"/>
    <w:rsid w:val="00A651AD"/>
    <w:rsid w:val="00A67007"/>
    <w:rsid w:val="00A673E8"/>
    <w:rsid w:val="00A70EC4"/>
    <w:rsid w:val="00A73F53"/>
    <w:rsid w:val="00A74B7D"/>
    <w:rsid w:val="00A7561E"/>
    <w:rsid w:val="00A75B18"/>
    <w:rsid w:val="00A779C6"/>
    <w:rsid w:val="00A80A26"/>
    <w:rsid w:val="00A812B0"/>
    <w:rsid w:val="00A81674"/>
    <w:rsid w:val="00A8280C"/>
    <w:rsid w:val="00A87307"/>
    <w:rsid w:val="00A9260E"/>
    <w:rsid w:val="00A92B1F"/>
    <w:rsid w:val="00A94F51"/>
    <w:rsid w:val="00A950BA"/>
    <w:rsid w:val="00AA11B5"/>
    <w:rsid w:val="00AA15D6"/>
    <w:rsid w:val="00AA26D9"/>
    <w:rsid w:val="00AA3FA0"/>
    <w:rsid w:val="00AA427D"/>
    <w:rsid w:val="00AA46AD"/>
    <w:rsid w:val="00AB5D28"/>
    <w:rsid w:val="00AB77F9"/>
    <w:rsid w:val="00AC14C6"/>
    <w:rsid w:val="00AC2E08"/>
    <w:rsid w:val="00AC563D"/>
    <w:rsid w:val="00AD2C5D"/>
    <w:rsid w:val="00AD2CE6"/>
    <w:rsid w:val="00AD5F8E"/>
    <w:rsid w:val="00AE3DB3"/>
    <w:rsid w:val="00AE6C27"/>
    <w:rsid w:val="00AF2054"/>
    <w:rsid w:val="00AF21A0"/>
    <w:rsid w:val="00B00430"/>
    <w:rsid w:val="00B00EAE"/>
    <w:rsid w:val="00B01242"/>
    <w:rsid w:val="00B01D83"/>
    <w:rsid w:val="00B0255C"/>
    <w:rsid w:val="00B0271E"/>
    <w:rsid w:val="00B02A61"/>
    <w:rsid w:val="00B066DE"/>
    <w:rsid w:val="00B06A30"/>
    <w:rsid w:val="00B1756A"/>
    <w:rsid w:val="00B203C4"/>
    <w:rsid w:val="00B21707"/>
    <w:rsid w:val="00B21723"/>
    <w:rsid w:val="00B22951"/>
    <w:rsid w:val="00B26406"/>
    <w:rsid w:val="00B27B45"/>
    <w:rsid w:val="00B3367E"/>
    <w:rsid w:val="00B33D4A"/>
    <w:rsid w:val="00B34C0D"/>
    <w:rsid w:val="00B35E51"/>
    <w:rsid w:val="00B42692"/>
    <w:rsid w:val="00B430A4"/>
    <w:rsid w:val="00B456E0"/>
    <w:rsid w:val="00B53F18"/>
    <w:rsid w:val="00B56BBF"/>
    <w:rsid w:val="00B574E6"/>
    <w:rsid w:val="00B6411B"/>
    <w:rsid w:val="00B65586"/>
    <w:rsid w:val="00B65F54"/>
    <w:rsid w:val="00B679FA"/>
    <w:rsid w:val="00B67DF7"/>
    <w:rsid w:val="00B74F44"/>
    <w:rsid w:val="00B76B6F"/>
    <w:rsid w:val="00B8052A"/>
    <w:rsid w:val="00B80D4D"/>
    <w:rsid w:val="00B8205C"/>
    <w:rsid w:val="00B823A5"/>
    <w:rsid w:val="00B83ED3"/>
    <w:rsid w:val="00B846CC"/>
    <w:rsid w:val="00B86DA4"/>
    <w:rsid w:val="00B90661"/>
    <w:rsid w:val="00B911AA"/>
    <w:rsid w:val="00B921D5"/>
    <w:rsid w:val="00B93033"/>
    <w:rsid w:val="00B9412B"/>
    <w:rsid w:val="00BA0417"/>
    <w:rsid w:val="00BA1228"/>
    <w:rsid w:val="00BA2DDA"/>
    <w:rsid w:val="00BA40AF"/>
    <w:rsid w:val="00BA4588"/>
    <w:rsid w:val="00BA7AE6"/>
    <w:rsid w:val="00BB67B1"/>
    <w:rsid w:val="00BC0CBE"/>
    <w:rsid w:val="00BC1CCC"/>
    <w:rsid w:val="00BC2DF6"/>
    <w:rsid w:val="00BC467A"/>
    <w:rsid w:val="00BC5FA7"/>
    <w:rsid w:val="00BC72AA"/>
    <w:rsid w:val="00BD182E"/>
    <w:rsid w:val="00BD57A3"/>
    <w:rsid w:val="00BD662F"/>
    <w:rsid w:val="00BD6832"/>
    <w:rsid w:val="00BE3135"/>
    <w:rsid w:val="00BE3481"/>
    <w:rsid w:val="00BE3A3F"/>
    <w:rsid w:val="00BE4F93"/>
    <w:rsid w:val="00BE51A2"/>
    <w:rsid w:val="00BE68F3"/>
    <w:rsid w:val="00BF4E68"/>
    <w:rsid w:val="00BF571D"/>
    <w:rsid w:val="00BF5F51"/>
    <w:rsid w:val="00BF7C69"/>
    <w:rsid w:val="00C0289F"/>
    <w:rsid w:val="00C02AD9"/>
    <w:rsid w:val="00C0450A"/>
    <w:rsid w:val="00C0599E"/>
    <w:rsid w:val="00C07882"/>
    <w:rsid w:val="00C10BE8"/>
    <w:rsid w:val="00C11C93"/>
    <w:rsid w:val="00C16AC8"/>
    <w:rsid w:val="00C234D1"/>
    <w:rsid w:val="00C24674"/>
    <w:rsid w:val="00C2523A"/>
    <w:rsid w:val="00C2567F"/>
    <w:rsid w:val="00C2610D"/>
    <w:rsid w:val="00C27539"/>
    <w:rsid w:val="00C275DD"/>
    <w:rsid w:val="00C27947"/>
    <w:rsid w:val="00C30B36"/>
    <w:rsid w:val="00C30F3D"/>
    <w:rsid w:val="00C3433F"/>
    <w:rsid w:val="00C34941"/>
    <w:rsid w:val="00C36B4A"/>
    <w:rsid w:val="00C4198E"/>
    <w:rsid w:val="00C4567E"/>
    <w:rsid w:val="00C46A3B"/>
    <w:rsid w:val="00C50FE2"/>
    <w:rsid w:val="00C52FD0"/>
    <w:rsid w:val="00C53476"/>
    <w:rsid w:val="00C5460A"/>
    <w:rsid w:val="00C54CA7"/>
    <w:rsid w:val="00C60F8A"/>
    <w:rsid w:val="00C631FE"/>
    <w:rsid w:val="00C642F4"/>
    <w:rsid w:val="00C718D2"/>
    <w:rsid w:val="00C71DF4"/>
    <w:rsid w:val="00C74667"/>
    <w:rsid w:val="00C77B9C"/>
    <w:rsid w:val="00C81EE2"/>
    <w:rsid w:val="00C830FD"/>
    <w:rsid w:val="00C852A3"/>
    <w:rsid w:val="00C860DE"/>
    <w:rsid w:val="00C94498"/>
    <w:rsid w:val="00C965A7"/>
    <w:rsid w:val="00CA09F2"/>
    <w:rsid w:val="00CA24BA"/>
    <w:rsid w:val="00CA294C"/>
    <w:rsid w:val="00CA356F"/>
    <w:rsid w:val="00CA392B"/>
    <w:rsid w:val="00CA61C3"/>
    <w:rsid w:val="00CA6BA3"/>
    <w:rsid w:val="00CA70DE"/>
    <w:rsid w:val="00CA7F37"/>
    <w:rsid w:val="00CB1F04"/>
    <w:rsid w:val="00CC16D4"/>
    <w:rsid w:val="00CC7675"/>
    <w:rsid w:val="00CC7719"/>
    <w:rsid w:val="00CC7F8F"/>
    <w:rsid w:val="00CD411B"/>
    <w:rsid w:val="00CD4FB9"/>
    <w:rsid w:val="00CD6972"/>
    <w:rsid w:val="00CF3918"/>
    <w:rsid w:val="00CF5648"/>
    <w:rsid w:val="00CF65B2"/>
    <w:rsid w:val="00D00000"/>
    <w:rsid w:val="00D06BA0"/>
    <w:rsid w:val="00D11067"/>
    <w:rsid w:val="00D14CCF"/>
    <w:rsid w:val="00D14D16"/>
    <w:rsid w:val="00D17C72"/>
    <w:rsid w:val="00D21451"/>
    <w:rsid w:val="00D23979"/>
    <w:rsid w:val="00D24922"/>
    <w:rsid w:val="00D26EFD"/>
    <w:rsid w:val="00D27CDF"/>
    <w:rsid w:val="00D35DEE"/>
    <w:rsid w:val="00D3615A"/>
    <w:rsid w:val="00D37121"/>
    <w:rsid w:val="00D41918"/>
    <w:rsid w:val="00D42DA6"/>
    <w:rsid w:val="00D475B2"/>
    <w:rsid w:val="00D50603"/>
    <w:rsid w:val="00D5737D"/>
    <w:rsid w:val="00D602B9"/>
    <w:rsid w:val="00D6252A"/>
    <w:rsid w:val="00D75A15"/>
    <w:rsid w:val="00D763E5"/>
    <w:rsid w:val="00D764CB"/>
    <w:rsid w:val="00D77377"/>
    <w:rsid w:val="00D85E94"/>
    <w:rsid w:val="00D8718A"/>
    <w:rsid w:val="00D901CD"/>
    <w:rsid w:val="00D90337"/>
    <w:rsid w:val="00D9040F"/>
    <w:rsid w:val="00D928D4"/>
    <w:rsid w:val="00D93AB0"/>
    <w:rsid w:val="00D94F48"/>
    <w:rsid w:val="00DA17F8"/>
    <w:rsid w:val="00DA1B85"/>
    <w:rsid w:val="00DA259B"/>
    <w:rsid w:val="00DA35ED"/>
    <w:rsid w:val="00DB10CD"/>
    <w:rsid w:val="00DB14AD"/>
    <w:rsid w:val="00DB2697"/>
    <w:rsid w:val="00DB6780"/>
    <w:rsid w:val="00DC0C42"/>
    <w:rsid w:val="00DC4CEA"/>
    <w:rsid w:val="00DC55A8"/>
    <w:rsid w:val="00DC68A0"/>
    <w:rsid w:val="00DC6D4D"/>
    <w:rsid w:val="00DD0F30"/>
    <w:rsid w:val="00DD626F"/>
    <w:rsid w:val="00DD74D7"/>
    <w:rsid w:val="00DE30AE"/>
    <w:rsid w:val="00DE4A87"/>
    <w:rsid w:val="00DE5A70"/>
    <w:rsid w:val="00DE5B06"/>
    <w:rsid w:val="00DE6F77"/>
    <w:rsid w:val="00DF232D"/>
    <w:rsid w:val="00DF44E8"/>
    <w:rsid w:val="00DF6E8C"/>
    <w:rsid w:val="00E00676"/>
    <w:rsid w:val="00E00D94"/>
    <w:rsid w:val="00E11465"/>
    <w:rsid w:val="00E165B8"/>
    <w:rsid w:val="00E21063"/>
    <w:rsid w:val="00E23D8B"/>
    <w:rsid w:val="00E30BB0"/>
    <w:rsid w:val="00E321DA"/>
    <w:rsid w:val="00E34E59"/>
    <w:rsid w:val="00E378BD"/>
    <w:rsid w:val="00E43117"/>
    <w:rsid w:val="00E43AAC"/>
    <w:rsid w:val="00E43B86"/>
    <w:rsid w:val="00E4423D"/>
    <w:rsid w:val="00E453CC"/>
    <w:rsid w:val="00E51BA4"/>
    <w:rsid w:val="00E52152"/>
    <w:rsid w:val="00E54206"/>
    <w:rsid w:val="00E57550"/>
    <w:rsid w:val="00E61974"/>
    <w:rsid w:val="00E6372C"/>
    <w:rsid w:val="00E63CF3"/>
    <w:rsid w:val="00E64607"/>
    <w:rsid w:val="00E6538A"/>
    <w:rsid w:val="00E67A2E"/>
    <w:rsid w:val="00E67C22"/>
    <w:rsid w:val="00E714B8"/>
    <w:rsid w:val="00E71A6E"/>
    <w:rsid w:val="00E72681"/>
    <w:rsid w:val="00E7343D"/>
    <w:rsid w:val="00E7347E"/>
    <w:rsid w:val="00E75460"/>
    <w:rsid w:val="00E7667F"/>
    <w:rsid w:val="00E77D1A"/>
    <w:rsid w:val="00E84AC7"/>
    <w:rsid w:val="00E84C70"/>
    <w:rsid w:val="00E8510B"/>
    <w:rsid w:val="00E852F1"/>
    <w:rsid w:val="00E878A2"/>
    <w:rsid w:val="00E87E92"/>
    <w:rsid w:val="00E95880"/>
    <w:rsid w:val="00E96B60"/>
    <w:rsid w:val="00EA1D01"/>
    <w:rsid w:val="00EA1F26"/>
    <w:rsid w:val="00EA2485"/>
    <w:rsid w:val="00EA24C7"/>
    <w:rsid w:val="00EA682F"/>
    <w:rsid w:val="00EA6C59"/>
    <w:rsid w:val="00EA6EB0"/>
    <w:rsid w:val="00EA785F"/>
    <w:rsid w:val="00EB09E4"/>
    <w:rsid w:val="00EB379F"/>
    <w:rsid w:val="00EB6DD1"/>
    <w:rsid w:val="00EB6DE2"/>
    <w:rsid w:val="00EB7C06"/>
    <w:rsid w:val="00EC20BF"/>
    <w:rsid w:val="00ED0438"/>
    <w:rsid w:val="00ED22D9"/>
    <w:rsid w:val="00ED25F7"/>
    <w:rsid w:val="00ED372D"/>
    <w:rsid w:val="00ED58E0"/>
    <w:rsid w:val="00ED695C"/>
    <w:rsid w:val="00EE406A"/>
    <w:rsid w:val="00EE409C"/>
    <w:rsid w:val="00EE4C7D"/>
    <w:rsid w:val="00EE4D17"/>
    <w:rsid w:val="00EE6661"/>
    <w:rsid w:val="00EF08AE"/>
    <w:rsid w:val="00EF22B3"/>
    <w:rsid w:val="00EF6E6F"/>
    <w:rsid w:val="00F0051D"/>
    <w:rsid w:val="00F01157"/>
    <w:rsid w:val="00F03B47"/>
    <w:rsid w:val="00F05737"/>
    <w:rsid w:val="00F069BA"/>
    <w:rsid w:val="00F07C2A"/>
    <w:rsid w:val="00F10C7E"/>
    <w:rsid w:val="00F13C5A"/>
    <w:rsid w:val="00F148AF"/>
    <w:rsid w:val="00F150FB"/>
    <w:rsid w:val="00F15627"/>
    <w:rsid w:val="00F170DA"/>
    <w:rsid w:val="00F22AD3"/>
    <w:rsid w:val="00F24C90"/>
    <w:rsid w:val="00F30C09"/>
    <w:rsid w:val="00F3311B"/>
    <w:rsid w:val="00F33CC2"/>
    <w:rsid w:val="00F349CD"/>
    <w:rsid w:val="00F35993"/>
    <w:rsid w:val="00F45CD8"/>
    <w:rsid w:val="00F47349"/>
    <w:rsid w:val="00F474F5"/>
    <w:rsid w:val="00F51FFB"/>
    <w:rsid w:val="00F55F1A"/>
    <w:rsid w:val="00F57174"/>
    <w:rsid w:val="00F572E3"/>
    <w:rsid w:val="00F57E3A"/>
    <w:rsid w:val="00F66F3B"/>
    <w:rsid w:val="00F67AB3"/>
    <w:rsid w:val="00F7430C"/>
    <w:rsid w:val="00F74441"/>
    <w:rsid w:val="00F7565D"/>
    <w:rsid w:val="00F75C42"/>
    <w:rsid w:val="00F760A4"/>
    <w:rsid w:val="00F7637E"/>
    <w:rsid w:val="00F7729D"/>
    <w:rsid w:val="00F8547B"/>
    <w:rsid w:val="00F86F8A"/>
    <w:rsid w:val="00F90A6A"/>
    <w:rsid w:val="00F90E6C"/>
    <w:rsid w:val="00F925D9"/>
    <w:rsid w:val="00F92943"/>
    <w:rsid w:val="00F948B8"/>
    <w:rsid w:val="00F96CF5"/>
    <w:rsid w:val="00F96EE1"/>
    <w:rsid w:val="00FA2925"/>
    <w:rsid w:val="00FB027A"/>
    <w:rsid w:val="00FB30DA"/>
    <w:rsid w:val="00FB367A"/>
    <w:rsid w:val="00FB46E6"/>
    <w:rsid w:val="00FC2FC0"/>
    <w:rsid w:val="00FC30B9"/>
    <w:rsid w:val="00FC3C99"/>
    <w:rsid w:val="00FD0870"/>
    <w:rsid w:val="00FD1402"/>
    <w:rsid w:val="00FD1926"/>
    <w:rsid w:val="00FD2A08"/>
    <w:rsid w:val="00FD65FB"/>
    <w:rsid w:val="00FE1CD5"/>
    <w:rsid w:val="00FE27A5"/>
    <w:rsid w:val="00FE5330"/>
    <w:rsid w:val="00FE5B5B"/>
    <w:rsid w:val="00FF10B0"/>
    <w:rsid w:val="00FF3217"/>
    <w:rsid w:val="00FF5777"/>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silver">
      <v:fill color="silver"/>
      <v:stroke weight="1.5pt"/>
      <v:textbox inset="14.4pt"/>
    </o:shapedefaults>
    <o:shapelayout v:ext="edit">
      <o:idmap v:ext="edit" data="1"/>
    </o:shapelayout>
  </w:shapeDefaults>
  <w:decimalSymbol w:val="."/>
  <w:listSeparator w:val=","/>
  <w14:docId w14:val="3AE01916"/>
  <w15:chartTrackingRefBased/>
  <w15:docId w15:val="{7BEC657C-1265-44F1-9B89-C56C7A3A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120" w:after="60"/>
      <w:ind w:firstLine="0"/>
      <w:outlineLvl w:val="2"/>
    </w:pPr>
    <w:rPr>
      <w:b/>
      <w:smallCaps/>
      <w:szCs w:val="24"/>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rsid w:val="00C30B36"/>
    <w:pPr>
      <w:numPr>
        <w:ilvl w:val="4"/>
        <w:numId w:val="3"/>
      </w:numPr>
      <w:spacing w:before="120" w:after="60"/>
      <w:outlineLvl w:val="4"/>
    </w:pPr>
    <w:rPr>
      <w:b/>
      <w:sz w:val="22"/>
      <w:szCs w:val="22"/>
      <w:u w:val="words"/>
    </w:rPr>
  </w:style>
  <w:style w:type="paragraph" w:styleId="Heading6">
    <w:name w:val="heading 6"/>
    <w:basedOn w:val="Normal"/>
    <w:next w:val="Normal"/>
    <w:qFormat/>
    <w:rsid w:val="00C30B36"/>
    <w:pPr>
      <w:numPr>
        <w:ilvl w:val="5"/>
        <w:numId w:val="3"/>
      </w:numPr>
      <w:spacing w:before="240" w:after="60"/>
      <w:outlineLvl w:val="5"/>
    </w:pPr>
    <w:rPr>
      <w:i/>
      <w:sz w:val="22"/>
    </w:rPr>
  </w:style>
  <w:style w:type="paragraph" w:styleId="Heading7">
    <w:name w:val="heading 7"/>
    <w:basedOn w:val="Normal"/>
    <w:next w:val="Normal"/>
    <w:qFormat/>
    <w:rsid w:val="00C30B36"/>
    <w:pPr>
      <w:numPr>
        <w:ilvl w:val="6"/>
        <w:numId w:val="3"/>
      </w:numPr>
      <w:spacing w:before="240" w:after="60"/>
      <w:outlineLvl w:val="6"/>
    </w:pPr>
    <w:rPr>
      <w:rFonts w:ascii="Arial" w:hAnsi="Arial"/>
    </w:rPr>
  </w:style>
  <w:style w:type="paragraph" w:styleId="Heading8">
    <w:name w:val="heading 8"/>
    <w:basedOn w:val="Normal"/>
    <w:next w:val="Normal"/>
    <w:qFormat/>
    <w:rsid w:val="00C30B36"/>
    <w:pPr>
      <w:numPr>
        <w:ilvl w:val="7"/>
        <w:numId w:val="3"/>
      </w:numPr>
      <w:spacing w:before="240" w:after="60"/>
      <w:outlineLvl w:val="7"/>
    </w:pPr>
    <w:rPr>
      <w:rFonts w:ascii="Arial" w:hAnsi="Arial"/>
      <w:i/>
    </w:rPr>
  </w:style>
  <w:style w:type="paragraph" w:styleId="Heading9">
    <w:name w:val="heading 9"/>
    <w:basedOn w:val="Normal"/>
    <w:next w:val="Normal"/>
    <w:qFormat/>
    <w:rsid w:val="00C30B36"/>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lang w:val="es-ES_tradnl"/>
    </w:rPr>
  </w:style>
  <w:style w:type="paragraph" w:customStyle="1" w:styleId="ABBR">
    <w:name w:val="ABBR"/>
    <w:basedOn w:val="Annex"/>
  </w:style>
  <w:style w:type="paragraph" w:customStyle="1" w:styleId="AbbrDesc">
    <w:name w:val="AbbrDesc"/>
    <w:basedOn w:val="Normal"/>
    <w:pPr>
      <w:tabs>
        <w:tab w:val="left" w:pos="3060"/>
      </w:tabs>
      <w:jc w:val="both"/>
    </w:pPr>
    <w:rPr>
      <w:lang w:val="es-ES_tradnl"/>
    </w:rPr>
  </w:style>
  <w:style w:type="paragraph" w:styleId="BodyText">
    <w:name w:val="Body Text"/>
    <w:basedOn w:val="Normal"/>
    <w:pPr>
      <w:tabs>
        <w:tab w:val="left" w:pos="3060"/>
      </w:tabs>
      <w:jc w:val="center"/>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style>
  <w:style w:type="paragraph" w:customStyle="1" w:styleId="Chapter">
    <w:name w:val="Chapter"/>
    <w:basedOn w:val="Normal"/>
    <w:next w:val="Normal"/>
    <w:rsid w:val="00C30B36"/>
    <w:pPr>
      <w:keepNext/>
      <w:numPr>
        <w:numId w:val="2"/>
      </w:numPr>
      <w:tabs>
        <w:tab w:val="clear" w:pos="2088"/>
        <w:tab w:val="num" w:pos="648"/>
        <w:tab w:val="left" w:pos="1440"/>
      </w:tabs>
      <w:spacing w:before="240" w:after="240"/>
      <w:ind w:left="0"/>
      <w:jc w:val="center"/>
    </w:pPr>
    <w:rPr>
      <w:b/>
      <w:smallCaps/>
      <w:lang w:val="es-ES"/>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next w:val="Normal"/>
    <w:rsid w:val="00C30B36"/>
    <w:pPr>
      <w:keepNext/>
      <w:numPr>
        <w:numId w:val="3"/>
      </w:numPr>
      <w:tabs>
        <w:tab w:val="left" w:pos="0"/>
        <w:tab w:val="left" w:pos="86"/>
      </w:tabs>
      <w:spacing w:before="120" w:after="120"/>
    </w:pPr>
    <w:rPr>
      <w:b/>
      <w:lang w:val="es-ES"/>
    </w:rPr>
  </w:style>
  <w:style w:type="paragraph" w:styleId="Footer">
    <w:name w:val="footer"/>
    <w:basedOn w:val="Normal"/>
    <w:pPr>
      <w:tabs>
        <w:tab w:val="center" w:pos="4320"/>
        <w:tab w:val="right" w:pos="8640"/>
      </w:tabs>
    </w:pPr>
  </w:style>
  <w:style w:type="paragraph" w:styleId="FootnoteText">
    <w:name w:val="footnote text"/>
    <w:aliases w:val="fn,foottextfra,footnote,F"/>
    <w:basedOn w:val="Normal"/>
    <w:semiHidden/>
    <w:pPr>
      <w:keepNext/>
      <w:keepLines/>
      <w:spacing w:after="120"/>
      <w:ind w:left="288" w:hanging="288"/>
      <w:jc w:val="both"/>
    </w:pPr>
    <w:rPr>
      <w:spacing w:val="-3"/>
      <w:sz w:val="20"/>
    </w:rPr>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tyle>
  <w:style w:type="paragraph" w:customStyle="1" w:styleId="MasterSourceText">
    <w:name w:val="Master_SourceText"/>
    <w:basedOn w:val="Normal"/>
    <w:pPr>
      <w:tabs>
        <w:tab w:val="left" w:pos="1440"/>
      </w:tabs>
      <w:ind w:left="1440" w:hanging="720"/>
      <w:jc w:val="both"/>
    </w:pPr>
    <w:rPr>
      <w:sz w:val="20"/>
      <w:lang w:val="es-ES_tradnl"/>
    </w:rPr>
  </w:style>
  <w:style w:type="paragraph" w:customStyle="1" w:styleId="Newpage">
    <w:name w:val="Newpage"/>
    <w:basedOn w:val="Chapter"/>
    <w:pPr>
      <w:numPr>
        <w:numId w:val="0"/>
      </w:numPr>
      <w:tabs>
        <w:tab w:val="clear" w:pos="1440"/>
        <w:tab w:val="left" w:pos="3060"/>
      </w:tabs>
      <w:spacing w:after="0"/>
    </w:pPr>
  </w:style>
  <w:style w:type="character" w:styleId="PageNumber">
    <w:name w:val="page number"/>
    <w:basedOn w:val="DefaultParagraphFont"/>
  </w:style>
  <w:style w:type="paragraph" w:customStyle="1" w:styleId="Paragraph">
    <w:name w:val="Paragraph"/>
    <w:aliases w:val="paragraph,p,PARAGRAPH,PG,pa,at"/>
    <w:basedOn w:val="BodyTextIndent"/>
    <w:link w:val="ParagraphChar"/>
    <w:qFormat/>
    <w:rsid w:val="00C30B36"/>
    <w:pPr>
      <w:numPr>
        <w:ilvl w:val="1"/>
        <w:numId w:val="2"/>
      </w:numPr>
      <w:spacing w:before="120"/>
      <w:jc w:val="both"/>
      <w:outlineLvl w:val="1"/>
    </w:pPr>
    <w:rPr>
      <w:lang w:val="es-ES"/>
    </w:rPr>
  </w:style>
  <w:style w:type="paragraph" w:customStyle="1" w:styleId="RegheadTab">
    <w:name w:val="RegheadTab"/>
    <w:basedOn w:val="FirstHeading"/>
    <w:pPr>
      <w:numPr>
        <w:numId w:val="0"/>
      </w:numPr>
      <w:tabs>
        <w:tab w:val="num" w:pos="504"/>
      </w:tabs>
      <w:spacing w:after="0"/>
      <w:ind w:left="504" w:hanging="504"/>
      <w:jc w:val="center"/>
    </w:pPr>
  </w:style>
  <w:style w:type="paragraph" w:customStyle="1" w:styleId="SecHeading">
    <w:name w:val="SecHeading"/>
    <w:basedOn w:val="Normal"/>
    <w:next w:val="Paragraph"/>
    <w:rsid w:val="00C30B36"/>
    <w:pPr>
      <w:keepNext/>
      <w:numPr>
        <w:ilvl w:val="1"/>
        <w:numId w:val="3"/>
      </w:numPr>
      <w:spacing w:before="120" w:after="120"/>
    </w:pPr>
    <w:rPr>
      <w:b/>
      <w:lang w:val="es-ES_tradnl"/>
    </w:rPr>
  </w:style>
  <w:style w:type="paragraph" w:customStyle="1" w:styleId="SubHeading1">
    <w:name w:val="SubHeading1"/>
    <w:basedOn w:val="SecHeading"/>
    <w:rsid w:val="00C30B36"/>
    <w:pPr>
      <w:numPr>
        <w:ilvl w:val="2"/>
      </w:numPr>
      <w:tabs>
        <w:tab w:val="clear" w:pos="5976"/>
        <w:tab w:val="num" w:pos="1872"/>
      </w:tabs>
      <w:ind w:left="1872"/>
    </w:pPr>
  </w:style>
  <w:style w:type="paragraph" w:customStyle="1" w:styleId="Subheading2">
    <w:name w:val="Subheading2"/>
    <w:basedOn w:val="SecHeading"/>
    <w:rsid w:val="00C30B36"/>
    <w:pPr>
      <w:numPr>
        <w:ilvl w:val="3"/>
      </w:numPr>
      <w:tabs>
        <w:tab w:val="clear" w:pos="6480"/>
        <w:tab w:val="num" w:pos="2376"/>
      </w:tabs>
      <w:ind w:left="2376"/>
    </w:pPr>
  </w:style>
  <w:style w:type="paragraph" w:customStyle="1" w:styleId="subpar">
    <w:name w:val="subpar"/>
    <w:basedOn w:val="BodyTextIndent3"/>
    <w:rsid w:val="00C30B36"/>
    <w:pPr>
      <w:numPr>
        <w:ilvl w:val="2"/>
        <w:numId w:val="2"/>
      </w:numPr>
      <w:spacing w:before="120"/>
      <w:jc w:val="both"/>
      <w:outlineLvl w:val="2"/>
    </w:pPr>
    <w:rPr>
      <w:lang w:val="es-ES_tradnl"/>
    </w:rPr>
  </w:style>
  <w:style w:type="paragraph" w:customStyle="1" w:styleId="SubSubPar">
    <w:name w:val="SubSubPar"/>
    <w:basedOn w:val="subpar"/>
    <w:rsid w:val="00C30B36"/>
    <w:pPr>
      <w:numPr>
        <w:ilvl w:val="3"/>
      </w:numPr>
      <w:tabs>
        <w:tab w:val="clear" w:pos="3024"/>
        <w:tab w:val="left" w:pos="0"/>
        <w:tab w:val="num" w:pos="1296"/>
      </w:tabs>
      <w:ind w:left="1296"/>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semiHidden/>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pPr>
      <w:tabs>
        <w:tab w:val="left" w:pos="1728"/>
      </w:tabs>
      <w:ind w:left="1714" w:hanging="562"/>
    </w:pPr>
    <w:rPr>
      <w:lang w:val="es-E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RESET">
    <w:name w:val="RESET"/>
    <w:pPr>
      <w:widowControl w:val="0"/>
      <w:tabs>
        <w:tab w:val="left" w:pos="720"/>
        <w:tab w:val="left" w:pos="1200"/>
        <w:tab w:val="left" w:pos="1680"/>
        <w:tab w:val="right" w:pos="2280"/>
        <w:tab w:val="left" w:pos="2520"/>
        <w:tab w:val="right" w:pos="8760"/>
      </w:tabs>
      <w:suppressAutoHyphens/>
      <w:jc w:val="both"/>
    </w:pPr>
    <w:rPr>
      <w:rFonts w:ascii="Wide Latin" w:hAnsi="Wide Latin"/>
      <w:snapToGrid w:val="0"/>
      <w:spacing w:val="-2"/>
      <w:lang w:eastAsia="en-US"/>
    </w:rPr>
  </w:style>
  <w:style w:type="character" w:customStyle="1" w:styleId="RightPar5">
    <w:name w:val="Right Par 5"/>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lockText">
    <w:name w:val="Block Text"/>
    <w:basedOn w:val="Normal"/>
    <w:pPr>
      <w:ind w:left="90" w:right="-540" w:firstLine="630"/>
    </w:pPr>
    <w:rPr>
      <w:lang w:val="es-AR"/>
    </w:rPr>
  </w:style>
  <w:style w:type="character" w:styleId="CommentReference">
    <w:name w:val="annotation reference"/>
    <w:semiHidden/>
    <w:rsid w:val="00BE4F93"/>
    <w:rPr>
      <w:sz w:val="16"/>
      <w:szCs w:val="16"/>
    </w:rPr>
  </w:style>
  <w:style w:type="paragraph" w:styleId="CommentText">
    <w:name w:val="annotation text"/>
    <w:basedOn w:val="Normal"/>
    <w:link w:val="CommentTextChar"/>
    <w:semiHidden/>
    <w:rsid w:val="00BE4F93"/>
    <w:rPr>
      <w:sz w:val="20"/>
    </w:rPr>
  </w:style>
  <w:style w:type="paragraph" w:customStyle="1" w:styleId="Regtable">
    <w:name w:val="Regtable"/>
    <w:basedOn w:val="Normal"/>
    <w:link w:val="RegtableChar"/>
    <w:rsid w:val="00C30B36"/>
    <w:pPr>
      <w:keepLines/>
      <w:framePr w:wrap="around" w:vAnchor="text" w:hAnchor="text" w:y="1"/>
      <w:spacing w:before="20" w:after="20"/>
    </w:pPr>
    <w:rPr>
      <w:sz w:val="20"/>
    </w:rPr>
  </w:style>
  <w:style w:type="character" w:customStyle="1" w:styleId="RegtableChar">
    <w:name w:val="Regtable Char"/>
    <w:basedOn w:val="DefaultParagraphFont"/>
    <w:link w:val="Regtable"/>
    <w:rsid w:val="00C30B36"/>
  </w:style>
  <w:style w:type="paragraph" w:customStyle="1" w:styleId="TableTitle">
    <w:name w:val="TableTitle"/>
    <w:basedOn w:val="Normal"/>
    <w:link w:val="TableTitleChar"/>
    <w:rsid w:val="00C30B36"/>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C30B36"/>
    <w:rPr>
      <w:rFonts w:ascii="Times New Roman Bold" w:hAnsi="Times New Roman Bold"/>
      <w:b/>
      <w:spacing w:val="-3"/>
    </w:rPr>
  </w:style>
  <w:style w:type="paragraph" w:styleId="CommentSubject">
    <w:name w:val="annotation subject"/>
    <w:basedOn w:val="CommentText"/>
    <w:next w:val="CommentText"/>
    <w:link w:val="CommentSubjectChar"/>
    <w:rsid w:val="004F152B"/>
    <w:rPr>
      <w:b/>
      <w:bCs/>
    </w:rPr>
  </w:style>
  <w:style w:type="character" w:customStyle="1" w:styleId="CommentTextChar">
    <w:name w:val="Comment Text Char"/>
    <w:link w:val="CommentText"/>
    <w:semiHidden/>
    <w:rsid w:val="004F152B"/>
    <w:rPr>
      <w:lang w:eastAsia="en-US"/>
    </w:rPr>
  </w:style>
  <w:style w:type="character" w:customStyle="1" w:styleId="CommentSubjectChar">
    <w:name w:val="Comment Subject Char"/>
    <w:link w:val="CommentSubject"/>
    <w:rsid w:val="004F152B"/>
    <w:rPr>
      <w:b/>
      <w:bCs/>
      <w:lang w:eastAsia="en-US"/>
    </w:rPr>
  </w:style>
  <w:style w:type="character" w:customStyle="1" w:styleId="ParagraphChar">
    <w:name w:val="Paragraph Char"/>
    <w:link w:val="Paragraph"/>
    <w:locked/>
    <w:rsid w:val="00083CA4"/>
    <w:rPr>
      <w:sz w:val="24"/>
      <w:lang w:val="es-ES" w:eastAsia="en-US"/>
    </w:rPr>
  </w:style>
  <w:style w:type="paragraph" w:styleId="Revision">
    <w:name w:val="Revision"/>
    <w:hidden/>
    <w:uiPriority w:val="99"/>
    <w:semiHidden/>
    <w:rsid w:val="00D602B9"/>
    <w:rPr>
      <w:sz w:val="24"/>
      <w:lang w:eastAsia="en-US"/>
    </w:rPr>
  </w:style>
  <w:style w:type="table" w:styleId="TableGrid">
    <w:name w:val="Table Grid"/>
    <w:basedOn w:val="TableNormal"/>
    <w:uiPriority w:val="59"/>
    <w:rsid w:val="003D5B94"/>
    <w:rPr>
      <w:rFonts w:ascii="Calibri" w:eastAsia="Calibri" w:hAnsi="Calibri"/>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5B94"/>
    <w:pPr>
      <w:ind w:left="720"/>
      <w:contextualSpacing/>
    </w:pPr>
    <w:rPr>
      <w:rFonts w:eastAsia="Times New Roman"/>
      <w:szCs w:val="24"/>
      <w:lang w:val="es-ES" w:eastAsia="es-ES"/>
    </w:rPr>
  </w:style>
  <w:style w:type="character" w:styleId="PlaceholderText">
    <w:name w:val="Placeholder Text"/>
    <w:basedOn w:val="DefaultParagraphFont"/>
    <w:uiPriority w:val="99"/>
    <w:semiHidden/>
    <w:rsid w:val="00BE3A3F"/>
    <w:rPr>
      <w:color w:val="808080"/>
    </w:rPr>
  </w:style>
  <w:style w:type="character" w:customStyle="1" w:styleId="HeaderChar">
    <w:name w:val="Header Char"/>
    <w:basedOn w:val="DefaultParagraphFont"/>
    <w:link w:val="Header"/>
    <w:uiPriority w:val="99"/>
    <w:rsid w:val="00045050"/>
    <w:rPr>
      <w:sz w:val="24"/>
      <w:lang w:eastAsia="en-US"/>
    </w:rPr>
  </w:style>
  <w:style w:type="character" w:styleId="UnresolvedMention">
    <w:name w:val="Unresolved Mention"/>
    <w:basedOn w:val="DefaultParagraphFont"/>
    <w:uiPriority w:val="99"/>
    <w:semiHidden/>
    <w:unhideWhenUsed/>
    <w:rsid w:val="00B679FA"/>
    <w:rPr>
      <w:color w:val="808080"/>
      <w:shd w:val="clear" w:color="auto" w:fill="E6E6E6"/>
    </w:rPr>
  </w:style>
  <w:style w:type="paragraph" w:customStyle="1" w:styleId="Default">
    <w:name w:val="Default"/>
    <w:rsid w:val="00FF7FD8"/>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1856">
      <w:bodyDiv w:val="1"/>
      <w:marLeft w:val="0"/>
      <w:marRight w:val="0"/>
      <w:marTop w:val="0"/>
      <w:marBottom w:val="0"/>
      <w:divBdr>
        <w:top w:val="none" w:sz="0" w:space="0" w:color="auto"/>
        <w:left w:val="none" w:sz="0" w:space="0" w:color="auto"/>
        <w:bottom w:val="none" w:sz="0" w:space="0" w:color="auto"/>
        <w:right w:val="none" w:sz="0" w:space="0" w:color="auto"/>
      </w:divBdr>
    </w:div>
    <w:div w:id="124586874">
      <w:bodyDiv w:val="1"/>
      <w:marLeft w:val="0"/>
      <w:marRight w:val="0"/>
      <w:marTop w:val="0"/>
      <w:marBottom w:val="0"/>
      <w:divBdr>
        <w:top w:val="none" w:sz="0" w:space="0" w:color="auto"/>
        <w:left w:val="none" w:sz="0" w:space="0" w:color="auto"/>
        <w:bottom w:val="none" w:sz="0" w:space="0" w:color="auto"/>
        <w:right w:val="none" w:sz="0" w:space="0" w:color="auto"/>
      </w:divBdr>
    </w:div>
    <w:div w:id="135071076">
      <w:bodyDiv w:val="1"/>
      <w:marLeft w:val="0"/>
      <w:marRight w:val="0"/>
      <w:marTop w:val="0"/>
      <w:marBottom w:val="0"/>
      <w:divBdr>
        <w:top w:val="none" w:sz="0" w:space="0" w:color="auto"/>
        <w:left w:val="none" w:sz="0" w:space="0" w:color="auto"/>
        <w:bottom w:val="none" w:sz="0" w:space="0" w:color="auto"/>
        <w:right w:val="none" w:sz="0" w:space="0" w:color="auto"/>
      </w:divBdr>
    </w:div>
    <w:div w:id="155075466">
      <w:bodyDiv w:val="1"/>
      <w:marLeft w:val="0"/>
      <w:marRight w:val="0"/>
      <w:marTop w:val="0"/>
      <w:marBottom w:val="0"/>
      <w:divBdr>
        <w:top w:val="none" w:sz="0" w:space="0" w:color="auto"/>
        <w:left w:val="none" w:sz="0" w:space="0" w:color="auto"/>
        <w:bottom w:val="none" w:sz="0" w:space="0" w:color="auto"/>
        <w:right w:val="none" w:sz="0" w:space="0" w:color="auto"/>
      </w:divBdr>
    </w:div>
    <w:div w:id="187792412">
      <w:bodyDiv w:val="1"/>
      <w:marLeft w:val="0"/>
      <w:marRight w:val="0"/>
      <w:marTop w:val="0"/>
      <w:marBottom w:val="0"/>
      <w:divBdr>
        <w:top w:val="none" w:sz="0" w:space="0" w:color="auto"/>
        <w:left w:val="none" w:sz="0" w:space="0" w:color="auto"/>
        <w:bottom w:val="none" w:sz="0" w:space="0" w:color="auto"/>
        <w:right w:val="none" w:sz="0" w:space="0" w:color="auto"/>
      </w:divBdr>
    </w:div>
    <w:div w:id="224264761">
      <w:bodyDiv w:val="1"/>
      <w:marLeft w:val="0"/>
      <w:marRight w:val="0"/>
      <w:marTop w:val="0"/>
      <w:marBottom w:val="0"/>
      <w:divBdr>
        <w:top w:val="none" w:sz="0" w:space="0" w:color="auto"/>
        <w:left w:val="none" w:sz="0" w:space="0" w:color="auto"/>
        <w:bottom w:val="none" w:sz="0" w:space="0" w:color="auto"/>
        <w:right w:val="none" w:sz="0" w:space="0" w:color="auto"/>
      </w:divBdr>
    </w:div>
    <w:div w:id="231546798">
      <w:bodyDiv w:val="1"/>
      <w:marLeft w:val="0"/>
      <w:marRight w:val="0"/>
      <w:marTop w:val="0"/>
      <w:marBottom w:val="0"/>
      <w:divBdr>
        <w:top w:val="none" w:sz="0" w:space="0" w:color="auto"/>
        <w:left w:val="none" w:sz="0" w:space="0" w:color="auto"/>
        <w:bottom w:val="none" w:sz="0" w:space="0" w:color="auto"/>
        <w:right w:val="none" w:sz="0" w:space="0" w:color="auto"/>
      </w:divBdr>
    </w:div>
    <w:div w:id="236137884">
      <w:bodyDiv w:val="1"/>
      <w:marLeft w:val="0"/>
      <w:marRight w:val="0"/>
      <w:marTop w:val="0"/>
      <w:marBottom w:val="0"/>
      <w:divBdr>
        <w:top w:val="none" w:sz="0" w:space="0" w:color="auto"/>
        <w:left w:val="none" w:sz="0" w:space="0" w:color="auto"/>
        <w:bottom w:val="none" w:sz="0" w:space="0" w:color="auto"/>
        <w:right w:val="none" w:sz="0" w:space="0" w:color="auto"/>
      </w:divBdr>
    </w:div>
    <w:div w:id="296303793">
      <w:bodyDiv w:val="1"/>
      <w:marLeft w:val="0"/>
      <w:marRight w:val="0"/>
      <w:marTop w:val="0"/>
      <w:marBottom w:val="0"/>
      <w:divBdr>
        <w:top w:val="none" w:sz="0" w:space="0" w:color="auto"/>
        <w:left w:val="none" w:sz="0" w:space="0" w:color="auto"/>
        <w:bottom w:val="none" w:sz="0" w:space="0" w:color="auto"/>
        <w:right w:val="none" w:sz="0" w:space="0" w:color="auto"/>
      </w:divBdr>
    </w:div>
    <w:div w:id="302123662">
      <w:bodyDiv w:val="1"/>
      <w:marLeft w:val="0"/>
      <w:marRight w:val="0"/>
      <w:marTop w:val="0"/>
      <w:marBottom w:val="0"/>
      <w:divBdr>
        <w:top w:val="none" w:sz="0" w:space="0" w:color="auto"/>
        <w:left w:val="none" w:sz="0" w:space="0" w:color="auto"/>
        <w:bottom w:val="none" w:sz="0" w:space="0" w:color="auto"/>
        <w:right w:val="none" w:sz="0" w:space="0" w:color="auto"/>
      </w:divBdr>
    </w:div>
    <w:div w:id="302778384">
      <w:bodyDiv w:val="1"/>
      <w:marLeft w:val="0"/>
      <w:marRight w:val="0"/>
      <w:marTop w:val="0"/>
      <w:marBottom w:val="0"/>
      <w:divBdr>
        <w:top w:val="none" w:sz="0" w:space="0" w:color="auto"/>
        <w:left w:val="none" w:sz="0" w:space="0" w:color="auto"/>
        <w:bottom w:val="none" w:sz="0" w:space="0" w:color="auto"/>
        <w:right w:val="none" w:sz="0" w:space="0" w:color="auto"/>
      </w:divBdr>
    </w:div>
    <w:div w:id="306588787">
      <w:bodyDiv w:val="1"/>
      <w:marLeft w:val="0"/>
      <w:marRight w:val="0"/>
      <w:marTop w:val="0"/>
      <w:marBottom w:val="0"/>
      <w:divBdr>
        <w:top w:val="none" w:sz="0" w:space="0" w:color="auto"/>
        <w:left w:val="none" w:sz="0" w:space="0" w:color="auto"/>
        <w:bottom w:val="none" w:sz="0" w:space="0" w:color="auto"/>
        <w:right w:val="none" w:sz="0" w:space="0" w:color="auto"/>
      </w:divBdr>
    </w:div>
    <w:div w:id="310908657">
      <w:bodyDiv w:val="1"/>
      <w:marLeft w:val="0"/>
      <w:marRight w:val="0"/>
      <w:marTop w:val="0"/>
      <w:marBottom w:val="0"/>
      <w:divBdr>
        <w:top w:val="none" w:sz="0" w:space="0" w:color="auto"/>
        <w:left w:val="none" w:sz="0" w:space="0" w:color="auto"/>
        <w:bottom w:val="none" w:sz="0" w:space="0" w:color="auto"/>
        <w:right w:val="none" w:sz="0" w:space="0" w:color="auto"/>
      </w:divBdr>
    </w:div>
    <w:div w:id="326635579">
      <w:bodyDiv w:val="1"/>
      <w:marLeft w:val="0"/>
      <w:marRight w:val="0"/>
      <w:marTop w:val="0"/>
      <w:marBottom w:val="0"/>
      <w:divBdr>
        <w:top w:val="none" w:sz="0" w:space="0" w:color="auto"/>
        <w:left w:val="none" w:sz="0" w:space="0" w:color="auto"/>
        <w:bottom w:val="none" w:sz="0" w:space="0" w:color="auto"/>
        <w:right w:val="none" w:sz="0" w:space="0" w:color="auto"/>
      </w:divBdr>
    </w:div>
    <w:div w:id="355931107">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91387499">
      <w:bodyDiv w:val="1"/>
      <w:marLeft w:val="0"/>
      <w:marRight w:val="0"/>
      <w:marTop w:val="0"/>
      <w:marBottom w:val="0"/>
      <w:divBdr>
        <w:top w:val="none" w:sz="0" w:space="0" w:color="auto"/>
        <w:left w:val="none" w:sz="0" w:space="0" w:color="auto"/>
        <w:bottom w:val="none" w:sz="0" w:space="0" w:color="auto"/>
        <w:right w:val="none" w:sz="0" w:space="0" w:color="auto"/>
      </w:divBdr>
    </w:div>
    <w:div w:id="394014783">
      <w:bodyDiv w:val="1"/>
      <w:marLeft w:val="0"/>
      <w:marRight w:val="0"/>
      <w:marTop w:val="0"/>
      <w:marBottom w:val="0"/>
      <w:divBdr>
        <w:top w:val="none" w:sz="0" w:space="0" w:color="auto"/>
        <w:left w:val="none" w:sz="0" w:space="0" w:color="auto"/>
        <w:bottom w:val="none" w:sz="0" w:space="0" w:color="auto"/>
        <w:right w:val="none" w:sz="0" w:space="0" w:color="auto"/>
      </w:divBdr>
    </w:div>
    <w:div w:id="423772542">
      <w:bodyDiv w:val="1"/>
      <w:marLeft w:val="0"/>
      <w:marRight w:val="0"/>
      <w:marTop w:val="0"/>
      <w:marBottom w:val="0"/>
      <w:divBdr>
        <w:top w:val="none" w:sz="0" w:space="0" w:color="auto"/>
        <w:left w:val="none" w:sz="0" w:space="0" w:color="auto"/>
        <w:bottom w:val="none" w:sz="0" w:space="0" w:color="auto"/>
        <w:right w:val="none" w:sz="0" w:space="0" w:color="auto"/>
      </w:divBdr>
    </w:div>
    <w:div w:id="468745376">
      <w:bodyDiv w:val="1"/>
      <w:marLeft w:val="0"/>
      <w:marRight w:val="0"/>
      <w:marTop w:val="0"/>
      <w:marBottom w:val="0"/>
      <w:divBdr>
        <w:top w:val="none" w:sz="0" w:space="0" w:color="auto"/>
        <w:left w:val="none" w:sz="0" w:space="0" w:color="auto"/>
        <w:bottom w:val="none" w:sz="0" w:space="0" w:color="auto"/>
        <w:right w:val="none" w:sz="0" w:space="0" w:color="auto"/>
      </w:divBdr>
    </w:div>
    <w:div w:id="510412770">
      <w:bodyDiv w:val="1"/>
      <w:marLeft w:val="0"/>
      <w:marRight w:val="0"/>
      <w:marTop w:val="0"/>
      <w:marBottom w:val="0"/>
      <w:divBdr>
        <w:top w:val="none" w:sz="0" w:space="0" w:color="auto"/>
        <w:left w:val="none" w:sz="0" w:space="0" w:color="auto"/>
        <w:bottom w:val="none" w:sz="0" w:space="0" w:color="auto"/>
        <w:right w:val="none" w:sz="0" w:space="0" w:color="auto"/>
      </w:divBdr>
    </w:div>
    <w:div w:id="557865801">
      <w:bodyDiv w:val="1"/>
      <w:marLeft w:val="0"/>
      <w:marRight w:val="0"/>
      <w:marTop w:val="0"/>
      <w:marBottom w:val="0"/>
      <w:divBdr>
        <w:top w:val="none" w:sz="0" w:space="0" w:color="auto"/>
        <w:left w:val="none" w:sz="0" w:space="0" w:color="auto"/>
        <w:bottom w:val="none" w:sz="0" w:space="0" w:color="auto"/>
        <w:right w:val="none" w:sz="0" w:space="0" w:color="auto"/>
      </w:divBdr>
    </w:div>
    <w:div w:id="571238811">
      <w:bodyDiv w:val="1"/>
      <w:marLeft w:val="0"/>
      <w:marRight w:val="0"/>
      <w:marTop w:val="0"/>
      <w:marBottom w:val="0"/>
      <w:divBdr>
        <w:top w:val="none" w:sz="0" w:space="0" w:color="auto"/>
        <w:left w:val="none" w:sz="0" w:space="0" w:color="auto"/>
        <w:bottom w:val="none" w:sz="0" w:space="0" w:color="auto"/>
        <w:right w:val="none" w:sz="0" w:space="0" w:color="auto"/>
      </w:divBdr>
    </w:div>
    <w:div w:id="596909248">
      <w:bodyDiv w:val="1"/>
      <w:marLeft w:val="0"/>
      <w:marRight w:val="0"/>
      <w:marTop w:val="0"/>
      <w:marBottom w:val="0"/>
      <w:divBdr>
        <w:top w:val="none" w:sz="0" w:space="0" w:color="auto"/>
        <w:left w:val="none" w:sz="0" w:space="0" w:color="auto"/>
        <w:bottom w:val="none" w:sz="0" w:space="0" w:color="auto"/>
        <w:right w:val="none" w:sz="0" w:space="0" w:color="auto"/>
      </w:divBdr>
    </w:div>
    <w:div w:id="600844677">
      <w:bodyDiv w:val="1"/>
      <w:marLeft w:val="0"/>
      <w:marRight w:val="0"/>
      <w:marTop w:val="0"/>
      <w:marBottom w:val="0"/>
      <w:divBdr>
        <w:top w:val="none" w:sz="0" w:space="0" w:color="auto"/>
        <w:left w:val="none" w:sz="0" w:space="0" w:color="auto"/>
        <w:bottom w:val="none" w:sz="0" w:space="0" w:color="auto"/>
        <w:right w:val="none" w:sz="0" w:space="0" w:color="auto"/>
      </w:divBdr>
    </w:div>
    <w:div w:id="629439576">
      <w:bodyDiv w:val="1"/>
      <w:marLeft w:val="0"/>
      <w:marRight w:val="0"/>
      <w:marTop w:val="0"/>
      <w:marBottom w:val="0"/>
      <w:divBdr>
        <w:top w:val="none" w:sz="0" w:space="0" w:color="auto"/>
        <w:left w:val="none" w:sz="0" w:space="0" w:color="auto"/>
        <w:bottom w:val="none" w:sz="0" w:space="0" w:color="auto"/>
        <w:right w:val="none" w:sz="0" w:space="0" w:color="auto"/>
      </w:divBdr>
    </w:div>
    <w:div w:id="634026028">
      <w:bodyDiv w:val="1"/>
      <w:marLeft w:val="0"/>
      <w:marRight w:val="0"/>
      <w:marTop w:val="0"/>
      <w:marBottom w:val="0"/>
      <w:divBdr>
        <w:top w:val="none" w:sz="0" w:space="0" w:color="auto"/>
        <w:left w:val="none" w:sz="0" w:space="0" w:color="auto"/>
        <w:bottom w:val="none" w:sz="0" w:space="0" w:color="auto"/>
        <w:right w:val="none" w:sz="0" w:space="0" w:color="auto"/>
      </w:divBdr>
    </w:div>
    <w:div w:id="650139090">
      <w:bodyDiv w:val="1"/>
      <w:marLeft w:val="0"/>
      <w:marRight w:val="0"/>
      <w:marTop w:val="0"/>
      <w:marBottom w:val="0"/>
      <w:divBdr>
        <w:top w:val="none" w:sz="0" w:space="0" w:color="auto"/>
        <w:left w:val="none" w:sz="0" w:space="0" w:color="auto"/>
        <w:bottom w:val="none" w:sz="0" w:space="0" w:color="auto"/>
        <w:right w:val="none" w:sz="0" w:space="0" w:color="auto"/>
      </w:divBdr>
    </w:div>
    <w:div w:id="661087247">
      <w:bodyDiv w:val="1"/>
      <w:marLeft w:val="0"/>
      <w:marRight w:val="0"/>
      <w:marTop w:val="0"/>
      <w:marBottom w:val="0"/>
      <w:divBdr>
        <w:top w:val="none" w:sz="0" w:space="0" w:color="auto"/>
        <w:left w:val="none" w:sz="0" w:space="0" w:color="auto"/>
        <w:bottom w:val="none" w:sz="0" w:space="0" w:color="auto"/>
        <w:right w:val="none" w:sz="0" w:space="0" w:color="auto"/>
      </w:divBdr>
    </w:div>
    <w:div w:id="704914546">
      <w:bodyDiv w:val="1"/>
      <w:marLeft w:val="0"/>
      <w:marRight w:val="0"/>
      <w:marTop w:val="0"/>
      <w:marBottom w:val="0"/>
      <w:divBdr>
        <w:top w:val="none" w:sz="0" w:space="0" w:color="auto"/>
        <w:left w:val="none" w:sz="0" w:space="0" w:color="auto"/>
        <w:bottom w:val="none" w:sz="0" w:space="0" w:color="auto"/>
        <w:right w:val="none" w:sz="0" w:space="0" w:color="auto"/>
      </w:divBdr>
    </w:div>
    <w:div w:id="730420043">
      <w:bodyDiv w:val="1"/>
      <w:marLeft w:val="0"/>
      <w:marRight w:val="0"/>
      <w:marTop w:val="0"/>
      <w:marBottom w:val="0"/>
      <w:divBdr>
        <w:top w:val="none" w:sz="0" w:space="0" w:color="auto"/>
        <w:left w:val="none" w:sz="0" w:space="0" w:color="auto"/>
        <w:bottom w:val="none" w:sz="0" w:space="0" w:color="auto"/>
        <w:right w:val="none" w:sz="0" w:space="0" w:color="auto"/>
      </w:divBdr>
    </w:div>
    <w:div w:id="743991819">
      <w:bodyDiv w:val="1"/>
      <w:marLeft w:val="0"/>
      <w:marRight w:val="0"/>
      <w:marTop w:val="0"/>
      <w:marBottom w:val="0"/>
      <w:divBdr>
        <w:top w:val="none" w:sz="0" w:space="0" w:color="auto"/>
        <w:left w:val="none" w:sz="0" w:space="0" w:color="auto"/>
        <w:bottom w:val="none" w:sz="0" w:space="0" w:color="auto"/>
        <w:right w:val="none" w:sz="0" w:space="0" w:color="auto"/>
      </w:divBdr>
    </w:div>
    <w:div w:id="755058262">
      <w:bodyDiv w:val="1"/>
      <w:marLeft w:val="0"/>
      <w:marRight w:val="0"/>
      <w:marTop w:val="0"/>
      <w:marBottom w:val="0"/>
      <w:divBdr>
        <w:top w:val="none" w:sz="0" w:space="0" w:color="auto"/>
        <w:left w:val="none" w:sz="0" w:space="0" w:color="auto"/>
        <w:bottom w:val="none" w:sz="0" w:space="0" w:color="auto"/>
        <w:right w:val="none" w:sz="0" w:space="0" w:color="auto"/>
      </w:divBdr>
    </w:div>
    <w:div w:id="772940513">
      <w:bodyDiv w:val="1"/>
      <w:marLeft w:val="0"/>
      <w:marRight w:val="0"/>
      <w:marTop w:val="0"/>
      <w:marBottom w:val="0"/>
      <w:divBdr>
        <w:top w:val="none" w:sz="0" w:space="0" w:color="auto"/>
        <w:left w:val="none" w:sz="0" w:space="0" w:color="auto"/>
        <w:bottom w:val="none" w:sz="0" w:space="0" w:color="auto"/>
        <w:right w:val="none" w:sz="0" w:space="0" w:color="auto"/>
      </w:divBdr>
    </w:div>
    <w:div w:id="782846496">
      <w:bodyDiv w:val="1"/>
      <w:marLeft w:val="0"/>
      <w:marRight w:val="0"/>
      <w:marTop w:val="0"/>
      <w:marBottom w:val="0"/>
      <w:divBdr>
        <w:top w:val="none" w:sz="0" w:space="0" w:color="auto"/>
        <w:left w:val="none" w:sz="0" w:space="0" w:color="auto"/>
        <w:bottom w:val="none" w:sz="0" w:space="0" w:color="auto"/>
        <w:right w:val="none" w:sz="0" w:space="0" w:color="auto"/>
      </w:divBdr>
    </w:div>
    <w:div w:id="791754196">
      <w:bodyDiv w:val="1"/>
      <w:marLeft w:val="0"/>
      <w:marRight w:val="0"/>
      <w:marTop w:val="0"/>
      <w:marBottom w:val="0"/>
      <w:divBdr>
        <w:top w:val="none" w:sz="0" w:space="0" w:color="auto"/>
        <w:left w:val="none" w:sz="0" w:space="0" w:color="auto"/>
        <w:bottom w:val="none" w:sz="0" w:space="0" w:color="auto"/>
        <w:right w:val="none" w:sz="0" w:space="0" w:color="auto"/>
      </w:divBdr>
    </w:div>
    <w:div w:id="803887151">
      <w:bodyDiv w:val="1"/>
      <w:marLeft w:val="0"/>
      <w:marRight w:val="0"/>
      <w:marTop w:val="0"/>
      <w:marBottom w:val="0"/>
      <w:divBdr>
        <w:top w:val="none" w:sz="0" w:space="0" w:color="auto"/>
        <w:left w:val="none" w:sz="0" w:space="0" w:color="auto"/>
        <w:bottom w:val="none" w:sz="0" w:space="0" w:color="auto"/>
        <w:right w:val="none" w:sz="0" w:space="0" w:color="auto"/>
      </w:divBdr>
    </w:div>
    <w:div w:id="805666006">
      <w:bodyDiv w:val="1"/>
      <w:marLeft w:val="0"/>
      <w:marRight w:val="0"/>
      <w:marTop w:val="0"/>
      <w:marBottom w:val="0"/>
      <w:divBdr>
        <w:top w:val="none" w:sz="0" w:space="0" w:color="auto"/>
        <w:left w:val="none" w:sz="0" w:space="0" w:color="auto"/>
        <w:bottom w:val="none" w:sz="0" w:space="0" w:color="auto"/>
        <w:right w:val="none" w:sz="0" w:space="0" w:color="auto"/>
      </w:divBdr>
    </w:div>
    <w:div w:id="816452733">
      <w:bodyDiv w:val="1"/>
      <w:marLeft w:val="0"/>
      <w:marRight w:val="0"/>
      <w:marTop w:val="0"/>
      <w:marBottom w:val="0"/>
      <w:divBdr>
        <w:top w:val="none" w:sz="0" w:space="0" w:color="auto"/>
        <w:left w:val="none" w:sz="0" w:space="0" w:color="auto"/>
        <w:bottom w:val="none" w:sz="0" w:space="0" w:color="auto"/>
        <w:right w:val="none" w:sz="0" w:space="0" w:color="auto"/>
      </w:divBdr>
    </w:div>
    <w:div w:id="821576791">
      <w:bodyDiv w:val="1"/>
      <w:marLeft w:val="0"/>
      <w:marRight w:val="0"/>
      <w:marTop w:val="0"/>
      <w:marBottom w:val="0"/>
      <w:divBdr>
        <w:top w:val="none" w:sz="0" w:space="0" w:color="auto"/>
        <w:left w:val="none" w:sz="0" w:space="0" w:color="auto"/>
        <w:bottom w:val="none" w:sz="0" w:space="0" w:color="auto"/>
        <w:right w:val="none" w:sz="0" w:space="0" w:color="auto"/>
      </w:divBdr>
    </w:div>
    <w:div w:id="859657624">
      <w:bodyDiv w:val="1"/>
      <w:marLeft w:val="0"/>
      <w:marRight w:val="0"/>
      <w:marTop w:val="0"/>
      <w:marBottom w:val="0"/>
      <w:divBdr>
        <w:top w:val="none" w:sz="0" w:space="0" w:color="auto"/>
        <w:left w:val="none" w:sz="0" w:space="0" w:color="auto"/>
        <w:bottom w:val="none" w:sz="0" w:space="0" w:color="auto"/>
        <w:right w:val="none" w:sz="0" w:space="0" w:color="auto"/>
      </w:divBdr>
    </w:div>
    <w:div w:id="870648761">
      <w:bodyDiv w:val="1"/>
      <w:marLeft w:val="0"/>
      <w:marRight w:val="0"/>
      <w:marTop w:val="0"/>
      <w:marBottom w:val="0"/>
      <w:divBdr>
        <w:top w:val="none" w:sz="0" w:space="0" w:color="auto"/>
        <w:left w:val="none" w:sz="0" w:space="0" w:color="auto"/>
        <w:bottom w:val="none" w:sz="0" w:space="0" w:color="auto"/>
        <w:right w:val="none" w:sz="0" w:space="0" w:color="auto"/>
      </w:divBdr>
    </w:div>
    <w:div w:id="878081305">
      <w:bodyDiv w:val="1"/>
      <w:marLeft w:val="0"/>
      <w:marRight w:val="0"/>
      <w:marTop w:val="0"/>
      <w:marBottom w:val="0"/>
      <w:divBdr>
        <w:top w:val="none" w:sz="0" w:space="0" w:color="auto"/>
        <w:left w:val="none" w:sz="0" w:space="0" w:color="auto"/>
        <w:bottom w:val="none" w:sz="0" w:space="0" w:color="auto"/>
        <w:right w:val="none" w:sz="0" w:space="0" w:color="auto"/>
      </w:divBdr>
    </w:div>
    <w:div w:id="879899665">
      <w:bodyDiv w:val="1"/>
      <w:marLeft w:val="0"/>
      <w:marRight w:val="0"/>
      <w:marTop w:val="0"/>
      <w:marBottom w:val="0"/>
      <w:divBdr>
        <w:top w:val="none" w:sz="0" w:space="0" w:color="auto"/>
        <w:left w:val="none" w:sz="0" w:space="0" w:color="auto"/>
        <w:bottom w:val="none" w:sz="0" w:space="0" w:color="auto"/>
        <w:right w:val="none" w:sz="0" w:space="0" w:color="auto"/>
      </w:divBdr>
    </w:div>
    <w:div w:id="912856056">
      <w:bodyDiv w:val="1"/>
      <w:marLeft w:val="0"/>
      <w:marRight w:val="0"/>
      <w:marTop w:val="0"/>
      <w:marBottom w:val="0"/>
      <w:divBdr>
        <w:top w:val="none" w:sz="0" w:space="0" w:color="auto"/>
        <w:left w:val="none" w:sz="0" w:space="0" w:color="auto"/>
        <w:bottom w:val="none" w:sz="0" w:space="0" w:color="auto"/>
        <w:right w:val="none" w:sz="0" w:space="0" w:color="auto"/>
      </w:divBdr>
    </w:div>
    <w:div w:id="915824498">
      <w:bodyDiv w:val="1"/>
      <w:marLeft w:val="0"/>
      <w:marRight w:val="0"/>
      <w:marTop w:val="0"/>
      <w:marBottom w:val="0"/>
      <w:divBdr>
        <w:top w:val="none" w:sz="0" w:space="0" w:color="auto"/>
        <w:left w:val="none" w:sz="0" w:space="0" w:color="auto"/>
        <w:bottom w:val="none" w:sz="0" w:space="0" w:color="auto"/>
        <w:right w:val="none" w:sz="0" w:space="0" w:color="auto"/>
      </w:divBdr>
    </w:div>
    <w:div w:id="923956187">
      <w:bodyDiv w:val="1"/>
      <w:marLeft w:val="0"/>
      <w:marRight w:val="0"/>
      <w:marTop w:val="0"/>
      <w:marBottom w:val="0"/>
      <w:divBdr>
        <w:top w:val="none" w:sz="0" w:space="0" w:color="auto"/>
        <w:left w:val="none" w:sz="0" w:space="0" w:color="auto"/>
        <w:bottom w:val="none" w:sz="0" w:space="0" w:color="auto"/>
        <w:right w:val="none" w:sz="0" w:space="0" w:color="auto"/>
      </w:divBdr>
    </w:div>
    <w:div w:id="986013530">
      <w:bodyDiv w:val="1"/>
      <w:marLeft w:val="0"/>
      <w:marRight w:val="0"/>
      <w:marTop w:val="0"/>
      <w:marBottom w:val="0"/>
      <w:divBdr>
        <w:top w:val="none" w:sz="0" w:space="0" w:color="auto"/>
        <w:left w:val="none" w:sz="0" w:space="0" w:color="auto"/>
        <w:bottom w:val="none" w:sz="0" w:space="0" w:color="auto"/>
        <w:right w:val="none" w:sz="0" w:space="0" w:color="auto"/>
      </w:divBdr>
    </w:div>
    <w:div w:id="988436909">
      <w:bodyDiv w:val="1"/>
      <w:marLeft w:val="0"/>
      <w:marRight w:val="0"/>
      <w:marTop w:val="0"/>
      <w:marBottom w:val="0"/>
      <w:divBdr>
        <w:top w:val="none" w:sz="0" w:space="0" w:color="auto"/>
        <w:left w:val="none" w:sz="0" w:space="0" w:color="auto"/>
        <w:bottom w:val="none" w:sz="0" w:space="0" w:color="auto"/>
        <w:right w:val="none" w:sz="0" w:space="0" w:color="auto"/>
      </w:divBdr>
    </w:div>
    <w:div w:id="998966408">
      <w:bodyDiv w:val="1"/>
      <w:marLeft w:val="0"/>
      <w:marRight w:val="0"/>
      <w:marTop w:val="0"/>
      <w:marBottom w:val="0"/>
      <w:divBdr>
        <w:top w:val="none" w:sz="0" w:space="0" w:color="auto"/>
        <w:left w:val="none" w:sz="0" w:space="0" w:color="auto"/>
        <w:bottom w:val="none" w:sz="0" w:space="0" w:color="auto"/>
        <w:right w:val="none" w:sz="0" w:space="0" w:color="auto"/>
      </w:divBdr>
    </w:div>
    <w:div w:id="1012414151">
      <w:bodyDiv w:val="1"/>
      <w:marLeft w:val="0"/>
      <w:marRight w:val="0"/>
      <w:marTop w:val="0"/>
      <w:marBottom w:val="0"/>
      <w:divBdr>
        <w:top w:val="none" w:sz="0" w:space="0" w:color="auto"/>
        <w:left w:val="none" w:sz="0" w:space="0" w:color="auto"/>
        <w:bottom w:val="none" w:sz="0" w:space="0" w:color="auto"/>
        <w:right w:val="none" w:sz="0" w:space="0" w:color="auto"/>
      </w:divBdr>
    </w:div>
    <w:div w:id="1025135644">
      <w:bodyDiv w:val="1"/>
      <w:marLeft w:val="0"/>
      <w:marRight w:val="0"/>
      <w:marTop w:val="0"/>
      <w:marBottom w:val="0"/>
      <w:divBdr>
        <w:top w:val="none" w:sz="0" w:space="0" w:color="auto"/>
        <w:left w:val="none" w:sz="0" w:space="0" w:color="auto"/>
        <w:bottom w:val="none" w:sz="0" w:space="0" w:color="auto"/>
        <w:right w:val="none" w:sz="0" w:space="0" w:color="auto"/>
      </w:divBdr>
    </w:div>
    <w:div w:id="1026829077">
      <w:bodyDiv w:val="1"/>
      <w:marLeft w:val="0"/>
      <w:marRight w:val="0"/>
      <w:marTop w:val="0"/>
      <w:marBottom w:val="0"/>
      <w:divBdr>
        <w:top w:val="none" w:sz="0" w:space="0" w:color="auto"/>
        <w:left w:val="none" w:sz="0" w:space="0" w:color="auto"/>
        <w:bottom w:val="none" w:sz="0" w:space="0" w:color="auto"/>
        <w:right w:val="none" w:sz="0" w:space="0" w:color="auto"/>
      </w:divBdr>
    </w:div>
    <w:div w:id="1040545558">
      <w:bodyDiv w:val="1"/>
      <w:marLeft w:val="0"/>
      <w:marRight w:val="0"/>
      <w:marTop w:val="0"/>
      <w:marBottom w:val="0"/>
      <w:divBdr>
        <w:top w:val="none" w:sz="0" w:space="0" w:color="auto"/>
        <w:left w:val="none" w:sz="0" w:space="0" w:color="auto"/>
        <w:bottom w:val="none" w:sz="0" w:space="0" w:color="auto"/>
        <w:right w:val="none" w:sz="0" w:space="0" w:color="auto"/>
      </w:divBdr>
    </w:div>
    <w:div w:id="1040591364">
      <w:bodyDiv w:val="1"/>
      <w:marLeft w:val="0"/>
      <w:marRight w:val="0"/>
      <w:marTop w:val="0"/>
      <w:marBottom w:val="0"/>
      <w:divBdr>
        <w:top w:val="none" w:sz="0" w:space="0" w:color="auto"/>
        <w:left w:val="none" w:sz="0" w:space="0" w:color="auto"/>
        <w:bottom w:val="none" w:sz="0" w:space="0" w:color="auto"/>
        <w:right w:val="none" w:sz="0" w:space="0" w:color="auto"/>
      </w:divBdr>
    </w:div>
    <w:div w:id="1041125159">
      <w:bodyDiv w:val="1"/>
      <w:marLeft w:val="0"/>
      <w:marRight w:val="0"/>
      <w:marTop w:val="0"/>
      <w:marBottom w:val="0"/>
      <w:divBdr>
        <w:top w:val="none" w:sz="0" w:space="0" w:color="auto"/>
        <w:left w:val="none" w:sz="0" w:space="0" w:color="auto"/>
        <w:bottom w:val="none" w:sz="0" w:space="0" w:color="auto"/>
        <w:right w:val="none" w:sz="0" w:space="0" w:color="auto"/>
      </w:divBdr>
    </w:div>
    <w:div w:id="1047410845">
      <w:bodyDiv w:val="1"/>
      <w:marLeft w:val="0"/>
      <w:marRight w:val="0"/>
      <w:marTop w:val="0"/>
      <w:marBottom w:val="0"/>
      <w:divBdr>
        <w:top w:val="none" w:sz="0" w:space="0" w:color="auto"/>
        <w:left w:val="none" w:sz="0" w:space="0" w:color="auto"/>
        <w:bottom w:val="none" w:sz="0" w:space="0" w:color="auto"/>
        <w:right w:val="none" w:sz="0" w:space="0" w:color="auto"/>
      </w:divBdr>
    </w:div>
    <w:div w:id="1061562587">
      <w:bodyDiv w:val="1"/>
      <w:marLeft w:val="0"/>
      <w:marRight w:val="0"/>
      <w:marTop w:val="0"/>
      <w:marBottom w:val="0"/>
      <w:divBdr>
        <w:top w:val="none" w:sz="0" w:space="0" w:color="auto"/>
        <w:left w:val="none" w:sz="0" w:space="0" w:color="auto"/>
        <w:bottom w:val="none" w:sz="0" w:space="0" w:color="auto"/>
        <w:right w:val="none" w:sz="0" w:space="0" w:color="auto"/>
      </w:divBdr>
    </w:div>
    <w:div w:id="1070889024">
      <w:bodyDiv w:val="1"/>
      <w:marLeft w:val="0"/>
      <w:marRight w:val="0"/>
      <w:marTop w:val="0"/>
      <w:marBottom w:val="0"/>
      <w:divBdr>
        <w:top w:val="none" w:sz="0" w:space="0" w:color="auto"/>
        <w:left w:val="none" w:sz="0" w:space="0" w:color="auto"/>
        <w:bottom w:val="none" w:sz="0" w:space="0" w:color="auto"/>
        <w:right w:val="none" w:sz="0" w:space="0" w:color="auto"/>
      </w:divBdr>
    </w:div>
    <w:div w:id="1095901358">
      <w:bodyDiv w:val="1"/>
      <w:marLeft w:val="0"/>
      <w:marRight w:val="0"/>
      <w:marTop w:val="0"/>
      <w:marBottom w:val="0"/>
      <w:divBdr>
        <w:top w:val="none" w:sz="0" w:space="0" w:color="auto"/>
        <w:left w:val="none" w:sz="0" w:space="0" w:color="auto"/>
        <w:bottom w:val="none" w:sz="0" w:space="0" w:color="auto"/>
        <w:right w:val="none" w:sz="0" w:space="0" w:color="auto"/>
      </w:divBdr>
    </w:div>
    <w:div w:id="1100833743">
      <w:bodyDiv w:val="1"/>
      <w:marLeft w:val="0"/>
      <w:marRight w:val="0"/>
      <w:marTop w:val="0"/>
      <w:marBottom w:val="0"/>
      <w:divBdr>
        <w:top w:val="none" w:sz="0" w:space="0" w:color="auto"/>
        <w:left w:val="none" w:sz="0" w:space="0" w:color="auto"/>
        <w:bottom w:val="none" w:sz="0" w:space="0" w:color="auto"/>
        <w:right w:val="none" w:sz="0" w:space="0" w:color="auto"/>
      </w:divBdr>
    </w:div>
    <w:div w:id="1128354887">
      <w:bodyDiv w:val="1"/>
      <w:marLeft w:val="0"/>
      <w:marRight w:val="0"/>
      <w:marTop w:val="0"/>
      <w:marBottom w:val="0"/>
      <w:divBdr>
        <w:top w:val="none" w:sz="0" w:space="0" w:color="auto"/>
        <w:left w:val="none" w:sz="0" w:space="0" w:color="auto"/>
        <w:bottom w:val="none" w:sz="0" w:space="0" w:color="auto"/>
        <w:right w:val="none" w:sz="0" w:space="0" w:color="auto"/>
      </w:divBdr>
    </w:div>
    <w:div w:id="1132552410">
      <w:bodyDiv w:val="1"/>
      <w:marLeft w:val="0"/>
      <w:marRight w:val="0"/>
      <w:marTop w:val="0"/>
      <w:marBottom w:val="0"/>
      <w:divBdr>
        <w:top w:val="none" w:sz="0" w:space="0" w:color="auto"/>
        <w:left w:val="none" w:sz="0" w:space="0" w:color="auto"/>
        <w:bottom w:val="none" w:sz="0" w:space="0" w:color="auto"/>
        <w:right w:val="none" w:sz="0" w:space="0" w:color="auto"/>
      </w:divBdr>
    </w:div>
    <w:div w:id="1169179220">
      <w:bodyDiv w:val="1"/>
      <w:marLeft w:val="0"/>
      <w:marRight w:val="0"/>
      <w:marTop w:val="0"/>
      <w:marBottom w:val="0"/>
      <w:divBdr>
        <w:top w:val="none" w:sz="0" w:space="0" w:color="auto"/>
        <w:left w:val="none" w:sz="0" w:space="0" w:color="auto"/>
        <w:bottom w:val="none" w:sz="0" w:space="0" w:color="auto"/>
        <w:right w:val="none" w:sz="0" w:space="0" w:color="auto"/>
      </w:divBdr>
    </w:div>
    <w:div w:id="1184396222">
      <w:bodyDiv w:val="1"/>
      <w:marLeft w:val="0"/>
      <w:marRight w:val="0"/>
      <w:marTop w:val="0"/>
      <w:marBottom w:val="0"/>
      <w:divBdr>
        <w:top w:val="none" w:sz="0" w:space="0" w:color="auto"/>
        <w:left w:val="none" w:sz="0" w:space="0" w:color="auto"/>
        <w:bottom w:val="none" w:sz="0" w:space="0" w:color="auto"/>
        <w:right w:val="none" w:sz="0" w:space="0" w:color="auto"/>
      </w:divBdr>
    </w:div>
    <w:div w:id="1191914260">
      <w:bodyDiv w:val="1"/>
      <w:marLeft w:val="0"/>
      <w:marRight w:val="0"/>
      <w:marTop w:val="0"/>
      <w:marBottom w:val="0"/>
      <w:divBdr>
        <w:top w:val="none" w:sz="0" w:space="0" w:color="auto"/>
        <w:left w:val="none" w:sz="0" w:space="0" w:color="auto"/>
        <w:bottom w:val="none" w:sz="0" w:space="0" w:color="auto"/>
        <w:right w:val="none" w:sz="0" w:space="0" w:color="auto"/>
      </w:divBdr>
    </w:div>
    <w:div w:id="1199584236">
      <w:bodyDiv w:val="1"/>
      <w:marLeft w:val="0"/>
      <w:marRight w:val="0"/>
      <w:marTop w:val="0"/>
      <w:marBottom w:val="0"/>
      <w:divBdr>
        <w:top w:val="none" w:sz="0" w:space="0" w:color="auto"/>
        <w:left w:val="none" w:sz="0" w:space="0" w:color="auto"/>
        <w:bottom w:val="none" w:sz="0" w:space="0" w:color="auto"/>
        <w:right w:val="none" w:sz="0" w:space="0" w:color="auto"/>
      </w:divBdr>
    </w:div>
    <w:div w:id="1201939303">
      <w:bodyDiv w:val="1"/>
      <w:marLeft w:val="0"/>
      <w:marRight w:val="0"/>
      <w:marTop w:val="0"/>
      <w:marBottom w:val="0"/>
      <w:divBdr>
        <w:top w:val="none" w:sz="0" w:space="0" w:color="auto"/>
        <w:left w:val="none" w:sz="0" w:space="0" w:color="auto"/>
        <w:bottom w:val="none" w:sz="0" w:space="0" w:color="auto"/>
        <w:right w:val="none" w:sz="0" w:space="0" w:color="auto"/>
      </w:divBdr>
    </w:div>
    <w:div w:id="1208760411">
      <w:bodyDiv w:val="1"/>
      <w:marLeft w:val="0"/>
      <w:marRight w:val="0"/>
      <w:marTop w:val="0"/>
      <w:marBottom w:val="0"/>
      <w:divBdr>
        <w:top w:val="none" w:sz="0" w:space="0" w:color="auto"/>
        <w:left w:val="none" w:sz="0" w:space="0" w:color="auto"/>
        <w:bottom w:val="none" w:sz="0" w:space="0" w:color="auto"/>
        <w:right w:val="none" w:sz="0" w:space="0" w:color="auto"/>
      </w:divBdr>
    </w:div>
    <w:div w:id="1226574266">
      <w:bodyDiv w:val="1"/>
      <w:marLeft w:val="0"/>
      <w:marRight w:val="0"/>
      <w:marTop w:val="0"/>
      <w:marBottom w:val="0"/>
      <w:divBdr>
        <w:top w:val="none" w:sz="0" w:space="0" w:color="auto"/>
        <w:left w:val="none" w:sz="0" w:space="0" w:color="auto"/>
        <w:bottom w:val="none" w:sz="0" w:space="0" w:color="auto"/>
        <w:right w:val="none" w:sz="0" w:space="0" w:color="auto"/>
      </w:divBdr>
    </w:div>
    <w:div w:id="1229533822">
      <w:bodyDiv w:val="1"/>
      <w:marLeft w:val="0"/>
      <w:marRight w:val="0"/>
      <w:marTop w:val="0"/>
      <w:marBottom w:val="0"/>
      <w:divBdr>
        <w:top w:val="none" w:sz="0" w:space="0" w:color="auto"/>
        <w:left w:val="none" w:sz="0" w:space="0" w:color="auto"/>
        <w:bottom w:val="none" w:sz="0" w:space="0" w:color="auto"/>
        <w:right w:val="none" w:sz="0" w:space="0" w:color="auto"/>
      </w:divBdr>
    </w:div>
    <w:div w:id="1240291905">
      <w:bodyDiv w:val="1"/>
      <w:marLeft w:val="0"/>
      <w:marRight w:val="0"/>
      <w:marTop w:val="0"/>
      <w:marBottom w:val="0"/>
      <w:divBdr>
        <w:top w:val="none" w:sz="0" w:space="0" w:color="auto"/>
        <w:left w:val="none" w:sz="0" w:space="0" w:color="auto"/>
        <w:bottom w:val="none" w:sz="0" w:space="0" w:color="auto"/>
        <w:right w:val="none" w:sz="0" w:space="0" w:color="auto"/>
      </w:divBdr>
    </w:div>
    <w:div w:id="1241213685">
      <w:bodyDiv w:val="1"/>
      <w:marLeft w:val="0"/>
      <w:marRight w:val="0"/>
      <w:marTop w:val="0"/>
      <w:marBottom w:val="0"/>
      <w:divBdr>
        <w:top w:val="none" w:sz="0" w:space="0" w:color="auto"/>
        <w:left w:val="none" w:sz="0" w:space="0" w:color="auto"/>
        <w:bottom w:val="none" w:sz="0" w:space="0" w:color="auto"/>
        <w:right w:val="none" w:sz="0" w:space="0" w:color="auto"/>
      </w:divBdr>
    </w:div>
    <w:div w:id="1264991139">
      <w:bodyDiv w:val="1"/>
      <w:marLeft w:val="0"/>
      <w:marRight w:val="0"/>
      <w:marTop w:val="0"/>
      <w:marBottom w:val="0"/>
      <w:divBdr>
        <w:top w:val="none" w:sz="0" w:space="0" w:color="auto"/>
        <w:left w:val="none" w:sz="0" w:space="0" w:color="auto"/>
        <w:bottom w:val="none" w:sz="0" w:space="0" w:color="auto"/>
        <w:right w:val="none" w:sz="0" w:space="0" w:color="auto"/>
      </w:divBdr>
    </w:div>
    <w:div w:id="1302232335">
      <w:bodyDiv w:val="1"/>
      <w:marLeft w:val="0"/>
      <w:marRight w:val="0"/>
      <w:marTop w:val="0"/>
      <w:marBottom w:val="0"/>
      <w:divBdr>
        <w:top w:val="none" w:sz="0" w:space="0" w:color="auto"/>
        <w:left w:val="none" w:sz="0" w:space="0" w:color="auto"/>
        <w:bottom w:val="none" w:sz="0" w:space="0" w:color="auto"/>
        <w:right w:val="none" w:sz="0" w:space="0" w:color="auto"/>
      </w:divBdr>
    </w:div>
    <w:div w:id="1320427872">
      <w:bodyDiv w:val="1"/>
      <w:marLeft w:val="0"/>
      <w:marRight w:val="0"/>
      <w:marTop w:val="0"/>
      <w:marBottom w:val="0"/>
      <w:divBdr>
        <w:top w:val="none" w:sz="0" w:space="0" w:color="auto"/>
        <w:left w:val="none" w:sz="0" w:space="0" w:color="auto"/>
        <w:bottom w:val="none" w:sz="0" w:space="0" w:color="auto"/>
        <w:right w:val="none" w:sz="0" w:space="0" w:color="auto"/>
      </w:divBdr>
    </w:div>
    <w:div w:id="1331981001">
      <w:bodyDiv w:val="1"/>
      <w:marLeft w:val="0"/>
      <w:marRight w:val="0"/>
      <w:marTop w:val="0"/>
      <w:marBottom w:val="0"/>
      <w:divBdr>
        <w:top w:val="none" w:sz="0" w:space="0" w:color="auto"/>
        <w:left w:val="none" w:sz="0" w:space="0" w:color="auto"/>
        <w:bottom w:val="none" w:sz="0" w:space="0" w:color="auto"/>
        <w:right w:val="none" w:sz="0" w:space="0" w:color="auto"/>
      </w:divBdr>
    </w:div>
    <w:div w:id="1336805110">
      <w:bodyDiv w:val="1"/>
      <w:marLeft w:val="0"/>
      <w:marRight w:val="0"/>
      <w:marTop w:val="0"/>
      <w:marBottom w:val="0"/>
      <w:divBdr>
        <w:top w:val="none" w:sz="0" w:space="0" w:color="auto"/>
        <w:left w:val="none" w:sz="0" w:space="0" w:color="auto"/>
        <w:bottom w:val="none" w:sz="0" w:space="0" w:color="auto"/>
        <w:right w:val="none" w:sz="0" w:space="0" w:color="auto"/>
      </w:divBdr>
    </w:div>
    <w:div w:id="1336807243">
      <w:bodyDiv w:val="1"/>
      <w:marLeft w:val="0"/>
      <w:marRight w:val="0"/>
      <w:marTop w:val="0"/>
      <w:marBottom w:val="0"/>
      <w:divBdr>
        <w:top w:val="none" w:sz="0" w:space="0" w:color="auto"/>
        <w:left w:val="none" w:sz="0" w:space="0" w:color="auto"/>
        <w:bottom w:val="none" w:sz="0" w:space="0" w:color="auto"/>
        <w:right w:val="none" w:sz="0" w:space="0" w:color="auto"/>
      </w:divBdr>
    </w:div>
    <w:div w:id="1379426999">
      <w:bodyDiv w:val="1"/>
      <w:marLeft w:val="0"/>
      <w:marRight w:val="0"/>
      <w:marTop w:val="0"/>
      <w:marBottom w:val="0"/>
      <w:divBdr>
        <w:top w:val="none" w:sz="0" w:space="0" w:color="auto"/>
        <w:left w:val="none" w:sz="0" w:space="0" w:color="auto"/>
        <w:bottom w:val="none" w:sz="0" w:space="0" w:color="auto"/>
        <w:right w:val="none" w:sz="0" w:space="0" w:color="auto"/>
      </w:divBdr>
    </w:div>
    <w:div w:id="1403985456">
      <w:bodyDiv w:val="1"/>
      <w:marLeft w:val="0"/>
      <w:marRight w:val="0"/>
      <w:marTop w:val="0"/>
      <w:marBottom w:val="0"/>
      <w:divBdr>
        <w:top w:val="none" w:sz="0" w:space="0" w:color="auto"/>
        <w:left w:val="none" w:sz="0" w:space="0" w:color="auto"/>
        <w:bottom w:val="none" w:sz="0" w:space="0" w:color="auto"/>
        <w:right w:val="none" w:sz="0" w:space="0" w:color="auto"/>
      </w:divBdr>
    </w:div>
    <w:div w:id="1419206677">
      <w:bodyDiv w:val="1"/>
      <w:marLeft w:val="0"/>
      <w:marRight w:val="0"/>
      <w:marTop w:val="0"/>
      <w:marBottom w:val="0"/>
      <w:divBdr>
        <w:top w:val="none" w:sz="0" w:space="0" w:color="auto"/>
        <w:left w:val="none" w:sz="0" w:space="0" w:color="auto"/>
        <w:bottom w:val="none" w:sz="0" w:space="0" w:color="auto"/>
        <w:right w:val="none" w:sz="0" w:space="0" w:color="auto"/>
      </w:divBdr>
    </w:div>
    <w:div w:id="1436631071">
      <w:bodyDiv w:val="1"/>
      <w:marLeft w:val="0"/>
      <w:marRight w:val="0"/>
      <w:marTop w:val="0"/>
      <w:marBottom w:val="0"/>
      <w:divBdr>
        <w:top w:val="none" w:sz="0" w:space="0" w:color="auto"/>
        <w:left w:val="none" w:sz="0" w:space="0" w:color="auto"/>
        <w:bottom w:val="none" w:sz="0" w:space="0" w:color="auto"/>
        <w:right w:val="none" w:sz="0" w:space="0" w:color="auto"/>
      </w:divBdr>
    </w:div>
    <w:div w:id="1441485846">
      <w:bodyDiv w:val="1"/>
      <w:marLeft w:val="0"/>
      <w:marRight w:val="0"/>
      <w:marTop w:val="0"/>
      <w:marBottom w:val="0"/>
      <w:divBdr>
        <w:top w:val="none" w:sz="0" w:space="0" w:color="auto"/>
        <w:left w:val="none" w:sz="0" w:space="0" w:color="auto"/>
        <w:bottom w:val="none" w:sz="0" w:space="0" w:color="auto"/>
        <w:right w:val="none" w:sz="0" w:space="0" w:color="auto"/>
      </w:divBdr>
    </w:div>
    <w:div w:id="1469859506">
      <w:bodyDiv w:val="1"/>
      <w:marLeft w:val="0"/>
      <w:marRight w:val="0"/>
      <w:marTop w:val="0"/>
      <w:marBottom w:val="0"/>
      <w:divBdr>
        <w:top w:val="none" w:sz="0" w:space="0" w:color="auto"/>
        <w:left w:val="none" w:sz="0" w:space="0" w:color="auto"/>
        <w:bottom w:val="none" w:sz="0" w:space="0" w:color="auto"/>
        <w:right w:val="none" w:sz="0" w:space="0" w:color="auto"/>
      </w:divBdr>
    </w:div>
    <w:div w:id="1518229999">
      <w:bodyDiv w:val="1"/>
      <w:marLeft w:val="0"/>
      <w:marRight w:val="0"/>
      <w:marTop w:val="0"/>
      <w:marBottom w:val="0"/>
      <w:divBdr>
        <w:top w:val="none" w:sz="0" w:space="0" w:color="auto"/>
        <w:left w:val="none" w:sz="0" w:space="0" w:color="auto"/>
        <w:bottom w:val="none" w:sz="0" w:space="0" w:color="auto"/>
        <w:right w:val="none" w:sz="0" w:space="0" w:color="auto"/>
      </w:divBdr>
    </w:div>
    <w:div w:id="1520729559">
      <w:bodyDiv w:val="1"/>
      <w:marLeft w:val="0"/>
      <w:marRight w:val="0"/>
      <w:marTop w:val="0"/>
      <w:marBottom w:val="0"/>
      <w:divBdr>
        <w:top w:val="none" w:sz="0" w:space="0" w:color="auto"/>
        <w:left w:val="none" w:sz="0" w:space="0" w:color="auto"/>
        <w:bottom w:val="none" w:sz="0" w:space="0" w:color="auto"/>
        <w:right w:val="none" w:sz="0" w:space="0" w:color="auto"/>
      </w:divBdr>
    </w:div>
    <w:div w:id="1523781353">
      <w:bodyDiv w:val="1"/>
      <w:marLeft w:val="0"/>
      <w:marRight w:val="0"/>
      <w:marTop w:val="0"/>
      <w:marBottom w:val="0"/>
      <w:divBdr>
        <w:top w:val="none" w:sz="0" w:space="0" w:color="auto"/>
        <w:left w:val="none" w:sz="0" w:space="0" w:color="auto"/>
        <w:bottom w:val="none" w:sz="0" w:space="0" w:color="auto"/>
        <w:right w:val="none" w:sz="0" w:space="0" w:color="auto"/>
      </w:divBdr>
    </w:div>
    <w:div w:id="1537162263">
      <w:bodyDiv w:val="1"/>
      <w:marLeft w:val="0"/>
      <w:marRight w:val="0"/>
      <w:marTop w:val="0"/>
      <w:marBottom w:val="0"/>
      <w:divBdr>
        <w:top w:val="none" w:sz="0" w:space="0" w:color="auto"/>
        <w:left w:val="none" w:sz="0" w:space="0" w:color="auto"/>
        <w:bottom w:val="none" w:sz="0" w:space="0" w:color="auto"/>
        <w:right w:val="none" w:sz="0" w:space="0" w:color="auto"/>
      </w:divBdr>
    </w:div>
    <w:div w:id="1538854314">
      <w:bodyDiv w:val="1"/>
      <w:marLeft w:val="0"/>
      <w:marRight w:val="0"/>
      <w:marTop w:val="0"/>
      <w:marBottom w:val="0"/>
      <w:divBdr>
        <w:top w:val="none" w:sz="0" w:space="0" w:color="auto"/>
        <w:left w:val="none" w:sz="0" w:space="0" w:color="auto"/>
        <w:bottom w:val="none" w:sz="0" w:space="0" w:color="auto"/>
        <w:right w:val="none" w:sz="0" w:space="0" w:color="auto"/>
      </w:divBdr>
    </w:div>
    <w:div w:id="1545561422">
      <w:bodyDiv w:val="1"/>
      <w:marLeft w:val="0"/>
      <w:marRight w:val="0"/>
      <w:marTop w:val="0"/>
      <w:marBottom w:val="0"/>
      <w:divBdr>
        <w:top w:val="none" w:sz="0" w:space="0" w:color="auto"/>
        <w:left w:val="none" w:sz="0" w:space="0" w:color="auto"/>
        <w:bottom w:val="none" w:sz="0" w:space="0" w:color="auto"/>
        <w:right w:val="none" w:sz="0" w:space="0" w:color="auto"/>
      </w:divBdr>
    </w:div>
    <w:div w:id="1564675600">
      <w:bodyDiv w:val="1"/>
      <w:marLeft w:val="0"/>
      <w:marRight w:val="0"/>
      <w:marTop w:val="0"/>
      <w:marBottom w:val="0"/>
      <w:divBdr>
        <w:top w:val="none" w:sz="0" w:space="0" w:color="auto"/>
        <w:left w:val="none" w:sz="0" w:space="0" w:color="auto"/>
        <w:bottom w:val="none" w:sz="0" w:space="0" w:color="auto"/>
        <w:right w:val="none" w:sz="0" w:space="0" w:color="auto"/>
      </w:divBdr>
    </w:div>
    <w:div w:id="1569725580">
      <w:bodyDiv w:val="1"/>
      <w:marLeft w:val="0"/>
      <w:marRight w:val="0"/>
      <w:marTop w:val="0"/>
      <w:marBottom w:val="0"/>
      <w:divBdr>
        <w:top w:val="none" w:sz="0" w:space="0" w:color="auto"/>
        <w:left w:val="none" w:sz="0" w:space="0" w:color="auto"/>
        <w:bottom w:val="none" w:sz="0" w:space="0" w:color="auto"/>
        <w:right w:val="none" w:sz="0" w:space="0" w:color="auto"/>
      </w:divBdr>
    </w:div>
    <w:div w:id="1581216697">
      <w:bodyDiv w:val="1"/>
      <w:marLeft w:val="0"/>
      <w:marRight w:val="0"/>
      <w:marTop w:val="0"/>
      <w:marBottom w:val="0"/>
      <w:divBdr>
        <w:top w:val="none" w:sz="0" w:space="0" w:color="auto"/>
        <w:left w:val="none" w:sz="0" w:space="0" w:color="auto"/>
        <w:bottom w:val="none" w:sz="0" w:space="0" w:color="auto"/>
        <w:right w:val="none" w:sz="0" w:space="0" w:color="auto"/>
      </w:divBdr>
    </w:div>
    <w:div w:id="1599831225">
      <w:bodyDiv w:val="1"/>
      <w:marLeft w:val="0"/>
      <w:marRight w:val="0"/>
      <w:marTop w:val="0"/>
      <w:marBottom w:val="0"/>
      <w:divBdr>
        <w:top w:val="none" w:sz="0" w:space="0" w:color="auto"/>
        <w:left w:val="none" w:sz="0" w:space="0" w:color="auto"/>
        <w:bottom w:val="none" w:sz="0" w:space="0" w:color="auto"/>
        <w:right w:val="none" w:sz="0" w:space="0" w:color="auto"/>
      </w:divBdr>
    </w:div>
    <w:div w:id="1661813359">
      <w:bodyDiv w:val="1"/>
      <w:marLeft w:val="0"/>
      <w:marRight w:val="0"/>
      <w:marTop w:val="0"/>
      <w:marBottom w:val="0"/>
      <w:divBdr>
        <w:top w:val="none" w:sz="0" w:space="0" w:color="auto"/>
        <w:left w:val="none" w:sz="0" w:space="0" w:color="auto"/>
        <w:bottom w:val="none" w:sz="0" w:space="0" w:color="auto"/>
        <w:right w:val="none" w:sz="0" w:space="0" w:color="auto"/>
      </w:divBdr>
    </w:div>
    <w:div w:id="1690719994">
      <w:bodyDiv w:val="1"/>
      <w:marLeft w:val="0"/>
      <w:marRight w:val="0"/>
      <w:marTop w:val="0"/>
      <w:marBottom w:val="0"/>
      <w:divBdr>
        <w:top w:val="none" w:sz="0" w:space="0" w:color="auto"/>
        <w:left w:val="none" w:sz="0" w:space="0" w:color="auto"/>
        <w:bottom w:val="none" w:sz="0" w:space="0" w:color="auto"/>
        <w:right w:val="none" w:sz="0" w:space="0" w:color="auto"/>
      </w:divBdr>
    </w:div>
    <w:div w:id="1696154482">
      <w:bodyDiv w:val="1"/>
      <w:marLeft w:val="0"/>
      <w:marRight w:val="0"/>
      <w:marTop w:val="0"/>
      <w:marBottom w:val="0"/>
      <w:divBdr>
        <w:top w:val="none" w:sz="0" w:space="0" w:color="auto"/>
        <w:left w:val="none" w:sz="0" w:space="0" w:color="auto"/>
        <w:bottom w:val="none" w:sz="0" w:space="0" w:color="auto"/>
        <w:right w:val="none" w:sz="0" w:space="0" w:color="auto"/>
      </w:divBdr>
    </w:div>
    <w:div w:id="1698849695">
      <w:bodyDiv w:val="1"/>
      <w:marLeft w:val="0"/>
      <w:marRight w:val="0"/>
      <w:marTop w:val="0"/>
      <w:marBottom w:val="0"/>
      <w:divBdr>
        <w:top w:val="none" w:sz="0" w:space="0" w:color="auto"/>
        <w:left w:val="none" w:sz="0" w:space="0" w:color="auto"/>
        <w:bottom w:val="none" w:sz="0" w:space="0" w:color="auto"/>
        <w:right w:val="none" w:sz="0" w:space="0" w:color="auto"/>
      </w:divBdr>
    </w:div>
    <w:div w:id="1728919804">
      <w:bodyDiv w:val="1"/>
      <w:marLeft w:val="0"/>
      <w:marRight w:val="0"/>
      <w:marTop w:val="0"/>
      <w:marBottom w:val="0"/>
      <w:divBdr>
        <w:top w:val="none" w:sz="0" w:space="0" w:color="auto"/>
        <w:left w:val="none" w:sz="0" w:space="0" w:color="auto"/>
        <w:bottom w:val="none" w:sz="0" w:space="0" w:color="auto"/>
        <w:right w:val="none" w:sz="0" w:space="0" w:color="auto"/>
      </w:divBdr>
    </w:div>
    <w:div w:id="1731003391">
      <w:bodyDiv w:val="1"/>
      <w:marLeft w:val="0"/>
      <w:marRight w:val="0"/>
      <w:marTop w:val="0"/>
      <w:marBottom w:val="0"/>
      <w:divBdr>
        <w:top w:val="none" w:sz="0" w:space="0" w:color="auto"/>
        <w:left w:val="none" w:sz="0" w:space="0" w:color="auto"/>
        <w:bottom w:val="none" w:sz="0" w:space="0" w:color="auto"/>
        <w:right w:val="none" w:sz="0" w:space="0" w:color="auto"/>
      </w:divBdr>
    </w:div>
    <w:div w:id="1735813680">
      <w:bodyDiv w:val="1"/>
      <w:marLeft w:val="0"/>
      <w:marRight w:val="0"/>
      <w:marTop w:val="0"/>
      <w:marBottom w:val="0"/>
      <w:divBdr>
        <w:top w:val="none" w:sz="0" w:space="0" w:color="auto"/>
        <w:left w:val="none" w:sz="0" w:space="0" w:color="auto"/>
        <w:bottom w:val="none" w:sz="0" w:space="0" w:color="auto"/>
        <w:right w:val="none" w:sz="0" w:space="0" w:color="auto"/>
      </w:divBdr>
    </w:div>
    <w:div w:id="1736777555">
      <w:bodyDiv w:val="1"/>
      <w:marLeft w:val="0"/>
      <w:marRight w:val="0"/>
      <w:marTop w:val="0"/>
      <w:marBottom w:val="0"/>
      <w:divBdr>
        <w:top w:val="none" w:sz="0" w:space="0" w:color="auto"/>
        <w:left w:val="none" w:sz="0" w:space="0" w:color="auto"/>
        <w:bottom w:val="none" w:sz="0" w:space="0" w:color="auto"/>
        <w:right w:val="none" w:sz="0" w:space="0" w:color="auto"/>
      </w:divBdr>
    </w:div>
    <w:div w:id="1744645886">
      <w:bodyDiv w:val="1"/>
      <w:marLeft w:val="0"/>
      <w:marRight w:val="0"/>
      <w:marTop w:val="0"/>
      <w:marBottom w:val="0"/>
      <w:divBdr>
        <w:top w:val="none" w:sz="0" w:space="0" w:color="auto"/>
        <w:left w:val="none" w:sz="0" w:space="0" w:color="auto"/>
        <w:bottom w:val="none" w:sz="0" w:space="0" w:color="auto"/>
        <w:right w:val="none" w:sz="0" w:space="0" w:color="auto"/>
      </w:divBdr>
    </w:div>
    <w:div w:id="1763408325">
      <w:bodyDiv w:val="1"/>
      <w:marLeft w:val="0"/>
      <w:marRight w:val="0"/>
      <w:marTop w:val="0"/>
      <w:marBottom w:val="0"/>
      <w:divBdr>
        <w:top w:val="none" w:sz="0" w:space="0" w:color="auto"/>
        <w:left w:val="none" w:sz="0" w:space="0" w:color="auto"/>
        <w:bottom w:val="none" w:sz="0" w:space="0" w:color="auto"/>
        <w:right w:val="none" w:sz="0" w:space="0" w:color="auto"/>
      </w:divBdr>
    </w:div>
    <w:div w:id="1784227627">
      <w:bodyDiv w:val="1"/>
      <w:marLeft w:val="0"/>
      <w:marRight w:val="0"/>
      <w:marTop w:val="0"/>
      <w:marBottom w:val="0"/>
      <w:divBdr>
        <w:top w:val="none" w:sz="0" w:space="0" w:color="auto"/>
        <w:left w:val="none" w:sz="0" w:space="0" w:color="auto"/>
        <w:bottom w:val="none" w:sz="0" w:space="0" w:color="auto"/>
        <w:right w:val="none" w:sz="0" w:space="0" w:color="auto"/>
      </w:divBdr>
    </w:div>
    <w:div w:id="1784419351">
      <w:bodyDiv w:val="1"/>
      <w:marLeft w:val="0"/>
      <w:marRight w:val="0"/>
      <w:marTop w:val="0"/>
      <w:marBottom w:val="0"/>
      <w:divBdr>
        <w:top w:val="none" w:sz="0" w:space="0" w:color="auto"/>
        <w:left w:val="none" w:sz="0" w:space="0" w:color="auto"/>
        <w:bottom w:val="none" w:sz="0" w:space="0" w:color="auto"/>
        <w:right w:val="none" w:sz="0" w:space="0" w:color="auto"/>
      </w:divBdr>
    </w:div>
    <w:div w:id="1788356343">
      <w:bodyDiv w:val="1"/>
      <w:marLeft w:val="0"/>
      <w:marRight w:val="0"/>
      <w:marTop w:val="0"/>
      <w:marBottom w:val="0"/>
      <w:divBdr>
        <w:top w:val="none" w:sz="0" w:space="0" w:color="auto"/>
        <w:left w:val="none" w:sz="0" w:space="0" w:color="auto"/>
        <w:bottom w:val="none" w:sz="0" w:space="0" w:color="auto"/>
        <w:right w:val="none" w:sz="0" w:space="0" w:color="auto"/>
      </w:divBdr>
    </w:div>
    <w:div w:id="1793817716">
      <w:bodyDiv w:val="1"/>
      <w:marLeft w:val="0"/>
      <w:marRight w:val="0"/>
      <w:marTop w:val="0"/>
      <w:marBottom w:val="0"/>
      <w:divBdr>
        <w:top w:val="none" w:sz="0" w:space="0" w:color="auto"/>
        <w:left w:val="none" w:sz="0" w:space="0" w:color="auto"/>
        <w:bottom w:val="none" w:sz="0" w:space="0" w:color="auto"/>
        <w:right w:val="none" w:sz="0" w:space="0" w:color="auto"/>
      </w:divBdr>
    </w:div>
    <w:div w:id="1801344336">
      <w:bodyDiv w:val="1"/>
      <w:marLeft w:val="0"/>
      <w:marRight w:val="0"/>
      <w:marTop w:val="0"/>
      <w:marBottom w:val="0"/>
      <w:divBdr>
        <w:top w:val="none" w:sz="0" w:space="0" w:color="auto"/>
        <w:left w:val="none" w:sz="0" w:space="0" w:color="auto"/>
        <w:bottom w:val="none" w:sz="0" w:space="0" w:color="auto"/>
        <w:right w:val="none" w:sz="0" w:space="0" w:color="auto"/>
      </w:divBdr>
    </w:div>
    <w:div w:id="1808354679">
      <w:bodyDiv w:val="1"/>
      <w:marLeft w:val="0"/>
      <w:marRight w:val="0"/>
      <w:marTop w:val="0"/>
      <w:marBottom w:val="0"/>
      <w:divBdr>
        <w:top w:val="none" w:sz="0" w:space="0" w:color="auto"/>
        <w:left w:val="none" w:sz="0" w:space="0" w:color="auto"/>
        <w:bottom w:val="none" w:sz="0" w:space="0" w:color="auto"/>
        <w:right w:val="none" w:sz="0" w:space="0" w:color="auto"/>
      </w:divBdr>
    </w:div>
    <w:div w:id="1808665987">
      <w:bodyDiv w:val="1"/>
      <w:marLeft w:val="0"/>
      <w:marRight w:val="0"/>
      <w:marTop w:val="0"/>
      <w:marBottom w:val="0"/>
      <w:divBdr>
        <w:top w:val="none" w:sz="0" w:space="0" w:color="auto"/>
        <w:left w:val="none" w:sz="0" w:space="0" w:color="auto"/>
        <w:bottom w:val="none" w:sz="0" w:space="0" w:color="auto"/>
        <w:right w:val="none" w:sz="0" w:space="0" w:color="auto"/>
      </w:divBdr>
    </w:div>
    <w:div w:id="1810123041">
      <w:bodyDiv w:val="1"/>
      <w:marLeft w:val="0"/>
      <w:marRight w:val="0"/>
      <w:marTop w:val="0"/>
      <w:marBottom w:val="0"/>
      <w:divBdr>
        <w:top w:val="none" w:sz="0" w:space="0" w:color="auto"/>
        <w:left w:val="none" w:sz="0" w:space="0" w:color="auto"/>
        <w:bottom w:val="none" w:sz="0" w:space="0" w:color="auto"/>
        <w:right w:val="none" w:sz="0" w:space="0" w:color="auto"/>
      </w:divBdr>
    </w:div>
    <w:div w:id="1815219250">
      <w:bodyDiv w:val="1"/>
      <w:marLeft w:val="0"/>
      <w:marRight w:val="0"/>
      <w:marTop w:val="0"/>
      <w:marBottom w:val="0"/>
      <w:divBdr>
        <w:top w:val="none" w:sz="0" w:space="0" w:color="auto"/>
        <w:left w:val="none" w:sz="0" w:space="0" w:color="auto"/>
        <w:bottom w:val="none" w:sz="0" w:space="0" w:color="auto"/>
        <w:right w:val="none" w:sz="0" w:space="0" w:color="auto"/>
      </w:divBdr>
    </w:div>
    <w:div w:id="1836797696">
      <w:bodyDiv w:val="1"/>
      <w:marLeft w:val="0"/>
      <w:marRight w:val="0"/>
      <w:marTop w:val="0"/>
      <w:marBottom w:val="0"/>
      <w:divBdr>
        <w:top w:val="none" w:sz="0" w:space="0" w:color="auto"/>
        <w:left w:val="none" w:sz="0" w:space="0" w:color="auto"/>
        <w:bottom w:val="none" w:sz="0" w:space="0" w:color="auto"/>
        <w:right w:val="none" w:sz="0" w:space="0" w:color="auto"/>
      </w:divBdr>
    </w:div>
    <w:div w:id="1842505723">
      <w:bodyDiv w:val="1"/>
      <w:marLeft w:val="0"/>
      <w:marRight w:val="0"/>
      <w:marTop w:val="0"/>
      <w:marBottom w:val="0"/>
      <w:divBdr>
        <w:top w:val="none" w:sz="0" w:space="0" w:color="auto"/>
        <w:left w:val="none" w:sz="0" w:space="0" w:color="auto"/>
        <w:bottom w:val="none" w:sz="0" w:space="0" w:color="auto"/>
        <w:right w:val="none" w:sz="0" w:space="0" w:color="auto"/>
      </w:divBdr>
    </w:div>
    <w:div w:id="1844197362">
      <w:bodyDiv w:val="1"/>
      <w:marLeft w:val="0"/>
      <w:marRight w:val="0"/>
      <w:marTop w:val="0"/>
      <w:marBottom w:val="0"/>
      <w:divBdr>
        <w:top w:val="none" w:sz="0" w:space="0" w:color="auto"/>
        <w:left w:val="none" w:sz="0" w:space="0" w:color="auto"/>
        <w:bottom w:val="none" w:sz="0" w:space="0" w:color="auto"/>
        <w:right w:val="none" w:sz="0" w:space="0" w:color="auto"/>
      </w:divBdr>
    </w:div>
    <w:div w:id="1846364270">
      <w:bodyDiv w:val="1"/>
      <w:marLeft w:val="0"/>
      <w:marRight w:val="0"/>
      <w:marTop w:val="0"/>
      <w:marBottom w:val="0"/>
      <w:divBdr>
        <w:top w:val="none" w:sz="0" w:space="0" w:color="auto"/>
        <w:left w:val="none" w:sz="0" w:space="0" w:color="auto"/>
        <w:bottom w:val="none" w:sz="0" w:space="0" w:color="auto"/>
        <w:right w:val="none" w:sz="0" w:space="0" w:color="auto"/>
      </w:divBdr>
    </w:div>
    <w:div w:id="1923099635">
      <w:bodyDiv w:val="1"/>
      <w:marLeft w:val="0"/>
      <w:marRight w:val="0"/>
      <w:marTop w:val="0"/>
      <w:marBottom w:val="0"/>
      <w:divBdr>
        <w:top w:val="none" w:sz="0" w:space="0" w:color="auto"/>
        <w:left w:val="none" w:sz="0" w:space="0" w:color="auto"/>
        <w:bottom w:val="none" w:sz="0" w:space="0" w:color="auto"/>
        <w:right w:val="none" w:sz="0" w:space="0" w:color="auto"/>
      </w:divBdr>
    </w:div>
    <w:div w:id="1939479280">
      <w:bodyDiv w:val="1"/>
      <w:marLeft w:val="0"/>
      <w:marRight w:val="0"/>
      <w:marTop w:val="0"/>
      <w:marBottom w:val="0"/>
      <w:divBdr>
        <w:top w:val="none" w:sz="0" w:space="0" w:color="auto"/>
        <w:left w:val="none" w:sz="0" w:space="0" w:color="auto"/>
        <w:bottom w:val="none" w:sz="0" w:space="0" w:color="auto"/>
        <w:right w:val="none" w:sz="0" w:space="0" w:color="auto"/>
      </w:divBdr>
    </w:div>
    <w:div w:id="1942107951">
      <w:bodyDiv w:val="1"/>
      <w:marLeft w:val="0"/>
      <w:marRight w:val="0"/>
      <w:marTop w:val="0"/>
      <w:marBottom w:val="0"/>
      <w:divBdr>
        <w:top w:val="none" w:sz="0" w:space="0" w:color="auto"/>
        <w:left w:val="none" w:sz="0" w:space="0" w:color="auto"/>
        <w:bottom w:val="none" w:sz="0" w:space="0" w:color="auto"/>
        <w:right w:val="none" w:sz="0" w:space="0" w:color="auto"/>
      </w:divBdr>
    </w:div>
    <w:div w:id="1944722154">
      <w:bodyDiv w:val="1"/>
      <w:marLeft w:val="0"/>
      <w:marRight w:val="0"/>
      <w:marTop w:val="0"/>
      <w:marBottom w:val="0"/>
      <w:divBdr>
        <w:top w:val="none" w:sz="0" w:space="0" w:color="auto"/>
        <w:left w:val="none" w:sz="0" w:space="0" w:color="auto"/>
        <w:bottom w:val="none" w:sz="0" w:space="0" w:color="auto"/>
        <w:right w:val="none" w:sz="0" w:space="0" w:color="auto"/>
      </w:divBdr>
    </w:div>
    <w:div w:id="1964992221">
      <w:bodyDiv w:val="1"/>
      <w:marLeft w:val="0"/>
      <w:marRight w:val="0"/>
      <w:marTop w:val="0"/>
      <w:marBottom w:val="0"/>
      <w:divBdr>
        <w:top w:val="none" w:sz="0" w:space="0" w:color="auto"/>
        <w:left w:val="none" w:sz="0" w:space="0" w:color="auto"/>
        <w:bottom w:val="none" w:sz="0" w:space="0" w:color="auto"/>
        <w:right w:val="none" w:sz="0" w:space="0" w:color="auto"/>
      </w:divBdr>
    </w:div>
    <w:div w:id="1971012673">
      <w:bodyDiv w:val="1"/>
      <w:marLeft w:val="0"/>
      <w:marRight w:val="0"/>
      <w:marTop w:val="0"/>
      <w:marBottom w:val="0"/>
      <w:divBdr>
        <w:top w:val="none" w:sz="0" w:space="0" w:color="auto"/>
        <w:left w:val="none" w:sz="0" w:space="0" w:color="auto"/>
        <w:bottom w:val="none" w:sz="0" w:space="0" w:color="auto"/>
        <w:right w:val="none" w:sz="0" w:space="0" w:color="auto"/>
      </w:divBdr>
    </w:div>
    <w:div w:id="1975287732">
      <w:bodyDiv w:val="1"/>
      <w:marLeft w:val="0"/>
      <w:marRight w:val="0"/>
      <w:marTop w:val="0"/>
      <w:marBottom w:val="0"/>
      <w:divBdr>
        <w:top w:val="none" w:sz="0" w:space="0" w:color="auto"/>
        <w:left w:val="none" w:sz="0" w:space="0" w:color="auto"/>
        <w:bottom w:val="none" w:sz="0" w:space="0" w:color="auto"/>
        <w:right w:val="none" w:sz="0" w:space="0" w:color="auto"/>
      </w:divBdr>
    </w:div>
    <w:div w:id="1980844313">
      <w:bodyDiv w:val="1"/>
      <w:marLeft w:val="0"/>
      <w:marRight w:val="0"/>
      <w:marTop w:val="0"/>
      <w:marBottom w:val="0"/>
      <w:divBdr>
        <w:top w:val="none" w:sz="0" w:space="0" w:color="auto"/>
        <w:left w:val="none" w:sz="0" w:space="0" w:color="auto"/>
        <w:bottom w:val="none" w:sz="0" w:space="0" w:color="auto"/>
        <w:right w:val="none" w:sz="0" w:space="0" w:color="auto"/>
      </w:divBdr>
    </w:div>
    <w:div w:id="1991253710">
      <w:bodyDiv w:val="1"/>
      <w:marLeft w:val="0"/>
      <w:marRight w:val="0"/>
      <w:marTop w:val="0"/>
      <w:marBottom w:val="0"/>
      <w:divBdr>
        <w:top w:val="none" w:sz="0" w:space="0" w:color="auto"/>
        <w:left w:val="none" w:sz="0" w:space="0" w:color="auto"/>
        <w:bottom w:val="none" w:sz="0" w:space="0" w:color="auto"/>
        <w:right w:val="none" w:sz="0" w:space="0" w:color="auto"/>
      </w:divBdr>
    </w:div>
    <w:div w:id="2003729894">
      <w:bodyDiv w:val="1"/>
      <w:marLeft w:val="0"/>
      <w:marRight w:val="0"/>
      <w:marTop w:val="0"/>
      <w:marBottom w:val="0"/>
      <w:divBdr>
        <w:top w:val="none" w:sz="0" w:space="0" w:color="auto"/>
        <w:left w:val="none" w:sz="0" w:space="0" w:color="auto"/>
        <w:bottom w:val="none" w:sz="0" w:space="0" w:color="auto"/>
        <w:right w:val="none" w:sz="0" w:space="0" w:color="auto"/>
      </w:divBdr>
    </w:div>
    <w:div w:id="2012952035">
      <w:bodyDiv w:val="1"/>
      <w:marLeft w:val="0"/>
      <w:marRight w:val="0"/>
      <w:marTop w:val="0"/>
      <w:marBottom w:val="0"/>
      <w:divBdr>
        <w:top w:val="none" w:sz="0" w:space="0" w:color="auto"/>
        <w:left w:val="none" w:sz="0" w:space="0" w:color="auto"/>
        <w:bottom w:val="none" w:sz="0" w:space="0" w:color="auto"/>
        <w:right w:val="none" w:sz="0" w:space="0" w:color="auto"/>
      </w:divBdr>
    </w:div>
    <w:div w:id="2020306025">
      <w:bodyDiv w:val="1"/>
      <w:marLeft w:val="0"/>
      <w:marRight w:val="0"/>
      <w:marTop w:val="0"/>
      <w:marBottom w:val="0"/>
      <w:divBdr>
        <w:top w:val="none" w:sz="0" w:space="0" w:color="auto"/>
        <w:left w:val="none" w:sz="0" w:space="0" w:color="auto"/>
        <w:bottom w:val="none" w:sz="0" w:space="0" w:color="auto"/>
        <w:right w:val="none" w:sz="0" w:space="0" w:color="auto"/>
      </w:divBdr>
    </w:div>
    <w:div w:id="2037995216">
      <w:bodyDiv w:val="1"/>
      <w:marLeft w:val="0"/>
      <w:marRight w:val="0"/>
      <w:marTop w:val="0"/>
      <w:marBottom w:val="0"/>
      <w:divBdr>
        <w:top w:val="none" w:sz="0" w:space="0" w:color="auto"/>
        <w:left w:val="none" w:sz="0" w:space="0" w:color="auto"/>
        <w:bottom w:val="none" w:sz="0" w:space="0" w:color="auto"/>
        <w:right w:val="none" w:sz="0" w:space="0" w:color="auto"/>
      </w:divBdr>
    </w:div>
    <w:div w:id="2038266553">
      <w:bodyDiv w:val="1"/>
      <w:marLeft w:val="0"/>
      <w:marRight w:val="0"/>
      <w:marTop w:val="0"/>
      <w:marBottom w:val="0"/>
      <w:divBdr>
        <w:top w:val="none" w:sz="0" w:space="0" w:color="auto"/>
        <w:left w:val="none" w:sz="0" w:space="0" w:color="auto"/>
        <w:bottom w:val="none" w:sz="0" w:space="0" w:color="auto"/>
        <w:right w:val="none" w:sz="0" w:space="0" w:color="auto"/>
      </w:divBdr>
    </w:div>
    <w:div w:id="2043359302">
      <w:bodyDiv w:val="1"/>
      <w:marLeft w:val="0"/>
      <w:marRight w:val="0"/>
      <w:marTop w:val="0"/>
      <w:marBottom w:val="0"/>
      <w:divBdr>
        <w:top w:val="none" w:sz="0" w:space="0" w:color="auto"/>
        <w:left w:val="none" w:sz="0" w:space="0" w:color="auto"/>
        <w:bottom w:val="none" w:sz="0" w:space="0" w:color="auto"/>
        <w:right w:val="none" w:sz="0" w:space="0" w:color="auto"/>
      </w:divBdr>
    </w:div>
    <w:div w:id="2062361363">
      <w:bodyDiv w:val="1"/>
      <w:marLeft w:val="0"/>
      <w:marRight w:val="0"/>
      <w:marTop w:val="0"/>
      <w:marBottom w:val="0"/>
      <w:divBdr>
        <w:top w:val="none" w:sz="0" w:space="0" w:color="auto"/>
        <w:left w:val="none" w:sz="0" w:space="0" w:color="auto"/>
        <w:bottom w:val="none" w:sz="0" w:space="0" w:color="auto"/>
        <w:right w:val="none" w:sz="0" w:space="0" w:color="auto"/>
      </w:divBdr>
    </w:div>
    <w:div w:id="2080521306">
      <w:bodyDiv w:val="1"/>
      <w:marLeft w:val="0"/>
      <w:marRight w:val="0"/>
      <w:marTop w:val="0"/>
      <w:marBottom w:val="0"/>
      <w:divBdr>
        <w:top w:val="none" w:sz="0" w:space="0" w:color="auto"/>
        <w:left w:val="none" w:sz="0" w:space="0" w:color="auto"/>
        <w:bottom w:val="none" w:sz="0" w:space="0" w:color="auto"/>
        <w:right w:val="none" w:sz="0" w:space="0" w:color="auto"/>
      </w:divBdr>
    </w:div>
    <w:div w:id="2087872807">
      <w:bodyDiv w:val="1"/>
      <w:marLeft w:val="0"/>
      <w:marRight w:val="0"/>
      <w:marTop w:val="0"/>
      <w:marBottom w:val="0"/>
      <w:divBdr>
        <w:top w:val="none" w:sz="0" w:space="0" w:color="auto"/>
        <w:left w:val="none" w:sz="0" w:space="0" w:color="auto"/>
        <w:bottom w:val="none" w:sz="0" w:space="0" w:color="auto"/>
        <w:right w:val="none" w:sz="0" w:space="0" w:color="auto"/>
      </w:divBdr>
    </w:div>
    <w:div w:id="2089763541">
      <w:bodyDiv w:val="1"/>
      <w:marLeft w:val="0"/>
      <w:marRight w:val="0"/>
      <w:marTop w:val="0"/>
      <w:marBottom w:val="0"/>
      <w:divBdr>
        <w:top w:val="none" w:sz="0" w:space="0" w:color="auto"/>
        <w:left w:val="none" w:sz="0" w:space="0" w:color="auto"/>
        <w:bottom w:val="none" w:sz="0" w:space="0" w:color="auto"/>
        <w:right w:val="none" w:sz="0" w:space="0" w:color="auto"/>
      </w:divBdr>
    </w:div>
    <w:div w:id="2106874182">
      <w:bodyDiv w:val="1"/>
      <w:marLeft w:val="0"/>
      <w:marRight w:val="0"/>
      <w:marTop w:val="0"/>
      <w:marBottom w:val="0"/>
      <w:divBdr>
        <w:top w:val="none" w:sz="0" w:space="0" w:color="auto"/>
        <w:left w:val="none" w:sz="0" w:space="0" w:color="auto"/>
        <w:bottom w:val="none" w:sz="0" w:space="0" w:color="auto"/>
        <w:right w:val="none" w:sz="0" w:space="0" w:color="auto"/>
      </w:divBdr>
    </w:div>
    <w:div w:id="21434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2.xml"/><Relationship Id="rId28" Type="http://schemas.openxmlformats.org/officeDocument/2006/relationships/customXml" Target="../customXml/item7.xml"/><Relationship Id="rId10" Type="http://schemas.openxmlformats.org/officeDocument/2006/relationships/header" Target="head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theme" Target="theme/theme1.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93785A42A6BD04F938879E944375909" ma:contentTypeVersion="500" ma:contentTypeDescription="A content type to manage public (operations) IDB documents" ma:contentTypeScope="" ma:versionID="11cd21182fc16826598cb07bb9a315ad">
  <xsd:schema xmlns:xsd="http://www.w3.org/2001/XMLSchema" xmlns:xs="http://www.w3.org/2001/XMLSchema" xmlns:p="http://schemas.microsoft.com/office/2006/metadata/properties" xmlns:ns2="cdc7663a-08f0-4737-9e8c-148ce897a09c" targetNamespace="http://schemas.microsoft.com/office/2006/metadata/properties" ma:root="true" ma:fieldsID="ed931a9cecf5c2b91ccbf646c3d5269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L114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Paez Rubio, Tania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97</Value>
      <Value>32</Value>
      <Value>44</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UR-L1149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R0002804855</Record_x0020_Number>
    <_dlc_DocId xmlns="cdc7663a-08f0-4737-9e8c-148ce897a09c">EZSHARE-1419195803-26</_dlc_DocId>
    <_dlc_DocIdUrl xmlns="cdc7663a-08f0-4737-9e8c-148ce897a09c">
      <Url>https://idbg.sharepoint.com/teams/EZ-UR-LON/UR-L1149/_layouts/15/DocIdRedir.aspx?ID=EZSHARE-1419195803-26</Url>
      <Description>EZSHARE-1419195803-26</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2B6EA33-1025-4796-9194-532DA98C7858}">
  <ds:schemaRefs>
    <ds:schemaRef ds:uri="http://schemas.openxmlformats.org/officeDocument/2006/bibliography"/>
  </ds:schemaRefs>
</ds:datastoreItem>
</file>

<file path=customXml/itemProps2.xml><?xml version="1.0" encoding="utf-8"?>
<ds:datastoreItem xmlns:ds="http://schemas.openxmlformats.org/officeDocument/2006/customXml" ds:itemID="{36B6AA2A-C210-4D3E-90A4-D6493D6E4244}"/>
</file>

<file path=customXml/itemProps3.xml><?xml version="1.0" encoding="utf-8"?>
<ds:datastoreItem xmlns:ds="http://schemas.openxmlformats.org/officeDocument/2006/customXml" ds:itemID="{E6C0D595-0258-4CC0-A2A3-CFF4667F477D}"/>
</file>

<file path=customXml/itemProps4.xml><?xml version="1.0" encoding="utf-8"?>
<ds:datastoreItem xmlns:ds="http://schemas.openxmlformats.org/officeDocument/2006/customXml" ds:itemID="{CB495CCE-D5A4-4F52-900D-BA9481D6BDFD}"/>
</file>

<file path=customXml/itemProps5.xml><?xml version="1.0" encoding="utf-8"?>
<ds:datastoreItem xmlns:ds="http://schemas.openxmlformats.org/officeDocument/2006/customXml" ds:itemID="{6E1E241F-769B-44ED-BE0F-1F3DBA705F41}"/>
</file>

<file path=customXml/itemProps6.xml><?xml version="1.0" encoding="utf-8"?>
<ds:datastoreItem xmlns:ds="http://schemas.openxmlformats.org/officeDocument/2006/customXml" ds:itemID="{587076CB-B7C7-44A5-9375-52C709E9EF73}"/>
</file>

<file path=customXml/itemProps7.xml><?xml version="1.0" encoding="utf-8"?>
<ds:datastoreItem xmlns:ds="http://schemas.openxmlformats.org/officeDocument/2006/customXml" ds:itemID="{2D012B35-2EDF-4BAD-A3D3-6B1FF5BDF805}"/>
</file>

<file path=docProps/app.xml><?xml version="1.0" encoding="utf-8"?>
<Properties xmlns="http://schemas.openxmlformats.org/officeDocument/2006/extended-properties" xmlns:vt="http://schemas.openxmlformats.org/officeDocument/2006/docPropsVTypes">
  <Template>GENERALsp.dot</Template>
  <TotalTime>801</TotalTime>
  <Pages>19</Pages>
  <Words>3658</Words>
  <Characters>19010</Characters>
  <Application>Microsoft Office Word</Application>
  <DocSecurity>0</DocSecurity>
  <Lines>158</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subject/>
  <dc:creator>Regional Operations Departments</dc:creator>
  <cp:keywords/>
  <dc:description/>
  <cp:lastModifiedBy>Sasaki, Keisuke</cp:lastModifiedBy>
  <cp:revision>425</cp:revision>
  <cp:lastPrinted>2018-08-25T01:45:00Z</cp:lastPrinted>
  <dcterms:created xsi:type="dcterms:W3CDTF">2017-09-04T04:37:00Z</dcterms:created>
  <dcterms:modified xsi:type="dcterms:W3CDTF">2018-08-25T01:47:00Z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97;#WATER AND SANITATION|58dede58-0f72-4d2f-8205-0b2af4d108e7</vt:lpwstr>
  </property>
  <property fmtid="{D5CDD505-2E9C-101B-9397-08002B2CF9AE}" pid="7" name="Fund IDB">
    <vt:lpwstr/>
  </property>
  <property fmtid="{D5CDD505-2E9C-101B-9397-08002B2CF9AE}" pid="8" name="Country">
    <vt:lpwstr>32;#Uruguay|5d9b6fdd-d595-4446-a0eb-c14b465f6d0e</vt:lpwstr>
  </property>
  <property fmtid="{D5CDD505-2E9C-101B-9397-08002B2CF9AE}" pid="9" name="Sector IDB">
    <vt:lpwstr>44;#WATER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f733779f-18ce-4fc8-8b1b-8c3df649c36c</vt:lpwstr>
  </property>
  <property fmtid="{D5CDD505-2E9C-101B-9397-08002B2CF9AE}" pid="12" name="Disclosure Activity">
    <vt:lpwstr>Loan Proposal</vt:lpwstr>
  </property>
  <property fmtid="{D5CDD505-2E9C-101B-9397-08002B2CF9AE}" pid="13" name="ContentTypeId">
    <vt:lpwstr>0x0101001A458A224826124E8B45B1D613300CFC00993785A42A6BD04F938879E944375909</vt:lpwstr>
  </property>
</Properties>
</file>