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Override1.xml" ContentType="application/vnd.openxmlformats-officedocument.themeOverride+xml"/>
  <Override PartName="/word/charts/colors2.xml" ContentType="application/vnd.ms-office.chartcolorstyle+xml"/>
  <Override PartName="/word/charts/style2.xml" ContentType="application/vnd.ms-office.chartstyle+xml"/>
  <Override PartName="/word/charts/chart3.xml" ContentType="application/vnd.openxmlformats-officedocument.drawingml.chart+xml"/>
  <Override PartName="/word/charts/colors3.xml" ContentType="application/vnd.ms-office.chartcolorstyle+xml"/>
  <Override PartName="/word/charts/chart2.xml" ContentType="application/vnd.openxmlformats-officedocument.drawingml.chart+xml"/>
  <Override PartName="/word/theme/themeOverride2.xml" ContentType="application/vnd.openxmlformats-officedocument.themeOverride+xml"/>
  <Override PartName="/word/charts/style3.xml" ContentType="application/vnd.ms-office.chartstyle+xml"/>
  <Override PartName="/word/charts/chart1.xml" ContentType="application/vnd.openxmlformats-officedocument.drawingml.chart+xml"/>
  <Override PartName="/word/charts/style1.xml" ContentType="application/vnd.ms-office.chartstyle+xml"/>
  <Override PartName="/word/theme/theme1.xml" ContentType="application/vnd.openxmlformats-officedocument.theme+xml"/>
  <Override PartName="/word/charts/colors1.xml" ContentType="application/vnd.ms-office.chartcolorstyl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7.xml" ContentType="application/vnd.openxmlformats-officedocument.customXmlProperties+xml"/>
  <Override PartName="/docProps/custom.xml" ContentType="application/vnd.openxmlformats-officedocument.custom-properties+xml"/>
  <Override PartName="/customXml/itemProps8.xml" ContentType="application/vnd.openxmlformats-officedocument.customXmlProperties+xml"/>
  <Override PartName="/customXml/itemProps9.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18A41" w14:textId="77777777" w:rsidR="00C46123" w:rsidRPr="00CA2760" w:rsidRDefault="00C46123" w:rsidP="00C46123">
      <w:pPr>
        <w:autoSpaceDE w:val="0"/>
        <w:autoSpaceDN w:val="0"/>
        <w:adjustRightInd w:val="0"/>
        <w:jc w:val="center"/>
        <w:rPr>
          <w:rFonts w:ascii="Times New Roman" w:hAnsi="Times New Roman" w:cs="Times New Roman"/>
          <w:b/>
          <w:sz w:val="24"/>
          <w:szCs w:val="24"/>
          <w:lang w:val="pt-BR"/>
        </w:rPr>
      </w:pPr>
      <w:bookmarkStart w:id="0" w:name="_Hlk511825390"/>
      <w:bookmarkEnd w:id="0"/>
      <w:r w:rsidRPr="00CA2760">
        <w:rPr>
          <w:rFonts w:ascii="Times New Roman" w:hAnsi="Times New Roman" w:cs="Times New Roman"/>
          <w:b/>
          <w:sz w:val="24"/>
          <w:szCs w:val="24"/>
          <w:lang w:val="pt-BR"/>
        </w:rPr>
        <w:t>Programa Estadual de Apoio ao Des</w:t>
      </w:r>
      <w:bookmarkStart w:id="1" w:name="_GoBack"/>
      <w:bookmarkEnd w:id="1"/>
      <w:r w:rsidRPr="00CA2760">
        <w:rPr>
          <w:rFonts w:ascii="Times New Roman" w:hAnsi="Times New Roman" w:cs="Times New Roman"/>
          <w:b/>
          <w:sz w:val="24"/>
          <w:szCs w:val="24"/>
          <w:lang w:val="pt-BR"/>
        </w:rPr>
        <w:t>envolvimento Urbano e Melhorias de Infraestrutura Municipal - Paraná Urbano III - (BR-L 1520)</w:t>
      </w:r>
    </w:p>
    <w:p w14:paraId="2571CF55" w14:textId="77777777" w:rsidR="00C46123" w:rsidRPr="00CA2760" w:rsidRDefault="00C46123" w:rsidP="00C46123">
      <w:pPr>
        <w:pStyle w:val="Default"/>
        <w:rPr>
          <w:rFonts w:ascii="Times New Roman" w:hAnsi="Times New Roman" w:cs="Times New Roman"/>
          <w:lang w:val="pt-BR"/>
        </w:rPr>
      </w:pPr>
    </w:p>
    <w:p w14:paraId="1A2BC320" w14:textId="77777777" w:rsidR="00C46123" w:rsidRPr="00CA2760" w:rsidRDefault="00C46123" w:rsidP="00C46123">
      <w:pPr>
        <w:pStyle w:val="Default"/>
        <w:jc w:val="center"/>
        <w:rPr>
          <w:rFonts w:ascii="Times New Roman" w:hAnsi="Times New Roman" w:cs="Times New Roman"/>
          <w:b/>
          <w:bCs/>
          <w:lang w:val="pt-BR"/>
        </w:rPr>
      </w:pPr>
    </w:p>
    <w:p w14:paraId="1BE974E6" w14:textId="77777777" w:rsidR="00C46123" w:rsidRPr="00CA2760" w:rsidRDefault="00C46123" w:rsidP="00C46123">
      <w:pPr>
        <w:autoSpaceDE w:val="0"/>
        <w:autoSpaceDN w:val="0"/>
        <w:adjustRightInd w:val="0"/>
        <w:jc w:val="center"/>
        <w:rPr>
          <w:rFonts w:ascii="Times New Roman" w:hAnsi="Times New Roman" w:cs="Times New Roman"/>
          <w:b/>
          <w:sz w:val="24"/>
          <w:szCs w:val="24"/>
          <w:lang w:val="pt-BR"/>
        </w:rPr>
      </w:pPr>
      <w:r w:rsidRPr="00CA2760">
        <w:rPr>
          <w:rFonts w:ascii="Times New Roman" w:hAnsi="Times New Roman" w:cs="Times New Roman"/>
          <w:b/>
          <w:sz w:val="24"/>
          <w:szCs w:val="24"/>
          <w:lang w:val="pt-BR"/>
        </w:rPr>
        <w:t>Contratual de Produtos e Serviços Externos</w:t>
      </w:r>
    </w:p>
    <w:p w14:paraId="66365FF6" w14:textId="77777777" w:rsidR="00C46123" w:rsidRPr="007A5657" w:rsidRDefault="00C46123" w:rsidP="00C46123">
      <w:pPr>
        <w:autoSpaceDE w:val="0"/>
        <w:autoSpaceDN w:val="0"/>
        <w:adjustRightInd w:val="0"/>
        <w:jc w:val="center"/>
        <w:rPr>
          <w:rFonts w:ascii="Times New Roman" w:hAnsi="Times New Roman" w:cs="Times New Roman"/>
          <w:b/>
          <w:sz w:val="24"/>
          <w:szCs w:val="24"/>
        </w:rPr>
      </w:pPr>
      <w:r w:rsidRPr="007A5657">
        <w:rPr>
          <w:rFonts w:ascii="Times New Roman" w:hAnsi="Times New Roman" w:cs="Times New Roman"/>
          <w:b/>
          <w:sz w:val="24"/>
          <w:szCs w:val="24"/>
        </w:rPr>
        <w:t>HUD/CBR Housing &amp; Urban Dev - CBR</w:t>
      </w:r>
    </w:p>
    <w:p w14:paraId="4F0C5A5A" w14:textId="77777777" w:rsidR="00C46123" w:rsidRPr="00CA2760" w:rsidRDefault="00C46123" w:rsidP="00C46123">
      <w:pPr>
        <w:autoSpaceDE w:val="0"/>
        <w:autoSpaceDN w:val="0"/>
        <w:adjustRightInd w:val="0"/>
        <w:jc w:val="center"/>
        <w:rPr>
          <w:rFonts w:ascii="Times New Roman" w:hAnsi="Times New Roman" w:cs="Times New Roman"/>
          <w:b/>
          <w:sz w:val="24"/>
          <w:szCs w:val="24"/>
          <w:lang w:val="pt-BR"/>
        </w:rPr>
      </w:pPr>
      <w:r w:rsidRPr="00CA2760">
        <w:rPr>
          <w:rFonts w:ascii="Times New Roman" w:hAnsi="Times New Roman" w:cs="Times New Roman"/>
          <w:b/>
          <w:sz w:val="24"/>
          <w:szCs w:val="24"/>
          <w:lang w:val="pt-BR"/>
        </w:rPr>
        <w:t>Número de Registro: 31071323</w:t>
      </w:r>
    </w:p>
    <w:p w14:paraId="27F2FD72" w14:textId="77777777" w:rsidR="00C46123" w:rsidRPr="00CA2760" w:rsidRDefault="00C46123" w:rsidP="00C46123">
      <w:pPr>
        <w:autoSpaceDE w:val="0"/>
        <w:autoSpaceDN w:val="0"/>
        <w:adjustRightInd w:val="0"/>
        <w:rPr>
          <w:rFonts w:ascii="Arial" w:hAnsi="Arial" w:cs="Arial"/>
          <w:bCs/>
          <w:color w:val="000000"/>
          <w:lang w:val="pt-BR"/>
        </w:rPr>
      </w:pPr>
    </w:p>
    <w:p w14:paraId="2FF1D495" w14:textId="77777777" w:rsidR="00C46123" w:rsidRPr="00CA2760" w:rsidRDefault="00C46123" w:rsidP="00C46123">
      <w:pPr>
        <w:autoSpaceDE w:val="0"/>
        <w:autoSpaceDN w:val="0"/>
        <w:adjustRightInd w:val="0"/>
        <w:rPr>
          <w:bCs/>
          <w:lang w:val="pt-BR"/>
        </w:rPr>
      </w:pPr>
    </w:p>
    <w:p w14:paraId="6B752D9F" w14:textId="77777777" w:rsidR="00C46123" w:rsidRPr="00CA2760" w:rsidRDefault="00C46123" w:rsidP="00C46123">
      <w:pPr>
        <w:pStyle w:val="Default"/>
        <w:jc w:val="center"/>
        <w:rPr>
          <w:rFonts w:ascii="Times New Roman" w:hAnsi="Times New Roman" w:cs="Times New Roman"/>
          <w:b/>
          <w:bCs/>
          <w:lang w:val="pt-BR"/>
        </w:rPr>
      </w:pPr>
    </w:p>
    <w:p w14:paraId="09641045" w14:textId="77777777" w:rsidR="00C46123" w:rsidRPr="00CA2760" w:rsidRDefault="00C46123" w:rsidP="00C46123">
      <w:pPr>
        <w:pStyle w:val="Default"/>
        <w:jc w:val="center"/>
        <w:rPr>
          <w:rFonts w:ascii="Times New Roman" w:hAnsi="Times New Roman" w:cs="Times New Roman"/>
          <w:b/>
          <w:bCs/>
          <w:lang w:val="pt-BR"/>
        </w:rPr>
      </w:pPr>
    </w:p>
    <w:p w14:paraId="5ED0E2EF" w14:textId="32C360AC" w:rsidR="00C46123" w:rsidRPr="00CA2760" w:rsidRDefault="00C46123" w:rsidP="00C46123">
      <w:pPr>
        <w:widowControl w:val="0"/>
        <w:overflowPunct w:val="0"/>
        <w:autoSpaceDE w:val="0"/>
        <w:autoSpaceDN w:val="0"/>
        <w:adjustRightInd w:val="0"/>
        <w:spacing w:line="367" w:lineRule="auto"/>
        <w:ind w:left="2"/>
        <w:jc w:val="center"/>
        <w:rPr>
          <w:rFonts w:ascii="Times New Roman" w:hAnsi="Times New Roman" w:cs="Times New Roman"/>
          <w:b/>
          <w:sz w:val="24"/>
          <w:szCs w:val="24"/>
          <w:lang w:val="pt-BR"/>
        </w:rPr>
      </w:pPr>
      <w:r w:rsidRPr="00CA2760">
        <w:rPr>
          <w:rFonts w:ascii="Times New Roman" w:hAnsi="Times New Roman" w:cs="Times New Roman"/>
          <w:b/>
          <w:sz w:val="24"/>
          <w:szCs w:val="24"/>
          <w:lang w:val="pt-BR"/>
        </w:rPr>
        <w:t xml:space="preserve">Produto 2: Relatório </w:t>
      </w:r>
      <w:r w:rsidR="003A5D8B">
        <w:rPr>
          <w:rFonts w:ascii="Times New Roman" w:hAnsi="Times New Roman" w:cs="Times New Roman"/>
          <w:b/>
          <w:sz w:val="24"/>
          <w:szCs w:val="24"/>
          <w:lang w:val="pt-BR"/>
        </w:rPr>
        <w:t>Final</w:t>
      </w:r>
    </w:p>
    <w:p w14:paraId="0E9EC9B0" w14:textId="77777777" w:rsidR="00C46123" w:rsidRPr="00CA2760" w:rsidRDefault="00C46123" w:rsidP="00C46123">
      <w:pPr>
        <w:pStyle w:val="Default"/>
        <w:jc w:val="center"/>
        <w:rPr>
          <w:rFonts w:ascii="Times New Roman" w:hAnsi="Times New Roman" w:cs="Times New Roman"/>
          <w:b/>
          <w:bCs/>
          <w:lang w:val="pt-BR"/>
        </w:rPr>
      </w:pPr>
    </w:p>
    <w:p w14:paraId="7CAC16C3" w14:textId="77777777" w:rsidR="00C46123" w:rsidRPr="00CA2760" w:rsidRDefault="00C46123" w:rsidP="00C46123">
      <w:pPr>
        <w:widowControl w:val="0"/>
        <w:overflowPunct w:val="0"/>
        <w:autoSpaceDE w:val="0"/>
        <w:autoSpaceDN w:val="0"/>
        <w:adjustRightInd w:val="0"/>
        <w:spacing w:line="367" w:lineRule="auto"/>
        <w:ind w:left="2"/>
        <w:jc w:val="center"/>
        <w:rPr>
          <w:rFonts w:ascii="Times New Roman" w:hAnsi="Times New Roman" w:cs="Times New Roman"/>
          <w:b/>
          <w:sz w:val="24"/>
          <w:szCs w:val="24"/>
          <w:lang w:val="pt-BR"/>
        </w:rPr>
      </w:pPr>
    </w:p>
    <w:p w14:paraId="70F22F06" w14:textId="77777777" w:rsidR="00C46123" w:rsidRPr="00CA2760" w:rsidRDefault="00C46123" w:rsidP="00C46123">
      <w:pPr>
        <w:widowControl w:val="0"/>
        <w:overflowPunct w:val="0"/>
        <w:autoSpaceDE w:val="0"/>
        <w:autoSpaceDN w:val="0"/>
        <w:adjustRightInd w:val="0"/>
        <w:spacing w:line="367" w:lineRule="auto"/>
        <w:jc w:val="center"/>
        <w:rPr>
          <w:rFonts w:ascii="Times New Roman" w:hAnsi="Times New Roman" w:cs="Times New Roman"/>
          <w:b/>
          <w:sz w:val="24"/>
          <w:szCs w:val="24"/>
          <w:lang w:val="pt-BR"/>
        </w:rPr>
      </w:pPr>
      <w:r w:rsidRPr="00CA2760">
        <w:rPr>
          <w:rFonts w:ascii="Times New Roman" w:hAnsi="Times New Roman" w:cs="Times New Roman"/>
          <w:b/>
          <w:sz w:val="24"/>
          <w:szCs w:val="24"/>
          <w:lang w:val="pt-BR"/>
        </w:rPr>
        <w:t>O Sistema de Financiamento e Apoio aos Municípios (SFM) do Estado do Paraná</w:t>
      </w:r>
    </w:p>
    <w:p w14:paraId="1602E082" w14:textId="77777777" w:rsidR="00C46123" w:rsidRPr="00CA2760" w:rsidRDefault="00C46123" w:rsidP="00C46123">
      <w:pPr>
        <w:pStyle w:val="Default"/>
        <w:jc w:val="center"/>
        <w:rPr>
          <w:rFonts w:ascii="Times New Roman" w:hAnsi="Times New Roman" w:cs="Times New Roman"/>
          <w:b/>
          <w:bCs/>
          <w:lang w:val="pt-BR"/>
        </w:rPr>
      </w:pPr>
    </w:p>
    <w:p w14:paraId="076BA14A" w14:textId="77777777" w:rsidR="00C46123" w:rsidRPr="00CA2760" w:rsidRDefault="00C46123" w:rsidP="00C46123">
      <w:pPr>
        <w:pStyle w:val="Default"/>
        <w:jc w:val="center"/>
        <w:rPr>
          <w:rFonts w:ascii="Times New Roman" w:hAnsi="Times New Roman" w:cs="Times New Roman"/>
          <w:b/>
          <w:bCs/>
          <w:lang w:val="pt-BR"/>
        </w:rPr>
      </w:pPr>
    </w:p>
    <w:p w14:paraId="471740FD" w14:textId="77777777" w:rsidR="00C46123" w:rsidRPr="00CA2760" w:rsidRDefault="00C46123" w:rsidP="00C46123">
      <w:pPr>
        <w:pStyle w:val="Default"/>
        <w:jc w:val="center"/>
        <w:rPr>
          <w:rFonts w:ascii="Times New Roman" w:hAnsi="Times New Roman" w:cs="Times New Roman"/>
          <w:b/>
          <w:bCs/>
          <w:lang w:val="pt-BR"/>
        </w:rPr>
      </w:pPr>
    </w:p>
    <w:p w14:paraId="62251116" w14:textId="77777777" w:rsidR="00C46123" w:rsidRPr="00CA2760" w:rsidRDefault="00C46123" w:rsidP="00C46123">
      <w:pPr>
        <w:pStyle w:val="Default"/>
        <w:jc w:val="center"/>
        <w:rPr>
          <w:rFonts w:ascii="Times New Roman" w:hAnsi="Times New Roman" w:cs="Times New Roman"/>
          <w:b/>
          <w:bCs/>
          <w:lang w:val="pt-BR"/>
        </w:rPr>
      </w:pPr>
    </w:p>
    <w:p w14:paraId="430D5767" w14:textId="77777777" w:rsidR="00C46123" w:rsidRPr="00CA2760" w:rsidRDefault="00C46123" w:rsidP="00C46123">
      <w:pPr>
        <w:pStyle w:val="Default"/>
        <w:jc w:val="center"/>
        <w:rPr>
          <w:rFonts w:ascii="Times New Roman" w:hAnsi="Times New Roman" w:cs="Times New Roman"/>
          <w:b/>
          <w:bCs/>
          <w:lang w:val="pt-BR"/>
        </w:rPr>
      </w:pPr>
    </w:p>
    <w:p w14:paraId="71DEDF29" w14:textId="77777777" w:rsidR="00C46123" w:rsidRPr="00CA2760" w:rsidRDefault="00C46123" w:rsidP="00C46123">
      <w:pPr>
        <w:pStyle w:val="Default"/>
        <w:jc w:val="center"/>
        <w:rPr>
          <w:rFonts w:ascii="Times New Roman" w:hAnsi="Times New Roman" w:cs="Times New Roman"/>
          <w:b/>
          <w:bCs/>
          <w:lang w:val="pt-BR"/>
        </w:rPr>
      </w:pPr>
    </w:p>
    <w:p w14:paraId="0E241272" w14:textId="77777777" w:rsidR="00C46123" w:rsidRPr="00CA2760" w:rsidRDefault="00C46123" w:rsidP="00C46123">
      <w:pPr>
        <w:pStyle w:val="Default"/>
        <w:jc w:val="center"/>
        <w:rPr>
          <w:rFonts w:ascii="Times New Roman" w:hAnsi="Times New Roman" w:cs="Times New Roman"/>
          <w:b/>
          <w:bCs/>
          <w:lang w:val="pt-BR"/>
        </w:rPr>
      </w:pPr>
    </w:p>
    <w:p w14:paraId="18E45E48" w14:textId="77777777" w:rsidR="00C46123" w:rsidRPr="00CA2760" w:rsidRDefault="00C46123" w:rsidP="00C46123">
      <w:pPr>
        <w:pStyle w:val="Default"/>
        <w:jc w:val="center"/>
        <w:rPr>
          <w:rFonts w:ascii="Times New Roman" w:hAnsi="Times New Roman" w:cs="Times New Roman"/>
          <w:b/>
          <w:bCs/>
          <w:lang w:val="pt-BR"/>
        </w:rPr>
      </w:pPr>
    </w:p>
    <w:p w14:paraId="0C01B2D9" w14:textId="77777777" w:rsidR="00C46123" w:rsidRPr="00CA2760" w:rsidRDefault="00C46123" w:rsidP="00C46123">
      <w:pPr>
        <w:pStyle w:val="Default"/>
        <w:jc w:val="center"/>
        <w:rPr>
          <w:rFonts w:ascii="Times New Roman" w:hAnsi="Times New Roman" w:cs="Times New Roman"/>
          <w:b/>
          <w:bCs/>
          <w:lang w:val="pt-BR"/>
        </w:rPr>
      </w:pPr>
      <w:r w:rsidRPr="00CA2760">
        <w:rPr>
          <w:rFonts w:ascii="Times New Roman" w:hAnsi="Times New Roman" w:cs="Times New Roman"/>
          <w:b/>
          <w:bCs/>
          <w:lang w:val="pt-BR"/>
        </w:rPr>
        <w:t>David Vetter e Marcia Vetter</w:t>
      </w:r>
    </w:p>
    <w:p w14:paraId="3836D545" w14:textId="77777777" w:rsidR="00C46123" w:rsidRPr="00CA2760" w:rsidRDefault="00C46123" w:rsidP="00C46123">
      <w:pPr>
        <w:pStyle w:val="Default"/>
        <w:jc w:val="center"/>
        <w:rPr>
          <w:rFonts w:ascii="Times New Roman" w:hAnsi="Times New Roman" w:cs="Times New Roman"/>
          <w:b/>
          <w:bCs/>
          <w:lang w:val="pt-BR"/>
        </w:rPr>
      </w:pPr>
    </w:p>
    <w:p w14:paraId="2AA098E0" w14:textId="77777777" w:rsidR="00C46123" w:rsidRPr="00CA2760" w:rsidRDefault="00C46123" w:rsidP="00C46123">
      <w:pPr>
        <w:pStyle w:val="Default"/>
        <w:jc w:val="center"/>
        <w:rPr>
          <w:rFonts w:ascii="Times New Roman" w:hAnsi="Times New Roman" w:cs="Times New Roman"/>
          <w:b/>
          <w:bCs/>
          <w:lang w:val="pt-BR"/>
        </w:rPr>
      </w:pPr>
    </w:p>
    <w:p w14:paraId="6E1596EC" w14:textId="740AACBE" w:rsidR="00C46123" w:rsidRPr="00CA2760" w:rsidRDefault="007034F9" w:rsidP="00C46123">
      <w:pPr>
        <w:pStyle w:val="Default"/>
        <w:jc w:val="center"/>
        <w:rPr>
          <w:rFonts w:ascii="Times New Roman" w:hAnsi="Times New Roman" w:cs="Times New Roman"/>
          <w:b/>
          <w:bCs/>
          <w:lang w:val="pt-BR"/>
        </w:rPr>
      </w:pPr>
      <w:r>
        <w:rPr>
          <w:rFonts w:ascii="Times New Roman" w:hAnsi="Times New Roman" w:cs="Times New Roman"/>
          <w:bCs/>
          <w:lang w:val="pt-BR"/>
        </w:rPr>
        <w:t>8</w:t>
      </w:r>
      <w:r w:rsidR="00E8250D">
        <w:rPr>
          <w:rFonts w:ascii="Times New Roman" w:hAnsi="Times New Roman" w:cs="Times New Roman"/>
          <w:bCs/>
          <w:lang w:val="pt-BR"/>
        </w:rPr>
        <w:t xml:space="preserve"> de </w:t>
      </w:r>
      <w:r w:rsidR="00872F5B">
        <w:rPr>
          <w:rFonts w:ascii="Times New Roman" w:hAnsi="Times New Roman" w:cs="Times New Roman"/>
          <w:bCs/>
          <w:lang w:val="pt-BR"/>
        </w:rPr>
        <w:t>maio</w:t>
      </w:r>
      <w:r w:rsidR="00C46123" w:rsidRPr="00CA2760">
        <w:rPr>
          <w:rFonts w:ascii="Times New Roman" w:hAnsi="Times New Roman" w:cs="Times New Roman"/>
          <w:bCs/>
          <w:lang w:val="pt-BR"/>
        </w:rPr>
        <w:t xml:space="preserve"> de 2018</w:t>
      </w:r>
    </w:p>
    <w:p w14:paraId="4D4BDBDC" w14:textId="77777777" w:rsidR="00C46123" w:rsidRPr="00CA2760" w:rsidRDefault="00C46123" w:rsidP="00C46123">
      <w:pPr>
        <w:pStyle w:val="Default"/>
        <w:jc w:val="center"/>
        <w:rPr>
          <w:rFonts w:ascii="Times New Roman" w:hAnsi="Times New Roman" w:cs="Times New Roman"/>
          <w:b/>
          <w:bCs/>
          <w:lang w:val="pt-BR"/>
        </w:rPr>
      </w:pPr>
    </w:p>
    <w:p w14:paraId="723E7823" w14:textId="77777777" w:rsidR="00C46123" w:rsidRPr="00CA2760" w:rsidRDefault="00C46123" w:rsidP="00C46123">
      <w:pPr>
        <w:pStyle w:val="Default"/>
        <w:jc w:val="center"/>
        <w:rPr>
          <w:rFonts w:ascii="Times New Roman" w:hAnsi="Times New Roman" w:cs="Times New Roman"/>
          <w:b/>
          <w:bCs/>
          <w:lang w:val="pt-BR"/>
        </w:rPr>
      </w:pPr>
    </w:p>
    <w:p w14:paraId="6193C229" w14:textId="77777777" w:rsidR="00C46123" w:rsidRPr="00CA2760" w:rsidRDefault="00C46123" w:rsidP="00C46123">
      <w:pPr>
        <w:pStyle w:val="Default"/>
        <w:jc w:val="center"/>
        <w:rPr>
          <w:rFonts w:ascii="Times New Roman" w:hAnsi="Times New Roman" w:cs="Times New Roman"/>
          <w:b/>
          <w:bCs/>
          <w:lang w:val="pt-BR"/>
        </w:rPr>
      </w:pPr>
    </w:p>
    <w:p w14:paraId="7C8C8B03" w14:textId="77777777" w:rsidR="00C46123" w:rsidRPr="00CA2760" w:rsidRDefault="00C46123" w:rsidP="00C46123">
      <w:pPr>
        <w:pStyle w:val="Default"/>
        <w:jc w:val="center"/>
        <w:rPr>
          <w:rFonts w:ascii="Times New Roman" w:hAnsi="Times New Roman" w:cs="Times New Roman"/>
          <w:b/>
          <w:bCs/>
          <w:lang w:val="pt-BR"/>
        </w:rPr>
      </w:pPr>
    </w:p>
    <w:p w14:paraId="36BDF66A" w14:textId="77777777" w:rsidR="00C46123" w:rsidRPr="00CA2760" w:rsidRDefault="00C46123" w:rsidP="00C46123">
      <w:pPr>
        <w:jc w:val="center"/>
        <w:rPr>
          <w:rFonts w:ascii="Times New Roman" w:hAnsi="Times New Roman" w:cs="Times New Roman"/>
          <w:sz w:val="24"/>
          <w:szCs w:val="24"/>
          <w:lang w:val="pt-BR"/>
        </w:rPr>
      </w:pPr>
    </w:p>
    <w:p w14:paraId="30A311F5" w14:textId="77777777" w:rsidR="00C46123" w:rsidRPr="00CA2760" w:rsidRDefault="00C46123" w:rsidP="00C46123">
      <w:pPr>
        <w:autoSpaceDE w:val="0"/>
        <w:autoSpaceDN w:val="0"/>
        <w:adjustRightInd w:val="0"/>
        <w:ind w:right="126"/>
        <w:jc w:val="center"/>
        <w:rPr>
          <w:rFonts w:ascii="Times New Roman" w:hAnsi="Times New Roman" w:cs="Times New Roman"/>
          <w:sz w:val="24"/>
          <w:szCs w:val="24"/>
          <w:lang w:val="pt-BR"/>
        </w:rPr>
      </w:pPr>
      <w:r w:rsidRPr="00CA2760">
        <w:rPr>
          <w:rFonts w:ascii="Times New Roman" w:hAnsi="Times New Roman" w:cs="Times New Roman"/>
          <w:sz w:val="24"/>
          <w:szCs w:val="24"/>
          <w:lang w:val="pt-BR"/>
        </w:rPr>
        <w:t>Rio de Janeiro, RJ</w:t>
      </w:r>
    </w:p>
    <w:p w14:paraId="7AF4A87C" w14:textId="77777777" w:rsidR="00C46123" w:rsidRPr="00CA2760" w:rsidRDefault="00C46123" w:rsidP="00C46123">
      <w:pPr>
        <w:rPr>
          <w:rFonts w:ascii="Times New Roman" w:hAnsi="Times New Roman" w:cs="Times New Roman"/>
          <w:b/>
          <w:sz w:val="24"/>
          <w:szCs w:val="24"/>
          <w:lang w:val="pt-BR"/>
        </w:rPr>
      </w:pPr>
      <w:r w:rsidRPr="00CA2760">
        <w:rPr>
          <w:rFonts w:ascii="Times New Roman" w:hAnsi="Times New Roman" w:cs="Times New Roman"/>
          <w:b/>
          <w:sz w:val="24"/>
          <w:szCs w:val="24"/>
          <w:lang w:val="pt-BR"/>
        </w:rPr>
        <w:br w:type="page"/>
      </w:r>
    </w:p>
    <w:p w14:paraId="19809723" w14:textId="77777777" w:rsidR="002978B9" w:rsidRPr="00644DFC" w:rsidRDefault="002978B9" w:rsidP="002978B9">
      <w:pPr>
        <w:widowControl w:val="0"/>
        <w:overflowPunct w:val="0"/>
        <w:autoSpaceDE w:val="0"/>
        <w:autoSpaceDN w:val="0"/>
        <w:adjustRightInd w:val="0"/>
        <w:spacing w:after="0" w:line="360" w:lineRule="auto"/>
        <w:jc w:val="center"/>
        <w:rPr>
          <w:rFonts w:ascii="Times New Roman" w:hAnsi="Times New Roman" w:cs="Times New Roman"/>
          <w:b/>
          <w:sz w:val="24"/>
          <w:szCs w:val="24"/>
          <w:lang w:val="pt-BR"/>
        </w:rPr>
      </w:pPr>
      <w:r w:rsidRPr="00644DFC">
        <w:rPr>
          <w:rFonts w:ascii="Times New Roman" w:hAnsi="Times New Roman" w:cs="Times New Roman"/>
          <w:b/>
          <w:sz w:val="24"/>
          <w:szCs w:val="24"/>
          <w:lang w:val="pt-BR"/>
        </w:rPr>
        <w:lastRenderedPageBreak/>
        <w:t>ÍNDICE</w:t>
      </w:r>
    </w:p>
    <w:p w14:paraId="7532CF10" w14:textId="6D0543F5" w:rsidR="002978B9" w:rsidRPr="00CA2760" w:rsidRDefault="002C2A19" w:rsidP="002978B9">
      <w:pPr>
        <w:spacing w:after="0" w:line="360" w:lineRule="auto"/>
        <w:rPr>
          <w:rFonts w:ascii="Times New Roman" w:hAnsi="Times New Roman" w:cs="Times New Roman"/>
          <w:b/>
          <w:sz w:val="24"/>
          <w:szCs w:val="24"/>
          <w:u w:val="single"/>
          <w:lang w:val="pt-BR"/>
        </w:rPr>
      </w:pPr>
      <w:r>
        <w:rPr>
          <w:rFonts w:ascii="Times New Roman" w:eastAsia="Times New Roman" w:hAnsi="Times New Roman" w:cs="Times New Roman"/>
          <w:b/>
          <w:color w:val="000000"/>
          <w:sz w:val="24"/>
          <w:szCs w:val="24"/>
          <w:lang w:val="pt-BR"/>
        </w:rPr>
        <w:t>LISTA DE SIGLAS</w:t>
      </w:r>
    </w:p>
    <w:p w14:paraId="393E7F3D" w14:textId="77777777" w:rsidR="002978B9" w:rsidRPr="00CF7F07" w:rsidRDefault="002978B9" w:rsidP="002978B9">
      <w:pPr>
        <w:spacing w:after="0" w:line="360" w:lineRule="auto"/>
        <w:rPr>
          <w:rFonts w:ascii="Times New Roman" w:eastAsia="Times New Roman" w:hAnsi="Times New Roman" w:cs="Times New Roman"/>
          <w:b/>
          <w:sz w:val="24"/>
          <w:szCs w:val="24"/>
          <w:lang w:val="pt-BR"/>
        </w:rPr>
      </w:pPr>
      <w:r w:rsidRPr="00CF7F07">
        <w:rPr>
          <w:rFonts w:ascii="Times New Roman" w:eastAsia="Times New Roman" w:hAnsi="Times New Roman" w:cs="Times New Roman"/>
          <w:b/>
          <w:sz w:val="24"/>
          <w:szCs w:val="24"/>
          <w:lang w:val="pt-BR"/>
        </w:rPr>
        <w:t>SUMÁRIO EXECUTIVO</w:t>
      </w:r>
    </w:p>
    <w:p w14:paraId="2DA42CB0" w14:textId="77777777" w:rsidR="002978B9" w:rsidRPr="00CF7F07" w:rsidRDefault="002978B9" w:rsidP="002978B9">
      <w:pPr>
        <w:widowControl w:val="0"/>
        <w:overflowPunct w:val="0"/>
        <w:autoSpaceDE w:val="0"/>
        <w:autoSpaceDN w:val="0"/>
        <w:adjustRightInd w:val="0"/>
        <w:spacing w:after="0" w:line="360" w:lineRule="auto"/>
        <w:rPr>
          <w:rFonts w:ascii="Times New Roman" w:hAnsi="Times New Roman" w:cs="Times New Roman"/>
          <w:b/>
          <w:bCs/>
          <w:sz w:val="24"/>
          <w:szCs w:val="24"/>
          <w:lang w:val="pt-BR"/>
        </w:rPr>
      </w:pPr>
      <w:r w:rsidRPr="00CF7F07">
        <w:rPr>
          <w:rFonts w:ascii="Times New Roman" w:hAnsi="Times New Roman" w:cs="Times New Roman"/>
          <w:b/>
          <w:sz w:val="24"/>
          <w:szCs w:val="24"/>
          <w:lang w:val="pt-BR"/>
        </w:rPr>
        <w:t xml:space="preserve">O SISTEMA DE FINANCIAMENTO E APOIO AOS MUNICÍPIOS (SFM) </w:t>
      </w:r>
    </w:p>
    <w:p w14:paraId="0E533A80" w14:textId="77777777" w:rsidR="002978B9" w:rsidRPr="00506E6E" w:rsidRDefault="002978B9" w:rsidP="002978B9">
      <w:pPr>
        <w:spacing w:after="0" w:line="360" w:lineRule="auto"/>
        <w:rPr>
          <w:rFonts w:ascii="Times New Roman" w:hAnsi="Times New Roman" w:cs="Times New Roman"/>
          <w:b/>
          <w:bCs/>
          <w:sz w:val="24"/>
          <w:szCs w:val="24"/>
          <w:lang w:val="pt-BR"/>
        </w:rPr>
      </w:pPr>
      <w:r w:rsidRPr="00506E6E">
        <w:rPr>
          <w:rFonts w:ascii="Times New Roman" w:hAnsi="Times New Roman" w:cs="Times New Roman"/>
          <w:b/>
          <w:bCs/>
          <w:sz w:val="24"/>
          <w:szCs w:val="24"/>
          <w:lang w:val="pt-BR"/>
        </w:rPr>
        <w:t>Introdução</w:t>
      </w:r>
    </w:p>
    <w:p w14:paraId="29F7FCD2" w14:textId="77777777" w:rsidR="002978B9" w:rsidRPr="00506E6E" w:rsidRDefault="002978B9" w:rsidP="002978B9">
      <w:pPr>
        <w:pStyle w:val="BodyText"/>
        <w:spacing w:after="0" w:line="360" w:lineRule="auto"/>
        <w:rPr>
          <w:rFonts w:ascii="Times New Roman" w:eastAsia="Calibri" w:hAnsi="Times New Roman" w:cs="Times New Roman"/>
          <w:b/>
          <w:sz w:val="24"/>
          <w:szCs w:val="24"/>
          <w:lang w:val="pt-BR"/>
        </w:rPr>
      </w:pPr>
      <w:r w:rsidRPr="00506E6E">
        <w:rPr>
          <w:rFonts w:ascii="Times New Roman" w:eastAsia="Calibri" w:hAnsi="Times New Roman"/>
          <w:b/>
          <w:sz w:val="24"/>
          <w:szCs w:val="24"/>
          <w:lang w:val="pt-BR"/>
        </w:rPr>
        <w:t>Capítulo I. A estrutura do SFM e o recente desempenho financeiro de suas principais entidades</w:t>
      </w:r>
    </w:p>
    <w:p w14:paraId="29AAC03C" w14:textId="77777777" w:rsidR="002978B9" w:rsidRPr="00506E6E" w:rsidRDefault="002978B9" w:rsidP="002978B9">
      <w:pPr>
        <w:widowControl w:val="0"/>
        <w:overflowPunct w:val="0"/>
        <w:autoSpaceDE w:val="0"/>
        <w:autoSpaceDN w:val="0"/>
        <w:adjustRightInd w:val="0"/>
        <w:spacing w:after="0" w:line="360" w:lineRule="auto"/>
        <w:rPr>
          <w:rFonts w:ascii="Times New Roman" w:hAnsi="Times New Roman" w:cs="Times New Roman"/>
          <w:sz w:val="24"/>
          <w:szCs w:val="24"/>
          <w:lang w:val="pt-BR"/>
        </w:rPr>
      </w:pPr>
      <w:r w:rsidRPr="00506E6E">
        <w:rPr>
          <w:rFonts w:ascii="Times New Roman" w:hAnsi="Times New Roman" w:cs="Times New Roman"/>
          <w:sz w:val="24"/>
          <w:szCs w:val="24"/>
          <w:lang w:val="pt-BR"/>
        </w:rPr>
        <w:t>A criação e estrutura organizacional do SFM</w:t>
      </w:r>
    </w:p>
    <w:p w14:paraId="169D7D44" w14:textId="77777777" w:rsidR="002978B9" w:rsidRPr="00506E6E" w:rsidRDefault="002978B9" w:rsidP="002978B9">
      <w:pPr>
        <w:spacing w:after="0" w:line="360" w:lineRule="auto"/>
        <w:ind w:left="720"/>
        <w:rPr>
          <w:rFonts w:ascii="Times New Roman" w:hAnsi="Times New Roman" w:cs="Times New Roman"/>
          <w:sz w:val="24"/>
          <w:szCs w:val="24"/>
          <w:lang w:val="pt-BR"/>
        </w:rPr>
      </w:pPr>
      <w:r w:rsidRPr="00506E6E">
        <w:rPr>
          <w:rFonts w:ascii="Times New Roman" w:hAnsi="Times New Roman" w:cs="Times New Roman"/>
          <w:sz w:val="24"/>
          <w:szCs w:val="24"/>
          <w:lang w:val="pt-BR"/>
        </w:rPr>
        <w:t>A Lei de Responsabilidade Fiscal e a criação do SFM</w:t>
      </w:r>
    </w:p>
    <w:p w14:paraId="32DB4769" w14:textId="77777777" w:rsidR="002978B9" w:rsidRPr="00506E6E" w:rsidRDefault="002978B9" w:rsidP="002978B9">
      <w:pPr>
        <w:spacing w:after="0" w:line="360" w:lineRule="auto"/>
        <w:ind w:left="720"/>
        <w:rPr>
          <w:rFonts w:ascii="Times New Roman" w:hAnsi="Times New Roman" w:cs="Times New Roman"/>
          <w:sz w:val="24"/>
          <w:szCs w:val="24"/>
          <w:lang w:val="pt-BR"/>
        </w:rPr>
      </w:pPr>
      <w:r w:rsidRPr="00506E6E">
        <w:rPr>
          <w:rFonts w:ascii="Times New Roman" w:hAnsi="Times New Roman" w:cs="Times New Roman"/>
          <w:sz w:val="24"/>
          <w:szCs w:val="24"/>
          <w:lang w:val="pt-BR"/>
        </w:rPr>
        <w:t>A nova lei que estabelece uma estrutura institucional mais sólida e blinda o FDU</w:t>
      </w:r>
    </w:p>
    <w:p w14:paraId="214F5958" w14:textId="77777777" w:rsidR="002978B9" w:rsidRPr="00506E6E" w:rsidRDefault="002978B9" w:rsidP="002978B9">
      <w:pPr>
        <w:autoSpaceDE w:val="0"/>
        <w:autoSpaceDN w:val="0"/>
        <w:adjustRightInd w:val="0"/>
        <w:spacing w:after="0" w:line="360" w:lineRule="auto"/>
        <w:ind w:left="1440"/>
        <w:rPr>
          <w:rFonts w:ascii="Times New Roman" w:hAnsi="Times New Roman" w:cs="Times New Roman"/>
          <w:color w:val="000000"/>
          <w:sz w:val="24"/>
          <w:szCs w:val="24"/>
          <w:lang w:val="pt-BR"/>
        </w:rPr>
      </w:pPr>
      <w:r w:rsidRPr="00506E6E">
        <w:rPr>
          <w:rFonts w:ascii="Times New Roman" w:hAnsi="Times New Roman" w:cs="Times New Roman"/>
          <w:color w:val="000000"/>
          <w:sz w:val="24"/>
          <w:szCs w:val="24"/>
          <w:lang w:val="pt-BR"/>
        </w:rPr>
        <w:t>A nova estrutura do SFM</w:t>
      </w:r>
    </w:p>
    <w:p w14:paraId="7C234268" w14:textId="77777777" w:rsidR="002978B9" w:rsidRPr="00506E6E" w:rsidRDefault="002978B9" w:rsidP="002978B9">
      <w:pPr>
        <w:autoSpaceDE w:val="0"/>
        <w:autoSpaceDN w:val="0"/>
        <w:adjustRightInd w:val="0"/>
        <w:spacing w:after="0" w:line="360" w:lineRule="auto"/>
        <w:ind w:left="1440"/>
        <w:rPr>
          <w:rFonts w:ascii="Times New Roman" w:hAnsi="Times New Roman" w:cs="Times New Roman"/>
          <w:color w:val="000000"/>
          <w:sz w:val="24"/>
          <w:szCs w:val="24"/>
          <w:lang w:val="pt-BR"/>
        </w:rPr>
      </w:pPr>
      <w:r w:rsidRPr="00506E6E">
        <w:rPr>
          <w:rFonts w:ascii="Times New Roman" w:hAnsi="Times New Roman" w:cs="Times New Roman"/>
          <w:color w:val="000000"/>
          <w:sz w:val="24"/>
          <w:szCs w:val="24"/>
          <w:lang w:val="pt-BR"/>
        </w:rPr>
        <w:t>A criação do Comitê de Investimentos</w:t>
      </w:r>
    </w:p>
    <w:p w14:paraId="6FB78DE2" w14:textId="77777777" w:rsidR="002978B9" w:rsidRPr="00506E6E" w:rsidRDefault="002978B9" w:rsidP="002978B9">
      <w:pPr>
        <w:pStyle w:val="Paragraph"/>
        <w:autoSpaceDE w:val="0"/>
        <w:autoSpaceDN w:val="0"/>
        <w:adjustRightInd w:val="0"/>
        <w:spacing w:before="0" w:after="0" w:line="360" w:lineRule="auto"/>
        <w:ind w:left="1440"/>
        <w:rPr>
          <w:szCs w:val="24"/>
          <w:lang w:val="pt-BR"/>
        </w:rPr>
      </w:pPr>
      <w:r w:rsidRPr="00506E6E">
        <w:rPr>
          <w:szCs w:val="24"/>
          <w:lang w:val="pt-BR"/>
        </w:rPr>
        <w:t>A blindagem do FDU e integração da Fomento Paraná no SFM</w:t>
      </w:r>
    </w:p>
    <w:p w14:paraId="6FCB0BEA" w14:textId="77777777" w:rsidR="002978B9" w:rsidRPr="00506E6E" w:rsidRDefault="002978B9" w:rsidP="002978B9">
      <w:pPr>
        <w:spacing w:after="0" w:line="360" w:lineRule="auto"/>
        <w:rPr>
          <w:rFonts w:ascii="Times New Roman" w:eastAsia="Times New Roman" w:hAnsi="Times New Roman" w:cs="Times New Roman"/>
          <w:sz w:val="24"/>
          <w:szCs w:val="24"/>
          <w:lang w:val="pt-BR" w:eastAsia="pt-BR"/>
        </w:rPr>
      </w:pPr>
      <w:r w:rsidRPr="00506E6E">
        <w:rPr>
          <w:rFonts w:ascii="Times New Roman" w:hAnsi="Times New Roman" w:cs="Times New Roman"/>
          <w:sz w:val="24"/>
          <w:szCs w:val="24"/>
          <w:lang w:val="pt-BR"/>
        </w:rPr>
        <w:t>O desempenho financeiro do FDU: 2013/2017</w:t>
      </w:r>
    </w:p>
    <w:p w14:paraId="5B94F0BD" w14:textId="77777777" w:rsidR="002978B9" w:rsidRPr="00506E6E" w:rsidRDefault="002978B9" w:rsidP="002978B9">
      <w:pPr>
        <w:shd w:val="clear" w:color="auto" w:fill="FFFFFF"/>
        <w:spacing w:after="0" w:line="360" w:lineRule="auto"/>
        <w:ind w:left="720"/>
        <w:rPr>
          <w:rFonts w:ascii="Times New Roman" w:eastAsia="Times New Roman" w:hAnsi="Times New Roman" w:cs="Times New Roman"/>
          <w:sz w:val="24"/>
          <w:szCs w:val="24"/>
          <w:lang w:val="pt-BR" w:eastAsia="pt-BR"/>
        </w:rPr>
      </w:pPr>
      <w:r w:rsidRPr="00506E6E">
        <w:rPr>
          <w:rFonts w:ascii="Times New Roman" w:eastAsia="Times New Roman" w:hAnsi="Times New Roman" w:cs="Times New Roman"/>
          <w:sz w:val="24"/>
          <w:szCs w:val="24"/>
          <w:lang w:val="pt-BR" w:eastAsia="pt-BR"/>
        </w:rPr>
        <w:t>Os balanços do FDU</w:t>
      </w:r>
    </w:p>
    <w:p w14:paraId="7BE46FAD" w14:textId="77777777" w:rsidR="002978B9" w:rsidRPr="00506E6E" w:rsidRDefault="002978B9" w:rsidP="002978B9">
      <w:pPr>
        <w:shd w:val="clear" w:color="auto" w:fill="FFFFFF"/>
        <w:spacing w:after="0" w:line="360" w:lineRule="auto"/>
        <w:ind w:left="720"/>
        <w:rPr>
          <w:rFonts w:ascii="Times New Roman" w:eastAsia="Times New Roman" w:hAnsi="Times New Roman" w:cs="Times New Roman"/>
          <w:sz w:val="24"/>
          <w:szCs w:val="24"/>
          <w:lang w:val="pt-BR" w:eastAsia="pt-BR"/>
        </w:rPr>
      </w:pPr>
      <w:r w:rsidRPr="00506E6E">
        <w:rPr>
          <w:rFonts w:ascii="Times New Roman" w:eastAsia="Times New Roman" w:hAnsi="Times New Roman" w:cs="Times New Roman"/>
          <w:sz w:val="24"/>
          <w:szCs w:val="24"/>
          <w:lang w:val="pt-BR" w:eastAsia="pt-BR"/>
        </w:rPr>
        <w:t>Os resultados do FDU: 2013/ 2017</w:t>
      </w:r>
    </w:p>
    <w:p w14:paraId="059D4B11" w14:textId="77777777" w:rsidR="002978B9" w:rsidRPr="00506E6E" w:rsidRDefault="002978B9" w:rsidP="002978B9">
      <w:pPr>
        <w:shd w:val="clear" w:color="auto" w:fill="FFFFFF"/>
        <w:spacing w:after="0" w:line="360" w:lineRule="auto"/>
        <w:rPr>
          <w:rFonts w:ascii="Times New Roman" w:eastAsia="Times New Roman" w:hAnsi="Times New Roman" w:cs="Times New Roman"/>
          <w:sz w:val="24"/>
          <w:szCs w:val="24"/>
          <w:lang w:val="pt-BR" w:eastAsia="pt-BR"/>
        </w:rPr>
      </w:pPr>
      <w:r w:rsidRPr="00506E6E">
        <w:rPr>
          <w:rFonts w:ascii="Times New Roman" w:eastAsia="Times New Roman" w:hAnsi="Times New Roman" w:cs="Times New Roman"/>
          <w:sz w:val="24"/>
          <w:szCs w:val="24"/>
          <w:lang w:val="pt-BR" w:eastAsia="pt-BR"/>
        </w:rPr>
        <w:t>O desempenho financeiro da</w:t>
      </w:r>
      <w:r w:rsidRPr="00506E6E">
        <w:rPr>
          <w:rFonts w:ascii="Times New Roman" w:hAnsi="Times New Roman" w:cs="Times New Roman"/>
          <w:sz w:val="24"/>
          <w:szCs w:val="24"/>
          <w:lang w:val="pt-BR"/>
        </w:rPr>
        <w:t xml:space="preserve"> Fomento Paraná</w:t>
      </w:r>
      <w:r w:rsidRPr="00506E6E">
        <w:rPr>
          <w:rFonts w:ascii="Times New Roman" w:eastAsia="Times New Roman" w:hAnsi="Times New Roman" w:cs="Times New Roman"/>
          <w:sz w:val="24"/>
          <w:szCs w:val="24"/>
          <w:lang w:val="pt-BR" w:eastAsia="pt-BR"/>
        </w:rPr>
        <w:t>: 2013/2017</w:t>
      </w:r>
    </w:p>
    <w:p w14:paraId="7E559188" w14:textId="77777777" w:rsidR="002978B9" w:rsidRPr="00506E6E" w:rsidRDefault="002978B9" w:rsidP="002978B9">
      <w:pPr>
        <w:shd w:val="clear" w:color="auto" w:fill="FFFFFF"/>
        <w:spacing w:after="0" w:line="360" w:lineRule="auto"/>
        <w:ind w:left="720"/>
        <w:rPr>
          <w:rFonts w:ascii="Times New Roman" w:eastAsia="Times New Roman" w:hAnsi="Times New Roman" w:cs="Times New Roman"/>
          <w:sz w:val="24"/>
          <w:szCs w:val="24"/>
          <w:lang w:val="pt-BR" w:eastAsia="pt-BR"/>
        </w:rPr>
      </w:pPr>
      <w:r w:rsidRPr="00506E6E">
        <w:rPr>
          <w:rFonts w:ascii="Times New Roman" w:eastAsia="Times New Roman" w:hAnsi="Times New Roman" w:cs="Times New Roman"/>
          <w:sz w:val="24"/>
          <w:szCs w:val="24"/>
          <w:lang w:val="pt-BR" w:eastAsia="pt-BR"/>
        </w:rPr>
        <w:t>Os balanços e resultados da Fomento Paraná</w:t>
      </w:r>
    </w:p>
    <w:p w14:paraId="33BCFDC0" w14:textId="77777777" w:rsidR="002978B9" w:rsidRPr="00506E6E" w:rsidRDefault="002978B9" w:rsidP="002978B9">
      <w:pPr>
        <w:spacing w:after="0" w:line="360" w:lineRule="auto"/>
        <w:ind w:left="720"/>
        <w:rPr>
          <w:rFonts w:ascii="Times New Roman" w:hAnsi="Times New Roman" w:cs="Times New Roman"/>
          <w:sz w:val="24"/>
          <w:szCs w:val="24"/>
          <w:lang w:val="pt-BR"/>
        </w:rPr>
      </w:pPr>
      <w:r w:rsidRPr="00506E6E">
        <w:rPr>
          <w:rFonts w:ascii="Times New Roman" w:hAnsi="Times New Roman" w:cs="Times New Roman"/>
          <w:sz w:val="24"/>
          <w:szCs w:val="24"/>
          <w:lang w:val="pt-BR"/>
        </w:rPr>
        <w:t>A análise da sustentabilidade da Fomento Paraná</w:t>
      </w:r>
    </w:p>
    <w:p w14:paraId="745F8597" w14:textId="77777777" w:rsidR="002978B9" w:rsidRPr="00506E6E" w:rsidRDefault="002978B9" w:rsidP="002978B9">
      <w:pPr>
        <w:shd w:val="clear" w:color="auto" w:fill="FFFFFF"/>
        <w:spacing w:after="0" w:line="360" w:lineRule="auto"/>
        <w:ind w:left="1440"/>
        <w:rPr>
          <w:rFonts w:ascii="Times New Roman" w:eastAsia="Times New Roman" w:hAnsi="Times New Roman" w:cs="Times New Roman"/>
          <w:sz w:val="24"/>
          <w:szCs w:val="24"/>
          <w:lang w:val="pt-BR" w:eastAsia="pt-BR"/>
        </w:rPr>
      </w:pPr>
      <w:r w:rsidRPr="00506E6E">
        <w:rPr>
          <w:rFonts w:ascii="Times New Roman" w:eastAsia="Times New Roman" w:hAnsi="Times New Roman" w:cs="Times New Roman"/>
          <w:sz w:val="24"/>
          <w:szCs w:val="24"/>
          <w:lang w:val="pt-BR" w:eastAsia="pt-BR"/>
        </w:rPr>
        <w:t xml:space="preserve">As provas de estresse da carteira de crédito </w:t>
      </w:r>
    </w:p>
    <w:p w14:paraId="0F94DFB4" w14:textId="77777777" w:rsidR="002978B9" w:rsidRPr="00506E6E" w:rsidRDefault="002978B9" w:rsidP="002978B9">
      <w:pPr>
        <w:shd w:val="clear" w:color="auto" w:fill="FFFFFF"/>
        <w:spacing w:after="0" w:line="360" w:lineRule="auto"/>
        <w:ind w:left="1440"/>
        <w:rPr>
          <w:rFonts w:ascii="Times New Roman" w:hAnsi="Times New Roman" w:cs="Times New Roman"/>
          <w:sz w:val="24"/>
          <w:szCs w:val="24"/>
          <w:lang w:val="pt-BR"/>
        </w:rPr>
      </w:pPr>
      <w:r w:rsidRPr="00506E6E">
        <w:rPr>
          <w:rFonts w:ascii="Times New Roman" w:eastAsia="Times New Roman" w:hAnsi="Times New Roman" w:cs="Times New Roman"/>
          <w:sz w:val="24"/>
          <w:szCs w:val="24"/>
          <w:lang w:val="pt-BR" w:eastAsia="pt-BR"/>
        </w:rPr>
        <w:t>Os indicadores anuais de risco</w:t>
      </w:r>
    </w:p>
    <w:p w14:paraId="5D56BAF4" w14:textId="77777777" w:rsidR="002978B9" w:rsidRPr="00506E6E" w:rsidRDefault="002978B9" w:rsidP="002978B9">
      <w:pPr>
        <w:shd w:val="clear" w:color="auto" w:fill="FFFFFF"/>
        <w:spacing w:after="0" w:line="360" w:lineRule="auto"/>
        <w:ind w:left="1440"/>
        <w:rPr>
          <w:rFonts w:ascii="Times New Roman" w:eastAsia="Times New Roman" w:hAnsi="Times New Roman" w:cs="Times New Roman"/>
          <w:sz w:val="24"/>
          <w:szCs w:val="24"/>
          <w:lang w:val="pt-BR" w:eastAsia="pt-BR"/>
        </w:rPr>
      </w:pPr>
      <w:r w:rsidRPr="00506E6E">
        <w:rPr>
          <w:rFonts w:ascii="Times New Roman" w:eastAsia="Times New Roman" w:hAnsi="Times New Roman" w:cs="Times New Roman"/>
          <w:sz w:val="24"/>
          <w:szCs w:val="24"/>
          <w:lang w:val="pt-BR" w:eastAsia="pt-BR"/>
        </w:rPr>
        <w:t xml:space="preserve">Os </w:t>
      </w:r>
      <w:r w:rsidRPr="00506E6E">
        <w:rPr>
          <w:rFonts w:ascii="Times New Roman" w:eastAsia="Times New Roman" w:hAnsi="Times New Roman" w:cs="Times New Roman"/>
          <w:i/>
          <w:sz w:val="24"/>
          <w:szCs w:val="24"/>
          <w:lang w:val="pt-BR" w:eastAsia="pt-BR"/>
        </w:rPr>
        <w:t xml:space="preserve">ratings </w:t>
      </w:r>
      <w:r w:rsidRPr="00506E6E">
        <w:rPr>
          <w:rFonts w:ascii="Times New Roman" w:eastAsia="Times New Roman" w:hAnsi="Times New Roman" w:cs="Times New Roman"/>
          <w:sz w:val="24"/>
          <w:szCs w:val="24"/>
          <w:lang w:val="pt-BR" w:eastAsia="pt-BR"/>
        </w:rPr>
        <w:t>das Agências Fitch e Moody’s</w:t>
      </w:r>
    </w:p>
    <w:p w14:paraId="634F162E" w14:textId="77777777" w:rsidR="002978B9" w:rsidRPr="00506E6E" w:rsidRDefault="002978B9" w:rsidP="002978B9">
      <w:pPr>
        <w:pStyle w:val="BodyText"/>
        <w:spacing w:after="0" w:line="360" w:lineRule="auto"/>
        <w:rPr>
          <w:rFonts w:ascii="Times New Roman" w:eastAsia="Calibri" w:hAnsi="Times New Roman" w:cs="Times New Roman"/>
          <w:b/>
          <w:sz w:val="24"/>
          <w:szCs w:val="24"/>
          <w:lang w:val="pt-BR"/>
        </w:rPr>
      </w:pPr>
      <w:r w:rsidRPr="00506E6E">
        <w:rPr>
          <w:rFonts w:ascii="Times New Roman" w:eastAsia="Calibri" w:hAnsi="Times New Roman"/>
          <w:b/>
          <w:sz w:val="24"/>
          <w:szCs w:val="24"/>
          <w:lang w:val="pt-BR"/>
        </w:rPr>
        <w:t xml:space="preserve">Capítulo II. </w:t>
      </w:r>
      <w:r w:rsidRPr="00506E6E">
        <w:rPr>
          <w:rFonts w:ascii="Times New Roman" w:eastAsia="Calibri" w:hAnsi="Times New Roman" w:cs="Times New Roman"/>
          <w:b/>
          <w:sz w:val="24"/>
          <w:szCs w:val="24"/>
          <w:lang w:val="pt-BR"/>
        </w:rPr>
        <w:t>Revis</w:t>
      </w:r>
      <w:r w:rsidRPr="00506E6E">
        <w:rPr>
          <w:rFonts w:ascii="Times New Roman" w:eastAsia="Calibri" w:hAnsi="Times New Roman"/>
          <w:b/>
          <w:sz w:val="24"/>
          <w:szCs w:val="24"/>
          <w:lang w:val="pt-BR"/>
        </w:rPr>
        <w:t>ão d</w:t>
      </w:r>
      <w:r w:rsidRPr="00506E6E">
        <w:rPr>
          <w:rFonts w:ascii="Times New Roman" w:eastAsia="Calibri" w:hAnsi="Times New Roman" w:cs="Times New Roman"/>
          <w:b/>
          <w:sz w:val="24"/>
          <w:szCs w:val="24"/>
          <w:lang w:val="pt-BR"/>
        </w:rPr>
        <w:t>a matriz de financiamento do FDU</w:t>
      </w:r>
    </w:p>
    <w:p w14:paraId="6C12BFFF" w14:textId="77777777" w:rsidR="002978B9" w:rsidRPr="00506E6E" w:rsidRDefault="002978B9" w:rsidP="002978B9">
      <w:pPr>
        <w:spacing w:after="0" w:line="360" w:lineRule="auto"/>
        <w:rPr>
          <w:rFonts w:ascii="Times New Roman" w:hAnsi="Times New Roman" w:cs="Times New Roman"/>
          <w:sz w:val="24"/>
          <w:szCs w:val="24"/>
          <w:lang w:val="pt-BR"/>
        </w:rPr>
      </w:pPr>
      <w:r w:rsidRPr="00506E6E">
        <w:rPr>
          <w:rFonts w:ascii="Times New Roman" w:hAnsi="Times New Roman" w:cs="Times New Roman"/>
          <w:sz w:val="24"/>
          <w:szCs w:val="24"/>
          <w:lang w:val="pt-BR"/>
        </w:rPr>
        <w:t>O volume de empréstimos municipais através do FDU</w:t>
      </w:r>
    </w:p>
    <w:p w14:paraId="265C78F3" w14:textId="77777777" w:rsidR="002978B9" w:rsidRPr="00506E6E" w:rsidRDefault="002978B9" w:rsidP="002978B9">
      <w:pPr>
        <w:spacing w:after="0" w:line="360" w:lineRule="auto"/>
        <w:ind w:left="720"/>
        <w:rPr>
          <w:rFonts w:ascii="Times New Roman" w:hAnsi="Times New Roman"/>
          <w:sz w:val="24"/>
          <w:szCs w:val="24"/>
          <w:lang w:val="pt-BR"/>
        </w:rPr>
      </w:pPr>
      <w:r w:rsidRPr="00506E6E">
        <w:rPr>
          <w:rFonts w:ascii="Times New Roman" w:hAnsi="Times New Roman"/>
          <w:sz w:val="24"/>
          <w:szCs w:val="24"/>
          <w:lang w:val="pt-BR"/>
        </w:rPr>
        <w:t>Um indicador do aumento do valor anual de operações de crédito do SFM para o Plano de Monitoramento e Avaliação</w:t>
      </w:r>
    </w:p>
    <w:p w14:paraId="4498B78D" w14:textId="77777777" w:rsidR="002978B9" w:rsidRPr="00506E6E" w:rsidRDefault="002978B9" w:rsidP="002978B9">
      <w:pPr>
        <w:pStyle w:val="Paragraph"/>
        <w:tabs>
          <w:tab w:val="num" w:pos="1440"/>
        </w:tabs>
        <w:spacing w:before="0" w:after="0" w:line="360" w:lineRule="auto"/>
        <w:rPr>
          <w:szCs w:val="24"/>
          <w:lang w:val="pt-BR"/>
        </w:rPr>
      </w:pPr>
      <w:r w:rsidRPr="00506E6E">
        <w:rPr>
          <w:szCs w:val="24"/>
          <w:lang w:val="pt-BR"/>
        </w:rPr>
        <w:t>Os termos dos empréstimos do FDU</w:t>
      </w:r>
    </w:p>
    <w:p w14:paraId="31C67BAF" w14:textId="77777777" w:rsidR="002978B9" w:rsidRPr="00506E6E" w:rsidRDefault="002978B9" w:rsidP="002978B9">
      <w:pPr>
        <w:shd w:val="clear" w:color="auto" w:fill="FFFFFF"/>
        <w:spacing w:after="0" w:line="360" w:lineRule="auto"/>
        <w:ind w:left="720"/>
        <w:rPr>
          <w:rFonts w:ascii="Times New Roman" w:eastAsia="Times New Roman" w:hAnsi="Times New Roman" w:cs="Times New Roman"/>
          <w:sz w:val="24"/>
          <w:szCs w:val="24"/>
          <w:lang w:val="pt-BR" w:eastAsia="pt-BR"/>
        </w:rPr>
      </w:pPr>
      <w:r w:rsidRPr="00506E6E">
        <w:rPr>
          <w:rFonts w:ascii="Times New Roman" w:eastAsia="Times New Roman" w:hAnsi="Times New Roman" w:cs="Times New Roman"/>
          <w:sz w:val="24"/>
          <w:szCs w:val="24"/>
          <w:lang w:val="pt-BR" w:eastAsia="pt-BR"/>
        </w:rPr>
        <w:t>A competividade dos termos dos empréstimos do FDU</w:t>
      </w:r>
    </w:p>
    <w:p w14:paraId="2683ABC9" w14:textId="473C06A3" w:rsidR="002978B9" w:rsidRPr="00506E6E" w:rsidRDefault="002978B9" w:rsidP="002978B9">
      <w:pPr>
        <w:shd w:val="clear" w:color="auto" w:fill="FFFFFF"/>
        <w:spacing w:after="0" w:line="360" w:lineRule="auto"/>
        <w:ind w:left="720"/>
        <w:rPr>
          <w:rFonts w:ascii="Times New Roman" w:hAnsi="Times New Roman" w:cs="Times New Roman"/>
          <w:sz w:val="24"/>
          <w:szCs w:val="24"/>
          <w:lang w:val="pt-BR"/>
        </w:rPr>
      </w:pPr>
      <w:r w:rsidRPr="001146D6">
        <w:rPr>
          <w:rFonts w:ascii="Times New Roman" w:eastAsia="Times New Roman" w:hAnsi="Times New Roman" w:cs="Times New Roman"/>
          <w:sz w:val="24"/>
          <w:szCs w:val="24"/>
          <w:lang w:val="pt-BR"/>
        </w:rPr>
        <w:t>A Taxa de Longo Prazo</w:t>
      </w:r>
    </w:p>
    <w:p w14:paraId="2462153D" w14:textId="77777777" w:rsidR="002978B9" w:rsidRPr="00506E6E" w:rsidRDefault="002978B9" w:rsidP="002978B9">
      <w:pPr>
        <w:pStyle w:val="BodyText"/>
        <w:spacing w:after="0" w:line="360" w:lineRule="auto"/>
        <w:rPr>
          <w:rFonts w:ascii="Times New Roman" w:eastAsia="Calibri" w:hAnsi="Times New Roman" w:cs="Times New Roman"/>
          <w:b/>
          <w:sz w:val="24"/>
          <w:szCs w:val="24"/>
          <w:lang w:val="pt-BR"/>
        </w:rPr>
      </w:pPr>
      <w:r w:rsidRPr="00506E6E">
        <w:rPr>
          <w:rFonts w:ascii="Times New Roman" w:hAnsi="Times New Roman" w:cs="Times New Roman"/>
          <w:b/>
          <w:sz w:val="24"/>
          <w:szCs w:val="24"/>
          <w:lang w:val="pt-BR"/>
        </w:rPr>
        <w:t>Capítulo III.  A s</w:t>
      </w:r>
      <w:r w:rsidRPr="00506E6E">
        <w:rPr>
          <w:rFonts w:ascii="Times New Roman" w:eastAsia="Calibri" w:hAnsi="Times New Roman" w:cs="Times New Roman"/>
          <w:b/>
          <w:sz w:val="24"/>
          <w:szCs w:val="24"/>
          <w:lang w:val="pt-BR"/>
        </w:rPr>
        <w:t xml:space="preserve">ustentabilidade do SFM: </w:t>
      </w:r>
      <w:r w:rsidRPr="00506E6E">
        <w:rPr>
          <w:rFonts w:ascii="Times New Roman" w:hAnsi="Times New Roman" w:cs="Times New Roman"/>
          <w:b/>
          <w:sz w:val="24"/>
          <w:szCs w:val="24"/>
          <w:lang w:val="pt-BR"/>
        </w:rPr>
        <w:t>Simulações financeiras do FDU: 2018/2038</w:t>
      </w:r>
    </w:p>
    <w:p w14:paraId="61D5891E" w14:textId="0298707F" w:rsidR="002978B9" w:rsidRPr="00C53107" w:rsidRDefault="00595CB8" w:rsidP="002978B9">
      <w:pPr>
        <w:shd w:val="clear" w:color="auto" w:fill="FFFFFF"/>
        <w:spacing w:after="0" w:line="360" w:lineRule="auto"/>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As simulações</w:t>
      </w:r>
      <w:r w:rsidR="002978B9" w:rsidRPr="00C53107">
        <w:rPr>
          <w:rFonts w:ascii="Times New Roman" w:eastAsia="Times New Roman" w:hAnsi="Times New Roman" w:cs="Times New Roman"/>
          <w:sz w:val="24"/>
          <w:szCs w:val="24"/>
          <w:lang w:val="pt-BR" w:eastAsia="pt-BR"/>
        </w:rPr>
        <w:t xml:space="preserve"> com o método de cenários </w:t>
      </w:r>
    </w:p>
    <w:p w14:paraId="57FA3A6F" w14:textId="519EE2C2" w:rsidR="002978B9" w:rsidRPr="00C53107" w:rsidRDefault="00595CB8" w:rsidP="002978B9">
      <w:pPr>
        <w:spacing w:after="0" w:line="360" w:lineRule="auto"/>
        <w:rPr>
          <w:rFonts w:ascii="Times New Roman" w:hAnsi="Times New Roman" w:cs="Times New Roman"/>
          <w:sz w:val="24"/>
          <w:szCs w:val="24"/>
          <w:lang w:val="pt-BR"/>
        </w:rPr>
      </w:pPr>
      <w:r>
        <w:rPr>
          <w:rFonts w:ascii="Times New Roman" w:eastAsia="Times New Roman" w:hAnsi="Times New Roman" w:cs="Times New Roman"/>
          <w:sz w:val="24"/>
          <w:szCs w:val="24"/>
          <w:lang w:val="pt-BR" w:eastAsia="pt-BR"/>
        </w:rPr>
        <w:lastRenderedPageBreak/>
        <w:t>As simulações</w:t>
      </w:r>
      <w:r w:rsidR="002978B9" w:rsidRPr="00C53107">
        <w:rPr>
          <w:rFonts w:ascii="Times New Roman" w:eastAsia="Times New Roman" w:hAnsi="Times New Roman" w:cs="Times New Roman"/>
          <w:sz w:val="24"/>
          <w:szCs w:val="24"/>
          <w:lang w:val="pt-BR" w:eastAsia="pt-BR"/>
        </w:rPr>
        <w:t xml:space="preserve"> com o método </w:t>
      </w:r>
      <w:r w:rsidR="002978B9" w:rsidRPr="00C53107">
        <w:rPr>
          <w:rFonts w:ascii="Times New Roman" w:hAnsi="Times New Roman" w:cs="Times New Roman"/>
          <w:sz w:val="24"/>
          <w:szCs w:val="24"/>
          <w:lang w:val="pt-BR"/>
        </w:rPr>
        <w:t>Monte Carlo</w:t>
      </w:r>
    </w:p>
    <w:p w14:paraId="35A09BCD" w14:textId="77777777" w:rsidR="002978B9" w:rsidRPr="00C53107" w:rsidRDefault="002978B9" w:rsidP="002978B9">
      <w:pPr>
        <w:shd w:val="clear" w:color="auto" w:fill="FFFFFF"/>
        <w:spacing w:after="0" w:line="360" w:lineRule="auto"/>
        <w:rPr>
          <w:rFonts w:ascii="Times New Roman" w:eastAsia="Times New Roman" w:hAnsi="Times New Roman" w:cs="Times New Roman"/>
          <w:sz w:val="24"/>
          <w:szCs w:val="24"/>
          <w:lang w:val="pt-PT" w:eastAsia="pt-BR"/>
        </w:rPr>
      </w:pPr>
      <w:r w:rsidRPr="00C53107">
        <w:rPr>
          <w:rFonts w:ascii="Times New Roman" w:eastAsia="Times New Roman" w:hAnsi="Times New Roman" w:cs="Times New Roman"/>
          <w:sz w:val="24"/>
          <w:szCs w:val="24"/>
          <w:lang w:val="pt-PT" w:eastAsia="pt-BR"/>
        </w:rPr>
        <w:t>Os requisitos relativos ao funcionamento e manutenção dos investimentos municipais</w:t>
      </w:r>
    </w:p>
    <w:p w14:paraId="6D85DB64" w14:textId="77777777" w:rsidR="002978B9" w:rsidRPr="00C53107" w:rsidRDefault="002978B9" w:rsidP="002978B9">
      <w:pPr>
        <w:pStyle w:val="BodyText"/>
        <w:spacing w:after="0" w:line="360" w:lineRule="auto"/>
        <w:rPr>
          <w:rFonts w:ascii="Times New Roman" w:eastAsia="Calibri" w:hAnsi="Times New Roman" w:cs="Times New Roman"/>
          <w:b/>
          <w:sz w:val="24"/>
          <w:szCs w:val="24"/>
          <w:lang w:val="pt-BR"/>
        </w:rPr>
      </w:pPr>
      <w:r w:rsidRPr="00C53107">
        <w:rPr>
          <w:rFonts w:ascii="Times New Roman" w:hAnsi="Times New Roman" w:cs="Times New Roman"/>
          <w:b/>
          <w:sz w:val="24"/>
          <w:szCs w:val="24"/>
          <w:lang w:val="pt-BR"/>
        </w:rPr>
        <w:t xml:space="preserve">Capítulo IV.  </w:t>
      </w:r>
      <w:r w:rsidRPr="00C53107">
        <w:rPr>
          <w:rFonts w:ascii="Times New Roman" w:eastAsia="Calibri" w:hAnsi="Times New Roman" w:cs="Times New Roman"/>
          <w:b/>
          <w:sz w:val="24"/>
          <w:szCs w:val="24"/>
          <w:lang w:val="pt-BR"/>
        </w:rPr>
        <w:t>Prospecção de Novos instrumentos</w:t>
      </w:r>
    </w:p>
    <w:p w14:paraId="433E75F4" w14:textId="17B0D033" w:rsidR="002978B9" w:rsidRPr="00C53107" w:rsidRDefault="002978B9" w:rsidP="002978B9">
      <w:pPr>
        <w:autoSpaceDE w:val="0"/>
        <w:autoSpaceDN w:val="0"/>
        <w:adjustRightInd w:val="0"/>
        <w:spacing w:after="0" w:line="360" w:lineRule="auto"/>
        <w:rPr>
          <w:rFonts w:ascii="Times New Roman" w:hAnsi="Times New Roman" w:cs="Times New Roman"/>
          <w:sz w:val="24"/>
          <w:szCs w:val="24"/>
          <w:highlight w:val="yellow"/>
          <w:lang w:val="pt-BR"/>
        </w:rPr>
      </w:pPr>
      <w:r w:rsidRPr="00C53107">
        <w:rPr>
          <w:rFonts w:ascii="Times New Roman" w:hAnsi="Times New Roman" w:cs="Times New Roman"/>
          <w:sz w:val="24"/>
          <w:szCs w:val="24"/>
          <w:lang w:val="pt-BR"/>
        </w:rPr>
        <w:t>As condições da matriz de financiamento</w:t>
      </w:r>
    </w:p>
    <w:p w14:paraId="4E3FD766" w14:textId="77777777" w:rsidR="002978B9" w:rsidRPr="00C53107" w:rsidRDefault="002978B9" w:rsidP="002978B9">
      <w:pPr>
        <w:spacing w:after="0" w:line="360" w:lineRule="auto"/>
        <w:rPr>
          <w:rFonts w:ascii="Times New Roman" w:hAnsi="Times New Roman" w:cs="Times New Roman"/>
          <w:sz w:val="24"/>
          <w:szCs w:val="24"/>
          <w:lang w:val="pt-BR"/>
        </w:rPr>
      </w:pPr>
      <w:r w:rsidRPr="00C53107">
        <w:rPr>
          <w:rFonts w:ascii="Times New Roman" w:hAnsi="Times New Roman" w:cs="Times New Roman"/>
          <w:sz w:val="24"/>
          <w:szCs w:val="24"/>
          <w:lang w:val="pt-BR"/>
        </w:rPr>
        <w:t>Incentivos para melhoramentos no desempenho financeiro dos municípios</w:t>
      </w:r>
    </w:p>
    <w:p w14:paraId="02374205" w14:textId="77777777" w:rsidR="002978B9" w:rsidRPr="00C53107" w:rsidRDefault="002978B9" w:rsidP="002978B9">
      <w:pPr>
        <w:spacing w:after="0" w:line="360" w:lineRule="auto"/>
        <w:rPr>
          <w:rFonts w:ascii="Times New Roman" w:hAnsi="Times New Roman" w:cs="Times New Roman"/>
          <w:sz w:val="24"/>
          <w:szCs w:val="24"/>
          <w:lang w:val="pt-BR"/>
        </w:rPr>
      </w:pPr>
      <w:r w:rsidRPr="00C53107">
        <w:rPr>
          <w:rFonts w:ascii="Times New Roman" w:hAnsi="Times New Roman" w:cs="Times New Roman"/>
          <w:sz w:val="24"/>
          <w:szCs w:val="24"/>
          <w:lang w:val="pt-BR"/>
        </w:rPr>
        <w:t>Incentivos para utilização de um processo de planejamento mais integrado aos projetos de infraestrutura</w:t>
      </w:r>
    </w:p>
    <w:p w14:paraId="1CEC64C1" w14:textId="77777777" w:rsidR="002978B9" w:rsidRPr="00C53107" w:rsidRDefault="002978B9" w:rsidP="002978B9">
      <w:pPr>
        <w:spacing w:after="0" w:line="360" w:lineRule="auto"/>
        <w:rPr>
          <w:rFonts w:ascii="Times New Roman" w:hAnsi="Times New Roman" w:cs="Times New Roman"/>
          <w:sz w:val="24"/>
          <w:szCs w:val="24"/>
          <w:lang w:val="pt-BR"/>
        </w:rPr>
      </w:pPr>
      <w:r w:rsidRPr="00C53107">
        <w:rPr>
          <w:rFonts w:ascii="Times New Roman" w:hAnsi="Times New Roman" w:cs="Times New Roman"/>
          <w:sz w:val="24"/>
          <w:szCs w:val="24"/>
          <w:lang w:val="pt-BR"/>
        </w:rPr>
        <w:t>Incentivos para a utilização dos instrumentos de captura do valor criado pelos investimentos e outras ações municipais</w:t>
      </w:r>
    </w:p>
    <w:p w14:paraId="33E1F6AA" w14:textId="77777777" w:rsidR="002978B9" w:rsidRPr="00C53107" w:rsidRDefault="002978B9" w:rsidP="002978B9">
      <w:pPr>
        <w:spacing w:after="0" w:line="360" w:lineRule="auto"/>
        <w:ind w:left="720"/>
        <w:rPr>
          <w:rFonts w:ascii="Times New Roman" w:hAnsi="Times New Roman" w:cs="Times New Roman"/>
          <w:sz w:val="24"/>
          <w:szCs w:val="24"/>
          <w:lang w:val="pt-BR"/>
        </w:rPr>
      </w:pPr>
      <w:r w:rsidRPr="00C53107">
        <w:rPr>
          <w:rFonts w:ascii="Times New Roman" w:hAnsi="Times New Roman" w:cs="Times New Roman"/>
          <w:sz w:val="24"/>
          <w:szCs w:val="24"/>
          <w:lang w:val="pt-BR"/>
        </w:rPr>
        <w:t>IPTU, ITBI e Contribuição de Melhoria</w:t>
      </w:r>
    </w:p>
    <w:p w14:paraId="7EC0AB39" w14:textId="77777777" w:rsidR="002978B9" w:rsidRPr="00C53107" w:rsidRDefault="002978B9" w:rsidP="002978B9">
      <w:pPr>
        <w:spacing w:after="0" w:line="360" w:lineRule="auto"/>
        <w:ind w:left="720"/>
        <w:rPr>
          <w:rFonts w:ascii="Times New Roman" w:hAnsi="Times New Roman" w:cs="Times New Roman"/>
          <w:sz w:val="24"/>
          <w:szCs w:val="24"/>
          <w:lang w:val="pt-BR"/>
        </w:rPr>
      </w:pPr>
      <w:r w:rsidRPr="00C53107">
        <w:rPr>
          <w:rFonts w:ascii="Times New Roman" w:hAnsi="Times New Roman" w:cs="Times New Roman"/>
          <w:sz w:val="24"/>
          <w:szCs w:val="24"/>
          <w:lang w:val="pt-BR"/>
        </w:rPr>
        <w:t>Outorga Onerosa e CEPACs</w:t>
      </w:r>
    </w:p>
    <w:p w14:paraId="4075B73F" w14:textId="6B18C321" w:rsidR="002978B9" w:rsidRDefault="002978B9" w:rsidP="002978B9">
      <w:pPr>
        <w:spacing w:after="0" w:line="360" w:lineRule="auto"/>
        <w:ind w:firstLine="720"/>
        <w:rPr>
          <w:rFonts w:ascii="Times New Roman" w:hAnsi="Times New Roman" w:cs="Times New Roman"/>
          <w:sz w:val="24"/>
          <w:szCs w:val="24"/>
          <w:lang w:val="pt-BR"/>
        </w:rPr>
      </w:pPr>
      <w:r w:rsidRPr="00C53107">
        <w:rPr>
          <w:rFonts w:ascii="Times New Roman" w:hAnsi="Times New Roman" w:cs="Times New Roman"/>
          <w:sz w:val="24"/>
          <w:szCs w:val="24"/>
          <w:lang w:val="pt-BR"/>
        </w:rPr>
        <w:t>Os incentivos para utilizar os instrumentos de captura de valor</w:t>
      </w:r>
    </w:p>
    <w:p w14:paraId="758B72F1" w14:textId="77777777" w:rsidR="00555EA3" w:rsidRPr="00555EA3" w:rsidRDefault="00555EA3" w:rsidP="00555EA3">
      <w:pPr>
        <w:spacing w:after="0" w:line="360" w:lineRule="auto"/>
        <w:ind w:left="709"/>
        <w:rPr>
          <w:rFonts w:ascii="Times New Roman" w:hAnsi="Times New Roman" w:cs="Times New Roman"/>
          <w:sz w:val="24"/>
          <w:szCs w:val="24"/>
          <w:lang w:val="pt-BR"/>
        </w:rPr>
      </w:pPr>
      <w:r w:rsidRPr="00555EA3">
        <w:rPr>
          <w:rFonts w:ascii="Times New Roman" w:hAnsi="Times New Roman" w:cs="Times New Roman"/>
          <w:sz w:val="24"/>
          <w:szCs w:val="24"/>
          <w:lang w:val="pt-BR"/>
        </w:rPr>
        <w:t>Qual o montante da valorização a ser capturado para o financiamento de investimentos em infraestrutura?</w:t>
      </w:r>
    </w:p>
    <w:p w14:paraId="7F03CA5E" w14:textId="77777777" w:rsidR="002978B9" w:rsidRPr="00C2144C" w:rsidRDefault="002978B9" w:rsidP="002978B9">
      <w:pPr>
        <w:spacing w:after="0" w:line="360" w:lineRule="auto"/>
        <w:ind w:left="709"/>
        <w:rPr>
          <w:rFonts w:ascii="Times New Roman" w:hAnsi="Times New Roman" w:cs="Times New Roman"/>
          <w:sz w:val="24"/>
          <w:szCs w:val="24"/>
          <w:lang w:val="pt-BR"/>
        </w:rPr>
      </w:pPr>
      <w:r w:rsidRPr="00C2144C">
        <w:rPr>
          <w:rFonts w:ascii="Times New Roman" w:hAnsi="Times New Roman" w:cs="Times New Roman"/>
          <w:sz w:val="24"/>
          <w:szCs w:val="24"/>
          <w:lang w:val="pt-BR"/>
        </w:rPr>
        <w:t>A importância de um cadastro moderno como primeiro passo em uma estratégia de captura de valor</w:t>
      </w:r>
    </w:p>
    <w:p w14:paraId="4F777A39" w14:textId="3FE60F18" w:rsidR="002978B9" w:rsidRPr="00C2144C" w:rsidRDefault="002978B9" w:rsidP="002978B9">
      <w:pPr>
        <w:spacing w:before="240"/>
        <w:rPr>
          <w:rFonts w:ascii="Times New Roman" w:hAnsi="Times New Roman" w:cs="Times New Roman"/>
          <w:sz w:val="24"/>
          <w:szCs w:val="24"/>
          <w:lang w:val="pt-BR"/>
        </w:rPr>
      </w:pPr>
      <w:r w:rsidRPr="00C2144C">
        <w:rPr>
          <w:rFonts w:ascii="Times New Roman" w:hAnsi="Times New Roman" w:cs="Times New Roman"/>
          <w:sz w:val="24"/>
          <w:szCs w:val="24"/>
          <w:lang w:val="pt-BR"/>
        </w:rPr>
        <w:t>Financiamento específic</w:t>
      </w:r>
      <w:r w:rsidR="00A63CDB">
        <w:rPr>
          <w:rFonts w:ascii="Times New Roman" w:hAnsi="Times New Roman" w:cs="Times New Roman"/>
          <w:sz w:val="24"/>
          <w:szCs w:val="24"/>
          <w:lang w:val="pt-BR"/>
        </w:rPr>
        <w:t>o</w:t>
      </w:r>
      <w:r w:rsidRPr="00C2144C">
        <w:rPr>
          <w:rFonts w:ascii="Times New Roman" w:hAnsi="Times New Roman" w:cs="Times New Roman"/>
          <w:sz w:val="24"/>
          <w:szCs w:val="24"/>
          <w:lang w:val="pt-BR"/>
        </w:rPr>
        <w:t xml:space="preserve"> para a preparação de projetos </w:t>
      </w:r>
      <w:r w:rsidR="00A63CDB">
        <w:rPr>
          <w:rFonts w:ascii="Times New Roman" w:hAnsi="Times New Roman" w:cs="Times New Roman"/>
          <w:sz w:val="24"/>
          <w:szCs w:val="24"/>
          <w:lang w:val="pt-BR"/>
        </w:rPr>
        <w:t>inovadores</w:t>
      </w:r>
    </w:p>
    <w:p w14:paraId="3598C323" w14:textId="77777777" w:rsidR="002978B9" w:rsidRPr="00C53107" w:rsidRDefault="002978B9" w:rsidP="002978B9">
      <w:pPr>
        <w:autoSpaceDE w:val="0"/>
        <w:autoSpaceDN w:val="0"/>
        <w:adjustRightInd w:val="0"/>
        <w:spacing w:after="0" w:line="360" w:lineRule="auto"/>
        <w:rPr>
          <w:rFonts w:ascii="Times New Roman" w:hAnsi="Times New Roman" w:cs="Times New Roman"/>
          <w:sz w:val="24"/>
          <w:szCs w:val="24"/>
          <w:lang w:val="pt-BR"/>
        </w:rPr>
      </w:pPr>
      <w:r w:rsidRPr="00C53107">
        <w:rPr>
          <w:rFonts w:ascii="Times New Roman" w:hAnsi="Times New Roman" w:cs="Times New Roman"/>
          <w:sz w:val="24"/>
          <w:szCs w:val="24"/>
          <w:lang w:val="pt-BR"/>
        </w:rPr>
        <w:t>Outros novos instrumentos</w:t>
      </w:r>
    </w:p>
    <w:p w14:paraId="4082D4CE" w14:textId="77777777" w:rsidR="002978B9" w:rsidRPr="00A63CDB" w:rsidRDefault="002978B9" w:rsidP="002978B9">
      <w:pPr>
        <w:autoSpaceDE w:val="0"/>
        <w:autoSpaceDN w:val="0"/>
        <w:adjustRightInd w:val="0"/>
        <w:spacing w:after="0" w:line="360" w:lineRule="auto"/>
        <w:ind w:left="720"/>
        <w:rPr>
          <w:rFonts w:ascii="Times New Roman" w:hAnsi="Times New Roman" w:cs="Times New Roman"/>
          <w:sz w:val="24"/>
          <w:szCs w:val="24"/>
          <w:lang w:val="pt-BR"/>
        </w:rPr>
      </w:pPr>
      <w:r w:rsidRPr="00C53107">
        <w:rPr>
          <w:rFonts w:ascii="Times New Roman" w:hAnsi="Times New Roman" w:cs="Times New Roman"/>
          <w:sz w:val="24"/>
          <w:szCs w:val="24"/>
          <w:lang w:val="pt-BR"/>
        </w:rPr>
        <w:t xml:space="preserve">Financiamento dos parceiros </w:t>
      </w:r>
      <w:r w:rsidRPr="00A63CDB">
        <w:rPr>
          <w:rFonts w:ascii="Times New Roman" w:hAnsi="Times New Roman" w:cs="Times New Roman"/>
          <w:sz w:val="24"/>
          <w:szCs w:val="24"/>
          <w:lang w:val="pt-BR"/>
        </w:rPr>
        <w:t>privados dos municípios</w:t>
      </w:r>
    </w:p>
    <w:p w14:paraId="762ABA6D" w14:textId="77777777" w:rsidR="002978B9" w:rsidRPr="00C53107" w:rsidRDefault="002978B9" w:rsidP="002978B9">
      <w:pPr>
        <w:autoSpaceDE w:val="0"/>
        <w:autoSpaceDN w:val="0"/>
        <w:adjustRightInd w:val="0"/>
        <w:spacing w:after="0" w:line="360" w:lineRule="auto"/>
        <w:ind w:left="720"/>
        <w:rPr>
          <w:rFonts w:ascii="Times New Roman" w:hAnsi="Times New Roman" w:cs="Times New Roman"/>
          <w:sz w:val="24"/>
          <w:szCs w:val="24"/>
          <w:lang w:val="pt-BR"/>
        </w:rPr>
      </w:pPr>
      <w:r w:rsidRPr="00C53107">
        <w:rPr>
          <w:rFonts w:ascii="Times New Roman" w:hAnsi="Times New Roman" w:cs="Times New Roman"/>
          <w:sz w:val="24"/>
          <w:szCs w:val="24"/>
          <w:lang w:val="pt-BR"/>
        </w:rPr>
        <w:t>Participação do setor privado no financiamento do SFM</w:t>
      </w:r>
    </w:p>
    <w:p w14:paraId="603ECE66" w14:textId="77777777" w:rsidR="002978B9" w:rsidRPr="00C53107" w:rsidRDefault="002978B9" w:rsidP="002978B9">
      <w:pPr>
        <w:spacing w:after="0" w:line="360" w:lineRule="auto"/>
        <w:rPr>
          <w:rFonts w:ascii="Times New Roman" w:hAnsi="Times New Roman" w:cs="Times New Roman"/>
          <w:b/>
          <w:sz w:val="24"/>
          <w:szCs w:val="24"/>
          <w:lang w:val="pt-BR"/>
        </w:rPr>
      </w:pPr>
      <w:r w:rsidRPr="00C53107">
        <w:rPr>
          <w:rFonts w:ascii="Times New Roman" w:hAnsi="Times New Roman" w:cs="Times New Roman"/>
          <w:b/>
          <w:sz w:val="24"/>
          <w:szCs w:val="24"/>
          <w:lang w:val="pt-BR"/>
        </w:rPr>
        <w:t>Uma nota final</w:t>
      </w:r>
    </w:p>
    <w:p w14:paraId="648100FC" w14:textId="77777777" w:rsidR="002978B9" w:rsidRDefault="002978B9" w:rsidP="002978B9">
      <w:pPr>
        <w:spacing w:after="0" w:line="360" w:lineRule="auto"/>
        <w:rPr>
          <w:rFonts w:ascii="Times New Roman" w:hAnsi="Times New Roman" w:cs="Times New Roman"/>
          <w:b/>
          <w:sz w:val="24"/>
          <w:szCs w:val="24"/>
          <w:lang w:val="pt-BR"/>
        </w:rPr>
      </w:pPr>
    </w:p>
    <w:p w14:paraId="440FACE5" w14:textId="77777777" w:rsidR="002978B9" w:rsidRDefault="002978B9" w:rsidP="002978B9">
      <w:pPr>
        <w:spacing w:after="0" w:line="360" w:lineRule="auto"/>
        <w:rPr>
          <w:rFonts w:ascii="Times New Roman" w:hAnsi="Times New Roman" w:cs="Times New Roman"/>
          <w:b/>
          <w:sz w:val="24"/>
          <w:szCs w:val="24"/>
          <w:lang w:val="pt-BR"/>
        </w:rPr>
      </w:pPr>
      <w:r>
        <w:rPr>
          <w:rFonts w:ascii="Times New Roman" w:hAnsi="Times New Roman" w:cs="Times New Roman"/>
          <w:b/>
          <w:sz w:val="24"/>
          <w:szCs w:val="24"/>
          <w:lang w:val="pt-BR"/>
        </w:rPr>
        <w:t>ANEXOS</w:t>
      </w:r>
    </w:p>
    <w:p w14:paraId="2868B5DE" w14:textId="77777777" w:rsidR="002978B9" w:rsidRPr="00C53107" w:rsidRDefault="002978B9" w:rsidP="002978B9">
      <w:pPr>
        <w:spacing w:after="0" w:line="360" w:lineRule="auto"/>
        <w:rPr>
          <w:rFonts w:ascii="Times New Roman" w:hAnsi="Times New Roman" w:cs="Times New Roman"/>
          <w:sz w:val="24"/>
          <w:szCs w:val="24"/>
          <w:lang w:val="pt-BR"/>
        </w:rPr>
      </w:pPr>
      <w:r w:rsidRPr="00C53107">
        <w:rPr>
          <w:rFonts w:ascii="Times New Roman" w:hAnsi="Times New Roman" w:cs="Times New Roman"/>
          <w:sz w:val="24"/>
          <w:szCs w:val="24"/>
          <w:lang w:val="pt-BR"/>
        </w:rPr>
        <w:t>Anexo A. Juros sobre o Capital Próprio:  Cotações relevantes de leis e regulamentos</w:t>
      </w:r>
    </w:p>
    <w:p w14:paraId="5415D5F8" w14:textId="77777777" w:rsidR="002978B9" w:rsidRPr="00C53107" w:rsidRDefault="002978B9" w:rsidP="002978B9">
      <w:pPr>
        <w:spacing w:after="0" w:line="360" w:lineRule="auto"/>
        <w:outlineLvl w:val="2"/>
        <w:rPr>
          <w:rFonts w:ascii="Times New Roman" w:eastAsia="Times New Roman" w:hAnsi="Times New Roman" w:cs="Times New Roman"/>
          <w:bCs/>
          <w:sz w:val="24"/>
          <w:szCs w:val="24"/>
          <w:lang w:val="pt-BR"/>
        </w:rPr>
      </w:pPr>
      <w:r w:rsidRPr="00C53107">
        <w:rPr>
          <w:rFonts w:ascii="Times New Roman" w:eastAsia="Times New Roman" w:hAnsi="Times New Roman" w:cs="Times New Roman"/>
          <w:bCs/>
          <w:sz w:val="24"/>
          <w:szCs w:val="24"/>
          <w:lang w:val="pt-BR"/>
        </w:rPr>
        <w:t>Anexo B. A metodologia para cálculo da TLP</w:t>
      </w:r>
    </w:p>
    <w:p w14:paraId="64BE8081" w14:textId="77777777" w:rsidR="002978B9" w:rsidRPr="00C53107" w:rsidRDefault="002978B9" w:rsidP="002978B9">
      <w:pPr>
        <w:spacing w:after="0" w:line="360" w:lineRule="auto"/>
        <w:rPr>
          <w:rFonts w:ascii="Times New Roman" w:eastAsia="Times New Roman" w:hAnsi="Times New Roman" w:cs="Times New Roman"/>
          <w:sz w:val="24"/>
          <w:szCs w:val="24"/>
          <w:lang w:val="pt-BR"/>
        </w:rPr>
      </w:pPr>
      <w:r w:rsidRPr="00C53107">
        <w:rPr>
          <w:rFonts w:ascii="Times New Roman" w:hAnsi="Times New Roman" w:cs="Times New Roman"/>
          <w:color w:val="000000"/>
          <w:sz w:val="24"/>
          <w:szCs w:val="24"/>
          <w:lang w:val="pt-BR"/>
        </w:rPr>
        <w:t xml:space="preserve">Anexo C. </w:t>
      </w:r>
      <w:r w:rsidRPr="00C53107">
        <w:rPr>
          <w:rFonts w:ascii="Times New Roman" w:eastAsia="Times New Roman" w:hAnsi="Times New Roman" w:cs="Times New Roman"/>
          <w:sz w:val="24"/>
          <w:szCs w:val="24"/>
          <w:lang w:val="pt-BR"/>
        </w:rPr>
        <w:t>Os possíveis impactos da TLP sobre o programa do SFM</w:t>
      </w:r>
    </w:p>
    <w:p w14:paraId="7B54C6E7" w14:textId="77777777" w:rsidR="002978B9" w:rsidRPr="00C53107" w:rsidRDefault="002978B9" w:rsidP="002978B9">
      <w:pPr>
        <w:spacing w:after="0" w:line="360" w:lineRule="auto"/>
        <w:rPr>
          <w:rFonts w:ascii="Times New Roman" w:hAnsi="Times New Roman" w:cs="Times New Roman"/>
          <w:color w:val="000000"/>
          <w:sz w:val="24"/>
          <w:szCs w:val="24"/>
          <w:lang w:val="pt-BR"/>
        </w:rPr>
      </w:pPr>
      <w:r w:rsidRPr="00C53107">
        <w:rPr>
          <w:rStyle w:val="Hyperlink"/>
          <w:rFonts w:ascii="Times New Roman" w:hAnsi="Times New Roman" w:cs="Times New Roman"/>
          <w:color w:val="auto"/>
          <w:sz w:val="24"/>
          <w:szCs w:val="24"/>
          <w:u w:val="none"/>
          <w:lang w:val="pt-BR"/>
        </w:rPr>
        <w:t xml:space="preserve">Anexo D. </w:t>
      </w:r>
      <w:r w:rsidRPr="00C53107">
        <w:rPr>
          <w:rFonts w:ascii="Times New Roman" w:hAnsi="Times New Roman" w:cs="Times New Roman"/>
          <w:color w:val="000000"/>
          <w:sz w:val="24"/>
          <w:szCs w:val="24"/>
          <w:lang w:val="pt-BR"/>
        </w:rPr>
        <w:t>Os ratings das agências Fitch e Moody’s</w:t>
      </w:r>
    </w:p>
    <w:p w14:paraId="7E5F7749" w14:textId="77777777" w:rsidR="002978B9" w:rsidRPr="00C53107" w:rsidRDefault="002978B9" w:rsidP="002978B9">
      <w:pPr>
        <w:spacing w:after="0" w:line="360" w:lineRule="auto"/>
        <w:rPr>
          <w:rStyle w:val="Hyperlink"/>
          <w:rFonts w:ascii="Times New Roman" w:hAnsi="Times New Roman" w:cs="Times New Roman"/>
          <w:color w:val="auto"/>
          <w:sz w:val="24"/>
          <w:szCs w:val="24"/>
          <w:u w:val="none"/>
          <w:lang w:val="pt-BR"/>
        </w:rPr>
      </w:pPr>
      <w:r w:rsidRPr="00C53107">
        <w:rPr>
          <w:rStyle w:val="Hyperlink"/>
          <w:rFonts w:ascii="Times New Roman" w:hAnsi="Times New Roman" w:cs="Times New Roman"/>
          <w:color w:val="auto"/>
          <w:sz w:val="24"/>
          <w:szCs w:val="24"/>
          <w:u w:val="none"/>
          <w:lang w:val="pt-BR"/>
        </w:rPr>
        <w:t>Anexo E. Os Resultados da Simulação Monte Carlo</w:t>
      </w:r>
    </w:p>
    <w:p w14:paraId="2F7036F6" w14:textId="77777777" w:rsidR="002978B9" w:rsidRPr="00CA2760" w:rsidRDefault="002978B9" w:rsidP="002978B9">
      <w:pPr>
        <w:autoSpaceDE w:val="0"/>
        <w:autoSpaceDN w:val="0"/>
        <w:adjustRightInd w:val="0"/>
        <w:spacing w:before="240" w:line="240" w:lineRule="auto"/>
        <w:rPr>
          <w:rFonts w:ascii="Times New Roman" w:hAnsi="Times New Roman" w:cs="Times New Roman"/>
          <w:b/>
          <w:bCs/>
          <w:sz w:val="24"/>
          <w:szCs w:val="24"/>
          <w:lang w:val="pt-BR"/>
        </w:rPr>
      </w:pPr>
      <w:r w:rsidRPr="00CA2760">
        <w:rPr>
          <w:rFonts w:ascii="Times New Roman" w:hAnsi="Times New Roman" w:cs="Times New Roman"/>
          <w:b/>
          <w:bCs/>
          <w:sz w:val="24"/>
          <w:szCs w:val="24"/>
          <w:lang w:val="pt-BR"/>
        </w:rPr>
        <w:t>REFERÊNCIAS</w:t>
      </w:r>
    </w:p>
    <w:p w14:paraId="3291E7B0" w14:textId="77777777" w:rsidR="00C46123" w:rsidRPr="00CA2760" w:rsidRDefault="00C46123" w:rsidP="00C46123">
      <w:pPr>
        <w:rPr>
          <w:rFonts w:ascii="Times New Roman" w:hAnsi="Times New Roman" w:cs="Times New Roman"/>
          <w:b/>
          <w:sz w:val="24"/>
          <w:szCs w:val="24"/>
          <w:u w:val="single"/>
          <w:lang w:val="pt-BR"/>
        </w:rPr>
      </w:pPr>
      <w:r w:rsidRPr="00CA2760">
        <w:rPr>
          <w:rFonts w:ascii="Times New Roman" w:hAnsi="Times New Roman" w:cs="Times New Roman"/>
          <w:b/>
          <w:sz w:val="24"/>
          <w:szCs w:val="24"/>
          <w:u w:val="single"/>
          <w:lang w:val="pt-BR"/>
        </w:rPr>
        <w:br w:type="page"/>
      </w:r>
    </w:p>
    <w:p w14:paraId="66CA3E52" w14:textId="77777777" w:rsidR="002C2A19" w:rsidRPr="00CA2760" w:rsidRDefault="002C2A19" w:rsidP="005D083C">
      <w:pPr>
        <w:spacing w:after="0" w:line="360" w:lineRule="auto"/>
        <w:jc w:val="center"/>
        <w:rPr>
          <w:rFonts w:ascii="Times New Roman" w:hAnsi="Times New Roman" w:cs="Times New Roman"/>
          <w:b/>
          <w:sz w:val="24"/>
          <w:szCs w:val="24"/>
          <w:u w:val="single"/>
          <w:lang w:val="pt-BR"/>
        </w:rPr>
      </w:pPr>
      <w:r>
        <w:rPr>
          <w:rFonts w:ascii="Times New Roman" w:eastAsia="Times New Roman" w:hAnsi="Times New Roman" w:cs="Times New Roman"/>
          <w:b/>
          <w:color w:val="000000"/>
          <w:sz w:val="24"/>
          <w:szCs w:val="24"/>
          <w:lang w:val="pt-BR"/>
        </w:rPr>
        <w:lastRenderedPageBreak/>
        <w:t>LISTA DE SIGLAS</w:t>
      </w:r>
    </w:p>
    <w:tbl>
      <w:tblPr>
        <w:tblStyle w:val="TableGrid"/>
        <w:tblW w:w="9493" w:type="dxa"/>
        <w:tblLook w:val="04A0" w:firstRow="1" w:lastRow="0" w:firstColumn="1" w:lastColumn="0" w:noHBand="0" w:noVBand="1"/>
      </w:tblPr>
      <w:tblGrid>
        <w:gridCol w:w="1980"/>
        <w:gridCol w:w="7513"/>
      </w:tblGrid>
      <w:tr w:rsidR="00B02233" w:rsidRPr="00A31500" w14:paraId="026F14C5" w14:textId="77777777" w:rsidTr="00F575DC">
        <w:trPr>
          <w:trHeight w:val="312"/>
        </w:trPr>
        <w:tc>
          <w:tcPr>
            <w:tcW w:w="1980" w:type="dxa"/>
            <w:noWrap/>
            <w:hideMark/>
          </w:tcPr>
          <w:p w14:paraId="7D6A9367"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AFPR</w:t>
            </w:r>
          </w:p>
        </w:tc>
        <w:tc>
          <w:tcPr>
            <w:tcW w:w="7513" w:type="dxa"/>
            <w:noWrap/>
            <w:hideMark/>
          </w:tcPr>
          <w:p w14:paraId="7CA5DF29"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Agência de Fomento do Estado do Paraná S.A.</w:t>
            </w:r>
          </w:p>
        </w:tc>
      </w:tr>
      <w:tr w:rsidR="00B02233" w:rsidRPr="00E661FA" w14:paraId="0DA538BF" w14:textId="77777777" w:rsidTr="00F575DC">
        <w:trPr>
          <w:trHeight w:val="288"/>
        </w:trPr>
        <w:tc>
          <w:tcPr>
            <w:tcW w:w="1980" w:type="dxa"/>
            <w:noWrap/>
            <w:hideMark/>
          </w:tcPr>
          <w:p w14:paraId="7A7C7A31"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BID</w:t>
            </w:r>
          </w:p>
        </w:tc>
        <w:tc>
          <w:tcPr>
            <w:tcW w:w="7513" w:type="dxa"/>
            <w:noWrap/>
            <w:hideMark/>
          </w:tcPr>
          <w:p w14:paraId="1468A596"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Banco Interamericano de Desenvolvimento</w:t>
            </w:r>
          </w:p>
        </w:tc>
      </w:tr>
      <w:tr w:rsidR="00B02233" w:rsidRPr="00A31500" w14:paraId="2F8C5C32" w14:textId="77777777" w:rsidTr="00F575DC">
        <w:trPr>
          <w:trHeight w:val="288"/>
        </w:trPr>
        <w:tc>
          <w:tcPr>
            <w:tcW w:w="1980" w:type="dxa"/>
            <w:noWrap/>
            <w:hideMark/>
          </w:tcPr>
          <w:p w14:paraId="167EB548"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BNDES</w:t>
            </w:r>
          </w:p>
        </w:tc>
        <w:tc>
          <w:tcPr>
            <w:tcW w:w="7513" w:type="dxa"/>
            <w:noWrap/>
            <w:hideMark/>
          </w:tcPr>
          <w:p w14:paraId="15FD3FFC"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Banco Nacional de Desenvolvimento Econômico e Social</w:t>
            </w:r>
          </w:p>
        </w:tc>
      </w:tr>
      <w:tr w:rsidR="00B02233" w:rsidRPr="00A31500" w14:paraId="44D6C399" w14:textId="77777777" w:rsidTr="00F575DC">
        <w:trPr>
          <w:trHeight w:val="288"/>
        </w:trPr>
        <w:tc>
          <w:tcPr>
            <w:tcW w:w="1980" w:type="dxa"/>
            <w:noWrap/>
            <w:hideMark/>
          </w:tcPr>
          <w:p w14:paraId="36B9C61A"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CDURP</w:t>
            </w:r>
          </w:p>
        </w:tc>
        <w:tc>
          <w:tcPr>
            <w:tcW w:w="7513" w:type="dxa"/>
            <w:noWrap/>
            <w:hideMark/>
          </w:tcPr>
          <w:p w14:paraId="0FF1A86B"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Companhia de Desenvolvimento Urbano da Região do Porto do Rio de Janeiro</w:t>
            </w:r>
          </w:p>
        </w:tc>
      </w:tr>
      <w:tr w:rsidR="00B02233" w:rsidRPr="00A31500" w14:paraId="58247762" w14:textId="77777777" w:rsidTr="00F575DC">
        <w:trPr>
          <w:trHeight w:val="288"/>
        </w:trPr>
        <w:tc>
          <w:tcPr>
            <w:tcW w:w="1980" w:type="dxa"/>
            <w:noWrap/>
            <w:hideMark/>
          </w:tcPr>
          <w:p w14:paraId="7E1A9D4B"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CEPAC</w:t>
            </w:r>
          </w:p>
        </w:tc>
        <w:tc>
          <w:tcPr>
            <w:tcW w:w="7513" w:type="dxa"/>
            <w:noWrap/>
            <w:hideMark/>
          </w:tcPr>
          <w:p w14:paraId="5E1148D8"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Certificado de Potencial Adicional de Construção</w:t>
            </w:r>
          </w:p>
        </w:tc>
      </w:tr>
      <w:tr w:rsidR="00B02233" w:rsidRPr="00E661FA" w14:paraId="070E5399" w14:textId="77777777" w:rsidTr="00F575DC">
        <w:trPr>
          <w:trHeight w:val="288"/>
        </w:trPr>
        <w:tc>
          <w:tcPr>
            <w:tcW w:w="1980" w:type="dxa"/>
            <w:noWrap/>
            <w:hideMark/>
          </w:tcPr>
          <w:p w14:paraId="0A04E08B"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CMN</w:t>
            </w:r>
          </w:p>
        </w:tc>
        <w:tc>
          <w:tcPr>
            <w:tcW w:w="7513" w:type="dxa"/>
            <w:noWrap/>
            <w:hideMark/>
          </w:tcPr>
          <w:p w14:paraId="7826E439"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Conselho Monetário Nacional</w:t>
            </w:r>
          </w:p>
        </w:tc>
      </w:tr>
      <w:tr w:rsidR="00B02233" w:rsidRPr="00E661FA" w14:paraId="67A2CF88" w14:textId="77777777" w:rsidTr="00F575DC">
        <w:trPr>
          <w:trHeight w:val="288"/>
        </w:trPr>
        <w:tc>
          <w:tcPr>
            <w:tcW w:w="1980" w:type="dxa"/>
            <w:noWrap/>
            <w:hideMark/>
          </w:tcPr>
          <w:p w14:paraId="4BA9D5D8"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CVM</w:t>
            </w:r>
          </w:p>
        </w:tc>
        <w:tc>
          <w:tcPr>
            <w:tcW w:w="7513" w:type="dxa"/>
            <w:noWrap/>
            <w:hideMark/>
          </w:tcPr>
          <w:p w14:paraId="4D7DA153"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Comissão de Valores Mobiliários</w:t>
            </w:r>
          </w:p>
        </w:tc>
      </w:tr>
      <w:tr w:rsidR="00B02233" w:rsidRPr="00A31500" w14:paraId="6B2745C0" w14:textId="77777777" w:rsidTr="00F575DC">
        <w:trPr>
          <w:trHeight w:val="288"/>
        </w:trPr>
        <w:tc>
          <w:tcPr>
            <w:tcW w:w="1980" w:type="dxa"/>
            <w:noWrap/>
            <w:hideMark/>
          </w:tcPr>
          <w:p w14:paraId="6C008133"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FAT</w:t>
            </w:r>
          </w:p>
        </w:tc>
        <w:tc>
          <w:tcPr>
            <w:tcW w:w="7513" w:type="dxa"/>
            <w:noWrap/>
            <w:hideMark/>
          </w:tcPr>
          <w:p w14:paraId="6A6977D6"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Fundo de Amparo ao Trabalhador</w:t>
            </w:r>
          </w:p>
        </w:tc>
      </w:tr>
      <w:tr w:rsidR="00B02233" w:rsidRPr="00E661FA" w14:paraId="28EC789B" w14:textId="77777777" w:rsidTr="00F575DC">
        <w:trPr>
          <w:trHeight w:val="288"/>
        </w:trPr>
        <w:tc>
          <w:tcPr>
            <w:tcW w:w="1980" w:type="dxa"/>
            <w:noWrap/>
            <w:hideMark/>
          </w:tcPr>
          <w:p w14:paraId="5CABBE00"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FDU</w:t>
            </w:r>
          </w:p>
        </w:tc>
        <w:tc>
          <w:tcPr>
            <w:tcW w:w="7513" w:type="dxa"/>
            <w:noWrap/>
            <w:hideMark/>
          </w:tcPr>
          <w:p w14:paraId="43A4EB87"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Fundo de Desenvolvimento Urbano</w:t>
            </w:r>
          </w:p>
        </w:tc>
      </w:tr>
      <w:tr w:rsidR="00B02233" w:rsidRPr="00A31500" w14:paraId="4861CBCA" w14:textId="77777777" w:rsidTr="00F575DC">
        <w:trPr>
          <w:trHeight w:val="288"/>
        </w:trPr>
        <w:tc>
          <w:tcPr>
            <w:tcW w:w="1980" w:type="dxa"/>
            <w:noWrap/>
            <w:hideMark/>
          </w:tcPr>
          <w:p w14:paraId="12DB8EA1"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FGTS</w:t>
            </w:r>
          </w:p>
        </w:tc>
        <w:tc>
          <w:tcPr>
            <w:tcW w:w="7513" w:type="dxa"/>
            <w:noWrap/>
            <w:hideMark/>
          </w:tcPr>
          <w:p w14:paraId="0BFB726F"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Fundo de Garantia por Tempo de Serviço</w:t>
            </w:r>
          </w:p>
        </w:tc>
      </w:tr>
      <w:tr w:rsidR="00B02233" w:rsidRPr="00A31500" w14:paraId="5F97431F" w14:textId="77777777" w:rsidTr="00F575DC">
        <w:trPr>
          <w:trHeight w:val="288"/>
        </w:trPr>
        <w:tc>
          <w:tcPr>
            <w:tcW w:w="1980" w:type="dxa"/>
            <w:noWrap/>
            <w:hideMark/>
          </w:tcPr>
          <w:p w14:paraId="6AD3D873"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FINAME</w:t>
            </w:r>
          </w:p>
        </w:tc>
        <w:tc>
          <w:tcPr>
            <w:tcW w:w="7513" w:type="dxa"/>
            <w:noWrap/>
            <w:hideMark/>
          </w:tcPr>
          <w:p w14:paraId="5C23AC56"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Agência Especial de Financiamento Industrial</w:t>
            </w:r>
          </w:p>
        </w:tc>
      </w:tr>
      <w:tr w:rsidR="00B02233" w:rsidRPr="00A31500" w14:paraId="1AFABC2F" w14:textId="77777777" w:rsidTr="00F575DC">
        <w:trPr>
          <w:trHeight w:val="288"/>
        </w:trPr>
        <w:tc>
          <w:tcPr>
            <w:tcW w:w="1980" w:type="dxa"/>
            <w:noWrap/>
            <w:hideMark/>
          </w:tcPr>
          <w:p w14:paraId="48F6DAF9"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Fomento Paraná</w:t>
            </w:r>
          </w:p>
        </w:tc>
        <w:tc>
          <w:tcPr>
            <w:tcW w:w="7513" w:type="dxa"/>
            <w:noWrap/>
            <w:hideMark/>
          </w:tcPr>
          <w:p w14:paraId="413B4CB6"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Agência de Fomento do Estado do Paraná S.A.</w:t>
            </w:r>
          </w:p>
        </w:tc>
      </w:tr>
      <w:tr w:rsidR="00B02233" w:rsidRPr="00A31500" w14:paraId="30BE3FFF" w14:textId="77777777" w:rsidTr="00F575DC">
        <w:trPr>
          <w:trHeight w:val="288"/>
        </w:trPr>
        <w:tc>
          <w:tcPr>
            <w:tcW w:w="1980" w:type="dxa"/>
            <w:noWrap/>
            <w:hideMark/>
          </w:tcPr>
          <w:p w14:paraId="2012174A"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IBGE</w:t>
            </w:r>
          </w:p>
        </w:tc>
        <w:tc>
          <w:tcPr>
            <w:tcW w:w="7513" w:type="dxa"/>
            <w:noWrap/>
            <w:hideMark/>
          </w:tcPr>
          <w:p w14:paraId="71143EE8"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Instituto Brasileiro de Geografia e Estatística</w:t>
            </w:r>
          </w:p>
        </w:tc>
      </w:tr>
      <w:tr w:rsidR="00B02233" w:rsidRPr="00A31500" w14:paraId="48D41D86" w14:textId="77777777" w:rsidTr="00F575DC">
        <w:trPr>
          <w:trHeight w:val="288"/>
        </w:trPr>
        <w:tc>
          <w:tcPr>
            <w:tcW w:w="1980" w:type="dxa"/>
            <w:noWrap/>
            <w:hideMark/>
          </w:tcPr>
          <w:p w14:paraId="0DA9DAE7"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IFDM</w:t>
            </w:r>
          </w:p>
        </w:tc>
        <w:tc>
          <w:tcPr>
            <w:tcW w:w="7513" w:type="dxa"/>
            <w:noWrap/>
            <w:hideMark/>
          </w:tcPr>
          <w:p w14:paraId="483F8B69"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Índice Firjan de Desenvolvimento Municipal</w:t>
            </w:r>
          </w:p>
        </w:tc>
      </w:tr>
      <w:tr w:rsidR="00B02233" w:rsidRPr="00A31500" w14:paraId="06663BA4" w14:textId="77777777" w:rsidTr="00F575DC">
        <w:trPr>
          <w:trHeight w:val="288"/>
        </w:trPr>
        <w:tc>
          <w:tcPr>
            <w:tcW w:w="1980" w:type="dxa"/>
            <w:noWrap/>
            <w:hideMark/>
          </w:tcPr>
          <w:p w14:paraId="0C7D8A7B"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IPC</w:t>
            </w:r>
          </w:p>
        </w:tc>
        <w:tc>
          <w:tcPr>
            <w:tcW w:w="7513" w:type="dxa"/>
            <w:noWrap/>
            <w:hideMark/>
          </w:tcPr>
          <w:p w14:paraId="47363A45"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Índice de Preços ao Consumidor</w:t>
            </w:r>
          </w:p>
        </w:tc>
      </w:tr>
      <w:tr w:rsidR="00B02233" w:rsidRPr="00A31500" w14:paraId="1FBF6677" w14:textId="77777777" w:rsidTr="00F575DC">
        <w:trPr>
          <w:trHeight w:val="288"/>
        </w:trPr>
        <w:tc>
          <w:tcPr>
            <w:tcW w:w="1980" w:type="dxa"/>
            <w:noWrap/>
            <w:hideMark/>
          </w:tcPr>
          <w:p w14:paraId="1B0ABC80"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IPCA</w:t>
            </w:r>
          </w:p>
        </w:tc>
        <w:tc>
          <w:tcPr>
            <w:tcW w:w="7513" w:type="dxa"/>
            <w:noWrap/>
            <w:hideMark/>
          </w:tcPr>
          <w:p w14:paraId="05EE3DA4"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Índice de Preços ao Consumidor Ampliado</w:t>
            </w:r>
          </w:p>
        </w:tc>
      </w:tr>
      <w:tr w:rsidR="00B02233" w:rsidRPr="00A31500" w14:paraId="61D741EB" w14:textId="77777777" w:rsidTr="00F575DC">
        <w:trPr>
          <w:trHeight w:val="288"/>
        </w:trPr>
        <w:tc>
          <w:tcPr>
            <w:tcW w:w="1980" w:type="dxa"/>
            <w:noWrap/>
            <w:hideMark/>
          </w:tcPr>
          <w:p w14:paraId="0CCAAB51"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IPTU</w:t>
            </w:r>
          </w:p>
        </w:tc>
        <w:tc>
          <w:tcPr>
            <w:tcW w:w="7513" w:type="dxa"/>
            <w:noWrap/>
            <w:hideMark/>
          </w:tcPr>
          <w:p w14:paraId="561AEBDC"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Imposto Predial e Territorial Urbano</w:t>
            </w:r>
          </w:p>
        </w:tc>
      </w:tr>
      <w:tr w:rsidR="00B02233" w:rsidRPr="00A31500" w14:paraId="257645D8" w14:textId="77777777" w:rsidTr="00F575DC">
        <w:trPr>
          <w:trHeight w:val="288"/>
        </w:trPr>
        <w:tc>
          <w:tcPr>
            <w:tcW w:w="1980" w:type="dxa"/>
            <w:noWrap/>
            <w:hideMark/>
          </w:tcPr>
          <w:p w14:paraId="1A08BCE6"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ITBI</w:t>
            </w:r>
          </w:p>
        </w:tc>
        <w:tc>
          <w:tcPr>
            <w:tcW w:w="7513" w:type="dxa"/>
            <w:noWrap/>
            <w:hideMark/>
          </w:tcPr>
          <w:p w14:paraId="5C4385F1"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Imposto sobre a Transmissão de Bens Imóveis</w:t>
            </w:r>
          </w:p>
        </w:tc>
      </w:tr>
      <w:tr w:rsidR="00B02233" w:rsidRPr="00A31500" w14:paraId="64541EA8" w14:textId="77777777" w:rsidTr="00F575DC">
        <w:trPr>
          <w:trHeight w:val="288"/>
        </w:trPr>
        <w:tc>
          <w:tcPr>
            <w:tcW w:w="1980" w:type="dxa"/>
            <w:noWrap/>
            <w:hideMark/>
          </w:tcPr>
          <w:p w14:paraId="45623A66"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JCP</w:t>
            </w:r>
          </w:p>
        </w:tc>
        <w:tc>
          <w:tcPr>
            <w:tcW w:w="7513" w:type="dxa"/>
            <w:noWrap/>
            <w:hideMark/>
          </w:tcPr>
          <w:p w14:paraId="6467271B"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Juros sobre o Capital Próprio</w:t>
            </w:r>
          </w:p>
        </w:tc>
      </w:tr>
      <w:tr w:rsidR="00B02233" w:rsidRPr="00E661FA" w14:paraId="6263D4C2" w14:textId="77777777" w:rsidTr="00F575DC">
        <w:trPr>
          <w:trHeight w:val="288"/>
        </w:trPr>
        <w:tc>
          <w:tcPr>
            <w:tcW w:w="1980" w:type="dxa"/>
            <w:noWrap/>
            <w:hideMark/>
          </w:tcPr>
          <w:p w14:paraId="0A2909CC"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PIB</w:t>
            </w:r>
          </w:p>
        </w:tc>
        <w:tc>
          <w:tcPr>
            <w:tcW w:w="7513" w:type="dxa"/>
            <w:noWrap/>
            <w:hideMark/>
          </w:tcPr>
          <w:p w14:paraId="636986C3"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Produto Interno Bruto</w:t>
            </w:r>
          </w:p>
        </w:tc>
      </w:tr>
      <w:tr w:rsidR="00B02233" w:rsidRPr="00E661FA" w14:paraId="1BF5E558" w14:textId="77777777" w:rsidTr="00F575DC">
        <w:trPr>
          <w:trHeight w:val="288"/>
        </w:trPr>
        <w:tc>
          <w:tcPr>
            <w:tcW w:w="1980" w:type="dxa"/>
            <w:noWrap/>
            <w:hideMark/>
          </w:tcPr>
          <w:p w14:paraId="2AE6023A"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PL</w:t>
            </w:r>
          </w:p>
        </w:tc>
        <w:tc>
          <w:tcPr>
            <w:tcW w:w="7513" w:type="dxa"/>
            <w:noWrap/>
            <w:hideMark/>
          </w:tcPr>
          <w:p w14:paraId="54F02630"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Patrimônio Líquido</w:t>
            </w:r>
          </w:p>
        </w:tc>
      </w:tr>
      <w:tr w:rsidR="00B02233" w:rsidRPr="00E661FA" w14:paraId="703D62A1" w14:textId="77777777" w:rsidTr="00F575DC">
        <w:trPr>
          <w:trHeight w:val="288"/>
        </w:trPr>
        <w:tc>
          <w:tcPr>
            <w:tcW w:w="1980" w:type="dxa"/>
            <w:noWrap/>
            <w:hideMark/>
          </w:tcPr>
          <w:p w14:paraId="436C15A5"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PPM</w:t>
            </w:r>
          </w:p>
        </w:tc>
        <w:tc>
          <w:tcPr>
            <w:tcW w:w="7513" w:type="dxa"/>
            <w:noWrap/>
            <w:hideMark/>
          </w:tcPr>
          <w:p w14:paraId="24872905"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Plano Plurianual Municipal</w:t>
            </w:r>
          </w:p>
        </w:tc>
      </w:tr>
      <w:tr w:rsidR="00B02233" w:rsidRPr="00E661FA" w14:paraId="054EC920" w14:textId="77777777" w:rsidTr="00F575DC">
        <w:trPr>
          <w:trHeight w:val="288"/>
        </w:trPr>
        <w:tc>
          <w:tcPr>
            <w:tcW w:w="1980" w:type="dxa"/>
            <w:noWrap/>
            <w:hideMark/>
          </w:tcPr>
          <w:p w14:paraId="7DFDB511"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PPP</w:t>
            </w:r>
          </w:p>
        </w:tc>
        <w:tc>
          <w:tcPr>
            <w:tcW w:w="7513" w:type="dxa"/>
            <w:noWrap/>
            <w:hideMark/>
          </w:tcPr>
          <w:p w14:paraId="091853AD"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Parceria Público-Privada</w:t>
            </w:r>
          </w:p>
        </w:tc>
      </w:tr>
      <w:tr w:rsidR="00B02233" w:rsidRPr="00E661FA" w14:paraId="79007D16" w14:textId="77777777" w:rsidTr="00F575DC">
        <w:trPr>
          <w:trHeight w:val="288"/>
        </w:trPr>
        <w:tc>
          <w:tcPr>
            <w:tcW w:w="1980" w:type="dxa"/>
            <w:noWrap/>
            <w:hideMark/>
          </w:tcPr>
          <w:p w14:paraId="3A8689B9"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PR</w:t>
            </w:r>
          </w:p>
        </w:tc>
        <w:tc>
          <w:tcPr>
            <w:tcW w:w="7513" w:type="dxa"/>
            <w:noWrap/>
            <w:hideMark/>
          </w:tcPr>
          <w:p w14:paraId="565E416B"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Patrimônio de Referência</w:t>
            </w:r>
          </w:p>
        </w:tc>
      </w:tr>
      <w:tr w:rsidR="00B02233" w:rsidRPr="00E661FA" w14:paraId="6E8BD2ED" w14:textId="77777777" w:rsidTr="00F575DC">
        <w:trPr>
          <w:trHeight w:val="288"/>
        </w:trPr>
        <w:tc>
          <w:tcPr>
            <w:tcW w:w="1980" w:type="dxa"/>
            <w:noWrap/>
            <w:hideMark/>
          </w:tcPr>
          <w:p w14:paraId="22CB9F51"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ROP</w:t>
            </w:r>
          </w:p>
        </w:tc>
        <w:tc>
          <w:tcPr>
            <w:tcW w:w="7513" w:type="dxa"/>
            <w:noWrap/>
            <w:hideMark/>
          </w:tcPr>
          <w:p w14:paraId="78ABB6AC"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Regulamento Operacional do Programa</w:t>
            </w:r>
          </w:p>
        </w:tc>
      </w:tr>
      <w:tr w:rsidR="00B02233" w:rsidRPr="00A31500" w14:paraId="558BA6A2" w14:textId="77777777" w:rsidTr="00F575DC">
        <w:trPr>
          <w:trHeight w:val="288"/>
        </w:trPr>
        <w:tc>
          <w:tcPr>
            <w:tcW w:w="1980" w:type="dxa"/>
            <w:noWrap/>
            <w:hideMark/>
          </w:tcPr>
          <w:p w14:paraId="0527C46A"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RWA</w:t>
            </w:r>
          </w:p>
        </w:tc>
        <w:tc>
          <w:tcPr>
            <w:tcW w:w="7513" w:type="dxa"/>
            <w:noWrap/>
            <w:hideMark/>
          </w:tcPr>
          <w:p w14:paraId="61A6C2CA"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 xml:space="preserve">Ativos Ponderados pelo Risco </w:t>
            </w:r>
            <w:r w:rsidRPr="005D083C">
              <w:rPr>
                <w:rFonts w:ascii="Times New Roman" w:eastAsia="Times New Roman" w:hAnsi="Times New Roman" w:cs="Times New Roman"/>
                <w:color w:val="000000"/>
                <w:sz w:val="24"/>
                <w:szCs w:val="24"/>
                <w:lang w:val="pt-BR"/>
              </w:rPr>
              <w:t>(Risk Weighted Assets)</w:t>
            </w:r>
          </w:p>
        </w:tc>
      </w:tr>
      <w:tr w:rsidR="00B02233" w:rsidRPr="00A31500" w14:paraId="55F2D602" w14:textId="77777777" w:rsidTr="00F575DC">
        <w:trPr>
          <w:trHeight w:val="288"/>
        </w:trPr>
        <w:tc>
          <w:tcPr>
            <w:tcW w:w="1980" w:type="dxa"/>
            <w:noWrap/>
            <w:hideMark/>
          </w:tcPr>
          <w:p w14:paraId="69847A3A"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SAM</w:t>
            </w:r>
          </w:p>
        </w:tc>
        <w:tc>
          <w:tcPr>
            <w:tcW w:w="7513" w:type="dxa"/>
            <w:noWrap/>
            <w:hideMark/>
          </w:tcPr>
          <w:p w14:paraId="1A51FA0F"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Sistema de Acompanhamento e Monitoramento</w:t>
            </w:r>
          </w:p>
        </w:tc>
      </w:tr>
      <w:tr w:rsidR="00B02233" w:rsidRPr="00A31500" w14:paraId="0912AA77" w14:textId="77777777" w:rsidTr="00F575DC">
        <w:trPr>
          <w:trHeight w:val="288"/>
        </w:trPr>
        <w:tc>
          <w:tcPr>
            <w:tcW w:w="1980" w:type="dxa"/>
            <w:noWrap/>
            <w:hideMark/>
          </w:tcPr>
          <w:p w14:paraId="6008EC48"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SEDU</w:t>
            </w:r>
          </w:p>
        </w:tc>
        <w:tc>
          <w:tcPr>
            <w:tcW w:w="7513" w:type="dxa"/>
            <w:noWrap/>
            <w:hideMark/>
          </w:tcPr>
          <w:p w14:paraId="515D7307"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Secretaria de Estado do Desenvolvimento Urbano</w:t>
            </w:r>
          </w:p>
        </w:tc>
      </w:tr>
      <w:tr w:rsidR="00B02233" w:rsidRPr="00A31500" w14:paraId="1A24F69C" w14:textId="77777777" w:rsidTr="00F575DC">
        <w:trPr>
          <w:trHeight w:val="288"/>
        </w:trPr>
        <w:tc>
          <w:tcPr>
            <w:tcW w:w="1980" w:type="dxa"/>
            <w:noWrap/>
            <w:hideMark/>
          </w:tcPr>
          <w:p w14:paraId="2C223F52"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SELIC</w:t>
            </w:r>
          </w:p>
        </w:tc>
        <w:tc>
          <w:tcPr>
            <w:tcW w:w="7513" w:type="dxa"/>
            <w:noWrap/>
            <w:hideMark/>
          </w:tcPr>
          <w:p w14:paraId="38E3E716"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Sistema Especial de Liquidação e de Custódia</w:t>
            </w:r>
          </w:p>
        </w:tc>
      </w:tr>
      <w:tr w:rsidR="00B02233" w:rsidRPr="00A31500" w14:paraId="274650CB" w14:textId="77777777" w:rsidTr="00F575DC">
        <w:trPr>
          <w:trHeight w:val="288"/>
        </w:trPr>
        <w:tc>
          <w:tcPr>
            <w:tcW w:w="1980" w:type="dxa"/>
            <w:noWrap/>
            <w:hideMark/>
          </w:tcPr>
          <w:p w14:paraId="17157A51"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SFM</w:t>
            </w:r>
          </w:p>
        </w:tc>
        <w:tc>
          <w:tcPr>
            <w:tcW w:w="7513" w:type="dxa"/>
            <w:noWrap/>
            <w:hideMark/>
          </w:tcPr>
          <w:p w14:paraId="2E023F62"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Sistema de Financiamento aos Municípios</w:t>
            </w:r>
          </w:p>
        </w:tc>
      </w:tr>
      <w:tr w:rsidR="00B02233" w:rsidRPr="00E661FA" w14:paraId="0B6906FD" w14:textId="77777777" w:rsidTr="00F575DC">
        <w:trPr>
          <w:trHeight w:val="288"/>
        </w:trPr>
        <w:tc>
          <w:tcPr>
            <w:tcW w:w="1980" w:type="dxa"/>
            <w:noWrap/>
            <w:hideMark/>
          </w:tcPr>
          <w:p w14:paraId="4F964C71"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SFN</w:t>
            </w:r>
          </w:p>
        </w:tc>
        <w:tc>
          <w:tcPr>
            <w:tcW w:w="7513" w:type="dxa"/>
            <w:noWrap/>
            <w:hideMark/>
          </w:tcPr>
          <w:p w14:paraId="53FF7CF1"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Sistema Financeiro Nacional</w:t>
            </w:r>
          </w:p>
        </w:tc>
      </w:tr>
      <w:tr w:rsidR="00B02233" w:rsidRPr="00E661FA" w14:paraId="339B764A" w14:textId="77777777" w:rsidTr="00F575DC">
        <w:trPr>
          <w:trHeight w:val="288"/>
        </w:trPr>
        <w:tc>
          <w:tcPr>
            <w:tcW w:w="1980" w:type="dxa"/>
            <w:noWrap/>
            <w:hideMark/>
          </w:tcPr>
          <w:p w14:paraId="573DDECB"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SGF</w:t>
            </w:r>
          </w:p>
        </w:tc>
        <w:tc>
          <w:tcPr>
            <w:tcW w:w="7513" w:type="dxa"/>
            <w:noWrap/>
            <w:hideMark/>
          </w:tcPr>
          <w:p w14:paraId="7B98E523"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Sistema de Gestão Financeira</w:t>
            </w:r>
          </w:p>
        </w:tc>
      </w:tr>
      <w:tr w:rsidR="00B02233" w:rsidRPr="00E661FA" w14:paraId="22ADA494" w14:textId="77777777" w:rsidTr="00F575DC">
        <w:trPr>
          <w:trHeight w:val="288"/>
        </w:trPr>
        <w:tc>
          <w:tcPr>
            <w:tcW w:w="1980" w:type="dxa"/>
            <w:noWrap/>
            <w:hideMark/>
          </w:tcPr>
          <w:p w14:paraId="6E15B10C"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SPE</w:t>
            </w:r>
          </w:p>
        </w:tc>
        <w:tc>
          <w:tcPr>
            <w:tcW w:w="7513" w:type="dxa"/>
            <w:noWrap/>
            <w:hideMark/>
          </w:tcPr>
          <w:p w14:paraId="51361417"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Sociedade de Propósito Específico</w:t>
            </w:r>
          </w:p>
        </w:tc>
      </w:tr>
      <w:tr w:rsidR="00B02233" w:rsidRPr="00E661FA" w14:paraId="4E8353CE" w14:textId="77777777" w:rsidTr="00F575DC">
        <w:trPr>
          <w:trHeight w:val="288"/>
        </w:trPr>
        <w:tc>
          <w:tcPr>
            <w:tcW w:w="1980" w:type="dxa"/>
            <w:noWrap/>
            <w:hideMark/>
          </w:tcPr>
          <w:p w14:paraId="7A8F7CA8"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STN</w:t>
            </w:r>
          </w:p>
        </w:tc>
        <w:tc>
          <w:tcPr>
            <w:tcW w:w="7513" w:type="dxa"/>
            <w:noWrap/>
            <w:hideMark/>
          </w:tcPr>
          <w:p w14:paraId="6DAE3064"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Secretaria do Tesouro Nacional</w:t>
            </w:r>
          </w:p>
        </w:tc>
      </w:tr>
      <w:tr w:rsidR="00B02233" w:rsidRPr="00A31500" w14:paraId="0D87A13D" w14:textId="77777777" w:rsidTr="00F575DC">
        <w:trPr>
          <w:trHeight w:val="288"/>
        </w:trPr>
        <w:tc>
          <w:tcPr>
            <w:tcW w:w="1980" w:type="dxa"/>
            <w:noWrap/>
            <w:hideMark/>
          </w:tcPr>
          <w:p w14:paraId="1F32D9D5"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TJLP</w:t>
            </w:r>
          </w:p>
        </w:tc>
        <w:tc>
          <w:tcPr>
            <w:tcW w:w="7513" w:type="dxa"/>
            <w:noWrap/>
            <w:hideMark/>
          </w:tcPr>
          <w:p w14:paraId="7CDB8B9B"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Taxa de Juros de Longo Prazo</w:t>
            </w:r>
          </w:p>
        </w:tc>
      </w:tr>
      <w:tr w:rsidR="00B02233" w:rsidRPr="00E661FA" w14:paraId="6F6C1B5A" w14:textId="77777777" w:rsidTr="00F575DC">
        <w:trPr>
          <w:trHeight w:val="288"/>
        </w:trPr>
        <w:tc>
          <w:tcPr>
            <w:tcW w:w="1980" w:type="dxa"/>
            <w:noWrap/>
            <w:hideMark/>
          </w:tcPr>
          <w:p w14:paraId="2741523D"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TLP</w:t>
            </w:r>
          </w:p>
        </w:tc>
        <w:tc>
          <w:tcPr>
            <w:tcW w:w="7513" w:type="dxa"/>
            <w:noWrap/>
            <w:hideMark/>
          </w:tcPr>
          <w:p w14:paraId="0FFCC707"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Taxa de Longo Prazo</w:t>
            </w:r>
          </w:p>
        </w:tc>
      </w:tr>
      <w:tr w:rsidR="00B02233" w:rsidRPr="00A31500" w14:paraId="0C00A6E8" w14:textId="77777777" w:rsidTr="00F575DC">
        <w:trPr>
          <w:trHeight w:val="288"/>
        </w:trPr>
        <w:tc>
          <w:tcPr>
            <w:tcW w:w="1980" w:type="dxa"/>
            <w:noWrap/>
            <w:hideMark/>
          </w:tcPr>
          <w:p w14:paraId="2162344C"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UGP</w:t>
            </w:r>
          </w:p>
        </w:tc>
        <w:tc>
          <w:tcPr>
            <w:tcW w:w="7513" w:type="dxa"/>
            <w:noWrap/>
            <w:hideMark/>
          </w:tcPr>
          <w:p w14:paraId="4F7D10F7" w14:textId="77777777" w:rsidR="00B02233" w:rsidRPr="00E661FA" w:rsidRDefault="00B02233" w:rsidP="00F575DC">
            <w:pPr>
              <w:rPr>
                <w:rFonts w:ascii="Times New Roman" w:eastAsia="Times New Roman" w:hAnsi="Times New Roman" w:cs="Times New Roman"/>
                <w:color w:val="000000"/>
                <w:sz w:val="24"/>
                <w:szCs w:val="24"/>
                <w:lang w:val="pt-BR"/>
              </w:rPr>
            </w:pPr>
            <w:r w:rsidRPr="00E661FA">
              <w:rPr>
                <w:rFonts w:ascii="Times New Roman" w:eastAsia="Times New Roman" w:hAnsi="Times New Roman" w:cs="Times New Roman"/>
                <w:color w:val="000000"/>
                <w:sz w:val="24"/>
                <w:szCs w:val="24"/>
                <w:lang w:val="pt-BR"/>
              </w:rPr>
              <w:t>Unidade de Gerenciamento do Programa</w:t>
            </w:r>
          </w:p>
        </w:tc>
      </w:tr>
    </w:tbl>
    <w:p w14:paraId="7A8B9692" w14:textId="56D0D3A5" w:rsidR="00B02233" w:rsidRDefault="00B02233">
      <w:pPr>
        <w:rPr>
          <w:rFonts w:ascii="Times New Roman" w:hAnsi="Times New Roman" w:cs="Times New Roman"/>
          <w:b/>
          <w:sz w:val="24"/>
          <w:szCs w:val="24"/>
          <w:u w:val="single"/>
          <w:lang w:val="pt-BR"/>
        </w:rPr>
      </w:pPr>
      <w:r>
        <w:rPr>
          <w:rFonts w:ascii="Times New Roman" w:hAnsi="Times New Roman" w:cs="Times New Roman"/>
          <w:b/>
          <w:sz w:val="24"/>
          <w:szCs w:val="24"/>
          <w:u w:val="single"/>
          <w:lang w:val="pt-BR"/>
        </w:rPr>
        <w:br w:type="page"/>
      </w:r>
    </w:p>
    <w:p w14:paraId="0DA9F14A" w14:textId="188CA732" w:rsidR="002978B9" w:rsidRDefault="002978B9" w:rsidP="002978B9">
      <w:pPr>
        <w:spacing w:line="360" w:lineRule="auto"/>
        <w:jc w:val="center"/>
        <w:rPr>
          <w:rFonts w:ascii="Times New Roman" w:eastAsia="Times New Roman" w:hAnsi="Times New Roman" w:cs="Times New Roman"/>
          <w:b/>
          <w:sz w:val="24"/>
          <w:szCs w:val="24"/>
          <w:lang w:val="pt-BR"/>
        </w:rPr>
      </w:pPr>
      <w:r w:rsidRPr="00E332E4">
        <w:rPr>
          <w:rFonts w:ascii="Times New Roman" w:eastAsia="Times New Roman" w:hAnsi="Times New Roman" w:cs="Times New Roman"/>
          <w:b/>
          <w:sz w:val="24"/>
          <w:szCs w:val="24"/>
          <w:lang w:val="pt-BR"/>
        </w:rPr>
        <w:lastRenderedPageBreak/>
        <w:t>SUMÁRIO EXECUTIVO</w:t>
      </w:r>
    </w:p>
    <w:p w14:paraId="0B5EC3FF" w14:textId="651A66F1" w:rsidR="00427CAD" w:rsidRPr="00695893" w:rsidRDefault="00427CAD" w:rsidP="00427CAD">
      <w:pPr>
        <w:spacing w:line="360" w:lineRule="auto"/>
        <w:rPr>
          <w:rStyle w:val="ts-alignment-element"/>
          <w:rFonts w:ascii="Segoe UI" w:hAnsi="Segoe UI" w:cs="Segoe UI"/>
          <w:sz w:val="21"/>
          <w:szCs w:val="21"/>
          <w:lang w:val="pt-BR"/>
        </w:rPr>
      </w:pPr>
      <w:r w:rsidRPr="00E64AAB">
        <w:rPr>
          <w:rFonts w:ascii="Times New Roman" w:eastAsia="Times New Roman" w:hAnsi="Times New Roman" w:cs="Times New Roman"/>
          <w:sz w:val="24"/>
          <w:szCs w:val="24"/>
          <w:lang w:val="pt-BR"/>
        </w:rPr>
        <w:t xml:space="preserve">A presente consultoria atualizará a análise feita no estudo inicial de 2014 </w:t>
      </w:r>
      <w:r w:rsidRPr="00887E4B">
        <w:rPr>
          <w:rFonts w:ascii="Times New Roman" w:eastAsia="Times New Roman" w:hAnsi="Times New Roman" w:cs="Times New Roman"/>
          <w:sz w:val="24"/>
          <w:szCs w:val="24"/>
          <w:lang w:val="pt-BR"/>
        </w:rPr>
        <w:t>e tem</w:t>
      </w:r>
      <w:r w:rsidRPr="00695893">
        <w:rPr>
          <w:rFonts w:ascii="Times New Roman" w:eastAsia="Times New Roman" w:hAnsi="Times New Roman" w:cs="Times New Roman"/>
          <w:sz w:val="24"/>
          <w:szCs w:val="24"/>
          <w:lang w:val="pt-BR"/>
        </w:rPr>
        <w:t xml:space="preserve"> como objetivos: i) revisar a </w:t>
      </w:r>
      <w:r w:rsidRPr="004B4EE8">
        <w:rPr>
          <w:rFonts w:ascii="Times New Roman" w:eastAsia="Times New Roman" w:hAnsi="Times New Roman" w:cs="Times New Roman"/>
          <w:sz w:val="24"/>
          <w:szCs w:val="24"/>
          <w:lang w:val="pt-BR"/>
        </w:rPr>
        <w:t>matriz de financiamento</w:t>
      </w:r>
      <w:r w:rsidRPr="00695893">
        <w:rPr>
          <w:rFonts w:ascii="Times New Roman" w:eastAsia="Times New Roman" w:hAnsi="Times New Roman" w:cs="Times New Roman"/>
          <w:sz w:val="24"/>
          <w:szCs w:val="24"/>
          <w:lang w:val="pt-BR"/>
        </w:rPr>
        <w:t xml:space="preserve"> com as condições e critérios que permitam dirigir e estimular a demanda por infraestrutura municipal em função das prioridades assignadas pela política pública estadual; ii) avaliar a sustentabilidade do F</w:t>
      </w:r>
      <w:r>
        <w:rPr>
          <w:rFonts w:ascii="Times New Roman" w:eastAsia="Times New Roman" w:hAnsi="Times New Roman" w:cs="Times New Roman"/>
          <w:sz w:val="24"/>
          <w:szCs w:val="24"/>
          <w:lang w:val="pt-BR"/>
        </w:rPr>
        <w:t xml:space="preserve">undo de </w:t>
      </w:r>
      <w:r w:rsidRPr="00695893">
        <w:rPr>
          <w:rFonts w:ascii="Times New Roman" w:eastAsia="Times New Roman" w:hAnsi="Times New Roman" w:cs="Times New Roman"/>
          <w:sz w:val="24"/>
          <w:szCs w:val="24"/>
          <w:lang w:val="pt-BR"/>
        </w:rPr>
        <w:t>D</w:t>
      </w:r>
      <w:r>
        <w:rPr>
          <w:rFonts w:ascii="Times New Roman" w:eastAsia="Times New Roman" w:hAnsi="Times New Roman" w:cs="Times New Roman"/>
          <w:sz w:val="24"/>
          <w:szCs w:val="24"/>
          <w:lang w:val="pt-BR"/>
        </w:rPr>
        <w:t xml:space="preserve">esenvolvimento </w:t>
      </w:r>
      <w:r w:rsidRPr="00695893">
        <w:rPr>
          <w:rFonts w:ascii="Times New Roman" w:eastAsia="Times New Roman" w:hAnsi="Times New Roman" w:cs="Times New Roman"/>
          <w:sz w:val="24"/>
          <w:szCs w:val="24"/>
          <w:lang w:val="pt-BR"/>
        </w:rPr>
        <w:t>U</w:t>
      </w:r>
      <w:r>
        <w:rPr>
          <w:rFonts w:ascii="Times New Roman" w:eastAsia="Times New Roman" w:hAnsi="Times New Roman" w:cs="Times New Roman"/>
          <w:sz w:val="24"/>
          <w:szCs w:val="24"/>
          <w:lang w:val="pt-BR"/>
        </w:rPr>
        <w:t>rbano (FDU)</w:t>
      </w:r>
      <w:r w:rsidRPr="00695893">
        <w:rPr>
          <w:rFonts w:ascii="Times New Roman" w:eastAsia="Times New Roman" w:hAnsi="Times New Roman" w:cs="Times New Roman"/>
          <w:sz w:val="24"/>
          <w:szCs w:val="24"/>
          <w:lang w:val="pt-BR"/>
        </w:rPr>
        <w:t xml:space="preserve"> considerando</w:t>
      </w:r>
      <w:r w:rsidR="00F413FB">
        <w:rPr>
          <w:rFonts w:ascii="Times New Roman" w:eastAsia="Times New Roman" w:hAnsi="Times New Roman" w:cs="Times New Roman"/>
          <w:sz w:val="24"/>
          <w:szCs w:val="24"/>
          <w:lang w:val="pt-BR"/>
        </w:rPr>
        <w:t xml:space="preserve"> diferentes</w:t>
      </w:r>
      <w:r w:rsidRPr="00695893">
        <w:rPr>
          <w:rFonts w:ascii="Times New Roman" w:eastAsia="Times New Roman" w:hAnsi="Times New Roman" w:cs="Times New Roman"/>
          <w:sz w:val="24"/>
          <w:szCs w:val="24"/>
          <w:lang w:val="pt-BR"/>
        </w:rPr>
        <w:t xml:space="preserve"> alternativas de cenários económicos; iii) propor de maneira preliminar instrumentos financeiros que incentivem a participação do setor privado no desenvolvimento dos projetos de infraestrutura </w:t>
      </w:r>
      <w:r w:rsidRPr="00E64AAB">
        <w:rPr>
          <w:rFonts w:ascii="Times New Roman" w:eastAsia="Times New Roman" w:hAnsi="Times New Roman" w:cs="Times New Roman"/>
          <w:sz w:val="24"/>
          <w:szCs w:val="24"/>
          <w:lang w:val="pt-BR"/>
        </w:rPr>
        <w:t>do estado.</w:t>
      </w:r>
    </w:p>
    <w:p w14:paraId="4D91B2F3" w14:textId="77777777" w:rsidR="00427CAD" w:rsidRPr="00695893" w:rsidRDefault="00427CAD" w:rsidP="00427CAD">
      <w:pPr>
        <w:widowControl w:val="0"/>
        <w:overflowPunct w:val="0"/>
        <w:autoSpaceDE w:val="0"/>
        <w:autoSpaceDN w:val="0"/>
        <w:adjustRightInd w:val="0"/>
        <w:spacing w:line="367" w:lineRule="auto"/>
        <w:rPr>
          <w:rFonts w:ascii="Times New Roman" w:hAnsi="Times New Roman" w:cs="Times New Roman"/>
          <w:sz w:val="24"/>
          <w:szCs w:val="24"/>
          <w:lang w:val="pt-BR"/>
        </w:rPr>
      </w:pPr>
      <w:r w:rsidRPr="00695893">
        <w:rPr>
          <w:rStyle w:val="ts-alignment-element"/>
          <w:rFonts w:ascii="Times New Roman" w:hAnsi="Times New Roman" w:cs="Times New Roman"/>
          <w:sz w:val="24"/>
          <w:szCs w:val="24"/>
          <w:lang w:val="pt-BR"/>
        </w:rPr>
        <w:t>Atualizamos o estudo anterior</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com</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base</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em</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uma</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revisão</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dos</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dados</w:t>
      </w:r>
      <w:r w:rsidRPr="00695893">
        <w:rPr>
          <w:rFonts w:ascii="Times New Roman" w:hAnsi="Times New Roman" w:cs="Times New Roman"/>
          <w:sz w:val="24"/>
          <w:szCs w:val="24"/>
          <w:lang w:val="pt-BR"/>
        </w:rPr>
        <w:t xml:space="preserve"> enviados pelas </w:t>
      </w:r>
      <w:r w:rsidRPr="00695893">
        <w:rPr>
          <w:rStyle w:val="ts-alignment-element"/>
          <w:rFonts w:ascii="Times New Roman" w:hAnsi="Times New Roman" w:cs="Times New Roman"/>
          <w:sz w:val="24"/>
          <w:szCs w:val="24"/>
          <w:lang w:val="pt-BR"/>
        </w:rPr>
        <w:t>principais</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entidades</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do</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S</w:t>
      </w:r>
      <w:r>
        <w:rPr>
          <w:rStyle w:val="ts-alignment-element"/>
          <w:rFonts w:ascii="Times New Roman" w:hAnsi="Times New Roman" w:cs="Times New Roman"/>
          <w:sz w:val="24"/>
          <w:szCs w:val="24"/>
          <w:lang w:val="pt-BR"/>
        </w:rPr>
        <w:t xml:space="preserve">istema </w:t>
      </w:r>
      <w:r w:rsidRPr="00695893">
        <w:rPr>
          <w:rStyle w:val="ts-alignment-element"/>
          <w:rFonts w:ascii="Times New Roman" w:hAnsi="Times New Roman" w:cs="Times New Roman"/>
          <w:sz w:val="24"/>
          <w:szCs w:val="24"/>
          <w:lang w:val="pt-BR"/>
        </w:rPr>
        <w:t>F</w:t>
      </w:r>
      <w:r>
        <w:rPr>
          <w:rStyle w:val="ts-alignment-element"/>
          <w:rFonts w:ascii="Times New Roman" w:hAnsi="Times New Roman" w:cs="Times New Roman"/>
          <w:sz w:val="24"/>
          <w:szCs w:val="24"/>
          <w:lang w:val="pt-BR"/>
        </w:rPr>
        <w:t xml:space="preserve">inanceiro </w:t>
      </w:r>
      <w:r w:rsidRPr="00695893">
        <w:rPr>
          <w:rStyle w:val="ts-alignment-element"/>
          <w:rFonts w:ascii="Times New Roman" w:hAnsi="Times New Roman" w:cs="Times New Roman"/>
          <w:sz w:val="24"/>
          <w:szCs w:val="24"/>
          <w:lang w:val="pt-BR"/>
        </w:rPr>
        <w:t>M</w:t>
      </w:r>
      <w:r>
        <w:rPr>
          <w:rStyle w:val="ts-alignment-element"/>
          <w:rFonts w:ascii="Times New Roman" w:hAnsi="Times New Roman" w:cs="Times New Roman"/>
          <w:sz w:val="24"/>
          <w:szCs w:val="24"/>
          <w:lang w:val="pt-BR"/>
        </w:rPr>
        <w:t>unicipal</w:t>
      </w:r>
      <w:r w:rsidRPr="00695893">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(SFM) </w:t>
      </w:r>
      <w:r w:rsidRPr="00695893">
        <w:rPr>
          <w:rStyle w:val="ts-alignment-element"/>
          <w:rFonts w:ascii="Times New Roman" w:hAnsi="Times New Roman" w:cs="Times New Roman"/>
          <w:sz w:val="24"/>
          <w:szCs w:val="24"/>
          <w:lang w:val="pt-BR"/>
        </w:rPr>
        <w:t>e</w:t>
      </w:r>
      <w:r>
        <w:rPr>
          <w:rStyle w:val="ts-alignment-element"/>
          <w:rFonts w:ascii="Times New Roman" w:hAnsi="Times New Roman" w:cs="Times New Roman"/>
          <w:sz w:val="24"/>
          <w:szCs w:val="24"/>
          <w:lang w:val="pt-BR"/>
        </w:rPr>
        <w:t xml:space="preserve"> BID</w:t>
      </w:r>
      <w:r w:rsidRPr="00695893">
        <w:rPr>
          <w:rStyle w:val="ts-alignment-element"/>
          <w:rFonts w:ascii="Times New Roman" w:hAnsi="Times New Roman" w:cs="Times New Roman"/>
          <w:sz w:val="24"/>
          <w:szCs w:val="24"/>
          <w:lang w:val="pt-BR"/>
        </w:rPr>
        <w:t>,</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incluindo</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respostas</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a</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e-mails</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e</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discussões</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por</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telefone.</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Além</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disso,</w:t>
      </w:r>
      <w:r w:rsidRPr="00695893">
        <w:rPr>
          <w:rFonts w:ascii="Times New Roman" w:hAnsi="Times New Roman" w:cs="Times New Roman"/>
          <w:sz w:val="24"/>
          <w:szCs w:val="24"/>
          <w:lang w:val="pt-BR"/>
        </w:rPr>
        <w:t xml:space="preserve"> usamos </w:t>
      </w:r>
      <w:r w:rsidRPr="00695893">
        <w:rPr>
          <w:rStyle w:val="ts-alignment-element"/>
          <w:rFonts w:ascii="Times New Roman" w:hAnsi="Times New Roman" w:cs="Times New Roman"/>
          <w:sz w:val="24"/>
          <w:szCs w:val="24"/>
          <w:lang w:val="pt-BR"/>
        </w:rPr>
        <w:t>os</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relatórios</w:t>
      </w:r>
      <w:r>
        <w:rPr>
          <w:rStyle w:val="ts-alignment-element"/>
          <w:rFonts w:ascii="Times New Roman" w:hAnsi="Times New Roman" w:cs="Times New Roman"/>
          <w:sz w:val="24"/>
          <w:szCs w:val="24"/>
          <w:lang w:val="pt-BR"/>
        </w:rPr>
        <w:t xml:space="preserve"> e outros fontes</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disponíveis</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na</w:t>
      </w:r>
      <w:r w:rsidRPr="00695893">
        <w:rPr>
          <w:rFonts w:ascii="Times New Roman" w:hAnsi="Times New Roman" w:cs="Times New Roman"/>
          <w:sz w:val="24"/>
          <w:szCs w:val="24"/>
          <w:lang w:val="pt-BR"/>
        </w:rPr>
        <w:t xml:space="preserve"> </w:t>
      </w:r>
      <w:r w:rsidRPr="00695893">
        <w:rPr>
          <w:rStyle w:val="ts-alignment-element"/>
          <w:rFonts w:ascii="Times New Roman" w:hAnsi="Times New Roman" w:cs="Times New Roman"/>
          <w:sz w:val="24"/>
          <w:szCs w:val="24"/>
          <w:lang w:val="pt-BR"/>
        </w:rPr>
        <w:t>Internet.</w:t>
      </w:r>
      <w:r w:rsidRPr="00695893">
        <w:rPr>
          <w:rFonts w:ascii="Times New Roman" w:hAnsi="Times New Roman" w:cs="Times New Roman"/>
          <w:sz w:val="24"/>
          <w:szCs w:val="24"/>
          <w:lang w:val="pt-BR"/>
        </w:rPr>
        <w:t xml:space="preserve"> </w:t>
      </w:r>
    </w:p>
    <w:p w14:paraId="698AFFA6" w14:textId="77777777" w:rsidR="00427CAD" w:rsidRPr="0039785E" w:rsidRDefault="00427CAD" w:rsidP="00427CAD">
      <w:pPr>
        <w:widowControl w:val="0"/>
        <w:overflowPunct w:val="0"/>
        <w:autoSpaceDE w:val="0"/>
        <w:autoSpaceDN w:val="0"/>
        <w:adjustRightInd w:val="0"/>
        <w:spacing w:line="367" w:lineRule="auto"/>
        <w:rPr>
          <w:rFonts w:ascii="Times New Roman" w:hAnsi="Times New Roman" w:cs="Times New Roman"/>
          <w:sz w:val="24"/>
          <w:szCs w:val="24"/>
          <w:lang w:val="pt-BR"/>
        </w:rPr>
      </w:pPr>
      <w:bookmarkStart w:id="2" w:name="_Hlk513264967"/>
      <w:r w:rsidRPr="0039785E">
        <w:rPr>
          <w:rStyle w:val="ts-alignment-element"/>
          <w:rFonts w:ascii="Times New Roman" w:hAnsi="Times New Roman" w:cs="Times New Roman"/>
          <w:sz w:val="24"/>
          <w:szCs w:val="24"/>
          <w:lang w:val="pt-BR"/>
        </w:rPr>
        <w:t>Este</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relatório</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está organizado em quatro capítulos.</w:t>
      </w:r>
      <w:r w:rsidRPr="0039785E">
        <w:rPr>
          <w:rFonts w:ascii="Times New Roman" w:hAnsi="Times New Roman" w:cs="Times New Roman"/>
          <w:sz w:val="24"/>
          <w:szCs w:val="24"/>
          <w:lang w:val="pt-BR"/>
        </w:rPr>
        <w:t xml:space="preserve"> O c</w:t>
      </w:r>
      <w:r w:rsidRPr="0039785E">
        <w:rPr>
          <w:rStyle w:val="ts-alignment-element"/>
          <w:rFonts w:ascii="Times New Roman" w:hAnsi="Times New Roman" w:cs="Times New Roman"/>
          <w:sz w:val="24"/>
          <w:szCs w:val="24"/>
          <w:lang w:val="pt-BR"/>
        </w:rPr>
        <w:t>apítulo</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I</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abrange</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a</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criação</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e</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estrutura</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organizacional</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atual</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do</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SFM</w:t>
      </w:r>
      <w:r w:rsidRPr="0039785E">
        <w:rPr>
          <w:rFonts w:ascii="Times New Roman" w:hAnsi="Times New Roman" w:cs="Times New Roman"/>
          <w:sz w:val="24"/>
          <w:szCs w:val="24"/>
          <w:lang w:val="pt-BR"/>
        </w:rPr>
        <w:t xml:space="preserve"> em 2013 e seu desempenho financeira no período 2013/ 2017. O </w:t>
      </w:r>
      <w:r w:rsidRPr="0039785E">
        <w:rPr>
          <w:rStyle w:val="ts-alignment-element"/>
          <w:rFonts w:ascii="Times New Roman" w:hAnsi="Times New Roman" w:cs="Times New Roman"/>
          <w:sz w:val="24"/>
          <w:szCs w:val="24"/>
          <w:lang w:val="pt-BR"/>
        </w:rPr>
        <w:t>capítulo</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II</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revisa a matriz de financiamento do FDU,</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incluindo</w:t>
      </w:r>
      <w:r w:rsidRPr="0039785E">
        <w:rPr>
          <w:rFonts w:ascii="Times New Roman" w:hAnsi="Times New Roman" w:cs="Times New Roman"/>
          <w:sz w:val="24"/>
          <w:szCs w:val="24"/>
          <w:lang w:val="pt-BR"/>
        </w:rPr>
        <w:t xml:space="preserve"> o volume e termos dos empréstimos municipais.  O </w:t>
      </w:r>
      <w:r>
        <w:rPr>
          <w:rFonts w:ascii="Times New Roman" w:hAnsi="Times New Roman" w:cs="Times New Roman"/>
          <w:sz w:val="24"/>
          <w:szCs w:val="24"/>
          <w:lang w:val="pt-BR"/>
        </w:rPr>
        <w:t>c</w:t>
      </w:r>
      <w:r w:rsidRPr="0039785E">
        <w:rPr>
          <w:rFonts w:ascii="Times New Roman" w:hAnsi="Times New Roman" w:cs="Times New Roman"/>
          <w:sz w:val="24"/>
          <w:szCs w:val="24"/>
          <w:lang w:val="pt-BR"/>
        </w:rPr>
        <w:t>apítulo III analisa a s</w:t>
      </w:r>
      <w:r w:rsidRPr="0039785E">
        <w:rPr>
          <w:rFonts w:ascii="Times New Roman" w:eastAsia="Calibri" w:hAnsi="Times New Roman" w:cs="Times New Roman"/>
          <w:sz w:val="24"/>
          <w:szCs w:val="24"/>
          <w:lang w:val="pt-BR"/>
        </w:rPr>
        <w:t xml:space="preserve">ustentabilidade do SFM através de </w:t>
      </w:r>
      <w:r w:rsidRPr="0039785E">
        <w:rPr>
          <w:rFonts w:ascii="Times New Roman" w:hAnsi="Times New Roman" w:cs="Times New Roman"/>
          <w:sz w:val="24"/>
          <w:szCs w:val="24"/>
          <w:lang w:val="pt-BR"/>
        </w:rPr>
        <w:t xml:space="preserve">simulações financeiras do FDU para 2018/2038. O </w:t>
      </w:r>
      <w:r>
        <w:rPr>
          <w:rFonts w:ascii="Times New Roman" w:hAnsi="Times New Roman" w:cs="Times New Roman"/>
          <w:sz w:val="24"/>
          <w:szCs w:val="24"/>
          <w:lang w:val="pt-BR"/>
        </w:rPr>
        <w:t>c</w:t>
      </w:r>
      <w:r w:rsidRPr="0039785E">
        <w:rPr>
          <w:rFonts w:ascii="Times New Roman" w:hAnsi="Times New Roman" w:cs="Times New Roman"/>
          <w:sz w:val="24"/>
          <w:szCs w:val="24"/>
          <w:lang w:val="pt-BR"/>
        </w:rPr>
        <w:t>apítulo IV fornece uma prospecção de novos instrumentos, inclusive a geração de incentivos para melhorar o desempenho financeiro dos municípios.</w:t>
      </w:r>
    </w:p>
    <w:bookmarkEnd w:id="2"/>
    <w:p w14:paraId="147E6850" w14:textId="77777777" w:rsidR="00427CAD" w:rsidRPr="00695893" w:rsidRDefault="00427CAD" w:rsidP="00427CAD">
      <w:pPr>
        <w:pStyle w:val="BodyText"/>
        <w:spacing w:after="0" w:line="240" w:lineRule="auto"/>
        <w:jc w:val="center"/>
        <w:rPr>
          <w:rFonts w:ascii="Times New Roman" w:eastAsia="Calibri" w:hAnsi="Times New Roman"/>
          <w:b/>
          <w:sz w:val="24"/>
          <w:szCs w:val="24"/>
          <w:u w:val="single"/>
          <w:lang w:val="pt-BR"/>
        </w:rPr>
      </w:pPr>
      <w:r w:rsidRPr="00695893">
        <w:rPr>
          <w:rFonts w:ascii="Times New Roman" w:eastAsia="Calibri" w:hAnsi="Times New Roman"/>
          <w:b/>
          <w:sz w:val="24"/>
          <w:szCs w:val="24"/>
          <w:u w:val="single"/>
          <w:lang w:val="pt-BR"/>
        </w:rPr>
        <w:t xml:space="preserve">Capítulo I. A estrutura do SFM e o recente desempenho financeiro </w:t>
      </w:r>
    </w:p>
    <w:p w14:paraId="507472D8" w14:textId="77777777" w:rsidR="00427CAD" w:rsidRPr="00695893" w:rsidRDefault="00427CAD" w:rsidP="00427CAD">
      <w:pPr>
        <w:pStyle w:val="BodyText"/>
        <w:spacing w:line="360" w:lineRule="auto"/>
        <w:jc w:val="center"/>
        <w:rPr>
          <w:rFonts w:ascii="Times New Roman" w:eastAsia="Calibri" w:hAnsi="Times New Roman" w:cs="Times New Roman"/>
          <w:b/>
          <w:sz w:val="24"/>
          <w:szCs w:val="24"/>
          <w:u w:val="single"/>
          <w:lang w:val="pt-BR"/>
        </w:rPr>
      </w:pPr>
      <w:r w:rsidRPr="00695893">
        <w:rPr>
          <w:rFonts w:ascii="Times New Roman" w:eastAsia="Calibri" w:hAnsi="Times New Roman"/>
          <w:b/>
          <w:sz w:val="24"/>
          <w:szCs w:val="24"/>
          <w:u w:val="single"/>
          <w:lang w:val="pt-BR"/>
        </w:rPr>
        <w:t>de suas principais entidades</w:t>
      </w:r>
    </w:p>
    <w:p w14:paraId="1E66A1A3" w14:textId="77777777" w:rsidR="00427CAD" w:rsidRDefault="00427CAD" w:rsidP="00427CAD">
      <w:pPr>
        <w:pStyle w:val="BodyText"/>
        <w:spacing w:line="360" w:lineRule="auto"/>
        <w:rPr>
          <w:rFonts w:ascii="Times New Roman" w:eastAsia="Calibri" w:hAnsi="Times New Roman"/>
          <w:sz w:val="24"/>
          <w:szCs w:val="24"/>
          <w:lang w:val="pt-BR"/>
        </w:rPr>
      </w:pPr>
      <w:r w:rsidRPr="00695893">
        <w:rPr>
          <w:rFonts w:ascii="Times New Roman" w:eastAsia="Calibri" w:hAnsi="Times New Roman"/>
          <w:sz w:val="24"/>
          <w:szCs w:val="24"/>
          <w:lang w:val="pt-BR"/>
        </w:rPr>
        <w:t>Neste capítulo, r</w:t>
      </w:r>
      <w:r w:rsidRPr="00695893">
        <w:rPr>
          <w:rFonts w:ascii="Times New Roman" w:eastAsia="Calibri" w:hAnsi="Times New Roman" w:cs="Times New Roman"/>
          <w:sz w:val="24"/>
          <w:szCs w:val="24"/>
          <w:lang w:val="pt-BR"/>
        </w:rPr>
        <w:t>evisa</w:t>
      </w:r>
      <w:r w:rsidRPr="00695893">
        <w:rPr>
          <w:rFonts w:ascii="Times New Roman" w:eastAsia="Calibri" w:hAnsi="Times New Roman"/>
          <w:sz w:val="24"/>
          <w:szCs w:val="24"/>
          <w:lang w:val="pt-BR"/>
        </w:rPr>
        <w:t>mos</w:t>
      </w:r>
      <w:r w:rsidRPr="00695893">
        <w:rPr>
          <w:rFonts w:ascii="Times New Roman" w:eastAsia="Calibri" w:hAnsi="Times New Roman" w:cs="Times New Roman"/>
          <w:sz w:val="24"/>
          <w:szCs w:val="24"/>
          <w:lang w:val="pt-BR"/>
        </w:rPr>
        <w:t xml:space="preserve"> as pertentes leis, regulamentos, demonstrativos contábeis e outras informações</w:t>
      </w:r>
      <w:r w:rsidRPr="00695893">
        <w:rPr>
          <w:rFonts w:ascii="Times New Roman" w:eastAsia="Calibri" w:hAnsi="Times New Roman"/>
          <w:sz w:val="24"/>
          <w:szCs w:val="24"/>
          <w:lang w:val="pt-BR"/>
        </w:rPr>
        <w:t xml:space="preserve"> </w:t>
      </w:r>
      <w:r w:rsidRPr="00695893">
        <w:rPr>
          <w:rFonts w:ascii="Times New Roman" w:eastAsia="Calibri" w:hAnsi="Times New Roman" w:cs="Times New Roman"/>
          <w:sz w:val="24"/>
          <w:szCs w:val="24"/>
          <w:lang w:val="pt-BR"/>
        </w:rPr>
        <w:t>sobre a estratégia, objetivos e resultados</w:t>
      </w:r>
      <w:r w:rsidRPr="00695893">
        <w:rPr>
          <w:rFonts w:ascii="Times New Roman" w:eastAsia="Calibri" w:hAnsi="Times New Roman"/>
          <w:sz w:val="24"/>
          <w:szCs w:val="24"/>
          <w:lang w:val="pt-BR"/>
        </w:rPr>
        <w:t xml:space="preserve"> dos anos recentes e os</w:t>
      </w:r>
      <w:r w:rsidRPr="00695893">
        <w:rPr>
          <w:rFonts w:ascii="Times New Roman" w:eastAsia="Calibri" w:hAnsi="Times New Roman" w:cs="Times New Roman"/>
          <w:sz w:val="24"/>
          <w:szCs w:val="24"/>
          <w:lang w:val="pt-BR"/>
        </w:rPr>
        <w:t xml:space="preserve"> esperados para os próximos anos com respeito ao financiamento municipal </w:t>
      </w:r>
      <w:r w:rsidRPr="00695893">
        <w:rPr>
          <w:rFonts w:ascii="Times New Roman" w:eastAsia="Calibri" w:hAnsi="Times New Roman"/>
          <w:sz w:val="24"/>
          <w:szCs w:val="24"/>
          <w:lang w:val="pt-BR"/>
        </w:rPr>
        <w:t xml:space="preserve">das principais entidades do SFM: A </w:t>
      </w:r>
      <w:r w:rsidRPr="00695893">
        <w:rPr>
          <w:rFonts w:ascii="Times New Roman" w:eastAsia="Calibri" w:hAnsi="Times New Roman" w:cs="Times New Roman"/>
          <w:sz w:val="24"/>
          <w:szCs w:val="24"/>
          <w:lang w:val="pt-BR"/>
        </w:rPr>
        <w:t xml:space="preserve">Agência Fomento </w:t>
      </w:r>
      <w:r>
        <w:rPr>
          <w:rFonts w:ascii="Times New Roman" w:eastAsia="Calibri" w:hAnsi="Times New Roman" w:cs="Times New Roman"/>
          <w:sz w:val="24"/>
          <w:szCs w:val="24"/>
          <w:lang w:val="pt-BR"/>
        </w:rPr>
        <w:t xml:space="preserve">do </w:t>
      </w:r>
      <w:r w:rsidRPr="00695893">
        <w:rPr>
          <w:rFonts w:ascii="Times New Roman" w:eastAsia="Calibri" w:hAnsi="Times New Roman" w:cs="Times New Roman"/>
          <w:sz w:val="24"/>
          <w:szCs w:val="24"/>
          <w:lang w:val="pt-BR"/>
        </w:rPr>
        <w:t xml:space="preserve">Paraná </w:t>
      </w:r>
      <w:r>
        <w:rPr>
          <w:rFonts w:ascii="Times New Roman" w:eastAsia="Calibri" w:hAnsi="Times New Roman" w:cs="Times New Roman"/>
          <w:sz w:val="24"/>
          <w:szCs w:val="24"/>
          <w:lang w:val="pt-BR"/>
        </w:rPr>
        <w:t xml:space="preserve">(Fomento Paraná) </w:t>
      </w:r>
      <w:r w:rsidRPr="00695893">
        <w:rPr>
          <w:rFonts w:ascii="Times New Roman" w:eastAsia="Calibri" w:hAnsi="Times New Roman" w:cs="Times New Roman"/>
          <w:sz w:val="24"/>
          <w:szCs w:val="24"/>
          <w:lang w:val="pt-BR"/>
        </w:rPr>
        <w:t>e o Paranacidade</w:t>
      </w:r>
      <w:r w:rsidRPr="00695893">
        <w:rPr>
          <w:rFonts w:ascii="Times New Roman" w:eastAsia="Calibri" w:hAnsi="Times New Roman"/>
          <w:sz w:val="24"/>
          <w:szCs w:val="24"/>
          <w:lang w:val="pt-BR"/>
        </w:rPr>
        <w:t>. O capítulo começa com uma revisão da</w:t>
      </w:r>
      <w:r w:rsidRPr="00695893">
        <w:rPr>
          <w:rFonts w:ascii="Times New Roman" w:hAnsi="Times New Roman" w:cs="Times New Roman"/>
          <w:b/>
          <w:sz w:val="24"/>
          <w:szCs w:val="24"/>
          <w:lang w:val="pt-BR"/>
        </w:rPr>
        <w:t xml:space="preserve"> </w:t>
      </w:r>
      <w:r w:rsidRPr="00695893">
        <w:rPr>
          <w:rFonts w:ascii="Times New Roman" w:hAnsi="Times New Roman" w:cs="Times New Roman"/>
          <w:sz w:val="24"/>
          <w:szCs w:val="24"/>
          <w:lang w:val="pt-BR"/>
        </w:rPr>
        <w:t>criação e estrutura organizacional do SFM</w:t>
      </w:r>
      <w:r w:rsidRPr="00695893">
        <w:rPr>
          <w:rFonts w:ascii="Times New Roman" w:hAnsi="Times New Roman"/>
          <w:sz w:val="24"/>
          <w:szCs w:val="24"/>
          <w:lang w:val="pt-BR"/>
        </w:rPr>
        <w:t xml:space="preserve">, e </w:t>
      </w:r>
      <w:r w:rsidRPr="00695893">
        <w:rPr>
          <w:rFonts w:ascii="Times New Roman" w:hAnsi="Times New Roman" w:cs="Times New Roman"/>
          <w:sz w:val="24"/>
          <w:szCs w:val="24"/>
          <w:lang w:val="pt-BR"/>
        </w:rPr>
        <w:t xml:space="preserve">depois passa para uma </w:t>
      </w:r>
      <w:r w:rsidRPr="00695893">
        <w:rPr>
          <w:rFonts w:ascii="Times New Roman" w:hAnsi="Times New Roman"/>
          <w:sz w:val="24"/>
          <w:szCs w:val="24"/>
          <w:lang w:val="pt-BR"/>
        </w:rPr>
        <w:t xml:space="preserve">avalição do desempenho financeiro do </w:t>
      </w:r>
      <w:r w:rsidRPr="00695893">
        <w:rPr>
          <w:rFonts w:ascii="Times New Roman" w:eastAsia="Calibri" w:hAnsi="Times New Roman"/>
          <w:sz w:val="24"/>
          <w:szCs w:val="24"/>
          <w:lang w:val="pt-BR"/>
        </w:rPr>
        <w:t>FDU e da Fomento Paraná</w:t>
      </w:r>
      <w:r>
        <w:rPr>
          <w:rFonts w:ascii="Times New Roman" w:eastAsia="Calibri" w:hAnsi="Times New Roman"/>
          <w:sz w:val="24"/>
          <w:szCs w:val="24"/>
          <w:lang w:val="pt-BR"/>
        </w:rPr>
        <w:t xml:space="preserve"> durante o período de 2014 a 2017</w:t>
      </w:r>
      <w:r w:rsidRPr="00695893">
        <w:rPr>
          <w:rFonts w:ascii="Times New Roman" w:eastAsia="Calibri" w:hAnsi="Times New Roman"/>
          <w:sz w:val="24"/>
          <w:szCs w:val="24"/>
          <w:lang w:val="pt-BR"/>
        </w:rPr>
        <w:t xml:space="preserve">, </w:t>
      </w:r>
      <w:r>
        <w:rPr>
          <w:rFonts w:ascii="Times New Roman" w:eastAsia="Calibri" w:hAnsi="Times New Roman"/>
          <w:sz w:val="24"/>
          <w:szCs w:val="24"/>
          <w:lang w:val="pt-BR"/>
        </w:rPr>
        <w:t xml:space="preserve">quando ocorreram algumas modificações decorrentes da reforma que criou o SFM.  </w:t>
      </w:r>
    </w:p>
    <w:p w14:paraId="6253A389" w14:textId="77777777" w:rsidR="00427CAD" w:rsidRPr="00695893" w:rsidRDefault="00427CAD" w:rsidP="00427CAD">
      <w:pPr>
        <w:pStyle w:val="BodyText"/>
        <w:spacing w:line="360" w:lineRule="auto"/>
        <w:rPr>
          <w:rFonts w:ascii="Times New Roman" w:eastAsia="Calibri" w:hAnsi="Times New Roman"/>
          <w:sz w:val="24"/>
          <w:szCs w:val="24"/>
          <w:lang w:val="pt-BR"/>
        </w:rPr>
      </w:pPr>
    </w:p>
    <w:p w14:paraId="3DB596E3" w14:textId="77777777" w:rsidR="00427CAD" w:rsidRPr="00695893" w:rsidRDefault="00427CAD" w:rsidP="00427CAD">
      <w:pPr>
        <w:widowControl w:val="0"/>
        <w:overflowPunct w:val="0"/>
        <w:autoSpaceDE w:val="0"/>
        <w:autoSpaceDN w:val="0"/>
        <w:adjustRightInd w:val="0"/>
        <w:spacing w:line="367" w:lineRule="auto"/>
        <w:jc w:val="center"/>
        <w:rPr>
          <w:rFonts w:ascii="Times New Roman" w:hAnsi="Times New Roman" w:cs="Times New Roman"/>
          <w:b/>
          <w:sz w:val="24"/>
          <w:szCs w:val="24"/>
          <w:lang w:val="pt-BR"/>
        </w:rPr>
      </w:pPr>
      <w:r w:rsidRPr="00695893">
        <w:rPr>
          <w:rFonts w:ascii="Times New Roman" w:hAnsi="Times New Roman" w:cs="Times New Roman"/>
          <w:b/>
          <w:sz w:val="24"/>
          <w:szCs w:val="24"/>
          <w:lang w:val="pt-BR"/>
        </w:rPr>
        <w:lastRenderedPageBreak/>
        <w:t>A criação e estrutura organizacional do SFM</w:t>
      </w:r>
    </w:p>
    <w:p w14:paraId="7A6A4D51" w14:textId="77777777" w:rsidR="00427CAD" w:rsidRPr="00695893" w:rsidRDefault="00427CAD" w:rsidP="00427CAD">
      <w:pPr>
        <w:shd w:val="clear" w:color="auto" w:fill="FFFFFF"/>
        <w:spacing w:after="0" w:line="360" w:lineRule="atLeast"/>
        <w:rPr>
          <w:rFonts w:ascii="Times New Roman" w:hAnsi="Times New Roman" w:cs="Times New Roman"/>
          <w:sz w:val="24"/>
          <w:szCs w:val="24"/>
          <w:lang w:val="pt-BR"/>
        </w:rPr>
      </w:pPr>
      <w:r w:rsidRPr="00695893">
        <w:rPr>
          <w:rFonts w:ascii="Times New Roman" w:hAnsi="Times New Roman" w:cs="Times New Roman"/>
          <w:sz w:val="24"/>
          <w:szCs w:val="24"/>
          <w:lang w:val="pt-BR"/>
        </w:rPr>
        <w:t>Em 2000, a Lei de Responsabilidade Fiscal vedou a realização de operações de crédito entre um estado e seus municípios, o que inviabilizou o sistema de concessão que estava sendo utilizado pelo FDU.  Para resolver este problema, os recursos do FDU foram integralizados ao capital social da Fomento Paraná.  As restrições operacionais visa</w:t>
      </w:r>
      <w:r>
        <w:rPr>
          <w:rFonts w:ascii="Times New Roman" w:hAnsi="Times New Roman" w:cs="Times New Roman"/>
          <w:sz w:val="24"/>
          <w:szCs w:val="24"/>
          <w:lang w:val="pt-BR"/>
        </w:rPr>
        <w:t>va</w:t>
      </w:r>
      <w:r w:rsidRPr="00695893">
        <w:rPr>
          <w:rFonts w:ascii="Times New Roman" w:hAnsi="Times New Roman" w:cs="Times New Roman"/>
          <w:sz w:val="24"/>
          <w:szCs w:val="24"/>
          <w:lang w:val="pt-BR"/>
        </w:rPr>
        <w:t>m minimizar o risco dessas agências ao Sistema Financeiro Nacional</w:t>
      </w:r>
      <w:r>
        <w:rPr>
          <w:rFonts w:ascii="Times New Roman" w:hAnsi="Times New Roman" w:cs="Times New Roman"/>
          <w:sz w:val="24"/>
          <w:szCs w:val="24"/>
          <w:lang w:val="pt-BR"/>
        </w:rPr>
        <w:t xml:space="preserve"> (SFN)</w:t>
      </w:r>
      <w:r w:rsidRPr="00695893">
        <w:rPr>
          <w:rFonts w:ascii="Times New Roman" w:hAnsi="Times New Roman" w:cs="Times New Roman"/>
          <w:sz w:val="24"/>
          <w:szCs w:val="24"/>
          <w:lang w:val="pt-BR"/>
        </w:rPr>
        <w:t xml:space="preserve">.  </w:t>
      </w:r>
    </w:p>
    <w:p w14:paraId="5B2507DF" w14:textId="77777777" w:rsidR="00427CAD" w:rsidRPr="00695893" w:rsidRDefault="00427CAD" w:rsidP="00427CAD">
      <w:pPr>
        <w:spacing w:before="240" w:line="360" w:lineRule="auto"/>
        <w:rPr>
          <w:rFonts w:ascii="Times New Roman" w:hAnsi="Times New Roman" w:cs="Times New Roman"/>
          <w:b/>
          <w:sz w:val="24"/>
          <w:szCs w:val="24"/>
          <w:lang w:val="pt-BR"/>
        </w:rPr>
      </w:pPr>
      <w:r w:rsidRPr="00F167FF">
        <w:rPr>
          <w:rFonts w:ascii="Times New Roman" w:eastAsia="Times New Roman" w:hAnsi="Times New Roman" w:cs="Times New Roman"/>
          <w:color w:val="000000"/>
          <w:sz w:val="24"/>
          <w:szCs w:val="24"/>
          <w:lang w:val="pt-BR"/>
        </w:rPr>
        <w:t>O risco fiscal deste arranjo institucional parece mínimo</w:t>
      </w:r>
      <w:r w:rsidRPr="00695893">
        <w:rPr>
          <w:rFonts w:ascii="Times New Roman" w:eastAsia="Times New Roman" w:hAnsi="Times New Roman" w:cs="Times New Roman"/>
          <w:color w:val="000000"/>
          <w:sz w:val="24"/>
          <w:szCs w:val="24"/>
          <w:lang w:val="pt-BR"/>
        </w:rPr>
        <w:t xml:space="preserve">, uma vez que o montante que as agências de fomento podem emprestar aos municípios é estritamente limitado por leis e regulamentos, supervisionados pelo Banco Central como entes do </w:t>
      </w:r>
      <w:r>
        <w:rPr>
          <w:rFonts w:ascii="Times New Roman" w:eastAsia="Times New Roman" w:hAnsi="Times New Roman" w:cs="Times New Roman"/>
          <w:color w:val="000000"/>
          <w:sz w:val="24"/>
          <w:szCs w:val="24"/>
          <w:lang w:val="pt-BR"/>
        </w:rPr>
        <w:t>SFN</w:t>
      </w:r>
      <w:r w:rsidRPr="00695893">
        <w:rPr>
          <w:rFonts w:ascii="Times New Roman" w:eastAsia="Times New Roman" w:hAnsi="Times New Roman" w:cs="Times New Roman"/>
          <w:color w:val="000000"/>
          <w:sz w:val="24"/>
          <w:szCs w:val="24"/>
          <w:lang w:val="pt-BR"/>
        </w:rPr>
        <w:t>. Também, a S</w:t>
      </w:r>
      <w:r>
        <w:rPr>
          <w:rFonts w:ascii="Times New Roman" w:eastAsia="Times New Roman" w:hAnsi="Times New Roman" w:cs="Times New Roman"/>
          <w:color w:val="000000"/>
          <w:sz w:val="24"/>
          <w:szCs w:val="24"/>
          <w:lang w:val="pt-BR"/>
        </w:rPr>
        <w:t xml:space="preserve">ecretaria do </w:t>
      </w:r>
      <w:r w:rsidRPr="00695893">
        <w:rPr>
          <w:rFonts w:ascii="Times New Roman" w:eastAsia="Times New Roman" w:hAnsi="Times New Roman" w:cs="Times New Roman"/>
          <w:color w:val="000000"/>
          <w:sz w:val="24"/>
          <w:szCs w:val="24"/>
          <w:lang w:val="pt-BR"/>
        </w:rPr>
        <w:t>T</w:t>
      </w:r>
      <w:r>
        <w:rPr>
          <w:rFonts w:ascii="Times New Roman" w:eastAsia="Times New Roman" w:hAnsi="Times New Roman" w:cs="Times New Roman"/>
          <w:color w:val="000000"/>
          <w:sz w:val="24"/>
          <w:szCs w:val="24"/>
          <w:lang w:val="pt-BR"/>
        </w:rPr>
        <w:t xml:space="preserve">esouro </w:t>
      </w:r>
      <w:r w:rsidRPr="00695893">
        <w:rPr>
          <w:rFonts w:ascii="Times New Roman" w:eastAsia="Times New Roman" w:hAnsi="Times New Roman" w:cs="Times New Roman"/>
          <w:color w:val="000000"/>
          <w:sz w:val="24"/>
          <w:szCs w:val="24"/>
          <w:lang w:val="pt-BR"/>
        </w:rPr>
        <w:t>N</w:t>
      </w:r>
      <w:r>
        <w:rPr>
          <w:rFonts w:ascii="Times New Roman" w:eastAsia="Times New Roman" w:hAnsi="Times New Roman" w:cs="Times New Roman"/>
          <w:color w:val="000000"/>
          <w:sz w:val="24"/>
          <w:szCs w:val="24"/>
          <w:lang w:val="pt-BR"/>
        </w:rPr>
        <w:t>acional</w:t>
      </w:r>
      <w:r w:rsidRPr="00695893">
        <w:rPr>
          <w:rFonts w:ascii="Times New Roman" w:eastAsia="Times New Roman" w:hAnsi="Times New Roman" w:cs="Times New Roman"/>
          <w:color w:val="000000"/>
          <w:sz w:val="24"/>
          <w:szCs w:val="24"/>
          <w:lang w:val="pt-BR"/>
        </w:rPr>
        <w:t xml:space="preserve"> (</w:t>
      </w:r>
      <w:r>
        <w:rPr>
          <w:rFonts w:ascii="Times New Roman" w:eastAsia="Times New Roman" w:hAnsi="Times New Roman" w:cs="Times New Roman"/>
          <w:color w:val="000000"/>
          <w:sz w:val="24"/>
          <w:szCs w:val="24"/>
          <w:lang w:val="pt-BR"/>
        </w:rPr>
        <w:t>STN</w:t>
      </w:r>
      <w:r w:rsidRPr="00695893">
        <w:rPr>
          <w:rFonts w:ascii="Times New Roman" w:eastAsia="Times New Roman" w:hAnsi="Times New Roman" w:cs="Times New Roman"/>
          <w:color w:val="000000"/>
          <w:sz w:val="24"/>
          <w:szCs w:val="24"/>
          <w:lang w:val="pt-BR"/>
        </w:rPr>
        <w:t xml:space="preserve">) controla o endividamento municipal. Desta forma, existem controles regulamentares administrados pelo Banco Central na concessão de empréstimos aos municípios através das agências de fomento, bem como limites de empréstimos aos municípios por parte da STN. </w:t>
      </w:r>
    </w:p>
    <w:p w14:paraId="36ABE222" w14:textId="77777777" w:rsidR="00427CAD" w:rsidRPr="00695893" w:rsidRDefault="00427CAD" w:rsidP="00427CAD">
      <w:pPr>
        <w:spacing w:before="240" w:line="360" w:lineRule="auto"/>
        <w:rPr>
          <w:rFonts w:ascii="Times New Roman" w:hAnsi="Times New Roman" w:cs="Times New Roman"/>
          <w:b/>
          <w:sz w:val="24"/>
          <w:szCs w:val="24"/>
          <w:lang w:val="pt-BR"/>
        </w:rPr>
      </w:pPr>
      <w:r w:rsidRPr="00695893">
        <w:rPr>
          <w:rFonts w:ascii="Times New Roman" w:hAnsi="Times New Roman" w:cs="Times New Roman"/>
          <w:b/>
          <w:sz w:val="24"/>
          <w:szCs w:val="24"/>
          <w:lang w:val="pt-BR"/>
        </w:rPr>
        <w:t xml:space="preserve">A </w:t>
      </w:r>
      <w:r>
        <w:rPr>
          <w:rFonts w:ascii="Times New Roman" w:hAnsi="Times New Roman" w:cs="Times New Roman"/>
          <w:b/>
          <w:sz w:val="24"/>
          <w:szCs w:val="24"/>
          <w:lang w:val="pt-BR"/>
        </w:rPr>
        <w:t>L</w:t>
      </w:r>
      <w:r w:rsidRPr="00695893">
        <w:rPr>
          <w:rFonts w:ascii="Times New Roman" w:hAnsi="Times New Roman" w:cs="Times New Roman"/>
          <w:b/>
          <w:sz w:val="24"/>
          <w:szCs w:val="24"/>
          <w:lang w:val="pt-BR"/>
        </w:rPr>
        <w:t>ei que estabelece</w:t>
      </w:r>
      <w:r>
        <w:rPr>
          <w:rFonts w:ascii="Times New Roman" w:hAnsi="Times New Roman" w:cs="Times New Roman"/>
          <w:b/>
          <w:sz w:val="24"/>
          <w:szCs w:val="24"/>
          <w:lang w:val="pt-BR"/>
        </w:rPr>
        <w:t>u</w:t>
      </w:r>
      <w:r w:rsidRPr="00695893">
        <w:rPr>
          <w:rFonts w:ascii="Times New Roman" w:hAnsi="Times New Roman" w:cs="Times New Roman"/>
          <w:b/>
          <w:sz w:val="24"/>
          <w:szCs w:val="24"/>
          <w:lang w:val="pt-BR"/>
        </w:rPr>
        <w:t xml:space="preserve"> uma estrutura institucional mais sólida e blinda o FDU</w:t>
      </w:r>
    </w:p>
    <w:p w14:paraId="7B0F104F" w14:textId="77777777" w:rsidR="00427CAD" w:rsidRPr="00695893" w:rsidRDefault="00427CAD" w:rsidP="00427CAD">
      <w:pPr>
        <w:autoSpaceDE w:val="0"/>
        <w:autoSpaceDN w:val="0"/>
        <w:adjustRightInd w:val="0"/>
        <w:spacing w:line="360" w:lineRule="auto"/>
        <w:rPr>
          <w:rFonts w:ascii="Times New Roman" w:hAnsi="Times New Roman" w:cs="Times New Roman"/>
          <w:sz w:val="24"/>
          <w:szCs w:val="24"/>
          <w:lang w:val="pt-BR"/>
        </w:rPr>
      </w:pPr>
      <w:r w:rsidRPr="00695893">
        <w:rPr>
          <w:rFonts w:ascii="Times New Roman" w:hAnsi="Times New Roman" w:cs="Times New Roman"/>
          <w:sz w:val="24"/>
          <w:szCs w:val="24"/>
          <w:lang w:val="pt-BR"/>
        </w:rPr>
        <w:t>Foi aprovada pela Assembleia Legislativa do Paraná e sancionada pelo governador a Lei 17655 (7 de agosto de 2013) que atualiz</w:t>
      </w:r>
      <w:r>
        <w:rPr>
          <w:rFonts w:ascii="Times New Roman" w:hAnsi="Times New Roman" w:cs="Times New Roman"/>
          <w:sz w:val="24"/>
          <w:szCs w:val="24"/>
          <w:lang w:val="pt-BR"/>
        </w:rPr>
        <w:t>ou</w:t>
      </w:r>
      <w:r w:rsidRPr="00695893">
        <w:rPr>
          <w:rFonts w:ascii="Times New Roman" w:hAnsi="Times New Roman" w:cs="Times New Roman"/>
          <w:sz w:val="24"/>
          <w:szCs w:val="24"/>
          <w:lang w:val="pt-BR"/>
        </w:rPr>
        <w:t xml:space="preserve"> e moderniz</w:t>
      </w:r>
      <w:r>
        <w:rPr>
          <w:rFonts w:ascii="Times New Roman" w:hAnsi="Times New Roman" w:cs="Times New Roman"/>
          <w:sz w:val="24"/>
          <w:szCs w:val="24"/>
          <w:lang w:val="pt-BR"/>
        </w:rPr>
        <w:t>ou</w:t>
      </w:r>
      <w:r w:rsidRPr="00695893">
        <w:rPr>
          <w:rFonts w:ascii="Times New Roman" w:hAnsi="Times New Roman" w:cs="Times New Roman"/>
          <w:sz w:val="24"/>
          <w:szCs w:val="24"/>
          <w:lang w:val="pt-BR"/>
        </w:rPr>
        <w:t xml:space="preserve"> o SFM. Com esta lei, o SFM passou a contar com um novo marco regulatório, que promove uma blindagem dos recursos e assegura a sustentabilidade do sistema.</w:t>
      </w:r>
    </w:p>
    <w:p w14:paraId="0BF19E5D" w14:textId="77777777" w:rsidR="00427CAD" w:rsidRPr="00695893" w:rsidRDefault="00427CAD" w:rsidP="00427CAD">
      <w:pPr>
        <w:autoSpaceDE w:val="0"/>
        <w:autoSpaceDN w:val="0"/>
        <w:adjustRightInd w:val="0"/>
        <w:spacing w:line="360" w:lineRule="auto"/>
        <w:rPr>
          <w:rFonts w:ascii="Times New Roman" w:hAnsi="Times New Roman" w:cs="Times New Roman"/>
          <w:color w:val="000000"/>
          <w:sz w:val="24"/>
          <w:szCs w:val="24"/>
          <w:u w:val="single"/>
          <w:lang w:val="pt-BR"/>
        </w:rPr>
      </w:pPr>
      <w:r w:rsidRPr="00695893">
        <w:rPr>
          <w:rFonts w:ascii="Times New Roman" w:hAnsi="Times New Roman" w:cs="Times New Roman"/>
          <w:sz w:val="24"/>
          <w:szCs w:val="24"/>
          <w:lang w:val="pt-BR"/>
        </w:rPr>
        <w:t xml:space="preserve">A lei estabelece as responsabilidades </w:t>
      </w:r>
      <w:r>
        <w:rPr>
          <w:rFonts w:ascii="Times New Roman" w:hAnsi="Times New Roman" w:cs="Times New Roman"/>
          <w:sz w:val="24"/>
          <w:szCs w:val="24"/>
          <w:lang w:val="pt-BR"/>
        </w:rPr>
        <w:t>das seguintes entidades</w:t>
      </w:r>
      <w:r w:rsidRPr="00695893">
        <w:rPr>
          <w:rFonts w:ascii="Times New Roman" w:hAnsi="Times New Roman" w:cs="Times New Roman"/>
          <w:sz w:val="24"/>
          <w:szCs w:val="24"/>
          <w:lang w:val="pt-BR"/>
        </w:rPr>
        <w:t xml:space="preserve"> que fazem parte da estrutura organizacional do SFM:</w:t>
      </w:r>
    </w:p>
    <w:p w14:paraId="4F550C68" w14:textId="77777777" w:rsidR="00427CAD" w:rsidRPr="00695893" w:rsidRDefault="00427CAD" w:rsidP="00427CAD">
      <w:pPr>
        <w:pStyle w:val="ListParagraph"/>
        <w:numPr>
          <w:ilvl w:val="0"/>
          <w:numId w:val="40"/>
        </w:numPr>
        <w:autoSpaceDE w:val="0"/>
        <w:autoSpaceDN w:val="0"/>
        <w:adjustRightInd w:val="0"/>
        <w:spacing w:line="360" w:lineRule="auto"/>
        <w:rPr>
          <w:rFonts w:ascii="Times New Roman" w:hAnsi="Times New Roman" w:cs="Times New Roman"/>
          <w:sz w:val="24"/>
          <w:szCs w:val="24"/>
          <w:lang w:val="pt-BR"/>
        </w:rPr>
      </w:pPr>
      <w:r w:rsidRPr="00695893">
        <w:rPr>
          <w:rFonts w:ascii="Times New Roman" w:hAnsi="Times New Roman" w:cs="Times New Roman"/>
          <w:sz w:val="24"/>
          <w:szCs w:val="24"/>
          <w:lang w:val="pt-BR"/>
        </w:rPr>
        <w:t>A Secretaria de Estado do Desenvolvimento Urbano</w:t>
      </w:r>
      <w:r>
        <w:rPr>
          <w:rFonts w:ascii="Times New Roman" w:hAnsi="Times New Roman" w:cs="Times New Roman"/>
          <w:sz w:val="24"/>
          <w:szCs w:val="24"/>
          <w:lang w:val="pt-BR"/>
        </w:rPr>
        <w:t xml:space="preserve"> (SEDU)</w:t>
      </w:r>
      <w:r w:rsidRPr="00695893">
        <w:rPr>
          <w:rFonts w:ascii="Times New Roman" w:hAnsi="Times New Roman" w:cs="Times New Roman"/>
          <w:sz w:val="24"/>
          <w:szCs w:val="24"/>
          <w:lang w:val="pt-BR"/>
        </w:rPr>
        <w:t xml:space="preserve"> é “responsável pela elaboração das políticas, do planejamento, da execução, da coordenação e do controle do desenvolvimento urbano e regional do Estado, cabendo-lhe a administração do SFM”</w:t>
      </w:r>
    </w:p>
    <w:p w14:paraId="0CC9DB95" w14:textId="77777777" w:rsidR="00427CAD" w:rsidRPr="00695893" w:rsidRDefault="00427CAD" w:rsidP="00427CAD">
      <w:pPr>
        <w:pStyle w:val="ListParagraph"/>
        <w:numPr>
          <w:ilvl w:val="0"/>
          <w:numId w:val="40"/>
        </w:numPr>
        <w:autoSpaceDE w:val="0"/>
        <w:autoSpaceDN w:val="0"/>
        <w:adjustRightInd w:val="0"/>
        <w:spacing w:line="360" w:lineRule="auto"/>
        <w:rPr>
          <w:rFonts w:ascii="Times New Roman" w:hAnsi="Times New Roman" w:cs="Times New Roman"/>
          <w:sz w:val="24"/>
          <w:szCs w:val="24"/>
          <w:lang w:val="pt-BR"/>
        </w:rPr>
      </w:pPr>
      <w:r w:rsidRPr="00695893">
        <w:rPr>
          <w:rFonts w:ascii="Times New Roman" w:hAnsi="Times New Roman" w:cs="Times New Roman"/>
          <w:bCs/>
          <w:sz w:val="24"/>
          <w:szCs w:val="24"/>
          <w:lang w:val="pt-BR"/>
        </w:rPr>
        <w:t xml:space="preserve">O </w:t>
      </w:r>
      <w:r w:rsidRPr="00695893">
        <w:rPr>
          <w:rFonts w:ascii="Times New Roman" w:hAnsi="Times New Roman" w:cs="Times New Roman"/>
          <w:sz w:val="24"/>
          <w:szCs w:val="24"/>
          <w:lang w:val="pt-BR"/>
        </w:rPr>
        <w:t>Serviço Social Autônomo Paranacidade funciona como o agente técnico operacional do SFM</w:t>
      </w:r>
    </w:p>
    <w:p w14:paraId="36F9A8E3" w14:textId="77777777" w:rsidR="00427CAD" w:rsidRPr="00695893" w:rsidRDefault="00427CAD" w:rsidP="00427CAD">
      <w:pPr>
        <w:pStyle w:val="ListParagraph"/>
        <w:numPr>
          <w:ilvl w:val="0"/>
          <w:numId w:val="40"/>
        </w:numPr>
        <w:autoSpaceDE w:val="0"/>
        <w:autoSpaceDN w:val="0"/>
        <w:adjustRightInd w:val="0"/>
        <w:spacing w:line="360" w:lineRule="auto"/>
        <w:rPr>
          <w:rFonts w:ascii="Times New Roman" w:hAnsi="Times New Roman" w:cs="Times New Roman"/>
          <w:sz w:val="24"/>
          <w:szCs w:val="24"/>
          <w:lang w:val="pt-BR"/>
        </w:rPr>
      </w:pPr>
      <w:r w:rsidRPr="00695893">
        <w:rPr>
          <w:rFonts w:ascii="Times New Roman" w:hAnsi="Times New Roman" w:cs="Times New Roman"/>
          <w:bCs/>
          <w:sz w:val="24"/>
          <w:szCs w:val="24"/>
          <w:lang w:val="pt-BR"/>
        </w:rPr>
        <w:t xml:space="preserve">A Fomento Paraná </w:t>
      </w:r>
      <w:r w:rsidRPr="00695893">
        <w:rPr>
          <w:rFonts w:ascii="Times New Roman" w:hAnsi="Times New Roman" w:cs="Times New Roman"/>
          <w:sz w:val="24"/>
          <w:szCs w:val="24"/>
          <w:lang w:val="pt-BR"/>
        </w:rPr>
        <w:t>atua de agente financeiro do SFM;</w:t>
      </w:r>
    </w:p>
    <w:p w14:paraId="22D0EA6D" w14:textId="77777777" w:rsidR="00427CAD" w:rsidRPr="00695893" w:rsidRDefault="00427CAD" w:rsidP="00427CAD">
      <w:pPr>
        <w:pStyle w:val="ListParagraph"/>
        <w:numPr>
          <w:ilvl w:val="0"/>
          <w:numId w:val="40"/>
        </w:numPr>
        <w:autoSpaceDE w:val="0"/>
        <w:autoSpaceDN w:val="0"/>
        <w:adjustRightInd w:val="0"/>
        <w:spacing w:before="240" w:line="360" w:lineRule="auto"/>
        <w:rPr>
          <w:rFonts w:ascii="Times New Roman" w:hAnsi="Times New Roman" w:cs="Times New Roman"/>
          <w:sz w:val="24"/>
          <w:szCs w:val="24"/>
          <w:lang w:val="pt-BR"/>
        </w:rPr>
      </w:pPr>
      <w:r w:rsidRPr="00695893">
        <w:rPr>
          <w:rFonts w:ascii="Times New Roman" w:hAnsi="Times New Roman" w:cs="Times New Roman"/>
          <w:bCs/>
          <w:sz w:val="24"/>
          <w:szCs w:val="24"/>
          <w:lang w:val="pt-BR"/>
        </w:rPr>
        <w:t>O</w:t>
      </w:r>
      <w:r w:rsidRPr="00695893">
        <w:rPr>
          <w:rFonts w:ascii="Times New Roman" w:hAnsi="Times New Roman" w:cs="Times New Roman"/>
          <w:sz w:val="24"/>
          <w:szCs w:val="24"/>
          <w:lang w:val="pt-BR"/>
        </w:rPr>
        <w:t xml:space="preserve"> Comitê de Investimento do SFM é </w:t>
      </w:r>
      <w:r>
        <w:rPr>
          <w:rFonts w:ascii="Times New Roman" w:hAnsi="Times New Roman" w:cs="Times New Roman"/>
          <w:sz w:val="24"/>
          <w:szCs w:val="24"/>
          <w:lang w:val="pt-BR"/>
        </w:rPr>
        <w:t xml:space="preserve">o </w:t>
      </w:r>
      <w:r w:rsidRPr="00695893">
        <w:rPr>
          <w:rFonts w:ascii="Times New Roman" w:hAnsi="Times New Roman" w:cs="Times New Roman"/>
          <w:sz w:val="24"/>
          <w:szCs w:val="24"/>
          <w:lang w:val="pt-BR"/>
        </w:rPr>
        <w:t>órgão de natureza consultiva, deliberativa e propositiva.</w:t>
      </w:r>
    </w:p>
    <w:p w14:paraId="43BE28E5" w14:textId="77777777" w:rsidR="00427CAD" w:rsidRPr="00695893" w:rsidRDefault="00427CAD" w:rsidP="00427CAD">
      <w:pPr>
        <w:autoSpaceDE w:val="0"/>
        <w:autoSpaceDN w:val="0"/>
        <w:adjustRightInd w:val="0"/>
        <w:spacing w:line="360" w:lineRule="auto"/>
        <w:rPr>
          <w:rFonts w:ascii="Times New Roman" w:eastAsia="Times New Roman" w:hAnsi="Times New Roman" w:cs="Times New Roman"/>
          <w:color w:val="000000"/>
          <w:sz w:val="24"/>
          <w:szCs w:val="24"/>
          <w:lang w:val="pt-BR"/>
        </w:rPr>
      </w:pPr>
      <w:r w:rsidRPr="00695893">
        <w:rPr>
          <w:rFonts w:ascii="Times New Roman" w:hAnsi="Times New Roman" w:cs="Times New Roman"/>
          <w:color w:val="000000"/>
          <w:sz w:val="24"/>
          <w:szCs w:val="24"/>
          <w:lang w:val="pt-BR"/>
        </w:rPr>
        <w:lastRenderedPageBreak/>
        <w:t>O Comitê de Investimentos visa garantir a aderência das ações do SFM às diretrizes dos planos do governo, e é formado pelos titulares das secretarias de Estado do Desenvolvimento Urbano, da Fazenda, da Casa Civil, de Governo, do Planejamento, além dos titulares da Fomento Paraná e Paranacidade.  O Comitê de Investimento do SFM está funcionando normalmente e se reuni periodicamente para atender s</w:t>
      </w:r>
      <w:r w:rsidRPr="00695893">
        <w:rPr>
          <w:rFonts w:ascii="Times New Roman" w:eastAsia="Times New Roman" w:hAnsi="Times New Roman" w:cs="Times New Roman"/>
          <w:color w:val="000000"/>
          <w:sz w:val="24"/>
          <w:szCs w:val="24"/>
          <w:lang w:val="pt-BR"/>
        </w:rPr>
        <w:t xml:space="preserve">eus deveres e responsabilidades </w:t>
      </w:r>
      <w:r w:rsidRPr="00695893">
        <w:rPr>
          <w:rFonts w:ascii="Times New Roman" w:hAnsi="Times New Roman" w:cs="Times New Roman"/>
          <w:color w:val="000000"/>
          <w:sz w:val="24"/>
          <w:szCs w:val="24"/>
          <w:lang w:val="pt-BR"/>
        </w:rPr>
        <w:t xml:space="preserve">definidos no regimento interno.  </w:t>
      </w:r>
    </w:p>
    <w:p w14:paraId="7133B61A" w14:textId="77777777" w:rsidR="00427CAD" w:rsidRPr="00695893" w:rsidRDefault="00427CAD" w:rsidP="00427CAD">
      <w:pPr>
        <w:spacing w:line="360" w:lineRule="auto"/>
        <w:rPr>
          <w:rFonts w:ascii="Times New Roman" w:hAnsi="Times New Roman" w:cs="Times New Roman"/>
          <w:color w:val="000000"/>
          <w:sz w:val="24"/>
          <w:szCs w:val="24"/>
          <w:lang w:val="pt-BR"/>
        </w:rPr>
      </w:pPr>
      <w:r w:rsidRPr="00695893">
        <w:rPr>
          <w:rFonts w:ascii="Times New Roman" w:hAnsi="Times New Roman" w:cs="Times New Roman"/>
          <w:color w:val="000000"/>
          <w:sz w:val="24"/>
          <w:szCs w:val="24"/>
          <w:lang w:val="pt-BR"/>
        </w:rPr>
        <w:t xml:space="preserve">Mesmo após a nova lei, a estrutura institucional do SFM continua bastante complexa e requer uma coordenação eficiente e ágil entre os municípios, Paranacidade, Fomento Paraná e STN. Para funcionar eficaz e eficientemente, </w:t>
      </w:r>
      <w:r>
        <w:rPr>
          <w:rFonts w:ascii="Times New Roman" w:hAnsi="Times New Roman" w:cs="Times New Roman"/>
          <w:color w:val="000000"/>
          <w:sz w:val="24"/>
          <w:szCs w:val="24"/>
          <w:lang w:val="pt-BR"/>
        </w:rPr>
        <w:t>o</w:t>
      </w:r>
      <w:r w:rsidRPr="00695893">
        <w:rPr>
          <w:rFonts w:ascii="Times New Roman" w:hAnsi="Times New Roman" w:cs="Times New Roman"/>
          <w:color w:val="000000"/>
          <w:sz w:val="24"/>
          <w:szCs w:val="24"/>
          <w:lang w:val="pt-BR"/>
        </w:rPr>
        <w:t xml:space="preserve"> SFM deve ter um sistema de informação totalmente integrado que acompanha cada projeto desde o seu início até o final da amortização</w:t>
      </w:r>
      <w:r>
        <w:rPr>
          <w:rFonts w:ascii="Times New Roman" w:hAnsi="Times New Roman" w:cs="Times New Roman"/>
          <w:color w:val="000000"/>
          <w:sz w:val="24"/>
          <w:szCs w:val="24"/>
          <w:lang w:val="pt-BR"/>
        </w:rPr>
        <w:t xml:space="preserve"> dos empréstimos</w:t>
      </w:r>
      <w:r w:rsidRPr="00695893">
        <w:rPr>
          <w:rFonts w:ascii="Times New Roman" w:hAnsi="Times New Roman" w:cs="Times New Roman"/>
          <w:color w:val="000000"/>
          <w:sz w:val="24"/>
          <w:szCs w:val="24"/>
          <w:lang w:val="pt-BR"/>
        </w:rPr>
        <w:t>, conforme proposta para o Paraná III.</w:t>
      </w:r>
    </w:p>
    <w:p w14:paraId="67DDE646" w14:textId="77777777" w:rsidR="00427CAD" w:rsidRPr="00695893" w:rsidRDefault="00427CAD" w:rsidP="00427CAD">
      <w:pPr>
        <w:pStyle w:val="Paragraph"/>
        <w:autoSpaceDE w:val="0"/>
        <w:autoSpaceDN w:val="0"/>
        <w:adjustRightInd w:val="0"/>
        <w:spacing w:line="360" w:lineRule="auto"/>
        <w:rPr>
          <w:szCs w:val="24"/>
          <w:u w:val="single"/>
          <w:lang w:val="pt-BR"/>
        </w:rPr>
      </w:pPr>
      <w:r w:rsidRPr="00695893">
        <w:rPr>
          <w:szCs w:val="24"/>
          <w:u w:val="single"/>
          <w:lang w:val="pt-BR"/>
        </w:rPr>
        <w:t xml:space="preserve">A blindagem do FDU e integração da Fomento Paraná </w:t>
      </w:r>
      <w:r>
        <w:rPr>
          <w:szCs w:val="24"/>
          <w:u w:val="single"/>
          <w:lang w:val="pt-BR"/>
        </w:rPr>
        <w:t>ao</w:t>
      </w:r>
      <w:r w:rsidRPr="00695893">
        <w:rPr>
          <w:szCs w:val="24"/>
          <w:u w:val="single"/>
          <w:lang w:val="pt-BR"/>
        </w:rPr>
        <w:t xml:space="preserve"> SFM</w:t>
      </w:r>
    </w:p>
    <w:p w14:paraId="46D7FBBF" w14:textId="77777777" w:rsidR="00427CAD" w:rsidRPr="00695893" w:rsidRDefault="00427CAD" w:rsidP="00427CAD">
      <w:pPr>
        <w:rPr>
          <w:rFonts w:ascii="Times New Roman" w:hAnsi="Times New Roman" w:cs="Times New Roman"/>
          <w:sz w:val="24"/>
          <w:szCs w:val="24"/>
          <w:lang w:val="pt-BR"/>
        </w:rPr>
      </w:pPr>
      <w:r w:rsidRPr="00695893">
        <w:rPr>
          <w:rFonts w:ascii="Times New Roman" w:hAnsi="Times New Roman" w:cs="Times New Roman"/>
          <w:sz w:val="24"/>
          <w:szCs w:val="24"/>
          <w:lang w:val="pt-BR"/>
        </w:rPr>
        <w:t xml:space="preserve">A Lei 17655 blinda o FDU, já que define os recursos do FDU de acordo com os: </w:t>
      </w:r>
    </w:p>
    <w:p w14:paraId="66E1B2F0" w14:textId="77777777" w:rsidR="00427CAD" w:rsidRPr="00695893" w:rsidRDefault="00427CAD" w:rsidP="00427CAD">
      <w:pPr>
        <w:ind w:left="567"/>
        <w:rPr>
          <w:rFonts w:ascii="Times New Roman" w:hAnsi="Times New Roman" w:cs="Times New Roman"/>
          <w:sz w:val="24"/>
          <w:szCs w:val="24"/>
          <w:lang w:val="pt-BR"/>
        </w:rPr>
      </w:pPr>
      <w:r w:rsidRPr="00695893">
        <w:rPr>
          <w:rFonts w:ascii="Times New Roman" w:hAnsi="Times New Roman" w:cs="Times New Roman"/>
          <w:sz w:val="24"/>
          <w:szCs w:val="24"/>
          <w:lang w:val="pt-BR"/>
        </w:rPr>
        <w:t>respectivos retornos dos empréstimos e dos resultados das aplicações financeiras do FDU; com recursos do capital social da Fomento Paraná destinados ao setor público e respectivos retornos dos empréstimos às entidades municipais paranaenses, bem como dos resultados das aplicações financeiras; além de recursos de outras fontes.</w:t>
      </w:r>
    </w:p>
    <w:p w14:paraId="7B9A983F" w14:textId="77777777" w:rsidR="00427CAD" w:rsidRPr="00695893" w:rsidRDefault="00427CAD" w:rsidP="00427CAD">
      <w:pPr>
        <w:ind w:left="567"/>
        <w:rPr>
          <w:rFonts w:ascii="Times New Roman" w:hAnsi="Times New Roman" w:cs="Times New Roman"/>
          <w:sz w:val="24"/>
          <w:szCs w:val="24"/>
          <w:lang w:val="pt-BR"/>
        </w:rPr>
      </w:pPr>
      <w:r w:rsidRPr="00695893">
        <w:rPr>
          <w:rFonts w:ascii="Times New Roman" w:hAnsi="Times New Roman" w:cs="Times New Roman"/>
          <w:sz w:val="24"/>
          <w:szCs w:val="24"/>
          <w:lang w:val="pt-BR"/>
        </w:rPr>
        <w:t>Os retornos e os juros dos empréstimos concedidos pela Fomento Paraná e os resultados auferidos em aplicações financeiras, desde que oriundos das integralizações feitas pelo FDU, deduzidos os custos operacionais, apurados na forma da totalidade dos dividendos (. . .), deverão obrigatoriamente ser destacados e destinados para futuros empréstimos vinculados ao SFM, a partir do exercício fiscal de 2014.</w:t>
      </w:r>
    </w:p>
    <w:p w14:paraId="74CF9AC6" w14:textId="77777777" w:rsidR="00427CAD" w:rsidRPr="00695893" w:rsidRDefault="00427CAD" w:rsidP="00427CAD">
      <w:pPr>
        <w:pStyle w:val="Paragraph"/>
        <w:autoSpaceDE w:val="0"/>
        <w:autoSpaceDN w:val="0"/>
        <w:adjustRightInd w:val="0"/>
        <w:spacing w:after="0" w:line="360" w:lineRule="auto"/>
        <w:rPr>
          <w:rFonts w:eastAsiaTheme="minorHAnsi"/>
          <w:color w:val="000000"/>
          <w:szCs w:val="24"/>
          <w:lang w:val="pt-BR"/>
        </w:rPr>
      </w:pPr>
      <w:r w:rsidRPr="00695893">
        <w:rPr>
          <w:szCs w:val="24"/>
          <w:lang w:val="pt-BR"/>
        </w:rPr>
        <w:t xml:space="preserve">É importante notar que o SFM conta tanto com recursos do FDU, como com os “recursos do capital social da Fomento Paraná destinados ao setor público.”  A inclusão da Fomento Paraná no SFM poderia aumentar a carteira atual de empréstimos municipais, como vem fazendo ou pretende fazer junto às parcerias com a Caixa Econômica Federal, </w:t>
      </w:r>
      <w:r w:rsidRPr="00695893">
        <w:rPr>
          <w:color w:val="000000"/>
          <w:szCs w:val="24"/>
          <w:lang w:val="pt-BR"/>
        </w:rPr>
        <w:t xml:space="preserve">BNDES e outros. </w:t>
      </w:r>
    </w:p>
    <w:p w14:paraId="5B71A1BA" w14:textId="77777777" w:rsidR="00427CAD" w:rsidRPr="00695893" w:rsidRDefault="00427CAD" w:rsidP="00427CAD">
      <w:pPr>
        <w:shd w:val="clear" w:color="auto" w:fill="FFFFFF"/>
        <w:spacing w:after="0" w:line="360" w:lineRule="auto"/>
        <w:jc w:val="center"/>
        <w:rPr>
          <w:rFonts w:ascii="Times New Roman" w:eastAsia="Times New Roman" w:hAnsi="Times New Roman" w:cs="Times New Roman"/>
          <w:b/>
          <w:sz w:val="24"/>
          <w:szCs w:val="24"/>
          <w:lang w:val="pt-BR" w:eastAsia="pt-BR"/>
        </w:rPr>
      </w:pPr>
    </w:p>
    <w:p w14:paraId="315649E4" w14:textId="77777777" w:rsidR="00427CAD" w:rsidRPr="00695893" w:rsidRDefault="00427CAD" w:rsidP="00427CAD">
      <w:pPr>
        <w:shd w:val="clear" w:color="auto" w:fill="FFFFFF"/>
        <w:spacing w:line="360" w:lineRule="auto"/>
        <w:jc w:val="center"/>
        <w:rPr>
          <w:rFonts w:ascii="Times New Roman" w:eastAsia="Times New Roman" w:hAnsi="Times New Roman" w:cs="Times New Roman"/>
          <w:b/>
          <w:sz w:val="24"/>
          <w:szCs w:val="24"/>
          <w:lang w:val="pt-BR" w:eastAsia="pt-BR"/>
        </w:rPr>
      </w:pPr>
      <w:r w:rsidRPr="00695893">
        <w:rPr>
          <w:rFonts w:ascii="Times New Roman" w:eastAsia="Times New Roman" w:hAnsi="Times New Roman" w:cs="Times New Roman"/>
          <w:b/>
          <w:sz w:val="24"/>
          <w:szCs w:val="24"/>
          <w:lang w:val="pt-BR" w:eastAsia="pt-BR"/>
        </w:rPr>
        <w:t>O desempenho financeiro do FDU: 2013/2017</w:t>
      </w:r>
    </w:p>
    <w:p w14:paraId="565D8A31" w14:textId="77777777" w:rsidR="00427CAD" w:rsidRPr="00695893" w:rsidRDefault="00427CAD" w:rsidP="00427CAD">
      <w:pPr>
        <w:shd w:val="clear" w:color="auto" w:fill="FFFFFF"/>
        <w:spacing w:before="240" w:after="0" w:line="360" w:lineRule="auto"/>
        <w:rPr>
          <w:rFonts w:ascii="Times New Roman" w:eastAsia="Times New Roman" w:hAnsi="Times New Roman" w:cs="Times New Roman"/>
          <w:sz w:val="24"/>
          <w:szCs w:val="24"/>
          <w:lang w:val="pt-BR" w:eastAsia="pt-BR"/>
        </w:rPr>
      </w:pPr>
      <w:r w:rsidRPr="00F04096">
        <w:rPr>
          <w:rFonts w:ascii="Times New Roman" w:eastAsia="Times New Roman" w:hAnsi="Times New Roman" w:cs="Times New Roman"/>
          <w:sz w:val="24"/>
          <w:szCs w:val="24"/>
          <w:lang w:val="pt-BR" w:eastAsia="pt-BR"/>
        </w:rPr>
        <w:t xml:space="preserve">No restante do relatório, transformaremos a moeda brasileira (Real) em seu valor de 2017 usando o Índice de Preços ao Consumidor Ampliado (IPCA). A tabela </w:t>
      </w:r>
      <w:r>
        <w:rPr>
          <w:rFonts w:ascii="Times New Roman" w:eastAsia="Times New Roman" w:hAnsi="Times New Roman" w:cs="Times New Roman"/>
          <w:sz w:val="24"/>
          <w:szCs w:val="24"/>
          <w:lang w:val="pt-BR" w:eastAsia="pt-BR"/>
        </w:rPr>
        <w:t>I</w:t>
      </w:r>
      <w:r w:rsidRPr="00F04096">
        <w:rPr>
          <w:rFonts w:ascii="Times New Roman" w:eastAsia="Times New Roman" w:hAnsi="Times New Roman" w:cs="Times New Roman"/>
          <w:sz w:val="24"/>
          <w:szCs w:val="24"/>
          <w:lang w:val="pt-BR" w:eastAsia="pt-BR"/>
        </w:rPr>
        <w:t xml:space="preserve"> mostra o balanço do FDU para o período 2013</w:t>
      </w:r>
      <w:r>
        <w:rPr>
          <w:rFonts w:ascii="Times New Roman" w:eastAsia="Times New Roman" w:hAnsi="Times New Roman" w:cs="Times New Roman"/>
          <w:sz w:val="24"/>
          <w:szCs w:val="24"/>
          <w:lang w:val="pt-BR" w:eastAsia="pt-BR"/>
        </w:rPr>
        <w:t>/</w:t>
      </w:r>
      <w:r w:rsidRPr="00F04096">
        <w:rPr>
          <w:rFonts w:ascii="Times New Roman" w:eastAsia="Times New Roman" w:hAnsi="Times New Roman" w:cs="Times New Roman"/>
          <w:sz w:val="24"/>
          <w:szCs w:val="24"/>
          <w:lang w:val="pt-BR" w:eastAsia="pt-BR"/>
        </w:rPr>
        <w:t>2017 em Reais de valor constante de 2017.</w:t>
      </w:r>
    </w:p>
    <w:p w14:paraId="5D8B55E3" w14:textId="77777777" w:rsidR="00427CAD" w:rsidRPr="00695893" w:rsidRDefault="00427CAD" w:rsidP="00427CAD">
      <w:pPr>
        <w:shd w:val="clear" w:color="auto" w:fill="FFFFFF"/>
        <w:spacing w:before="240" w:line="360" w:lineRule="auto"/>
        <w:rPr>
          <w:rFonts w:ascii="Times New Roman" w:eastAsia="Times New Roman" w:hAnsi="Times New Roman" w:cs="Times New Roman"/>
          <w:sz w:val="24"/>
          <w:szCs w:val="24"/>
          <w:lang w:val="pt-BR" w:eastAsia="pt-BR"/>
        </w:rPr>
      </w:pPr>
      <w:r w:rsidRPr="00695893">
        <w:rPr>
          <w:rFonts w:ascii="Times New Roman" w:eastAsia="Times New Roman" w:hAnsi="Times New Roman" w:cs="Times New Roman"/>
          <w:sz w:val="24"/>
          <w:szCs w:val="24"/>
          <w:lang w:val="pt-BR" w:eastAsia="pt-BR"/>
        </w:rPr>
        <w:lastRenderedPageBreak/>
        <w:t xml:space="preserve">O FDU foi criado com os recursos iniciais de um empréstimo do Banco Mundial (1989) de US$100 milhões e dois empréstimos do BID de US$249 milhões em 1996 e US$100 milhões em 2002.  </w:t>
      </w:r>
      <w:r w:rsidRPr="00CA2760">
        <w:rPr>
          <w:rFonts w:ascii="Times New Roman" w:eastAsia="Times New Roman" w:hAnsi="Times New Roman" w:cs="Times New Roman"/>
          <w:sz w:val="24"/>
          <w:szCs w:val="24"/>
          <w:lang w:val="pt-BR" w:eastAsia="pt-BR"/>
        </w:rPr>
        <w:t xml:space="preserve">Embora a mediana de inflação do IPCA anual para o período de 1996/2017 fosse de quase 6% e tenha variado acima de 12%, </w:t>
      </w:r>
      <w:r w:rsidRPr="00CA2760">
        <w:rPr>
          <w:rFonts w:ascii="Times New Roman" w:hAnsi="Times New Roman" w:cs="Times New Roman"/>
          <w:sz w:val="24"/>
          <w:szCs w:val="24"/>
          <w:lang w:val="pt-BR"/>
        </w:rPr>
        <w:t xml:space="preserve">falta de apoio de algumas administrações do governo estadual </w:t>
      </w:r>
      <w:r w:rsidRPr="00CA2760">
        <w:rPr>
          <w:rFonts w:ascii="Times New Roman" w:eastAsia="Times New Roman" w:hAnsi="Times New Roman" w:cs="Times New Roman"/>
          <w:sz w:val="24"/>
          <w:szCs w:val="24"/>
          <w:lang w:val="pt-BR" w:eastAsia="pt-BR"/>
        </w:rPr>
        <w:t xml:space="preserve">e outros obstáculos, </w:t>
      </w:r>
      <w:r>
        <w:rPr>
          <w:rFonts w:ascii="Times New Roman" w:eastAsia="Times New Roman" w:hAnsi="Times New Roman" w:cs="Times New Roman"/>
          <w:sz w:val="24"/>
          <w:szCs w:val="24"/>
          <w:lang w:val="pt-BR" w:eastAsia="pt-BR"/>
        </w:rPr>
        <w:t xml:space="preserve">fizeram com que </w:t>
      </w:r>
      <w:r w:rsidRPr="00CA2760">
        <w:rPr>
          <w:rFonts w:ascii="Times New Roman" w:eastAsia="Times New Roman" w:hAnsi="Times New Roman" w:cs="Times New Roman"/>
          <w:sz w:val="24"/>
          <w:szCs w:val="24"/>
          <w:lang w:val="pt-BR" w:eastAsia="pt-BR"/>
        </w:rPr>
        <w:t>o Patrimônio Líquido</w:t>
      </w:r>
      <w:r>
        <w:rPr>
          <w:rFonts w:ascii="Times New Roman" w:eastAsia="Times New Roman" w:hAnsi="Times New Roman" w:cs="Times New Roman"/>
          <w:sz w:val="24"/>
          <w:szCs w:val="24"/>
          <w:lang w:val="pt-BR" w:eastAsia="pt-BR"/>
        </w:rPr>
        <w:t xml:space="preserve"> (PL)</w:t>
      </w:r>
      <w:r w:rsidRPr="00CA2760">
        <w:rPr>
          <w:rFonts w:ascii="Times New Roman" w:eastAsia="Times New Roman" w:hAnsi="Times New Roman" w:cs="Times New Roman"/>
          <w:sz w:val="24"/>
          <w:szCs w:val="24"/>
          <w:lang w:val="pt-BR" w:eastAsia="pt-BR"/>
        </w:rPr>
        <w:t xml:space="preserve"> do FDU em 201</w:t>
      </w:r>
      <w:r>
        <w:rPr>
          <w:rFonts w:ascii="Times New Roman" w:eastAsia="Times New Roman" w:hAnsi="Times New Roman" w:cs="Times New Roman"/>
          <w:sz w:val="24"/>
          <w:szCs w:val="24"/>
          <w:lang w:val="pt-BR" w:eastAsia="pt-BR"/>
        </w:rPr>
        <w:t>3</w:t>
      </w:r>
      <w:r w:rsidRPr="00CA2760">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chegasse a quase um bilhão de Reais</w:t>
      </w:r>
      <w:r w:rsidRPr="00127938">
        <w:rPr>
          <w:rFonts w:ascii="Times New Roman" w:eastAsia="Times New Roman" w:hAnsi="Times New Roman" w:cs="Times New Roman"/>
          <w:sz w:val="24"/>
          <w:szCs w:val="24"/>
          <w:lang w:val="pt-BR" w:eastAsia="pt-BR"/>
        </w:rPr>
        <w:t>.</w:t>
      </w:r>
    </w:p>
    <w:p w14:paraId="456AC85F" w14:textId="77777777" w:rsidR="00427CAD" w:rsidRPr="00695893" w:rsidRDefault="00427CAD" w:rsidP="00427CAD">
      <w:pPr>
        <w:spacing w:after="0" w:line="240" w:lineRule="auto"/>
        <w:rPr>
          <w:rFonts w:ascii="Times New Roman" w:hAnsi="Times New Roman" w:cs="Times New Roman"/>
          <w:bCs/>
          <w:sz w:val="24"/>
          <w:szCs w:val="24"/>
          <w:lang w:val="pt-BR"/>
        </w:rPr>
      </w:pPr>
      <w:r w:rsidRPr="00695893">
        <w:rPr>
          <w:rFonts w:ascii="Times New Roman" w:hAnsi="Times New Roman" w:cs="Times New Roman"/>
          <w:bCs/>
          <w:sz w:val="24"/>
          <w:szCs w:val="24"/>
          <w:lang w:val="pt-BR"/>
        </w:rPr>
        <w:t xml:space="preserve">Tabela </w:t>
      </w:r>
      <w:r>
        <w:rPr>
          <w:rFonts w:ascii="Times New Roman" w:hAnsi="Times New Roman" w:cs="Times New Roman"/>
          <w:bCs/>
          <w:sz w:val="24"/>
          <w:szCs w:val="24"/>
          <w:lang w:val="pt-BR"/>
        </w:rPr>
        <w:t>I</w:t>
      </w:r>
      <w:r w:rsidRPr="00695893">
        <w:rPr>
          <w:rFonts w:ascii="Times New Roman" w:hAnsi="Times New Roman" w:cs="Times New Roman"/>
          <w:bCs/>
          <w:sz w:val="24"/>
          <w:szCs w:val="24"/>
          <w:lang w:val="pt-BR"/>
        </w:rPr>
        <w:t>. FDU: Balanço Patrimonial: Em 31 de Dezembro de 2013 e 2017</w:t>
      </w:r>
    </w:p>
    <w:p w14:paraId="2C95B55C" w14:textId="77777777" w:rsidR="00427CAD" w:rsidRPr="00695893" w:rsidRDefault="00427CAD" w:rsidP="00427CAD">
      <w:pPr>
        <w:spacing w:after="0" w:line="240" w:lineRule="auto"/>
        <w:rPr>
          <w:rFonts w:ascii="Times New Roman" w:hAnsi="Times New Roman" w:cs="Times New Roman"/>
          <w:bCs/>
          <w:i/>
          <w:iCs/>
          <w:sz w:val="24"/>
          <w:szCs w:val="24"/>
          <w:lang w:val="pt-BR"/>
        </w:rPr>
      </w:pPr>
      <w:r w:rsidRPr="00695893">
        <w:rPr>
          <w:rFonts w:ascii="Times New Roman" w:hAnsi="Times New Roman" w:cs="Times New Roman"/>
          <w:bCs/>
          <w:i/>
          <w:iCs/>
          <w:sz w:val="24"/>
          <w:szCs w:val="24"/>
          <w:lang w:val="pt-BR"/>
        </w:rPr>
        <w:t>Em R$ milhões valores constantes de 2017 (*)</w:t>
      </w:r>
    </w:p>
    <w:tbl>
      <w:tblPr>
        <w:tblStyle w:val="TableGrid"/>
        <w:tblW w:w="0" w:type="auto"/>
        <w:tblLook w:val="04A0" w:firstRow="1" w:lastRow="0" w:firstColumn="1" w:lastColumn="0" w:noHBand="0" w:noVBand="1"/>
      </w:tblPr>
      <w:tblGrid>
        <w:gridCol w:w="3681"/>
        <w:gridCol w:w="1039"/>
        <w:gridCol w:w="995"/>
        <w:gridCol w:w="995"/>
        <w:gridCol w:w="1069"/>
        <w:gridCol w:w="1043"/>
      </w:tblGrid>
      <w:tr w:rsidR="00427CAD" w:rsidRPr="00695893" w14:paraId="6703E98D" w14:textId="77777777" w:rsidTr="00427CAD">
        <w:trPr>
          <w:trHeight w:val="264"/>
        </w:trPr>
        <w:tc>
          <w:tcPr>
            <w:tcW w:w="3681" w:type="dxa"/>
            <w:vMerge w:val="restart"/>
            <w:noWrap/>
            <w:vAlign w:val="center"/>
            <w:hideMark/>
          </w:tcPr>
          <w:p w14:paraId="065B63E4" w14:textId="77777777" w:rsidR="00427CAD" w:rsidRPr="00695893" w:rsidRDefault="00427CAD" w:rsidP="00427CAD">
            <w:pPr>
              <w:rPr>
                <w:rFonts w:ascii="Arial" w:hAnsi="Arial" w:cs="Arial"/>
                <w:sz w:val="20"/>
                <w:szCs w:val="20"/>
                <w:lang w:val="pt-BR"/>
              </w:rPr>
            </w:pPr>
            <w:r w:rsidRPr="00695893">
              <w:rPr>
                <w:rFonts w:ascii="Arial" w:hAnsi="Arial" w:cs="Arial"/>
                <w:sz w:val="20"/>
                <w:szCs w:val="20"/>
                <w:lang w:val="pt-BR"/>
              </w:rPr>
              <w:t> </w:t>
            </w:r>
            <w:r w:rsidRPr="00695893">
              <w:rPr>
                <w:rFonts w:ascii="Arial" w:hAnsi="Arial" w:cs="Arial"/>
                <w:b/>
                <w:bCs/>
                <w:sz w:val="20"/>
                <w:szCs w:val="20"/>
                <w:lang w:val="pt-BR"/>
              </w:rPr>
              <w:t>ATIVO</w:t>
            </w:r>
          </w:p>
        </w:tc>
        <w:tc>
          <w:tcPr>
            <w:tcW w:w="1039" w:type="dxa"/>
            <w:vMerge w:val="restart"/>
            <w:vAlign w:val="center"/>
            <w:hideMark/>
          </w:tcPr>
          <w:p w14:paraId="7B13D0A8" w14:textId="77777777" w:rsidR="00427CAD" w:rsidRPr="00695893" w:rsidRDefault="00427CAD" w:rsidP="00427CAD">
            <w:pPr>
              <w:jc w:val="right"/>
              <w:rPr>
                <w:rFonts w:ascii="Arial" w:hAnsi="Arial" w:cs="Arial"/>
                <w:b/>
                <w:bCs/>
                <w:sz w:val="20"/>
                <w:szCs w:val="20"/>
                <w:lang w:val="pt-BR"/>
              </w:rPr>
            </w:pPr>
            <w:r w:rsidRPr="00695893">
              <w:rPr>
                <w:rFonts w:ascii="Arial" w:hAnsi="Arial" w:cs="Arial"/>
                <w:b/>
                <w:bCs/>
                <w:sz w:val="20"/>
                <w:szCs w:val="20"/>
                <w:lang w:val="pt-BR"/>
              </w:rPr>
              <w:t>2013</w:t>
            </w:r>
          </w:p>
        </w:tc>
        <w:tc>
          <w:tcPr>
            <w:tcW w:w="995" w:type="dxa"/>
            <w:vMerge w:val="restart"/>
            <w:vAlign w:val="center"/>
            <w:hideMark/>
          </w:tcPr>
          <w:p w14:paraId="4238AB07" w14:textId="77777777" w:rsidR="00427CAD" w:rsidRPr="00695893" w:rsidRDefault="00427CAD" w:rsidP="00427CAD">
            <w:pPr>
              <w:jc w:val="right"/>
              <w:rPr>
                <w:rFonts w:ascii="Arial" w:hAnsi="Arial" w:cs="Arial"/>
                <w:b/>
                <w:bCs/>
                <w:sz w:val="20"/>
                <w:szCs w:val="20"/>
                <w:lang w:val="pt-BR"/>
              </w:rPr>
            </w:pPr>
            <w:r w:rsidRPr="00695893">
              <w:rPr>
                <w:rFonts w:ascii="Arial" w:hAnsi="Arial" w:cs="Arial"/>
                <w:b/>
                <w:bCs/>
                <w:sz w:val="20"/>
                <w:szCs w:val="20"/>
                <w:lang w:val="pt-BR"/>
              </w:rPr>
              <w:t>2017</w:t>
            </w:r>
          </w:p>
        </w:tc>
        <w:tc>
          <w:tcPr>
            <w:tcW w:w="3107" w:type="dxa"/>
            <w:gridSpan w:val="3"/>
            <w:hideMark/>
          </w:tcPr>
          <w:p w14:paraId="1305F7E6" w14:textId="77777777" w:rsidR="00427CAD" w:rsidRPr="00695893" w:rsidRDefault="00427CAD" w:rsidP="00427CAD">
            <w:pPr>
              <w:rPr>
                <w:rFonts w:ascii="Arial" w:hAnsi="Arial" w:cs="Arial"/>
                <w:b/>
                <w:bCs/>
                <w:sz w:val="20"/>
                <w:szCs w:val="20"/>
                <w:lang w:val="pt-BR"/>
              </w:rPr>
            </w:pPr>
            <w:r w:rsidRPr="00695893">
              <w:rPr>
                <w:rFonts w:ascii="Arial" w:hAnsi="Arial" w:cs="Arial"/>
                <w:b/>
                <w:bCs/>
                <w:sz w:val="20"/>
                <w:szCs w:val="20"/>
                <w:lang w:val="pt-BR"/>
              </w:rPr>
              <w:t>Variação 2013/17</w:t>
            </w:r>
          </w:p>
        </w:tc>
      </w:tr>
      <w:tr w:rsidR="00427CAD" w:rsidRPr="00695893" w14:paraId="71AC173A" w14:textId="77777777" w:rsidTr="00427CAD">
        <w:trPr>
          <w:trHeight w:val="264"/>
        </w:trPr>
        <w:tc>
          <w:tcPr>
            <w:tcW w:w="3681" w:type="dxa"/>
            <w:vMerge/>
            <w:noWrap/>
            <w:vAlign w:val="center"/>
            <w:hideMark/>
          </w:tcPr>
          <w:p w14:paraId="1C23AC81" w14:textId="77777777" w:rsidR="00427CAD" w:rsidRPr="00695893" w:rsidRDefault="00427CAD" w:rsidP="00427CAD">
            <w:pPr>
              <w:rPr>
                <w:rFonts w:ascii="Arial" w:hAnsi="Arial" w:cs="Arial"/>
                <w:sz w:val="20"/>
                <w:szCs w:val="20"/>
                <w:lang w:val="pt-BR"/>
              </w:rPr>
            </w:pPr>
          </w:p>
        </w:tc>
        <w:tc>
          <w:tcPr>
            <w:tcW w:w="1039" w:type="dxa"/>
            <w:vMerge/>
            <w:noWrap/>
            <w:vAlign w:val="center"/>
            <w:hideMark/>
          </w:tcPr>
          <w:p w14:paraId="1F9D8205" w14:textId="77777777" w:rsidR="00427CAD" w:rsidRPr="00695893" w:rsidRDefault="00427CAD" w:rsidP="00427CAD">
            <w:pPr>
              <w:rPr>
                <w:rFonts w:ascii="Arial" w:hAnsi="Arial" w:cs="Arial"/>
                <w:b/>
                <w:bCs/>
                <w:sz w:val="20"/>
                <w:szCs w:val="20"/>
                <w:lang w:val="pt-BR"/>
              </w:rPr>
            </w:pPr>
          </w:p>
        </w:tc>
        <w:tc>
          <w:tcPr>
            <w:tcW w:w="995" w:type="dxa"/>
            <w:vMerge/>
            <w:noWrap/>
            <w:hideMark/>
          </w:tcPr>
          <w:p w14:paraId="7891B349" w14:textId="77777777" w:rsidR="00427CAD" w:rsidRPr="00695893" w:rsidRDefault="00427CAD" w:rsidP="00427CAD">
            <w:pPr>
              <w:rPr>
                <w:rFonts w:ascii="Arial" w:hAnsi="Arial" w:cs="Arial"/>
                <w:b/>
                <w:bCs/>
                <w:sz w:val="20"/>
                <w:szCs w:val="20"/>
                <w:lang w:val="pt-BR"/>
              </w:rPr>
            </w:pPr>
          </w:p>
        </w:tc>
        <w:tc>
          <w:tcPr>
            <w:tcW w:w="995" w:type="dxa"/>
            <w:hideMark/>
          </w:tcPr>
          <w:p w14:paraId="0897DD93" w14:textId="77777777" w:rsidR="00427CAD" w:rsidRPr="00695893" w:rsidRDefault="00427CAD" w:rsidP="00427CAD">
            <w:pPr>
              <w:rPr>
                <w:rFonts w:ascii="Arial" w:hAnsi="Arial" w:cs="Arial"/>
                <w:b/>
                <w:bCs/>
                <w:sz w:val="20"/>
                <w:szCs w:val="20"/>
                <w:lang w:val="pt-BR"/>
              </w:rPr>
            </w:pPr>
            <w:r w:rsidRPr="00695893">
              <w:rPr>
                <w:rFonts w:ascii="Arial" w:hAnsi="Arial" w:cs="Arial"/>
                <w:b/>
                <w:bCs/>
                <w:sz w:val="20"/>
                <w:szCs w:val="20"/>
                <w:lang w:val="pt-BR"/>
              </w:rPr>
              <w:t xml:space="preserve"> Abs. </w:t>
            </w:r>
          </w:p>
        </w:tc>
        <w:tc>
          <w:tcPr>
            <w:tcW w:w="1069" w:type="dxa"/>
            <w:hideMark/>
          </w:tcPr>
          <w:p w14:paraId="451C132A" w14:textId="77777777" w:rsidR="00427CAD" w:rsidRPr="00695893" w:rsidRDefault="00427CAD" w:rsidP="00427CAD">
            <w:pPr>
              <w:rPr>
                <w:rFonts w:ascii="Arial" w:hAnsi="Arial" w:cs="Arial"/>
                <w:b/>
                <w:bCs/>
                <w:sz w:val="20"/>
                <w:szCs w:val="20"/>
                <w:lang w:val="pt-BR"/>
              </w:rPr>
            </w:pPr>
            <w:r w:rsidRPr="00695893">
              <w:rPr>
                <w:rFonts w:ascii="Arial" w:hAnsi="Arial" w:cs="Arial"/>
                <w:b/>
                <w:bCs/>
                <w:sz w:val="20"/>
                <w:szCs w:val="20"/>
                <w:lang w:val="pt-BR"/>
              </w:rPr>
              <w:t>%</w:t>
            </w:r>
          </w:p>
        </w:tc>
        <w:tc>
          <w:tcPr>
            <w:tcW w:w="1043" w:type="dxa"/>
            <w:hideMark/>
          </w:tcPr>
          <w:p w14:paraId="61180607" w14:textId="77777777" w:rsidR="00427CAD" w:rsidRPr="00695893" w:rsidRDefault="00427CAD" w:rsidP="00427CAD">
            <w:pPr>
              <w:rPr>
                <w:rFonts w:ascii="Arial" w:hAnsi="Arial" w:cs="Arial"/>
                <w:b/>
                <w:bCs/>
                <w:sz w:val="20"/>
                <w:szCs w:val="20"/>
                <w:lang w:val="pt-BR"/>
              </w:rPr>
            </w:pPr>
            <w:r w:rsidRPr="00695893">
              <w:rPr>
                <w:rFonts w:ascii="Arial" w:hAnsi="Arial" w:cs="Arial"/>
                <w:b/>
                <w:bCs/>
                <w:sz w:val="20"/>
                <w:szCs w:val="20"/>
                <w:lang w:val="pt-BR"/>
              </w:rPr>
              <w:t>% anual</w:t>
            </w:r>
          </w:p>
        </w:tc>
      </w:tr>
      <w:tr w:rsidR="00427CAD" w:rsidRPr="00695893" w14:paraId="554C99E4" w14:textId="77777777" w:rsidTr="00427CAD">
        <w:trPr>
          <w:trHeight w:val="264"/>
        </w:trPr>
        <w:tc>
          <w:tcPr>
            <w:tcW w:w="3681" w:type="dxa"/>
            <w:noWrap/>
            <w:hideMark/>
          </w:tcPr>
          <w:p w14:paraId="7204005B" w14:textId="77777777" w:rsidR="00427CAD" w:rsidRPr="00695893" w:rsidRDefault="00427CAD" w:rsidP="00427CAD">
            <w:pPr>
              <w:rPr>
                <w:rFonts w:ascii="Arial" w:hAnsi="Arial" w:cs="Arial"/>
                <w:b/>
                <w:bCs/>
                <w:sz w:val="20"/>
                <w:szCs w:val="20"/>
                <w:lang w:val="pt-BR"/>
              </w:rPr>
            </w:pPr>
            <w:r w:rsidRPr="00695893">
              <w:rPr>
                <w:rFonts w:ascii="Arial" w:hAnsi="Arial" w:cs="Arial"/>
                <w:b/>
                <w:bCs/>
                <w:sz w:val="20"/>
                <w:szCs w:val="20"/>
                <w:lang w:val="pt-BR"/>
              </w:rPr>
              <w:t>Total do ativo circulante</w:t>
            </w:r>
          </w:p>
        </w:tc>
        <w:tc>
          <w:tcPr>
            <w:tcW w:w="1039" w:type="dxa"/>
            <w:noWrap/>
            <w:hideMark/>
          </w:tcPr>
          <w:p w14:paraId="1E8E9FAB" w14:textId="77777777" w:rsidR="00427CAD" w:rsidRPr="00695893" w:rsidRDefault="00427CAD" w:rsidP="00427CAD">
            <w:pPr>
              <w:jc w:val="right"/>
              <w:rPr>
                <w:rFonts w:ascii="Arial" w:hAnsi="Arial" w:cs="Arial"/>
                <w:b/>
                <w:bCs/>
                <w:sz w:val="20"/>
                <w:szCs w:val="20"/>
                <w:lang w:val="pt-BR"/>
              </w:rPr>
            </w:pPr>
            <w:r w:rsidRPr="00695893">
              <w:rPr>
                <w:rFonts w:ascii="Arial" w:hAnsi="Arial" w:cs="Arial"/>
                <w:b/>
                <w:bCs/>
                <w:sz w:val="20"/>
                <w:szCs w:val="20"/>
                <w:lang w:val="pt-BR"/>
              </w:rPr>
              <w:t>1.269,5</w:t>
            </w:r>
          </w:p>
        </w:tc>
        <w:tc>
          <w:tcPr>
            <w:tcW w:w="995" w:type="dxa"/>
            <w:noWrap/>
            <w:hideMark/>
          </w:tcPr>
          <w:p w14:paraId="6090194B" w14:textId="77777777" w:rsidR="00427CAD" w:rsidRPr="00695893" w:rsidRDefault="00427CAD" w:rsidP="00427CAD">
            <w:pPr>
              <w:jc w:val="right"/>
              <w:rPr>
                <w:rFonts w:ascii="Arial" w:hAnsi="Arial" w:cs="Arial"/>
                <w:b/>
                <w:bCs/>
                <w:sz w:val="20"/>
                <w:szCs w:val="20"/>
                <w:lang w:val="pt-BR"/>
              </w:rPr>
            </w:pPr>
            <w:r w:rsidRPr="00695893">
              <w:rPr>
                <w:rFonts w:ascii="Arial" w:hAnsi="Arial" w:cs="Arial"/>
                <w:b/>
                <w:bCs/>
                <w:sz w:val="20"/>
                <w:szCs w:val="20"/>
                <w:lang w:val="pt-BR"/>
              </w:rPr>
              <w:t>1.453,0</w:t>
            </w:r>
          </w:p>
        </w:tc>
        <w:tc>
          <w:tcPr>
            <w:tcW w:w="995" w:type="dxa"/>
            <w:noWrap/>
            <w:hideMark/>
          </w:tcPr>
          <w:p w14:paraId="1327389A" w14:textId="77777777" w:rsidR="00427CAD" w:rsidRPr="00695893" w:rsidRDefault="00427CAD" w:rsidP="00427CAD">
            <w:pPr>
              <w:jc w:val="right"/>
              <w:rPr>
                <w:rFonts w:ascii="Arial" w:hAnsi="Arial" w:cs="Arial"/>
                <w:b/>
                <w:bCs/>
                <w:sz w:val="20"/>
                <w:szCs w:val="20"/>
                <w:lang w:val="pt-BR"/>
              </w:rPr>
            </w:pPr>
            <w:r w:rsidRPr="00695893">
              <w:rPr>
                <w:rFonts w:ascii="Arial" w:hAnsi="Arial" w:cs="Arial"/>
                <w:b/>
                <w:bCs/>
                <w:sz w:val="20"/>
                <w:szCs w:val="20"/>
                <w:lang w:val="pt-BR"/>
              </w:rPr>
              <w:t>183,5</w:t>
            </w:r>
          </w:p>
        </w:tc>
        <w:tc>
          <w:tcPr>
            <w:tcW w:w="1069" w:type="dxa"/>
            <w:noWrap/>
            <w:hideMark/>
          </w:tcPr>
          <w:p w14:paraId="62B32411" w14:textId="77777777" w:rsidR="00427CAD" w:rsidRPr="00695893" w:rsidRDefault="00427CAD" w:rsidP="00427CAD">
            <w:pPr>
              <w:jc w:val="right"/>
              <w:rPr>
                <w:rFonts w:ascii="Arial" w:hAnsi="Arial" w:cs="Arial"/>
                <w:b/>
                <w:bCs/>
                <w:sz w:val="20"/>
                <w:szCs w:val="20"/>
                <w:lang w:val="pt-BR"/>
              </w:rPr>
            </w:pPr>
            <w:r w:rsidRPr="00695893">
              <w:rPr>
                <w:rFonts w:ascii="Arial" w:hAnsi="Arial" w:cs="Arial"/>
                <w:b/>
                <w:bCs/>
                <w:sz w:val="20"/>
                <w:szCs w:val="20"/>
                <w:lang w:val="pt-BR"/>
              </w:rPr>
              <w:t>14,5%</w:t>
            </w:r>
          </w:p>
        </w:tc>
        <w:tc>
          <w:tcPr>
            <w:tcW w:w="1043" w:type="dxa"/>
            <w:noWrap/>
            <w:hideMark/>
          </w:tcPr>
          <w:p w14:paraId="0D7B7BE4" w14:textId="77777777" w:rsidR="00427CAD" w:rsidRPr="00695893" w:rsidRDefault="00427CAD" w:rsidP="00427CAD">
            <w:pPr>
              <w:jc w:val="right"/>
              <w:rPr>
                <w:rFonts w:ascii="Arial" w:hAnsi="Arial" w:cs="Arial"/>
                <w:b/>
                <w:bCs/>
                <w:sz w:val="20"/>
                <w:szCs w:val="20"/>
                <w:lang w:val="pt-BR"/>
              </w:rPr>
            </w:pPr>
            <w:r w:rsidRPr="00695893">
              <w:rPr>
                <w:rFonts w:ascii="Arial" w:hAnsi="Arial" w:cs="Arial"/>
                <w:b/>
                <w:bCs/>
                <w:sz w:val="20"/>
                <w:szCs w:val="20"/>
                <w:lang w:val="pt-BR"/>
              </w:rPr>
              <w:t>3,4%</w:t>
            </w:r>
          </w:p>
        </w:tc>
      </w:tr>
      <w:tr w:rsidR="00427CAD" w:rsidRPr="00695893" w14:paraId="66BD2941" w14:textId="77777777" w:rsidTr="00427CAD">
        <w:trPr>
          <w:trHeight w:val="264"/>
        </w:trPr>
        <w:tc>
          <w:tcPr>
            <w:tcW w:w="3681" w:type="dxa"/>
            <w:noWrap/>
            <w:hideMark/>
          </w:tcPr>
          <w:p w14:paraId="76B8A547" w14:textId="77777777" w:rsidR="00427CAD" w:rsidRPr="00695893" w:rsidRDefault="00427CAD" w:rsidP="00427CAD">
            <w:pPr>
              <w:rPr>
                <w:rFonts w:ascii="Arial" w:hAnsi="Arial" w:cs="Arial"/>
                <w:sz w:val="20"/>
                <w:szCs w:val="20"/>
                <w:lang w:val="pt-BR"/>
              </w:rPr>
            </w:pPr>
            <w:r w:rsidRPr="00695893">
              <w:rPr>
                <w:rFonts w:ascii="Arial" w:hAnsi="Arial" w:cs="Arial"/>
                <w:sz w:val="20"/>
                <w:szCs w:val="20"/>
                <w:lang w:val="pt-BR"/>
              </w:rPr>
              <w:t>Aplicações Financeiras</w:t>
            </w:r>
          </w:p>
        </w:tc>
        <w:tc>
          <w:tcPr>
            <w:tcW w:w="1039" w:type="dxa"/>
            <w:noWrap/>
            <w:hideMark/>
          </w:tcPr>
          <w:p w14:paraId="24A992C0" w14:textId="77777777" w:rsidR="00427CAD" w:rsidRPr="00695893" w:rsidRDefault="00427CAD" w:rsidP="00427CAD">
            <w:pPr>
              <w:jc w:val="right"/>
              <w:rPr>
                <w:rFonts w:ascii="Arial" w:hAnsi="Arial" w:cs="Arial"/>
                <w:sz w:val="20"/>
                <w:szCs w:val="20"/>
                <w:lang w:val="pt-BR"/>
              </w:rPr>
            </w:pPr>
            <w:r w:rsidRPr="00695893">
              <w:rPr>
                <w:rFonts w:ascii="Arial" w:hAnsi="Arial" w:cs="Arial"/>
                <w:sz w:val="20"/>
                <w:szCs w:val="20"/>
                <w:lang w:val="pt-BR"/>
              </w:rPr>
              <w:t>521,8</w:t>
            </w:r>
          </w:p>
        </w:tc>
        <w:tc>
          <w:tcPr>
            <w:tcW w:w="995" w:type="dxa"/>
            <w:noWrap/>
            <w:hideMark/>
          </w:tcPr>
          <w:p w14:paraId="186F9044" w14:textId="77777777" w:rsidR="00427CAD" w:rsidRPr="00695893" w:rsidRDefault="00427CAD" w:rsidP="00427CAD">
            <w:pPr>
              <w:jc w:val="right"/>
              <w:rPr>
                <w:rFonts w:ascii="Arial" w:hAnsi="Arial" w:cs="Arial"/>
                <w:sz w:val="20"/>
                <w:szCs w:val="20"/>
                <w:lang w:val="pt-BR"/>
              </w:rPr>
            </w:pPr>
            <w:r w:rsidRPr="00695893">
              <w:rPr>
                <w:rFonts w:ascii="Arial" w:hAnsi="Arial" w:cs="Arial"/>
                <w:sz w:val="20"/>
                <w:szCs w:val="20"/>
                <w:lang w:val="pt-BR"/>
              </w:rPr>
              <w:t>587,3</w:t>
            </w:r>
          </w:p>
        </w:tc>
        <w:tc>
          <w:tcPr>
            <w:tcW w:w="995" w:type="dxa"/>
            <w:noWrap/>
            <w:hideMark/>
          </w:tcPr>
          <w:p w14:paraId="0AFE433E" w14:textId="77777777" w:rsidR="00427CAD" w:rsidRPr="00695893" w:rsidRDefault="00427CAD" w:rsidP="00427CAD">
            <w:pPr>
              <w:jc w:val="right"/>
              <w:rPr>
                <w:rFonts w:ascii="Arial" w:hAnsi="Arial" w:cs="Arial"/>
                <w:sz w:val="20"/>
                <w:szCs w:val="20"/>
                <w:lang w:val="pt-BR"/>
              </w:rPr>
            </w:pPr>
            <w:r w:rsidRPr="00695893">
              <w:rPr>
                <w:rFonts w:ascii="Arial" w:hAnsi="Arial" w:cs="Arial"/>
                <w:sz w:val="20"/>
                <w:szCs w:val="20"/>
                <w:lang w:val="pt-BR"/>
              </w:rPr>
              <w:t>65,5</w:t>
            </w:r>
          </w:p>
        </w:tc>
        <w:tc>
          <w:tcPr>
            <w:tcW w:w="1069" w:type="dxa"/>
            <w:noWrap/>
            <w:hideMark/>
          </w:tcPr>
          <w:p w14:paraId="57666063" w14:textId="77777777" w:rsidR="00427CAD" w:rsidRPr="00695893" w:rsidRDefault="00427CAD" w:rsidP="00427CAD">
            <w:pPr>
              <w:jc w:val="right"/>
              <w:rPr>
                <w:rFonts w:ascii="Arial" w:hAnsi="Arial" w:cs="Arial"/>
                <w:sz w:val="20"/>
                <w:szCs w:val="20"/>
                <w:lang w:val="pt-BR"/>
              </w:rPr>
            </w:pPr>
            <w:r w:rsidRPr="00695893">
              <w:rPr>
                <w:rFonts w:ascii="Arial" w:hAnsi="Arial" w:cs="Arial"/>
                <w:sz w:val="20"/>
                <w:szCs w:val="20"/>
                <w:lang w:val="pt-BR"/>
              </w:rPr>
              <w:t>12,6%</w:t>
            </w:r>
          </w:p>
        </w:tc>
        <w:tc>
          <w:tcPr>
            <w:tcW w:w="1043" w:type="dxa"/>
            <w:noWrap/>
            <w:hideMark/>
          </w:tcPr>
          <w:p w14:paraId="0D8C9F05" w14:textId="77777777" w:rsidR="00427CAD" w:rsidRPr="00695893" w:rsidRDefault="00427CAD" w:rsidP="00427CAD">
            <w:pPr>
              <w:jc w:val="right"/>
              <w:rPr>
                <w:rFonts w:ascii="Arial" w:hAnsi="Arial" w:cs="Arial"/>
                <w:sz w:val="20"/>
                <w:szCs w:val="20"/>
                <w:lang w:val="pt-BR"/>
              </w:rPr>
            </w:pPr>
            <w:r w:rsidRPr="00695893">
              <w:rPr>
                <w:rFonts w:ascii="Arial" w:hAnsi="Arial" w:cs="Arial"/>
                <w:sz w:val="20"/>
                <w:szCs w:val="20"/>
                <w:lang w:val="pt-BR"/>
              </w:rPr>
              <w:t>3,0%</w:t>
            </w:r>
          </w:p>
        </w:tc>
      </w:tr>
      <w:tr w:rsidR="00427CAD" w:rsidRPr="00695893" w14:paraId="43936C30" w14:textId="77777777" w:rsidTr="00427CAD">
        <w:trPr>
          <w:trHeight w:val="264"/>
        </w:trPr>
        <w:tc>
          <w:tcPr>
            <w:tcW w:w="3681" w:type="dxa"/>
            <w:noWrap/>
            <w:hideMark/>
          </w:tcPr>
          <w:p w14:paraId="01E4836D" w14:textId="77777777" w:rsidR="00427CAD" w:rsidRPr="00695893" w:rsidRDefault="00427CAD" w:rsidP="00427CAD">
            <w:pPr>
              <w:rPr>
                <w:rFonts w:ascii="Arial" w:hAnsi="Arial" w:cs="Arial"/>
                <w:sz w:val="20"/>
                <w:szCs w:val="20"/>
                <w:lang w:val="pt-BR"/>
              </w:rPr>
            </w:pPr>
            <w:r w:rsidRPr="00695893">
              <w:rPr>
                <w:rFonts w:ascii="Arial" w:hAnsi="Arial" w:cs="Arial"/>
                <w:sz w:val="20"/>
                <w:szCs w:val="20"/>
                <w:lang w:val="pt-BR"/>
              </w:rPr>
              <w:t>Financiamentos Concedidos aos Municípios</w:t>
            </w:r>
          </w:p>
        </w:tc>
        <w:tc>
          <w:tcPr>
            <w:tcW w:w="1039" w:type="dxa"/>
            <w:noWrap/>
            <w:vAlign w:val="center"/>
            <w:hideMark/>
          </w:tcPr>
          <w:p w14:paraId="369293C9" w14:textId="77777777" w:rsidR="00427CAD" w:rsidRPr="00695893" w:rsidRDefault="00427CAD" w:rsidP="00427CAD">
            <w:pPr>
              <w:jc w:val="right"/>
              <w:rPr>
                <w:rFonts w:ascii="Arial" w:hAnsi="Arial" w:cs="Arial"/>
                <w:sz w:val="20"/>
                <w:szCs w:val="20"/>
                <w:lang w:val="pt-BR"/>
              </w:rPr>
            </w:pPr>
            <w:r w:rsidRPr="00695893">
              <w:rPr>
                <w:rFonts w:ascii="Arial" w:hAnsi="Arial" w:cs="Arial"/>
                <w:sz w:val="20"/>
                <w:szCs w:val="20"/>
                <w:lang w:val="pt-BR"/>
              </w:rPr>
              <w:t>740,0</w:t>
            </w:r>
          </w:p>
        </w:tc>
        <w:tc>
          <w:tcPr>
            <w:tcW w:w="995" w:type="dxa"/>
            <w:noWrap/>
            <w:vAlign w:val="center"/>
            <w:hideMark/>
          </w:tcPr>
          <w:p w14:paraId="303C5FCA" w14:textId="77777777" w:rsidR="00427CAD" w:rsidRPr="00695893" w:rsidRDefault="00427CAD" w:rsidP="00427CAD">
            <w:pPr>
              <w:jc w:val="right"/>
              <w:rPr>
                <w:rFonts w:ascii="Arial" w:hAnsi="Arial" w:cs="Arial"/>
                <w:sz w:val="20"/>
                <w:szCs w:val="20"/>
                <w:lang w:val="pt-BR"/>
              </w:rPr>
            </w:pPr>
            <w:r w:rsidRPr="00695893">
              <w:rPr>
                <w:rFonts w:ascii="Arial" w:hAnsi="Arial" w:cs="Arial"/>
                <w:sz w:val="20"/>
                <w:szCs w:val="20"/>
                <w:lang w:val="pt-BR"/>
              </w:rPr>
              <w:t>848,3</w:t>
            </w:r>
          </w:p>
        </w:tc>
        <w:tc>
          <w:tcPr>
            <w:tcW w:w="995" w:type="dxa"/>
            <w:noWrap/>
            <w:vAlign w:val="center"/>
            <w:hideMark/>
          </w:tcPr>
          <w:p w14:paraId="173383BB" w14:textId="77777777" w:rsidR="00427CAD" w:rsidRPr="00695893" w:rsidRDefault="00427CAD" w:rsidP="00427CAD">
            <w:pPr>
              <w:jc w:val="right"/>
              <w:rPr>
                <w:rFonts w:ascii="Arial" w:hAnsi="Arial" w:cs="Arial"/>
                <w:sz w:val="20"/>
                <w:szCs w:val="20"/>
                <w:lang w:val="pt-BR"/>
              </w:rPr>
            </w:pPr>
            <w:r w:rsidRPr="00695893">
              <w:rPr>
                <w:rFonts w:ascii="Arial" w:hAnsi="Arial" w:cs="Arial"/>
                <w:sz w:val="20"/>
                <w:szCs w:val="20"/>
                <w:lang w:val="pt-BR"/>
              </w:rPr>
              <w:t>108,4</w:t>
            </w:r>
          </w:p>
        </w:tc>
        <w:tc>
          <w:tcPr>
            <w:tcW w:w="1069" w:type="dxa"/>
            <w:noWrap/>
            <w:vAlign w:val="center"/>
            <w:hideMark/>
          </w:tcPr>
          <w:p w14:paraId="2E514B04" w14:textId="77777777" w:rsidR="00427CAD" w:rsidRPr="00695893" w:rsidRDefault="00427CAD" w:rsidP="00427CAD">
            <w:pPr>
              <w:jc w:val="right"/>
              <w:rPr>
                <w:rFonts w:ascii="Arial" w:hAnsi="Arial" w:cs="Arial"/>
                <w:sz w:val="20"/>
                <w:szCs w:val="20"/>
                <w:lang w:val="pt-BR"/>
              </w:rPr>
            </w:pPr>
            <w:r w:rsidRPr="00695893">
              <w:rPr>
                <w:rFonts w:ascii="Arial" w:hAnsi="Arial" w:cs="Arial"/>
                <w:sz w:val="20"/>
                <w:szCs w:val="20"/>
                <w:lang w:val="pt-BR"/>
              </w:rPr>
              <w:t>14,6%</w:t>
            </w:r>
          </w:p>
        </w:tc>
        <w:tc>
          <w:tcPr>
            <w:tcW w:w="1043" w:type="dxa"/>
            <w:noWrap/>
            <w:vAlign w:val="center"/>
            <w:hideMark/>
          </w:tcPr>
          <w:p w14:paraId="7FB7A720" w14:textId="77777777" w:rsidR="00427CAD" w:rsidRPr="00695893" w:rsidRDefault="00427CAD" w:rsidP="00427CAD">
            <w:pPr>
              <w:jc w:val="right"/>
              <w:rPr>
                <w:rFonts w:ascii="Arial" w:hAnsi="Arial" w:cs="Arial"/>
                <w:sz w:val="20"/>
                <w:szCs w:val="20"/>
                <w:lang w:val="pt-BR"/>
              </w:rPr>
            </w:pPr>
            <w:r w:rsidRPr="00695893">
              <w:rPr>
                <w:rFonts w:ascii="Arial" w:hAnsi="Arial" w:cs="Arial"/>
                <w:sz w:val="20"/>
                <w:szCs w:val="20"/>
                <w:lang w:val="pt-BR"/>
              </w:rPr>
              <w:t>3,5%</w:t>
            </w:r>
          </w:p>
        </w:tc>
      </w:tr>
      <w:tr w:rsidR="00427CAD" w:rsidRPr="00F167FF" w14:paraId="1D172DDF" w14:textId="77777777" w:rsidTr="00427CAD">
        <w:trPr>
          <w:trHeight w:val="528"/>
        </w:trPr>
        <w:tc>
          <w:tcPr>
            <w:tcW w:w="3681" w:type="dxa"/>
            <w:hideMark/>
          </w:tcPr>
          <w:p w14:paraId="09AA4721" w14:textId="77777777" w:rsidR="00427CAD" w:rsidRPr="00F167FF" w:rsidRDefault="00427CAD" w:rsidP="00427CAD">
            <w:pPr>
              <w:rPr>
                <w:rFonts w:ascii="Arial" w:hAnsi="Arial" w:cs="Arial"/>
                <w:sz w:val="20"/>
                <w:szCs w:val="20"/>
                <w:lang w:val="pt-BR"/>
              </w:rPr>
            </w:pPr>
            <w:r w:rsidRPr="00F167FF">
              <w:rPr>
                <w:rFonts w:ascii="Arial" w:hAnsi="Arial" w:cs="Arial"/>
                <w:sz w:val="20"/>
                <w:szCs w:val="20"/>
                <w:lang w:val="pt-BR"/>
              </w:rPr>
              <w:t>Caixa, Bancos, Contas a Receber e Outros Créditos</w:t>
            </w:r>
          </w:p>
        </w:tc>
        <w:tc>
          <w:tcPr>
            <w:tcW w:w="1039" w:type="dxa"/>
            <w:noWrap/>
            <w:vAlign w:val="center"/>
            <w:hideMark/>
          </w:tcPr>
          <w:p w14:paraId="647780B9" w14:textId="77777777" w:rsidR="00427CAD" w:rsidRPr="00F167FF" w:rsidRDefault="00427CAD" w:rsidP="00427CAD">
            <w:pPr>
              <w:jc w:val="right"/>
              <w:rPr>
                <w:rFonts w:ascii="Arial" w:hAnsi="Arial" w:cs="Arial"/>
                <w:sz w:val="20"/>
                <w:szCs w:val="20"/>
                <w:lang w:val="pt-BR"/>
              </w:rPr>
            </w:pPr>
            <w:r w:rsidRPr="00F167FF">
              <w:rPr>
                <w:rFonts w:ascii="Arial" w:hAnsi="Arial" w:cs="Arial"/>
                <w:sz w:val="20"/>
                <w:szCs w:val="20"/>
                <w:lang w:val="pt-BR"/>
              </w:rPr>
              <w:t>7,7</w:t>
            </w:r>
          </w:p>
        </w:tc>
        <w:tc>
          <w:tcPr>
            <w:tcW w:w="995" w:type="dxa"/>
            <w:noWrap/>
            <w:vAlign w:val="center"/>
            <w:hideMark/>
          </w:tcPr>
          <w:p w14:paraId="57921AD6" w14:textId="77777777" w:rsidR="00427CAD" w:rsidRPr="00F167FF" w:rsidRDefault="00427CAD" w:rsidP="00427CAD">
            <w:pPr>
              <w:jc w:val="right"/>
              <w:rPr>
                <w:rFonts w:ascii="Arial" w:hAnsi="Arial" w:cs="Arial"/>
                <w:sz w:val="20"/>
                <w:szCs w:val="20"/>
                <w:lang w:val="pt-BR"/>
              </w:rPr>
            </w:pPr>
            <w:r w:rsidRPr="00F167FF">
              <w:rPr>
                <w:rFonts w:ascii="Arial" w:hAnsi="Arial" w:cs="Arial"/>
                <w:sz w:val="20"/>
                <w:szCs w:val="20"/>
                <w:lang w:val="pt-BR"/>
              </w:rPr>
              <w:t>17,3</w:t>
            </w:r>
          </w:p>
        </w:tc>
        <w:tc>
          <w:tcPr>
            <w:tcW w:w="995" w:type="dxa"/>
            <w:noWrap/>
            <w:vAlign w:val="center"/>
            <w:hideMark/>
          </w:tcPr>
          <w:p w14:paraId="1B1C7795" w14:textId="77777777" w:rsidR="00427CAD" w:rsidRPr="00F167FF" w:rsidRDefault="00427CAD" w:rsidP="00427CAD">
            <w:pPr>
              <w:jc w:val="right"/>
              <w:rPr>
                <w:rFonts w:ascii="Arial" w:hAnsi="Arial" w:cs="Arial"/>
                <w:sz w:val="20"/>
                <w:szCs w:val="20"/>
                <w:lang w:val="pt-BR"/>
              </w:rPr>
            </w:pPr>
            <w:r w:rsidRPr="00F167FF">
              <w:rPr>
                <w:rFonts w:ascii="Arial" w:hAnsi="Arial" w:cs="Arial"/>
                <w:sz w:val="20"/>
                <w:szCs w:val="20"/>
                <w:lang w:val="pt-BR"/>
              </w:rPr>
              <w:t>9,6</w:t>
            </w:r>
          </w:p>
        </w:tc>
        <w:tc>
          <w:tcPr>
            <w:tcW w:w="1069" w:type="dxa"/>
            <w:noWrap/>
            <w:vAlign w:val="center"/>
            <w:hideMark/>
          </w:tcPr>
          <w:p w14:paraId="2E2461ED" w14:textId="77777777" w:rsidR="00427CAD" w:rsidRPr="00F167FF" w:rsidRDefault="00427CAD" w:rsidP="00427CAD">
            <w:pPr>
              <w:jc w:val="right"/>
              <w:rPr>
                <w:rFonts w:ascii="Arial" w:hAnsi="Arial" w:cs="Arial"/>
                <w:sz w:val="20"/>
                <w:szCs w:val="20"/>
                <w:lang w:val="pt-BR"/>
              </w:rPr>
            </w:pPr>
            <w:r w:rsidRPr="00F167FF">
              <w:rPr>
                <w:rFonts w:ascii="Arial" w:hAnsi="Arial" w:cs="Arial"/>
                <w:sz w:val="20"/>
                <w:szCs w:val="20"/>
                <w:lang w:val="pt-BR"/>
              </w:rPr>
              <w:t>124,5%</w:t>
            </w:r>
          </w:p>
        </w:tc>
        <w:tc>
          <w:tcPr>
            <w:tcW w:w="1043" w:type="dxa"/>
            <w:noWrap/>
            <w:vAlign w:val="center"/>
            <w:hideMark/>
          </w:tcPr>
          <w:p w14:paraId="44CD8FEC" w14:textId="77777777" w:rsidR="00427CAD" w:rsidRPr="00F167FF" w:rsidRDefault="00427CAD" w:rsidP="00427CAD">
            <w:pPr>
              <w:jc w:val="right"/>
              <w:rPr>
                <w:rFonts w:ascii="Arial" w:hAnsi="Arial" w:cs="Arial"/>
                <w:sz w:val="20"/>
                <w:szCs w:val="20"/>
                <w:lang w:val="pt-BR"/>
              </w:rPr>
            </w:pPr>
            <w:r w:rsidRPr="00F167FF">
              <w:rPr>
                <w:rFonts w:ascii="Arial" w:hAnsi="Arial" w:cs="Arial"/>
                <w:sz w:val="20"/>
                <w:szCs w:val="20"/>
                <w:lang w:val="pt-BR"/>
              </w:rPr>
              <w:t>22,4%</w:t>
            </w:r>
          </w:p>
        </w:tc>
      </w:tr>
      <w:tr w:rsidR="00427CAD" w:rsidRPr="00F167FF" w14:paraId="1E2BC115" w14:textId="77777777" w:rsidTr="00427CAD">
        <w:trPr>
          <w:trHeight w:val="276"/>
        </w:trPr>
        <w:tc>
          <w:tcPr>
            <w:tcW w:w="3681" w:type="dxa"/>
            <w:noWrap/>
            <w:hideMark/>
          </w:tcPr>
          <w:p w14:paraId="1D479563" w14:textId="77777777" w:rsidR="00427CAD" w:rsidRPr="00F167FF" w:rsidRDefault="00427CAD" w:rsidP="00427CAD">
            <w:pPr>
              <w:rPr>
                <w:rFonts w:ascii="Arial" w:hAnsi="Arial" w:cs="Arial"/>
                <w:b/>
                <w:bCs/>
                <w:i/>
                <w:sz w:val="20"/>
                <w:szCs w:val="20"/>
                <w:lang w:val="pt-BR"/>
              </w:rPr>
            </w:pPr>
            <w:r w:rsidRPr="00F167FF">
              <w:rPr>
                <w:rFonts w:ascii="Arial" w:hAnsi="Arial" w:cs="Arial"/>
                <w:b/>
                <w:bCs/>
                <w:i/>
                <w:sz w:val="20"/>
                <w:szCs w:val="20"/>
                <w:lang w:val="pt-BR"/>
              </w:rPr>
              <w:t>Total do ativo</w:t>
            </w:r>
          </w:p>
        </w:tc>
        <w:tc>
          <w:tcPr>
            <w:tcW w:w="1039" w:type="dxa"/>
            <w:noWrap/>
            <w:hideMark/>
          </w:tcPr>
          <w:p w14:paraId="5E3AB47B" w14:textId="77777777" w:rsidR="00427CAD" w:rsidRPr="00F167FF" w:rsidRDefault="00427CAD" w:rsidP="00427CAD">
            <w:pPr>
              <w:jc w:val="right"/>
              <w:rPr>
                <w:rFonts w:ascii="Arial" w:hAnsi="Arial" w:cs="Arial"/>
                <w:b/>
                <w:bCs/>
                <w:i/>
                <w:sz w:val="20"/>
                <w:szCs w:val="20"/>
                <w:lang w:val="pt-BR"/>
              </w:rPr>
            </w:pPr>
            <w:r w:rsidRPr="00F167FF">
              <w:rPr>
                <w:rFonts w:ascii="Arial" w:hAnsi="Arial" w:cs="Arial"/>
                <w:b/>
                <w:bCs/>
                <w:i/>
                <w:sz w:val="20"/>
                <w:szCs w:val="20"/>
                <w:lang w:val="pt-BR"/>
              </w:rPr>
              <w:t>1.269,5</w:t>
            </w:r>
          </w:p>
        </w:tc>
        <w:tc>
          <w:tcPr>
            <w:tcW w:w="995" w:type="dxa"/>
            <w:noWrap/>
            <w:hideMark/>
          </w:tcPr>
          <w:p w14:paraId="0D2AB165" w14:textId="77777777" w:rsidR="00427CAD" w:rsidRPr="00F167FF" w:rsidRDefault="00427CAD" w:rsidP="00427CAD">
            <w:pPr>
              <w:jc w:val="right"/>
              <w:rPr>
                <w:rFonts w:ascii="Arial" w:hAnsi="Arial" w:cs="Arial"/>
                <w:b/>
                <w:bCs/>
                <w:i/>
                <w:sz w:val="20"/>
                <w:szCs w:val="20"/>
                <w:lang w:val="pt-BR"/>
              </w:rPr>
            </w:pPr>
            <w:r w:rsidRPr="00F167FF">
              <w:rPr>
                <w:rFonts w:ascii="Arial" w:hAnsi="Arial" w:cs="Arial"/>
                <w:b/>
                <w:bCs/>
                <w:i/>
                <w:sz w:val="20"/>
                <w:szCs w:val="20"/>
                <w:lang w:val="pt-BR"/>
              </w:rPr>
              <w:t>1.453,0</w:t>
            </w:r>
          </w:p>
        </w:tc>
        <w:tc>
          <w:tcPr>
            <w:tcW w:w="995" w:type="dxa"/>
            <w:noWrap/>
            <w:hideMark/>
          </w:tcPr>
          <w:p w14:paraId="39E439F2" w14:textId="77777777" w:rsidR="00427CAD" w:rsidRPr="00F167FF" w:rsidRDefault="00427CAD" w:rsidP="00427CAD">
            <w:pPr>
              <w:jc w:val="right"/>
              <w:rPr>
                <w:rFonts w:ascii="Arial" w:hAnsi="Arial" w:cs="Arial"/>
                <w:b/>
                <w:bCs/>
                <w:i/>
                <w:sz w:val="20"/>
                <w:szCs w:val="20"/>
                <w:lang w:val="pt-BR"/>
              </w:rPr>
            </w:pPr>
            <w:r w:rsidRPr="00F167FF">
              <w:rPr>
                <w:rFonts w:ascii="Arial" w:hAnsi="Arial" w:cs="Arial"/>
                <w:b/>
                <w:bCs/>
                <w:i/>
                <w:sz w:val="20"/>
                <w:szCs w:val="20"/>
                <w:lang w:val="pt-BR"/>
              </w:rPr>
              <w:t>183,5</w:t>
            </w:r>
          </w:p>
        </w:tc>
        <w:tc>
          <w:tcPr>
            <w:tcW w:w="1069" w:type="dxa"/>
            <w:noWrap/>
            <w:hideMark/>
          </w:tcPr>
          <w:p w14:paraId="038FD2FB" w14:textId="752FE168" w:rsidR="00427CAD" w:rsidRPr="00F167FF" w:rsidRDefault="00EF6B93" w:rsidP="00427CAD">
            <w:pPr>
              <w:jc w:val="right"/>
              <w:rPr>
                <w:rFonts w:ascii="Arial" w:hAnsi="Arial" w:cs="Arial"/>
                <w:b/>
                <w:bCs/>
                <w:i/>
                <w:sz w:val="20"/>
                <w:szCs w:val="20"/>
                <w:lang w:val="pt-BR"/>
              </w:rPr>
            </w:pPr>
            <w:r>
              <w:rPr>
                <w:rFonts w:ascii="Arial" w:hAnsi="Arial" w:cs="Arial"/>
                <w:b/>
                <w:bCs/>
                <w:i/>
                <w:sz w:val="20"/>
                <w:szCs w:val="20"/>
                <w:lang w:val="pt-BR"/>
              </w:rPr>
              <w:t>10,0%</w:t>
            </w:r>
          </w:p>
        </w:tc>
        <w:tc>
          <w:tcPr>
            <w:tcW w:w="1043" w:type="dxa"/>
            <w:noWrap/>
            <w:hideMark/>
          </w:tcPr>
          <w:p w14:paraId="3F9DA766" w14:textId="77777777" w:rsidR="00427CAD" w:rsidRPr="00F167FF" w:rsidRDefault="00427CAD" w:rsidP="00427CAD">
            <w:pPr>
              <w:jc w:val="right"/>
              <w:rPr>
                <w:rFonts w:ascii="Arial" w:hAnsi="Arial" w:cs="Arial"/>
                <w:b/>
                <w:bCs/>
                <w:i/>
                <w:sz w:val="20"/>
                <w:szCs w:val="20"/>
                <w:lang w:val="pt-BR"/>
              </w:rPr>
            </w:pPr>
            <w:r w:rsidRPr="00F167FF">
              <w:rPr>
                <w:rFonts w:ascii="Arial" w:hAnsi="Arial" w:cs="Arial"/>
                <w:b/>
                <w:bCs/>
                <w:i/>
                <w:sz w:val="20"/>
                <w:szCs w:val="20"/>
                <w:lang w:val="pt-BR"/>
              </w:rPr>
              <w:t>3,4%</w:t>
            </w:r>
          </w:p>
        </w:tc>
      </w:tr>
      <w:tr w:rsidR="00427CAD" w:rsidRPr="00F167FF" w14:paraId="54193A57" w14:textId="77777777" w:rsidTr="00427CAD">
        <w:trPr>
          <w:trHeight w:val="264"/>
        </w:trPr>
        <w:tc>
          <w:tcPr>
            <w:tcW w:w="3681" w:type="dxa"/>
            <w:noWrap/>
          </w:tcPr>
          <w:p w14:paraId="0F9B11FB" w14:textId="77777777" w:rsidR="00427CAD" w:rsidRPr="00F167FF" w:rsidRDefault="00427CAD" w:rsidP="00427CAD">
            <w:pPr>
              <w:rPr>
                <w:rFonts w:ascii="Arial" w:hAnsi="Arial" w:cs="Arial"/>
                <w:b/>
                <w:bCs/>
                <w:sz w:val="20"/>
                <w:szCs w:val="20"/>
                <w:lang w:val="pt-BR"/>
              </w:rPr>
            </w:pPr>
            <w:r w:rsidRPr="00F167FF">
              <w:rPr>
                <w:rFonts w:ascii="Arial" w:hAnsi="Arial" w:cs="Arial"/>
                <w:b/>
                <w:bCs/>
                <w:sz w:val="20"/>
                <w:szCs w:val="20"/>
                <w:lang w:val="pt-BR"/>
              </w:rPr>
              <w:t>PASSIVO</w:t>
            </w:r>
          </w:p>
        </w:tc>
        <w:tc>
          <w:tcPr>
            <w:tcW w:w="1039" w:type="dxa"/>
            <w:noWrap/>
          </w:tcPr>
          <w:p w14:paraId="4B0D8B5F" w14:textId="77777777" w:rsidR="00427CAD" w:rsidRPr="00F167FF" w:rsidRDefault="00427CAD" w:rsidP="00427CAD">
            <w:pPr>
              <w:jc w:val="right"/>
              <w:rPr>
                <w:rFonts w:ascii="Arial" w:hAnsi="Arial" w:cs="Arial"/>
                <w:b/>
                <w:bCs/>
                <w:sz w:val="20"/>
                <w:szCs w:val="20"/>
                <w:lang w:val="pt-BR"/>
              </w:rPr>
            </w:pPr>
          </w:p>
        </w:tc>
        <w:tc>
          <w:tcPr>
            <w:tcW w:w="995" w:type="dxa"/>
            <w:noWrap/>
          </w:tcPr>
          <w:p w14:paraId="61A89666" w14:textId="77777777" w:rsidR="00427CAD" w:rsidRPr="00F167FF" w:rsidRDefault="00427CAD" w:rsidP="00427CAD">
            <w:pPr>
              <w:jc w:val="right"/>
              <w:rPr>
                <w:rFonts w:ascii="Arial" w:hAnsi="Arial" w:cs="Arial"/>
                <w:b/>
                <w:bCs/>
                <w:sz w:val="20"/>
                <w:szCs w:val="20"/>
                <w:lang w:val="pt-BR"/>
              </w:rPr>
            </w:pPr>
          </w:p>
        </w:tc>
        <w:tc>
          <w:tcPr>
            <w:tcW w:w="995" w:type="dxa"/>
            <w:noWrap/>
          </w:tcPr>
          <w:p w14:paraId="1B9EAD8F" w14:textId="77777777" w:rsidR="00427CAD" w:rsidRPr="00F167FF" w:rsidRDefault="00427CAD" w:rsidP="00427CAD">
            <w:pPr>
              <w:jc w:val="right"/>
              <w:rPr>
                <w:rFonts w:ascii="Arial" w:hAnsi="Arial" w:cs="Arial"/>
                <w:b/>
                <w:bCs/>
                <w:sz w:val="20"/>
                <w:szCs w:val="20"/>
                <w:lang w:val="pt-BR"/>
              </w:rPr>
            </w:pPr>
          </w:p>
        </w:tc>
        <w:tc>
          <w:tcPr>
            <w:tcW w:w="1069" w:type="dxa"/>
            <w:noWrap/>
          </w:tcPr>
          <w:p w14:paraId="31750D02" w14:textId="77777777" w:rsidR="00427CAD" w:rsidRPr="00F167FF" w:rsidRDefault="00427CAD" w:rsidP="00427CAD">
            <w:pPr>
              <w:jc w:val="right"/>
              <w:rPr>
                <w:rFonts w:ascii="Arial" w:hAnsi="Arial" w:cs="Arial"/>
                <w:b/>
                <w:bCs/>
                <w:sz w:val="20"/>
                <w:szCs w:val="20"/>
                <w:lang w:val="pt-BR"/>
              </w:rPr>
            </w:pPr>
          </w:p>
        </w:tc>
        <w:tc>
          <w:tcPr>
            <w:tcW w:w="1043" w:type="dxa"/>
            <w:noWrap/>
          </w:tcPr>
          <w:p w14:paraId="7280D932" w14:textId="77777777" w:rsidR="00427CAD" w:rsidRPr="00F167FF" w:rsidRDefault="00427CAD" w:rsidP="00427CAD">
            <w:pPr>
              <w:jc w:val="right"/>
              <w:rPr>
                <w:rFonts w:ascii="Arial" w:hAnsi="Arial" w:cs="Arial"/>
                <w:b/>
                <w:bCs/>
                <w:sz w:val="20"/>
                <w:szCs w:val="20"/>
                <w:lang w:val="pt-BR"/>
              </w:rPr>
            </w:pPr>
          </w:p>
        </w:tc>
      </w:tr>
      <w:tr w:rsidR="00427CAD" w:rsidRPr="00F167FF" w14:paraId="5DD1A253" w14:textId="77777777" w:rsidTr="00427CAD">
        <w:trPr>
          <w:trHeight w:val="264"/>
        </w:trPr>
        <w:tc>
          <w:tcPr>
            <w:tcW w:w="3681" w:type="dxa"/>
            <w:noWrap/>
            <w:hideMark/>
          </w:tcPr>
          <w:p w14:paraId="66DFFA17" w14:textId="77777777" w:rsidR="00427CAD" w:rsidRPr="00F167FF" w:rsidRDefault="00427CAD" w:rsidP="00427CAD">
            <w:pPr>
              <w:rPr>
                <w:rFonts w:ascii="Arial" w:hAnsi="Arial" w:cs="Arial"/>
                <w:b/>
                <w:bCs/>
                <w:sz w:val="20"/>
                <w:szCs w:val="20"/>
                <w:lang w:val="pt-BR"/>
              </w:rPr>
            </w:pPr>
            <w:r w:rsidRPr="00F167FF">
              <w:rPr>
                <w:rFonts w:ascii="Arial" w:hAnsi="Arial" w:cs="Arial"/>
                <w:b/>
                <w:bCs/>
                <w:sz w:val="20"/>
                <w:szCs w:val="20"/>
                <w:lang w:val="pt-BR"/>
              </w:rPr>
              <w:t>Total do passivo circulante</w:t>
            </w:r>
          </w:p>
        </w:tc>
        <w:tc>
          <w:tcPr>
            <w:tcW w:w="1039" w:type="dxa"/>
            <w:noWrap/>
            <w:hideMark/>
          </w:tcPr>
          <w:p w14:paraId="398A2012" w14:textId="77777777" w:rsidR="00427CAD" w:rsidRPr="00F167FF" w:rsidRDefault="00427CAD" w:rsidP="00427CAD">
            <w:pPr>
              <w:jc w:val="right"/>
              <w:rPr>
                <w:rFonts w:ascii="Arial" w:hAnsi="Arial" w:cs="Arial"/>
                <w:b/>
                <w:bCs/>
                <w:sz w:val="20"/>
                <w:szCs w:val="20"/>
                <w:lang w:val="pt-BR"/>
              </w:rPr>
            </w:pPr>
            <w:r w:rsidRPr="00F167FF">
              <w:rPr>
                <w:rFonts w:ascii="Arial" w:hAnsi="Arial" w:cs="Arial"/>
                <w:b/>
                <w:bCs/>
                <w:sz w:val="20"/>
                <w:szCs w:val="20"/>
                <w:lang w:val="pt-BR"/>
              </w:rPr>
              <w:t>16,5</w:t>
            </w:r>
          </w:p>
        </w:tc>
        <w:tc>
          <w:tcPr>
            <w:tcW w:w="995" w:type="dxa"/>
            <w:noWrap/>
            <w:hideMark/>
          </w:tcPr>
          <w:p w14:paraId="02FD129B" w14:textId="77777777" w:rsidR="00427CAD" w:rsidRPr="00F167FF" w:rsidRDefault="00427CAD" w:rsidP="00427CAD">
            <w:pPr>
              <w:jc w:val="right"/>
              <w:rPr>
                <w:rFonts w:ascii="Arial" w:hAnsi="Arial" w:cs="Arial"/>
                <w:b/>
                <w:bCs/>
                <w:sz w:val="20"/>
                <w:szCs w:val="20"/>
                <w:lang w:val="pt-BR"/>
              </w:rPr>
            </w:pPr>
            <w:r w:rsidRPr="00F167FF">
              <w:rPr>
                <w:rFonts w:ascii="Arial" w:hAnsi="Arial" w:cs="Arial"/>
                <w:b/>
                <w:bCs/>
                <w:sz w:val="20"/>
                <w:szCs w:val="20"/>
                <w:lang w:val="pt-BR"/>
              </w:rPr>
              <w:t>99,6</w:t>
            </w:r>
          </w:p>
        </w:tc>
        <w:tc>
          <w:tcPr>
            <w:tcW w:w="995" w:type="dxa"/>
            <w:noWrap/>
            <w:hideMark/>
          </w:tcPr>
          <w:p w14:paraId="41BF8366" w14:textId="77777777" w:rsidR="00427CAD" w:rsidRPr="00F167FF" w:rsidRDefault="00427CAD" w:rsidP="00427CAD">
            <w:pPr>
              <w:jc w:val="right"/>
              <w:rPr>
                <w:rFonts w:ascii="Arial" w:hAnsi="Arial" w:cs="Arial"/>
                <w:b/>
                <w:bCs/>
                <w:sz w:val="20"/>
                <w:szCs w:val="20"/>
                <w:lang w:val="pt-BR"/>
              </w:rPr>
            </w:pPr>
            <w:r w:rsidRPr="00F167FF">
              <w:rPr>
                <w:rFonts w:ascii="Arial" w:hAnsi="Arial" w:cs="Arial"/>
                <w:b/>
                <w:bCs/>
                <w:sz w:val="20"/>
                <w:szCs w:val="20"/>
                <w:lang w:val="pt-BR"/>
              </w:rPr>
              <w:t>83,1</w:t>
            </w:r>
          </w:p>
        </w:tc>
        <w:tc>
          <w:tcPr>
            <w:tcW w:w="1069" w:type="dxa"/>
            <w:shd w:val="clear" w:color="auto" w:fill="auto"/>
            <w:noWrap/>
            <w:vAlign w:val="center"/>
            <w:hideMark/>
          </w:tcPr>
          <w:p w14:paraId="6B20B7A5" w14:textId="77777777" w:rsidR="00427CAD" w:rsidRPr="00F167FF" w:rsidRDefault="00427CAD" w:rsidP="00427CAD">
            <w:pPr>
              <w:jc w:val="right"/>
              <w:rPr>
                <w:rFonts w:ascii="Arial" w:hAnsi="Arial" w:cs="Arial"/>
                <w:b/>
                <w:bCs/>
                <w:sz w:val="20"/>
                <w:szCs w:val="20"/>
                <w:lang w:val="pt-BR"/>
              </w:rPr>
            </w:pPr>
            <w:r w:rsidRPr="00F167FF">
              <w:rPr>
                <w:rFonts w:ascii="Arial" w:hAnsi="Arial" w:cs="Arial"/>
                <w:b/>
                <w:bCs/>
                <w:sz w:val="20"/>
                <w:szCs w:val="20"/>
              </w:rPr>
              <w:t>504,3%</w:t>
            </w:r>
          </w:p>
        </w:tc>
        <w:tc>
          <w:tcPr>
            <w:tcW w:w="1043" w:type="dxa"/>
            <w:shd w:val="clear" w:color="auto" w:fill="auto"/>
            <w:noWrap/>
            <w:vAlign w:val="center"/>
            <w:hideMark/>
          </w:tcPr>
          <w:p w14:paraId="613232BF" w14:textId="77777777" w:rsidR="00427CAD" w:rsidRPr="00F167FF" w:rsidRDefault="00427CAD" w:rsidP="00427CAD">
            <w:pPr>
              <w:jc w:val="right"/>
              <w:rPr>
                <w:rFonts w:ascii="Arial" w:hAnsi="Arial" w:cs="Arial"/>
                <w:b/>
                <w:bCs/>
                <w:sz w:val="20"/>
                <w:szCs w:val="20"/>
                <w:lang w:val="pt-BR"/>
              </w:rPr>
            </w:pPr>
            <w:r w:rsidRPr="00F167FF">
              <w:rPr>
                <w:rFonts w:ascii="Arial" w:hAnsi="Arial" w:cs="Arial"/>
                <w:b/>
                <w:bCs/>
                <w:sz w:val="20"/>
                <w:szCs w:val="20"/>
              </w:rPr>
              <w:t>56,8%</w:t>
            </w:r>
          </w:p>
        </w:tc>
      </w:tr>
      <w:tr w:rsidR="00427CAD" w:rsidRPr="00F167FF" w14:paraId="1FC55C2A" w14:textId="77777777" w:rsidTr="00427CAD">
        <w:trPr>
          <w:trHeight w:val="264"/>
        </w:trPr>
        <w:tc>
          <w:tcPr>
            <w:tcW w:w="3681" w:type="dxa"/>
            <w:noWrap/>
            <w:hideMark/>
          </w:tcPr>
          <w:p w14:paraId="4E4D3B4B" w14:textId="77777777" w:rsidR="00427CAD" w:rsidRPr="00F167FF" w:rsidRDefault="00427CAD" w:rsidP="00427CAD">
            <w:pPr>
              <w:rPr>
                <w:rFonts w:ascii="Arial" w:hAnsi="Arial" w:cs="Arial"/>
                <w:b/>
                <w:bCs/>
                <w:sz w:val="20"/>
                <w:szCs w:val="20"/>
                <w:lang w:val="pt-BR"/>
              </w:rPr>
            </w:pPr>
            <w:r w:rsidRPr="00F167FF">
              <w:rPr>
                <w:rFonts w:ascii="Arial" w:hAnsi="Arial" w:cs="Arial"/>
                <w:b/>
                <w:bCs/>
                <w:sz w:val="20"/>
                <w:szCs w:val="20"/>
                <w:lang w:val="pt-BR"/>
              </w:rPr>
              <w:t>Patrimônio líquido</w:t>
            </w:r>
          </w:p>
        </w:tc>
        <w:tc>
          <w:tcPr>
            <w:tcW w:w="1039" w:type="dxa"/>
            <w:noWrap/>
            <w:hideMark/>
          </w:tcPr>
          <w:p w14:paraId="03E890BB" w14:textId="77777777" w:rsidR="00427CAD" w:rsidRPr="00F167FF" w:rsidRDefault="00427CAD" w:rsidP="00427CAD">
            <w:pPr>
              <w:jc w:val="right"/>
              <w:rPr>
                <w:rFonts w:ascii="Arial" w:hAnsi="Arial" w:cs="Arial"/>
                <w:b/>
                <w:bCs/>
                <w:sz w:val="20"/>
                <w:szCs w:val="20"/>
                <w:lang w:val="pt-BR"/>
              </w:rPr>
            </w:pPr>
            <w:r w:rsidRPr="00F167FF">
              <w:rPr>
                <w:rFonts w:ascii="Arial" w:hAnsi="Arial" w:cs="Arial"/>
                <w:b/>
                <w:bCs/>
                <w:sz w:val="20"/>
                <w:szCs w:val="20"/>
                <w:lang w:val="pt-BR"/>
              </w:rPr>
              <w:t>1.253,0</w:t>
            </w:r>
          </w:p>
        </w:tc>
        <w:tc>
          <w:tcPr>
            <w:tcW w:w="995" w:type="dxa"/>
            <w:noWrap/>
            <w:hideMark/>
          </w:tcPr>
          <w:p w14:paraId="0C04F94E" w14:textId="77777777" w:rsidR="00427CAD" w:rsidRPr="00F167FF" w:rsidRDefault="00427CAD" w:rsidP="00427CAD">
            <w:pPr>
              <w:jc w:val="right"/>
              <w:rPr>
                <w:rFonts w:ascii="Arial" w:hAnsi="Arial" w:cs="Arial"/>
                <w:b/>
                <w:bCs/>
                <w:sz w:val="20"/>
                <w:szCs w:val="20"/>
                <w:lang w:val="pt-BR"/>
              </w:rPr>
            </w:pPr>
            <w:r w:rsidRPr="00F167FF">
              <w:rPr>
                <w:rFonts w:ascii="Arial" w:hAnsi="Arial" w:cs="Arial"/>
                <w:b/>
                <w:bCs/>
                <w:sz w:val="20"/>
                <w:szCs w:val="20"/>
                <w:lang w:val="pt-BR"/>
              </w:rPr>
              <w:t>1.353,4</w:t>
            </w:r>
          </w:p>
        </w:tc>
        <w:tc>
          <w:tcPr>
            <w:tcW w:w="995" w:type="dxa"/>
            <w:noWrap/>
            <w:hideMark/>
          </w:tcPr>
          <w:p w14:paraId="35DCCE9F" w14:textId="77777777" w:rsidR="00427CAD" w:rsidRPr="00F167FF" w:rsidRDefault="00427CAD" w:rsidP="00427CAD">
            <w:pPr>
              <w:jc w:val="right"/>
              <w:rPr>
                <w:rFonts w:ascii="Arial" w:hAnsi="Arial" w:cs="Arial"/>
                <w:b/>
                <w:bCs/>
                <w:sz w:val="20"/>
                <w:szCs w:val="20"/>
                <w:lang w:val="pt-BR"/>
              </w:rPr>
            </w:pPr>
            <w:r w:rsidRPr="00F167FF">
              <w:rPr>
                <w:rFonts w:ascii="Arial" w:hAnsi="Arial" w:cs="Arial"/>
                <w:b/>
                <w:bCs/>
                <w:sz w:val="20"/>
                <w:szCs w:val="20"/>
                <w:lang w:val="pt-BR"/>
              </w:rPr>
              <w:t>100,4</w:t>
            </w:r>
          </w:p>
        </w:tc>
        <w:tc>
          <w:tcPr>
            <w:tcW w:w="1069" w:type="dxa"/>
            <w:shd w:val="clear" w:color="auto" w:fill="auto"/>
            <w:noWrap/>
            <w:hideMark/>
          </w:tcPr>
          <w:p w14:paraId="72EF86D2" w14:textId="77777777" w:rsidR="00427CAD" w:rsidRPr="00F167FF" w:rsidRDefault="00427CAD" w:rsidP="00427CAD">
            <w:pPr>
              <w:jc w:val="right"/>
              <w:rPr>
                <w:rFonts w:ascii="Arial" w:hAnsi="Arial" w:cs="Arial"/>
                <w:b/>
                <w:bCs/>
                <w:sz w:val="20"/>
                <w:szCs w:val="20"/>
                <w:lang w:val="pt-BR"/>
              </w:rPr>
            </w:pPr>
            <w:r w:rsidRPr="00F167FF">
              <w:rPr>
                <w:rFonts w:ascii="Arial" w:hAnsi="Arial" w:cs="Arial"/>
                <w:b/>
                <w:bCs/>
                <w:sz w:val="20"/>
                <w:szCs w:val="20"/>
                <w:lang w:val="pt-BR"/>
              </w:rPr>
              <w:t>8,0%</w:t>
            </w:r>
          </w:p>
        </w:tc>
        <w:tc>
          <w:tcPr>
            <w:tcW w:w="1043" w:type="dxa"/>
            <w:shd w:val="clear" w:color="auto" w:fill="auto"/>
            <w:noWrap/>
            <w:hideMark/>
          </w:tcPr>
          <w:p w14:paraId="6A14170E" w14:textId="77777777" w:rsidR="00427CAD" w:rsidRPr="00F167FF" w:rsidRDefault="00427CAD" w:rsidP="00427CAD">
            <w:pPr>
              <w:jc w:val="right"/>
              <w:rPr>
                <w:rFonts w:ascii="Arial" w:hAnsi="Arial" w:cs="Arial"/>
                <w:b/>
                <w:bCs/>
                <w:sz w:val="20"/>
                <w:szCs w:val="20"/>
                <w:lang w:val="pt-BR"/>
              </w:rPr>
            </w:pPr>
            <w:r w:rsidRPr="00F167FF">
              <w:rPr>
                <w:rFonts w:ascii="Arial" w:hAnsi="Arial" w:cs="Arial"/>
                <w:b/>
                <w:bCs/>
                <w:sz w:val="20"/>
                <w:szCs w:val="20"/>
                <w:lang w:val="pt-BR"/>
              </w:rPr>
              <w:t>1,9%</w:t>
            </w:r>
          </w:p>
        </w:tc>
      </w:tr>
      <w:tr w:rsidR="00427CAD" w:rsidRPr="00F167FF" w14:paraId="7FEEE39A" w14:textId="77777777" w:rsidTr="00427CAD">
        <w:trPr>
          <w:trHeight w:val="264"/>
        </w:trPr>
        <w:tc>
          <w:tcPr>
            <w:tcW w:w="3681" w:type="dxa"/>
            <w:noWrap/>
            <w:hideMark/>
          </w:tcPr>
          <w:p w14:paraId="716D7632" w14:textId="77777777" w:rsidR="00427CAD" w:rsidRPr="00F167FF" w:rsidRDefault="00427CAD" w:rsidP="00427CAD">
            <w:pPr>
              <w:rPr>
                <w:rFonts w:ascii="Arial" w:hAnsi="Arial" w:cs="Arial"/>
                <w:b/>
                <w:bCs/>
                <w:i/>
                <w:sz w:val="20"/>
                <w:szCs w:val="20"/>
                <w:lang w:val="pt-BR"/>
              </w:rPr>
            </w:pPr>
            <w:r w:rsidRPr="00F167FF">
              <w:rPr>
                <w:rFonts w:ascii="Arial" w:hAnsi="Arial" w:cs="Arial"/>
                <w:b/>
                <w:bCs/>
                <w:i/>
                <w:sz w:val="20"/>
                <w:szCs w:val="20"/>
                <w:lang w:val="pt-BR"/>
              </w:rPr>
              <w:t>Total do passivo</w:t>
            </w:r>
          </w:p>
        </w:tc>
        <w:tc>
          <w:tcPr>
            <w:tcW w:w="1039" w:type="dxa"/>
            <w:noWrap/>
            <w:hideMark/>
          </w:tcPr>
          <w:p w14:paraId="0F5C4C2F" w14:textId="77777777" w:rsidR="00427CAD" w:rsidRPr="00F167FF" w:rsidRDefault="00427CAD" w:rsidP="00427CAD">
            <w:pPr>
              <w:jc w:val="right"/>
              <w:rPr>
                <w:rFonts w:ascii="Arial" w:hAnsi="Arial" w:cs="Arial"/>
                <w:b/>
                <w:bCs/>
                <w:i/>
                <w:sz w:val="20"/>
                <w:szCs w:val="20"/>
                <w:lang w:val="pt-BR"/>
              </w:rPr>
            </w:pPr>
            <w:r w:rsidRPr="00F167FF">
              <w:rPr>
                <w:rFonts w:ascii="Arial" w:hAnsi="Arial" w:cs="Arial"/>
                <w:b/>
                <w:bCs/>
                <w:i/>
                <w:sz w:val="20"/>
                <w:szCs w:val="20"/>
                <w:lang w:val="pt-BR"/>
              </w:rPr>
              <w:t>1.269,5</w:t>
            </w:r>
          </w:p>
        </w:tc>
        <w:tc>
          <w:tcPr>
            <w:tcW w:w="995" w:type="dxa"/>
            <w:noWrap/>
            <w:hideMark/>
          </w:tcPr>
          <w:p w14:paraId="62E36FD4" w14:textId="77777777" w:rsidR="00427CAD" w:rsidRPr="00F167FF" w:rsidRDefault="00427CAD" w:rsidP="00427CAD">
            <w:pPr>
              <w:jc w:val="right"/>
              <w:rPr>
                <w:rFonts w:ascii="Arial" w:hAnsi="Arial" w:cs="Arial"/>
                <w:b/>
                <w:bCs/>
                <w:i/>
                <w:sz w:val="20"/>
                <w:szCs w:val="20"/>
                <w:lang w:val="pt-BR"/>
              </w:rPr>
            </w:pPr>
            <w:r w:rsidRPr="00F167FF">
              <w:rPr>
                <w:rFonts w:ascii="Arial" w:hAnsi="Arial" w:cs="Arial"/>
                <w:b/>
                <w:bCs/>
                <w:i/>
                <w:sz w:val="20"/>
                <w:szCs w:val="20"/>
                <w:lang w:val="pt-BR"/>
              </w:rPr>
              <w:t>1.453,0</w:t>
            </w:r>
          </w:p>
        </w:tc>
        <w:tc>
          <w:tcPr>
            <w:tcW w:w="995" w:type="dxa"/>
            <w:noWrap/>
            <w:hideMark/>
          </w:tcPr>
          <w:p w14:paraId="4A46002A" w14:textId="77777777" w:rsidR="00427CAD" w:rsidRPr="00F167FF" w:rsidRDefault="00427CAD" w:rsidP="00427CAD">
            <w:pPr>
              <w:jc w:val="right"/>
              <w:rPr>
                <w:rFonts w:ascii="Arial" w:hAnsi="Arial" w:cs="Arial"/>
                <w:b/>
                <w:bCs/>
                <w:i/>
                <w:sz w:val="20"/>
                <w:szCs w:val="20"/>
                <w:lang w:val="pt-BR"/>
              </w:rPr>
            </w:pPr>
            <w:r w:rsidRPr="00F167FF">
              <w:rPr>
                <w:rFonts w:ascii="Arial" w:hAnsi="Arial" w:cs="Arial"/>
                <w:b/>
                <w:bCs/>
                <w:i/>
                <w:sz w:val="20"/>
                <w:szCs w:val="20"/>
                <w:lang w:val="pt-BR"/>
              </w:rPr>
              <w:t>183,5</w:t>
            </w:r>
          </w:p>
        </w:tc>
        <w:tc>
          <w:tcPr>
            <w:tcW w:w="1069" w:type="dxa"/>
            <w:noWrap/>
            <w:hideMark/>
          </w:tcPr>
          <w:p w14:paraId="7A813787" w14:textId="77777777" w:rsidR="00427CAD" w:rsidRPr="00F167FF" w:rsidRDefault="00427CAD" w:rsidP="00427CAD">
            <w:pPr>
              <w:jc w:val="right"/>
              <w:rPr>
                <w:rFonts w:ascii="Arial" w:hAnsi="Arial" w:cs="Arial"/>
                <w:b/>
                <w:bCs/>
                <w:i/>
                <w:sz w:val="20"/>
                <w:szCs w:val="20"/>
                <w:lang w:val="pt-BR"/>
              </w:rPr>
            </w:pPr>
            <w:r w:rsidRPr="00F167FF">
              <w:rPr>
                <w:rFonts w:ascii="Arial" w:hAnsi="Arial" w:cs="Arial"/>
                <w:b/>
                <w:bCs/>
                <w:i/>
                <w:sz w:val="20"/>
                <w:szCs w:val="20"/>
                <w:lang w:val="pt-BR"/>
              </w:rPr>
              <w:t>14,5%</w:t>
            </w:r>
          </w:p>
        </w:tc>
        <w:tc>
          <w:tcPr>
            <w:tcW w:w="1043" w:type="dxa"/>
            <w:noWrap/>
            <w:hideMark/>
          </w:tcPr>
          <w:p w14:paraId="4A3C21F0" w14:textId="77777777" w:rsidR="00427CAD" w:rsidRPr="00F167FF" w:rsidRDefault="00427CAD" w:rsidP="00427CAD">
            <w:pPr>
              <w:jc w:val="right"/>
              <w:rPr>
                <w:rFonts w:ascii="Arial" w:hAnsi="Arial" w:cs="Arial"/>
                <w:b/>
                <w:bCs/>
                <w:i/>
                <w:sz w:val="20"/>
                <w:szCs w:val="20"/>
                <w:lang w:val="pt-BR"/>
              </w:rPr>
            </w:pPr>
            <w:r w:rsidRPr="00F167FF">
              <w:rPr>
                <w:rFonts w:ascii="Arial" w:hAnsi="Arial" w:cs="Arial"/>
                <w:b/>
                <w:bCs/>
                <w:i/>
                <w:sz w:val="20"/>
                <w:szCs w:val="20"/>
                <w:lang w:val="pt-BR"/>
              </w:rPr>
              <w:t>3,4%</w:t>
            </w:r>
          </w:p>
        </w:tc>
      </w:tr>
    </w:tbl>
    <w:p w14:paraId="0A9E8EF9" w14:textId="77777777" w:rsidR="00427CAD" w:rsidRPr="00695893" w:rsidRDefault="00427CAD" w:rsidP="00427CAD">
      <w:pPr>
        <w:spacing w:after="0"/>
        <w:rPr>
          <w:rFonts w:ascii="Times New Roman" w:hAnsi="Times New Roman" w:cs="Times New Roman"/>
          <w:lang w:val="pt-BR"/>
        </w:rPr>
      </w:pPr>
      <w:r w:rsidRPr="00F167FF">
        <w:rPr>
          <w:rFonts w:ascii="Times New Roman" w:hAnsi="Times New Roman" w:cs="Times New Roman"/>
          <w:lang w:val="pt-BR"/>
        </w:rPr>
        <w:t>Nota (*): Estimado utilizando o IPCA.</w:t>
      </w:r>
    </w:p>
    <w:p w14:paraId="7FDF9C07" w14:textId="77777777" w:rsidR="00427CAD" w:rsidRPr="00695893" w:rsidRDefault="00427CAD" w:rsidP="00427CAD">
      <w:pPr>
        <w:rPr>
          <w:rFonts w:ascii="Times New Roman" w:hAnsi="Times New Roman" w:cs="Times New Roman"/>
          <w:lang w:val="pt-BR"/>
        </w:rPr>
      </w:pPr>
      <w:r w:rsidRPr="00695893">
        <w:rPr>
          <w:rFonts w:ascii="Times New Roman" w:hAnsi="Times New Roman" w:cs="Times New Roman"/>
          <w:lang w:val="pt-BR"/>
        </w:rPr>
        <w:t>Fonte: Cálculos dos autores com os dados do SFM.</w:t>
      </w:r>
    </w:p>
    <w:p w14:paraId="4071B3E0" w14:textId="77777777" w:rsidR="00427CAD" w:rsidRPr="0041470F" w:rsidRDefault="00427CAD" w:rsidP="00427CAD">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Conforme discutido acima, as reformas legislativas e regulatórias iniciadas como parte da preparação do Paraná III em 2013 procuraram blindar a integridade do FDU. Como resultado, o </w:t>
      </w:r>
      <w:r>
        <w:rPr>
          <w:rFonts w:ascii="Times New Roman" w:hAnsi="Times New Roman" w:cs="Times New Roman"/>
          <w:sz w:val="24"/>
          <w:szCs w:val="24"/>
          <w:lang w:val="pt-BR"/>
        </w:rPr>
        <w:t>PL</w:t>
      </w:r>
      <w:r w:rsidRPr="00CA2760">
        <w:rPr>
          <w:rFonts w:ascii="Times New Roman" w:hAnsi="Times New Roman" w:cs="Times New Roman"/>
          <w:sz w:val="24"/>
          <w:szCs w:val="24"/>
          <w:lang w:val="pt-BR"/>
        </w:rPr>
        <w:t xml:space="preserve"> do FDU começou a crescer mais rapidamente, atingindo R$1,35 bilhões em 2017 (US$422,9 milhões). </w:t>
      </w:r>
      <w:r w:rsidRPr="0041470F">
        <w:rPr>
          <w:rStyle w:val="ts-alignment-element"/>
          <w:rFonts w:ascii="Times New Roman" w:hAnsi="Times New Roman" w:cs="Times New Roman"/>
          <w:sz w:val="24"/>
          <w:szCs w:val="24"/>
          <w:lang w:val="pt-BR"/>
        </w:rPr>
        <w:t>Este</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crescimento</w:t>
      </w:r>
      <w:r w:rsidRPr="0041470F">
        <w:rPr>
          <w:rFonts w:ascii="Times New Roman" w:hAnsi="Times New Roman" w:cs="Times New Roman"/>
          <w:sz w:val="24"/>
          <w:szCs w:val="24"/>
          <w:lang w:val="pt-BR"/>
        </w:rPr>
        <w:t xml:space="preserve"> real </w:t>
      </w:r>
      <w:r w:rsidRPr="0041470F">
        <w:rPr>
          <w:rStyle w:val="ts-alignment-element"/>
          <w:rFonts w:ascii="Times New Roman" w:hAnsi="Times New Roman" w:cs="Times New Roman"/>
          <w:sz w:val="24"/>
          <w:szCs w:val="24"/>
          <w:lang w:val="pt-BR"/>
        </w:rPr>
        <w:t>de</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8,0%</w:t>
      </w:r>
      <w:r w:rsidRPr="0041470F">
        <w:rPr>
          <w:rFonts w:ascii="Times New Roman" w:hAnsi="Times New Roman" w:cs="Times New Roman"/>
          <w:sz w:val="24"/>
          <w:szCs w:val="24"/>
          <w:lang w:val="pt-BR"/>
        </w:rPr>
        <w:t xml:space="preserve"> (R$100,4 milhões) no período de </w:t>
      </w:r>
      <w:r w:rsidRPr="0041470F">
        <w:rPr>
          <w:rStyle w:val="ts-alignment-element"/>
          <w:rFonts w:ascii="Times New Roman" w:hAnsi="Times New Roman" w:cs="Times New Roman"/>
          <w:sz w:val="24"/>
          <w:szCs w:val="24"/>
          <w:lang w:val="pt-BR"/>
        </w:rPr>
        <w:t>2013/2017</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é</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impressionante</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uma</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vez</w:t>
      </w:r>
      <w:r w:rsidRPr="0041470F">
        <w:rPr>
          <w:rFonts w:ascii="Times New Roman" w:hAnsi="Times New Roman" w:cs="Times New Roman"/>
          <w:sz w:val="24"/>
          <w:szCs w:val="24"/>
          <w:lang w:val="pt-BR"/>
        </w:rPr>
        <w:t xml:space="preserve"> que Bra</w:t>
      </w:r>
      <w:r w:rsidRPr="0041470F">
        <w:rPr>
          <w:rFonts w:ascii="Times New Roman" w:hAnsi="Times New Roman" w:cs="Times New Roman"/>
          <w:sz w:val="24"/>
          <w:szCs w:val="24"/>
          <w:lang w:val="pt-PT"/>
        </w:rPr>
        <w:t xml:space="preserve">sil passou por uma grave recessão durante </w:t>
      </w:r>
      <w:r>
        <w:rPr>
          <w:rFonts w:ascii="Times New Roman" w:hAnsi="Times New Roman" w:cs="Times New Roman"/>
          <w:sz w:val="24"/>
          <w:szCs w:val="24"/>
          <w:lang w:val="pt-PT"/>
        </w:rPr>
        <w:t xml:space="preserve">o período de </w:t>
      </w:r>
      <w:r w:rsidRPr="0041470F">
        <w:rPr>
          <w:rStyle w:val="ts-alignment-element"/>
          <w:rFonts w:ascii="Times New Roman" w:hAnsi="Times New Roman" w:cs="Times New Roman"/>
          <w:sz w:val="24"/>
          <w:szCs w:val="24"/>
          <w:lang w:val="pt-BR"/>
        </w:rPr>
        <w:t>2014/2016</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(Oreiro,</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2017</w:t>
      </w:r>
      <w:r w:rsidRPr="0041470F">
        <w:rPr>
          <w:rFonts w:ascii="Times New Roman" w:hAnsi="Times New Roman" w:cs="Times New Roman"/>
          <w:sz w:val="24"/>
          <w:szCs w:val="24"/>
          <w:lang w:val="pt-BR"/>
        </w:rPr>
        <w:t>)</w:t>
      </w:r>
      <w:r w:rsidRPr="0041470F">
        <w:rPr>
          <w:rFonts w:ascii="Times New Roman" w:hAnsi="Times New Roman" w:cs="Times New Roman"/>
          <w:sz w:val="24"/>
          <w:szCs w:val="24"/>
          <w:lang w:val="pt-PT"/>
        </w:rPr>
        <w:t xml:space="preserve"> </w:t>
      </w:r>
      <w:r>
        <w:rPr>
          <w:rFonts w:ascii="Times New Roman" w:hAnsi="Times New Roman" w:cs="Times New Roman"/>
          <w:sz w:val="24"/>
          <w:szCs w:val="24"/>
          <w:lang w:val="pt-PT"/>
        </w:rPr>
        <w:t>quando</w:t>
      </w:r>
      <w:r w:rsidRPr="0041470F">
        <w:rPr>
          <w:rFonts w:ascii="Times New Roman" w:hAnsi="Times New Roman" w:cs="Times New Roman"/>
          <w:sz w:val="24"/>
          <w:szCs w:val="24"/>
          <w:lang w:val="pt-PT"/>
        </w:rPr>
        <w:t xml:space="preserve"> </w:t>
      </w:r>
      <w:r w:rsidRPr="0041470F">
        <w:rPr>
          <w:rFonts w:ascii="Times New Roman" w:hAnsi="Times New Roman" w:cs="Times New Roman"/>
          <w:sz w:val="24"/>
          <w:szCs w:val="24"/>
          <w:lang w:val="pt-BR"/>
        </w:rPr>
        <w:t xml:space="preserve">o </w:t>
      </w:r>
      <w:r w:rsidRPr="0041470F">
        <w:rPr>
          <w:rStyle w:val="ts-alignment-element"/>
          <w:rFonts w:ascii="Times New Roman" w:hAnsi="Times New Roman" w:cs="Times New Roman"/>
          <w:sz w:val="24"/>
          <w:szCs w:val="24"/>
          <w:lang w:val="pt-BR"/>
        </w:rPr>
        <w:t>PIB</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real</w:t>
      </w:r>
      <w:r w:rsidRPr="0041470F">
        <w:rPr>
          <w:rFonts w:ascii="Times New Roman" w:hAnsi="Times New Roman" w:cs="Times New Roman"/>
          <w:sz w:val="24"/>
          <w:szCs w:val="24"/>
          <w:lang w:val="pt-BR"/>
        </w:rPr>
        <w:t xml:space="preserve"> caiu </w:t>
      </w:r>
      <w:r w:rsidRPr="0041470F">
        <w:rPr>
          <w:rStyle w:val="ts-alignment-element"/>
          <w:rFonts w:ascii="Times New Roman" w:hAnsi="Times New Roman" w:cs="Times New Roman"/>
          <w:sz w:val="24"/>
          <w:szCs w:val="24"/>
          <w:lang w:val="pt-BR"/>
        </w:rPr>
        <w:t>em</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mais</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de</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 xml:space="preserve">8% e a </w:t>
      </w:r>
      <w:r w:rsidRPr="0041470F">
        <w:rPr>
          <w:rFonts w:ascii="Times New Roman" w:hAnsi="Times New Roman" w:cs="Times New Roman"/>
          <w:sz w:val="24"/>
          <w:szCs w:val="24"/>
          <w:lang w:val="pt-BR"/>
        </w:rPr>
        <w:t xml:space="preserve">inflação </w:t>
      </w:r>
      <w:r w:rsidRPr="0041470F">
        <w:rPr>
          <w:rStyle w:val="ts-alignment-element"/>
          <w:rFonts w:ascii="Times New Roman" w:hAnsi="Times New Roman" w:cs="Times New Roman"/>
          <w:sz w:val="24"/>
          <w:szCs w:val="24"/>
          <w:lang w:val="pt-BR"/>
        </w:rPr>
        <w:t>do</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Brasil</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foi</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de</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cerca</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de</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30%</w:t>
      </w:r>
      <w:r w:rsidRPr="0041470F">
        <w:rPr>
          <w:rFonts w:ascii="Times New Roman" w:hAnsi="Times New Roman" w:cs="Times New Roman"/>
          <w:sz w:val="24"/>
          <w:szCs w:val="24"/>
          <w:lang w:val="pt-BR"/>
        </w:rPr>
        <w:t>.</w:t>
      </w:r>
      <w:r>
        <w:rPr>
          <w:rFonts w:ascii="Times New Roman" w:hAnsi="Times New Roman" w:cs="Times New Roman"/>
          <w:sz w:val="24"/>
          <w:szCs w:val="24"/>
          <w:lang w:val="pt-BR"/>
        </w:rPr>
        <w:t xml:space="preserve"> </w:t>
      </w:r>
    </w:p>
    <w:p w14:paraId="650E719D" w14:textId="77777777" w:rsidR="00427CAD" w:rsidRPr="008C1F8A" w:rsidRDefault="00427CAD" w:rsidP="00427CAD">
      <w:pPr>
        <w:spacing w:line="360" w:lineRule="auto"/>
        <w:rPr>
          <w:rStyle w:val="ts-alignment-element"/>
          <w:sz w:val="24"/>
          <w:szCs w:val="24"/>
          <w:lang w:val="pt-BR"/>
        </w:rPr>
      </w:pPr>
      <w:r w:rsidRPr="00CA2760">
        <w:rPr>
          <w:rFonts w:ascii="Times New Roman" w:hAnsi="Times New Roman" w:cs="Times New Roman"/>
          <w:sz w:val="24"/>
          <w:szCs w:val="24"/>
          <w:lang w:val="pt-BR"/>
        </w:rPr>
        <w:t xml:space="preserve">A capitalização do Resultado Líquido (ou seja, Lucro Líquido) e de Juros sobre o Capital Próprio (JCP) são as duas principais fontes deste incremento no patrimônio do FDU. </w:t>
      </w:r>
      <w:r>
        <w:rPr>
          <w:rFonts w:ascii="Times New Roman" w:hAnsi="Times New Roman" w:cs="Times New Roman"/>
          <w:sz w:val="24"/>
          <w:szCs w:val="24"/>
          <w:lang w:val="pt-BR"/>
        </w:rPr>
        <w:t xml:space="preserve"> O </w:t>
      </w:r>
      <w:r w:rsidRPr="00CA2760">
        <w:rPr>
          <w:rStyle w:val="ts-alignment-element"/>
          <w:rFonts w:ascii="Times New Roman" w:hAnsi="Times New Roman" w:cs="Times New Roman"/>
          <w:sz w:val="24"/>
          <w:szCs w:val="24"/>
          <w:lang w:val="pt-BR"/>
        </w:rPr>
        <w:t>JCP</w:t>
      </w:r>
      <w:r w:rsidRPr="00CA2760">
        <w:rPr>
          <w:rFonts w:ascii="Times New Roman" w:hAnsi="Times New Roman" w:cs="Times New Roman"/>
          <w:sz w:val="24"/>
          <w:szCs w:val="24"/>
          <w:lang w:val="pt-BR"/>
        </w:rPr>
        <w:t xml:space="preserve"> </w:t>
      </w:r>
      <w:r>
        <w:rPr>
          <w:rStyle w:val="ts-alignment-element"/>
          <w:rFonts w:ascii="Times New Roman" w:hAnsi="Times New Roman" w:cs="Times New Roman"/>
          <w:sz w:val="24"/>
          <w:szCs w:val="24"/>
          <w:lang w:val="pt-BR"/>
        </w:rPr>
        <w:t>são</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o</w:t>
      </w:r>
      <w:r>
        <w:rPr>
          <w:rStyle w:val="ts-alignment-element"/>
          <w:rFonts w:ascii="Times New Roman" w:hAnsi="Times New Roman" w:cs="Times New Roman"/>
          <w:sz w:val="24"/>
          <w:szCs w:val="24"/>
          <w:lang w:val="pt-BR"/>
        </w:rPr>
        <w:t>s</w:t>
      </w:r>
      <w:r w:rsidRPr="00CA2760">
        <w:rPr>
          <w:rFonts w:ascii="Times New Roman" w:hAnsi="Times New Roman" w:cs="Times New Roman"/>
          <w:sz w:val="24"/>
          <w:szCs w:val="24"/>
          <w:lang w:val="pt-BR"/>
        </w:rPr>
        <w:t xml:space="preserve"> juros </w:t>
      </w:r>
      <w:r w:rsidRPr="00CA2760">
        <w:rPr>
          <w:rStyle w:val="ts-alignment-element"/>
          <w:rFonts w:ascii="Times New Roman" w:hAnsi="Times New Roman" w:cs="Times New Roman"/>
          <w:sz w:val="24"/>
          <w:szCs w:val="24"/>
          <w:lang w:val="pt-BR"/>
        </w:rPr>
        <w:t>implícito</w:t>
      </w:r>
      <w:r>
        <w:rPr>
          <w:rStyle w:val="ts-alignment-element"/>
          <w:rFonts w:ascii="Times New Roman" w:hAnsi="Times New Roman" w:cs="Times New Roman"/>
          <w:sz w:val="24"/>
          <w:szCs w:val="24"/>
          <w:lang w:val="pt-BR"/>
        </w:rPr>
        <w:t>s</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 xml:space="preserve">sobre o </w:t>
      </w:r>
      <w:r>
        <w:rPr>
          <w:rStyle w:val="ts-alignment-element"/>
          <w:rFonts w:ascii="Times New Roman" w:hAnsi="Times New Roman" w:cs="Times New Roman"/>
          <w:sz w:val="24"/>
          <w:szCs w:val="24"/>
          <w:lang w:val="pt-BR"/>
        </w:rPr>
        <w:t>PL</w:t>
      </w:r>
      <w:r w:rsidRPr="00CA2760">
        <w:rPr>
          <w:rFonts w:ascii="Times New Roman" w:hAnsi="Times New Roman" w:cs="Times New Roman"/>
          <w:sz w:val="24"/>
          <w:szCs w:val="24"/>
          <w:lang w:val="pt-BR"/>
        </w:rPr>
        <w:t xml:space="preserve"> do FDU</w:t>
      </w:r>
      <w:r w:rsidRPr="00CA2760">
        <w:rPr>
          <w:rStyle w:val="ts-alignment-element"/>
          <w:rFonts w:ascii="Times New Roman" w:hAnsi="Times New Roman" w:cs="Times New Roman"/>
          <w:sz w:val="24"/>
          <w:szCs w:val="24"/>
          <w:lang w:val="pt-BR"/>
        </w:rPr>
        <w:t>.</w:t>
      </w:r>
      <w:r w:rsidRPr="00CA2760">
        <w:rPr>
          <w:rFonts w:ascii="Times New Roman" w:hAnsi="Times New Roman" w:cs="Times New Roman"/>
          <w:sz w:val="24"/>
          <w:szCs w:val="24"/>
          <w:lang w:val="pt-BR"/>
        </w:rPr>
        <w:t xml:space="preserve">  O direito do FDU de capitalizar sob o JCP ajudou a impulsionar o </w:t>
      </w:r>
      <w:r>
        <w:rPr>
          <w:rFonts w:ascii="Times New Roman" w:hAnsi="Times New Roman" w:cs="Times New Roman"/>
          <w:sz w:val="24"/>
          <w:szCs w:val="24"/>
          <w:lang w:val="pt-BR"/>
        </w:rPr>
        <w:t>PL</w:t>
      </w:r>
      <w:r w:rsidRPr="00CA2760">
        <w:rPr>
          <w:rFonts w:ascii="Times New Roman" w:hAnsi="Times New Roman" w:cs="Times New Roman"/>
          <w:sz w:val="24"/>
          <w:szCs w:val="24"/>
          <w:lang w:val="pt-BR"/>
        </w:rPr>
        <w:t xml:space="preserve"> em duas maneiras. Primeiramente, na forma de estimar seu rendimento tributável, onde o </w:t>
      </w:r>
      <w:r w:rsidRPr="005D7379">
        <w:rPr>
          <w:rFonts w:ascii="Times New Roman" w:hAnsi="Times New Roman" w:cs="Times New Roman"/>
          <w:sz w:val="24"/>
          <w:szCs w:val="24"/>
          <w:lang w:val="pt-BR"/>
        </w:rPr>
        <w:t xml:space="preserve">FDU </w:t>
      </w:r>
      <w:r w:rsidRPr="0084383C">
        <w:rPr>
          <w:rFonts w:ascii="Times New Roman" w:hAnsi="Times New Roman" w:cs="Times New Roman"/>
          <w:sz w:val="24"/>
          <w:szCs w:val="24"/>
          <w:lang w:val="pt-BR"/>
        </w:rPr>
        <w:t>pode deduzir a estimativa anual do JCP</w:t>
      </w:r>
      <w:r w:rsidRPr="005D7379">
        <w:rPr>
          <w:rFonts w:ascii="Times New Roman" w:hAnsi="Times New Roman" w:cs="Times New Roman"/>
          <w:sz w:val="24"/>
          <w:szCs w:val="24"/>
          <w:lang w:val="pt-BR"/>
        </w:rPr>
        <w:t xml:space="preserve"> de seu lucro, impulsionando desse modo seu resultado líquido.  Em segundo lugar, o FDU </w:t>
      </w:r>
      <w:r>
        <w:rPr>
          <w:rFonts w:ascii="Times New Roman" w:hAnsi="Times New Roman" w:cs="Times New Roman"/>
          <w:sz w:val="24"/>
          <w:szCs w:val="24"/>
          <w:lang w:val="pt-BR"/>
        </w:rPr>
        <w:t>adquiri</w:t>
      </w:r>
      <w:r w:rsidRPr="005D7379">
        <w:rPr>
          <w:rFonts w:ascii="Times New Roman" w:hAnsi="Times New Roman" w:cs="Times New Roman"/>
          <w:sz w:val="24"/>
          <w:szCs w:val="24"/>
          <w:lang w:val="pt-BR"/>
        </w:rPr>
        <w:t xml:space="preserve"> o direito </w:t>
      </w:r>
      <w:r w:rsidRPr="0084383C">
        <w:rPr>
          <w:rFonts w:ascii="Times New Roman" w:hAnsi="Times New Roman" w:cs="Times New Roman"/>
          <w:sz w:val="24"/>
          <w:szCs w:val="24"/>
          <w:lang w:val="pt-BR"/>
        </w:rPr>
        <w:t>legal de capitalizar o JCP</w:t>
      </w:r>
      <w:r w:rsidRPr="005D7379">
        <w:rPr>
          <w:rFonts w:ascii="Times New Roman" w:hAnsi="Times New Roman" w:cs="Times New Roman"/>
          <w:sz w:val="24"/>
          <w:szCs w:val="24"/>
          <w:lang w:val="pt-BR"/>
        </w:rPr>
        <w:t xml:space="preserve"> em seu </w:t>
      </w:r>
      <w:r>
        <w:rPr>
          <w:rFonts w:ascii="Times New Roman" w:hAnsi="Times New Roman" w:cs="Times New Roman"/>
          <w:sz w:val="24"/>
          <w:szCs w:val="24"/>
          <w:lang w:val="pt-BR"/>
        </w:rPr>
        <w:lastRenderedPageBreak/>
        <w:t>PL</w:t>
      </w:r>
      <w:r w:rsidRPr="005D7379">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Este</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aumento</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no</w:t>
      </w:r>
      <w:r>
        <w:rPr>
          <w:rStyle w:val="ts-alignment-element"/>
          <w:rFonts w:ascii="Times New Roman" w:hAnsi="Times New Roman" w:cs="Times New Roman"/>
          <w:sz w:val="24"/>
          <w:szCs w:val="24"/>
          <w:lang w:val="pt-BR"/>
        </w:rPr>
        <w:t xml:space="preserve"> PL </w:t>
      </w:r>
      <w:r w:rsidRPr="00CA2760">
        <w:rPr>
          <w:rStyle w:val="ts-alignment-element"/>
          <w:rFonts w:ascii="Times New Roman" w:hAnsi="Times New Roman" w:cs="Times New Roman"/>
          <w:sz w:val="24"/>
          <w:szCs w:val="24"/>
          <w:lang w:val="pt-BR"/>
        </w:rPr>
        <w:t>do FDU, bem como outras</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medidas</w:t>
      </w:r>
      <w:r w:rsidRPr="00CA2760">
        <w:rPr>
          <w:rFonts w:ascii="Times New Roman" w:hAnsi="Times New Roman" w:cs="Times New Roman"/>
          <w:sz w:val="24"/>
          <w:szCs w:val="24"/>
          <w:lang w:val="pt-BR"/>
        </w:rPr>
        <w:t xml:space="preserve"> de ajuste de gestão ajudaram </w:t>
      </w:r>
      <w:r w:rsidRPr="00CA2760">
        <w:rPr>
          <w:rStyle w:val="ts-alignment-element"/>
          <w:rFonts w:ascii="Times New Roman" w:hAnsi="Times New Roman" w:cs="Times New Roman"/>
          <w:sz w:val="24"/>
          <w:szCs w:val="24"/>
          <w:lang w:val="pt-BR"/>
        </w:rPr>
        <w:t>a</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aumentar</w:t>
      </w:r>
      <w:r w:rsidRPr="00CA2760">
        <w:rPr>
          <w:rFonts w:ascii="Times New Roman" w:hAnsi="Times New Roman" w:cs="Times New Roman"/>
          <w:sz w:val="24"/>
          <w:szCs w:val="24"/>
          <w:lang w:val="pt-BR"/>
        </w:rPr>
        <w:t xml:space="preserve"> o </w:t>
      </w:r>
      <w:r w:rsidRPr="00CA2760">
        <w:rPr>
          <w:rStyle w:val="ts-alignment-element"/>
          <w:rFonts w:ascii="Times New Roman" w:hAnsi="Times New Roman" w:cs="Times New Roman"/>
          <w:sz w:val="24"/>
          <w:szCs w:val="24"/>
          <w:lang w:val="pt-BR"/>
        </w:rPr>
        <w:t>total</w:t>
      </w:r>
      <w:r w:rsidRPr="00CA2760">
        <w:rPr>
          <w:rFonts w:ascii="Times New Roman" w:hAnsi="Times New Roman" w:cs="Times New Roman"/>
          <w:sz w:val="24"/>
          <w:szCs w:val="24"/>
          <w:lang w:val="pt-BR"/>
        </w:rPr>
        <w:t xml:space="preserve"> de </w:t>
      </w:r>
      <w:r w:rsidRPr="00CA2760">
        <w:rPr>
          <w:rStyle w:val="ts-alignment-element"/>
          <w:rFonts w:ascii="Times New Roman" w:hAnsi="Times New Roman" w:cs="Times New Roman"/>
          <w:sz w:val="24"/>
          <w:szCs w:val="24"/>
          <w:lang w:val="pt-BR"/>
        </w:rPr>
        <w:t>financiamentos concedidos</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aos</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 xml:space="preserve">municípios </w:t>
      </w:r>
      <w:r w:rsidRPr="00CA2760">
        <w:rPr>
          <w:rFonts w:ascii="Times New Roman" w:hAnsi="Times New Roman" w:cs="Times New Roman"/>
          <w:sz w:val="24"/>
          <w:szCs w:val="24"/>
          <w:lang w:val="pt-BR"/>
        </w:rPr>
        <w:t>em 14,6%</w:t>
      </w:r>
      <w:r w:rsidRPr="00CA2760">
        <w:rPr>
          <w:rStyle w:val="ts-alignment-element"/>
          <w:rFonts w:ascii="Times New Roman" w:hAnsi="Times New Roman" w:cs="Times New Roman"/>
          <w:sz w:val="24"/>
          <w:szCs w:val="24"/>
          <w:lang w:val="pt-BR"/>
        </w:rPr>
        <w:t>,</w:t>
      </w:r>
      <w:r w:rsidRPr="00CA2760">
        <w:rPr>
          <w:rFonts w:ascii="Times New Roman" w:hAnsi="Times New Roman" w:cs="Times New Roman"/>
          <w:sz w:val="24"/>
          <w:szCs w:val="24"/>
          <w:lang w:val="pt-BR"/>
        </w:rPr>
        <w:t xml:space="preserve"> em termos reais, </w:t>
      </w:r>
      <w:r w:rsidRPr="00CA2760">
        <w:rPr>
          <w:rStyle w:val="ts-alignment-element"/>
          <w:rFonts w:ascii="Times New Roman" w:hAnsi="Times New Roman" w:cs="Times New Roman"/>
          <w:sz w:val="24"/>
          <w:szCs w:val="24"/>
          <w:lang w:val="pt-BR"/>
        </w:rPr>
        <w:t>no período entre</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2013/2017</w:t>
      </w:r>
      <w:r w:rsidRPr="00CA2760">
        <w:rPr>
          <w:rFonts w:ascii="Times New Roman" w:hAnsi="Times New Roman" w:cs="Times New Roman"/>
          <w:sz w:val="24"/>
          <w:szCs w:val="24"/>
          <w:lang w:val="pt-BR"/>
        </w:rPr>
        <w:t>.</w:t>
      </w:r>
      <w:r>
        <w:rPr>
          <w:rFonts w:ascii="Times New Roman" w:hAnsi="Times New Roman" w:cs="Times New Roman"/>
          <w:sz w:val="24"/>
          <w:szCs w:val="24"/>
          <w:lang w:val="pt-BR"/>
        </w:rPr>
        <w:t xml:space="preserve">  </w:t>
      </w:r>
    </w:p>
    <w:p w14:paraId="76297AAF" w14:textId="77777777" w:rsidR="00427CAD" w:rsidRPr="00B93491" w:rsidRDefault="00427CAD" w:rsidP="00427CAD">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A</w:t>
      </w:r>
      <w:r w:rsidRPr="00B93491">
        <w:rPr>
          <w:rFonts w:ascii="Times New Roman" w:hAnsi="Times New Roman" w:cs="Times New Roman"/>
          <w:sz w:val="24"/>
          <w:szCs w:val="24"/>
          <w:lang w:val="pt-BR"/>
        </w:rPr>
        <w:t xml:space="preserve"> Lei de Responsabilidade Fiscal e os novos regulamentos do </w:t>
      </w:r>
      <w:r>
        <w:rPr>
          <w:rFonts w:ascii="Times New Roman" w:hAnsi="Times New Roman" w:cs="Times New Roman"/>
          <w:sz w:val="24"/>
          <w:szCs w:val="24"/>
          <w:lang w:val="pt-BR"/>
        </w:rPr>
        <w:t>SFN</w:t>
      </w:r>
      <w:r w:rsidRPr="00B93491">
        <w:rPr>
          <w:rFonts w:ascii="Times New Roman" w:hAnsi="Times New Roman" w:cs="Times New Roman"/>
          <w:sz w:val="24"/>
          <w:szCs w:val="24"/>
          <w:lang w:val="pt-BR"/>
        </w:rPr>
        <w:t xml:space="preserve"> limitaram extremamente a habilidade do FDU em alavancar seu </w:t>
      </w:r>
      <w:r>
        <w:rPr>
          <w:rFonts w:ascii="Times New Roman" w:hAnsi="Times New Roman" w:cs="Times New Roman"/>
          <w:sz w:val="24"/>
          <w:szCs w:val="24"/>
          <w:lang w:val="pt-BR"/>
        </w:rPr>
        <w:t>PL</w:t>
      </w:r>
      <w:r w:rsidRPr="00B93491">
        <w:rPr>
          <w:rFonts w:ascii="Times New Roman" w:hAnsi="Times New Roman" w:cs="Times New Roman"/>
          <w:sz w:val="24"/>
          <w:szCs w:val="24"/>
          <w:lang w:val="pt-BR"/>
        </w:rPr>
        <w:t>. Como resultado, a razão entre o total de ativos do FDU/</w:t>
      </w:r>
      <w:r>
        <w:rPr>
          <w:rFonts w:ascii="Times New Roman" w:hAnsi="Times New Roman" w:cs="Times New Roman"/>
          <w:sz w:val="24"/>
          <w:szCs w:val="24"/>
          <w:lang w:val="pt-BR"/>
        </w:rPr>
        <w:t>PL</w:t>
      </w:r>
      <w:r w:rsidRPr="00B93491">
        <w:rPr>
          <w:rFonts w:ascii="Times New Roman" w:hAnsi="Times New Roman" w:cs="Times New Roman"/>
          <w:sz w:val="24"/>
          <w:szCs w:val="24"/>
          <w:lang w:val="pt-BR"/>
        </w:rPr>
        <w:t xml:space="preserve"> foi de pouco mais de 1,0 versus uma mediana de cerca de 6,0 para os bancos brasileiros. </w:t>
      </w:r>
    </w:p>
    <w:p w14:paraId="305485EF" w14:textId="77777777" w:rsidR="00427CAD" w:rsidRPr="00B93491" w:rsidRDefault="00427CAD" w:rsidP="00427CAD">
      <w:pPr>
        <w:shd w:val="clear" w:color="auto" w:fill="FFFFFF"/>
        <w:spacing w:line="360" w:lineRule="auto"/>
        <w:rPr>
          <w:rFonts w:ascii="Times New Roman" w:hAnsi="Times New Roman" w:cs="Times New Roman"/>
          <w:sz w:val="24"/>
          <w:szCs w:val="24"/>
          <w:lang w:val="pt-BR"/>
        </w:rPr>
      </w:pPr>
      <w:r w:rsidRPr="00B93491">
        <w:rPr>
          <w:rFonts w:ascii="Times New Roman" w:hAnsi="Times New Roman" w:cs="Times New Roman"/>
          <w:sz w:val="24"/>
          <w:szCs w:val="24"/>
          <w:lang w:val="pt-BR"/>
        </w:rPr>
        <w:t xml:space="preserve">Os regulamentos exigem que o FDU forneça uma carteira de reserva de ativos de baixo risco (por exemplo, títulos do governo nacional) para todos os seus empréstimos municipais, independentemente da sua qualidade de crédito. Assim sendo, com a venda de seus ativos de baixo risco, o FDU poderia cobrir totalmente cerca de 70% da inadimplência total em seus empréstimos municipais. </w:t>
      </w:r>
    </w:p>
    <w:p w14:paraId="35A2ED21" w14:textId="5A41A223" w:rsidR="00427CAD" w:rsidRPr="00B93491" w:rsidRDefault="00427CAD" w:rsidP="00427CAD">
      <w:pPr>
        <w:shd w:val="clear" w:color="auto" w:fill="FFFFFF"/>
        <w:spacing w:line="360" w:lineRule="auto"/>
        <w:rPr>
          <w:rStyle w:val="ts-alignment-element"/>
          <w:rFonts w:ascii="Times New Roman" w:hAnsi="Times New Roman" w:cs="Times New Roman"/>
          <w:sz w:val="24"/>
          <w:szCs w:val="24"/>
          <w:lang w:val="pt-BR"/>
        </w:rPr>
      </w:pPr>
      <w:r w:rsidRPr="00B93491">
        <w:rPr>
          <w:rFonts w:ascii="Times New Roman" w:hAnsi="Times New Roman" w:cs="Times New Roman"/>
          <w:sz w:val="24"/>
          <w:szCs w:val="24"/>
          <w:lang w:val="pt-BR"/>
        </w:rPr>
        <w:t xml:space="preserve">Esta reserva é exigida mesmo que o risco de crédito de empréstimos municipais seja virtualmente zero, já que o SFM tem um mecanismo de garantia muito forte no qual os municípios comprometem suas transferências estaduais com base no imposto sobre o valor agregado ou no </w:t>
      </w:r>
      <w:r w:rsidRPr="008C1F8A">
        <w:rPr>
          <w:rFonts w:ascii="Times New Roman" w:hAnsi="Times New Roman" w:cs="Times New Roman"/>
          <w:sz w:val="24"/>
          <w:szCs w:val="24"/>
          <w:lang w:val="pt-BR"/>
        </w:rPr>
        <w:t xml:space="preserve">Fundo de Participação dos </w:t>
      </w:r>
      <w:r w:rsidRPr="008C1F8A">
        <w:rPr>
          <w:rStyle w:val="ts-alignment-element"/>
          <w:rFonts w:ascii="Times New Roman" w:hAnsi="Times New Roman" w:cs="Times New Roman"/>
          <w:sz w:val="24"/>
          <w:szCs w:val="24"/>
          <w:lang w:val="pt-BR"/>
        </w:rPr>
        <w:t>Municípios</w:t>
      </w:r>
      <w:r w:rsidRPr="008C1F8A">
        <w:rPr>
          <w:rFonts w:ascii="Times New Roman" w:hAnsi="Times New Roman" w:cs="Times New Roman"/>
          <w:sz w:val="24"/>
          <w:szCs w:val="24"/>
          <w:lang w:val="pt-BR"/>
        </w:rPr>
        <w:t xml:space="preserve"> </w:t>
      </w:r>
      <w:r w:rsidRPr="008C1F8A">
        <w:rPr>
          <w:rStyle w:val="ts-alignment-element"/>
          <w:rFonts w:ascii="Times New Roman" w:hAnsi="Times New Roman" w:cs="Times New Roman"/>
          <w:sz w:val="24"/>
          <w:szCs w:val="24"/>
          <w:lang w:val="pt-BR"/>
        </w:rPr>
        <w:t>(FPM)</w:t>
      </w:r>
      <w:r w:rsidRPr="008C1F8A">
        <w:rPr>
          <w:rFonts w:ascii="Times New Roman" w:hAnsi="Times New Roman" w:cs="Times New Roman"/>
          <w:sz w:val="24"/>
          <w:szCs w:val="24"/>
          <w:lang w:val="pt-BR"/>
        </w:rPr>
        <w:t>.</w:t>
      </w:r>
      <w:r w:rsidRPr="00B93491">
        <w:rPr>
          <w:rFonts w:ascii="Times New Roman" w:hAnsi="Times New Roman" w:cs="Times New Roman"/>
          <w:sz w:val="24"/>
          <w:szCs w:val="24"/>
          <w:lang w:val="pt-BR"/>
        </w:rPr>
        <w:t xml:space="preserve">  Ou seja, os contratos de empréstimo dos municípios cedem </w:t>
      </w:r>
      <w:r w:rsidRPr="00B93491">
        <w:rPr>
          <w:rStyle w:val="ts-alignment-element"/>
          <w:rFonts w:ascii="Times New Roman" w:hAnsi="Times New Roman" w:cs="Times New Roman"/>
          <w:sz w:val="24"/>
          <w:szCs w:val="24"/>
          <w:lang w:val="pt-BR"/>
        </w:rPr>
        <w:t>o direito de deduzir o valor do pagamento do empréstimo da transferência estadual para os municípios</w:t>
      </w:r>
      <w:r>
        <w:rPr>
          <w:rStyle w:val="ts-alignment-element"/>
          <w:rFonts w:ascii="Times New Roman" w:hAnsi="Times New Roman" w:cs="Times New Roman"/>
          <w:sz w:val="24"/>
          <w:szCs w:val="24"/>
          <w:lang w:val="pt-BR"/>
        </w:rPr>
        <w:t>.</w:t>
      </w:r>
    </w:p>
    <w:p w14:paraId="466FD385" w14:textId="77777777" w:rsidR="00427CAD" w:rsidRPr="00B93491" w:rsidRDefault="00427CAD" w:rsidP="00427CAD">
      <w:pPr>
        <w:shd w:val="clear" w:color="auto" w:fill="FFFFFF"/>
        <w:spacing w:line="360" w:lineRule="auto"/>
        <w:rPr>
          <w:rFonts w:ascii="Times New Roman" w:eastAsia="Times New Roman" w:hAnsi="Times New Roman" w:cs="Times New Roman"/>
          <w:sz w:val="24"/>
          <w:szCs w:val="24"/>
          <w:lang w:val="pt-BR" w:eastAsia="pt-BR"/>
        </w:rPr>
      </w:pPr>
      <w:r w:rsidRPr="00B93491">
        <w:rPr>
          <w:rFonts w:ascii="Times New Roman" w:eastAsia="Times New Roman" w:hAnsi="Times New Roman" w:cs="Times New Roman"/>
          <w:sz w:val="24"/>
          <w:szCs w:val="24"/>
          <w:lang w:val="pt-BR" w:eastAsia="pt-BR"/>
        </w:rPr>
        <w:t xml:space="preserve">Além disso, </w:t>
      </w:r>
      <w:r>
        <w:rPr>
          <w:rFonts w:ascii="Times New Roman" w:eastAsia="Times New Roman" w:hAnsi="Times New Roman" w:cs="Times New Roman"/>
          <w:sz w:val="24"/>
          <w:szCs w:val="24"/>
          <w:lang w:val="pt-BR" w:eastAsia="pt-BR"/>
        </w:rPr>
        <w:t>a STN</w:t>
      </w:r>
      <w:r w:rsidRPr="00B93491">
        <w:rPr>
          <w:rFonts w:ascii="Times New Roman" w:eastAsia="Times New Roman" w:hAnsi="Times New Roman" w:cs="Times New Roman"/>
          <w:sz w:val="24"/>
          <w:szCs w:val="24"/>
          <w:lang w:val="pt-BR" w:eastAsia="pt-BR"/>
        </w:rPr>
        <w:t xml:space="preserve"> faz uma revisão muito detalhada e rigorosa de cada novo pedido de empréstimo municipal. Como medida adicional, os regulamentos do Banco Central requerem que a Fomento Paraná faça uma provisão para os empréstimos municipais que, a qualquer momento durante o período do empréstimo, fiquem abaixo das classificações de crédito estabelecidas. Não obstante, como se esperaria dada a baixa taxa de inadimplência, o provisionamento para empréstimos do FDU é bastante </w:t>
      </w:r>
      <w:r>
        <w:rPr>
          <w:rFonts w:ascii="Times New Roman" w:eastAsia="Times New Roman" w:hAnsi="Times New Roman" w:cs="Times New Roman"/>
          <w:sz w:val="24"/>
          <w:szCs w:val="24"/>
          <w:lang w:val="pt-BR" w:eastAsia="pt-BR"/>
        </w:rPr>
        <w:t>reduzido</w:t>
      </w:r>
      <w:r w:rsidRPr="00B93491">
        <w:rPr>
          <w:rFonts w:ascii="Times New Roman" w:eastAsia="Times New Roman" w:hAnsi="Times New Roman" w:cs="Times New Roman"/>
          <w:sz w:val="24"/>
          <w:szCs w:val="24"/>
          <w:lang w:val="pt-BR" w:eastAsia="pt-BR"/>
        </w:rPr>
        <w:t xml:space="preserve">, menos de 1,0% do total financiamentos concedidos aos municípios. Entretanto, esta disposição reduz o rendimento tributável. </w:t>
      </w:r>
      <w:r>
        <w:rPr>
          <w:rFonts w:ascii="Times New Roman" w:eastAsia="Times New Roman" w:hAnsi="Times New Roman" w:cs="Times New Roman"/>
          <w:sz w:val="24"/>
          <w:szCs w:val="24"/>
          <w:lang w:val="pt-BR" w:eastAsia="pt-BR"/>
        </w:rPr>
        <w:t xml:space="preserve"> </w:t>
      </w:r>
      <w:bookmarkStart w:id="3" w:name="_Hlk513354754"/>
      <w:r>
        <w:rPr>
          <w:rFonts w:ascii="Times New Roman" w:eastAsia="Times New Roman" w:hAnsi="Times New Roman" w:cs="Times New Roman"/>
          <w:sz w:val="24"/>
          <w:szCs w:val="24"/>
          <w:lang w:val="pt-BR" w:eastAsia="pt-BR"/>
        </w:rPr>
        <w:t xml:space="preserve">Na tabela I, </w:t>
      </w:r>
      <w:bookmarkStart w:id="4" w:name="_Hlk513354403"/>
      <w:r>
        <w:rPr>
          <w:rFonts w:ascii="Times New Roman" w:eastAsia="Times New Roman" w:hAnsi="Times New Roman" w:cs="Times New Roman"/>
          <w:sz w:val="24"/>
          <w:szCs w:val="24"/>
          <w:lang w:val="pt-BR" w:eastAsia="pt-BR"/>
        </w:rPr>
        <w:t>e</w:t>
      </w:r>
      <w:r w:rsidRPr="00543F02">
        <w:rPr>
          <w:rStyle w:val="ts-alignment-element"/>
          <w:rFonts w:ascii="Times New Roman" w:hAnsi="Times New Roman" w:cs="Times New Roman"/>
          <w:sz w:val="24"/>
          <w:szCs w:val="24"/>
          <w:lang w:val="pt-BR"/>
        </w:rPr>
        <w:t xml:space="preserve">mbora ainda </w:t>
      </w:r>
      <w:r>
        <w:rPr>
          <w:rStyle w:val="ts-alignment-element"/>
          <w:rFonts w:ascii="Times New Roman" w:hAnsi="Times New Roman" w:cs="Times New Roman"/>
          <w:sz w:val="24"/>
          <w:szCs w:val="24"/>
          <w:lang w:val="pt-BR"/>
        </w:rPr>
        <w:t xml:space="preserve">com valor </w:t>
      </w:r>
      <w:r w:rsidRPr="00543F02">
        <w:rPr>
          <w:rStyle w:val="ts-alignment-element"/>
          <w:rFonts w:ascii="Times New Roman" w:hAnsi="Times New Roman" w:cs="Times New Roman"/>
          <w:sz w:val="24"/>
          <w:szCs w:val="24"/>
          <w:lang w:val="pt-BR"/>
        </w:rPr>
        <w:t>bastante baixo</w:t>
      </w:r>
      <w:r>
        <w:rPr>
          <w:rStyle w:val="ts-alignment-element"/>
          <w:rFonts w:ascii="Times New Roman" w:hAnsi="Times New Roman" w:cs="Times New Roman"/>
          <w:sz w:val="24"/>
          <w:szCs w:val="24"/>
          <w:lang w:val="pt-BR"/>
        </w:rPr>
        <w:t>, o</w:t>
      </w:r>
      <w:r w:rsidRPr="00543F02">
        <w:rPr>
          <w:rStyle w:val="ts-alignment-element"/>
          <w:rFonts w:ascii="Times New Roman" w:hAnsi="Times New Roman" w:cs="Times New Roman"/>
          <w:sz w:val="24"/>
          <w:szCs w:val="24"/>
          <w:lang w:val="pt-BR"/>
        </w:rPr>
        <w:t xml:space="preserve"> total do passivo circulante aumentou rapidamente durante o período, principalmente devido ao provisionamento.</w:t>
      </w:r>
      <w:bookmarkEnd w:id="4"/>
    </w:p>
    <w:bookmarkEnd w:id="3"/>
    <w:p w14:paraId="4B126890" w14:textId="77777777" w:rsidR="00427CAD" w:rsidRPr="00CA2760" w:rsidRDefault="00427CAD" w:rsidP="00427CAD">
      <w:pPr>
        <w:shd w:val="clear" w:color="auto" w:fill="FFFFFF"/>
        <w:spacing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t>Em resumo, se o FDU fosse um banco, seria entre os mais conservadores imagináveis. Atribui-se que todos esses controles foram criados para evitar o ressurgimento dos bancos estaduais e os enormes resgates necessários para fechá-los na década de 1990.</w:t>
      </w:r>
    </w:p>
    <w:p w14:paraId="1C422E96" w14:textId="77777777" w:rsidR="00427CAD" w:rsidRPr="00695893" w:rsidRDefault="00427CAD" w:rsidP="00427CAD">
      <w:pPr>
        <w:shd w:val="clear" w:color="auto" w:fill="FFFFFF"/>
        <w:spacing w:line="360" w:lineRule="auto"/>
        <w:rPr>
          <w:rFonts w:ascii="Times New Roman" w:eastAsia="Times New Roman" w:hAnsi="Times New Roman" w:cs="Times New Roman"/>
          <w:b/>
          <w:sz w:val="24"/>
          <w:szCs w:val="24"/>
          <w:lang w:val="pt-BR" w:eastAsia="pt-BR"/>
        </w:rPr>
      </w:pPr>
      <w:r w:rsidRPr="00695893">
        <w:rPr>
          <w:rFonts w:ascii="Times New Roman" w:eastAsia="Times New Roman" w:hAnsi="Times New Roman" w:cs="Times New Roman"/>
          <w:b/>
          <w:sz w:val="24"/>
          <w:szCs w:val="24"/>
          <w:lang w:val="pt-BR" w:eastAsia="pt-BR"/>
        </w:rPr>
        <w:lastRenderedPageBreak/>
        <w:t>Os resultados do FDU: 2013/ 2017</w:t>
      </w:r>
    </w:p>
    <w:p w14:paraId="3201F4E7" w14:textId="77777777" w:rsidR="00427CAD" w:rsidRPr="00695893" w:rsidRDefault="00427CAD" w:rsidP="00427CAD">
      <w:pPr>
        <w:shd w:val="clear" w:color="auto" w:fill="FFFFFF"/>
        <w:spacing w:line="360" w:lineRule="auto"/>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O</w:t>
      </w:r>
      <w:r w:rsidRPr="00695893">
        <w:rPr>
          <w:rFonts w:ascii="Times New Roman" w:eastAsia="Times New Roman" w:hAnsi="Times New Roman" w:cs="Times New Roman"/>
          <w:sz w:val="24"/>
          <w:szCs w:val="24"/>
          <w:lang w:val="pt-BR" w:eastAsia="pt-BR"/>
        </w:rPr>
        <w:t xml:space="preserve">s resultados do FDU para o período de 2013/2017 </w:t>
      </w:r>
      <w:r>
        <w:rPr>
          <w:rFonts w:ascii="Times New Roman" w:eastAsia="Times New Roman" w:hAnsi="Times New Roman" w:cs="Times New Roman"/>
          <w:sz w:val="24"/>
          <w:szCs w:val="24"/>
          <w:lang w:val="pt-BR" w:eastAsia="pt-BR"/>
        </w:rPr>
        <w:t>mostram que</w:t>
      </w:r>
      <w:r w:rsidRPr="00695893">
        <w:rPr>
          <w:rFonts w:ascii="Times New Roman" w:eastAsia="Times New Roman" w:hAnsi="Times New Roman" w:cs="Times New Roman"/>
          <w:sz w:val="24"/>
          <w:szCs w:val="24"/>
          <w:lang w:val="pt-BR" w:eastAsia="pt-BR"/>
        </w:rPr>
        <w:t xml:space="preserve"> as receitas dos empréstimos municipais aumentaram em R$10,1 milhões (12,1%) em valores constantes de 2017, enquanto que </w:t>
      </w:r>
      <w:r>
        <w:rPr>
          <w:rFonts w:ascii="Times New Roman" w:eastAsia="Times New Roman" w:hAnsi="Times New Roman" w:cs="Times New Roman"/>
          <w:sz w:val="24"/>
          <w:szCs w:val="24"/>
          <w:lang w:val="pt-BR" w:eastAsia="pt-BR"/>
        </w:rPr>
        <w:t>as</w:t>
      </w:r>
      <w:r w:rsidRPr="00695893">
        <w:rPr>
          <w:rFonts w:ascii="Times New Roman" w:eastAsia="Times New Roman" w:hAnsi="Times New Roman" w:cs="Times New Roman"/>
          <w:sz w:val="24"/>
          <w:szCs w:val="24"/>
          <w:lang w:val="pt-BR" w:eastAsia="pt-BR"/>
        </w:rPr>
        <w:t xml:space="preserve"> aplicações financeiras diminuíram ligeiramente devido à queda de ativos e das taxas de juros.</w:t>
      </w:r>
    </w:p>
    <w:p w14:paraId="101D158B" w14:textId="202A5861" w:rsidR="00427CAD" w:rsidRPr="00CA2760" w:rsidRDefault="00427CAD" w:rsidP="00427CAD">
      <w:pPr>
        <w:shd w:val="clear" w:color="auto" w:fill="FFFFFF"/>
        <w:spacing w:line="360" w:lineRule="auto"/>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 xml:space="preserve">A taxa real de aumento do </w:t>
      </w:r>
      <w:r w:rsidRPr="00CA2760">
        <w:rPr>
          <w:rFonts w:ascii="Times New Roman" w:eastAsia="Times New Roman" w:hAnsi="Times New Roman" w:cs="Times New Roman"/>
          <w:sz w:val="24"/>
          <w:szCs w:val="24"/>
          <w:lang w:val="pt-BR" w:eastAsia="pt-BR"/>
        </w:rPr>
        <w:t xml:space="preserve">total de despesas </w:t>
      </w:r>
      <w:r>
        <w:rPr>
          <w:rFonts w:ascii="Times New Roman" w:eastAsia="Times New Roman" w:hAnsi="Times New Roman" w:cs="Times New Roman"/>
          <w:sz w:val="24"/>
          <w:szCs w:val="24"/>
          <w:lang w:val="pt-BR" w:eastAsia="pt-BR"/>
        </w:rPr>
        <w:t>foi de</w:t>
      </w:r>
      <w:r w:rsidRPr="00CA2760">
        <w:rPr>
          <w:rFonts w:ascii="Times New Roman" w:eastAsia="Times New Roman" w:hAnsi="Times New Roman" w:cs="Times New Roman"/>
          <w:sz w:val="24"/>
          <w:szCs w:val="24"/>
          <w:lang w:val="pt-BR" w:eastAsia="pt-BR"/>
        </w:rPr>
        <w:t xml:space="preserve"> 12,1% </w:t>
      </w:r>
      <w:r>
        <w:rPr>
          <w:rFonts w:ascii="Times New Roman" w:eastAsia="Times New Roman" w:hAnsi="Times New Roman" w:cs="Times New Roman"/>
          <w:sz w:val="24"/>
          <w:szCs w:val="24"/>
          <w:lang w:val="pt-BR" w:eastAsia="pt-BR"/>
        </w:rPr>
        <w:t xml:space="preserve">durante este período (uma taxa real anual de </w:t>
      </w:r>
      <w:r w:rsidRPr="00D43DE3">
        <w:rPr>
          <w:rFonts w:ascii="Times New Roman" w:eastAsia="Times New Roman" w:hAnsi="Times New Roman" w:cs="Times New Roman"/>
          <w:sz w:val="24"/>
          <w:szCs w:val="24"/>
          <w:lang w:val="pt-BR" w:eastAsia="pt-BR"/>
        </w:rPr>
        <w:t>2,9%)</w:t>
      </w:r>
      <w:r>
        <w:rPr>
          <w:rFonts w:ascii="Times New Roman" w:eastAsia="Times New Roman" w:hAnsi="Times New Roman" w:cs="Times New Roman"/>
          <w:sz w:val="24"/>
          <w:szCs w:val="24"/>
          <w:lang w:val="pt-BR" w:eastAsia="pt-BR"/>
        </w:rPr>
        <w:t xml:space="preserve">.  Para cobrir seus custos, o </w:t>
      </w:r>
      <w:r w:rsidRPr="00D35056">
        <w:rPr>
          <w:rFonts w:ascii="Times New Roman" w:eastAsia="Times New Roman" w:hAnsi="Times New Roman" w:cs="Times New Roman"/>
          <w:sz w:val="24"/>
          <w:szCs w:val="24"/>
          <w:lang w:val="pt-BR" w:eastAsia="pt-BR"/>
        </w:rPr>
        <w:t xml:space="preserve">Paranacidade recebe 8% e </w:t>
      </w:r>
      <w:r w:rsidR="00EF6B93">
        <w:rPr>
          <w:rFonts w:ascii="Times New Roman" w:eastAsia="Times New Roman" w:hAnsi="Times New Roman" w:cs="Times New Roman"/>
          <w:sz w:val="24"/>
          <w:szCs w:val="24"/>
          <w:lang w:val="pt-BR" w:eastAsia="pt-BR"/>
        </w:rPr>
        <w:t xml:space="preserve">a </w:t>
      </w:r>
      <w:r w:rsidRPr="00D35056">
        <w:rPr>
          <w:rFonts w:ascii="Times New Roman" w:eastAsia="Times New Roman" w:hAnsi="Times New Roman" w:cs="Times New Roman"/>
          <w:sz w:val="24"/>
          <w:szCs w:val="24"/>
          <w:lang w:val="pt-BR" w:eastAsia="pt-BR"/>
        </w:rPr>
        <w:t xml:space="preserve">Fomento Paraná 1% sobre os valores liberados </w:t>
      </w:r>
      <w:r>
        <w:rPr>
          <w:rFonts w:ascii="Times New Roman" w:eastAsia="Times New Roman" w:hAnsi="Times New Roman" w:cs="Times New Roman"/>
          <w:sz w:val="24"/>
          <w:szCs w:val="24"/>
          <w:lang w:val="pt-BR" w:eastAsia="pt-BR"/>
        </w:rPr>
        <w:t xml:space="preserve">dos empréstimos </w:t>
      </w:r>
      <w:r w:rsidRPr="00D35056">
        <w:rPr>
          <w:rFonts w:ascii="Times New Roman" w:eastAsia="Times New Roman" w:hAnsi="Times New Roman" w:cs="Times New Roman"/>
          <w:sz w:val="24"/>
          <w:szCs w:val="24"/>
          <w:lang w:val="pt-BR" w:eastAsia="pt-BR"/>
        </w:rPr>
        <w:t>aos municípios</w:t>
      </w:r>
      <w:r>
        <w:rPr>
          <w:rFonts w:ascii="Times New Roman" w:eastAsia="Times New Roman" w:hAnsi="Times New Roman" w:cs="Times New Roman"/>
          <w:sz w:val="24"/>
          <w:szCs w:val="24"/>
          <w:lang w:val="pt-BR" w:eastAsia="pt-BR"/>
        </w:rPr>
        <w:t>.  Uma vantagem deste sistema é que i</w:t>
      </w:r>
      <w:r w:rsidRPr="00CA2760">
        <w:rPr>
          <w:rFonts w:ascii="Times New Roman" w:eastAsia="Times New Roman" w:hAnsi="Times New Roman" w:cs="Times New Roman"/>
          <w:sz w:val="24"/>
          <w:szCs w:val="24"/>
          <w:lang w:val="pt-BR" w:eastAsia="pt-BR"/>
        </w:rPr>
        <w:t>sso proporcionaria um incentivo para processar os empréstimos de forma eficaz, bem como proporcionar um limite para essas despesas</w:t>
      </w:r>
      <w:r>
        <w:rPr>
          <w:rFonts w:ascii="Times New Roman" w:eastAsia="Times New Roman" w:hAnsi="Times New Roman" w:cs="Times New Roman"/>
          <w:sz w:val="24"/>
          <w:szCs w:val="24"/>
          <w:lang w:val="pt-BR" w:eastAsia="pt-BR"/>
        </w:rPr>
        <w:t>,</w:t>
      </w:r>
      <w:r w:rsidRPr="00CA2760">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 xml:space="preserve">que ficam assim, </w:t>
      </w:r>
      <w:r w:rsidRPr="00CA2760">
        <w:rPr>
          <w:rFonts w:ascii="Times New Roman" w:eastAsia="Times New Roman" w:hAnsi="Times New Roman" w:cs="Times New Roman"/>
          <w:sz w:val="24"/>
          <w:szCs w:val="24"/>
          <w:lang w:val="pt-BR" w:eastAsia="pt-BR"/>
        </w:rPr>
        <w:t>atreladas ao nível da atividade de empréstimos</w:t>
      </w:r>
      <w:r>
        <w:rPr>
          <w:rFonts w:ascii="Times New Roman" w:eastAsia="Times New Roman" w:hAnsi="Times New Roman" w:cs="Times New Roman"/>
          <w:sz w:val="24"/>
          <w:szCs w:val="24"/>
          <w:lang w:val="pt-BR" w:eastAsia="pt-BR"/>
        </w:rPr>
        <w:t xml:space="preserve">.  </w:t>
      </w:r>
      <w:r w:rsidRPr="00D43DE3">
        <w:rPr>
          <w:rFonts w:ascii="Times New Roman" w:eastAsia="Times New Roman" w:hAnsi="Times New Roman" w:cs="Times New Roman"/>
          <w:sz w:val="24"/>
          <w:szCs w:val="24"/>
          <w:lang w:val="pt-BR" w:eastAsia="pt-BR"/>
        </w:rPr>
        <w:t xml:space="preserve">Uma desvantagem </w:t>
      </w:r>
      <w:r>
        <w:rPr>
          <w:rFonts w:ascii="Times New Roman" w:eastAsia="Times New Roman" w:hAnsi="Times New Roman" w:cs="Times New Roman"/>
          <w:sz w:val="24"/>
          <w:szCs w:val="24"/>
          <w:lang w:val="pt-BR" w:eastAsia="pt-BR"/>
        </w:rPr>
        <w:t>da utilização de</w:t>
      </w:r>
      <w:r w:rsidRPr="00D43DE3">
        <w:rPr>
          <w:rFonts w:ascii="Times New Roman" w:eastAsia="Times New Roman" w:hAnsi="Times New Roman" w:cs="Times New Roman"/>
          <w:sz w:val="24"/>
          <w:szCs w:val="24"/>
          <w:lang w:val="pt-BR" w:eastAsia="pt-BR"/>
        </w:rPr>
        <w:t xml:space="preserve"> porcentagem fixa é, obviamente, que não há incentivo para reduzir os gastos</w:t>
      </w:r>
      <w:r>
        <w:rPr>
          <w:rFonts w:ascii="Times New Roman" w:eastAsia="Times New Roman" w:hAnsi="Times New Roman" w:cs="Times New Roman"/>
          <w:sz w:val="24"/>
          <w:szCs w:val="24"/>
          <w:lang w:val="pt-BR" w:eastAsia="pt-BR"/>
        </w:rPr>
        <w:t xml:space="preserve"> ou aumentar o desempenho via</w:t>
      </w:r>
      <w:r w:rsidRPr="002E3B7E">
        <w:rPr>
          <w:rFonts w:ascii="Times New Roman" w:eastAsia="Times New Roman" w:hAnsi="Times New Roman" w:cs="Times New Roman"/>
          <w:sz w:val="24"/>
          <w:szCs w:val="24"/>
          <w:lang w:val="pt-BR" w:eastAsia="pt-BR"/>
        </w:rPr>
        <w:t xml:space="preserve"> melhorias na eficiência</w:t>
      </w:r>
      <w:r>
        <w:rPr>
          <w:rFonts w:ascii="Times New Roman" w:eastAsia="Times New Roman" w:hAnsi="Times New Roman" w:cs="Times New Roman"/>
          <w:sz w:val="24"/>
          <w:szCs w:val="24"/>
          <w:lang w:val="pt-BR" w:eastAsia="pt-BR"/>
        </w:rPr>
        <w:t xml:space="preserve">.  </w:t>
      </w:r>
    </w:p>
    <w:p w14:paraId="46D01DE2" w14:textId="77777777" w:rsidR="00427CAD" w:rsidRPr="00CA2760" w:rsidRDefault="00427CAD" w:rsidP="00427CAD">
      <w:pPr>
        <w:shd w:val="clear" w:color="auto" w:fill="FFFFFF"/>
        <w:spacing w:after="0" w:line="360" w:lineRule="auto"/>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 xml:space="preserve">O </w:t>
      </w:r>
      <w:r w:rsidRPr="00CA2760">
        <w:rPr>
          <w:rFonts w:ascii="Times New Roman" w:eastAsia="Times New Roman" w:hAnsi="Times New Roman" w:cs="Times New Roman"/>
          <w:sz w:val="24"/>
          <w:szCs w:val="24"/>
          <w:lang w:val="pt-BR" w:eastAsia="pt-BR"/>
        </w:rPr>
        <w:t>reembolso de custos indiretos para a Fomento Paraná</w:t>
      </w:r>
      <w:r>
        <w:rPr>
          <w:rFonts w:ascii="Times New Roman" w:eastAsia="Times New Roman" w:hAnsi="Times New Roman" w:cs="Times New Roman"/>
          <w:sz w:val="24"/>
          <w:szCs w:val="24"/>
          <w:lang w:val="pt-BR" w:eastAsia="pt-BR"/>
        </w:rPr>
        <w:t>, além do 1% já designado,</w:t>
      </w:r>
      <w:r w:rsidRPr="00CA2760">
        <w:rPr>
          <w:rFonts w:ascii="Times New Roman" w:eastAsia="Times New Roman" w:hAnsi="Times New Roman" w:cs="Times New Roman"/>
          <w:sz w:val="24"/>
          <w:szCs w:val="24"/>
          <w:lang w:val="pt-BR" w:eastAsia="pt-BR"/>
        </w:rPr>
        <w:t xml:space="preserve"> também aumentou significativamente durante esse período. A gerência explicou que este reembolso ocorreu porque o percentual (1%) sobre os valores liberados aos municípios que a Fomento Paraná atualmente recebe não foi suficiente para cobrir o aumento do custo de suas responsabilidades após a reforma de 2013, incluindo </w:t>
      </w:r>
      <w:r>
        <w:rPr>
          <w:rFonts w:ascii="Times New Roman" w:eastAsia="Times New Roman" w:hAnsi="Times New Roman" w:cs="Times New Roman"/>
          <w:sz w:val="24"/>
          <w:szCs w:val="24"/>
          <w:lang w:val="pt-BR" w:eastAsia="pt-BR"/>
        </w:rPr>
        <w:t xml:space="preserve">uma ampliação das </w:t>
      </w:r>
      <w:r w:rsidRPr="00CA2760">
        <w:rPr>
          <w:rFonts w:ascii="Times New Roman" w:eastAsia="Times New Roman" w:hAnsi="Times New Roman" w:cs="Times New Roman"/>
          <w:sz w:val="24"/>
          <w:szCs w:val="24"/>
          <w:lang w:val="pt-BR" w:eastAsia="pt-BR"/>
        </w:rPr>
        <w:t xml:space="preserve">responsabilidades na avaliação da </w:t>
      </w:r>
      <w:r>
        <w:rPr>
          <w:rFonts w:ascii="Times New Roman" w:eastAsia="Times New Roman" w:hAnsi="Times New Roman" w:cs="Times New Roman"/>
          <w:sz w:val="24"/>
          <w:szCs w:val="24"/>
          <w:lang w:val="pt-BR" w:eastAsia="pt-BR"/>
        </w:rPr>
        <w:t>capacidade de endividamento</w:t>
      </w:r>
      <w:r w:rsidRPr="00CA2760">
        <w:rPr>
          <w:rFonts w:ascii="Times New Roman" w:eastAsia="Times New Roman" w:hAnsi="Times New Roman" w:cs="Times New Roman"/>
          <w:sz w:val="24"/>
          <w:szCs w:val="24"/>
          <w:lang w:val="pt-BR" w:eastAsia="pt-BR"/>
        </w:rPr>
        <w:t xml:space="preserve"> dos municípios. Seria útil para o SFM aumentar o percentual de empréstimos liberados aos municípios para cobrir esse incremento de custo</w:t>
      </w:r>
      <w:r>
        <w:rPr>
          <w:rFonts w:ascii="Times New Roman" w:eastAsia="Times New Roman" w:hAnsi="Times New Roman" w:cs="Times New Roman"/>
          <w:sz w:val="24"/>
          <w:szCs w:val="24"/>
          <w:lang w:val="pt-BR" w:eastAsia="pt-BR"/>
        </w:rPr>
        <w:t xml:space="preserve"> dados as vantagens e desvantagens mencionados acima</w:t>
      </w:r>
      <w:r w:rsidRPr="00CA2760">
        <w:rPr>
          <w:rFonts w:ascii="Times New Roman" w:eastAsia="Times New Roman" w:hAnsi="Times New Roman" w:cs="Times New Roman"/>
          <w:sz w:val="24"/>
          <w:szCs w:val="24"/>
          <w:lang w:val="pt-BR" w:eastAsia="pt-BR"/>
        </w:rPr>
        <w:t xml:space="preserve">?  </w:t>
      </w:r>
    </w:p>
    <w:p w14:paraId="39173D45" w14:textId="77777777" w:rsidR="00427CAD" w:rsidRPr="00695893" w:rsidRDefault="00427CAD" w:rsidP="00427CAD">
      <w:pPr>
        <w:rPr>
          <w:lang w:val="pt-BR"/>
        </w:rPr>
      </w:pPr>
    </w:p>
    <w:p w14:paraId="4B96558F" w14:textId="77777777" w:rsidR="00427CAD" w:rsidRPr="00695893" w:rsidRDefault="00427CAD" w:rsidP="00427CAD">
      <w:pPr>
        <w:shd w:val="clear" w:color="auto" w:fill="FFFFFF"/>
        <w:spacing w:line="360" w:lineRule="auto"/>
        <w:jc w:val="center"/>
        <w:rPr>
          <w:rFonts w:ascii="Times New Roman" w:eastAsia="Times New Roman" w:hAnsi="Times New Roman" w:cs="Times New Roman"/>
          <w:b/>
          <w:sz w:val="24"/>
          <w:szCs w:val="24"/>
          <w:lang w:val="pt-BR" w:eastAsia="pt-BR"/>
        </w:rPr>
      </w:pPr>
      <w:r w:rsidRPr="00695893">
        <w:rPr>
          <w:rFonts w:ascii="Times New Roman" w:eastAsia="Times New Roman" w:hAnsi="Times New Roman" w:cs="Times New Roman"/>
          <w:b/>
          <w:sz w:val="24"/>
          <w:szCs w:val="24"/>
          <w:lang w:val="pt-BR" w:eastAsia="pt-BR"/>
        </w:rPr>
        <w:t>O desempenho financeiro da</w:t>
      </w:r>
      <w:r w:rsidRPr="00695893">
        <w:rPr>
          <w:rFonts w:ascii="Times New Roman" w:hAnsi="Times New Roman" w:cs="Times New Roman"/>
          <w:b/>
          <w:sz w:val="24"/>
          <w:szCs w:val="24"/>
          <w:lang w:val="pt-BR"/>
        </w:rPr>
        <w:t xml:space="preserve"> Fomento Paraná</w:t>
      </w:r>
      <w:r w:rsidRPr="00695893">
        <w:rPr>
          <w:rFonts w:ascii="Times New Roman" w:eastAsia="Times New Roman" w:hAnsi="Times New Roman" w:cs="Times New Roman"/>
          <w:b/>
          <w:sz w:val="24"/>
          <w:szCs w:val="24"/>
          <w:lang w:val="pt-BR" w:eastAsia="pt-BR"/>
        </w:rPr>
        <w:t>: 2013/2017</w:t>
      </w:r>
    </w:p>
    <w:p w14:paraId="615D3274" w14:textId="77777777" w:rsidR="00427CAD" w:rsidRPr="00695893" w:rsidRDefault="00427CAD" w:rsidP="00427CAD">
      <w:pPr>
        <w:spacing w:line="360" w:lineRule="auto"/>
        <w:rPr>
          <w:rFonts w:ascii="Times New Roman" w:eastAsia="Times New Roman" w:hAnsi="Times New Roman" w:cs="Times New Roman"/>
          <w:bCs/>
          <w:sz w:val="24"/>
          <w:szCs w:val="24"/>
          <w:lang w:val="pt-BR"/>
        </w:rPr>
      </w:pPr>
      <w:r>
        <w:rPr>
          <w:rFonts w:ascii="Times New Roman" w:hAnsi="Times New Roman" w:cs="Times New Roman"/>
          <w:sz w:val="24"/>
          <w:szCs w:val="24"/>
          <w:lang w:val="pt-BR"/>
        </w:rPr>
        <w:t>A Fomento Paraná teve</w:t>
      </w:r>
      <w:r w:rsidRPr="00695893">
        <w:rPr>
          <w:rFonts w:ascii="Times New Roman" w:hAnsi="Times New Roman" w:cs="Times New Roman"/>
          <w:sz w:val="24"/>
          <w:szCs w:val="24"/>
          <w:lang w:val="pt-BR"/>
        </w:rPr>
        <w:t xml:space="preserve"> um aumento </w:t>
      </w:r>
      <w:r>
        <w:rPr>
          <w:rFonts w:ascii="Times New Roman" w:hAnsi="Times New Roman" w:cs="Times New Roman"/>
          <w:sz w:val="24"/>
          <w:szCs w:val="24"/>
          <w:lang w:val="pt-BR"/>
        </w:rPr>
        <w:t xml:space="preserve">de </w:t>
      </w:r>
      <w:r w:rsidRPr="00AE285F">
        <w:rPr>
          <w:rFonts w:ascii="Times New Roman" w:hAnsi="Times New Roman" w:cs="Times New Roman"/>
          <w:sz w:val="24"/>
          <w:szCs w:val="24"/>
          <w:lang w:val="pt-BR"/>
        </w:rPr>
        <w:t xml:space="preserve">31.6% em </w:t>
      </w:r>
      <w:r>
        <w:rPr>
          <w:rFonts w:ascii="Times New Roman" w:hAnsi="Times New Roman" w:cs="Times New Roman"/>
          <w:sz w:val="24"/>
          <w:szCs w:val="24"/>
          <w:lang w:val="pt-BR"/>
        </w:rPr>
        <w:t>seu</w:t>
      </w:r>
      <w:r w:rsidRPr="00695893">
        <w:rPr>
          <w:rFonts w:ascii="Times New Roman" w:hAnsi="Times New Roman" w:cs="Times New Roman"/>
          <w:sz w:val="24"/>
          <w:szCs w:val="24"/>
          <w:lang w:val="pt-BR"/>
        </w:rPr>
        <w:t xml:space="preserve"> </w:t>
      </w:r>
      <w:r>
        <w:rPr>
          <w:rFonts w:ascii="Times New Roman" w:hAnsi="Times New Roman" w:cs="Times New Roman"/>
          <w:sz w:val="24"/>
          <w:szCs w:val="24"/>
          <w:lang w:val="pt-BR"/>
        </w:rPr>
        <w:t>PL</w:t>
      </w:r>
      <w:r w:rsidRPr="00695893">
        <w:rPr>
          <w:rFonts w:ascii="Times New Roman" w:hAnsi="Times New Roman" w:cs="Times New Roman"/>
          <w:sz w:val="24"/>
          <w:szCs w:val="24"/>
          <w:lang w:val="pt-BR"/>
        </w:rPr>
        <w:t xml:space="preserve"> em </w:t>
      </w:r>
      <w:r w:rsidRPr="00153ABE">
        <w:rPr>
          <w:rFonts w:ascii="Times New Roman" w:hAnsi="Times New Roman" w:cs="Times New Roman"/>
          <w:sz w:val="24"/>
          <w:szCs w:val="24"/>
          <w:lang w:val="pt-BR"/>
        </w:rPr>
        <w:t>termos nominais</w:t>
      </w:r>
      <w:r w:rsidRPr="00695893">
        <w:rPr>
          <w:rFonts w:ascii="Times New Roman" w:hAnsi="Times New Roman" w:cs="Times New Roman"/>
          <w:sz w:val="24"/>
          <w:szCs w:val="24"/>
          <w:lang w:val="pt-BR"/>
        </w:rPr>
        <w:t xml:space="preserve"> durante o período 2013/ 2017, devido a capitalização dos Resultados Líquidos e </w:t>
      </w:r>
      <w:r>
        <w:rPr>
          <w:rFonts w:ascii="Times New Roman" w:hAnsi="Times New Roman" w:cs="Times New Roman"/>
          <w:sz w:val="24"/>
          <w:szCs w:val="24"/>
          <w:lang w:val="pt-BR"/>
        </w:rPr>
        <w:t>d</w:t>
      </w:r>
      <w:r w:rsidRPr="00695893">
        <w:rPr>
          <w:rFonts w:ascii="Times New Roman" w:hAnsi="Times New Roman" w:cs="Times New Roman"/>
          <w:sz w:val="24"/>
          <w:szCs w:val="24"/>
          <w:lang w:val="pt-BR"/>
        </w:rPr>
        <w:t xml:space="preserve">os </w:t>
      </w:r>
      <w:r>
        <w:rPr>
          <w:rFonts w:ascii="Times New Roman" w:hAnsi="Times New Roman" w:cs="Times New Roman"/>
          <w:sz w:val="24"/>
          <w:szCs w:val="24"/>
          <w:lang w:val="pt-BR"/>
        </w:rPr>
        <w:t>JCP</w:t>
      </w:r>
      <w:r w:rsidRPr="00695893">
        <w:rPr>
          <w:rFonts w:ascii="Times New Roman" w:hAnsi="Times New Roman" w:cs="Times New Roman"/>
          <w:sz w:val="24"/>
          <w:szCs w:val="24"/>
          <w:lang w:val="pt-BR"/>
        </w:rPr>
        <w:t xml:space="preserve">. A Fomento Paraná aumentou suas operações de crédito com o setor privado, especialmente nas </w:t>
      </w:r>
      <w:r w:rsidRPr="00695893">
        <w:rPr>
          <w:rFonts w:ascii="Times New Roman" w:eastAsia="Times New Roman" w:hAnsi="Times New Roman" w:cs="Times New Roman"/>
          <w:sz w:val="24"/>
          <w:szCs w:val="24"/>
          <w:lang w:val="pt-BR"/>
        </w:rPr>
        <w:t>operações com recursos do</w:t>
      </w:r>
      <w:r>
        <w:rPr>
          <w:rFonts w:ascii="Times New Roman" w:eastAsia="Times New Roman" w:hAnsi="Times New Roman" w:cs="Times New Roman"/>
          <w:sz w:val="24"/>
          <w:szCs w:val="24"/>
          <w:lang w:val="pt-BR"/>
        </w:rPr>
        <w:t>s bancos públicos</w:t>
      </w:r>
      <w:r w:rsidRPr="00695893">
        <w:rPr>
          <w:rFonts w:ascii="Times New Roman" w:eastAsia="Times New Roman" w:hAnsi="Times New Roman" w:cs="Times New Roman"/>
          <w:sz w:val="24"/>
          <w:szCs w:val="24"/>
          <w:lang w:val="pt-BR"/>
        </w:rPr>
        <w:t xml:space="preserve">. </w:t>
      </w:r>
      <w:r>
        <w:rPr>
          <w:rFonts w:ascii="Times New Roman" w:eastAsia="Times New Roman" w:hAnsi="Times New Roman" w:cs="Times New Roman"/>
          <w:sz w:val="24"/>
          <w:szCs w:val="24"/>
          <w:lang w:val="pt-BR"/>
        </w:rPr>
        <w:t xml:space="preserve"> </w:t>
      </w:r>
      <w:r w:rsidRPr="00A16219">
        <w:rPr>
          <w:rFonts w:ascii="Times New Roman" w:hAnsi="Times New Roman" w:cs="Times New Roman"/>
          <w:sz w:val="24"/>
          <w:szCs w:val="24"/>
          <w:lang w:val="pt-BR"/>
        </w:rPr>
        <w:t>Mesmo assim, apenas 34,4% do seu total de empréstimos fo</w:t>
      </w:r>
      <w:r>
        <w:rPr>
          <w:rFonts w:ascii="Times New Roman" w:hAnsi="Times New Roman" w:cs="Times New Roman"/>
          <w:sz w:val="24"/>
          <w:szCs w:val="24"/>
          <w:lang w:val="pt-BR"/>
        </w:rPr>
        <w:t>ram</w:t>
      </w:r>
      <w:r w:rsidRPr="00A16219">
        <w:rPr>
          <w:rFonts w:ascii="Times New Roman" w:hAnsi="Times New Roman" w:cs="Times New Roman"/>
          <w:sz w:val="24"/>
          <w:szCs w:val="24"/>
          <w:lang w:val="pt-BR"/>
        </w:rPr>
        <w:t xml:space="preserve"> para o setor privado, e esses empréstimos representaram apenas 15,2% </w:t>
      </w:r>
      <w:r>
        <w:rPr>
          <w:rFonts w:ascii="Times New Roman" w:hAnsi="Times New Roman" w:cs="Times New Roman"/>
          <w:sz w:val="24"/>
          <w:szCs w:val="24"/>
          <w:lang w:val="pt-BR"/>
        </w:rPr>
        <w:t>de seu</w:t>
      </w:r>
      <w:r w:rsidRPr="00A16219">
        <w:rPr>
          <w:rFonts w:ascii="Times New Roman" w:hAnsi="Times New Roman" w:cs="Times New Roman"/>
          <w:sz w:val="24"/>
          <w:szCs w:val="24"/>
          <w:lang w:val="pt-BR"/>
        </w:rPr>
        <w:t xml:space="preserve"> total de ativos.  </w:t>
      </w:r>
      <w:r w:rsidRPr="00695893">
        <w:rPr>
          <w:rFonts w:ascii="Times New Roman" w:hAnsi="Times New Roman" w:cs="Times New Roman"/>
          <w:sz w:val="24"/>
          <w:szCs w:val="24"/>
          <w:lang w:val="pt-BR"/>
        </w:rPr>
        <w:t>Os riscos de crédito nesta carteira aumentara</w:t>
      </w:r>
      <w:r w:rsidRPr="00695893">
        <w:rPr>
          <w:rFonts w:ascii="Times New Roman" w:eastAsia="Times New Roman" w:hAnsi="Times New Roman" w:cs="Times New Roman"/>
          <w:sz w:val="24"/>
          <w:szCs w:val="24"/>
          <w:lang w:val="pt-BR"/>
        </w:rPr>
        <w:t xml:space="preserve">m (sem dúvida devido, em parte, à recessão </w:t>
      </w:r>
      <w:r>
        <w:rPr>
          <w:rFonts w:ascii="Times New Roman" w:eastAsia="Times New Roman" w:hAnsi="Times New Roman" w:cs="Times New Roman"/>
          <w:sz w:val="24"/>
          <w:szCs w:val="24"/>
          <w:lang w:val="pt-BR"/>
        </w:rPr>
        <w:t xml:space="preserve">durante o </w:t>
      </w:r>
      <w:r>
        <w:rPr>
          <w:rFonts w:ascii="Times New Roman" w:eastAsia="Times New Roman" w:hAnsi="Times New Roman" w:cs="Times New Roman"/>
          <w:sz w:val="24"/>
          <w:szCs w:val="24"/>
          <w:lang w:val="pt-BR"/>
        </w:rPr>
        <w:lastRenderedPageBreak/>
        <w:t xml:space="preserve">período entre </w:t>
      </w:r>
      <w:r w:rsidRPr="00695893">
        <w:rPr>
          <w:rFonts w:ascii="Times New Roman" w:eastAsia="Times New Roman" w:hAnsi="Times New Roman" w:cs="Times New Roman"/>
          <w:sz w:val="24"/>
          <w:szCs w:val="24"/>
          <w:lang w:val="pt-BR"/>
        </w:rPr>
        <w:t xml:space="preserve">2014/2016 e </w:t>
      </w:r>
      <w:r>
        <w:rPr>
          <w:rFonts w:ascii="Times New Roman" w:eastAsia="Times New Roman" w:hAnsi="Times New Roman" w:cs="Times New Roman"/>
          <w:sz w:val="24"/>
          <w:szCs w:val="24"/>
          <w:lang w:val="pt-BR"/>
        </w:rPr>
        <w:t>posterior lenta recuperação</w:t>
      </w:r>
      <w:r w:rsidRPr="00695893">
        <w:rPr>
          <w:rFonts w:ascii="Times New Roman" w:eastAsia="Times New Roman" w:hAnsi="Times New Roman" w:cs="Times New Roman"/>
          <w:sz w:val="24"/>
          <w:szCs w:val="24"/>
          <w:lang w:val="pt-BR"/>
        </w:rPr>
        <w:t xml:space="preserve">), resultando em um aumento das provisões para créditos de liquidação duvidosa.  </w:t>
      </w:r>
    </w:p>
    <w:p w14:paraId="4F656E5F" w14:textId="77777777" w:rsidR="00427CAD" w:rsidRPr="009766A2" w:rsidRDefault="00427CAD" w:rsidP="00427CAD">
      <w:pPr>
        <w:shd w:val="clear" w:color="auto" w:fill="FFFFFF"/>
        <w:spacing w:line="360" w:lineRule="auto"/>
        <w:rPr>
          <w:rFonts w:ascii="Times New Roman" w:eastAsia="Times New Roman" w:hAnsi="Times New Roman" w:cs="Times New Roman"/>
          <w:b/>
          <w:sz w:val="24"/>
          <w:szCs w:val="24"/>
          <w:lang w:val="pt-BR" w:eastAsia="pt-BR"/>
        </w:rPr>
      </w:pPr>
      <w:r w:rsidRPr="009766A2">
        <w:rPr>
          <w:rFonts w:ascii="Times New Roman" w:eastAsia="Times New Roman" w:hAnsi="Times New Roman" w:cs="Times New Roman"/>
          <w:b/>
          <w:sz w:val="24"/>
          <w:szCs w:val="24"/>
          <w:lang w:val="pt-BR" w:eastAsia="pt-BR"/>
        </w:rPr>
        <w:t xml:space="preserve">As provas de estresse da carteira de crédito </w:t>
      </w:r>
    </w:p>
    <w:p w14:paraId="01481160" w14:textId="77777777" w:rsidR="00427CAD" w:rsidRPr="00695893" w:rsidRDefault="00427CAD" w:rsidP="00427CAD">
      <w:pPr>
        <w:shd w:val="clear" w:color="auto" w:fill="FFFFFF"/>
        <w:spacing w:line="360" w:lineRule="auto"/>
        <w:rPr>
          <w:rFonts w:ascii="Times New Roman" w:eastAsia="Calibri" w:hAnsi="Times New Roman" w:cs="Times New Roman"/>
          <w:spacing w:val="1"/>
          <w:sz w:val="24"/>
          <w:szCs w:val="24"/>
          <w:lang w:val="pt-BR"/>
        </w:rPr>
      </w:pPr>
      <w:bookmarkStart w:id="5" w:name="_Hlk512494117"/>
      <w:r w:rsidRPr="00695893">
        <w:rPr>
          <w:rFonts w:ascii="Times New Roman" w:eastAsia="Calibri" w:hAnsi="Times New Roman" w:cs="Times New Roman"/>
          <w:spacing w:val="1"/>
          <w:sz w:val="24"/>
          <w:szCs w:val="24"/>
          <w:lang w:val="pt-BR"/>
        </w:rPr>
        <w:t>P</w:t>
      </w:r>
      <w:r w:rsidRPr="00695893">
        <w:rPr>
          <w:rFonts w:ascii="Times New Roman" w:eastAsia="Calibri" w:hAnsi="Times New Roman" w:cs="Times New Roman"/>
          <w:sz w:val="24"/>
          <w:szCs w:val="24"/>
          <w:lang w:val="pt-BR"/>
        </w:rPr>
        <w:t>ara</w:t>
      </w:r>
      <w:r w:rsidRPr="00695893">
        <w:rPr>
          <w:rFonts w:ascii="Times New Roman" w:eastAsia="Calibri" w:hAnsi="Times New Roman" w:cs="Times New Roman"/>
          <w:spacing w:val="2"/>
          <w:sz w:val="24"/>
          <w:szCs w:val="24"/>
          <w:lang w:val="pt-BR"/>
        </w:rPr>
        <w:t xml:space="preserve"> </w:t>
      </w:r>
      <w:r w:rsidRPr="00695893">
        <w:rPr>
          <w:rFonts w:ascii="Times New Roman" w:eastAsia="Calibri" w:hAnsi="Times New Roman" w:cs="Times New Roman"/>
          <w:sz w:val="24"/>
          <w:szCs w:val="24"/>
          <w:lang w:val="pt-BR"/>
        </w:rPr>
        <w:t>e</w:t>
      </w:r>
      <w:r w:rsidRPr="00695893">
        <w:rPr>
          <w:rFonts w:ascii="Times New Roman" w:eastAsia="Calibri" w:hAnsi="Times New Roman" w:cs="Times New Roman"/>
          <w:spacing w:val="-2"/>
          <w:sz w:val="24"/>
          <w:szCs w:val="24"/>
          <w:lang w:val="pt-BR"/>
        </w:rPr>
        <w:t>f</w:t>
      </w:r>
      <w:r w:rsidRPr="00695893">
        <w:rPr>
          <w:rFonts w:ascii="Times New Roman" w:eastAsia="Calibri" w:hAnsi="Times New Roman" w:cs="Times New Roman"/>
          <w:sz w:val="24"/>
          <w:szCs w:val="24"/>
          <w:lang w:val="pt-BR"/>
        </w:rPr>
        <w:t>eito</w:t>
      </w:r>
      <w:r w:rsidRPr="00695893">
        <w:rPr>
          <w:rFonts w:ascii="Times New Roman" w:eastAsia="Calibri" w:hAnsi="Times New Roman" w:cs="Times New Roman"/>
          <w:spacing w:val="4"/>
          <w:sz w:val="24"/>
          <w:szCs w:val="24"/>
          <w:lang w:val="pt-BR"/>
        </w:rPr>
        <w:t xml:space="preserve"> </w:t>
      </w:r>
      <w:r w:rsidRPr="00695893">
        <w:rPr>
          <w:rFonts w:ascii="Times New Roman" w:eastAsia="Calibri" w:hAnsi="Times New Roman" w:cs="Times New Roman"/>
          <w:sz w:val="24"/>
          <w:szCs w:val="24"/>
          <w:lang w:val="pt-BR"/>
        </w:rPr>
        <w:t>da</w:t>
      </w:r>
      <w:r>
        <w:rPr>
          <w:rFonts w:ascii="Times New Roman" w:eastAsia="Calibri" w:hAnsi="Times New Roman" w:cs="Times New Roman"/>
          <w:sz w:val="24"/>
          <w:szCs w:val="24"/>
          <w:lang w:val="pt-BR"/>
        </w:rPr>
        <w:t>s</w:t>
      </w:r>
      <w:r w:rsidRPr="00695893">
        <w:rPr>
          <w:rFonts w:ascii="Times New Roman" w:eastAsia="Calibri" w:hAnsi="Times New Roman" w:cs="Times New Roman"/>
          <w:sz w:val="24"/>
          <w:szCs w:val="24"/>
          <w:lang w:val="pt-BR"/>
        </w:rPr>
        <w:t xml:space="preserve"> prova</w:t>
      </w:r>
      <w:r>
        <w:rPr>
          <w:rFonts w:ascii="Times New Roman" w:eastAsia="Calibri" w:hAnsi="Times New Roman" w:cs="Times New Roman"/>
          <w:sz w:val="24"/>
          <w:szCs w:val="24"/>
          <w:lang w:val="pt-BR"/>
        </w:rPr>
        <w:t>s</w:t>
      </w:r>
      <w:r w:rsidRPr="00695893">
        <w:rPr>
          <w:rFonts w:ascii="Times New Roman" w:eastAsia="Calibri" w:hAnsi="Times New Roman" w:cs="Times New Roman"/>
          <w:sz w:val="24"/>
          <w:szCs w:val="24"/>
          <w:lang w:val="pt-BR"/>
        </w:rPr>
        <w:t xml:space="preserve"> de estresse</w:t>
      </w:r>
      <w:r w:rsidRPr="00695893">
        <w:rPr>
          <w:rFonts w:ascii="Times New Roman" w:eastAsia="Calibri" w:hAnsi="Times New Roman" w:cs="Times New Roman"/>
          <w:spacing w:val="3"/>
          <w:sz w:val="24"/>
          <w:szCs w:val="24"/>
          <w:lang w:val="pt-BR"/>
        </w:rPr>
        <w:t xml:space="preserve"> </w:t>
      </w:r>
      <w:r w:rsidRPr="00695893">
        <w:rPr>
          <w:rFonts w:ascii="Times New Roman" w:eastAsia="Calibri" w:hAnsi="Times New Roman" w:cs="Times New Roman"/>
          <w:spacing w:val="-1"/>
          <w:sz w:val="24"/>
          <w:szCs w:val="24"/>
          <w:lang w:val="pt-BR"/>
        </w:rPr>
        <w:t>d</w:t>
      </w:r>
      <w:r w:rsidRPr="00695893">
        <w:rPr>
          <w:rFonts w:ascii="Times New Roman" w:eastAsia="Calibri" w:hAnsi="Times New Roman" w:cs="Times New Roman"/>
          <w:sz w:val="24"/>
          <w:szCs w:val="24"/>
          <w:lang w:val="pt-BR"/>
        </w:rPr>
        <w:t>e</w:t>
      </w:r>
      <w:r w:rsidRPr="00695893">
        <w:rPr>
          <w:rFonts w:ascii="Times New Roman" w:eastAsia="Calibri" w:hAnsi="Times New Roman" w:cs="Times New Roman"/>
          <w:spacing w:val="3"/>
          <w:sz w:val="24"/>
          <w:szCs w:val="24"/>
          <w:lang w:val="pt-BR"/>
        </w:rPr>
        <w:t xml:space="preserve"> </w:t>
      </w:r>
      <w:r w:rsidRPr="00695893">
        <w:rPr>
          <w:rFonts w:ascii="Times New Roman" w:eastAsia="Calibri" w:hAnsi="Times New Roman" w:cs="Times New Roman"/>
          <w:sz w:val="24"/>
          <w:szCs w:val="24"/>
          <w:lang w:val="pt-BR"/>
        </w:rPr>
        <w:t>risco</w:t>
      </w:r>
      <w:r w:rsidRPr="00695893">
        <w:rPr>
          <w:rFonts w:ascii="Times New Roman" w:eastAsia="Calibri" w:hAnsi="Times New Roman" w:cs="Times New Roman"/>
          <w:spacing w:val="4"/>
          <w:sz w:val="24"/>
          <w:szCs w:val="24"/>
          <w:lang w:val="pt-BR"/>
        </w:rPr>
        <w:t xml:space="preserve"> </w:t>
      </w:r>
      <w:r w:rsidRPr="00695893">
        <w:rPr>
          <w:rFonts w:ascii="Times New Roman" w:eastAsia="Calibri" w:hAnsi="Times New Roman" w:cs="Times New Roman"/>
          <w:spacing w:val="-1"/>
          <w:sz w:val="24"/>
          <w:szCs w:val="24"/>
          <w:lang w:val="pt-BR"/>
        </w:rPr>
        <w:t>d</w:t>
      </w:r>
      <w:r w:rsidRPr="00695893">
        <w:rPr>
          <w:rFonts w:ascii="Times New Roman" w:eastAsia="Calibri" w:hAnsi="Times New Roman" w:cs="Times New Roman"/>
          <w:sz w:val="24"/>
          <w:szCs w:val="24"/>
          <w:lang w:val="pt-BR"/>
        </w:rPr>
        <w:t>e</w:t>
      </w:r>
      <w:r w:rsidRPr="00695893">
        <w:rPr>
          <w:rFonts w:ascii="Times New Roman" w:eastAsia="Calibri" w:hAnsi="Times New Roman" w:cs="Times New Roman"/>
          <w:spacing w:val="1"/>
          <w:sz w:val="24"/>
          <w:szCs w:val="24"/>
          <w:lang w:val="pt-BR"/>
        </w:rPr>
        <w:t xml:space="preserve"> </w:t>
      </w:r>
      <w:r w:rsidRPr="00695893">
        <w:rPr>
          <w:rFonts w:ascii="Times New Roman" w:eastAsia="Calibri" w:hAnsi="Times New Roman" w:cs="Times New Roman"/>
          <w:sz w:val="24"/>
          <w:szCs w:val="24"/>
          <w:lang w:val="pt-BR"/>
        </w:rPr>
        <w:t>crédi</w:t>
      </w:r>
      <w:r w:rsidRPr="00A06330">
        <w:rPr>
          <w:rFonts w:ascii="Times New Roman" w:eastAsia="Calibri" w:hAnsi="Times New Roman" w:cs="Times New Roman"/>
          <w:sz w:val="24"/>
          <w:szCs w:val="24"/>
          <w:lang w:val="pt-BR"/>
        </w:rPr>
        <w:t xml:space="preserve">to requeridas pelos regulamentos do </w:t>
      </w:r>
      <w:r w:rsidRPr="008C1F8A">
        <w:rPr>
          <w:rFonts w:ascii="Times New Roman" w:eastAsia="Calibri" w:hAnsi="Times New Roman" w:cs="Times New Roman"/>
          <w:sz w:val="24"/>
          <w:szCs w:val="24"/>
          <w:lang w:val="pt-BR"/>
        </w:rPr>
        <w:t>Sistema Monetário Nacional</w:t>
      </w:r>
      <w:r w:rsidRPr="00695893">
        <w:rPr>
          <w:rFonts w:ascii="Times New Roman" w:eastAsia="Calibri" w:hAnsi="Times New Roman" w:cs="Times New Roman"/>
          <w:sz w:val="24"/>
          <w:szCs w:val="24"/>
          <w:lang w:val="pt-BR"/>
        </w:rPr>
        <w:t>,</w:t>
      </w:r>
      <w:r w:rsidRPr="00A06330">
        <w:rPr>
          <w:rFonts w:ascii="Times New Roman" w:eastAsia="Calibri" w:hAnsi="Times New Roman" w:cs="Times New Roman"/>
          <w:sz w:val="24"/>
          <w:szCs w:val="24"/>
          <w:lang w:val="pt-BR"/>
        </w:rPr>
        <w:t xml:space="preserve"> todo</w:t>
      </w:r>
      <w:r w:rsidRPr="00695893">
        <w:rPr>
          <w:rFonts w:ascii="Times New Roman" w:eastAsia="Calibri" w:hAnsi="Times New Roman" w:cs="Times New Roman"/>
          <w:sz w:val="24"/>
          <w:szCs w:val="24"/>
          <w:lang w:val="pt-BR"/>
        </w:rPr>
        <w:t xml:space="preserve">s </w:t>
      </w:r>
      <w:r w:rsidRPr="00A06330">
        <w:rPr>
          <w:rFonts w:ascii="Times New Roman" w:eastAsia="Calibri" w:hAnsi="Times New Roman" w:cs="Times New Roman"/>
          <w:sz w:val="24"/>
          <w:szCs w:val="24"/>
          <w:lang w:val="pt-BR"/>
        </w:rPr>
        <w:t>o</w:t>
      </w:r>
      <w:r w:rsidRPr="00695893">
        <w:rPr>
          <w:rFonts w:ascii="Times New Roman" w:eastAsia="Calibri" w:hAnsi="Times New Roman" w:cs="Times New Roman"/>
          <w:sz w:val="24"/>
          <w:szCs w:val="24"/>
          <w:lang w:val="pt-BR"/>
        </w:rPr>
        <w:t>s</w:t>
      </w:r>
      <w:r w:rsidRPr="00A06330">
        <w:rPr>
          <w:rFonts w:ascii="Times New Roman" w:eastAsia="Calibri" w:hAnsi="Times New Roman" w:cs="Times New Roman"/>
          <w:sz w:val="24"/>
          <w:szCs w:val="24"/>
          <w:lang w:val="pt-BR"/>
        </w:rPr>
        <w:t xml:space="preserve"> </w:t>
      </w:r>
      <w:r w:rsidRPr="00695893">
        <w:rPr>
          <w:rFonts w:ascii="Times New Roman" w:eastAsia="Calibri" w:hAnsi="Times New Roman" w:cs="Times New Roman"/>
          <w:sz w:val="24"/>
          <w:szCs w:val="24"/>
          <w:lang w:val="pt-BR"/>
        </w:rPr>
        <w:t>clie</w:t>
      </w:r>
      <w:r w:rsidRPr="00A06330">
        <w:rPr>
          <w:rFonts w:ascii="Times New Roman" w:eastAsia="Calibri" w:hAnsi="Times New Roman" w:cs="Times New Roman"/>
          <w:sz w:val="24"/>
          <w:szCs w:val="24"/>
          <w:lang w:val="pt-BR"/>
        </w:rPr>
        <w:t>nt</w:t>
      </w:r>
      <w:r w:rsidRPr="00695893">
        <w:rPr>
          <w:rFonts w:ascii="Times New Roman" w:eastAsia="Calibri" w:hAnsi="Times New Roman" w:cs="Times New Roman"/>
          <w:sz w:val="24"/>
          <w:szCs w:val="24"/>
          <w:lang w:val="pt-BR"/>
        </w:rPr>
        <w:t>es</w:t>
      </w:r>
      <w:r w:rsidRPr="00A06330">
        <w:rPr>
          <w:rFonts w:ascii="Times New Roman" w:eastAsia="Calibri" w:hAnsi="Times New Roman" w:cs="Times New Roman"/>
          <w:sz w:val="24"/>
          <w:szCs w:val="24"/>
          <w:lang w:val="pt-BR"/>
        </w:rPr>
        <w:t xml:space="preserve"> d</w:t>
      </w:r>
      <w:r w:rsidRPr="00695893">
        <w:rPr>
          <w:rFonts w:ascii="Times New Roman" w:eastAsia="Calibri" w:hAnsi="Times New Roman" w:cs="Times New Roman"/>
          <w:sz w:val="24"/>
          <w:szCs w:val="24"/>
          <w:lang w:val="pt-BR"/>
        </w:rPr>
        <w:t>o</w:t>
      </w:r>
      <w:r w:rsidRPr="00A06330">
        <w:rPr>
          <w:rFonts w:ascii="Times New Roman" w:eastAsia="Calibri" w:hAnsi="Times New Roman" w:cs="Times New Roman"/>
          <w:sz w:val="24"/>
          <w:szCs w:val="24"/>
          <w:lang w:val="pt-BR"/>
        </w:rPr>
        <w:t xml:space="preserve"> </w:t>
      </w:r>
      <w:r w:rsidRPr="00695893">
        <w:rPr>
          <w:rFonts w:ascii="Times New Roman" w:eastAsia="Calibri" w:hAnsi="Times New Roman" w:cs="Times New Roman"/>
          <w:sz w:val="24"/>
          <w:szCs w:val="24"/>
          <w:lang w:val="pt-BR"/>
        </w:rPr>
        <w:t>s</w:t>
      </w:r>
      <w:r w:rsidRPr="00A06330">
        <w:rPr>
          <w:rFonts w:ascii="Times New Roman" w:eastAsia="Calibri" w:hAnsi="Times New Roman" w:cs="Times New Roman"/>
          <w:sz w:val="24"/>
          <w:szCs w:val="24"/>
          <w:lang w:val="pt-BR"/>
        </w:rPr>
        <w:t>e</w:t>
      </w:r>
      <w:r w:rsidRPr="00695893">
        <w:rPr>
          <w:rFonts w:ascii="Times New Roman" w:eastAsia="Calibri" w:hAnsi="Times New Roman" w:cs="Times New Roman"/>
          <w:sz w:val="24"/>
          <w:szCs w:val="24"/>
          <w:lang w:val="pt-BR"/>
        </w:rPr>
        <w:t>t</w:t>
      </w:r>
      <w:r w:rsidRPr="00A06330">
        <w:rPr>
          <w:rFonts w:ascii="Times New Roman" w:eastAsia="Calibri" w:hAnsi="Times New Roman" w:cs="Times New Roman"/>
          <w:sz w:val="24"/>
          <w:szCs w:val="24"/>
          <w:lang w:val="pt-BR"/>
        </w:rPr>
        <w:t>o</w:t>
      </w:r>
      <w:r w:rsidRPr="00695893">
        <w:rPr>
          <w:rFonts w:ascii="Times New Roman" w:eastAsia="Calibri" w:hAnsi="Times New Roman" w:cs="Times New Roman"/>
          <w:sz w:val="24"/>
          <w:szCs w:val="24"/>
          <w:lang w:val="pt-BR"/>
        </w:rPr>
        <w:t xml:space="preserve">r </w:t>
      </w:r>
      <w:r w:rsidRPr="00A06330">
        <w:rPr>
          <w:rFonts w:ascii="Times New Roman" w:eastAsia="Calibri" w:hAnsi="Times New Roman" w:cs="Times New Roman"/>
          <w:sz w:val="24"/>
          <w:szCs w:val="24"/>
          <w:lang w:val="pt-BR"/>
        </w:rPr>
        <w:t>púb</w:t>
      </w:r>
      <w:r w:rsidRPr="00695893">
        <w:rPr>
          <w:rFonts w:ascii="Times New Roman" w:eastAsia="Calibri" w:hAnsi="Times New Roman" w:cs="Times New Roman"/>
          <w:sz w:val="24"/>
          <w:szCs w:val="24"/>
          <w:lang w:val="pt-BR"/>
        </w:rPr>
        <w:t>lico</w:t>
      </w:r>
      <w:r w:rsidRPr="00A06330">
        <w:rPr>
          <w:rFonts w:ascii="Times New Roman" w:eastAsia="Calibri" w:hAnsi="Times New Roman" w:cs="Times New Roman"/>
          <w:sz w:val="24"/>
          <w:szCs w:val="24"/>
          <w:lang w:val="pt-BR"/>
        </w:rPr>
        <w:t xml:space="preserve"> </w:t>
      </w:r>
      <w:r w:rsidRPr="00695893">
        <w:rPr>
          <w:rFonts w:ascii="Times New Roman" w:eastAsia="Calibri" w:hAnsi="Times New Roman" w:cs="Times New Roman"/>
          <w:sz w:val="24"/>
          <w:szCs w:val="24"/>
          <w:lang w:val="pt-BR"/>
        </w:rPr>
        <w:t>e</w:t>
      </w:r>
      <w:r w:rsidRPr="00A06330">
        <w:rPr>
          <w:rFonts w:ascii="Times New Roman" w:eastAsia="Calibri" w:hAnsi="Times New Roman" w:cs="Times New Roman"/>
          <w:sz w:val="24"/>
          <w:szCs w:val="24"/>
          <w:lang w:val="pt-BR"/>
        </w:rPr>
        <w:t xml:space="preserve"> p</w:t>
      </w:r>
      <w:r w:rsidRPr="00695893">
        <w:rPr>
          <w:rFonts w:ascii="Times New Roman" w:eastAsia="Calibri" w:hAnsi="Times New Roman" w:cs="Times New Roman"/>
          <w:sz w:val="24"/>
          <w:szCs w:val="24"/>
          <w:lang w:val="pt-BR"/>
        </w:rPr>
        <w:t>r</w:t>
      </w:r>
      <w:r w:rsidRPr="00A06330">
        <w:rPr>
          <w:rFonts w:ascii="Times New Roman" w:eastAsia="Calibri" w:hAnsi="Times New Roman" w:cs="Times New Roman"/>
          <w:sz w:val="24"/>
          <w:szCs w:val="24"/>
          <w:lang w:val="pt-BR"/>
        </w:rPr>
        <w:t>iv</w:t>
      </w:r>
      <w:r w:rsidRPr="00695893">
        <w:rPr>
          <w:rFonts w:ascii="Times New Roman" w:eastAsia="Calibri" w:hAnsi="Times New Roman" w:cs="Times New Roman"/>
          <w:sz w:val="24"/>
          <w:szCs w:val="24"/>
          <w:lang w:val="pt-BR"/>
        </w:rPr>
        <w:t>a</w:t>
      </w:r>
      <w:r w:rsidRPr="00A06330">
        <w:rPr>
          <w:rFonts w:ascii="Times New Roman" w:eastAsia="Calibri" w:hAnsi="Times New Roman" w:cs="Times New Roman"/>
          <w:sz w:val="24"/>
          <w:szCs w:val="24"/>
          <w:lang w:val="pt-BR"/>
        </w:rPr>
        <w:t>d</w:t>
      </w:r>
      <w:r w:rsidRPr="00695893">
        <w:rPr>
          <w:rFonts w:ascii="Times New Roman" w:eastAsia="Calibri" w:hAnsi="Times New Roman" w:cs="Times New Roman"/>
          <w:sz w:val="24"/>
          <w:szCs w:val="24"/>
          <w:lang w:val="pt-BR"/>
        </w:rPr>
        <w:t>o</w:t>
      </w:r>
      <w:r w:rsidRPr="00A06330">
        <w:rPr>
          <w:rFonts w:ascii="Times New Roman" w:eastAsia="Calibri" w:hAnsi="Times New Roman" w:cs="Times New Roman"/>
          <w:sz w:val="24"/>
          <w:szCs w:val="24"/>
          <w:lang w:val="pt-BR"/>
        </w:rPr>
        <w:t xml:space="preserve"> têm suas</w:t>
      </w:r>
      <w:r w:rsidRPr="00695893">
        <w:rPr>
          <w:rFonts w:ascii="Times New Roman" w:eastAsia="Calibri" w:hAnsi="Times New Roman" w:cs="Times New Roman"/>
          <w:spacing w:val="1"/>
          <w:sz w:val="24"/>
          <w:szCs w:val="24"/>
          <w:lang w:val="pt-BR"/>
        </w:rPr>
        <w:t xml:space="preserve"> classificações de risco rebaixadas em dois níveis (Prova de estresse 1) e quatro níveis (Prova de estresse 2)</w:t>
      </w:r>
      <w:r>
        <w:rPr>
          <w:rFonts w:ascii="Times New Roman" w:eastAsia="Calibri" w:hAnsi="Times New Roman" w:cs="Times New Roman"/>
          <w:spacing w:val="1"/>
          <w:sz w:val="24"/>
          <w:szCs w:val="24"/>
          <w:lang w:val="pt-BR"/>
        </w:rPr>
        <w:t>.</w:t>
      </w:r>
      <w:r w:rsidRPr="00695893">
        <w:rPr>
          <w:rFonts w:ascii="Times New Roman" w:eastAsia="Calibri" w:hAnsi="Times New Roman" w:cs="Times New Roman"/>
          <w:spacing w:val="1"/>
          <w:sz w:val="24"/>
          <w:szCs w:val="24"/>
          <w:lang w:val="pt-BR"/>
        </w:rPr>
        <w:t xml:space="preserve">  Em seguida, as provisões são recalculadas com os níveis rebaixados.  </w:t>
      </w:r>
      <w:bookmarkStart w:id="6" w:name="_Hlk512494892"/>
      <w:r w:rsidRPr="00695893">
        <w:rPr>
          <w:rFonts w:ascii="Times New Roman" w:eastAsia="Times New Roman" w:hAnsi="Times New Roman" w:cs="Times New Roman"/>
          <w:sz w:val="24"/>
          <w:szCs w:val="24"/>
          <w:lang w:val="pt-BR" w:eastAsia="pt-BR"/>
        </w:rPr>
        <w:t xml:space="preserve">A provisão total da carteira atual sem rebaixamento </w:t>
      </w:r>
      <w:bookmarkEnd w:id="6"/>
      <w:r w:rsidRPr="00695893">
        <w:rPr>
          <w:rFonts w:ascii="Times New Roman" w:eastAsia="Times New Roman" w:hAnsi="Times New Roman" w:cs="Times New Roman"/>
          <w:sz w:val="24"/>
          <w:szCs w:val="24"/>
          <w:lang w:val="pt-BR" w:eastAsia="pt-BR"/>
        </w:rPr>
        <w:t>é de R$29,8 milhões, o que representa 2,5% do valor total da carteira.</w:t>
      </w:r>
    </w:p>
    <w:bookmarkEnd w:id="5"/>
    <w:p w14:paraId="44CF41B4" w14:textId="48E74B6A" w:rsidR="00427CAD" w:rsidRDefault="00427CAD" w:rsidP="00427CAD">
      <w:pPr>
        <w:spacing w:after="240" w:line="360" w:lineRule="auto"/>
        <w:ind w:right="68"/>
        <w:rPr>
          <w:rFonts w:ascii="Times New Roman" w:eastAsia="Calibri" w:hAnsi="Times New Roman" w:cs="Times New Roman"/>
          <w:spacing w:val="1"/>
          <w:sz w:val="24"/>
          <w:szCs w:val="24"/>
          <w:lang w:val="pt-BR"/>
        </w:rPr>
      </w:pPr>
      <w:r w:rsidRPr="00695893">
        <w:rPr>
          <w:rFonts w:ascii="Times New Roman" w:eastAsia="Calibri" w:hAnsi="Times New Roman" w:cs="Times New Roman"/>
          <w:spacing w:val="1"/>
          <w:sz w:val="24"/>
          <w:szCs w:val="24"/>
          <w:lang w:val="pt-BR"/>
        </w:rPr>
        <w:t>P</w:t>
      </w:r>
      <w:r w:rsidRPr="00695893">
        <w:rPr>
          <w:rFonts w:ascii="Times New Roman" w:eastAsia="Calibri" w:hAnsi="Times New Roman" w:cs="Times New Roman"/>
          <w:sz w:val="24"/>
          <w:szCs w:val="24"/>
          <w:lang w:val="pt-BR"/>
        </w:rPr>
        <w:t>ara</w:t>
      </w:r>
      <w:r w:rsidRPr="00695893">
        <w:rPr>
          <w:rFonts w:ascii="Times New Roman" w:eastAsia="Calibri" w:hAnsi="Times New Roman" w:cs="Times New Roman"/>
          <w:spacing w:val="2"/>
          <w:sz w:val="24"/>
          <w:szCs w:val="24"/>
          <w:lang w:val="pt-BR"/>
        </w:rPr>
        <w:t xml:space="preserve"> </w:t>
      </w:r>
      <w:r w:rsidRPr="00695893">
        <w:rPr>
          <w:rFonts w:ascii="Times New Roman" w:eastAsia="Calibri" w:hAnsi="Times New Roman" w:cs="Times New Roman"/>
          <w:sz w:val="24"/>
          <w:szCs w:val="24"/>
          <w:lang w:val="pt-BR"/>
        </w:rPr>
        <w:t>e</w:t>
      </w:r>
      <w:r w:rsidRPr="00695893">
        <w:rPr>
          <w:rFonts w:ascii="Times New Roman" w:eastAsia="Calibri" w:hAnsi="Times New Roman" w:cs="Times New Roman"/>
          <w:spacing w:val="-2"/>
          <w:sz w:val="24"/>
          <w:szCs w:val="24"/>
          <w:lang w:val="pt-BR"/>
        </w:rPr>
        <w:t>f</w:t>
      </w:r>
      <w:r w:rsidRPr="00695893">
        <w:rPr>
          <w:rFonts w:ascii="Times New Roman" w:eastAsia="Calibri" w:hAnsi="Times New Roman" w:cs="Times New Roman"/>
          <w:sz w:val="24"/>
          <w:szCs w:val="24"/>
          <w:lang w:val="pt-BR"/>
        </w:rPr>
        <w:t>eito</w:t>
      </w:r>
      <w:r w:rsidRPr="00695893">
        <w:rPr>
          <w:rFonts w:ascii="Times New Roman" w:eastAsia="Calibri" w:hAnsi="Times New Roman" w:cs="Times New Roman"/>
          <w:spacing w:val="4"/>
          <w:sz w:val="24"/>
          <w:szCs w:val="24"/>
          <w:lang w:val="pt-BR"/>
        </w:rPr>
        <w:t xml:space="preserve"> </w:t>
      </w:r>
      <w:r w:rsidRPr="00695893">
        <w:rPr>
          <w:rFonts w:ascii="Times New Roman" w:eastAsia="Calibri" w:hAnsi="Times New Roman" w:cs="Times New Roman"/>
          <w:sz w:val="24"/>
          <w:szCs w:val="24"/>
          <w:lang w:val="pt-BR"/>
        </w:rPr>
        <w:t>da prova de estresse 1</w:t>
      </w:r>
      <w:r w:rsidRPr="00695893">
        <w:rPr>
          <w:rFonts w:ascii="Times New Roman" w:eastAsia="Calibri" w:hAnsi="Times New Roman" w:cs="Times New Roman"/>
          <w:spacing w:val="3"/>
          <w:sz w:val="24"/>
          <w:szCs w:val="24"/>
          <w:lang w:val="pt-BR"/>
        </w:rPr>
        <w:t xml:space="preserve"> </w:t>
      </w:r>
      <w:r w:rsidRPr="00695893">
        <w:rPr>
          <w:rFonts w:ascii="Times New Roman" w:eastAsia="Calibri" w:hAnsi="Times New Roman" w:cs="Times New Roman"/>
          <w:spacing w:val="-1"/>
          <w:sz w:val="24"/>
          <w:szCs w:val="24"/>
          <w:lang w:val="pt-BR"/>
        </w:rPr>
        <w:t>d</w:t>
      </w:r>
      <w:r w:rsidRPr="00695893">
        <w:rPr>
          <w:rFonts w:ascii="Times New Roman" w:eastAsia="Calibri" w:hAnsi="Times New Roman" w:cs="Times New Roman"/>
          <w:sz w:val="24"/>
          <w:szCs w:val="24"/>
          <w:lang w:val="pt-BR"/>
        </w:rPr>
        <w:t>e</w:t>
      </w:r>
      <w:r w:rsidRPr="00695893">
        <w:rPr>
          <w:rFonts w:ascii="Times New Roman" w:eastAsia="Calibri" w:hAnsi="Times New Roman" w:cs="Times New Roman"/>
          <w:spacing w:val="3"/>
          <w:sz w:val="24"/>
          <w:szCs w:val="24"/>
          <w:lang w:val="pt-BR"/>
        </w:rPr>
        <w:t xml:space="preserve"> </w:t>
      </w:r>
      <w:r w:rsidRPr="00695893">
        <w:rPr>
          <w:rFonts w:ascii="Times New Roman" w:eastAsia="Calibri" w:hAnsi="Times New Roman" w:cs="Times New Roman"/>
          <w:sz w:val="24"/>
          <w:szCs w:val="24"/>
          <w:lang w:val="pt-BR"/>
        </w:rPr>
        <w:t>risco</w:t>
      </w:r>
      <w:r w:rsidRPr="00695893">
        <w:rPr>
          <w:rFonts w:ascii="Times New Roman" w:eastAsia="Calibri" w:hAnsi="Times New Roman" w:cs="Times New Roman"/>
          <w:spacing w:val="4"/>
          <w:sz w:val="24"/>
          <w:szCs w:val="24"/>
          <w:lang w:val="pt-BR"/>
        </w:rPr>
        <w:t xml:space="preserve"> </w:t>
      </w:r>
      <w:r w:rsidRPr="00695893">
        <w:rPr>
          <w:rFonts w:ascii="Times New Roman" w:eastAsia="Calibri" w:hAnsi="Times New Roman" w:cs="Times New Roman"/>
          <w:spacing w:val="-1"/>
          <w:sz w:val="24"/>
          <w:szCs w:val="24"/>
          <w:lang w:val="pt-BR"/>
        </w:rPr>
        <w:t>d</w:t>
      </w:r>
      <w:r w:rsidRPr="00695893">
        <w:rPr>
          <w:rFonts w:ascii="Times New Roman" w:eastAsia="Calibri" w:hAnsi="Times New Roman" w:cs="Times New Roman"/>
          <w:sz w:val="24"/>
          <w:szCs w:val="24"/>
          <w:lang w:val="pt-BR"/>
        </w:rPr>
        <w:t>e</w:t>
      </w:r>
      <w:r w:rsidRPr="00695893">
        <w:rPr>
          <w:rFonts w:ascii="Times New Roman" w:eastAsia="Calibri" w:hAnsi="Times New Roman" w:cs="Times New Roman"/>
          <w:spacing w:val="1"/>
          <w:sz w:val="24"/>
          <w:szCs w:val="24"/>
          <w:lang w:val="pt-BR"/>
        </w:rPr>
        <w:t xml:space="preserve"> </w:t>
      </w:r>
      <w:r w:rsidRPr="00793A41">
        <w:rPr>
          <w:rFonts w:ascii="Times New Roman" w:eastAsia="Calibri" w:hAnsi="Times New Roman" w:cs="Times New Roman"/>
          <w:spacing w:val="1"/>
          <w:sz w:val="24"/>
          <w:szCs w:val="24"/>
          <w:lang w:val="pt-BR"/>
        </w:rPr>
        <w:t>crédit</w:t>
      </w:r>
      <w:r w:rsidRPr="00695893">
        <w:rPr>
          <w:rFonts w:ascii="Times New Roman" w:eastAsia="Calibri" w:hAnsi="Times New Roman" w:cs="Times New Roman"/>
          <w:spacing w:val="1"/>
          <w:sz w:val="24"/>
          <w:szCs w:val="24"/>
          <w:lang w:val="pt-BR"/>
        </w:rPr>
        <w:t>o</w:t>
      </w:r>
      <w:r w:rsidRPr="00793A41">
        <w:rPr>
          <w:rFonts w:ascii="Times New Roman" w:eastAsia="Calibri" w:hAnsi="Times New Roman" w:cs="Times New Roman"/>
          <w:spacing w:val="1"/>
          <w:sz w:val="24"/>
          <w:szCs w:val="24"/>
          <w:lang w:val="pt-BR"/>
        </w:rPr>
        <w:t xml:space="preserve">, o índice de provisionamento da carteira sobe para 7,2% (R$84,7 milhões). </w:t>
      </w:r>
      <w:bookmarkStart w:id="7" w:name="_Hlk512494068"/>
      <w:r w:rsidRPr="00793A41">
        <w:rPr>
          <w:rFonts w:ascii="Times New Roman" w:eastAsia="Calibri" w:hAnsi="Times New Roman" w:cs="Times New Roman"/>
          <w:spacing w:val="1"/>
          <w:sz w:val="24"/>
          <w:szCs w:val="24"/>
          <w:lang w:val="pt-BR"/>
        </w:rPr>
        <w:t xml:space="preserve">Na prova de estresse 2, com os níveis de classificação de crédito rebaixados </w:t>
      </w:r>
      <w:r>
        <w:rPr>
          <w:rFonts w:ascii="Times New Roman" w:eastAsia="Calibri" w:hAnsi="Times New Roman" w:cs="Times New Roman"/>
          <w:spacing w:val="1"/>
          <w:sz w:val="24"/>
          <w:szCs w:val="24"/>
          <w:lang w:val="pt-BR"/>
        </w:rPr>
        <w:t>em quatro níveis</w:t>
      </w:r>
      <w:r w:rsidRPr="00793A41">
        <w:rPr>
          <w:rFonts w:ascii="Times New Roman" w:eastAsia="Calibri" w:hAnsi="Times New Roman" w:cs="Times New Roman"/>
          <w:spacing w:val="1"/>
          <w:sz w:val="24"/>
          <w:szCs w:val="24"/>
          <w:lang w:val="pt-BR"/>
        </w:rPr>
        <w:t xml:space="preserve">, chega-se a uma provisão de R$176 milhões (15,0%). Mesmo </w:t>
      </w:r>
      <w:r w:rsidR="00F815EB">
        <w:rPr>
          <w:rFonts w:ascii="Times New Roman" w:eastAsia="Calibri" w:hAnsi="Times New Roman" w:cs="Times New Roman"/>
          <w:spacing w:val="1"/>
          <w:sz w:val="24"/>
          <w:szCs w:val="24"/>
          <w:lang w:val="pt-BR"/>
        </w:rPr>
        <w:t>no</w:t>
      </w:r>
      <w:r w:rsidR="00F815EB" w:rsidRPr="00793A41">
        <w:rPr>
          <w:rFonts w:ascii="Times New Roman" w:eastAsia="Calibri" w:hAnsi="Times New Roman" w:cs="Times New Roman"/>
          <w:spacing w:val="1"/>
          <w:sz w:val="24"/>
          <w:szCs w:val="24"/>
          <w:lang w:val="pt-BR"/>
        </w:rPr>
        <w:t xml:space="preserve"> </w:t>
      </w:r>
      <w:r w:rsidRPr="00793A41">
        <w:rPr>
          <w:rFonts w:ascii="Times New Roman" w:eastAsia="Calibri" w:hAnsi="Times New Roman" w:cs="Times New Roman"/>
          <w:spacing w:val="1"/>
          <w:sz w:val="24"/>
          <w:szCs w:val="24"/>
          <w:lang w:val="pt-BR"/>
        </w:rPr>
        <w:t>cenário</w:t>
      </w:r>
      <w:r>
        <w:rPr>
          <w:rFonts w:ascii="Times New Roman" w:eastAsia="Calibri" w:hAnsi="Times New Roman" w:cs="Times New Roman"/>
          <w:spacing w:val="1"/>
          <w:sz w:val="24"/>
          <w:szCs w:val="24"/>
          <w:lang w:val="pt-BR"/>
        </w:rPr>
        <w:t xml:space="preserve"> mais pessimista</w:t>
      </w:r>
      <w:r w:rsidRPr="00793A41">
        <w:rPr>
          <w:rFonts w:ascii="Times New Roman" w:eastAsia="Calibri" w:hAnsi="Times New Roman" w:cs="Times New Roman"/>
          <w:spacing w:val="1"/>
          <w:sz w:val="24"/>
          <w:szCs w:val="24"/>
          <w:lang w:val="pt-BR"/>
        </w:rPr>
        <w:t xml:space="preserve"> a Fomento </w:t>
      </w:r>
      <w:r w:rsidR="00F815EB">
        <w:rPr>
          <w:rFonts w:ascii="Times New Roman" w:eastAsia="Calibri" w:hAnsi="Times New Roman" w:cs="Times New Roman"/>
          <w:spacing w:val="1"/>
          <w:sz w:val="24"/>
          <w:szCs w:val="24"/>
          <w:lang w:val="pt-BR"/>
        </w:rPr>
        <w:t xml:space="preserve">Paraná </w:t>
      </w:r>
      <w:r w:rsidRPr="00793A41">
        <w:rPr>
          <w:rFonts w:ascii="Times New Roman" w:eastAsia="Calibri" w:hAnsi="Times New Roman" w:cs="Times New Roman"/>
          <w:spacing w:val="1"/>
          <w:sz w:val="24"/>
          <w:szCs w:val="24"/>
          <w:lang w:val="pt-BR"/>
        </w:rPr>
        <w:t xml:space="preserve">permaneceria enquadrada dentro dos limites regulamentares, com um </w:t>
      </w:r>
      <w:r>
        <w:rPr>
          <w:rFonts w:ascii="Times New Roman" w:eastAsia="Calibri" w:hAnsi="Times New Roman" w:cs="Times New Roman"/>
          <w:spacing w:val="1"/>
          <w:sz w:val="24"/>
          <w:szCs w:val="24"/>
          <w:lang w:val="pt-BR"/>
        </w:rPr>
        <w:t>Í</w:t>
      </w:r>
      <w:r w:rsidRPr="00793A41">
        <w:rPr>
          <w:rFonts w:ascii="Times New Roman" w:eastAsia="Calibri" w:hAnsi="Times New Roman" w:cs="Times New Roman"/>
          <w:spacing w:val="1"/>
          <w:sz w:val="24"/>
          <w:szCs w:val="24"/>
          <w:lang w:val="pt-BR"/>
        </w:rPr>
        <w:t xml:space="preserve">ndice de Basileia de 13,33%.” (Fomento Paraná, 2017).  O limite mínimo do Índice Basiléia estabelecido pelo Banco Central é 11,0%, enquanto que o limite prudencial da Fomento Paraná é 25,0%. </w:t>
      </w:r>
    </w:p>
    <w:bookmarkEnd w:id="7"/>
    <w:p w14:paraId="5E186836" w14:textId="77777777" w:rsidR="00427CAD" w:rsidRPr="009766A2" w:rsidRDefault="00427CAD" w:rsidP="00427CAD">
      <w:pPr>
        <w:shd w:val="clear" w:color="auto" w:fill="FFFFFF"/>
        <w:spacing w:line="360" w:lineRule="auto"/>
        <w:rPr>
          <w:rFonts w:ascii="Times New Roman" w:eastAsia="Times New Roman" w:hAnsi="Times New Roman" w:cs="Times New Roman"/>
          <w:b/>
          <w:sz w:val="24"/>
          <w:szCs w:val="24"/>
          <w:lang w:val="pt-BR" w:eastAsia="pt-BR"/>
        </w:rPr>
      </w:pPr>
      <w:r w:rsidRPr="009766A2">
        <w:rPr>
          <w:rFonts w:ascii="Times New Roman" w:eastAsia="Times New Roman" w:hAnsi="Times New Roman" w:cs="Times New Roman"/>
          <w:b/>
          <w:sz w:val="24"/>
          <w:szCs w:val="24"/>
          <w:lang w:val="pt-BR" w:eastAsia="pt-BR"/>
        </w:rPr>
        <w:t>Os indicadores anuais de risco</w:t>
      </w:r>
    </w:p>
    <w:p w14:paraId="6962D268" w14:textId="77777777" w:rsidR="00427CAD" w:rsidRDefault="00427CAD" w:rsidP="00427CAD">
      <w:pPr>
        <w:spacing w:line="360" w:lineRule="auto"/>
        <w:rPr>
          <w:rFonts w:ascii="Times New Roman" w:hAnsi="Times New Roman" w:cs="Times New Roman"/>
          <w:color w:val="000000"/>
          <w:sz w:val="24"/>
          <w:szCs w:val="24"/>
          <w:lang w:val="pt-BR"/>
        </w:rPr>
      </w:pPr>
      <w:r w:rsidRPr="00792A90">
        <w:rPr>
          <w:rFonts w:ascii="Times New Roman" w:hAnsi="Times New Roman" w:cs="Times New Roman"/>
          <w:color w:val="000000"/>
          <w:sz w:val="24"/>
          <w:szCs w:val="24"/>
          <w:lang w:val="pt-BR"/>
        </w:rPr>
        <w:t>O Patrimônio de Referência (PR) da Fomento Paraná para os setores públicos e privados (teve um crescimento nominal de R$ 167 milhões, correspondendo a um aumento de 12% em relação a 2014.  O PR destacado para operação com o setor público teve um valor de R$1,3 bilhão em dezembro de 2017.  Devido à necessidade de provisionamento, o PR do setor privado foi reduzido de R$309 milhões em 2014 para R$227 milhões em 2017 (-26,5%). Durante o mesmo período, os Ativos Ponderados pelo Risco (Risk Weighted Assets -RWA) do setor privado aumentaram, resultando em uma queda do Índice Basileia (PR/RWA) de quase 81% em 2014 para 37,6% em 2017.</w:t>
      </w:r>
      <w:r w:rsidRPr="00695893">
        <w:rPr>
          <w:rFonts w:ascii="Times New Roman" w:hAnsi="Times New Roman" w:cs="Times New Roman"/>
          <w:color w:val="000000"/>
          <w:sz w:val="24"/>
          <w:szCs w:val="24"/>
          <w:lang w:val="pt-BR"/>
        </w:rPr>
        <w:t xml:space="preserve">  </w:t>
      </w:r>
    </w:p>
    <w:p w14:paraId="0F2EC41D" w14:textId="77777777" w:rsidR="00427CAD" w:rsidRPr="00695893" w:rsidRDefault="00427CAD" w:rsidP="00427CAD">
      <w:pPr>
        <w:shd w:val="clear" w:color="auto" w:fill="FFFFFF"/>
        <w:spacing w:line="360" w:lineRule="auto"/>
        <w:rPr>
          <w:rFonts w:ascii="Times New Roman" w:eastAsia="Times New Roman" w:hAnsi="Times New Roman" w:cs="Times New Roman"/>
          <w:sz w:val="24"/>
          <w:szCs w:val="24"/>
          <w:u w:val="single"/>
          <w:lang w:val="pt-BR" w:eastAsia="pt-BR"/>
        </w:rPr>
      </w:pPr>
      <w:r w:rsidRPr="00695893">
        <w:rPr>
          <w:rFonts w:ascii="Times New Roman" w:eastAsia="Times New Roman" w:hAnsi="Times New Roman" w:cs="Times New Roman"/>
          <w:sz w:val="24"/>
          <w:szCs w:val="24"/>
          <w:u w:val="single"/>
          <w:lang w:val="pt-BR" w:eastAsia="pt-BR"/>
        </w:rPr>
        <w:t xml:space="preserve">Os </w:t>
      </w:r>
      <w:r w:rsidRPr="00695893">
        <w:rPr>
          <w:rFonts w:ascii="Times New Roman" w:eastAsia="Times New Roman" w:hAnsi="Times New Roman" w:cs="Times New Roman"/>
          <w:i/>
          <w:sz w:val="24"/>
          <w:szCs w:val="24"/>
          <w:u w:val="single"/>
          <w:lang w:val="pt-BR" w:eastAsia="pt-BR"/>
        </w:rPr>
        <w:t xml:space="preserve">ratings </w:t>
      </w:r>
      <w:r w:rsidRPr="00695893">
        <w:rPr>
          <w:rFonts w:ascii="Times New Roman" w:eastAsia="Times New Roman" w:hAnsi="Times New Roman" w:cs="Times New Roman"/>
          <w:sz w:val="24"/>
          <w:szCs w:val="24"/>
          <w:u w:val="single"/>
          <w:lang w:val="pt-BR" w:eastAsia="pt-BR"/>
        </w:rPr>
        <w:t>das Agências Fitch e Moody’s</w:t>
      </w:r>
    </w:p>
    <w:p w14:paraId="10264855" w14:textId="77777777" w:rsidR="00427CAD" w:rsidRPr="00695893" w:rsidRDefault="00427CAD" w:rsidP="00427CAD">
      <w:pPr>
        <w:spacing w:line="360" w:lineRule="auto"/>
        <w:rPr>
          <w:rFonts w:ascii="Times New Roman" w:eastAsia="Times New Roman" w:hAnsi="Times New Roman" w:cs="Times New Roman"/>
          <w:sz w:val="24"/>
          <w:szCs w:val="24"/>
          <w:lang w:val="pt-BR"/>
        </w:rPr>
      </w:pPr>
      <w:r w:rsidRPr="00695893">
        <w:rPr>
          <w:rFonts w:ascii="Times New Roman" w:eastAsia="Times New Roman" w:hAnsi="Times New Roman" w:cs="Times New Roman"/>
          <w:sz w:val="24"/>
          <w:szCs w:val="24"/>
          <w:lang w:val="pt-BR"/>
        </w:rPr>
        <w:t>Em janeiro de 2018, os ratings da Fomento Paraná fornecidos pelas agências classificadoras Moody’s</w:t>
      </w:r>
      <w:r>
        <w:rPr>
          <w:rFonts w:ascii="Times New Roman" w:eastAsia="Times New Roman" w:hAnsi="Times New Roman" w:cs="Times New Roman"/>
          <w:sz w:val="24"/>
          <w:szCs w:val="24"/>
          <w:lang w:val="pt-BR"/>
        </w:rPr>
        <w:t xml:space="preserve"> </w:t>
      </w:r>
      <w:r w:rsidRPr="00695893">
        <w:rPr>
          <w:rFonts w:ascii="Times New Roman" w:eastAsia="Times New Roman" w:hAnsi="Times New Roman" w:cs="Times New Roman"/>
          <w:sz w:val="24"/>
          <w:szCs w:val="24"/>
          <w:lang w:val="pt-BR"/>
        </w:rPr>
        <w:t xml:space="preserve">e Fitch foram de grau de investimento na escala nacional brasileira para longo e curto </w:t>
      </w:r>
      <w:r w:rsidRPr="00695893">
        <w:rPr>
          <w:rFonts w:ascii="Times New Roman" w:eastAsia="Times New Roman" w:hAnsi="Times New Roman" w:cs="Times New Roman"/>
          <w:sz w:val="24"/>
          <w:szCs w:val="24"/>
          <w:lang w:val="pt-BR"/>
        </w:rPr>
        <w:lastRenderedPageBreak/>
        <w:t>prazos.  Porém, os ratings d</w:t>
      </w:r>
      <w:r>
        <w:rPr>
          <w:rFonts w:ascii="Times New Roman" w:eastAsia="Times New Roman" w:hAnsi="Times New Roman" w:cs="Times New Roman"/>
          <w:sz w:val="24"/>
          <w:szCs w:val="24"/>
          <w:lang w:val="pt-BR"/>
        </w:rPr>
        <w:t>a</w:t>
      </w:r>
      <w:r w:rsidRPr="00695893">
        <w:rPr>
          <w:rFonts w:ascii="Times New Roman" w:eastAsia="Times New Roman" w:hAnsi="Times New Roman" w:cs="Times New Roman"/>
          <w:sz w:val="24"/>
          <w:szCs w:val="24"/>
          <w:lang w:val="pt-BR"/>
        </w:rPr>
        <w:t xml:space="preserve"> Fomento Paraná na escala global não atingiram grau de investimento, em parte porque o </w:t>
      </w:r>
      <w:r w:rsidRPr="00695893">
        <w:rPr>
          <w:rFonts w:ascii="Times New Roman" w:eastAsia="Times New Roman" w:hAnsi="Times New Roman" w:cs="Times New Roman"/>
          <w:i/>
          <w:sz w:val="24"/>
          <w:szCs w:val="24"/>
          <w:lang w:val="pt-BR"/>
        </w:rPr>
        <w:t xml:space="preserve">rating </w:t>
      </w:r>
      <w:r w:rsidRPr="00695893">
        <w:rPr>
          <w:rFonts w:ascii="Times New Roman" w:eastAsia="Times New Roman" w:hAnsi="Times New Roman" w:cs="Times New Roman"/>
          <w:sz w:val="24"/>
          <w:szCs w:val="24"/>
          <w:lang w:val="pt-BR"/>
        </w:rPr>
        <w:t xml:space="preserve">soberano do Brasil ficou abaixo do grau de investimento. </w:t>
      </w:r>
    </w:p>
    <w:p w14:paraId="27B19669" w14:textId="77777777" w:rsidR="00427CAD" w:rsidRPr="00695893" w:rsidRDefault="00427CAD" w:rsidP="00427CAD">
      <w:pPr>
        <w:spacing w:line="360" w:lineRule="auto"/>
        <w:rPr>
          <w:rFonts w:ascii="Times New Roman" w:hAnsi="Times New Roman" w:cs="Times New Roman"/>
          <w:b/>
          <w:sz w:val="24"/>
          <w:szCs w:val="24"/>
          <w:lang w:val="pt-BR"/>
        </w:rPr>
      </w:pPr>
      <w:r w:rsidRPr="00695893">
        <w:rPr>
          <w:rFonts w:ascii="Times New Roman" w:eastAsia="Times New Roman" w:hAnsi="Times New Roman" w:cs="Times New Roman"/>
          <w:sz w:val="24"/>
          <w:szCs w:val="24"/>
          <w:lang w:val="pt-BR"/>
        </w:rPr>
        <w:t>Em janeiro de 2018, a Fomento Paraná descontinuou os contratos com a Moody’s e com a Fitch. O Diretor Administrativo e Financeiro da Fomento Paraná explicou que "A retirada de rating por parte das agências classificadoras foi decorrente da decisão da Fomento Paraná em descontinuar o contrato de análise de crédito firmado com aquelas empresas, pois se tratava de investimento sem retorno em curto prazo, bem como não ser a classificação uma exigência para captações a partir de 2017.</w:t>
      </w:r>
      <w:r>
        <w:rPr>
          <w:rFonts w:ascii="Times New Roman" w:eastAsia="Times New Roman" w:hAnsi="Times New Roman" w:cs="Times New Roman"/>
          <w:sz w:val="24"/>
          <w:szCs w:val="24"/>
          <w:lang w:val="pt-BR"/>
        </w:rPr>
        <w:t>”</w:t>
      </w:r>
      <w:r w:rsidRPr="00695893">
        <w:rPr>
          <w:rFonts w:ascii="Times New Roman" w:eastAsia="Times New Roman" w:hAnsi="Times New Roman" w:cs="Times New Roman"/>
          <w:sz w:val="24"/>
          <w:szCs w:val="24"/>
          <w:lang w:val="pt-BR"/>
        </w:rPr>
        <w:t xml:space="preserve"> </w:t>
      </w:r>
    </w:p>
    <w:p w14:paraId="62E3F017" w14:textId="77777777" w:rsidR="00427CAD" w:rsidRPr="00695893" w:rsidRDefault="00427CAD" w:rsidP="00427CAD">
      <w:pPr>
        <w:pStyle w:val="BodyText"/>
        <w:spacing w:line="360" w:lineRule="auto"/>
        <w:jc w:val="center"/>
        <w:rPr>
          <w:rFonts w:ascii="Times New Roman" w:eastAsia="Calibri" w:hAnsi="Times New Roman" w:cs="Times New Roman"/>
          <w:b/>
          <w:sz w:val="24"/>
          <w:szCs w:val="24"/>
          <w:u w:val="single"/>
          <w:lang w:val="pt-BR"/>
        </w:rPr>
      </w:pPr>
      <w:r w:rsidRPr="00695893">
        <w:rPr>
          <w:rFonts w:ascii="Times New Roman" w:eastAsia="Calibri" w:hAnsi="Times New Roman"/>
          <w:b/>
          <w:sz w:val="24"/>
          <w:szCs w:val="24"/>
          <w:u w:val="single"/>
          <w:lang w:val="pt-BR"/>
        </w:rPr>
        <w:t xml:space="preserve">Capitulo II. </w:t>
      </w:r>
      <w:r w:rsidRPr="00695893">
        <w:rPr>
          <w:rFonts w:ascii="Times New Roman" w:eastAsia="Calibri" w:hAnsi="Times New Roman" w:cs="Times New Roman"/>
          <w:b/>
          <w:sz w:val="24"/>
          <w:szCs w:val="24"/>
          <w:u w:val="single"/>
          <w:lang w:val="pt-BR"/>
        </w:rPr>
        <w:t>Revis</w:t>
      </w:r>
      <w:r w:rsidRPr="00695893">
        <w:rPr>
          <w:rFonts w:ascii="Times New Roman" w:eastAsia="Calibri" w:hAnsi="Times New Roman"/>
          <w:b/>
          <w:sz w:val="24"/>
          <w:szCs w:val="24"/>
          <w:u w:val="single"/>
          <w:lang w:val="pt-BR"/>
        </w:rPr>
        <w:t>ão d</w:t>
      </w:r>
      <w:r w:rsidRPr="00695893">
        <w:rPr>
          <w:rFonts w:ascii="Times New Roman" w:eastAsia="Calibri" w:hAnsi="Times New Roman" w:cs="Times New Roman"/>
          <w:b/>
          <w:sz w:val="24"/>
          <w:szCs w:val="24"/>
          <w:u w:val="single"/>
          <w:lang w:val="pt-BR"/>
        </w:rPr>
        <w:t>a matriz de financiamento do FDU</w:t>
      </w:r>
    </w:p>
    <w:p w14:paraId="5D7E9A2A" w14:textId="77777777" w:rsidR="00427CAD" w:rsidRDefault="00427CAD" w:rsidP="00427CAD">
      <w:pPr>
        <w:spacing w:line="360" w:lineRule="auto"/>
        <w:rPr>
          <w:rFonts w:ascii="Times New Roman" w:hAnsi="Times New Roman" w:cs="Times New Roman"/>
          <w:sz w:val="24"/>
          <w:szCs w:val="24"/>
          <w:lang w:val="pt-BR"/>
        </w:rPr>
      </w:pPr>
      <w:r w:rsidRPr="00695893">
        <w:rPr>
          <w:rFonts w:ascii="Times New Roman" w:hAnsi="Times New Roman" w:cs="Times New Roman"/>
          <w:sz w:val="24"/>
          <w:szCs w:val="24"/>
          <w:lang w:val="pt-BR"/>
        </w:rPr>
        <w:t>Desde o início da execução do segundo empréstimo do Paraná em 2003, o FDU liberou R$3,4 bilhões em valores constantes de 2017 (US$1</w:t>
      </w:r>
      <w:r>
        <w:rPr>
          <w:rFonts w:ascii="Times New Roman" w:hAnsi="Times New Roman" w:cs="Times New Roman"/>
          <w:sz w:val="24"/>
          <w:szCs w:val="24"/>
          <w:lang w:val="pt-BR"/>
        </w:rPr>
        <w:t>,</w:t>
      </w:r>
      <w:r w:rsidRPr="00695893">
        <w:rPr>
          <w:rFonts w:ascii="Times New Roman" w:hAnsi="Times New Roman" w:cs="Times New Roman"/>
          <w:sz w:val="24"/>
          <w:szCs w:val="24"/>
          <w:lang w:val="pt-BR"/>
        </w:rPr>
        <w:t>1 bilhão)</w:t>
      </w:r>
      <w:r>
        <w:rPr>
          <w:rFonts w:ascii="Times New Roman" w:hAnsi="Times New Roman" w:cs="Times New Roman"/>
          <w:sz w:val="24"/>
          <w:szCs w:val="24"/>
          <w:lang w:val="pt-BR"/>
        </w:rPr>
        <w:t xml:space="preserve"> em empréstimos</w:t>
      </w:r>
      <w:r w:rsidRPr="00695893">
        <w:rPr>
          <w:rFonts w:ascii="Times New Roman" w:hAnsi="Times New Roman" w:cs="Times New Roman"/>
          <w:sz w:val="24"/>
          <w:szCs w:val="24"/>
          <w:lang w:val="pt-BR"/>
        </w:rPr>
        <w:t xml:space="preserve"> aos municípios. Mesmo com a grande recessão no período entre 2014/2016, o SFM contraiu uma média anual de R$242</w:t>
      </w:r>
      <w:r>
        <w:rPr>
          <w:rFonts w:ascii="Times New Roman" w:hAnsi="Times New Roman" w:cs="Times New Roman"/>
          <w:sz w:val="24"/>
          <w:szCs w:val="24"/>
          <w:lang w:val="pt-BR"/>
        </w:rPr>
        <w:t>,</w:t>
      </w:r>
      <w:r w:rsidRPr="00695893">
        <w:rPr>
          <w:rFonts w:ascii="Times New Roman" w:hAnsi="Times New Roman" w:cs="Times New Roman"/>
          <w:sz w:val="24"/>
          <w:szCs w:val="24"/>
          <w:lang w:val="pt-BR"/>
        </w:rPr>
        <w:t>3 milhões (US$75</w:t>
      </w:r>
      <w:r>
        <w:rPr>
          <w:rFonts w:ascii="Times New Roman" w:hAnsi="Times New Roman" w:cs="Times New Roman"/>
          <w:sz w:val="24"/>
          <w:szCs w:val="24"/>
          <w:lang w:val="pt-BR"/>
        </w:rPr>
        <w:t>,</w:t>
      </w:r>
      <w:r w:rsidRPr="00695893">
        <w:rPr>
          <w:rFonts w:ascii="Times New Roman" w:hAnsi="Times New Roman" w:cs="Times New Roman"/>
          <w:sz w:val="24"/>
          <w:szCs w:val="24"/>
          <w:lang w:val="pt-BR"/>
        </w:rPr>
        <w:t xml:space="preserve">7 milhões) em empréstimos para o período </w:t>
      </w:r>
      <w:r>
        <w:rPr>
          <w:rFonts w:ascii="Times New Roman" w:hAnsi="Times New Roman" w:cs="Times New Roman"/>
          <w:sz w:val="24"/>
          <w:szCs w:val="24"/>
          <w:lang w:val="pt-BR"/>
        </w:rPr>
        <w:t>entre</w:t>
      </w:r>
      <w:r w:rsidRPr="00695893">
        <w:rPr>
          <w:rFonts w:ascii="Times New Roman" w:hAnsi="Times New Roman" w:cs="Times New Roman"/>
          <w:sz w:val="24"/>
          <w:szCs w:val="24"/>
          <w:lang w:val="pt-BR"/>
        </w:rPr>
        <w:t xml:space="preserve"> 2014/2017. No entanto, o montante contratado em 2017 foi de cerca de 12,5% inferior à média anual para este período, possivelmente devido aos efeitos tardios da recessão.</w:t>
      </w:r>
    </w:p>
    <w:p w14:paraId="5CED281B" w14:textId="77777777" w:rsidR="00427CAD" w:rsidRPr="00CA2760" w:rsidRDefault="00427CAD" w:rsidP="00427CAD">
      <w:pPr>
        <w:pStyle w:val="Paragraph"/>
        <w:tabs>
          <w:tab w:val="num" w:pos="1440"/>
        </w:tabs>
        <w:spacing w:line="360" w:lineRule="auto"/>
        <w:jc w:val="center"/>
        <w:rPr>
          <w:szCs w:val="24"/>
          <w:lang w:val="pt-BR"/>
        </w:rPr>
      </w:pPr>
      <w:r w:rsidRPr="00CA2760">
        <w:rPr>
          <w:b/>
          <w:szCs w:val="24"/>
          <w:lang w:val="pt-BR"/>
        </w:rPr>
        <w:t>Os termos dos empréstimos do FDU</w:t>
      </w:r>
    </w:p>
    <w:p w14:paraId="11286E66" w14:textId="77777777" w:rsidR="00427CAD" w:rsidRPr="008C1F8A" w:rsidRDefault="00427CAD" w:rsidP="00427CAD">
      <w:pPr>
        <w:pStyle w:val="Paragraph"/>
        <w:tabs>
          <w:tab w:val="num" w:pos="1440"/>
        </w:tabs>
        <w:spacing w:line="360" w:lineRule="auto"/>
        <w:jc w:val="left"/>
        <w:rPr>
          <w:szCs w:val="24"/>
          <w:lang w:val="pt-BR"/>
        </w:rPr>
      </w:pPr>
      <w:r w:rsidRPr="00CA2760">
        <w:rPr>
          <w:szCs w:val="24"/>
          <w:lang w:val="pt-BR"/>
        </w:rPr>
        <w:t xml:space="preserve">Desde </w:t>
      </w:r>
      <w:r>
        <w:rPr>
          <w:szCs w:val="24"/>
          <w:lang w:val="pt-BR"/>
        </w:rPr>
        <w:t>seu</w:t>
      </w:r>
      <w:r w:rsidRPr="00CA2760">
        <w:rPr>
          <w:szCs w:val="24"/>
          <w:lang w:val="pt-BR"/>
        </w:rPr>
        <w:t xml:space="preserve"> início, o FDU tem mantido períodos de carência e prazos </w:t>
      </w:r>
      <w:r>
        <w:rPr>
          <w:szCs w:val="24"/>
          <w:lang w:val="pt-BR"/>
        </w:rPr>
        <w:t>reduzidos de 5 a 8 anos</w:t>
      </w:r>
      <w:r w:rsidRPr="00CA2760">
        <w:rPr>
          <w:szCs w:val="24"/>
          <w:lang w:val="pt-BR"/>
        </w:rPr>
        <w:t xml:space="preserve">, como forma de incentivar os municípios a avançarem rapidamente para a execução do projeto e também serem capazes de </w:t>
      </w:r>
      <w:r>
        <w:rPr>
          <w:szCs w:val="24"/>
          <w:lang w:val="pt-BR"/>
        </w:rPr>
        <w:t>reemprestar</w:t>
      </w:r>
      <w:r w:rsidRPr="00CA2760">
        <w:rPr>
          <w:szCs w:val="24"/>
          <w:lang w:val="pt-BR"/>
        </w:rPr>
        <w:t xml:space="preserve"> os valores reembolsados para outros municípios com maior agilidade. Além disso, o curto período </w:t>
      </w:r>
      <w:r>
        <w:rPr>
          <w:szCs w:val="24"/>
          <w:lang w:val="pt-BR"/>
        </w:rPr>
        <w:t>de</w:t>
      </w:r>
      <w:r w:rsidRPr="00CA2760">
        <w:rPr>
          <w:szCs w:val="24"/>
          <w:lang w:val="pt-BR"/>
        </w:rPr>
        <w:t xml:space="preserve"> carência pode fazer com que o prefeito e o </w:t>
      </w:r>
      <w:r w:rsidRPr="00125E59">
        <w:rPr>
          <w:szCs w:val="24"/>
          <w:lang w:val="pt-BR"/>
        </w:rPr>
        <w:t>Conselho Municipal comecem a amortizar o empréstimo durante seus mandatos, em vez de empurrar toda a amortização para a próxima administração municipal</w:t>
      </w:r>
      <w:r w:rsidRPr="008C1F8A">
        <w:rPr>
          <w:szCs w:val="24"/>
          <w:lang w:val="pt-BR"/>
        </w:rPr>
        <w:t>.  O FDU pode financiar até 100% do custo direto do projeto, e o financiamento com contrapartida municipal está limitado a um percentual máximo de 20% do custo total.</w:t>
      </w:r>
    </w:p>
    <w:p w14:paraId="572009AF" w14:textId="6C450C6E" w:rsidR="00427CAD" w:rsidRDefault="00427CAD" w:rsidP="00427CAD">
      <w:pPr>
        <w:shd w:val="clear" w:color="auto" w:fill="FFFFFF"/>
        <w:spacing w:before="240" w:line="360" w:lineRule="auto"/>
        <w:rPr>
          <w:rFonts w:ascii="Times New Roman" w:hAnsi="Times New Roman" w:cs="Times New Roman"/>
          <w:sz w:val="24"/>
          <w:szCs w:val="24"/>
          <w:lang w:val="pt-BR"/>
        </w:rPr>
      </w:pPr>
      <w:r w:rsidRPr="008C1F8A">
        <w:rPr>
          <w:rFonts w:ascii="Times New Roman" w:hAnsi="Times New Roman" w:cs="Times New Roman"/>
          <w:sz w:val="24"/>
          <w:szCs w:val="24"/>
          <w:lang w:val="pt-BR"/>
        </w:rPr>
        <w:t>O FDU cobra os juros com base na Taxa de Juros de Longo Prazo (TJLP), definida pelas</w:t>
      </w:r>
      <w:r w:rsidRPr="00CA2760">
        <w:rPr>
          <w:rFonts w:ascii="Times New Roman" w:hAnsi="Times New Roman" w:cs="Times New Roman"/>
          <w:sz w:val="24"/>
          <w:szCs w:val="24"/>
          <w:lang w:val="pt-BR"/>
        </w:rPr>
        <w:t xml:space="preserve"> autoridades monetárias nacionais, além de </w:t>
      </w:r>
      <w:r w:rsidRPr="00CA2760">
        <w:rPr>
          <w:rFonts w:ascii="Times New Roman" w:hAnsi="Times New Roman" w:cs="Times New Roman"/>
          <w:i/>
          <w:sz w:val="24"/>
          <w:szCs w:val="24"/>
          <w:lang w:val="pt-BR"/>
        </w:rPr>
        <w:t>spreads</w:t>
      </w:r>
      <w:r w:rsidRPr="00CA2760">
        <w:rPr>
          <w:rFonts w:ascii="Times New Roman" w:hAnsi="Times New Roman" w:cs="Times New Roman"/>
          <w:sz w:val="24"/>
          <w:szCs w:val="24"/>
          <w:lang w:val="pt-BR"/>
        </w:rPr>
        <w:t xml:space="preserve"> que variam entre 4,25% para 6,50%, com base no tamanho total da população municipal em </w:t>
      </w:r>
      <w:r w:rsidRPr="00A47D27">
        <w:rPr>
          <w:rFonts w:ascii="Times New Roman" w:hAnsi="Times New Roman" w:cs="Times New Roman"/>
          <w:sz w:val="24"/>
          <w:szCs w:val="24"/>
          <w:lang w:val="pt-BR"/>
        </w:rPr>
        <w:t>2010.</w:t>
      </w:r>
      <w:r w:rsidRPr="00CA2760">
        <w:rPr>
          <w:rFonts w:ascii="Times New Roman" w:hAnsi="Times New Roman" w:cs="Times New Roman"/>
          <w:sz w:val="24"/>
          <w:szCs w:val="24"/>
          <w:lang w:val="pt-BR"/>
        </w:rPr>
        <w:t xml:space="preserve"> </w:t>
      </w:r>
      <w:r w:rsidRPr="00CA2760">
        <w:rPr>
          <w:rFonts w:ascii="Times New Roman" w:eastAsia="Times New Roman" w:hAnsi="Times New Roman" w:cs="Times New Roman"/>
          <w:sz w:val="24"/>
          <w:szCs w:val="24"/>
          <w:lang w:val="pt-BR" w:eastAsia="pt-BR"/>
        </w:rPr>
        <w:t xml:space="preserve">O TJPL é uma taxa de juros administrada que nem sempre cobre a taxa total de inflação. </w:t>
      </w:r>
      <w:r>
        <w:rPr>
          <w:rFonts w:ascii="Times New Roman" w:eastAsia="Times New Roman" w:hAnsi="Times New Roman" w:cs="Times New Roman"/>
          <w:sz w:val="24"/>
          <w:szCs w:val="24"/>
          <w:lang w:val="pt-BR" w:eastAsia="pt-BR"/>
        </w:rPr>
        <w:t>C</w:t>
      </w:r>
      <w:r w:rsidRPr="00A47D27">
        <w:rPr>
          <w:rFonts w:ascii="Times New Roman" w:eastAsia="Times New Roman" w:hAnsi="Times New Roman" w:cs="Times New Roman"/>
          <w:sz w:val="24"/>
          <w:szCs w:val="24"/>
          <w:lang w:val="pt-BR" w:eastAsia="pt-BR"/>
        </w:rPr>
        <w:t xml:space="preserve">om os </w:t>
      </w:r>
      <w:r w:rsidRPr="00A47D27">
        <w:rPr>
          <w:rFonts w:ascii="Times New Roman" w:eastAsia="Times New Roman" w:hAnsi="Times New Roman" w:cs="Times New Roman"/>
          <w:i/>
          <w:sz w:val="24"/>
          <w:szCs w:val="24"/>
          <w:lang w:val="pt-BR" w:eastAsia="pt-BR"/>
        </w:rPr>
        <w:t>spreads</w:t>
      </w:r>
      <w:r w:rsidRPr="00A47D27">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 xml:space="preserve">dos empréstimos do </w:t>
      </w:r>
      <w:r>
        <w:rPr>
          <w:rFonts w:ascii="Times New Roman" w:eastAsia="Times New Roman" w:hAnsi="Times New Roman" w:cs="Times New Roman"/>
          <w:sz w:val="24"/>
          <w:szCs w:val="24"/>
          <w:lang w:val="pt-BR" w:eastAsia="pt-BR"/>
        </w:rPr>
        <w:lastRenderedPageBreak/>
        <w:t>FDU</w:t>
      </w:r>
      <w:r w:rsidRPr="00A47D27">
        <w:rPr>
          <w:rFonts w:ascii="Times New Roman" w:eastAsia="Times New Roman" w:hAnsi="Times New Roman" w:cs="Times New Roman"/>
          <w:sz w:val="24"/>
          <w:szCs w:val="24"/>
          <w:lang w:val="pt-BR" w:eastAsia="pt-BR"/>
        </w:rPr>
        <w:t>, as taxas de juro reais cobradas pelo SFM (TJLP + spread – IPCA) foram sempre positivas</w:t>
      </w:r>
      <w:r>
        <w:rPr>
          <w:rFonts w:ascii="Times New Roman" w:eastAsia="Times New Roman" w:hAnsi="Times New Roman" w:cs="Times New Roman"/>
          <w:sz w:val="24"/>
          <w:szCs w:val="24"/>
          <w:lang w:val="pt-BR" w:eastAsia="pt-BR"/>
        </w:rPr>
        <w:t xml:space="preserve"> durante este período</w:t>
      </w:r>
      <w:r w:rsidRPr="00A47D27">
        <w:rPr>
          <w:rFonts w:ascii="Times New Roman" w:eastAsia="Times New Roman" w:hAnsi="Times New Roman" w:cs="Times New Roman"/>
          <w:sz w:val="24"/>
          <w:szCs w:val="24"/>
          <w:lang w:val="pt-BR" w:eastAsia="pt-BR"/>
        </w:rPr>
        <w:t>.</w:t>
      </w:r>
    </w:p>
    <w:p w14:paraId="0320551F" w14:textId="2FFAB985" w:rsidR="00427CAD" w:rsidRPr="008C1F8A" w:rsidRDefault="00427CAD" w:rsidP="00427CAD">
      <w:pPr>
        <w:shd w:val="clear" w:color="auto" w:fill="FFFFFF"/>
        <w:spacing w:before="240" w:line="360" w:lineRule="auto"/>
        <w:rPr>
          <w:rStyle w:val="ts-alignment-element"/>
          <w:lang w:val="pt-BR"/>
        </w:rPr>
      </w:pPr>
      <w:r w:rsidRPr="0005602F">
        <w:rPr>
          <w:rFonts w:ascii="Times New Roman" w:hAnsi="Times New Roman" w:cs="Times New Roman"/>
          <w:sz w:val="24"/>
          <w:szCs w:val="24"/>
          <w:lang w:val="pt-BR"/>
        </w:rPr>
        <w:t xml:space="preserve">A </w:t>
      </w:r>
      <w:r w:rsidRPr="0005602F">
        <w:rPr>
          <w:rStyle w:val="ts-alignment-element"/>
          <w:rFonts w:ascii="Times New Roman" w:hAnsi="Times New Roman" w:cs="Times New Roman"/>
          <w:sz w:val="24"/>
          <w:szCs w:val="24"/>
          <w:lang w:val="pt-BR"/>
        </w:rPr>
        <w:t>média</w:t>
      </w:r>
      <w:r w:rsidRPr="0005602F">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simples</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das</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 xml:space="preserve">margens (i.e., </w:t>
      </w:r>
      <w:r w:rsidRPr="005D6609">
        <w:rPr>
          <w:rStyle w:val="ts-alignment-element"/>
          <w:rFonts w:ascii="Times New Roman" w:hAnsi="Times New Roman" w:cs="Times New Roman"/>
          <w:i/>
          <w:sz w:val="24"/>
          <w:szCs w:val="24"/>
          <w:lang w:val="pt-BR"/>
        </w:rPr>
        <w:t>spreads</w:t>
      </w:r>
      <w:r w:rsidRPr="005D6609">
        <w:rPr>
          <w:rStyle w:val="ts-alignment-element"/>
          <w:rFonts w:ascii="Times New Roman" w:hAnsi="Times New Roman" w:cs="Times New Roman"/>
          <w:sz w:val="24"/>
          <w:szCs w:val="24"/>
          <w:lang w:val="pt-BR"/>
        </w:rPr>
        <w:t>)</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dos</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empréstimos</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contratados</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em</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2017</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era</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5,63%.</w:t>
      </w:r>
      <w:r w:rsidRPr="005D6609">
        <w:rPr>
          <w:rFonts w:ascii="Times New Roman" w:hAnsi="Times New Roman" w:cs="Times New Roman"/>
          <w:sz w:val="24"/>
          <w:szCs w:val="24"/>
          <w:lang w:val="pt-BR"/>
        </w:rPr>
        <w:t xml:space="preserve"> Assim sendo, a </w:t>
      </w:r>
      <w:r w:rsidRPr="005D6609">
        <w:rPr>
          <w:rStyle w:val="ts-alignment-element"/>
          <w:rFonts w:ascii="Times New Roman" w:hAnsi="Times New Roman" w:cs="Times New Roman"/>
          <w:sz w:val="24"/>
          <w:szCs w:val="24"/>
          <w:lang w:val="pt-BR"/>
        </w:rPr>
        <w:t>média</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ponderada</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com</w:t>
      </w:r>
      <w:r w:rsidRPr="005D6609">
        <w:rPr>
          <w:rFonts w:ascii="Times New Roman" w:hAnsi="Times New Roman" w:cs="Times New Roman"/>
          <w:sz w:val="24"/>
          <w:szCs w:val="24"/>
          <w:lang w:val="pt-BR"/>
        </w:rPr>
        <w:t xml:space="preserve"> a </w:t>
      </w:r>
      <w:r w:rsidRPr="005D6609">
        <w:rPr>
          <w:rStyle w:val="ts-alignment-element"/>
          <w:rFonts w:ascii="Times New Roman" w:hAnsi="Times New Roman" w:cs="Times New Roman"/>
          <w:sz w:val="24"/>
          <w:szCs w:val="24"/>
          <w:lang w:val="pt-BR"/>
        </w:rPr>
        <w:t>distribuição</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dos</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empréstimos</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é</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ligeiramente</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inferior</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 xml:space="preserve">5,48%), devido à elevada concentração dos empréstimos contratados nas duas faixas </w:t>
      </w:r>
      <w:r>
        <w:rPr>
          <w:rStyle w:val="ts-alignment-element"/>
          <w:rFonts w:ascii="Times New Roman" w:hAnsi="Times New Roman" w:cs="Times New Roman"/>
          <w:sz w:val="24"/>
          <w:szCs w:val="24"/>
          <w:lang w:val="pt-BR"/>
        </w:rPr>
        <w:t>de margens mais baixas dos municípios de menor porte populacional</w:t>
      </w:r>
      <w:r w:rsidRPr="005D6609">
        <w:rPr>
          <w:rStyle w:val="ts-alignment-element"/>
          <w:rFonts w:ascii="Times New Roman" w:hAnsi="Times New Roman" w:cs="Times New Roman"/>
          <w:sz w:val="24"/>
          <w:szCs w:val="24"/>
          <w:lang w:val="pt-BR"/>
        </w:rPr>
        <w:t xml:space="preserve">. </w:t>
      </w:r>
    </w:p>
    <w:p w14:paraId="0A6E31E0" w14:textId="77777777" w:rsidR="00427CAD" w:rsidRPr="00CA2760" w:rsidRDefault="00427CAD" w:rsidP="00427CAD">
      <w:pPr>
        <w:shd w:val="clear" w:color="auto" w:fill="FFFFFF"/>
        <w:spacing w:line="360" w:lineRule="auto"/>
        <w:rPr>
          <w:rFonts w:ascii="Times New Roman" w:eastAsia="Times New Roman" w:hAnsi="Times New Roman" w:cs="Times New Roman"/>
          <w:b/>
          <w:sz w:val="24"/>
          <w:szCs w:val="24"/>
          <w:lang w:val="pt-BR" w:eastAsia="pt-BR"/>
        </w:rPr>
      </w:pPr>
      <w:r>
        <w:rPr>
          <w:rFonts w:ascii="Times New Roman" w:eastAsia="Times New Roman" w:hAnsi="Times New Roman" w:cs="Times New Roman"/>
          <w:b/>
          <w:sz w:val="24"/>
          <w:szCs w:val="24"/>
          <w:lang w:val="pt-BR" w:eastAsia="pt-BR"/>
        </w:rPr>
        <w:t>A competividade do</w:t>
      </w:r>
      <w:r w:rsidRPr="00CA2760">
        <w:rPr>
          <w:rFonts w:ascii="Times New Roman" w:eastAsia="Times New Roman" w:hAnsi="Times New Roman" w:cs="Times New Roman"/>
          <w:b/>
          <w:sz w:val="24"/>
          <w:szCs w:val="24"/>
          <w:lang w:val="pt-BR" w:eastAsia="pt-BR"/>
        </w:rPr>
        <w:t>s termos dos empréstimos d</w:t>
      </w:r>
      <w:r>
        <w:rPr>
          <w:rFonts w:ascii="Times New Roman" w:eastAsia="Times New Roman" w:hAnsi="Times New Roman" w:cs="Times New Roman"/>
          <w:b/>
          <w:sz w:val="24"/>
          <w:szCs w:val="24"/>
          <w:lang w:val="pt-BR" w:eastAsia="pt-BR"/>
        </w:rPr>
        <w:t>o</w:t>
      </w:r>
      <w:r w:rsidRPr="00CA2760">
        <w:rPr>
          <w:rFonts w:ascii="Times New Roman" w:eastAsia="Times New Roman" w:hAnsi="Times New Roman" w:cs="Times New Roman"/>
          <w:b/>
          <w:sz w:val="24"/>
          <w:szCs w:val="24"/>
          <w:lang w:val="pt-BR" w:eastAsia="pt-BR"/>
        </w:rPr>
        <w:t xml:space="preserve"> FDU</w:t>
      </w:r>
    </w:p>
    <w:p w14:paraId="407C06EA" w14:textId="77777777" w:rsidR="00427CAD" w:rsidRPr="00CA2760" w:rsidRDefault="00427CAD" w:rsidP="00427CAD">
      <w:pPr>
        <w:spacing w:line="360" w:lineRule="auto"/>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eastAsia="pt-BR"/>
        </w:rPr>
        <w:t>T</w:t>
      </w:r>
      <w:r w:rsidRPr="00A426E1">
        <w:rPr>
          <w:rFonts w:ascii="Times New Roman" w:eastAsia="Times New Roman" w:hAnsi="Times New Roman" w:cs="Times New Roman"/>
          <w:sz w:val="24"/>
          <w:szCs w:val="24"/>
          <w:lang w:val="pt-BR" w:eastAsia="pt-BR"/>
        </w:rPr>
        <w:t xml:space="preserve">em havido uma demanda significativa por empréstimos municipais do FDU durante o </w:t>
      </w:r>
      <w:r>
        <w:rPr>
          <w:rFonts w:ascii="Times New Roman" w:eastAsia="Times New Roman" w:hAnsi="Times New Roman" w:cs="Times New Roman"/>
          <w:sz w:val="24"/>
          <w:szCs w:val="24"/>
          <w:lang w:val="pt-BR" w:eastAsia="pt-BR"/>
        </w:rPr>
        <w:t xml:space="preserve">período entre </w:t>
      </w:r>
      <w:r w:rsidRPr="00A426E1">
        <w:rPr>
          <w:rFonts w:ascii="Times New Roman" w:eastAsia="Times New Roman" w:hAnsi="Times New Roman" w:cs="Times New Roman"/>
          <w:sz w:val="24"/>
          <w:szCs w:val="24"/>
          <w:lang w:val="pt-BR" w:eastAsia="pt-BR"/>
        </w:rPr>
        <w:t>2007/2017,</w:t>
      </w:r>
      <w:r w:rsidRPr="00CA2760">
        <w:rPr>
          <w:rFonts w:ascii="Times New Roman" w:eastAsia="Times New Roman" w:hAnsi="Times New Roman" w:cs="Times New Roman"/>
          <w:sz w:val="24"/>
          <w:szCs w:val="24"/>
          <w:lang w:val="pt-BR" w:eastAsia="pt-BR"/>
        </w:rPr>
        <w:t xml:space="preserve"> apesar das altas taxas de juros, tendências macroeconômicas desfavoráveis e concorrência da Caixa Econômica Federal (Caixa) ou do Banco Nacional de Desenvolvimento Econômico e Social (BNDES).  </w:t>
      </w:r>
      <w:r w:rsidRPr="00CA2760">
        <w:rPr>
          <w:rFonts w:ascii="Times New Roman" w:hAnsi="Times New Roman" w:cs="Times New Roman"/>
          <w:sz w:val="24"/>
          <w:szCs w:val="24"/>
          <w:lang w:val="pt-BR"/>
        </w:rPr>
        <w:t xml:space="preserve">Já que </w:t>
      </w:r>
      <w:r>
        <w:rPr>
          <w:rFonts w:ascii="Times New Roman" w:hAnsi="Times New Roman" w:cs="Times New Roman"/>
          <w:sz w:val="24"/>
          <w:szCs w:val="24"/>
          <w:lang w:val="pt-BR"/>
        </w:rPr>
        <w:t>estes</w:t>
      </w:r>
      <w:r w:rsidRPr="00CA2760">
        <w:rPr>
          <w:rFonts w:ascii="Times New Roman" w:hAnsi="Times New Roman" w:cs="Times New Roman"/>
          <w:sz w:val="24"/>
          <w:szCs w:val="24"/>
          <w:lang w:val="pt-BR"/>
        </w:rPr>
        <w:t xml:space="preserve"> bancos do setor público tem acesso a financiamento</w:t>
      </w:r>
      <w:r>
        <w:rPr>
          <w:rFonts w:ascii="Times New Roman" w:hAnsi="Times New Roman" w:cs="Times New Roman"/>
          <w:sz w:val="24"/>
          <w:szCs w:val="24"/>
          <w:lang w:val="pt-BR"/>
        </w:rPr>
        <w:t>s</w:t>
      </w:r>
      <w:r w:rsidRPr="00CA2760">
        <w:rPr>
          <w:rFonts w:ascii="Times New Roman" w:hAnsi="Times New Roman" w:cs="Times New Roman"/>
          <w:sz w:val="24"/>
          <w:szCs w:val="24"/>
          <w:lang w:val="pt-BR"/>
        </w:rPr>
        <w:t xml:space="preserve"> abaixo das taxas de juros do mercado, essas taxas tornam-se atraentes para financiar os municípios.  </w:t>
      </w:r>
    </w:p>
    <w:p w14:paraId="712213BD" w14:textId="77777777" w:rsidR="00427CAD" w:rsidRPr="00CA2760" w:rsidRDefault="00427CAD" w:rsidP="00427CAD">
      <w:pPr>
        <w:shd w:val="clear" w:color="auto" w:fill="FFFFFF"/>
        <w:spacing w:line="360" w:lineRule="auto"/>
        <w:rPr>
          <w:rFonts w:ascii="Times New Roman" w:eastAsia="Arial" w:hAnsi="Times New Roman" w:cs="Times New Roman"/>
          <w:sz w:val="24"/>
          <w:szCs w:val="24"/>
          <w:lang w:val="pt-BR"/>
        </w:rPr>
      </w:pPr>
      <w:r w:rsidRPr="00CA2760">
        <w:rPr>
          <w:rFonts w:ascii="Times New Roman" w:hAnsi="Times New Roman" w:cs="Times New Roman"/>
          <w:sz w:val="24"/>
          <w:szCs w:val="24"/>
          <w:lang w:val="pt-BR"/>
        </w:rPr>
        <w:t xml:space="preserve">A disponibilidade de recursos financeiros do SFM, Caixa e BNDES é baixa em comparação com a demanda potencial dos municípios do Paraná, estimada em cerca de R$2,7 bilhões ao ano para o conjunto dos 399 municípios paranaenses, conforme descrito na Carta Consulta </w:t>
      </w:r>
      <w:r w:rsidRPr="00CA2760">
        <w:rPr>
          <w:rFonts w:ascii="Times New Roman" w:eastAsia="Arial" w:hAnsi="Times New Roman" w:cs="Times New Roman"/>
          <w:sz w:val="24"/>
          <w:szCs w:val="24"/>
          <w:lang w:val="pt-BR"/>
        </w:rPr>
        <w:t>(Paraná, 2017)</w:t>
      </w:r>
      <w:r>
        <w:rPr>
          <w:rFonts w:ascii="Times New Roman" w:eastAsia="Arial" w:hAnsi="Times New Roman" w:cs="Times New Roman"/>
          <w:sz w:val="24"/>
          <w:szCs w:val="24"/>
          <w:lang w:val="pt-BR"/>
        </w:rPr>
        <w:t>:</w:t>
      </w:r>
      <w:r w:rsidRPr="00CA2760">
        <w:rPr>
          <w:rFonts w:ascii="Times New Roman" w:hAnsi="Times New Roman" w:cs="Times New Roman"/>
          <w:sz w:val="24"/>
          <w:szCs w:val="24"/>
          <w:lang w:val="pt-BR"/>
        </w:rPr>
        <w:t xml:space="preserve"> “Deste modo, existe uma demanda reprimida significativa o que cria condições de absorção de oferta adicional de recursos de financiamento</w:t>
      </w:r>
      <w:r w:rsidRPr="00CA2760">
        <w:rPr>
          <w:rFonts w:ascii="Times New Roman" w:eastAsia="Arial" w:hAnsi="Times New Roman" w:cs="Times New Roman"/>
          <w:spacing w:val="10"/>
          <w:sz w:val="24"/>
          <w:szCs w:val="24"/>
          <w:lang w:val="pt-BR"/>
        </w:rPr>
        <w:t xml:space="preserve">. </w:t>
      </w:r>
      <w:r w:rsidRPr="00CA2760">
        <w:rPr>
          <w:rFonts w:ascii="Times New Roman" w:eastAsia="Arial" w:hAnsi="Times New Roman" w:cs="Times New Roman"/>
          <w:sz w:val="24"/>
          <w:szCs w:val="24"/>
          <w:lang w:val="pt-BR"/>
        </w:rPr>
        <w:t>O SFM é responsável atualmente por cerca de 50% das operações contratadas pelos municípios, participação que poderá aumentar ainda mais se a disponibilidade anual de recursos for complementada pela operação Paraná III.</w:t>
      </w:r>
      <w:r>
        <w:rPr>
          <w:rFonts w:ascii="Times New Roman" w:eastAsia="Arial" w:hAnsi="Times New Roman" w:cs="Times New Roman"/>
          <w:sz w:val="24"/>
          <w:szCs w:val="24"/>
          <w:lang w:val="pt-BR"/>
        </w:rPr>
        <w:t>”</w:t>
      </w:r>
      <w:r w:rsidRPr="00CA2760">
        <w:rPr>
          <w:rFonts w:ascii="Times New Roman" w:eastAsia="Arial" w:hAnsi="Times New Roman" w:cs="Times New Roman"/>
          <w:sz w:val="24"/>
          <w:szCs w:val="24"/>
          <w:lang w:val="pt-BR"/>
        </w:rPr>
        <w:t>.</w:t>
      </w:r>
    </w:p>
    <w:p w14:paraId="435C3B49" w14:textId="77777777" w:rsidR="00427CAD" w:rsidRDefault="00427CAD" w:rsidP="00427CAD">
      <w:pPr>
        <w:shd w:val="clear" w:color="auto" w:fill="FFFFFF"/>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O SFM tem uma série de vantagens competitivas significativas em empréstimos municipais, especialmente para municípios de pequeno porte populacional. Em primeiro lugar, o SFM empresta apenas aos municípios do Paraná e oferece uma ampla gama de assistência técnica a eles. Por exemplo, o SFM tem uma equipe inteira de especialistas que podem </w:t>
      </w:r>
      <w:r>
        <w:rPr>
          <w:rFonts w:ascii="Times New Roman" w:hAnsi="Times New Roman" w:cs="Times New Roman"/>
          <w:sz w:val="24"/>
          <w:szCs w:val="24"/>
          <w:lang w:val="pt-BR"/>
        </w:rPr>
        <w:t>auxiliar</w:t>
      </w:r>
      <w:r w:rsidRPr="00CA2760">
        <w:rPr>
          <w:rFonts w:ascii="Times New Roman" w:hAnsi="Times New Roman" w:cs="Times New Roman"/>
          <w:sz w:val="24"/>
          <w:szCs w:val="24"/>
          <w:lang w:val="pt-BR"/>
        </w:rPr>
        <w:t xml:space="preserve"> os municípios a navegar</w:t>
      </w:r>
      <w:r>
        <w:rPr>
          <w:rFonts w:ascii="Times New Roman" w:hAnsi="Times New Roman" w:cs="Times New Roman"/>
          <w:sz w:val="24"/>
          <w:szCs w:val="24"/>
          <w:lang w:val="pt-BR"/>
        </w:rPr>
        <w:t>em</w:t>
      </w:r>
      <w:r w:rsidRPr="00CA2760">
        <w:rPr>
          <w:rFonts w:ascii="Times New Roman" w:hAnsi="Times New Roman" w:cs="Times New Roman"/>
          <w:sz w:val="24"/>
          <w:szCs w:val="24"/>
          <w:lang w:val="pt-BR"/>
        </w:rPr>
        <w:t xml:space="preserve"> através da teia muito complexa de leis e regulamentos que controlam </w:t>
      </w:r>
      <w:r>
        <w:rPr>
          <w:rFonts w:ascii="Times New Roman" w:hAnsi="Times New Roman" w:cs="Times New Roman"/>
          <w:sz w:val="24"/>
          <w:szCs w:val="24"/>
          <w:lang w:val="pt-BR"/>
        </w:rPr>
        <w:t xml:space="preserve">o desembolso de </w:t>
      </w:r>
      <w:r w:rsidRPr="00CA2760">
        <w:rPr>
          <w:rFonts w:ascii="Times New Roman" w:hAnsi="Times New Roman" w:cs="Times New Roman"/>
          <w:sz w:val="24"/>
          <w:szCs w:val="24"/>
          <w:lang w:val="pt-BR"/>
        </w:rPr>
        <w:t>empréstimos</w:t>
      </w:r>
      <w:r>
        <w:rPr>
          <w:rFonts w:ascii="Times New Roman" w:hAnsi="Times New Roman" w:cs="Times New Roman"/>
          <w:sz w:val="24"/>
          <w:szCs w:val="24"/>
          <w:lang w:val="pt-BR"/>
        </w:rPr>
        <w:t>.</w:t>
      </w:r>
      <w:r w:rsidRPr="00CA2760">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Uma outra vantagem é que o SFM </w:t>
      </w:r>
      <w:r w:rsidRPr="00843F6E">
        <w:rPr>
          <w:rFonts w:ascii="Times New Roman" w:hAnsi="Times New Roman" w:cs="Times New Roman"/>
          <w:sz w:val="24"/>
          <w:szCs w:val="24"/>
          <w:lang w:val="pt-BR"/>
        </w:rPr>
        <w:t>financia 100% do custo total do projeto na maioria dos casos.</w:t>
      </w:r>
      <w:r>
        <w:rPr>
          <w:rFonts w:ascii="Times New Roman" w:hAnsi="Times New Roman" w:cs="Times New Roman"/>
          <w:sz w:val="24"/>
          <w:szCs w:val="24"/>
          <w:lang w:val="pt-BR"/>
        </w:rPr>
        <w:t xml:space="preserve"> </w:t>
      </w:r>
      <w:r w:rsidRPr="00CA2760">
        <w:rPr>
          <w:rFonts w:ascii="Times New Roman" w:hAnsi="Times New Roman" w:cs="Times New Roman"/>
          <w:sz w:val="24"/>
          <w:szCs w:val="24"/>
          <w:lang w:val="pt-BR"/>
        </w:rPr>
        <w:t xml:space="preserve">Desta maneira, o SFM formou uma forte relação com os municípios nas últimas décadas. </w:t>
      </w:r>
    </w:p>
    <w:p w14:paraId="445B42A6" w14:textId="77777777" w:rsidR="00427CAD" w:rsidRPr="00CA2760" w:rsidRDefault="00427CAD" w:rsidP="00427CAD">
      <w:pPr>
        <w:shd w:val="clear" w:color="auto" w:fill="FFFFFF"/>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lastRenderedPageBreak/>
        <w:t xml:space="preserve">Além disso, o </w:t>
      </w:r>
      <w:r>
        <w:rPr>
          <w:rFonts w:ascii="Times New Roman" w:hAnsi="Times New Roman" w:cs="Times New Roman"/>
          <w:sz w:val="24"/>
          <w:szCs w:val="24"/>
          <w:lang w:val="pt-BR"/>
        </w:rPr>
        <w:t>SFM</w:t>
      </w:r>
      <w:r w:rsidRPr="00CA2760">
        <w:rPr>
          <w:rFonts w:ascii="Times New Roman" w:hAnsi="Times New Roman" w:cs="Times New Roman"/>
          <w:sz w:val="24"/>
          <w:szCs w:val="24"/>
          <w:lang w:val="pt-BR"/>
        </w:rPr>
        <w:t xml:space="preserve"> empresta seu próprio capital e, portanto, não tem custo de </w:t>
      </w:r>
      <w:r w:rsidRPr="00EF4705">
        <w:rPr>
          <w:rFonts w:ascii="Times New Roman" w:hAnsi="Times New Roman" w:cs="Times New Roman"/>
          <w:i/>
          <w:sz w:val="24"/>
          <w:szCs w:val="24"/>
          <w:lang w:val="pt-BR"/>
        </w:rPr>
        <w:t>funding</w:t>
      </w:r>
      <w:r w:rsidRPr="00CA2760">
        <w:rPr>
          <w:rFonts w:ascii="Times New Roman" w:hAnsi="Times New Roman" w:cs="Times New Roman"/>
          <w:sz w:val="24"/>
          <w:szCs w:val="24"/>
          <w:lang w:val="pt-BR"/>
        </w:rPr>
        <w:t xml:space="preserve">. Dada esta vantagem, o SFM pode continuar a competir eficazmente com a Caixa e o BNDES, </w:t>
      </w:r>
      <w:r w:rsidRPr="00EF4705">
        <w:rPr>
          <w:rFonts w:ascii="Times New Roman" w:hAnsi="Times New Roman" w:cs="Times New Roman"/>
          <w:sz w:val="24"/>
          <w:szCs w:val="24"/>
          <w:lang w:val="pt-BR"/>
        </w:rPr>
        <w:t>mesmo que tenham acesso a financiamento</w:t>
      </w:r>
      <w:r>
        <w:rPr>
          <w:rFonts w:ascii="Times New Roman" w:hAnsi="Times New Roman" w:cs="Times New Roman"/>
          <w:sz w:val="24"/>
          <w:szCs w:val="24"/>
          <w:lang w:val="pt-BR"/>
        </w:rPr>
        <w:t>s com</w:t>
      </w:r>
      <w:r w:rsidRPr="00EF4705">
        <w:rPr>
          <w:rFonts w:ascii="Times New Roman" w:hAnsi="Times New Roman" w:cs="Times New Roman"/>
          <w:sz w:val="24"/>
          <w:szCs w:val="24"/>
          <w:lang w:val="pt-BR"/>
        </w:rPr>
        <w:t xml:space="preserve"> taxas de juros abaixo do mercado</w:t>
      </w:r>
      <w:r w:rsidRPr="00CA2760">
        <w:rPr>
          <w:rFonts w:ascii="Times New Roman" w:hAnsi="Times New Roman" w:cs="Times New Roman"/>
          <w:sz w:val="24"/>
          <w:szCs w:val="24"/>
          <w:lang w:val="pt-BR"/>
        </w:rPr>
        <w:t xml:space="preserve"> (por exemplo, do F</w:t>
      </w:r>
      <w:r>
        <w:rPr>
          <w:rFonts w:ascii="Times New Roman" w:hAnsi="Times New Roman" w:cs="Times New Roman"/>
          <w:sz w:val="24"/>
          <w:szCs w:val="24"/>
          <w:lang w:val="pt-BR"/>
        </w:rPr>
        <w:t xml:space="preserve">undo de </w:t>
      </w:r>
      <w:r w:rsidRPr="00CA2760">
        <w:rPr>
          <w:rFonts w:ascii="Times New Roman" w:hAnsi="Times New Roman" w:cs="Times New Roman"/>
          <w:sz w:val="24"/>
          <w:szCs w:val="24"/>
          <w:lang w:val="pt-BR"/>
        </w:rPr>
        <w:t>G</w:t>
      </w:r>
      <w:r>
        <w:rPr>
          <w:rFonts w:ascii="Times New Roman" w:hAnsi="Times New Roman" w:cs="Times New Roman"/>
          <w:sz w:val="24"/>
          <w:szCs w:val="24"/>
          <w:lang w:val="pt-BR"/>
        </w:rPr>
        <w:t xml:space="preserve">arantia por </w:t>
      </w:r>
      <w:r w:rsidRPr="00CA2760">
        <w:rPr>
          <w:rFonts w:ascii="Times New Roman" w:hAnsi="Times New Roman" w:cs="Times New Roman"/>
          <w:sz w:val="24"/>
          <w:szCs w:val="24"/>
          <w:lang w:val="pt-BR"/>
        </w:rPr>
        <w:t>T</w:t>
      </w:r>
      <w:r>
        <w:rPr>
          <w:rFonts w:ascii="Times New Roman" w:hAnsi="Times New Roman" w:cs="Times New Roman"/>
          <w:sz w:val="24"/>
          <w:szCs w:val="24"/>
          <w:lang w:val="pt-BR"/>
        </w:rPr>
        <w:t xml:space="preserve">empo de </w:t>
      </w:r>
      <w:r w:rsidRPr="00CA2760">
        <w:rPr>
          <w:rFonts w:ascii="Times New Roman" w:hAnsi="Times New Roman" w:cs="Times New Roman"/>
          <w:sz w:val="24"/>
          <w:szCs w:val="24"/>
          <w:lang w:val="pt-BR"/>
        </w:rPr>
        <w:t>S</w:t>
      </w:r>
      <w:r>
        <w:rPr>
          <w:rFonts w:ascii="Times New Roman" w:hAnsi="Times New Roman" w:cs="Times New Roman"/>
          <w:sz w:val="24"/>
          <w:szCs w:val="24"/>
          <w:lang w:val="pt-BR"/>
        </w:rPr>
        <w:t>erviço- FGTS</w:t>
      </w:r>
      <w:r w:rsidRPr="00CA2760">
        <w:rPr>
          <w:rFonts w:ascii="Times New Roman" w:hAnsi="Times New Roman" w:cs="Times New Roman"/>
          <w:sz w:val="24"/>
          <w:szCs w:val="24"/>
          <w:lang w:val="pt-BR"/>
        </w:rPr>
        <w:t xml:space="preserve"> e do F</w:t>
      </w:r>
      <w:r>
        <w:rPr>
          <w:rFonts w:ascii="Times New Roman" w:hAnsi="Times New Roman" w:cs="Times New Roman"/>
          <w:sz w:val="24"/>
          <w:szCs w:val="24"/>
          <w:lang w:val="pt-BR"/>
        </w:rPr>
        <w:t xml:space="preserve">undo de </w:t>
      </w:r>
      <w:r w:rsidRPr="00CA2760">
        <w:rPr>
          <w:rFonts w:ascii="Times New Roman" w:hAnsi="Times New Roman" w:cs="Times New Roman"/>
          <w:sz w:val="24"/>
          <w:szCs w:val="24"/>
          <w:lang w:val="pt-BR"/>
        </w:rPr>
        <w:t>A</w:t>
      </w:r>
      <w:r>
        <w:rPr>
          <w:rFonts w:ascii="Times New Roman" w:hAnsi="Times New Roman" w:cs="Times New Roman"/>
          <w:sz w:val="24"/>
          <w:szCs w:val="24"/>
          <w:lang w:val="pt-BR"/>
        </w:rPr>
        <w:t xml:space="preserve">mparo ao </w:t>
      </w:r>
      <w:r w:rsidRPr="00CA2760">
        <w:rPr>
          <w:rFonts w:ascii="Times New Roman" w:hAnsi="Times New Roman" w:cs="Times New Roman"/>
          <w:sz w:val="24"/>
          <w:szCs w:val="24"/>
          <w:lang w:val="pt-BR"/>
        </w:rPr>
        <w:t>T</w:t>
      </w:r>
      <w:r>
        <w:rPr>
          <w:rFonts w:ascii="Times New Roman" w:hAnsi="Times New Roman" w:cs="Times New Roman"/>
          <w:sz w:val="24"/>
          <w:szCs w:val="24"/>
          <w:lang w:val="pt-BR"/>
        </w:rPr>
        <w:t>rabalhador- FAT</w:t>
      </w:r>
      <w:r w:rsidRPr="00CA2760">
        <w:rPr>
          <w:rFonts w:ascii="Times New Roman" w:hAnsi="Times New Roman" w:cs="Times New Roman"/>
          <w:sz w:val="24"/>
          <w:szCs w:val="24"/>
          <w:lang w:val="pt-BR"/>
        </w:rPr>
        <w:t xml:space="preserve">). </w:t>
      </w:r>
    </w:p>
    <w:p w14:paraId="7C18C00E" w14:textId="77777777" w:rsidR="00427CAD" w:rsidRPr="00CA2760" w:rsidRDefault="00427CAD" w:rsidP="00427CAD">
      <w:pPr>
        <w:shd w:val="clear" w:color="auto" w:fill="FFFFFF"/>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Os riscos de empréstimos municipais e </w:t>
      </w:r>
      <w:r>
        <w:rPr>
          <w:rFonts w:ascii="Times New Roman" w:hAnsi="Times New Roman" w:cs="Times New Roman"/>
          <w:sz w:val="24"/>
          <w:szCs w:val="24"/>
          <w:lang w:val="pt-BR"/>
        </w:rPr>
        <w:t xml:space="preserve">seu </w:t>
      </w:r>
      <w:r w:rsidRPr="00CA2760">
        <w:rPr>
          <w:rFonts w:ascii="Times New Roman" w:hAnsi="Times New Roman" w:cs="Times New Roman"/>
          <w:sz w:val="24"/>
          <w:szCs w:val="24"/>
          <w:lang w:val="pt-BR"/>
        </w:rPr>
        <w:t xml:space="preserve">alto custo de </w:t>
      </w:r>
      <w:r w:rsidRPr="00CA2760">
        <w:rPr>
          <w:rFonts w:ascii="Times New Roman" w:hAnsi="Times New Roman" w:cs="Times New Roman"/>
          <w:i/>
          <w:sz w:val="24"/>
          <w:szCs w:val="24"/>
          <w:lang w:val="pt-BR"/>
        </w:rPr>
        <w:t xml:space="preserve">funding </w:t>
      </w:r>
      <w:r w:rsidRPr="00CA2760">
        <w:rPr>
          <w:rFonts w:ascii="Times New Roman" w:hAnsi="Times New Roman" w:cs="Times New Roman"/>
          <w:sz w:val="24"/>
          <w:szCs w:val="24"/>
          <w:lang w:val="pt-BR"/>
        </w:rPr>
        <w:t xml:space="preserve">empurram os entes financeiros privados para fora do mercado municipal. Com base em experiência de longa data, a percepção geral do setor privado é de que os municípios não possuem bons graus de risco de crédito. Além disso, os credores do setor privado normalmente não teriam acesso à garantia das transferências para os municípios dos governos estaduais e </w:t>
      </w:r>
      <w:r w:rsidRPr="0005602F">
        <w:rPr>
          <w:rFonts w:ascii="Times New Roman" w:hAnsi="Times New Roman" w:cs="Times New Roman"/>
          <w:sz w:val="24"/>
          <w:szCs w:val="24"/>
          <w:lang w:val="pt-BR"/>
        </w:rPr>
        <w:t xml:space="preserve">federal. </w:t>
      </w:r>
    </w:p>
    <w:p w14:paraId="5C8CCC8D" w14:textId="77777777" w:rsidR="00427CAD" w:rsidRPr="00CA2760" w:rsidRDefault="00427CAD" w:rsidP="00427CAD">
      <w:pPr>
        <w:shd w:val="clear" w:color="auto" w:fill="FFFFFF"/>
        <w:spacing w:line="360" w:lineRule="auto"/>
        <w:rPr>
          <w:rFonts w:ascii="Times New Roman" w:hAnsi="Times New Roman" w:cs="Times New Roman"/>
          <w:b/>
          <w:sz w:val="24"/>
          <w:szCs w:val="24"/>
          <w:lang w:val="pt-BR"/>
        </w:rPr>
      </w:pPr>
      <w:r w:rsidRPr="00CA2760">
        <w:rPr>
          <w:rFonts w:ascii="Times New Roman" w:eastAsia="Times New Roman" w:hAnsi="Times New Roman" w:cs="Times New Roman"/>
          <w:b/>
          <w:sz w:val="24"/>
          <w:szCs w:val="24"/>
          <w:lang w:val="pt-BR"/>
        </w:rPr>
        <w:t>A Taxa de Longo Prazo</w:t>
      </w:r>
    </w:p>
    <w:p w14:paraId="2090139E" w14:textId="77777777" w:rsidR="00427CAD" w:rsidRPr="00CA2760" w:rsidRDefault="00427CAD" w:rsidP="00427CAD">
      <w:pPr>
        <w:shd w:val="clear" w:color="auto" w:fill="FFFFFF"/>
        <w:spacing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rPr>
        <w:t xml:space="preserve">Em 2017, o Conselho Monetário Nacional </w:t>
      </w:r>
      <w:r>
        <w:rPr>
          <w:rFonts w:ascii="Times New Roman" w:eastAsia="Times New Roman" w:hAnsi="Times New Roman" w:cs="Times New Roman"/>
          <w:sz w:val="24"/>
          <w:szCs w:val="24"/>
          <w:lang w:val="pt-BR"/>
        </w:rPr>
        <w:t xml:space="preserve">(CMN) </w:t>
      </w:r>
      <w:r w:rsidRPr="00CA2760">
        <w:rPr>
          <w:rFonts w:ascii="Times New Roman" w:eastAsia="Times New Roman" w:hAnsi="Times New Roman" w:cs="Times New Roman"/>
          <w:sz w:val="24"/>
          <w:szCs w:val="24"/>
          <w:lang w:val="pt-BR"/>
        </w:rPr>
        <w:t xml:space="preserve">definiu a metodologia para o cálculo da Taxa de Longo Prazo (TLP) que é composta pela indexação utilizando o Índice Nacional de Preços ao Consumidor Amplo (IPCA) e por uma margem prefixada equivalente </w:t>
      </w:r>
      <w:r w:rsidRPr="00CA2760">
        <w:rPr>
          <w:rFonts w:ascii="Times New Roman" w:hAnsi="Times New Roman" w:cs="Times New Roman"/>
          <w:sz w:val="24"/>
          <w:szCs w:val="24"/>
          <w:lang w:val="pt-BR"/>
        </w:rPr>
        <w:t>aos títulos do Tesouro Nacional de 5 anos</w:t>
      </w:r>
      <w:r w:rsidRPr="00CA2760">
        <w:rPr>
          <w:rFonts w:ascii="Times New Roman" w:eastAsia="Times New Roman" w:hAnsi="Times New Roman" w:cs="Times New Roman"/>
          <w:sz w:val="24"/>
          <w:szCs w:val="24"/>
          <w:lang w:val="pt-BR"/>
        </w:rPr>
        <w:t xml:space="preserve">.  </w:t>
      </w:r>
      <w:r w:rsidRPr="00CA2760">
        <w:rPr>
          <w:rFonts w:ascii="Times New Roman" w:eastAsia="Times New Roman" w:hAnsi="Times New Roman" w:cs="Times New Roman"/>
          <w:sz w:val="24"/>
          <w:szCs w:val="24"/>
          <w:lang w:val="pt-BR" w:eastAsia="pt-BR"/>
        </w:rPr>
        <w:t xml:space="preserve">Haverá um período de transição de </w:t>
      </w:r>
      <w:r>
        <w:rPr>
          <w:rFonts w:ascii="Times New Roman" w:eastAsia="Times New Roman" w:hAnsi="Times New Roman" w:cs="Times New Roman"/>
          <w:sz w:val="24"/>
          <w:szCs w:val="24"/>
          <w:lang w:val="pt-BR" w:eastAsia="pt-BR"/>
        </w:rPr>
        <w:t xml:space="preserve">até aproximadamente </w:t>
      </w:r>
      <w:r w:rsidRPr="00CA2760">
        <w:rPr>
          <w:rFonts w:ascii="Times New Roman" w:eastAsia="Times New Roman" w:hAnsi="Times New Roman" w:cs="Times New Roman"/>
          <w:sz w:val="24"/>
          <w:szCs w:val="24"/>
          <w:lang w:val="pt-BR" w:eastAsia="pt-BR"/>
        </w:rPr>
        <w:t xml:space="preserve">cinco anos sobre o qual a TJLP e </w:t>
      </w:r>
      <w:r>
        <w:rPr>
          <w:rFonts w:ascii="Times New Roman" w:eastAsia="Times New Roman" w:hAnsi="Times New Roman" w:cs="Times New Roman"/>
          <w:sz w:val="24"/>
          <w:szCs w:val="24"/>
          <w:lang w:val="pt-BR" w:eastAsia="pt-BR"/>
        </w:rPr>
        <w:t xml:space="preserve">a </w:t>
      </w:r>
      <w:r w:rsidRPr="00CA2760">
        <w:rPr>
          <w:rFonts w:ascii="Times New Roman" w:eastAsia="Times New Roman" w:hAnsi="Times New Roman" w:cs="Times New Roman"/>
          <w:sz w:val="24"/>
          <w:szCs w:val="24"/>
          <w:lang w:val="pt-BR" w:eastAsia="pt-BR"/>
        </w:rPr>
        <w:t>TLP se fundirão. Desde 1 º de janeiro de 2018, o BNDES vem usando uma TLP que substitui a TJLP em seus novos contratos. Uma vez totalmente implementada, a TLP irá, naturalmente, sempre exceder a inflação medida pelo IPCA.</w:t>
      </w:r>
      <w:r>
        <w:rPr>
          <w:rFonts w:ascii="Times New Roman" w:eastAsia="Times New Roman" w:hAnsi="Times New Roman" w:cs="Times New Roman"/>
          <w:sz w:val="24"/>
          <w:szCs w:val="24"/>
          <w:lang w:val="pt-BR" w:eastAsia="pt-BR"/>
        </w:rPr>
        <w:t xml:space="preserve">  O</w:t>
      </w:r>
      <w:r w:rsidRPr="00A47D27">
        <w:rPr>
          <w:rFonts w:ascii="Times New Roman" w:eastAsia="Times New Roman" w:hAnsi="Times New Roman" w:cs="Times New Roman"/>
          <w:sz w:val="24"/>
          <w:szCs w:val="24"/>
          <w:lang w:val="pt-BR" w:eastAsia="pt-BR"/>
        </w:rPr>
        <w:t xml:space="preserve"> IPCA muitas</w:t>
      </w:r>
      <w:r w:rsidRPr="00CA2760">
        <w:rPr>
          <w:rFonts w:ascii="Times New Roman" w:eastAsia="Times New Roman" w:hAnsi="Times New Roman" w:cs="Times New Roman"/>
          <w:sz w:val="24"/>
          <w:szCs w:val="24"/>
          <w:lang w:val="pt-BR" w:eastAsia="pt-BR"/>
        </w:rPr>
        <w:t xml:space="preserve"> vezes excedeu a TJLP durante o período </w:t>
      </w:r>
      <w:r>
        <w:rPr>
          <w:rFonts w:ascii="Times New Roman" w:eastAsia="Times New Roman" w:hAnsi="Times New Roman" w:cs="Times New Roman"/>
          <w:sz w:val="24"/>
          <w:szCs w:val="24"/>
          <w:lang w:val="pt-BR" w:eastAsia="pt-BR"/>
        </w:rPr>
        <w:t xml:space="preserve">entre </w:t>
      </w:r>
      <w:r w:rsidRPr="00CA2760">
        <w:rPr>
          <w:rFonts w:ascii="Times New Roman" w:eastAsia="Times New Roman" w:hAnsi="Times New Roman" w:cs="Times New Roman"/>
          <w:sz w:val="24"/>
          <w:szCs w:val="24"/>
          <w:lang w:val="pt-BR" w:eastAsia="pt-BR"/>
        </w:rPr>
        <w:t>2007-2017. Dado que a TLP tem uma margem pré-fixada acima do IPCA, ela será geralmente bem mais elevada do que a TJLP.</w:t>
      </w:r>
    </w:p>
    <w:p w14:paraId="524D586F" w14:textId="77777777" w:rsidR="00427CAD" w:rsidRDefault="00427CAD" w:rsidP="00427CAD">
      <w:pPr>
        <w:shd w:val="clear" w:color="auto" w:fill="FFFFFF"/>
        <w:spacing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t xml:space="preserve">O SFM terá eventualmente que decidir se usará a TLP, se continuará a </w:t>
      </w:r>
      <w:r>
        <w:rPr>
          <w:rFonts w:ascii="Times New Roman" w:eastAsia="Times New Roman" w:hAnsi="Times New Roman" w:cs="Times New Roman"/>
          <w:sz w:val="24"/>
          <w:szCs w:val="24"/>
          <w:lang w:val="pt-BR" w:eastAsia="pt-BR"/>
        </w:rPr>
        <w:t>empregar</w:t>
      </w:r>
      <w:r w:rsidRPr="00CA2760">
        <w:rPr>
          <w:rFonts w:ascii="Times New Roman" w:eastAsia="Times New Roman" w:hAnsi="Times New Roman" w:cs="Times New Roman"/>
          <w:sz w:val="24"/>
          <w:szCs w:val="24"/>
          <w:lang w:val="pt-BR" w:eastAsia="pt-BR"/>
        </w:rPr>
        <w:t xml:space="preserve"> a TJLP, ou se desenvolverá algum outro índice de inflação para seus empréstimos. Este novo índice (TLP ou outro) </w:t>
      </w:r>
      <w:r>
        <w:rPr>
          <w:rFonts w:ascii="Times New Roman" w:eastAsia="Times New Roman" w:hAnsi="Times New Roman" w:cs="Times New Roman"/>
          <w:sz w:val="24"/>
          <w:szCs w:val="24"/>
          <w:lang w:val="pt-BR" w:eastAsia="pt-BR"/>
        </w:rPr>
        <w:t xml:space="preserve">precisa oferecer </w:t>
      </w:r>
      <w:r w:rsidRPr="00CA2760">
        <w:rPr>
          <w:rFonts w:ascii="Times New Roman" w:eastAsia="Times New Roman" w:hAnsi="Times New Roman" w:cs="Times New Roman"/>
          <w:sz w:val="24"/>
          <w:szCs w:val="24"/>
          <w:lang w:val="pt-BR" w:eastAsia="pt-BR"/>
        </w:rPr>
        <w:t xml:space="preserve">taxas acessíveis aos municípios, ao mesmo tempo que prevê a capitalização continuada do FDU (isto é, deve ser igual ou superior da taxa de inflação). </w:t>
      </w:r>
    </w:p>
    <w:p w14:paraId="7C467176" w14:textId="77777777" w:rsidR="00427CAD" w:rsidRPr="00CA2760" w:rsidRDefault="00427CAD" w:rsidP="00427CAD">
      <w:pPr>
        <w:pStyle w:val="BodyText"/>
        <w:spacing w:line="360" w:lineRule="auto"/>
        <w:jc w:val="center"/>
        <w:rPr>
          <w:rFonts w:ascii="Times New Roman" w:eastAsia="Calibri" w:hAnsi="Times New Roman" w:cs="Times New Roman"/>
          <w:b/>
          <w:sz w:val="24"/>
          <w:szCs w:val="24"/>
          <w:u w:val="single"/>
          <w:lang w:val="pt-BR"/>
        </w:rPr>
      </w:pPr>
      <w:r w:rsidRPr="00433F9B">
        <w:rPr>
          <w:rFonts w:ascii="Times New Roman" w:hAnsi="Times New Roman" w:cs="Times New Roman"/>
          <w:b/>
          <w:sz w:val="24"/>
          <w:szCs w:val="24"/>
          <w:u w:val="single"/>
          <w:lang w:val="pt-BR"/>
        </w:rPr>
        <w:t xml:space="preserve">Capítulo III.  </w:t>
      </w:r>
      <w:r w:rsidRPr="00CA2760">
        <w:rPr>
          <w:rFonts w:ascii="Times New Roman" w:hAnsi="Times New Roman" w:cs="Times New Roman"/>
          <w:b/>
          <w:sz w:val="24"/>
          <w:szCs w:val="24"/>
          <w:u w:val="single"/>
          <w:lang w:val="pt-BR"/>
        </w:rPr>
        <w:t>A s</w:t>
      </w:r>
      <w:r w:rsidRPr="00CA2760">
        <w:rPr>
          <w:rFonts w:ascii="Times New Roman" w:eastAsia="Calibri" w:hAnsi="Times New Roman" w:cs="Times New Roman"/>
          <w:b/>
          <w:sz w:val="24"/>
          <w:szCs w:val="24"/>
          <w:u w:val="single"/>
          <w:lang w:val="pt-BR"/>
        </w:rPr>
        <w:t xml:space="preserve">ustentabilidade do SFM: </w:t>
      </w:r>
      <w:r>
        <w:rPr>
          <w:rFonts w:ascii="Times New Roman" w:hAnsi="Times New Roman" w:cs="Times New Roman"/>
          <w:b/>
          <w:sz w:val="24"/>
          <w:szCs w:val="24"/>
          <w:u w:val="single"/>
          <w:lang w:val="pt-BR"/>
        </w:rPr>
        <w:t>S</w:t>
      </w:r>
      <w:r w:rsidRPr="00CA2760">
        <w:rPr>
          <w:rFonts w:ascii="Times New Roman" w:hAnsi="Times New Roman" w:cs="Times New Roman"/>
          <w:b/>
          <w:sz w:val="24"/>
          <w:szCs w:val="24"/>
          <w:u w:val="single"/>
          <w:lang w:val="pt-BR"/>
        </w:rPr>
        <w:t xml:space="preserve">imulações </w:t>
      </w:r>
      <w:r>
        <w:rPr>
          <w:rFonts w:ascii="Times New Roman" w:hAnsi="Times New Roman" w:cs="Times New Roman"/>
          <w:b/>
          <w:sz w:val="24"/>
          <w:szCs w:val="24"/>
          <w:u w:val="single"/>
          <w:lang w:val="pt-BR"/>
        </w:rPr>
        <w:t>f</w:t>
      </w:r>
      <w:r w:rsidRPr="00CA2760">
        <w:rPr>
          <w:rFonts w:ascii="Times New Roman" w:hAnsi="Times New Roman" w:cs="Times New Roman"/>
          <w:b/>
          <w:sz w:val="24"/>
          <w:szCs w:val="24"/>
          <w:u w:val="single"/>
          <w:lang w:val="pt-BR"/>
        </w:rPr>
        <w:t>inanceiras do FDU: 2018/2038</w:t>
      </w:r>
    </w:p>
    <w:p w14:paraId="357BC596" w14:textId="77777777" w:rsidR="00427CAD" w:rsidRDefault="00427CAD" w:rsidP="00427CAD">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Nosso modelo financeiro procura analisar de maneira clara e transparente os fatores mais importantes que poderiam colocar em risco a sustentabilidade financeira do FDU durante o período entre 2018/ 2038.  </w:t>
      </w:r>
      <w:r w:rsidRPr="00CA2760">
        <w:rPr>
          <w:rFonts w:ascii="Times New Roman" w:eastAsia="Times New Roman" w:hAnsi="Times New Roman" w:cs="Times New Roman"/>
          <w:sz w:val="24"/>
          <w:szCs w:val="24"/>
          <w:lang w:val="pt-BR" w:eastAsia="pt-BR"/>
        </w:rPr>
        <w:t xml:space="preserve">Para isso, utilizaremos um modelo financeiro </w:t>
      </w:r>
      <w:r>
        <w:rPr>
          <w:rFonts w:ascii="Times New Roman" w:eastAsia="Times New Roman" w:hAnsi="Times New Roman" w:cs="Times New Roman"/>
          <w:sz w:val="24"/>
          <w:szCs w:val="24"/>
          <w:lang w:val="pt-BR" w:eastAsia="pt-BR"/>
        </w:rPr>
        <w:t>que simula</w:t>
      </w:r>
      <w:r w:rsidRPr="00CA2760">
        <w:rPr>
          <w:rFonts w:ascii="Times New Roman" w:eastAsia="Times New Roman" w:hAnsi="Times New Roman" w:cs="Times New Roman"/>
          <w:sz w:val="24"/>
          <w:szCs w:val="24"/>
          <w:lang w:val="pt-BR" w:eastAsia="pt-BR"/>
        </w:rPr>
        <w:t xml:space="preserve"> os valores de duas </w:t>
      </w:r>
      <w:r>
        <w:rPr>
          <w:rFonts w:ascii="Times New Roman" w:eastAsia="Times New Roman" w:hAnsi="Times New Roman" w:cs="Times New Roman"/>
          <w:sz w:val="24"/>
          <w:szCs w:val="24"/>
          <w:lang w:val="pt-BR" w:eastAsia="pt-BR"/>
        </w:rPr>
        <w:t xml:space="preserve">variáveis </w:t>
      </w:r>
      <w:r w:rsidRPr="00CA2760">
        <w:rPr>
          <w:rFonts w:ascii="Times New Roman" w:eastAsia="Times New Roman" w:hAnsi="Times New Roman" w:cs="Times New Roman"/>
          <w:sz w:val="24"/>
          <w:szCs w:val="24"/>
          <w:lang w:val="pt-BR" w:eastAsia="pt-BR"/>
        </w:rPr>
        <w:t>que</w:t>
      </w:r>
      <w:r>
        <w:rPr>
          <w:rFonts w:ascii="Times New Roman" w:eastAsia="Times New Roman" w:hAnsi="Times New Roman" w:cs="Times New Roman"/>
          <w:sz w:val="24"/>
          <w:szCs w:val="24"/>
          <w:lang w:val="pt-BR" w:eastAsia="pt-BR"/>
        </w:rPr>
        <w:t xml:space="preserve"> determinam</w:t>
      </w:r>
      <w:r w:rsidRPr="00CA2760">
        <w:rPr>
          <w:rFonts w:ascii="Times New Roman" w:eastAsia="Times New Roman" w:hAnsi="Times New Roman" w:cs="Times New Roman"/>
          <w:sz w:val="24"/>
          <w:szCs w:val="24"/>
          <w:lang w:val="pt-BR" w:eastAsia="pt-BR"/>
        </w:rPr>
        <w:t xml:space="preserve"> </w:t>
      </w:r>
      <w:r w:rsidRPr="00CA2760">
        <w:rPr>
          <w:rFonts w:ascii="Times New Roman" w:hAnsi="Times New Roman" w:cs="Times New Roman"/>
          <w:sz w:val="24"/>
          <w:szCs w:val="24"/>
          <w:lang w:val="pt-BR"/>
        </w:rPr>
        <w:t>a sustentabilidade financeira do FDU</w:t>
      </w:r>
      <w:r w:rsidRPr="00CA2760">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PL</w:t>
      </w:r>
      <w:r w:rsidRPr="00CA2760">
        <w:rPr>
          <w:rFonts w:ascii="Times New Roman" w:eastAsia="Times New Roman" w:hAnsi="Times New Roman" w:cs="Times New Roman"/>
          <w:sz w:val="24"/>
          <w:szCs w:val="24"/>
          <w:lang w:val="pt-BR" w:eastAsia="pt-BR"/>
        </w:rPr>
        <w:t xml:space="preserve"> e Financiamentos </w:t>
      </w:r>
      <w:r w:rsidRPr="00CA2760">
        <w:rPr>
          <w:rFonts w:ascii="Times New Roman" w:eastAsia="Times New Roman" w:hAnsi="Times New Roman" w:cs="Times New Roman"/>
          <w:sz w:val="24"/>
          <w:szCs w:val="24"/>
          <w:lang w:val="pt-BR" w:eastAsia="pt-BR"/>
        </w:rPr>
        <w:lastRenderedPageBreak/>
        <w:t xml:space="preserve">Concedidos aos Municípios.  </w:t>
      </w:r>
      <w:r w:rsidRPr="00CA2760">
        <w:rPr>
          <w:rFonts w:ascii="Times New Roman" w:hAnsi="Times New Roman" w:cs="Times New Roman"/>
          <w:sz w:val="24"/>
          <w:szCs w:val="24"/>
          <w:lang w:val="pt-BR"/>
        </w:rPr>
        <w:t>Os fatores mais importantes que poderiam colocar em risco estas duas variáveis durante o período são:</w:t>
      </w:r>
    </w:p>
    <w:p w14:paraId="6857DFEF" w14:textId="77777777" w:rsidR="00427CAD" w:rsidRPr="00CA2760" w:rsidRDefault="00427CAD" w:rsidP="00427CAD">
      <w:pPr>
        <w:pStyle w:val="ListParagraph"/>
        <w:numPr>
          <w:ilvl w:val="0"/>
          <w:numId w:val="14"/>
        </w:num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Taxas reais de juros negativas nos portfolios de empréstimos municipais ou </w:t>
      </w:r>
      <w:r w:rsidRPr="00C55BC7">
        <w:rPr>
          <w:rFonts w:ascii="Times New Roman" w:hAnsi="Times New Roman" w:cs="Times New Roman"/>
          <w:sz w:val="24"/>
          <w:szCs w:val="24"/>
          <w:lang w:val="pt-BR"/>
        </w:rPr>
        <w:t>títulos mobiliários</w:t>
      </w:r>
      <w:r w:rsidRPr="00CA2760">
        <w:rPr>
          <w:rFonts w:ascii="Times New Roman" w:hAnsi="Times New Roman" w:cs="Times New Roman"/>
          <w:sz w:val="24"/>
          <w:szCs w:val="24"/>
          <w:lang w:val="pt-BR"/>
        </w:rPr>
        <w:t>, reduzindo assim o valor real do portfólio do FDU.</w:t>
      </w:r>
    </w:p>
    <w:p w14:paraId="0E36C8DE" w14:textId="77777777" w:rsidR="00427CAD" w:rsidRPr="00C55BC7" w:rsidRDefault="00427CAD" w:rsidP="00427CAD">
      <w:pPr>
        <w:pStyle w:val="ListParagraph"/>
        <w:numPr>
          <w:ilvl w:val="0"/>
          <w:numId w:val="14"/>
        </w:numPr>
        <w:spacing w:line="360" w:lineRule="auto"/>
        <w:rPr>
          <w:rFonts w:ascii="Times New Roman" w:hAnsi="Times New Roman" w:cs="Times New Roman"/>
          <w:sz w:val="24"/>
          <w:szCs w:val="24"/>
          <w:lang w:val="pt-BR"/>
        </w:rPr>
      </w:pPr>
      <w:r w:rsidRPr="00C55BC7">
        <w:rPr>
          <w:rFonts w:ascii="Times New Roman" w:hAnsi="Times New Roman" w:cs="Times New Roman"/>
          <w:sz w:val="24"/>
          <w:szCs w:val="24"/>
          <w:lang w:val="pt-BR"/>
        </w:rPr>
        <w:t xml:space="preserve">Altos custos operacionais que não estão cobertos pelas porcentagens estabelecidas (1% da Fomento Paraná e 8% do Paranacidade dos </w:t>
      </w:r>
      <w:r w:rsidRPr="00C55BC7">
        <w:rPr>
          <w:rFonts w:ascii="Times New Roman" w:eastAsia="Times New Roman" w:hAnsi="Times New Roman" w:cs="Times New Roman"/>
          <w:sz w:val="24"/>
          <w:szCs w:val="24"/>
          <w:lang w:val="pt-BR" w:eastAsia="pt-BR"/>
        </w:rPr>
        <w:t xml:space="preserve">valores liberados </w:t>
      </w:r>
      <w:r w:rsidRPr="00C55BC7">
        <w:rPr>
          <w:rFonts w:ascii="Times New Roman" w:hAnsi="Times New Roman" w:cs="Times New Roman"/>
          <w:sz w:val="24"/>
          <w:szCs w:val="24"/>
          <w:lang w:val="pt-PT"/>
        </w:rPr>
        <w:t>aos empréstimos municipais</w:t>
      </w:r>
      <w:r w:rsidRPr="00C55BC7">
        <w:rPr>
          <w:rFonts w:ascii="Times New Roman" w:hAnsi="Times New Roman" w:cs="Times New Roman"/>
          <w:sz w:val="24"/>
          <w:szCs w:val="24"/>
          <w:lang w:val="pt-BR"/>
        </w:rPr>
        <w:t xml:space="preserve">) os quais poderiam reduzir as receitas do FDU e por consequência a capitalização do fundo em termos reais. </w:t>
      </w:r>
    </w:p>
    <w:p w14:paraId="66C4957B" w14:textId="77777777" w:rsidR="00427CAD" w:rsidRPr="00CA2760" w:rsidRDefault="00427CAD" w:rsidP="00427CAD">
      <w:pPr>
        <w:shd w:val="clear" w:color="auto" w:fill="FFFFFF"/>
        <w:spacing w:after="0"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t xml:space="preserve">Para fazer essas simulações, definimos </w:t>
      </w:r>
      <w:r>
        <w:rPr>
          <w:rFonts w:ascii="Times New Roman" w:eastAsia="Times New Roman" w:hAnsi="Times New Roman" w:cs="Times New Roman"/>
          <w:sz w:val="24"/>
          <w:szCs w:val="24"/>
          <w:lang w:val="pt-BR" w:eastAsia="pt-BR"/>
        </w:rPr>
        <w:t xml:space="preserve">os </w:t>
      </w:r>
      <w:r w:rsidRPr="00CA2760">
        <w:rPr>
          <w:rFonts w:ascii="Times New Roman" w:eastAsia="Times New Roman" w:hAnsi="Times New Roman" w:cs="Times New Roman"/>
          <w:sz w:val="24"/>
          <w:szCs w:val="24"/>
          <w:lang w:val="pt-BR" w:eastAsia="pt-BR"/>
        </w:rPr>
        <w:t>cenários otimista, intermediári</w:t>
      </w:r>
      <w:r>
        <w:rPr>
          <w:rFonts w:ascii="Times New Roman" w:eastAsia="Times New Roman" w:hAnsi="Times New Roman" w:cs="Times New Roman"/>
          <w:sz w:val="24"/>
          <w:szCs w:val="24"/>
          <w:lang w:val="pt-BR" w:eastAsia="pt-BR"/>
        </w:rPr>
        <w:t>o</w:t>
      </w:r>
      <w:r w:rsidRPr="00CA2760">
        <w:rPr>
          <w:rFonts w:ascii="Times New Roman" w:eastAsia="Times New Roman" w:hAnsi="Times New Roman" w:cs="Times New Roman"/>
          <w:sz w:val="24"/>
          <w:szCs w:val="24"/>
          <w:lang w:val="pt-BR" w:eastAsia="pt-BR"/>
        </w:rPr>
        <w:t xml:space="preserve"> e pessimista para as taxas reais de quatro </w:t>
      </w:r>
      <w:r w:rsidRPr="00D91C24">
        <w:rPr>
          <w:rFonts w:ascii="Times New Roman" w:eastAsia="Times New Roman" w:hAnsi="Times New Roman" w:cs="Times New Roman"/>
          <w:i/>
          <w:sz w:val="24"/>
          <w:szCs w:val="24"/>
          <w:lang w:val="pt-BR" w:eastAsia="pt-BR"/>
        </w:rPr>
        <w:t>input variables</w:t>
      </w:r>
      <w:r w:rsidRPr="00CA2760">
        <w:rPr>
          <w:rFonts w:ascii="Times New Roman" w:eastAsia="Times New Roman" w:hAnsi="Times New Roman" w:cs="Times New Roman"/>
          <w:sz w:val="24"/>
          <w:szCs w:val="24"/>
          <w:lang w:val="pt-BR" w:eastAsia="pt-BR"/>
        </w:rPr>
        <w:t xml:space="preserve"> do modelo financeiro:</w:t>
      </w:r>
    </w:p>
    <w:p w14:paraId="1EA78FAA" w14:textId="77777777" w:rsidR="00427CAD" w:rsidRPr="00CA2760" w:rsidRDefault="00427CAD" w:rsidP="00427CAD">
      <w:pPr>
        <w:pStyle w:val="ListParagraph"/>
        <w:numPr>
          <w:ilvl w:val="0"/>
          <w:numId w:val="35"/>
        </w:numPr>
        <w:shd w:val="clear" w:color="auto" w:fill="FFFFFF"/>
        <w:spacing w:after="0"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t>Juros dos Financiamentos Concedidos aos Municípios</w:t>
      </w:r>
    </w:p>
    <w:p w14:paraId="1D3F2987" w14:textId="77777777" w:rsidR="00427CAD" w:rsidRPr="00CA2760" w:rsidRDefault="00427CAD" w:rsidP="00427CAD">
      <w:pPr>
        <w:pStyle w:val="ListParagraph"/>
        <w:numPr>
          <w:ilvl w:val="0"/>
          <w:numId w:val="35"/>
        </w:numPr>
        <w:shd w:val="clear" w:color="auto" w:fill="FFFFFF"/>
        <w:spacing w:after="0"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t xml:space="preserve">Juros das Aplicações Financeiras </w:t>
      </w:r>
    </w:p>
    <w:p w14:paraId="1B28DF6F" w14:textId="77777777" w:rsidR="00427CAD" w:rsidRPr="00CA2760" w:rsidRDefault="00427CAD" w:rsidP="00427CAD">
      <w:pPr>
        <w:pStyle w:val="ListParagraph"/>
        <w:numPr>
          <w:ilvl w:val="0"/>
          <w:numId w:val="35"/>
        </w:numPr>
        <w:shd w:val="clear" w:color="auto" w:fill="FFFFFF"/>
        <w:spacing w:after="0" w:line="360" w:lineRule="auto"/>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JCP</w:t>
      </w:r>
    </w:p>
    <w:p w14:paraId="0A10726E" w14:textId="77777777" w:rsidR="00427CAD" w:rsidRPr="00CA2760" w:rsidRDefault="00427CAD" w:rsidP="00427CAD">
      <w:pPr>
        <w:pStyle w:val="ListParagraph"/>
        <w:numPr>
          <w:ilvl w:val="0"/>
          <w:numId w:val="35"/>
        </w:numPr>
        <w:shd w:val="clear" w:color="auto" w:fill="FFFFFF"/>
        <w:spacing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t>Incremento do total de despesas</w:t>
      </w:r>
      <w:r>
        <w:rPr>
          <w:rFonts w:ascii="Times New Roman" w:eastAsia="Times New Roman" w:hAnsi="Times New Roman" w:cs="Times New Roman"/>
          <w:sz w:val="24"/>
          <w:szCs w:val="24"/>
          <w:lang w:val="pt-BR" w:eastAsia="pt-BR"/>
        </w:rPr>
        <w:t xml:space="preserve"> operacionais</w:t>
      </w:r>
    </w:p>
    <w:p w14:paraId="340295EB" w14:textId="32F83979" w:rsidR="00427CAD" w:rsidRDefault="00427CAD" w:rsidP="00427CAD">
      <w:pPr>
        <w:shd w:val="clear" w:color="auto" w:fill="FFFFFF"/>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Em resumo, definiremos cenários para </w:t>
      </w:r>
      <w:r w:rsidRPr="00CF1C65">
        <w:rPr>
          <w:rFonts w:ascii="Times New Roman" w:hAnsi="Times New Roman" w:cs="Times New Roman"/>
          <w:sz w:val="24"/>
          <w:szCs w:val="24"/>
          <w:lang w:val="pt-BR"/>
        </w:rPr>
        <w:t xml:space="preserve">estas quatro </w:t>
      </w:r>
      <w:r w:rsidRPr="005D6609">
        <w:rPr>
          <w:rFonts w:ascii="Times New Roman" w:hAnsi="Times New Roman" w:cs="Times New Roman"/>
          <w:i/>
          <w:sz w:val="24"/>
          <w:szCs w:val="24"/>
          <w:lang w:val="pt-BR"/>
        </w:rPr>
        <w:t>input</w:t>
      </w:r>
      <w:r w:rsidRPr="00CF1C65">
        <w:rPr>
          <w:rFonts w:ascii="Times New Roman" w:hAnsi="Times New Roman" w:cs="Times New Roman"/>
          <w:i/>
          <w:sz w:val="24"/>
          <w:szCs w:val="24"/>
          <w:lang w:val="pt-BR"/>
        </w:rPr>
        <w:t xml:space="preserve"> variables </w:t>
      </w:r>
      <w:r w:rsidRPr="00CF1C65">
        <w:rPr>
          <w:rFonts w:ascii="Times New Roman" w:hAnsi="Times New Roman" w:cs="Times New Roman"/>
          <w:sz w:val="24"/>
          <w:szCs w:val="24"/>
          <w:lang w:val="pt-BR"/>
        </w:rPr>
        <w:t>para</w:t>
      </w:r>
      <w:r w:rsidRPr="00CA2760">
        <w:rPr>
          <w:rFonts w:ascii="Times New Roman" w:hAnsi="Times New Roman" w:cs="Times New Roman"/>
          <w:sz w:val="24"/>
          <w:szCs w:val="24"/>
          <w:lang w:val="pt-BR"/>
        </w:rPr>
        <w:t xml:space="preserve"> simular o impacto da variação das taxas reais de juros e dos custos operacionais sobre </w:t>
      </w:r>
      <w:r>
        <w:rPr>
          <w:rFonts w:ascii="Times New Roman" w:hAnsi="Times New Roman" w:cs="Times New Roman"/>
          <w:sz w:val="24"/>
          <w:szCs w:val="24"/>
          <w:lang w:val="pt-BR"/>
        </w:rPr>
        <w:t xml:space="preserve">as </w:t>
      </w:r>
      <w:r w:rsidRPr="00CA2760">
        <w:rPr>
          <w:rFonts w:ascii="Times New Roman" w:hAnsi="Times New Roman" w:cs="Times New Roman"/>
          <w:sz w:val="24"/>
          <w:szCs w:val="24"/>
          <w:lang w:val="pt-BR"/>
        </w:rPr>
        <w:t xml:space="preserve">duas </w:t>
      </w:r>
      <w:r w:rsidR="00C739DB" w:rsidRPr="005205CD">
        <w:rPr>
          <w:rFonts w:ascii="Times New Roman" w:hAnsi="Times New Roman" w:cs="Times New Roman"/>
          <w:i/>
          <w:sz w:val="24"/>
          <w:szCs w:val="24"/>
          <w:lang w:val="pt-BR"/>
        </w:rPr>
        <w:t>output variables</w:t>
      </w:r>
      <w:r w:rsidRPr="00CA2760">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PL</w:t>
      </w:r>
      <w:r w:rsidRPr="00CA2760">
        <w:rPr>
          <w:rFonts w:ascii="Times New Roman" w:eastAsia="Times New Roman" w:hAnsi="Times New Roman" w:cs="Times New Roman"/>
          <w:sz w:val="24"/>
          <w:szCs w:val="24"/>
          <w:lang w:val="pt-BR" w:eastAsia="pt-BR"/>
        </w:rPr>
        <w:t xml:space="preserve"> e Financiamentos Concedidos aos Municípios.  </w:t>
      </w:r>
      <w:r w:rsidRPr="00096976">
        <w:rPr>
          <w:rFonts w:ascii="Times New Roman" w:hAnsi="Times New Roman" w:cs="Times New Roman"/>
          <w:sz w:val="24"/>
          <w:szCs w:val="24"/>
          <w:lang w:val="pt-BR"/>
        </w:rPr>
        <w:t xml:space="preserve">Como </w:t>
      </w:r>
      <w:r w:rsidR="00073684">
        <w:rPr>
          <w:rFonts w:ascii="Times New Roman" w:hAnsi="Times New Roman" w:cs="Times New Roman"/>
          <w:sz w:val="24"/>
          <w:szCs w:val="24"/>
          <w:lang w:val="pt-BR"/>
        </w:rPr>
        <w:t xml:space="preserve">as </w:t>
      </w:r>
      <w:r w:rsidRPr="00096976">
        <w:rPr>
          <w:rFonts w:ascii="Times New Roman" w:hAnsi="Times New Roman" w:cs="Times New Roman"/>
          <w:sz w:val="24"/>
          <w:szCs w:val="24"/>
          <w:lang w:val="pt-BR"/>
        </w:rPr>
        <w:t xml:space="preserve">quatro </w:t>
      </w:r>
      <w:r w:rsidR="00073684" w:rsidRPr="001B591F">
        <w:rPr>
          <w:rFonts w:ascii="Times New Roman" w:hAnsi="Times New Roman" w:cs="Times New Roman"/>
          <w:i/>
          <w:sz w:val="24"/>
          <w:szCs w:val="24"/>
          <w:lang w:val="pt-BR"/>
        </w:rPr>
        <w:t>input variables</w:t>
      </w:r>
      <w:r w:rsidR="00073684" w:rsidRPr="00096976">
        <w:rPr>
          <w:rFonts w:ascii="Times New Roman" w:hAnsi="Times New Roman" w:cs="Times New Roman"/>
          <w:sz w:val="24"/>
          <w:szCs w:val="24"/>
          <w:lang w:val="pt-BR"/>
        </w:rPr>
        <w:t xml:space="preserve"> </w:t>
      </w:r>
      <w:r w:rsidRPr="00096976">
        <w:rPr>
          <w:rFonts w:ascii="Times New Roman" w:hAnsi="Times New Roman" w:cs="Times New Roman"/>
          <w:sz w:val="24"/>
          <w:szCs w:val="24"/>
          <w:lang w:val="pt-BR"/>
        </w:rPr>
        <w:t xml:space="preserve">seriam significativamente impactadas por condições macroeconômicas alternativas, </w:t>
      </w:r>
      <w:r>
        <w:rPr>
          <w:rFonts w:ascii="Times New Roman" w:hAnsi="Times New Roman" w:cs="Times New Roman"/>
          <w:sz w:val="24"/>
          <w:szCs w:val="24"/>
          <w:lang w:val="pt-BR"/>
        </w:rPr>
        <w:t xml:space="preserve">suas </w:t>
      </w:r>
      <w:r w:rsidRPr="00096976">
        <w:rPr>
          <w:rFonts w:ascii="Times New Roman" w:hAnsi="Times New Roman" w:cs="Times New Roman"/>
          <w:sz w:val="24"/>
          <w:szCs w:val="24"/>
          <w:lang w:val="pt-BR"/>
        </w:rPr>
        <w:t>variações servem como proxies para cenários macroeconômicos alternativos.</w:t>
      </w:r>
    </w:p>
    <w:p w14:paraId="623E1570" w14:textId="77777777" w:rsidR="00427CAD" w:rsidRPr="00CA2760" w:rsidRDefault="00427CAD" w:rsidP="00427CAD">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Uma vez que procuramos manter o modelo razoavelmente simples, focalizando nestes fatores de risco para um período de 20 anos, utilizamos as seguintes suposições:</w:t>
      </w:r>
    </w:p>
    <w:p w14:paraId="02C944F4" w14:textId="77777777" w:rsidR="00427CAD" w:rsidRPr="00CA2760" w:rsidRDefault="00427CAD" w:rsidP="00427CAD">
      <w:pPr>
        <w:pStyle w:val="ListParagraph"/>
        <w:numPr>
          <w:ilvl w:val="0"/>
          <w:numId w:val="15"/>
        </w:num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Tanto a Lei 17655 de 7 de agosto de 2013 que blinda o FDU, como as outras leis e regulamentos </w:t>
      </w:r>
      <w:r>
        <w:rPr>
          <w:rFonts w:ascii="Times New Roman" w:hAnsi="Times New Roman" w:cs="Times New Roman"/>
          <w:sz w:val="24"/>
          <w:szCs w:val="24"/>
          <w:lang w:val="pt-BR"/>
        </w:rPr>
        <w:t xml:space="preserve">que governam o SFM e SFN </w:t>
      </w:r>
      <w:r w:rsidRPr="00CA2760">
        <w:rPr>
          <w:rFonts w:ascii="Times New Roman" w:hAnsi="Times New Roman" w:cs="Times New Roman"/>
          <w:sz w:val="24"/>
          <w:szCs w:val="24"/>
          <w:lang w:val="pt-BR"/>
        </w:rPr>
        <w:t>serão rigorosamente cumprid</w:t>
      </w:r>
      <w:r>
        <w:rPr>
          <w:rFonts w:ascii="Times New Roman" w:hAnsi="Times New Roman" w:cs="Times New Roman"/>
          <w:sz w:val="24"/>
          <w:szCs w:val="24"/>
          <w:lang w:val="pt-BR"/>
        </w:rPr>
        <w:t>a</w:t>
      </w:r>
      <w:r w:rsidRPr="00CA2760">
        <w:rPr>
          <w:rFonts w:ascii="Times New Roman" w:hAnsi="Times New Roman" w:cs="Times New Roman"/>
          <w:sz w:val="24"/>
          <w:szCs w:val="24"/>
          <w:lang w:val="pt-BR"/>
        </w:rPr>
        <w:t>s.</w:t>
      </w:r>
    </w:p>
    <w:p w14:paraId="7E670141" w14:textId="77777777" w:rsidR="00427CAD" w:rsidRPr="00CA2760" w:rsidRDefault="00427CAD" w:rsidP="00427CAD">
      <w:pPr>
        <w:pStyle w:val="ListParagraph"/>
        <w:numPr>
          <w:ilvl w:val="0"/>
          <w:numId w:val="15"/>
        </w:num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O risco de inadimplência na carteira dos empréstimos municipais continuará sendo virtualmente zero, dado os parâmetros do sistema de garantia já discutidos.</w:t>
      </w:r>
    </w:p>
    <w:p w14:paraId="50A818CB" w14:textId="77777777" w:rsidR="00427CAD" w:rsidRPr="00CA2760" w:rsidRDefault="00427CAD" w:rsidP="00427CAD">
      <w:pPr>
        <w:pStyle w:val="ListParagraph"/>
        <w:numPr>
          <w:ilvl w:val="0"/>
          <w:numId w:val="15"/>
        </w:num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O montante do novo empréstimo do BID está incluído no modelo utilizando um prazo médio de amortização dos empréstimos municipais de sete anos.</w:t>
      </w:r>
    </w:p>
    <w:p w14:paraId="5BCC102A" w14:textId="77777777" w:rsidR="00427CAD" w:rsidRPr="00CA2760" w:rsidRDefault="00427CAD" w:rsidP="00427CAD">
      <w:pPr>
        <w:pStyle w:val="ListParagraph"/>
        <w:numPr>
          <w:ilvl w:val="0"/>
          <w:numId w:val="15"/>
        </w:num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lastRenderedPageBreak/>
        <w:t xml:space="preserve">Todos os pagamentos dos empréstimos serão </w:t>
      </w:r>
      <w:r>
        <w:rPr>
          <w:rFonts w:ascii="Times New Roman" w:hAnsi="Times New Roman" w:cs="Times New Roman"/>
          <w:sz w:val="24"/>
          <w:szCs w:val="24"/>
          <w:lang w:val="pt-BR"/>
        </w:rPr>
        <w:t>reinvestidos imediatamente em empréstimos</w:t>
      </w:r>
      <w:r w:rsidRPr="00CA2760">
        <w:rPr>
          <w:rFonts w:ascii="Times New Roman" w:hAnsi="Times New Roman" w:cs="Times New Roman"/>
          <w:sz w:val="24"/>
          <w:szCs w:val="24"/>
          <w:lang w:val="pt-BR"/>
        </w:rPr>
        <w:t xml:space="preserve"> aos municípios ou na carteira </w:t>
      </w:r>
      <w:r>
        <w:rPr>
          <w:rFonts w:ascii="Times New Roman" w:hAnsi="Times New Roman" w:cs="Times New Roman"/>
          <w:sz w:val="24"/>
          <w:szCs w:val="24"/>
          <w:lang w:val="pt-BR"/>
        </w:rPr>
        <w:t xml:space="preserve">de </w:t>
      </w:r>
      <w:r w:rsidRPr="00CA2760">
        <w:rPr>
          <w:rFonts w:ascii="Times New Roman" w:hAnsi="Times New Roman" w:cs="Times New Roman"/>
          <w:sz w:val="24"/>
          <w:szCs w:val="24"/>
          <w:lang w:val="pt-BR"/>
        </w:rPr>
        <w:t xml:space="preserve">mobiliário. </w:t>
      </w:r>
    </w:p>
    <w:p w14:paraId="3E951517" w14:textId="77777777" w:rsidR="00427CAD" w:rsidRDefault="00427CAD" w:rsidP="00427CAD">
      <w:pPr>
        <w:pStyle w:val="ListParagraph"/>
        <w:numPr>
          <w:ilvl w:val="0"/>
          <w:numId w:val="15"/>
        </w:num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A razão </w:t>
      </w:r>
      <w:r w:rsidRPr="00C14924">
        <w:rPr>
          <w:rFonts w:ascii="Times New Roman" w:hAnsi="Times New Roman" w:cs="Times New Roman"/>
          <w:i/>
          <w:sz w:val="24"/>
          <w:szCs w:val="24"/>
          <w:lang w:val="pt-BR"/>
        </w:rPr>
        <w:t>Portfólio de Empréstimos Municipais/</w:t>
      </w:r>
      <w:r>
        <w:rPr>
          <w:rFonts w:ascii="Times New Roman" w:hAnsi="Times New Roman" w:cs="Times New Roman"/>
          <w:i/>
          <w:sz w:val="24"/>
          <w:szCs w:val="24"/>
          <w:lang w:val="pt-BR"/>
        </w:rPr>
        <w:t>PL</w:t>
      </w:r>
      <w:r w:rsidRPr="00CA2760">
        <w:rPr>
          <w:rFonts w:ascii="Times New Roman" w:hAnsi="Times New Roman" w:cs="Times New Roman"/>
          <w:sz w:val="24"/>
          <w:szCs w:val="24"/>
          <w:lang w:val="pt-BR"/>
        </w:rPr>
        <w:t xml:space="preserve"> se manterá constante durante o período de 20 anos como forma de </w:t>
      </w:r>
      <w:r>
        <w:rPr>
          <w:rFonts w:ascii="Times New Roman" w:hAnsi="Times New Roman" w:cs="Times New Roman"/>
          <w:sz w:val="24"/>
          <w:szCs w:val="24"/>
          <w:lang w:val="pt-BR"/>
        </w:rPr>
        <w:t>simulação do</w:t>
      </w:r>
      <w:r w:rsidRPr="00CA2760">
        <w:rPr>
          <w:rFonts w:ascii="Times New Roman" w:hAnsi="Times New Roman" w:cs="Times New Roman"/>
          <w:sz w:val="24"/>
          <w:szCs w:val="24"/>
          <w:lang w:val="pt-BR"/>
        </w:rPr>
        <w:t xml:space="preserve"> impacto dos regulamentos sobre a proporção do ativo do FDU que será utilizada para financiar os municípios versus investido em títulos mobiliários</w:t>
      </w:r>
      <w:r>
        <w:rPr>
          <w:rFonts w:ascii="Times New Roman" w:hAnsi="Times New Roman" w:cs="Times New Roman"/>
          <w:sz w:val="24"/>
          <w:szCs w:val="24"/>
          <w:lang w:val="pt-BR"/>
        </w:rPr>
        <w:t xml:space="preserve"> </w:t>
      </w:r>
      <w:r w:rsidRPr="00C14924">
        <w:rPr>
          <w:rFonts w:ascii="Times New Roman" w:hAnsi="Times New Roman" w:cs="Times New Roman"/>
          <w:sz w:val="24"/>
          <w:szCs w:val="24"/>
          <w:lang w:val="pt-BR"/>
        </w:rPr>
        <w:t>exigidos pelos regulamentos para a conta de reserva</w:t>
      </w:r>
      <w:r>
        <w:rPr>
          <w:rFonts w:ascii="Times New Roman" w:hAnsi="Times New Roman" w:cs="Times New Roman"/>
          <w:sz w:val="24"/>
          <w:szCs w:val="24"/>
          <w:lang w:val="pt-BR"/>
        </w:rPr>
        <w:t>.</w:t>
      </w:r>
    </w:p>
    <w:p w14:paraId="7856FA87" w14:textId="77777777" w:rsidR="00427CAD" w:rsidRPr="004604C0" w:rsidRDefault="00427CAD" w:rsidP="00427CAD">
      <w:pPr>
        <w:spacing w:line="360" w:lineRule="auto"/>
        <w:rPr>
          <w:rFonts w:ascii="Times New Roman" w:eastAsia="Times New Roman" w:hAnsi="Times New Roman" w:cs="Times New Roman"/>
          <w:sz w:val="24"/>
          <w:szCs w:val="24"/>
          <w:lang w:val="pt-BR" w:eastAsia="pt-BR"/>
        </w:rPr>
      </w:pPr>
      <w:r>
        <w:rPr>
          <w:rFonts w:ascii="Times New Roman" w:hAnsi="Times New Roman" w:cs="Times New Roman"/>
          <w:sz w:val="24"/>
          <w:szCs w:val="24"/>
          <w:lang w:val="pt-BR"/>
        </w:rPr>
        <w:t xml:space="preserve">Utilizaremos </w:t>
      </w:r>
      <w:r w:rsidRPr="004604C0">
        <w:rPr>
          <w:rFonts w:ascii="Times New Roman" w:eastAsia="Times New Roman" w:hAnsi="Times New Roman" w:cs="Times New Roman"/>
          <w:sz w:val="24"/>
          <w:szCs w:val="24"/>
          <w:lang w:val="pt-BR" w:eastAsia="pt-BR"/>
        </w:rPr>
        <w:t xml:space="preserve">dois métodos para projetar </w:t>
      </w:r>
      <w:r>
        <w:rPr>
          <w:rFonts w:ascii="Times New Roman" w:eastAsia="Times New Roman" w:hAnsi="Times New Roman" w:cs="Times New Roman"/>
          <w:sz w:val="24"/>
          <w:szCs w:val="24"/>
          <w:lang w:val="pt-BR" w:eastAsia="pt-BR"/>
        </w:rPr>
        <w:t>os valores do PL</w:t>
      </w:r>
      <w:r w:rsidRPr="00CA2760">
        <w:rPr>
          <w:rFonts w:ascii="Times New Roman" w:eastAsia="Times New Roman" w:hAnsi="Times New Roman" w:cs="Times New Roman"/>
          <w:sz w:val="24"/>
          <w:szCs w:val="24"/>
          <w:lang w:val="pt-BR" w:eastAsia="pt-BR"/>
        </w:rPr>
        <w:t xml:space="preserve"> e </w:t>
      </w:r>
      <w:r>
        <w:rPr>
          <w:rFonts w:ascii="Times New Roman" w:eastAsia="Times New Roman" w:hAnsi="Times New Roman" w:cs="Times New Roman"/>
          <w:sz w:val="24"/>
          <w:szCs w:val="24"/>
          <w:lang w:val="pt-BR" w:eastAsia="pt-BR"/>
        </w:rPr>
        <w:t xml:space="preserve">dos </w:t>
      </w:r>
      <w:r w:rsidRPr="00CA2760">
        <w:rPr>
          <w:rFonts w:ascii="Times New Roman" w:eastAsia="Times New Roman" w:hAnsi="Times New Roman" w:cs="Times New Roman"/>
          <w:sz w:val="24"/>
          <w:szCs w:val="24"/>
          <w:lang w:val="pt-BR" w:eastAsia="pt-BR"/>
        </w:rPr>
        <w:t>Financiamentos Concedidos aos Municípios</w:t>
      </w:r>
      <w:r w:rsidRPr="00D639F1">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em 2028 e 2038</w:t>
      </w:r>
      <w:r w:rsidRPr="004604C0">
        <w:rPr>
          <w:rFonts w:ascii="Times New Roman" w:eastAsia="Times New Roman" w:hAnsi="Times New Roman" w:cs="Times New Roman"/>
          <w:sz w:val="24"/>
          <w:szCs w:val="24"/>
          <w:lang w:val="pt-BR" w:eastAsia="pt-BR"/>
        </w:rPr>
        <w:t xml:space="preserve">: Cenários e </w:t>
      </w:r>
      <w:r>
        <w:rPr>
          <w:rFonts w:ascii="Times New Roman" w:eastAsia="Times New Roman" w:hAnsi="Times New Roman" w:cs="Times New Roman"/>
          <w:sz w:val="24"/>
          <w:szCs w:val="24"/>
          <w:lang w:val="pt-BR" w:eastAsia="pt-BR"/>
        </w:rPr>
        <w:t xml:space="preserve">simulações </w:t>
      </w:r>
      <w:r w:rsidRPr="004604C0">
        <w:rPr>
          <w:rFonts w:ascii="Times New Roman" w:eastAsia="Times New Roman" w:hAnsi="Times New Roman" w:cs="Times New Roman"/>
          <w:sz w:val="24"/>
          <w:szCs w:val="24"/>
          <w:lang w:val="pt-BR" w:eastAsia="pt-BR"/>
        </w:rPr>
        <w:t>Monte Carlo</w:t>
      </w:r>
    </w:p>
    <w:p w14:paraId="3BD611D1" w14:textId="2E7BFFD2" w:rsidR="00427CAD" w:rsidRPr="00CA2760" w:rsidRDefault="00427CAD" w:rsidP="00427CAD">
      <w:pPr>
        <w:shd w:val="clear" w:color="auto" w:fill="FFFFFF"/>
        <w:spacing w:line="360" w:lineRule="auto"/>
        <w:jc w:val="center"/>
        <w:rPr>
          <w:rFonts w:ascii="Times New Roman" w:eastAsia="Times New Roman" w:hAnsi="Times New Roman" w:cs="Times New Roman"/>
          <w:b/>
          <w:sz w:val="24"/>
          <w:szCs w:val="24"/>
          <w:lang w:val="pt-BR" w:eastAsia="pt-BR"/>
        </w:rPr>
      </w:pPr>
      <w:r>
        <w:rPr>
          <w:rFonts w:ascii="Times New Roman" w:eastAsia="Times New Roman" w:hAnsi="Times New Roman" w:cs="Times New Roman"/>
          <w:b/>
          <w:sz w:val="24"/>
          <w:szCs w:val="24"/>
          <w:lang w:val="pt-BR" w:eastAsia="pt-BR"/>
        </w:rPr>
        <w:t>A</w:t>
      </w:r>
      <w:r w:rsidR="00595CB8">
        <w:rPr>
          <w:rFonts w:ascii="Times New Roman" w:eastAsia="Times New Roman" w:hAnsi="Times New Roman" w:cs="Times New Roman"/>
          <w:b/>
          <w:sz w:val="24"/>
          <w:szCs w:val="24"/>
          <w:lang w:val="pt-BR" w:eastAsia="pt-BR"/>
        </w:rPr>
        <w:t xml:space="preserve">s simulações </w:t>
      </w:r>
      <w:r>
        <w:rPr>
          <w:rFonts w:ascii="Times New Roman" w:eastAsia="Times New Roman" w:hAnsi="Times New Roman" w:cs="Times New Roman"/>
          <w:b/>
          <w:sz w:val="24"/>
          <w:szCs w:val="24"/>
          <w:lang w:val="pt-BR" w:eastAsia="pt-BR"/>
        </w:rPr>
        <w:t xml:space="preserve">com o método de cenários </w:t>
      </w:r>
    </w:p>
    <w:p w14:paraId="1E7653AC" w14:textId="77777777" w:rsidR="00427CAD" w:rsidRPr="00A426E1" w:rsidRDefault="00427CAD" w:rsidP="00427CAD">
      <w:pPr>
        <w:shd w:val="clear" w:color="auto" w:fill="FFFFFF"/>
        <w:spacing w:after="0"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t xml:space="preserve">Como não queremos superestimar a capitalização do FDU, todos os três cenários para as nossas simulações financeiras </w:t>
      </w:r>
      <w:r>
        <w:rPr>
          <w:rFonts w:ascii="Times New Roman" w:eastAsia="Times New Roman" w:hAnsi="Times New Roman" w:cs="Times New Roman"/>
          <w:sz w:val="24"/>
          <w:szCs w:val="24"/>
          <w:lang w:val="pt-BR" w:eastAsia="pt-BR"/>
        </w:rPr>
        <w:t>do</w:t>
      </w:r>
      <w:r w:rsidRPr="00CA2760">
        <w:rPr>
          <w:rFonts w:ascii="Times New Roman" w:eastAsia="Times New Roman" w:hAnsi="Times New Roman" w:cs="Times New Roman"/>
          <w:sz w:val="24"/>
          <w:szCs w:val="24"/>
          <w:lang w:val="pt-BR" w:eastAsia="pt-BR"/>
        </w:rPr>
        <w:t xml:space="preserve"> período de base são bastante conservador</w:t>
      </w:r>
      <w:r>
        <w:rPr>
          <w:rFonts w:ascii="Times New Roman" w:eastAsia="Times New Roman" w:hAnsi="Times New Roman" w:cs="Times New Roman"/>
          <w:sz w:val="24"/>
          <w:szCs w:val="24"/>
          <w:lang w:val="pt-BR" w:eastAsia="pt-BR"/>
        </w:rPr>
        <w:t>e</w:t>
      </w:r>
      <w:r w:rsidRPr="00CA2760">
        <w:rPr>
          <w:rFonts w:ascii="Times New Roman" w:eastAsia="Times New Roman" w:hAnsi="Times New Roman" w:cs="Times New Roman"/>
          <w:sz w:val="24"/>
          <w:szCs w:val="24"/>
          <w:lang w:val="pt-BR" w:eastAsia="pt-BR"/>
        </w:rPr>
        <w:t xml:space="preserve">s. </w:t>
      </w:r>
      <w:r w:rsidRPr="00A426E1">
        <w:rPr>
          <w:rFonts w:ascii="Times New Roman" w:eastAsia="Times New Roman" w:hAnsi="Times New Roman" w:cs="Times New Roman"/>
          <w:sz w:val="24"/>
          <w:szCs w:val="24"/>
          <w:lang w:val="pt-BR" w:eastAsia="pt-BR"/>
        </w:rPr>
        <w:t xml:space="preserve">A tabela </w:t>
      </w:r>
      <w:r>
        <w:rPr>
          <w:rFonts w:ascii="Times New Roman" w:eastAsia="Times New Roman" w:hAnsi="Times New Roman" w:cs="Times New Roman"/>
          <w:sz w:val="24"/>
          <w:szCs w:val="24"/>
          <w:lang w:val="pt-BR" w:eastAsia="pt-BR"/>
        </w:rPr>
        <w:t>II</w:t>
      </w:r>
      <w:r w:rsidRPr="00A426E1">
        <w:rPr>
          <w:rFonts w:ascii="Times New Roman" w:eastAsia="Times New Roman" w:hAnsi="Times New Roman" w:cs="Times New Roman"/>
          <w:sz w:val="24"/>
          <w:szCs w:val="24"/>
          <w:lang w:val="pt-BR" w:eastAsia="pt-BR"/>
        </w:rPr>
        <w:t xml:space="preserve"> mostra</w:t>
      </w:r>
      <w:r w:rsidRPr="00CA2760">
        <w:rPr>
          <w:rFonts w:ascii="Times New Roman" w:eastAsia="Times New Roman" w:hAnsi="Times New Roman" w:cs="Times New Roman"/>
          <w:sz w:val="24"/>
          <w:szCs w:val="24"/>
          <w:lang w:val="pt-BR" w:eastAsia="pt-BR"/>
        </w:rPr>
        <w:t xml:space="preserve"> os parâmetros para os nossos cenários otimista, intermediário e pessimista </w:t>
      </w:r>
      <w:r>
        <w:rPr>
          <w:rFonts w:ascii="Times New Roman" w:eastAsia="Times New Roman" w:hAnsi="Times New Roman" w:cs="Times New Roman"/>
          <w:sz w:val="24"/>
          <w:szCs w:val="24"/>
          <w:lang w:val="pt-BR" w:eastAsia="pt-BR"/>
        </w:rPr>
        <w:t>das</w:t>
      </w:r>
      <w:r w:rsidRPr="00CA2760">
        <w:rPr>
          <w:rFonts w:ascii="Times New Roman" w:eastAsia="Times New Roman" w:hAnsi="Times New Roman" w:cs="Times New Roman"/>
          <w:sz w:val="24"/>
          <w:szCs w:val="24"/>
          <w:lang w:val="pt-BR" w:eastAsia="pt-BR"/>
        </w:rPr>
        <w:t xml:space="preserve"> quatro </w:t>
      </w:r>
      <w:r w:rsidRPr="0042288E">
        <w:rPr>
          <w:rFonts w:ascii="Times New Roman" w:eastAsia="Times New Roman" w:hAnsi="Times New Roman" w:cs="Times New Roman"/>
          <w:i/>
          <w:sz w:val="24"/>
          <w:szCs w:val="24"/>
          <w:lang w:val="pt-BR" w:eastAsia="pt-BR"/>
        </w:rPr>
        <w:t>input variables</w:t>
      </w:r>
      <w:r w:rsidRPr="00CA2760">
        <w:rPr>
          <w:rFonts w:ascii="Times New Roman" w:eastAsia="Times New Roman" w:hAnsi="Times New Roman" w:cs="Times New Roman"/>
          <w:sz w:val="24"/>
          <w:szCs w:val="24"/>
          <w:lang w:val="pt-BR" w:eastAsia="pt-BR"/>
        </w:rPr>
        <w:t xml:space="preserve">. Para o cenário intermediário, usamos as </w:t>
      </w:r>
      <w:r>
        <w:rPr>
          <w:rFonts w:ascii="Times New Roman" w:eastAsia="Times New Roman" w:hAnsi="Times New Roman" w:cs="Times New Roman"/>
          <w:sz w:val="24"/>
          <w:szCs w:val="24"/>
          <w:lang w:val="pt-BR" w:eastAsia="pt-BR"/>
        </w:rPr>
        <w:t xml:space="preserve">médias das </w:t>
      </w:r>
      <w:r w:rsidRPr="00CA2760">
        <w:rPr>
          <w:rFonts w:ascii="Times New Roman" w:eastAsia="Times New Roman" w:hAnsi="Times New Roman" w:cs="Times New Roman"/>
          <w:sz w:val="24"/>
          <w:szCs w:val="24"/>
          <w:lang w:val="pt-BR" w:eastAsia="pt-BR"/>
        </w:rPr>
        <w:t xml:space="preserve">taxas reais de juros </w:t>
      </w:r>
      <w:r>
        <w:rPr>
          <w:rFonts w:ascii="Times New Roman" w:eastAsia="Times New Roman" w:hAnsi="Times New Roman" w:cs="Times New Roman"/>
          <w:sz w:val="24"/>
          <w:szCs w:val="24"/>
          <w:lang w:val="pt-BR" w:eastAsia="pt-BR"/>
        </w:rPr>
        <w:t>entre 2007/2017 dos</w:t>
      </w:r>
      <w:r w:rsidRPr="00CA2760">
        <w:rPr>
          <w:rFonts w:ascii="Times New Roman" w:eastAsia="Times New Roman" w:hAnsi="Times New Roman" w:cs="Times New Roman"/>
          <w:sz w:val="24"/>
          <w:szCs w:val="24"/>
          <w:lang w:val="pt-BR" w:eastAsia="pt-BR"/>
        </w:rPr>
        <w:t xml:space="preserve"> Financiamentos Concedidos aos Municípios e Aplicações Financeiras</w:t>
      </w:r>
      <w:r>
        <w:rPr>
          <w:rFonts w:ascii="Times New Roman" w:eastAsia="Times New Roman" w:hAnsi="Times New Roman" w:cs="Times New Roman"/>
          <w:sz w:val="24"/>
          <w:szCs w:val="24"/>
          <w:lang w:val="pt-BR" w:eastAsia="pt-BR"/>
        </w:rPr>
        <w:t>.</w:t>
      </w:r>
      <w:r w:rsidRPr="00A47D27">
        <w:rPr>
          <w:rFonts w:ascii="Times New Roman" w:eastAsia="Times New Roman" w:hAnsi="Times New Roman" w:cs="Times New Roman"/>
          <w:sz w:val="24"/>
          <w:szCs w:val="24"/>
          <w:lang w:val="pt-BR" w:eastAsia="pt-BR"/>
        </w:rPr>
        <w:t xml:space="preserve">  Para os</w:t>
      </w:r>
      <w:r w:rsidRPr="00A426E1">
        <w:rPr>
          <w:rFonts w:ascii="Times New Roman" w:eastAsia="Times New Roman" w:hAnsi="Times New Roman" w:cs="Times New Roman"/>
          <w:sz w:val="24"/>
          <w:szCs w:val="24"/>
          <w:lang w:val="pt-BR" w:eastAsia="pt-BR"/>
        </w:rPr>
        <w:t xml:space="preserve"> cenários otimista e pessimista adic</w:t>
      </w:r>
      <w:r w:rsidRPr="007451C3">
        <w:rPr>
          <w:rFonts w:ascii="Times New Roman" w:eastAsia="Times New Roman" w:hAnsi="Times New Roman" w:cs="Times New Roman"/>
          <w:sz w:val="24"/>
          <w:szCs w:val="24"/>
          <w:lang w:val="pt-BR" w:eastAsia="pt-BR"/>
        </w:rPr>
        <w:t>ionamos ou subtraímos um desvio padrão destas médias, respectivamente. Como usamos apenas as taxas reais (ou s</w:t>
      </w:r>
      <w:r w:rsidRPr="00A426E1">
        <w:rPr>
          <w:rFonts w:ascii="Times New Roman" w:eastAsia="Times New Roman" w:hAnsi="Times New Roman" w:cs="Times New Roman"/>
          <w:sz w:val="24"/>
          <w:szCs w:val="24"/>
          <w:lang w:val="pt-BR" w:eastAsia="pt-BR"/>
        </w:rPr>
        <w:t>eja, taxa nominal menos inflação) na definição dos cenários, os resultados serão, naturalmente, em reais de valor constante 2017.</w:t>
      </w:r>
    </w:p>
    <w:p w14:paraId="3C74B1AB" w14:textId="77777777" w:rsidR="00427CAD" w:rsidRPr="00CA2760" w:rsidRDefault="00427CAD" w:rsidP="00427CAD">
      <w:pPr>
        <w:shd w:val="clear" w:color="auto" w:fill="FFFFFF"/>
        <w:spacing w:before="240" w:after="0" w:line="240" w:lineRule="auto"/>
        <w:rPr>
          <w:rFonts w:ascii="Times New Roman" w:eastAsia="Times New Roman" w:hAnsi="Times New Roman" w:cs="Times New Roman"/>
          <w:sz w:val="24"/>
          <w:szCs w:val="24"/>
          <w:lang w:val="pt-BR" w:eastAsia="pt-BR"/>
        </w:rPr>
      </w:pPr>
      <w:r w:rsidRPr="00A47D27">
        <w:rPr>
          <w:rFonts w:ascii="Times New Roman" w:eastAsia="Times New Roman" w:hAnsi="Times New Roman" w:cs="Times New Roman"/>
          <w:sz w:val="24"/>
          <w:szCs w:val="24"/>
          <w:lang w:val="pt-BR" w:eastAsia="pt-BR"/>
        </w:rPr>
        <w:t xml:space="preserve">Tabela </w:t>
      </w:r>
      <w:r>
        <w:rPr>
          <w:rFonts w:ascii="Times New Roman" w:eastAsia="Times New Roman" w:hAnsi="Times New Roman" w:cs="Times New Roman"/>
          <w:sz w:val="24"/>
          <w:szCs w:val="24"/>
          <w:lang w:val="pt-BR" w:eastAsia="pt-BR"/>
        </w:rPr>
        <w:t>II</w:t>
      </w:r>
      <w:r w:rsidRPr="00A426E1">
        <w:rPr>
          <w:rFonts w:ascii="Times New Roman" w:eastAsia="Times New Roman" w:hAnsi="Times New Roman" w:cs="Times New Roman"/>
          <w:sz w:val="24"/>
          <w:szCs w:val="24"/>
          <w:lang w:val="pt-BR" w:eastAsia="pt-BR"/>
        </w:rPr>
        <w:t>. FDU: Definição dos cenários para as simulações financeiras</w:t>
      </w:r>
    </w:p>
    <w:tbl>
      <w:tblPr>
        <w:tblStyle w:val="TableGrid"/>
        <w:tblW w:w="9493" w:type="dxa"/>
        <w:tblLayout w:type="fixed"/>
        <w:tblLook w:val="04A0" w:firstRow="1" w:lastRow="0" w:firstColumn="1" w:lastColumn="0" w:noHBand="0" w:noVBand="1"/>
      </w:tblPr>
      <w:tblGrid>
        <w:gridCol w:w="2122"/>
        <w:gridCol w:w="992"/>
        <w:gridCol w:w="1134"/>
        <w:gridCol w:w="1262"/>
        <w:gridCol w:w="1289"/>
        <w:gridCol w:w="1418"/>
        <w:gridCol w:w="1276"/>
      </w:tblGrid>
      <w:tr w:rsidR="00427CAD" w:rsidRPr="00CA2760" w14:paraId="582A4CD2" w14:textId="77777777" w:rsidTr="00427CAD">
        <w:trPr>
          <w:trHeight w:val="288"/>
        </w:trPr>
        <w:tc>
          <w:tcPr>
            <w:tcW w:w="2122" w:type="dxa"/>
            <w:vMerge w:val="restart"/>
            <w:vAlign w:val="center"/>
          </w:tcPr>
          <w:p w14:paraId="63D0D233" w14:textId="77777777" w:rsidR="00427CAD" w:rsidRPr="00CA2760" w:rsidRDefault="00427CAD" w:rsidP="00427CAD">
            <w:pPr>
              <w:rPr>
                <w:rFonts w:ascii="Arial" w:hAnsi="Arial" w:cs="Arial"/>
                <w:sz w:val="20"/>
                <w:szCs w:val="20"/>
                <w:lang w:val="pt-BR"/>
              </w:rPr>
            </w:pPr>
            <w:r w:rsidRPr="00CA2760">
              <w:rPr>
                <w:rFonts w:ascii="Arial" w:hAnsi="Arial" w:cs="Arial"/>
                <w:sz w:val="20"/>
                <w:szCs w:val="20"/>
                <w:lang w:val="pt-BR"/>
              </w:rPr>
              <w:t>Taxas reais das variáveis</w:t>
            </w:r>
          </w:p>
        </w:tc>
        <w:tc>
          <w:tcPr>
            <w:tcW w:w="3388" w:type="dxa"/>
            <w:gridSpan w:val="3"/>
            <w:hideMark/>
          </w:tcPr>
          <w:p w14:paraId="5D1CC9A4" w14:textId="77777777" w:rsidR="00427CAD" w:rsidRPr="00CA2760" w:rsidRDefault="00427CAD" w:rsidP="00427CAD">
            <w:pPr>
              <w:jc w:val="center"/>
              <w:rPr>
                <w:rFonts w:ascii="Arial" w:hAnsi="Arial" w:cs="Arial"/>
                <w:sz w:val="20"/>
                <w:szCs w:val="20"/>
                <w:lang w:val="pt-BR"/>
              </w:rPr>
            </w:pPr>
            <w:r w:rsidRPr="00CA2760">
              <w:rPr>
                <w:rFonts w:ascii="Arial" w:hAnsi="Arial" w:cs="Arial"/>
                <w:sz w:val="20"/>
                <w:szCs w:val="20"/>
                <w:lang w:val="pt-BR"/>
              </w:rPr>
              <w:t>Estatísticas</w:t>
            </w:r>
          </w:p>
        </w:tc>
        <w:tc>
          <w:tcPr>
            <w:tcW w:w="3983" w:type="dxa"/>
            <w:gridSpan w:val="3"/>
            <w:noWrap/>
            <w:hideMark/>
          </w:tcPr>
          <w:p w14:paraId="34706D9F" w14:textId="77777777" w:rsidR="00427CAD" w:rsidRPr="00CA2760" w:rsidRDefault="00427CAD" w:rsidP="00427CAD">
            <w:pPr>
              <w:jc w:val="center"/>
              <w:rPr>
                <w:rFonts w:ascii="Arial" w:hAnsi="Arial" w:cs="Arial"/>
                <w:sz w:val="20"/>
                <w:szCs w:val="20"/>
                <w:lang w:val="pt-BR"/>
              </w:rPr>
            </w:pPr>
            <w:r w:rsidRPr="00CA2760">
              <w:rPr>
                <w:rFonts w:ascii="Arial" w:hAnsi="Arial" w:cs="Arial"/>
                <w:sz w:val="20"/>
                <w:szCs w:val="20"/>
                <w:lang w:val="pt-BR"/>
              </w:rPr>
              <w:t>Cenários</w:t>
            </w:r>
          </w:p>
        </w:tc>
      </w:tr>
      <w:tr w:rsidR="00427CAD" w:rsidRPr="00CA2760" w14:paraId="23DB9C93" w14:textId="77777777" w:rsidTr="00427CAD">
        <w:trPr>
          <w:trHeight w:val="346"/>
        </w:trPr>
        <w:tc>
          <w:tcPr>
            <w:tcW w:w="2122" w:type="dxa"/>
            <w:vMerge/>
            <w:hideMark/>
          </w:tcPr>
          <w:p w14:paraId="69D1E8E2" w14:textId="77777777" w:rsidR="00427CAD" w:rsidRPr="00CA2760" w:rsidRDefault="00427CAD" w:rsidP="00427CAD">
            <w:pPr>
              <w:rPr>
                <w:rFonts w:ascii="Arial" w:hAnsi="Arial" w:cs="Arial"/>
                <w:sz w:val="20"/>
                <w:szCs w:val="20"/>
                <w:lang w:val="pt-BR"/>
              </w:rPr>
            </w:pPr>
          </w:p>
        </w:tc>
        <w:tc>
          <w:tcPr>
            <w:tcW w:w="992" w:type="dxa"/>
            <w:vMerge w:val="restart"/>
            <w:vAlign w:val="center"/>
            <w:hideMark/>
          </w:tcPr>
          <w:p w14:paraId="34E002B7"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Média</w:t>
            </w:r>
          </w:p>
        </w:tc>
        <w:tc>
          <w:tcPr>
            <w:tcW w:w="1134" w:type="dxa"/>
            <w:vMerge w:val="restart"/>
            <w:vAlign w:val="center"/>
            <w:hideMark/>
          </w:tcPr>
          <w:p w14:paraId="10D4ED71"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Desvio Padrão (DP)</w:t>
            </w:r>
          </w:p>
        </w:tc>
        <w:tc>
          <w:tcPr>
            <w:tcW w:w="1262" w:type="dxa"/>
            <w:vMerge w:val="restart"/>
            <w:vAlign w:val="center"/>
            <w:hideMark/>
          </w:tcPr>
          <w:p w14:paraId="53A5BC0D"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Coeficiente de variação</w:t>
            </w:r>
          </w:p>
        </w:tc>
        <w:tc>
          <w:tcPr>
            <w:tcW w:w="1289" w:type="dxa"/>
            <w:vAlign w:val="center"/>
            <w:hideMark/>
          </w:tcPr>
          <w:p w14:paraId="182C1AD0" w14:textId="77777777" w:rsidR="00427CAD" w:rsidRPr="00CA2760" w:rsidRDefault="00427CAD" w:rsidP="00427CAD">
            <w:pPr>
              <w:jc w:val="right"/>
              <w:rPr>
                <w:rFonts w:ascii="Arial" w:hAnsi="Arial" w:cs="Arial"/>
                <w:sz w:val="20"/>
                <w:szCs w:val="20"/>
                <w:lang w:val="pt-BR"/>
              </w:rPr>
            </w:pPr>
            <w:r w:rsidRPr="00CA2760">
              <w:rPr>
                <w:rFonts w:ascii="Arial" w:hAnsi="Arial" w:cs="Arial"/>
                <w:color w:val="000000"/>
                <w:sz w:val="20"/>
                <w:szCs w:val="20"/>
                <w:lang w:val="pt-BR"/>
              </w:rPr>
              <w:t>Otimista</w:t>
            </w:r>
          </w:p>
        </w:tc>
        <w:tc>
          <w:tcPr>
            <w:tcW w:w="1418" w:type="dxa"/>
            <w:vAlign w:val="center"/>
            <w:hideMark/>
          </w:tcPr>
          <w:p w14:paraId="6F0D5A1A" w14:textId="77777777" w:rsidR="00427CAD" w:rsidRPr="00CA2760" w:rsidRDefault="00427CAD" w:rsidP="00427CAD">
            <w:pPr>
              <w:jc w:val="right"/>
              <w:rPr>
                <w:rFonts w:ascii="Arial" w:hAnsi="Arial" w:cs="Arial"/>
                <w:sz w:val="20"/>
                <w:szCs w:val="20"/>
                <w:lang w:val="pt-BR"/>
              </w:rPr>
            </w:pPr>
            <w:r w:rsidRPr="00CA2760">
              <w:rPr>
                <w:rFonts w:ascii="Arial" w:hAnsi="Arial" w:cs="Arial"/>
                <w:color w:val="000000"/>
                <w:sz w:val="20"/>
                <w:szCs w:val="20"/>
                <w:lang w:val="pt-BR"/>
              </w:rPr>
              <w:t>Intermediário</w:t>
            </w:r>
          </w:p>
        </w:tc>
        <w:tc>
          <w:tcPr>
            <w:tcW w:w="1276" w:type="dxa"/>
            <w:vAlign w:val="center"/>
            <w:hideMark/>
          </w:tcPr>
          <w:p w14:paraId="6E468EA7" w14:textId="77777777" w:rsidR="00427CAD" w:rsidRPr="00CA2760" w:rsidRDefault="00427CAD" w:rsidP="00427CAD">
            <w:pPr>
              <w:jc w:val="right"/>
              <w:rPr>
                <w:rFonts w:ascii="Arial" w:hAnsi="Arial" w:cs="Arial"/>
                <w:sz w:val="20"/>
                <w:szCs w:val="20"/>
                <w:lang w:val="pt-BR"/>
              </w:rPr>
            </w:pPr>
            <w:r w:rsidRPr="00CA2760">
              <w:rPr>
                <w:rFonts w:ascii="Arial" w:hAnsi="Arial" w:cs="Arial"/>
                <w:color w:val="000000"/>
                <w:sz w:val="20"/>
                <w:szCs w:val="20"/>
                <w:lang w:val="pt-BR"/>
              </w:rPr>
              <w:t>Pessimista</w:t>
            </w:r>
          </w:p>
        </w:tc>
      </w:tr>
      <w:tr w:rsidR="00427CAD" w:rsidRPr="00CA2760" w14:paraId="3BAD6A25" w14:textId="77777777" w:rsidTr="00427CAD">
        <w:trPr>
          <w:trHeight w:val="276"/>
        </w:trPr>
        <w:tc>
          <w:tcPr>
            <w:tcW w:w="2122" w:type="dxa"/>
            <w:vMerge/>
            <w:hideMark/>
          </w:tcPr>
          <w:p w14:paraId="3B126947" w14:textId="77777777" w:rsidR="00427CAD" w:rsidRPr="00CA2760" w:rsidRDefault="00427CAD" w:rsidP="00427CAD">
            <w:pPr>
              <w:rPr>
                <w:rFonts w:ascii="Arial" w:hAnsi="Arial" w:cs="Arial"/>
                <w:sz w:val="20"/>
                <w:szCs w:val="20"/>
                <w:lang w:val="pt-BR"/>
              </w:rPr>
            </w:pPr>
          </w:p>
        </w:tc>
        <w:tc>
          <w:tcPr>
            <w:tcW w:w="992" w:type="dxa"/>
            <w:vMerge/>
            <w:vAlign w:val="center"/>
            <w:hideMark/>
          </w:tcPr>
          <w:p w14:paraId="4C5D9345" w14:textId="77777777" w:rsidR="00427CAD" w:rsidRPr="00CA2760" w:rsidRDefault="00427CAD" w:rsidP="00427CAD">
            <w:pPr>
              <w:jc w:val="right"/>
              <w:rPr>
                <w:rFonts w:ascii="Arial" w:hAnsi="Arial" w:cs="Arial"/>
                <w:sz w:val="20"/>
                <w:szCs w:val="20"/>
                <w:lang w:val="pt-BR"/>
              </w:rPr>
            </w:pPr>
          </w:p>
        </w:tc>
        <w:tc>
          <w:tcPr>
            <w:tcW w:w="1134" w:type="dxa"/>
            <w:vMerge/>
            <w:vAlign w:val="center"/>
            <w:hideMark/>
          </w:tcPr>
          <w:p w14:paraId="3CE7AD09" w14:textId="77777777" w:rsidR="00427CAD" w:rsidRPr="00CA2760" w:rsidRDefault="00427CAD" w:rsidP="00427CAD">
            <w:pPr>
              <w:jc w:val="right"/>
              <w:rPr>
                <w:rFonts w:ascii="Arial" w:hAnsi="Arial" w:cs="Arial"/>
                <w:sz w:val="20"/>
                <w:szCs w:val="20"/>
                <w:lang w:val="pt-BR"/>
              </w:rPr>
            </w:pPr>
          </w:p>
        </w:tc>
        <w:tc>
          <w:tcPr>
            <w:tcW w:w="1262" w:type="dxa"/>
            <w:vMerge/>
            <w:vAlign w:val="center"/>
            <w:hideMark/>
          </w:tcPr>
          <w:p w14:paraId="1EE60C7C" w14:textId="77777777" w:rsidR="00427CAD" w:rsidRPr="00CA2760" w:rsidRDefault="00427CAD" w:rsidP="00427CAD">
            <w:pPr>
              <w:jc w:val="right"/>
              <w:rPr>
                <w:rFonts w:ascii="Arial" w:hAnsi="Arial" w:cs="Arial"/>
                <w:sz w:val="20"/>
                <w:szCs w:val="20"/>
                <w:lang w:val="pt-BR"/>
              </w:rPr>
            </w:pPr>
          </w:p>
        </w:tc>
        <w:tc>
          <w:tcPr>
            <w:tcW w:w="1289" w:type="dxa"/>
            <w:vAlign w:val="center"/>
            <w:hideMark/>
          </w:tcPr>
          <w:p w14:paraId="7A79BF32" w14:textId="77777777" w:rsidR="00427CAD" w:rsidRPr="00E65186" w:rsidRDefault="00427CAD" w:rsidP="00427CAD">
            <w:pPr>
              <w:jc w:val="right"/>
              <w:rPr>
                <w:rFonts w:ascii="Arial" w:hAnsi="Arial" w:cs="Arial"/>
                <w:sz w:val="20"/>
                <w:szCs w:val="20"/>
                <w:lang w:val="pt-BR"/>
              </w:rPr>
            </w:pPr>
            <w:r w:rsidRPr="00E65186">
              <w:rPr>
                <w:rFonts w:ascii="Arial" w:hAnsi="Arial" w:cs="Arial"/>
                <w:sz w:val="20"/>
                <w:szCs w:val="20"/>
                <w:lang w:val="pt-BR"/>
              </w:rPr>
              <w:t xml:space="preserve"> = Média    + 1 DP</w:t>
            </w:r>
          </w:p>
        </w:tc>
        <w:tc>
          <w:tcPr>
            <w:tcW w:w="1418" w:type="dxa"/>
            <w:vAlign w:val="center"/>
            <w:hideMark/>
          </w:tcPr>
          <w:p w14:paraId="2BA8CC50" w14:textId="77777777" w:rsidR="00427CAD" w:rsidRPr="00E65186" w:rsidRDefault="00427CAD" w:rsidP="00427CAD">
            <w:pPr>
              <w:jc w:val="right"/>
              <w:rPr>
                <w:rFonts w:ascii="Arial" w:hAnsi="Arial" w:cs="Arial"/>
                <w:sz w:val="20"/>
                <w:szCs w:val="20"/>
                <w:lang w:val="pt-BR"/>
              </w:rPr>
            </w:pPr>
            <w:r w:rsidRPr="00E65186">
              <w:rPr>
                <w:rFonts w:ascii="Arial" w:hAnsi="Arial" w:cs="Arial"/>
                <w:sz w:val="20"/>
                <w:szCs w:val="20"/>
                <w:lang w:val="pt-BR"/>
              </w:rPr>
              <w:t xml:space="preserve"> = Média</w:t>
            </w:r>
          </w:p>
        </w:tc>
        <w:tc>
          <w:tcPr>
            <w:tcW w:w="1276" w:type="dxa"/>
            <w:vAlign w:val="center"/>
            <w:hideMark/>
          </w:tcPr>
          <w:p w14:paraId="05B2E951" w14:textId="77777777" w:rsidR="00427CAD" w:rsidRPr="00E65186" w:rsidRDefault="00427CAD" w:rsidP="00427CAD">
            <w:pPr>
              <w:jc w:val="right"/>
              <w:rPr>
                <w:rFonts w:ascii="Arial" w:hAnsi="Arial" w:cs="Arial"/>
                <w:sz w:val="20"/>
                <w:szCs w:val="20"/>
                <w:lang w:val="pt-BR"/>
              </w:rPr>
            </w:pPr>
            <w:r w:rsidRPr="00E65186">
              <w:rPr>
                <w:rFonts w:ascii="Arial" w:hAnsi="Arial" w:cs="Arial"/>
                <w:sz w:val="20"/>
                <w:szCs w:val="20"/>
                <w:lang w:val="pt-BR"/>
              </w:rPr>
              <w:t>= Média     - 1 DP</w:t>
            </w:r>
          </w:p>
        </w:tc>
      </w:tr>
      <w:tr w:rsidR="00427CAD" w:rsidRPr="00CA2760" w14:paraId="5B977B18" w14:textId="77777777" w:rsidTr="00427CAD">
        <w:trPr>
          <w:trHeight w:val="540"/>
        </w:trPr>
        <w:tc>
          <w:tcPr>
            <w:tcW w:w="2122" w:type="dxa"/>
            <w:hideMark/>
          </w:tcPr>
          <w:p w14:paraId="06CDDD3E" w14:textId="77777777" w:rsidR="00427CAD" w:rsidRPr="00CA2760" w:rsidRDefault="00427CAD" w:rsidP="00427CAD">
            <w:pPr>
              <w:rPr>
                <w:rFonts w:ascii="Arial" w:hAnsi="Arial" w:cs="Arial"/>
                <w:sz w:val="20"/>
                <w:szCs w:val="20"/>
                <w:lang w:val="pt-BR"/>
              </w:rPr>
            </w:pPr>
            <w:r w:rsidRPr="00CA2760">
              <w:rPr>
                <w:rFonts w:ascii="Arial" w:hAnsi="Arial" w:cs="Arial"/>
                <w:sz w:val="20"/>
                <w:szCs w:val="20"/>
                <w:lang w:val="pt-BR"/>
              </w:rPr>
              <w:t>Juros dos Financiamentos Concedidos aos Municípios</w:t>
            </w:r>
          </w:p>
        </w:tc>
        <w:tc>
          <w:tcPr>
            <w:tcW w:w="992" w:type="dxa"/>
            <w:noWrap/>
            <w:vAlign w:val="center"/>
            <w:hideMark/>
          </w:tcPr>
          <w:p w14:paraId="22AD5829"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5,87%</w:t>
            </w:r>
          </w:p>
        </w:tc>
        <w:tc>
          <w:tcPr>
            <w:tcW w:w="1134" w:type="dxa"/>
            <w:noWrap/>
            <w:vAlign w:val="center"/>
            <w:hideMark/>
          </w:tcPr>
          <w:p w14:paraId="6F1BDF0E"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1,76%</w:t>
            </w:r>
          </w:p>
        </w:tc>
        <w:tc>
          <w:tcPr>
            <w:tcW w:w="1262" w:type="dxa"/>
            <w:noWrap/>
            <w:vAlign w:val="center"/>
            <w:hideMark/>
          </w:tcPr>
          <w:p w14:paraId="1B4904D7"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30,00%</w:t>
            </w:r>
          </w:p>
        </w:tc>
        <w:tc>
          <w:tcPr>
            <w:tcW w:w="1289" w:type="dxa"/>
            <w:noWrap/>
            <w:vAlign w:val="center"/>
            <w:hideMark/>
          </w:tcPr>
          <w:p w14:paraId="5B4B5D2F"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7,63%</w:t>
            </w:r>
          </w:p>
        </w:tc>
        <w:tc>
          <w:tcPr>
            <w:tcW w:w="1418" w:type="dxa"/>
            <w:noWrap/>
            <w:vAlign w:val="center"/>
            <w:hideMark/>
          </w:tcPr>
          <w:p w14:paraId="7542ACF0"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5,87%</w:t>
            </w:r>
          </w:p>
        </w:tc>
        <w:tc>
          <w:tcPr>
            <w:tcW w:w="1276" w:type="dxa"/>
            <w:noWrap/>
            <w:vAlign w:val="center"/>
            <w:hideMark/>
          </w:tcPr>
          <w:p w14:paraId="19F15D5D"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4,11%</w:t>
            </w:r>
          </w:p>
        </w:tc>
      </w:tr>
      <w:tr w:rsidR="00427CAD" w:rsidRPr="00CA2760" w14:paraId="63C5FE7A" w14:textId="77777777" w:rsidTr="00427CAD">
        <w:trPr>
          <w:trHeight w:val="276"/>
        </w:trPr>
        <w:tc>
          <w:tcPr>
            <w:tcW w:w="2122" w:type="dxa"/>
            <w:hideMark/>
          </w:tcPr>
          <w:p w14:paraId="5D5A3E67" w14:textId="77777777" w:rsidR="00427CAD" w:rsidRPr="00CA2760" w:rsidRDefault="00427CAD" w:rsidP="00427CAD">
            <w:pPr>
              <w:rPr>
                <w:rFonts w:ascii="Arial" w:hAnsi="Arial" w:cs="Arial"/>
                <w:sz w:val="20"/>
                <w:szCs w:val="20"/>
                <w:lang w:val="pt-BR"/>
              </w:rPr>
            </w:pPr>
            <w:r w:rsidRPr="00CA2760">
              <w:rPr>
                <w:rFonts w:ascii="Arial" w:hAnsi="Arial" w:cs="Arial"/>
                <w:sz w:val="20"/>
                <w:szCs w:val="20"/>
                <w:lang w:val="pt-BR"/>
              </w:rPr>
              <w:t xml:space="preserve">Juros das Aplicações Financeiras </w:t>
            </w:r>
          </w:p>
        </w:tc>
        <w:tc>
          <w:tcPr>
            <w:tcW w:w="992" w:type="dxa"/>
            <w:noWrap/>
            <w:vAlign w:val="center"/>
            <w:hideMark/>
          </w:tcPr>
          <w:p w14:paraId="6A18EAD4"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4,81%</w:t>
            </w:r>
          </w:p>
        </w:tc>
        <w:tc>
          <w:tcPr>
            <w:tcW w:w="1134" w:type="dxa"/>
            <w:noWrap/>
            <w:vAlign w:val="center"/>
            <w:hideMark/>
          </w:tcPr>
          <w:p w14:paraId="58F5B90E"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1,53%</w:t>
            </w:r>
          </w:p>
        </w:tc>
        <w:tc>
          <w:tcPr>
            <w:tcW w:w="1262" w:type="dxa"/>
            <w:noWrap/>
            <w:vAlign w:val="center"/>
            <w:hideMark/>
          </w:tcPr>
          <w:p w14:paraId="65C93975"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31,73%</w:t>
            </w:r>
          </w:p>
        </w:tc>
        <w:tc>
          <w:tcPr>
            <w:tcW w:w="1289" w:type="dxa"/>
            <w:noWrap/>
            <w:vAlign w:val="center"/>
            <w:hideMark/>
          </w:tcPr>
          <w:p w14:paraId="73AE2281"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6,34%</w:t>
            </w:r>
          </w:p>
        </w:tc>
        <w:tc>
          <w:tcPr>
            <w:tcW w:w="1418" w:type="dxa"/>
            <w:noWrap/>
            <w:vAlign w:val="center"/>
            <w:hideMark/>
          </w:tcPr>
          <w:p w14:paraId="7A6EA95E"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4,81%</w:t>
            </w:r>
          </w:p>
        </w:tc>
        <w:tc>
          <w:tcPr>
            <w:tcW w:w="1276" w:type="dxa"/>
            <w:noWrap/>
            <w:vAlign w:val="center"/>
            <w:hideMark/>
          </w:tcPr>
          <w:p w14:paraId="02647AC1"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3,28%</w:t>
            </w:r>
          </w:p>
        </w:tc>
      </w:tr>
      <w:tr w:rsidR="00427CAD" w:rsidRPr="00CA2760" w14:paraId="702AF108" w14:textId="77777777" w:rsidTr="00427CAD">
        <w:trPr>
          <w:trHeight w:val="276"/>
        </w:trPr>
        <w:tc>
          <w:tcPr>
            <w:tcW w:w="2122" w:type="dxa"/>
            <w:noWrap/>
            <w:hideMark/>
          </w:tcPr>
          <w:p w14:paraId="3DC06949" w14:textId="77777777" w:rsidR="00427CAD" w:rsidRPr="00CA2760" w:rsidRDefault="00427CAD" w:rsidP="00427CAD">
            <w:pPr>
              <w:rPr>
                <w:rFonts w:ascii="Arial" w:hAnsi="Arial" w:cs="Arial"/>
                <w:sz w:val="20"/>
                <w:szCs w:val="20"/>
                <w:lang w:val="pt-BR"/>
              </w:rPr>
            </w:pPr>
            <w:r w:rsidRPr="00CA2760">
              <w:rPr>
                <w:rFonts w:ascii="Arial" w:hAnsi="Arial" w:cs="Arial"/>
                <w:sz w:val="20"/>
                <w:szCs w:val="20"/>
                <w:lang w:val="pt-BR"/>
              </w:rPr>
              <w:t>Juros sobre o Capital Próprio</w:t>
            </w:r>
          </w:p>
        </w:tc>
        <w:tc>
          <w:tcPr>
            <w:tcW w:w="992" w:type="dxa"/>
            <w:noWrap/>
            <w:vAlign w:val="center"/>
            <w:hideMark/>
          </w:tcPr>
          <w:p w14:paraId="1993F3A2"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0,24%</w:t>
            </w:r>
          </w:p>
        </w:tc>
        <w:tc>
          <w:tcPr>
            <w:tcW w:w="1134" w:type="dxa"/>
            <w:noWrap/>
            <w:vAlign w:val="center"/>
            <w:hideMark/>
          </w:tcPr>
          <w:p w14:paraId="5BF646B9"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0,12%</w:t>
            </w:r>
          </w:p>
        </w:tc>
        <w:tc>
          <w:tcPr>
            <w:tcW w:w="1262" w:type="dxa"/>
            <w:noWrap/>
            <w:vAlign w:val="center"/>
            <w:hideMark/>
          </w:tcPr>
          <w:p w14:paraId="1203FBE1"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50,00%</w:t>
            </w:r>
          </w:p>
        </w:tc>
        <w:tc>
          <w:tcPr>
            <w:tcW w:w="1289" w:type="dxa"/>
            <w:noWrap/>
            <w:vAlign w:val="center"/>
            <w:hideMark/>
          </w:tcPr>
          <w:p w14:paraId="3DE2A3F5" w14:textId="77777777" w:rsidR="00427CAD" w:rsidRPr="00CA2760" w:rsidRDefault="00427CAD" w:rsidP="00427CAD">
            <w:pPr>
              <w:jc w:val="right"/>
              <w:rPr>
                <w:rFonts w:ascii="Arial" w:hAnsi="Arial" w:cs="Arial"/>
                <w:sz w:val="20"/>
                <w:szCs w:val="20"/>
                <w:lang w:val="pt-BR"/>
              </w:rPr>
            </w:pPr>
            <w:r w:rsidRPr="00CA2760">
              <w:rPr>
                <w:rFonts w:ascii="Arial" w:hAnsi="Arial" w:cs="Arial"/>
                <w:color w:val="000000"/>
                <w:sz w:val="20"/>
                <w:szCs w:val="20"/>
                <w:lang w:val="pt-BR"/>
              </w:rPr>
              <w:t>0,36%</w:t>
            </w:r>
          </w:p>
        </w:tc>
        <w:tc>
          <w:tcPr>
            <w:tcW w:w="1418" w:type="dxa"/>
            <w:noWrap/>
            <w:vAlign w:val="center"/>
            <w:hideMark/>
          </w:tcPr>
          <w:p w14:paraId="3AB8B0D7" w14:textId="77777777" w:rsidR="00427CAD" w:rsidRPr="00CA2760" w:rsidRDefault="00427CAD" w:rsidP="00427CAD">
            <w:pPr>
              <w:jc w:val="right"/>
              <w:rPr>
                <w:rFonts w:ascii="Arial" w:hAnsi="Arial" w:cs="Arial"/>
                <w:sz w:val="20"/>
                <w:szCs w:val="20"/>
                <w:lang w:val="pt-BR"/>
              </w:rPr>
            </w:pPr>
            <w:r w:rsidRPr="00CA2760">
              <w:rPr>
                <w:rFonts w:ascii="Arial" w:hAnsi="Arial" w:cs="Arial"/>
                <w:color w:val="000000"/>
                <w:sz w:val="20"/>
                <w:szCs w:val="20"/>
                <w:lang w:val="pt-BR"/>
              </w:rPr>
              <w:t>0,24%</w:t>
            </w:r>
          </w:p>
        </w:tc>
        <w:tc>
          <w:tcPr>
            <w:tcW w:w="1276" w:type="dxa"/>
            <w:noWrap/>
            <w:vAlign w:val="center"/>
            <w:hideMark/>
          </w:tcPr>
          <w:p w14:paraId="5A6502D8" w14:textId="77777777" w:rsidR="00427CAD" w:rsidRPr="00CA2760" w:rsidRDefault="00427CAD" w:rsidP="00427CAD">
            <w:pPr>
              <w:jc w:val="right"/>
              <w:rPr>
                <w:rFonts w:ascii="Arial" w:hAnsi="Arial" w:cs="Arial"/>
                <w:sz w:val="20"/>
                <w:szCs w:val="20"/>
                <w:lang w:val="pt-BR"/>
              </w:rPr>
            </w:pPr>
            <w:r w:rsidRPr="00CA2760">
              <w:rPr>
                <w:rFonts w:ascii="Arial" w:hAnsi="Arial" w:cs="Arial"/>
                <w:color w:val="000000"/>
                <w:sz w:val="20"/>
                <w:szCs w:val="20"/>
                <w:lang w:val="pt-BR"/>
              </w:rPr>
              <w:t>0,12%</w:t>
            </w:r>
          </w:p>
        </w:tc>
      </w:tr>
      <w:tr w:rsidR="00427CAD" w:rsidRPr="00CA2760" w14:paraId="60E04DB3" w14:textId="77777777" w:rsidTr="00427CAD">
        <w:trPr>
          <w:trHeight w:val="481"/>
        </w:trPr>
        <w:tc>
          <w:tcPr>
            <w:tcW w:w="2122" w:type="dxa"/>
            <w:hideMark/>
          </w:tcPr>
          <w:p w14:paraId="3A6DB492" w14:textId="158C47BE" w:rsidR="00427CAD" w:rsidRPr="00CA2760" w:rsidRDefault="00427CAD" w:rsidP="00427CAD">
            <w:pPr>
              <w:rPr>
                <w:rFonts w:ascii="Arial" w:hAnsi="Arial" w:cs="Arial"/>
                <w:sz w:val="20"/>
                <w:szCs w:val="20"/>
                <w:lang w:val="pt-BR"/>
              </w:rPr>
            </w:pPr>
            <w:r w:rsidRPr="00CA2760">
              <w:rPr>
                <w:rFonts w:ascii="Arial" w:hAnsi="Arial" w:cs="Arial"/>
                <w:sz w:val="20"/>
                <w:szCs w:val="20"/>
                <w:lang w:val="pt-BR"/>
              </w:rPr>
              <w:t>Incremento do total de despesas</w:t>
            </w:r>
            <w:r w:rsidR="00A31500">
              <w:rPr>
                <w:rFonts w:ascii="Arial" w:hAnsi="Arial" w:cs="Arial"/>
                <w:sz w:val="20"/>
                <w:szCs w:val="20"/>
                <w:lang w:val="pt-BR"/>
              </w:rPr>
              <w:t xml:space="preserve"> (*)</w:t>
            </w:r>
          </w:p>
        </w:tc>
        <w:tc>
          <w:tcPr>
            <w:tcW w:w="992" w:type="dxa"/>
            <w:noWrap/>
            <w:vAlign w:val="center"/>
            <w:hideMark/>
          </w:tcPr>
          <w:p w14:paraId="1DB517D6" w14:textId="77777777" w:rsidR="00427CAD" w:rsidRPr="00CA2760" w:rsidRDefault="00427CAD" w:rsidP="00427CAD">
            <w:pPr>
              <w:jc w:val="right"/>
              <w:rPr>
                <w:rFonts w:ascii="Arial" w:hAnsi="Arial" w:cs="Arial"/>
                <w:sz w:val="20"/>
                <w:szCs w:val="20"/>
                <w:lang w:val="pt-BR"/>
              </w:rPr>
            </w:pPr>
            <w:r>
              <w:rPr>
                <w:rFonts w:ascii="Arial" w:hAnsi="Arial" w:cs="Arial"/>
                <w:sz w:val="20"/>
                <w:szCs w:val="20"/>
                <w:lang w:val="pt-BR"/>
              </w:rPr>
              <w:t>2</w:t>
            </w:r>
            <w:r w:rsidRPr="00CA2760">
              <w:rPr>
                <w:rFonts w:ascii="Arial" w:hAnsi="Arial" w:cs="Arial"/>
                <w:sz w:val="20"/>
                <w:szCs w:val="20"/>
                <w:lang w:val="pt-BR"/>
              </w:rPr>
              <w:t>,00%</w:t>
            </w:r>
          </w:p>
        </w:tc>
        <w:tc>
          <w:tcPr>
            <w:tcW w:w="1134" w:type="dxa"/>
            <w:noWrap/>
            <w:vAlign w:val="center"/>
            <w:hideMark/>
          </w:tcPr>
          <w:p w14:paraId="47603B91" w14:textId="77777777" w:rsidR="00427CAD" w:rsidRPr="00CA2760" w:rsidRDefault="00427CAD" w:rsidP="00427CAD">
            <w:pPr>
              <w:jc w:val="right"/>
              <w:rPr>
                <w:rFonts w:ascii="Arial" w:hAnsi="Arial" w:cs="Arial"/>
                <w:sz w:val="20"/>
                <w:szCs w:val="20"/>
                <w:lang w:val="pt-BR"/>
              </w:rPr>
            </w:pPr>
            <w:r>
              <w:rPr>
                <w:rFonts w:ascii="Arial" w:hAnsi="Arial" w:cs="Arial"/>
                <w:sz w:val="20"/>
                <w:szCs w:val="20"/>
                <w:lang w:val="pt-BR"/>
              </w:rPr>
              <w:t>1,00</w:t>
            </w:r>
            <w:r w:rsidRPr="00CA2760">
              <w:rPr>
                <w:rFonts w:ascii="Arial" w:hAnsi="Arial" w:cs="Arial"/>
                <w:sz w:val="20"/>
                <w:szCs w:val="20"/>
                <w:lang w:val="pt-BR"/>
              </w:rPr>
              <w:t>%</w:t>
            </w:r>
          </w:p>
        </w:tc>
        <w:tc>
          <w:tcPr>
            <w:tcW w:w="1262" w:type="dxa"/>
            <w:noWrap/>
            <w:vAlign w:val="center"/>
            <w:hideMark/>
          </w:tcPr>
          <w:p w14:paraId="51DA06D0" w14:textId="77777777" w:rsidR="00427CAD" w:rsidRPr="00CA2760" w:rsidRDefault="00427CAD" w:rsidP="00427CAD">
            <w:pPr>
              <w:jc w:val="right"/>
              <w:rPr>
                <w:rFonts w:ascii="Arial" w:hAnsi="Arial" w:cs="Arial"/>
                <w:sz w:val="20"/>
                <w:szCs w:val="20"/>
                <w:lang w:val="pt-BR"/>
              </w:rPr>
            </w:pPr>
            <w:r w:rsidRPr="00CA2760">
              <w:rPr>
                <w:rFonts w:ascii="Arial" w:hAnsi="Arial" w:cs="Arial"/>
                <w:sz w:val="20"/>
                <w:szCs w:val="20"/>
                <w:lang w:val="pt-BR"/>
              </w:rPr>
              <w:t>50,00%</w:t>
            </w:r>
          </w:p>
        </w:tc>
        <w:tc>
          <w:tcPr>
            <w:tcW w:w="1289" w:type="dxa"/>
            <w:noWrap/>
            <w:vAlign w:val="center"/>
            <w:hideMark/>
          </w:tcPr>
          <w:p w14:paraId="34442AF0" w14:textId="4AFCE639" w:rsidR="00427CAD" w:rsidRPr="00A31500" w:rsidRDefault="00427CAD" w:rsidP="00427CAD">
            <w:pPr>
              <w:jc w:val="right"/>
              <w:rPr>
                <w:rFonts w:ascii="Arial" w:hAnsi="Arial" w:cs="Arial"/>
                <w:sz w:val="20"/>
                <w:szCs w:val="20"/>
                <w:lang w:val="pt-BR"/>
              </w:rPr>
            </w:pPr>
            <w:r w:rsidRPr="00A31500">
              <w:rPr>
                <w:rFonts w:ascii="Arial" w:hAnsi="Arial" w:cs="Arial"/>
                <w:sz w:val="20"/>
                <w:szCs w:val="20"/>
                <w:lang w:val="pt-BR"/>
              </w:rPr>
              <w:t>1,00%</w:t>
            </w:r>
          </w:p>
        </w:tc>
        <w:tc>
          <w:tcPr>
            <w:tcW w:w="1418" w:type="dxa"/>
            <w:noWrap/>
            <w:vAlign w:val="center"/>
            <w:hideMark/>
          </w:tcPr>
          <w:p w14:paraId="362FF6B4" w14:textId="77777777" w:rsidR="00427CAD" w:rsidRPr="00A31500" w:rsidRDefault="00427CAD" w:rsidP="00427CAD">
            <w:pPr>
              <w:jc w:val="right"/>
              <w:rPr>
                <w:rFonts w:ascii="Arial" w:hAnsi="Arial" w:cs="Arial"/>
                <w:sz w:val="20"/>
                <w:szCs w:val="20"/>
                <w:lang w:val="pt-BR"/>
              </w:rPr>
            </w:pPr>
            <w:r w:rsidRPr="00A31500">
              <w:rPr>
                <w:rFonts w:ascii="Arial" w:hAnsi="Arial" w:cs="Arial"/>
                <w:sz w:val="20"/>
                <w:szCs w:val="20"/>
                <w:lang w:val="pt-BR"/>
              </w:rPr>
              <w:t>2,00%</w:t>
            </w:r>
          </w:p>
        </w:tc>
        <w:tc>
          <w:tcPr>
            <w:tcW w:w="1276" w:type="dxa"/>
            <w:noWrap/>
            <w:vAlign w:val="center"/>
            <w:hideMark/>
          </w:tcPr>
          <w:p w14:paraId="69183619" w14:textId="2AFBC893" w:rsidR="00427CAD" w:rsidRPr="00A31500" w:rsidRDefault="00427CAD" w:rsidP="00427CAD">
            <w:pPr>
              <w:jc w:val="right"/>
              <w:rPr>
                <w:rFonts w:ascii="Arial" w:hAnsi="Arial" w:cs="Arial"/>
                <w:sz w:val="20"/>
                <w:szCs w:val="20"/>
                <w:lang w:val="pt-BR"/>
              </w:rPr>
            </w:pPr>
            <w:r w:rsidRPr="00A31500">
              <w:rPr>
                <w:rFonts w:ascii="Arial" w:hAnsi="Arial" w:cs="Arial"/>
                <w:sz w:val="20"/>
                <w:szCs w:val="20"/>
                <w:lang w:val="pt-BR"/>
              </w:rPr>
              <w:t>3</w:t>
            </w:r>
            <w:r w:rsidR="00063B1D" w:rsidRPr="00A31500">
              <w:rPr>
                <w:rFonts w:ascii="Arial" w:hAnsi="Arial" w:cs="Arial"/>
                <w:sz w:val="20"/>
                <w:szCs w:val="20"/>
                <w:lang w:val="pt-BR"/>
              </w:rPr>
              <w:t>1</w:t>
            </w:r>
            <w:r w:rsidRPr="00A31500">
              <w:rPr>
                <w:rFonts w:ascii="Arial" w:hAnsi="Arial" w:cs="Arial"/>
                <w:sz w:val="20"/>
                <w:szCs w:val="20"/>
                <w:lang w:val="pt-BR"/>
              </w:rPr>
              <w:t>,00%</w:t>
            </w:r>
          </w:p>
        </w:tc>
      </w:tr>
    </w:tbl>
    <w:p w14:paraId="0CCF3CC9" w14:textId="16DB8C11" w:rsidR="00A31500" w:rsidRDefault="00A31500" w:rsidP="00427CAD">
      <w:pPr>
        <w:spacing w:after="0" w:line="240"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Nota (*) </w:t>
      </w:r>
      <w:r w:rsidRPr="00A31500">
        <w:rPr>
          <w:rFonts w:ascii="Times New Roman" w:hAnsi="Times New Roman" w:cs="Times New Roman"/>
          <w:sz w:val="24"/>
          <w:szCs w:val="24"/>
          <w:lang w:val="pt-BR"/>
        </w:rPr>
        <w:t xml:space="preserve">Nesse caso, o cenário otimista </w:t>
      </w:r>
      <w:r>
        <w:rPr>
          <w:rFonts w:ascii="Times New Roman" w:hAnsi="Times New Roman" w:cs="Times New Roman"/>
          <w:sz w:val="24"/>
          <w:szCs w:val="24"/>
          <w:lang w:val="pt-BR"/>
        </w:rPr>
        <w:t>é um</w:t>
      </w:r>
      <w:r w:rsidRPr="00A31500">
        <w:rPr>
          <w:rFonts w:ascii="Times New Roman" w:hAnsi="Times New Roman" w:cs="Times New Roman"/>
          <w:sz w:val="24"/>
          <w:szCs w:val="24"/>
          <w:lang w:val="pt-BR"/>
        </w:rPr>
        <w:t xml:space="preserve"> desvio padrão </w:t>
      </w:r>
      <w:r>
        <w:rPr>
          <w:rFonts w:ascii="Times New Roman" w:hAnsi="Times New Roman" w:cs="Times New Roman"/>
          <w:sz w:val="24"/>
          <w:szCs w:val="24"/>
          <w:lang w:val="pt-BR"/>
        </w:rPr>
        <w:t xml:space="preserve">abaixo </w:t>
      </w:r>
      <w:r w:rsidRPr="00A31500">
        <w:rPr>
          <w:rFonts w:ascii="Times New Roman" w:hAnsi="Times New Roman" w:cs="Times New Roman"/>
          <w:sz w:val="24"/>
          <w:szCs w:val="24"/>
          <w:lang w:val="pt-BR"/>
        </w:rPr>
        <w:t>e o pessimista é</w:t>
      </w:r>
      <w:r>
        <w:rPr>
          <w:rFonts w:ascii="Times New Roman" w:hAnsi="Times New Roman" w:cs="Times New Roman"/>
          <w:sz w:val="24"/>
          <w:szCs w:val="24"/>
          <w:lang w:val="pt-BR"/>
        </w:rPr>
        <w:t xml:space="preserve"> um </w:t>
      </w:r>
      <w:r w:rsidRPr="00A31500">
        <w:rPr>
          <w:rFonts w:ascii="Times New Roman" w:hAnsi="Times New Roman" w:cs="Times New Roman"/>
          <w:sz w:val="24"/>
          <w:szCs w:val="24"/>
          <w:lang w:val="pt-BR"/>
        </w:rPr>
        <w:t>desvio padrão</w:t>
      </w:r>
      <w:r>
        <w:rPr>
          <w:rFonts w:ascii="Times New Roman" w:hAnsi="Times New Roman" w:cs="Times New Roman"/>
          <w:sz w:val="24"/>
          <w:szCs w:val="24"/>
          <w:lang w:val="pt-BR"/>
        </w:rPr>
        <w:t xml:space="preserve"> acima da média</w:t>
      </w:r>
      <w:r w:rsidRPr="00A31500">
        <w:rPr>
          <w:rFonts w:ascii="Times New Roman" w:hAnsi="Times New Roman" w:cs="Times New Roman"/>
          <w:sz w:val="24"/>
          <w:szCs w:val="24"/>
          <w:lang w:val="pt-BR"/>
        </w:rPr>
        <w:t>.</w:t>
      </w:r>
    </w:p>
    <w:p w14:paraId="1811A618" w14:textId="41A9091C" w:rsidR="00427CAD" w:rsidRPr="00CA2760" w:rsidRDefault="00427CAD" w:rsidP="00427CAD">
      <w:pPr>
        <w:spacing w:after="0" w:line="24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Fonte:  Estimativas dos autores com base nas variáveis definidas anteriormente.</w:t>
      </w:r>
    </w:p>
    <w:p w14:paraId="781DA6EE" w14:textId="77777777" w:rsidR="00427CAD" w:rsidRPr="00CA2760" w:rsidRDefault="00427CAD" w:rsidP="00427CAD">
      <w:pPr>
        <w:spacing w:after="0" w:line="240" w:lineRule="auto"/>
        <w:rPr>
          <w:rFonts w:ascii="Times New Roman" w:hAnsi="Times New Roman" w:cs="Times New Roman"/>
          <w:sz w:val="24"/>
          <w:szCs w:val="24"/>
          <w:lang w:val="pt-BR"/>
        </w:rPr>
      </w:pPr>
    </w:p>
    <w:p w14:paraId="2499EBDA" w14:textId="77777777" w:rsidR="00427CAD" w:rsidRPr="00734BA5" w:rsidRDefault="00427CAD" w:rsidP="00427CAD">
      <w:pPr>
        <w:shd w:val="clear" w:color="auto" w:fill="FFFFFF"/>
        <w:spacing w:line="360" w:lineRule="auto"/>
        <w:rPr>
          <w:rFonts w:ascii="Times New Roman" w:eastAsia="Times New Roman" w:hAnsi="Times New Roman" w:cs="Times New Roman"/>
          <w:sz w:val="24"/>
          <w:szCs w:val="24"/>
          <w:lang w:val="pt-BR" w:eastAsia="pt-BR"/>
        </w:rPr>
      </w:pPr>
      <w:r w:rsidRPr="00FE06C4">
        <w:rPr>
          <w:rFonts w:ascii="Times New Roman" w:eastAsia="Times New Roman" w:hAnsi="Times New Roman" w:cs="Times New Roman"/>
          <w:sz w:val="24"/>
          <w:szCs w:val="24"/>
          <w:lang w:val="pt-BR" w:eastAsia="pt-BR"/>
        </w:rPr>
        <w:lastRenderedPageBreak/>
        <w:t xml:space="preserve">Para o cenário intermediário da taxa real de </w:t>
      </w:r>
      <w:r>
        <w:rPr>
          <w:rFonts w:ascii="Times New Roman" w:eastAsia="Times New Roman" w:hAnsi="Times New Roman" w:cs="Times New Roman"/>
          <w:sz w:val="24"/>
          <w:szCs w:val="24"/>
          <w:lang w:val="pt-BR" w:eastAsia="pt-BR"/>
        </w:rPr>
        <w:t>JCP</w:t>
      </w:r>
      <w:r w:rsidRPr="00FE06C4">
        <w:rPr>
          <w:rFonts w:ascii="Times New Roman" w:eastAsia="Times New Roman" w:hAnsi="Times New Roman" w:cs="Times New Roman"/>
          <w:sz w:val="24"/>
          <w:szCs w:val="24"/>
          <w:lang w:val="pt-BR" w:eastAsia="pt-BR"/>
        </w:rPr>
        <w:t xml:space="preserve">, utilizamos o valor médio real da TJLP (0,24%), já que a TJLP é o limite máximo utilizado para </w:t>
      </w:r>
      <w:r>
        <w:rPr>
          <w:rFonts w:ascii="Times New Roman" w:eastAsia="Times New Roman" w:hAnsi="Times New Roman" w:cs="Times New Roman"/>
          <w:sz w:val="24"/>
          <w:szCs w:val="24"/>
          <w:lang w:val="pt-BR" w:eastAsia="pt-BR"/>
        </w:rPr>
        <w:t>sua estimação</w:t>
      </w:r>
      <w:r w:rsidRPr="00FE06C4">
        <w:rPr>
          <w:rFonts w:ascii="Times New Roman" w:eastAsia="Times New Roman" w:hAnsi="Times New Roman" w:cs="Times New Roman"/>
          <w:sz w:val="24"/>
          <w:szCs w:val="24"/>
          <w:lang w:val="pt-BR" w:eastAsia="pt-BR"/>
        </w:rPr>
        <w:t xml:space="preserve">. Os custos operacionais do Paranacidade e da Fomento Paraná são baseados em porcentagens dos valores dos empréstimos liberados aos </w:t>
      </w:r>
      <w:r w:rsidRPr="00734BA5">
        <w:rPr>
          <w:rFonts w:ascii="Times New Roman" w:eastAsia="Times New Roman" w:hAnsi="Times New Roman" w:cs="Times New Roman"/>
          <w:sz w:val="24"/>
          <w:szCs w:val="24"/>
          <w:lang w:val="pt-BR" w:eastAsia="pt-BR"/>
        </w:rPr>
        <w:t xml:space="preserve">municípios (8% e 1%, respectivamente). </w:t>
      </w:r>
      <w:r w:rsidRPr="00734BA5">
        <w:rPr>
          <w:rFonts w:ascii="Times New Roman" w:hAnsi="Times New Roman" w:cs="Times New Roman"/>
          <w:sz w:val="24"/>
          <w:szCs w:val="24"/>
          <w:lang w:val="pt-PT"/>
        </w:rPr>
        <w:t xml:space="preserve">Dado que 1% </w:t>
      </w:r>
      <w:r w:rsidRPr="00734BA5">
        <w:rPr>
          <w:rFonts w:ascii="Times New Roman" w:eastAsia="Times New Roman" w:hAnsi="Times New Roman" w:cs="Times New Roman"/>
          <w:sz w:val="24"/>
          <w:szCs w:val="24"/>
          <w:lang w:val="pt-BR" w:eastAsia="pt-BR"/>
        </w:rPr>
        <w:t xml:space="preserve">dos valores liberados </w:t>
      </w:r>
      <w:r w:rsidRPr="00734BA5">
        <w:rPr>
          <w:rFonts w:ascii="Times New Roman" w:hAnsi="Times New Roman" w:cs="Times New Roman"/>
          <w:sz w:val="24"/>
          <w:szCs w:val="24"/>
          <w:lang w:val="pt-PT"/>
        </w:rPr>
        <w:t xml:space="preserve">dos empréstimos municipais </w:t>
      </w:r>
      <w:r>
        <w:rPr>
          <w:rFonts w:ascii="Times New Roman" w:hAnsi="Times New Roman" w:cs="Times New Roman"/>
          <w:sz w:val="24"/>
          <w:szCs w:val="24"/>
          <w:lang w:val="pt-PT"/>
        </w:rPr>
        <w:t xml:space="preserve">não </w:t>
      </w:r>
      <w:r w:rsidRPr="00734BA5">
        <w:rPr>
          <w:rFonts w:ascii="Times New Roman" w:hAnsi="Times New Roman" w:cs="Times New Roman"/>
          <w:sz w:val="24"/>
          <w:szCs w:val="24"/>
          <w:lang w:val="pt-PT"/>
        </w:rPr>
        <w:t xml:space="preserve">foi insuficiente para cobrir o custo </w:t>
      </w:r>
      <w:r>
        <w:rPr>
          <w:rFonts w:ascii="Times New Roman" w:hAnsi="Times New Roman" w:cs="Times New Roman"/>
          <w:sz w:val="24"/>
          <w:szCs w:val="24"/>
          <w:lang w:val="pt-PT"/>
        </w:rPr>
        <w:t>da</w:t>
      </w:r>
      <w:r w:rsidRPr="00734BA5">
        <w:rPr>
          <w:rFonts w:ascii="Times New Roman" w:hAnsi="Times New Roman" w:cs="Times New Roman"/>
          <w:sz w:val="24"/>
          <w:szCs w:val="24"/>
          <w:lang w:val="pt-PT"/>
        </w:rPr>
        <w:t xml:space="preserve"> Fomento Paraná </w:t>
      </w:r>
      <w:r>
        <w:rPr>
          <w:rFonts w:ascii="Times New Roman" w:hAnsi="Times New Roman" w:cs="Times New Roman"/>
          <w:sz w:val="24"/>
          <w:szCs w:val="24"/>
          <w:lang w:val="pt-PT"/>
        </w:rPr>
        <w:t>após</w:t>
      </w:r>
      <w:r w:rsidRPr="00734BA5">
        <w:rPr>
          <w:rFonts w:ascii="Times New Roman" w:hAnsi="Times New Roman" w:cs="Times New Roman"/>
          <w:sz w:val="24"/>
          <w:szCs w:val="24"/>
          <w:lang w:val="pt-PT"/>
        </w:rPr>
        <w:t xml:space="preserve"> a blindagem (i.e., seu Reembolso de Custos Indiretos aumentou), </w:t>
      </w:r>
      <w:r>
        <w:rPr>
          <w:rFonts w:ascii="Times New Roman" w:hAnsi="Times New Roman" w:cs="Times New Roman"/>
          <w:sz w:val="24"/>
          <w:szCs w:val="24"/>
          <w:lang w:val="pt-PT"/>
        </w:rPr>
        <w:t>aumentamos este percentual para 2% dos valores</w:t>
      </w:r>
      <w:r w:rsidRPr="00734BA5">
        <w:rPr>
          <w:rFonts w:ascii="Times New Roman" w:eastAsia="Times New Roman" w:hAnsi="Times New Roman" w:cs="Times New Roman"/>
          <w:sz w:val="24"/>
          <w:szCs w:val="24"/>
          <w:lang w:val="pt-BR" w:eastAsia="pt-BR"/>
        </w:rPr>
        <w:t xml:space="preserve"> dos empréstimos liberados</w:t>
      </w:r>
      <w:r w:rsidRPr="00734BA5">
        <w:rPr>
          <w:rFonts w:ascii="Times New Roman" w:hAnsi="Times New Roman" w:cs="Times New Roman"/>
          <w:sz w:val="24"/>
          <w:szCs w:val="24"/>
          <w:lang w:val="pt-PT"/>
        </w:rPr>
        <w:t xml:space="preserve"> </w:t>
      </w:r>
      <w:r>
        <w:rPr>
          <w:rFonts w:ascii="Times New Roman" w:hAnsi="Times New Roman" w:cs="Times New Roman"/>
          <w:sz w:val="24"/>
          <w:szCs w:val="24"/>
          <w:lang w:val="pt-PT"/>
        </w:rPr>
        <w:t>nas</w:t>
      </w:r>
      <w:r w:rsidRPr="00734BA5">
        <w:rPr>
          <w:rFonts w:ascii="Times New Roman" w:hAnsi="Times New Roman" w:cs="Times New Roman"/>
          <w:sz w:val="24"/>
          <w:szCs w:val="24"/>
          <w:lang w:val="pt-PT"/>
        </w:rPr>
        <w:t xml:space="preserve"> nossas simulações. </w:t>
      </w:r>
      <w:r w:rsidRPr="00734BA5">
        <w:rPr>
          <w:rFonts w:ascii="Times New Roman" w:eastAsia="Times New Roman" w:hAnsi="Times New Roman" w:cs="Times New Roman"/>
          <w:sz w:val="24"/>
          <w:szCs w:val="24"/>
          <w:lang w:val="pt-BR" w:eastAsia="pt-BR"/>
        </w:rPr>
        <w:t xml:space="preserve">Além disso, para o cenário intermediário, assumimos uma taxa real de aumento das despesas totais de 2% acima daquela já calculada </w:t>
      </w:r>
      <w:r>
        <w:rPr>
          <w:rFonts w:ascii="Times New Roman" w:eastAsia="Times New Roman" w:hAnsi="Times New Roman" w:cs="Times New Roman"/>
          <w:sz w:val="24"/>
          <w:szCs w:val="24"/>
          <w:lang w:val="pt-BR" w:eastAsia="pt-BR"/>
        </w:rPr>
        <w:t>nas</w:t>
      </w:r>
      <w:r w:rsidRPr="00734BA5">
        <w:rPr>
          <w:rFonts w:ascii="Times New Roman" w:eastAsia="Times New Roman" w:hAnsi="Times New Roman" w:cs="Times New Roman"/>
          <w:sz w:val="24"/>
          <w:szCs w:val="24"/>
          <w:lang w:val="pt-BR" w:eastAsia="pt-BR"/>
        </w:rPr>
        <w:t xml:space="preserve"> porcentagens utilizadas (2% e 8%).</w:t>
      </w:r>
      <w:r w:rsidRPr="00734BA5">
        <w:rPr>
          <w:sz w:val="24"/>
          <w:szCs w:val="24"/>
          <w:lang w:val="pt-PT"/>
        </w:rPr>
        <w:t xml:space="preserve"> </w:t>
      </w:r>
      <w:r w:rsidRPr="00734BA5">
        <w:rPr>
          <w:rFonts w:ascii="Times New Roman" w:eastAsia="Times New Roman" w:hAnsi="Times New Roman" w:cs="Times New Roman"/>
          <w:sz w:val="24"/>
          <w:szCs w:val="24"/>
          <w:lang w:val="pt-BR" w:eastAsia="pt-BR"/>
        </w:rPr>
        <w:t xml:space="preserve"> </w:t>
      </w:r>
      <w:r w:rsidRPr="00C55BC7">
        <w:rPr>
          <w:rFonts w:ascii="Times New Roman" w:eastAsia="Times New Roman" w:hAnsi="Times New Roman" w:cs="Times New Roman"/>
          <w:sz w:val="24"/>
          <w:szCs w:val="24"/>
          <w:lang w:val="pt-BR" w:eastAsia="pt-BR"/>
        </w:rPr>
        <w:t>Para estas duas últimas</w:t>
      </w:r>
      <w:r w:rsidRPr="00695D00">
        <w:rPr>
          <w:rFonts w:ascii="Times New Roman" w:eastAsia="Times New Roman" w:hAnsi="Times New Roman" w:cs="Times New Roman"/>
          <w:sz w:val="24"/>
          <w:szCs w:val="24"/>
          <w:lang w:val="pt-BR" w:eastAsia="pt-BR"/>
        </w:rPr>
        <w:t xml:space="preserve"> </w:t>
      </w:r>
      <w:r w:rsidRPr="00C55BC7">
        <w:rPr>
          <w:rFonts w:ascii="Times New Roman" w:eastAsia="Times New Roman" w:hAnsi="Times New Roman" w:cs="Times New Roman"/>
          <w:i/>
          <w:sz w:val="24"/>
          <w:szCs w:val="24"/>
          <w:lang w:val="pt-BR" w:eastAsia="pt-BR"/>
        </w:rPr>
        <w:t>input variables</w:t>
      </w:r>
      <w:r w:rsidRPr="00695D00">
        <w:rPr>
          <w:rFonts w:ascii="Times New Roman" w:eastAsia="Times New Roman" w:hAnsi="Times New Roman" w:cs="Times New Roman"/>
          <w:sz w:val="24"/>
          <w:szCs w:val="24"/>
          <w:lang w:val="pt-BR" w:eastAsia="pt-BR"/>
        </w:rPr>
        <w:t>,</w:t>
      </w:r>
      <w:r w:rsidRPr="00734BA5">
        <w:rPr>
          <w:rFonts w:ascii="Times New Roman" w:eastAsia="Times New Roman" w:hAnsi="Times New Roman" w:cs="Times New Roman"/>
          <w:sz w:val="24"/>
          <w:szCs w:val="24"/>
          <w:lang w:val="pt-BR" w:eastAsia="pt-BR"/>
        </w:rPr>
        <w:t xml:space="preserve"> assumimos um coeficiente de variação de 50% para estimar seu desvio padrão. </w:t>
      </w:r>
    </w:p>
    <w:p w14:paraId="3FF9D98B" w14:textId="77777777" w:rsidR="00427CAD" w:rsidRPr="00CA2760" w:rsidRDefault="00427CAD" w:rsidP="00427CAD">
      <w:pPr>
        <w:shd w:val="clear" w:color="auto" w:fill="FFFFFF"/>
        <w:spacing w:line="360" w:lineRule="auto"/>
        <w:rPr>
          <w:rFonts w:ascii="Times New Roman" w:hAnsi="Times New Roman" w:cs="Times New Roman"/>
          <w:sz w:val="24"/>
          <w:szCs w:val="24"/>
          <w:highlight w:val="cyan"/>
          <w:lang w:val="pt-BR"/>
        </w:rPr>
      </w:pPr>
      <w:r w:rsidRPr="00CA2760">
        <w:rPr>
          <w:rFonts w:ascii="Times New Roman" w:eastAsia="Times New Roman" w:hAnsi="Times New Roman" w:cs="Times New Roman"/>
          <w:sz w:val="24"/>
          <w:szCs w:val="24"/>
          <w:lang w:val="pt-BR" w:eastAsia="pt-BR"/>
        </w:rPr>
        <w:t xml:space="preserve">Acreditamos que a maioria dos que estão familiarizados com os mercados financeiros brasileiros concordaria que os cenários para essas quatro </w:t>
      </w:r>
      <w:r w:rsidRPr="00D91C24">
        <w:rPr>
          <w:rFonts w:ascii="Times New Roman" w:eastAsia="Times New Roman" w:hAnsi="Times New Roman" w:cs="Times New Roman"/>
          <w:i/>
          <w:sz w:val="24"/>
          <w:szCs w:val="24"/>
          <w:lang w:val="pt-BR" w:eastAsia="pt-BR"/>
        </w:rPr>
        <w:t>input variables</w:t>
      </w:r>
      <w:r w:rsidRPr="00CA2760">
        <w:rPr>
          <w:rFonts w:ascii="Times New Roman" w:eastAsia="Times New Roman" w:hAnsi="Times New Roman" w:cs="Times New Roman"/>
          <w:sz w:val="24"/>
          <w:szCs w:val="24"/>
          <w:lang w:val="pt-BR" w:eastAsia="pt-BR"/>
        </w:rPr>
        <w:t xml:space="preserve"> são conservadores. </w:t>
      </w:r>
    </w:p>
    <w:p w14:paraId="0F985440" w14:textId="77777777" w:rsidR="00427CAD" w:rsidRPr="00CA2760" w:rsidRDefault="00427CAD" w:rsidP="00427CAD">
      <w:pPr>
        <w:shd w:val="clear" w:color="auto" w:fill="FFFFFF"/>
        <w:spacing w:line="360" w:lineRule="auto"/>
        <w:rPr>
          <w:rFonts w:ascii="Times New Roman" w:eastAsia="Times New Roman" w:hAnsi="Times New Roman" w:cs="Times New Roman"/>
          <w:sz w:val="24"/>
          <w:szCs w:val="24"/>
          <w:lang w:val="pt-BR" w:eastAsia="pt-BR"/>
        </w:rPr>
      </w:pPr>
      <w:r w:rsidRPr="000C3BEC">
        <w:rPr>
          <w:rFonts w:ascii="Times New Roman" w:eastAsia="Times New Roman" w:hAnsi="Times New Roman" w:cs="Times New Roman"/>
          <w:sz w:val="24"/>
          <w:szCs w:val="24"/>
          <w:lang w:val="pt-BR" w:eastAsia="pt-BR"/>
        </w:rPr>
        <w:t xml:space="preserve">O </w:t>
      </w:r>
      <w:r>
        <w:rPr>
          <w:rFonts w:ascii="Times New Roman" w:eastAsia="Times New Roman" w:hAnsi="Times New Roman" w:cs="Times New Roman"/>
          <w:sz w:val="24"/>
          <w:szCs w:val="24"/>
          <w:lang w:val="pt-BR" w:eastAsia="pt-BR"/>
        </w:rPr>
        <w:t>PL</w:t>
      </w:r>
      <w:r w:rsidRPr="000C3BEC">
        <w:rPr>
          <w:rFonts w:ascii="Times New Roman" w:eastAsia="Times New Roman" w:hAnsi="Times New Roman" w:cs="Times New Roman"/>
          <w:sz w:val="24"/>
          <w:szCs w:val="24"/>
          <w:lang w:val="pt-BR" w:eastAsia="pt-BR"/>
        </w:rPr>
        <w:t xml:space="preserve"> do FDU e os Financiamentos Concedidos</w:t>
      </w:r>
      <w:r w:rsidRPr="00CA2760">
        <w:rPr>
          <w:rFonts w:ascii="Times New Roman" w:eastAsia="Times New Roman" w:hAnsi="Times New Roman" w:cs="Times New Roman"/>
          <w:sz w:val="24"/>
          <w:szCs w:val="24"/>
          <w:lang w:val="pt-BR" w:eastAsia="pt-BR"/>
        </w:rPr>
        <w:t xml:space="preserve"> aos Municípios </w:t>
      </w:r>
      <w:r>
        <w:rPr>
          <w:rFonts w:ascii="Times New Roman" w:eastAsia="Times New Roman" w:hAnsi="Times New Roman" w:cs="Times New Roman"/>
          <w:sz w:val="24"/>
          <w:szCs w:val="24"/>
          <w:lang w:val="pt-BR" w:eastAsia="pt-BR"/>
        </w:rPr>
        <w:t>aumentarão</w:t>
      </w:r>
      <w:r w:rsidRPr="00CA2760">
        <w:rPr>
          <w:rFonts w:ascii="Times New Roman" w:eastAsia="Times New Roman" w:hAnsi="Times New Roman" w:cs="Times New Roman"/>
          <w:sz w:val="24"/>
          <w:szCs w:val="24"/>
          <w:lang w:val="pt-BR" w:eastAsia="pt-BR"/>
        </w:rPr>
        <w:t xml:space="preserve"> significativamente ao longo do período simulado. Sob os cenários otimista e intermediário, o</w:t>
      </w:r>
      <w:r>
        <w:rPr>
          <w:rFonts w:ascii="Times New Roman" w:eastAsia="Times New Roman" w:hAnsi="Times New Roman" w:cs="Times New Roman"/>
          <w:sz w:val="24"/>
          <w:szCs w:val="24"/>
          <w:lang w:val="pt-BR" w:eastAsia="pt-BR"/>
        </w:rPr>
        <w:t xml:space="preserve"> PL </w:t>
      </w:r>
      <w:r w:rsidRPr="00CA2760">
        <w:rPr>
          <w:rFonts w:ascii="Times New Roman" w:eastAsia="Times New Roman" w:hAnsi="Times New Roman" w:cs="Times New Roman"/>
          <w:sz w:val="24"/>
          <w:szCs w:val="24"/>
          <w:lang w:val="pt-BR" w:eastAsia="pt-BR"/>
        </w:rPr>
        <w:t xml:space="preserve">e os Financiamentos Concedidos aos Municípios mais que </w:t>
      </w:r>
      <w:r>
        <w:rPr>
          <w:rFonts w:ascii="Times New Roman" w:eastAsia="Times New Roman" w:hAnsi="Times New Roman" w:cs="Times New Roman"/>
          <w:sz w:val="24"/>
          <w:szCs w:val="24"/>
          <w:lang w:val="pt-BR" w:eastAsia="pt-BR"/>
        </w:rPr>
        <w:t>duplicaram</w:t>
      </w:r>
      <w:r w:rsidRPr="00CA2760">
        <w:rPr>
          <w:rFonts w:ascii="Times New Roman" w:eastAsia="Times New Roman" w:hAnsi="Times New Roman" w:cs="Times New Roman"/>
          <w:sz w:val="24"/>
          <w:szCs w:val="24"/>
          <w:lang w:val="pt-BR" w:eastAsia="pt-BR"/>
        </w:rPr>
        <w:t xml:space="preserve"> até 2038.  </w:t>
      </w:r>
      <w:r w:rsidRPr="00FE06C4">
        <w:rPr>
          <w:rFonts w:ascii="Times New Roman" w:eastAsia="Times New Roman" w:hAnsi="Times New Roman" w:cs="Times New Roman"/>
          <w:sz w:val="24"/>
          <w:szCs w:val="24"/>
          <w:lang w:val="pt-BR" w:eastAsia="pt-BR"/>
        </w:rPr>
        <w:t xml:space="preserve">O </w:t>
      </w:r>
      <w:r>
        <w:rPr>
          <w:rFonts w:ascii="Times New Roman" w:eastAsia="Times New Roman" w:hAnsi="Times New Roman" w:cs="Times New Roman"/>
          <w:sz w:val="24"/>
          <w:szCs w:val="24"/>
          <w:lang w:val="pt-BR" w:eastAsia="pt-BR"/>
        </w:rPr>
        <w:t>PL</w:t>
      </w:r>
      <w:r w:rsidRPr="00FE06C4">
        <w:rPr>
          <w:rFonts w:ascii="Times New Roman" w:eastAsia="Times New Roman" w:hAnsi="Times New Roman" w:cs="Times New Roman"/>
          <w:sz w:val="24"/>
          <w:szCs w:val="24"/>
          <w:lang w:val="pt-BR" w:eastAsia="pt-BR"/>
        </w:rPr>
        <w:t xml:space="preserve"> aumentou em R$2,2 bilhões (US$686 milhões) até 2038 no cenário optimista e</w:t>
      </w:r>
      <w:r>
        <w:rPr>
          <w:rFonts w:ascii="Times New Roman" w:eastAsia="Times New Roman" w:hAnsi="Times New Roman" w:cs="Times New Roman"/>
          <w:sz w:val="24"/>
          <w:szCs w:val="24"/>
          <w:lang w:val="pt-BR" w:eastAsia="pt-BR"/>
        </w:rPr>
        <w:t xml:space="preserve"> </w:t>
      </w:r>
      <w:r w:rsidRPr="00FE06C4">
        <w:rPr>
          <w:rFonts w:ascii="Times New Roman" w:eastAsia="Times New Roman" w:hAnsi="Times New Roman" w:cs="Times New Roman"/>
          <w:sz w:val="24"/>
          <w:szCs w:val="24"/>
          <w:lang w:val="pt-BR" w:eastAsia="pt-BR"/>
        </w:rPr>
        <w:t>R$1,4 bilhões (US$434 milhões) no intermediário</w:t>
      </w:r>
      <w:r>
        <w:rPr>
          <w:rFonts w:ascii="Times New Roman" w:eastAsia="Times New Roman" w:hAnsi="Times New Roman" w:cs="Times New Roman"/>
          <w:sz w:val="24"/>
          <w:szCs w:val="24"/>
          <w:lang w:val="pt-BR" w:eastAsia="pt-BR"/>
        </w:rPr>
        <w:t xml:space="preserve">. </w:t>
      </w:r>
      <w:r w:rsidRPr="00FE06C4">
        <w:rPr>
          <w:rFonts w:ascii="Times New Roman" w:eastAsia="Times New Roman" w:hAnsi="Times New Roman" w:cs="Times New Roman"/>
          <w:sz w:val="24"/>
          <w:szCs w:val="24"/>
          <w:lang w:val="pt-BR" w:eastAsia="pt-BR"/>
        </w:rPr>
        <w:t>Os Financiamentos Concedidos aos Municípios cresceram em R$1,3 bilhões (US$418 milhões) no cenário optimista e R$846 milhões (US$264 milhões) no intermediário.</w:t>
      </w:r>
    </w:p>
    <w:p w14:paraId="61E4DB76" w14:textId="77777777" w:rsidR="00427CAD" w:rsidRDefault="00427CAD" w:rsidP="00427CAD">
      <w:pPr>
        <w:shd w:val="clear" w:color="auto" w:fill="FFFFFF"/>
        <w:spacing w:line="360" w:lineRule="auto"/>
        <w:rPr>
          <w:rFonts w:ascii="Times New Roman" w:hAnsi="Times New Roman" w:cs="Times New Roman"/>
          <w:sz w:val="24"/>
          <w:szCs w:val="24"/>
          <w:lang w:val="pt-BR"/>
        </w:rPr>
      </w:pPr>
      <w:r w:rsidRPr="00CA2760">
        <w:rPr>
          <w:rFonts w:ascii="Times New Roman" w:eastAsia="Times New Roman" w:hAnsi="Times New Roman" w:cs="Times New Roman"/>
          <w:sz w:val="24"/>
          <w:szCs w:val="24"/>
          <w:lang w:val="pt-BR" w:eastAsia="pt-BR"/>
        </w:rPr>
        <w:t>Mesmo no cenário pessimista, o</w:t>
      </w:r>
      <w:r>
        <w:rPr>
          <w:rFonts w:ascii="Times New Roman" w:eastAsia="Times New Roman" w:hAnsi="Times New Roman" w:cs="Times New Roman"/>
          <w:sz w:val="24"/>
          <w:szCs w:val="24"/>
          <w:lang w:val="pt-BR" w:eastAsia="pt-BR"/>
        </w:rPr>
        <w:t xml:space="preserve"> PL </w:t>
      </w:r>
      <w:r w:rsidRPr="00CA2760">
        <w:rPr>
          <w:rFonts w:ascii="Times New Roman" w:eastAsia="Times New Roman" w:hAnsi="Times New Roman" w:cs="Times New Roman"/>
          <w:sz w:val="24"/>
          <w:szCs w:val="24"/>
          <w:lang w:val="pt-BR" w:eastAsia="pt-BR"/>
        </w:rPr>
        <w:t>e os Financiamentos Concedidos aos Municípios aumentar</w:t>
      </w:r>
      <w:r>
        <w:rPr>
          <w:rFonts w:ascii="Times New Roman" w:eastAsia="Times New Roman" w:hAnsi="Times New Roman" w:cs="Times New Roman"/>
          <w:sz w:val="24"/>
          <w:szCs w:val="24"/>
          <w:lang w:val="pt-BR" w:eastAsia="pt-BR"/>
        </w:rPr>
        <w:t>am</w:t>
      </w:r>
      <w:r w:rsidRPr="00CA2760">
        <w:rPr>
          <w:rFonts w:ascii="Times New Roman" w:eastAsia="Times New Roman" w:hAnsi="Times New Roman" w:cs="Times New Roman"/>
          <w:sz w:val="24"/>
          <w:szCs w:val="24"/>
          <w:lang w:val="pt-BR" w:eastAsia="pt-BR"/>
        </w:rPr>
        <w:t xml:space="preserve"> em </w:t>
      </w:r>
      <w:r w:rsidRPr="008E6E10">
        <w:rPr>
          <w:rFonts w:ascii="Times New Roman" w:eastAsia="Times New Roman" w:hAnsi="Times New Roman" w:cs="Times New Roman"/>
          <w:sz w:val="24"/>
          <w:szCs w:val="24"/>
          <w:lang w:val="pt-BR" w:eastAsia="pt-BR"/>
        </w:rPr>
        <w:t>R$858 milhões e R$523 milhões (US$268 milhões e US$163 milhões),</w:t>
      </w:r>
      <w:r w:rsidRPr="00CA2760">
        <w:rPr>
          <w:rFonts w:ascii="Times New Roman" w:hAnsi="Times New Roman" w:cs="Times New Roman"/>
          <w:sz w:val="24"/>
          <w:szCs w:val="24"/>
          <w:lang w:val="pt-BR"/>
        </w:rPr>
        <w:t xml:space="preserve"> respectivamente. </w:t>
      </w:r>
    </w:p>
    <w:p w14:paraId="758B54D4" w14:textId="4E6DA114" w:rsidR="00595CB8" w:rsidRDefault="00427CAD" w:rsidP="000325ED">
      <w:pPr>
        <w:shd w:val="clear" w:color="auto" w:fill="FFFFFF"/>
        <w:spacing w:line="360" w:lineRule="auto"/>
        <w:rPr>
          <w:rFonts w:ascii="Times New Roman" w:eastAsia="Times New Roman" w:hAnsi="Times New Roman" w:cs="Times New Roman"/>
          <w:b/>
          <w:sz w:val="24"/>
          <w:szCs w:val="24"/>
          <w:lang w:val="pt-BR" w:eastAsia="pt-BR"/>
        </w:rPr>
      </w:pPr>
      <w:r w:rsidRPr="00CA2760">
        <w:rPr>
          <w:rFonts w:ascii="Times New Roman" w:eastAsia="Times New Roman" w:hAnsi="Times New Roman" w:cs="Times New Roman"/>
          <w:sz w:val="24"/>
          <w:szCs w:val="24"/>
          <w:lang w:val="pt-BR" w:eastAsia="pt-BR"/>
        </w:rPr>
        <w:t xml:space="preserve">No entanto, a taxa de aumento </w:t>
      </w:r>
      <w:r w:rsidR="00753956">
        <w:rPr>
          <w:rFonts w:ascii="Times New Roman" w:eastAsia="Times New Roman" w:hAnsi="Times New Roman" w:cs="Times New Roman"/>
          <w:sz w:val="24"/>
          <w:szCs w:val="24"/>
          <w:lang w:val="pt-BR" w:eastAsia="pt-BR"/>
        </w:rPr>
        <w:t>d</w:t>
      </w:r>
      <w:r w:rsidR="00001D0D">
        <w:rPr>
          <w:rFonts w:ascii="Times New Roman" w:eastAsia="Times New Roman" w:hAnsi="Times New Roman" w:cs="Times New Roman"/>
          <w:sz w:val="24"/>
          <w:szCs w:val="24"/>
          <w:lang w:val="pt-BR" w:eastAsia="pt-BR"/>
        </w:rPr>
        <w:t xml:space="preserve">a capitalização </w:t>
      </w:r>
      <w:r w:rsidRPr="00CA2760">
        <w:rPr>
          <w:rFonts w:ascii="Times New Roman" w:eastAsia="Times New Roman" w:hAnsi="Times New Roman" w:cs="Times New Roman"/>
          <w:sz w:val="24"/>
          <w:szCs w:val="24"/>
          <w:lang w:val="pt-BR" w:eastAsia="pt-BR"/>
        </w:rPr>
        <w:t xml:space="preserve">após 2028 cai nos cenários intermediário e pessimista devido à ascensão </w:t>
      </w:r>
      <w:r>
        <w:rPr>
          <w:rFonts w:ascii="Times New Roman" w:eastAsia="Times New Roman" w:hAnsi="Times New Roman" w:cs="Times New Roman"/>
          <w:sz w:val="24"/>
          <w:szCs w:val="24"/>
          <w:lang w:val="pt-BR" w:eastAsia="pt-BR"/>
        </w:rPr>
        <w:t xml:space="preserve">real de 2% </w:t>
      </w:r>
      <w:r w:rsidRPr="00CA2760">
        <w:rPr>
          <w:rFonts w:ascii="Times New Roman" w:eastAsia="Times New Roman" w:hAnsi="Times New Roman" w:cs="Times New Roman"/>
          <w:sz w:val="24"/>
          <w:szCs w:val="24"/>
          <w:lang w:val="pt-BR" w:eastAsia="pt-BR"/>
        </w:rPr>
        <w:t xml:space="preserve">em custos operacionais. </w:t>
      </w:r>
      <w:r>
        <w:rPr>
          <w:rFonts w:ascii="Times New Roman" w:eastAsia="Times New Roman" w:hAnsi="Times New Roman" w:cs="Times New Roman"/>
          <w:sz w:val="24"/>
          <w:szCs w:val="24"/>
          <w:lang w:val="pt-BR" w:eastAsia="pt-BR"/>
        </w:rPr>
        <w:t xml:space="preserve"> É importante notar o impacto negativo significativo que este aumento na capitalização do FDU causa quando utiliza-se apenas 2% para a taxa de crescimento anual real das despesas operacionais</w:t>
      </w:r>
      <w:r w:rsidRPr="00301473">
        <w:rPr>
          <w:rFonts w:ascii="Times New Roman" w:eastAsia="Times New Roman" w:hAnsi="Times New Roman" w:cs="Times New Roman"/>
          <w:sz w:val="24"/>
          <w:szCs w:val="24"/>
          <w:lang w:val="pt-BR" w:eastAsia="pt-BR"/>
        </w:rPr>
        <w:t>. O crescimento descontrolado dessas despesas operacionais representa o maior risco para a sustentabilidade do FDU, dado que as taxas de juros reais do FDU têm sido, normalmente, positivas no passado.</w:t>
      </w:r>
    </w:p>
    <w:p w14:paraId="05AEE826" w14:textId="77777777" w:rsidR="000325ED" w:rsidRDefault="000325ED" w:rsidP="00427CAD">
      <w:pPr>
        <w:spacing w:line="360" w:lineRule="auto"/>
        <w:jc w:val="center"/>
        <w:rPr>
          <w:rFonts w:ascii="Times New Roman" w:eastAsia="Times New Roman" w:hAnsi="Times New Roman" w:cs="Times New Roman"/>
          <w:b/>
          <w:sz w:val="24"/>
          <w:szCs w:val="24"/>
          <w:lang w:val="pt-BR" w:eastAsia="pt-BR"/>
        </w:rPr>
      </w:pPr>
    </w:p>
    <w:p w14:paraId="5D09E1B0" w14:textId="77777777" w:rsidR="000325ED" w:rsidRDefault="000325ED" w:rsidP="00427CAD">
      <w:pPr>
        <w:spacing w:line="360" w:lineRule="auto"/>
        <w:jc w:val="center"/>
        <w:rPr>
          <w:rFonts w:ascii="Times New Roman" w:eastAsia="Times New Roman" w:hAnsi="Times New Roman" w:cs="Times New Roman"/>
          <w:b/>
          <w:sz w:val="24"/>
          <w:szCs w:val="24"/>
          <w:lang w:val="pt-BR" w:eastAsia="pt-BR"/>
        </w:rPr>
      </w:pPr>
    </w:p>
    <w:p w14:paraId="38A28054" w14:textId="220CB85F" w:rsidR="00427CAD" w:rsidRDefault="00427CAD" w:rsidP="00427CAD">
      <w:pPr>
        <w:spacing w:line="360" w:lineRule="auto"/>
        <w:jc w:val="center"/>
        <w:rPr>
          <w:rFonts w:ascii="Times New Roman" w:hAnsi="Times New Roman" w:cs="Times New Roman"/>
          <w:b/>
          <w:sz w:val="24"/>
          <w:szCs w:val="24"/>
          <w:lang w:val="pt-BR"/>
        </w:rPr>
      </w:pPr>
      <w:r>
        <w:rPr>
          <w:rFonts w:ascii="Times New Roman" w:eastAsia="Times New Roman" w:hAnsi="Times New Roman" w:cs="Times New Roman"/>
          <w:b/>
          <w:sz w:val="24"/>
          <w:szCs w:val="24"/>
          <w:lang w:val="pt-BR" w:eastAsia="pt-BR"/>
        </w:rPr>
        <w:t>A</w:t>
      </w:r>
      <w:r w:rsidR="000325ED">
        <w:rPr>
          <w:rFonts w:ascii="Times New Roman" w:eastAsia="Times New Roman" w:hAnsi="Times New Roman" w:cs="Times New Roman"/>
          <w:b/>
          <w:sz w:val="24"/>
          <w:szCs w:val="24"/>
          <w:lang w:val="pt-BR" w:eastAsia="pt-BR"/>
        </w:rPr>
        <w:t>s</w:t>
      </w:r>
      <w:r>
        <w:rPr>
          <w:rFonts w:ascii="Times New Roman" w:eastAsia="Times New Roman" w:hAnsi="Times New Roman" w:cs="Times New Roman"/>
          <w:b/>
          <w:sz w:val="24"/>
          <w:szCs w:val="24"/>
          <w:lang w:val="pt-BR" w:eastAsia="pt-BR"/>
        </w:rPr>
        <w:t xml:space="preserve"> </w:t>
      </w:r>
      <w:r w:rsidR="00595CB8">
        <w:rPr>
          <w:rFonts w:ascii="Times New Roman" w:eastAsia="Times New Roman" w:hAnsi="Times New Roman" w:cs="Times New Roman"/>
          <w:b/>
          <w:sz w:val="24"/>
          <w:szCs w:val="24"/>
          <w:lang w:val="pt-BR" w:eastAsia="pt-BR"/>
        </w:rPr>
        <w:t>simulaç</w:t>
      </w:r>
      <w:r w:rsidR="000325ED">
        <w:rPr>
          <w:rFonts w:ascii="Times New Roman" w:eastAsia="Times New Roman" w:hAnsi="Times New Roman" w:cs="Times New Roman"/>
          <w:b/>
          <w:sz w:val="24"/>
          <w:szCs w:val="24"/>
          <w:lang w:val="pt-BR" w:eastAsia="pt-BR"/>
        </w:rPr>
        <w:t>ões</w:t>
      </w:r>
      <w:r>
        <w:rPr>
          <w:rFonts w:ascii="Times New Roman" w:eastAsia="Times New Roman" w:hAnsi="Times New Roman" w:cs="Times New Roman"/>
          <w:b/>
          <w:sz w:val="24"/>
          <w:szCs w:val="24"/>
          <w:lang w:val="pt-BR" w:eastAsia="pt-BR"/>
        </w:rPr>
        <w:t xml:space="preserve"> com o método </w:t>
      </w:r>
      <w:r w:rsidRPr="00214997">
        <w:rPr>
          <w:rFonts w:ascii="Times New Roman" w:hAnsi="Times New Roman" w:cs="Times New Roman"/>
          <w:b/>
          <w:sz w:val="24"/>
          <w:szCs w:val="24"/>
          <w:lang w:val="pt-BR"/>
        </w:rPr>
        <w:t>Monte Carlo</w:t>
      </w:r>
    </w:p>
    <w:p w14:paraId="265CEF48" w14:textId="77777777" w:rsidR="00427CAD" w:rsidRPr="00730758" w:rsidRDefault="00427CAD" w:rsidP="00427CAD">
      <w:pPr>
        <w:shd w:val="clear" w:color="auto" w:fill="FFFFFF"/>
        <w:spacing w:line="360" w:lineRule="auto"/>
        <w:rPr>
          <w:rFonts w:ascii="Times New Roman" w:eastAsia="Times New Roman" w:hAnsi="Times New Roman" w:cs="Times New Roman"/>
          <w:sz w:val="24"/>
          <w:szCs w:val="24"/>
          <w:lang w:val="pt-BR" w:eastAsia="pt-BR"/>
        </w:rPr>
      </w:pPr>
      <w:r w:rsidRPr="00214997">
        <w:rPr>
          <w:rFonts w:ascii="Times New Roman" w:eastAsia="Times New Roman" w:hAnsi="Times New Roman" w:cs="Times New Roman"/>
          <w:sz w:val="24"/>
          <w:szCs w:val="24"/>
          <w:lang w:val="pt-BR" w:eastAsia="pt-BR"/>
        </w:rPr>
        <w:t>Um</w:t>
      </w:r>
      <w:r>
        <w:rPr>
          <w:rFonts w:ascii="Times New Roman" w:eastAsia="Times New Roman" w:hAnsi="Times New Roman" w:cs="Times New Roman"/>
          <w:sz w:val="24"/>
          <w:szCs w:val="24"/>
          <w:lang w:val="pt-BR" w:eastAsia="pt-BR"/>
        </w:rPr>
        <w:t>a</w:t>
      </w:r>
      <w:r w:rsidRPr="00214997">
        <w:rPr>
          <w:rFonts w:ascii="Times New Roman" w:eastAsia="Times New Roman" w:hAnsi="Times New Roman" w:cs="Times New Roman"/>
          <w:sz w:val="24"/>
          <w:szCs w:val="24"/>
          <w:lang w:val="pt-BR" w:eastAsia="pt-BR"/>
        </w:rPr>
        <w:t xml:space="preserve"> d</w:t>
      </w:r>
      <w:r>
        <w:rPr>
          <w:rFonts w:ascii="Times New Roman" w:eastAsia="Times New Roman" w:hAnsi="Times New Roman" w:cs="Times New Roman"/>
          <w:sz w:val="24"/>
          <w:szCs w:val="24"/>
          <w:lang w:val="pt-BR" w:eastAsia="pt-BR"/>
        </w:rPr>
        <w:t>a</w:t>
      </w:r>
      <w:r w:rsidRPr="00214997">
        <w:rPr>
          <w:rFonts w:ascii="Times New Roman" w:eastAsia="Times New Roman" w:hAnsi="Times New Roman" w:cs="Times New Roman"/>
          <w:sz w:val="24"/>
          <w:szCs w:val="24"/>
          <w:lang w:val="pt-BR" w:eastAsia="pt-BR"/>
        </w:rPr>
        <w:t xml:space="preserve">s </w:t>
      </w:r>
      <w:r w:rsidRPr="00D21EE1">
        <w:rPr>
          <w:rFonts w:ascii="Times New Roman" w:eastAsia="Times New Roman" w:hAnsi="Times New Roman" w:cs="Times New Roman"/>
          <w:sz w:val="24"/>
          <w:szCs w:val="24"/>
          <w:lang w:val="pt-BR" w:eastAsia="pt-BR"/>
        </w:rPr>
        <w:t>limitações</w:t>
      </w:r>
      <w:r w:rsidRPr="00214997">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d</w:t>
      </w:r>
      <w:r w:rsidRPr="00214997">
        <w:rPr>
          <w:rFonts w:ascii="Times New Roman" w:eastAsia="Times New Roman" w:hAnsi="Times New Roman" w:cs="Times New Roman"/>
          <w:sz w:val="24"/>
          <w:szCs w:val="24"/>
          <w:lang w:val="pt-BR" w:eastAsia="pt-BR"/>
        </w:rPr>
        <w:t>a análise de cenário</w:t>
      </w:r>
      <w:r>
        <w:rPr>
          <w:rFonts w:ascii="Times New Roman" w:eastAsia="Times New Roman" w:hAnsi="Times New Roman" w:cs="Times New Roman"/>
          <w:sz w:val="24"/>
          <w:szCs w:val="24"/>
          <w:lang w:val="pt-BR" w:eastAsia="pt-BR"/>
        </w:rPr>
        <w:t>s</w:t>
      </w:r>
      <w:r w:rsidRPr="00214997">
        <w:rPr>
          <w:rFonts w:ascii="Times New Roman" w:eastAsia="Times New Roman" w:hAnsi="Times New Roman" w:cs="Times New Roman"/>
          <w:sz w:val="24"/>
          <w:szCs w:val="24"/>
          <w:lang w:val="pt-BR" w:eastAsia="pt-BR"/>
        </w:rPr>
        <w:t xml:space="preserve"> é que o analista </w:t>
      </w:r>
      <w:r>
        <w:rPr>
          <w:rFonts w:ascii="Times New Roman" w:eastAsia="Times New Roman" w:hAnsi="Times New Roman" w:cs="Times New Roman"/>
          <w:sz w:val="24"/>
          <w:szCs w:val="24"/>
          <w:lang w:val="pt-BR" w:eastAsia="pt-BR"/>
        </w:rPr>
        <w:t>precisa</w:t>
      </w:r>
      <w:r w:rsidRPr="00214997">
        <w:rPr>
          <w:rFonts w:ascii="Times New Roman" w:eastAsia="Times New Roman" w:hAnsi="Times New Roman" w:cs="Times New Roman"/>
          <w:sz w:val="24"/>
          <w:szCs w:val="24"/>
          <w:lang w:val="pt-BR" w:eastAsia="pt-BR"/>
        </w:rPr>
        <w:t xml:space="preserve"> especificar valores para cada uma das</w:t>
      </w:r>
      <w:r>
        <w:rPr>
          <w:rFonts w:ascii="Times New Roman" w:eastAsia="Times New Roman" w:hAnsi="Times New Roman" w:cs="Times New Roman"/>
          <w:sz w:val="24"/>
          <w:szCs w:val="24"/>
          <w:lang w:val="pt-BR" w:eastAsia="pt-BR"/>
        </w:rPr>
        <w:t xml:space="preserve"> </w:t>
      </w:r>
      <w:r w:rsidRPr="00D21EE1">
        <w:rPr>
          <w:rFonts w:ascii="Times New Roman" w:eastAsia="Times New Roman" w:hAnsi="Times New Roman" w:cs="Times New Roman"/>
          <w:i/>
          <w:sz w:val="24"/>
          <w:szCs w:val="24"/>
          <w:lang w:val="pt-BR" w:eastAsia="pt-BR"/>
        </w:rPr>
        <w:t>input variables</w:t>
      </w:r>
      <w:r>
        <w:rPr>
          <w:rFonts w:ascii="Times New Roman" w:eastAsia="Times New Roman" w:hAnsi="Times New Roman" w:cs="Times New Roman"/>
          <w:i/>
          <w:sz w:val="24"/>
          <w:szCs w:val="24"/>
          <w:lang w:val="pt-BR" w:eastAsia="pt-BR"/>
        </w:rPr>
        <w:t xml:space="preserve"> </w:t>
      </w:r>
      <w:r w:rsidRPr="00792A90">
        <w:rPr>
          <w:rFonts w:ascii="Times New Roman" w:eastAsia="Times New Roman" w:hAnsi="Times New Roman" w:cs="Times New Roman"/>
          <w:sz w:val="24"/>
          <w:szCs w:val="24"/>
          <w:lang w:val="pt-BR" w:eastAsia="pt-BR"/>
        </w:rPr>
        <w:t>relevantes, embora</w:t>
      </w:r>
      <w:r w:rsidRPr="00214997">
        <w:rPr>
          <w:rFonts w:ascii="Times New Roman" w:eastAsia="Times New Roman" w:hAnsi="Times New Roman" w:cs="Times New Roman"/>
          <w:sz w:val="24"/>
          <w:szCs w:val="24"/>
          <w:lang w:val="pt-BR" w:eastAsia="pt-BR"/>
        </w:rPr>
        <w:t xml:space="preserve"> saibamos que esses valores geralmente </w:t>
      </w:r>
      <w:r>
        <w:rPr>
          <w:rFonts w:ascii="Times New Roman" w:eastAsia="Times New Roman" w:hAnsi="Times New Roman" w:cs="Times New Roman"/>
          <w:sz w:val="24"/>
          <w:szCs w:val="24"/>
          <w:lang w:val="pt-BR" w:eastAsia="pt-BR"/>
        </w:rPr>
        <w:t>possuem um intervalo de grande amplitude</w:t>
      </w:r>
      <w:r w:rsidRPr="00214997">
        <w:rPr>
          <w:rFonts w:ascii="Times New Roman" w:eastAsia="Times New Roman" w:hAnsi="Times New Roman" w:cs="Times New Roman"/>
          <w:sz w:val="24"/>
          <w:szCs w:val="24"/>
          <w:lang w:val="pt-BR" w:eastAsia="pt-BR"/>
        </w:rPr>
        <w:t xml:space="preserve">. Uma forma alternativa de análise de cenários envolve o uso de distribuições de probabilidades </w:t>
      </w:r>
      <w:r>
        <w:rPr>
          <w:rFonts w:ascii="Times New Roman" w:eastAsia="Times New Roman" w:hAnsi="Times New Roman" w:cs="Times New Roman"/>
          <w:sz w:val="24"/>
          <w:szCs w:val="24"/>
          <w:lang w:val="pt-BR" w:eastAsia="pt-BR"/>
        </w:rPr>
        <w:t>na definição das</w:t>
      </w:r>
      <w:r w:rsidRPr="00214997">
        <w:rPr>
          <w:rFonts w:ascii="Times New Roman" w:eastAsia="Times New Roman" w:hAnsi="Times New Roman" w:cs="Times New Roman"/>
          <w:sz w:val="24"/>
          <w:szCs w:val="24"/>
          <w:lang w:val="pt-BR" w:eastAsia="pt-BR"/>
        </w:rPr>
        <w:t xml:space="preserve"> </w:t>
      </w:r>
      <w:r w:rsidRPr="00792A90">
        <w:rPr>
          <w:rFonts w:ascii="Times New Roman" w:eastAsia="Times New Roman" w:hAnsi="Times New Roman" w:cs="Times New Roman"/>
          <w:i/>
          <w:sz w:val="24"/>
          <w:szCs w:val="24"/>
          <w:lang w:val="pt-BR" w:eastAsia="pt-BR"/>
        </w:rPr>
        <w:t>input variables</w:t>
      </w:r>
      <w:r>
        <w:rPr>
          <w:rFonts w:ascii="Times New Roman" w:eastAsia="Times New Roman" w:hAnsi="Times New Roman" w:cs="Times New Roman"/>
          <w:sz w:val="24"/>
          <w:szCs w:val="24"/>
          <w:lang w:val="pt-BR" w:eastAsia="pt-BR"/>
        </w:rPr>
        <w:t>,</w:t>
      </w:r>
      <w:r w:rsidRPr="00214997">
        <w:rPr>
          <w:rFonts w:ascii="Times New Roman" w:eastAsia="Times New Roman" w:hAnsi="Times New Roman" w:cs="Times New Roman"/>
          <w:sz w:val="24"/>
          <w:szCs w:val="24"/>
          <w:lang w:val="pt-BR" w:eastAsia="pt-BR"/>
        </w:rPr>
        <w:t xml:space="preserve"> através da simulação de Monte Carlo (</w:t>
      </w:r>
      <w:r>
        <w:rPr>
          <w:rFonts w:ascii="Times New Roman" w:eastAsia="Times New Roman" w:hAnsi="Times New Roman" w:cs="Times New Roman"/>
          <w:sz w:val="24"/>
          <w:szCs w:val="24"/>
          <w:lang w:val="pt-BR" w:eastAsia="pt-BR"/>
        </w:rPr>
        <w:t>World Bank,</w:t>
      </w:r>
      <w:r w:rsidRPr="00214997">
        <w:rPr>
          <w:rFonts w:ascii="Times New Roman" w:eastAsia="Times New Roman" w:hAnsi="Times New Roman" w:cs="Times New Roman"/>
          <w:sz w:val="24"/>
          <w:szCs w:val="24"/>
          <w:lang w:val="pt-BR" w:eastAsia="pt-BR"/>
        </w:rPr>
        <w:t xml:space="preserve"> 2005). </w:t>
      </w:r>
      <w:r w:rsidRPr="00730758">
        <w:rPr>
          <w:rFonts w:ascii="Times New Roman" w:eastAsia="Times New Roman" w:hAnsi="Times New Roman" w:cs="Times New Roman"/>
          <w:sz w:val="24"/>
          <w:szCs w:val="24"/>
          <w:lang w:val="pt-BR" w:eastAsia="pt-BR"/>
        </w:rPr>
        <w:t>Os resultados</w:t>
      </w:r>
      <w:r>
        <w:rPr>
          <w:rFonts w:ascii="Times New Roman" w:eastAsia="Times New Roman" w:hAnsi="Times New Roman" w:cs="Times New Roman"/>
          <w:sz w:val="24"/>
          <w:szCs w:val="24"/>
          <w:lang w:val="pt-BR" w:eastAsia="pt-BR"/>
        </w:rPr>
        <w:t xml:space="preserve"> das simulações Monte Carlo</w:t>
      </w:r>
      <w:r w:rsidRPr="00730758">
        <w:rPr>
          <w:rFonts w:ascii="Times New Roman" w:eastAsia="Times New Roman" w:hAnsi="Times New Roman" w:cs="Times New Roman"/>
          <w:sz w:val="24"/>
          <w:szCs w:val="24"/>
          <w:lang w:val="pt-BR" w:eastAsia="pt-BR"/>
        </w:rPr>
        <w:t xml:space="preserve"> para 2038 indicam que com um grau de 90% de certeza:</w:t>
      </w:r>
    </w:p>
    <w:p w14:paraId="56545D4B" w14:textId="77777777" w:rsidR="00427CAD" w:rsidRPr="00730758" w:rsidRDefault="00427CAD" w:rsidP="00427CAD">
      <w:pPr>
        <w:pStyle w:val="ListParagraph"/>
        <w:numPr>
          <w:ilvl w:val="0"/>
          <w:numId w:val="39"/>
        </w:numPr>
        <w:shd w:val="clear" w:color="auto" w:fill="FFFFFF"/>
        <w:spacing w:after="0" w:line="360" w:lineRule="auto"/>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O PL</w:t>
      </w:r>
      <w:r w:rsidRPr="00730758">
        <w:rPr>
          <w:rFonts w:ascii="Times New Roman" w:eastAsia="Times New Roman" w:hAnsi="Times New Roman" w:cs="Times New Roman"/>
          <w:sz w:val="24"/>
          <w:szCs w:val="24"/>
          <w:lang w:val="pt-BR" w:eastAsia="pt-BR"/>
        </w:rPr>
        <w:t xml:space="preserve"> será superior a R$2,</w:t>
      </w:r>
      <w:r>
        <w:rPr>
          <w:rFonts w:ascii="Times New Roman" w:eastAsia="Times New Roman" w:hAnsi="Times New Roman" w:cs="Times New Roman"/>
          <w:sz w:val="24"/>
          <w:szCs w:val="24"/>
          <w:lang w:val="pt-BR" w:eastAsia="pt-BR"/>
        </w:rPr>
        <w:t>28</w:t>
      </w:r>
      <w:r w:rsidRPr="00730758">
        <w:rPr>
          <w:rFonts w:ascii="Times New Roman" w:eastAsia="Times New Roman" w:hAnsi="Times New Roman" w:cs="Times New Roman"/>
          <w:sz w:val="24"/>
          <w:szCs w:val="24"/>
          <w:lang w:val="pt-BR" w:eastAsia="pt-BR"/>
        </w:rPr>
        <w:t xml:space="preserve"> bilhões </w:t>
      </w:r>
    </w:p>
    <w:p w14:paraId="7D8BF2AA" w14:textId="77777777" w:rsidR="00427CAD" w:rsidRPr="00BB76DE" w:rsidRDefault="00427CAD" w:rsidP="00427CAD">
      <w:pPr>
        <w:pStyle w:val="ListParagraph"/>
        <w:numPr>
          <w:ilvl w:val="0"/>
          <w:numId w:val="38"/>
        </w:numPr>
        <w:shd w:val="clear" w:color="auto" w:fill="FFFFFF"/>
        <w:spacing w:line="240" w:lineRule="auto"/>
        <w:rPr>
          <w:rFonts w:ascii="Times New Roman" w:eastAsia="Times New Roman" w:hAnsi="Times New Roman" w:cs="Times New Roman"/>
          <w:sz w:val="24"/>
          <w:szCs w:val="24"/>
          <w:lang w:val="pt-BR" w:eastAsia="pt-BR"/>
        </w:rPr>
      </w:pPr>
      <w:r w:rsidRPr="00BB76DE">
        <w:rPr>
          <w:rFonts w:ascii="Times New Roman" w:eastAsia="Times New Roman" w:hAnsi="Times New Roman" w:cs="Times New Roman"/>
          <w:sz w:val="24"/>
          <w:szCs w:val="24"/>
          <w:lang w:val="pt-BR" w:eastAsia="pt-BR"/>
        </w:rPr>
        <w:t xml:space="preserve">Os Financiamentos Concedidos aos Municípios excederão R$1,39 bilhões </w:t>
      </w:r>
    </w:p>
    <w:p w14:paraId="7CE95D96" w14:textId="77777777" w:rsidR="00427CAD" w:rsidRPr="00A108D1" w:rsidRDefault="00427CAD" w:rsidP="00427CAD">
      <w:pPr>
        <w:spacing w:line="360" w:lineRule="auto"/>
        <w:rPr>
          <w:rFonts w:ascii="Times New Roman" w:hAnsi="Times New Roman" w:cs="Times New Roman"/>
          <w:sz w:val="24"/>
          <w:szCs w:val="24"/>
          <w:lang w:val="pt-BR"/>
        </w:rPr>
      </w:pPr>
      <w:r w:rsidRPr="00443EE6">
        <w:rPr>
          <w:rFonts w:ascii="Times New Roman" w:hAnsi="Times New Roman" w:cs="Times New Roman"/>
          <w:sz w:val="24"/>
          <w:szCs w:val="24"/>
          <w:lang w:val="pt-BR"/>
        </w:rPr>
        <w:t>Em geral, as estimativas com grau de certeza de 90% nas simulações Monte Carlo são semelhantes</w:t>
      </w:r>
      <w:r>
        <w:rPr>
          <w:rFonts w:ascii="Times New Roman" w:hAnsi="Times New Roman" w:cs="Times New Roman"/>
          <w:sz w:val="24"/>
          <w:szCs w:val="24"/>
          <w:lang w:val="pt-BR"/>
        </w:rPr>
        <w:t xml:space="preserve"> aos resultados</w:t>
      </w:r>
      <w:r w:rsidRPr="00443EE6">
        <w:rPr>
          <w:rFonts w:ascii="Times New Roman" w:hAnsi="Times New Roman" w:cs="Times New Roman"/>
          <w:sz w:val="24"/>
          <w:szCs w:val="24"/>
          <w:lang w:val="pt-BR"/>
        </w:rPr>
        <w:t xml:space="preserve"> </w:t>
      </w:r>
      <w:r>
        <w:rPr>
          <w:rFonts w:ascii="Times New Roman" w:hAnsi="Times New Roman" w:cs="Times New Roman"/>
          <w:sz w:val="24"/>
          <w:szCs w:val="24"/>
          <w:lang w:val="pt-BR"/>
        </w:rPr>
        <w:t>com os</w:t>
      </w:r>
      <w:r w:rsidRPr="00443EE6">
        <w:rPr>
          <w:rFonts w:ascii="Times New Roman" w:hAnsi="Times New Roman" w:cs="Times New Roman"/>
          <w:sz w:val="24"/>
          <w:szCs w:val="24"/>
          <w:lang w:val="pt-BR"/>
        </w:rPr>
        <w:t xml:space="preserve"> cenários pessimistas, e </w:t>
      </w:r>
      <w:r>
        <w:rPr>
          <w:rFonts w:ascii="Times New Roman" w:hAnsi="Times New Roman" w:cs="Times New Roman"/>
          <w:sz w:val="24"/>
          <w:szCs w:val="24"/>
          <w:lang w:val="pt-BR"/>
        </w:rPr>
        <w:t xml:space="preserve">os </w:t>
      </w:r>
      <w:r w:rsidRPr="00443EE6">
        <w:rPr>
          <w:rFonts w:ascii="Times New Roman" w:hAnsi="Times New Roman" w:cs="Times New Roman"/>
          <w:sz w:val="24"/>
          <w:szCs w:val="24"/>
          <w:lang w:val="pt-BR"/>
        </w:rPr>
        <w:t xml:space="preserve">com grau de certeza de </w:t>
      </w:r>
      <w:r w:rsidRPr="0007220E">
        <w:rPr>
          <w:rFonts w:ascii="Times New Roman" w:hAnsi="Times New Roman" w:cs="Times New Roman"/>
          <w:sz w:val="24"/>
          <w:szCs w:val="24"/>
          <w:lang w:val="pt-BR"/>
        </w:rPr>
        <w:t>50%</w:t>
      </w:r>
      <w:r w:rsidRPr="00443EE6">
        <w:rPr>
          <w:rFonts w:ascii="Times New Roman" w:hAnsi="Times New Roman" w:cs="Times New Roman"/>
          <w:sz w:val="24"/>
          <w:szCs w:val="24"/>
          <w:lang w:val="pt-BR"/>
        </w:rPr>
        <w:t xml:space="preserve">, aproximam </w:t>
      </w:r>
      <w:r>
        <w:rPr>
          <w:rFonts w:ascii="Times New Roman" w:hAnsi="Times New Roman" w:cs="Times New Roman"/>
          <w:sz w:val="24"/>
          <w:szCs w:val="24"/>
          <w:lang w:val="pt-BR"/>
        </w:rPr>
        <w:t>aos</w:t>
      </w:r>
      <w:r w:rsidRPr="00443EE6">
        <w:rPr>
          <w:rFonts w:ascii="Times New Roman" w:hAnsi="Times New Roman" w:cs="Times New Roman"/>
          <w:sz w:val="24"/>
          <w:szCs w:val="24"/>
          <w:lang w:val="pt-BR"/>
        </w:rPr>
        <w:t xml:space="preserve"> dos cenários intermediários.</w:t>
      </w:r>
    </w:p>
    <w:p w14:paraId="1FB8512F" w14:textId="77777777" w:rsidR="00427CAD" w:rsidRPr="005707C2" w:rsidRDefault="00427CAD" w:rsidP="00427CAD">
      <w:pPr>
        <w:pStyle w:val="BodyText"/>
        <w:spacing w:line="360" w:lineRule="auto"/>
        <w:jc w:val="center"/>
        <w:rPr>
          <w:rFonts w:ascii="Times New Roman" w:eastAsia="Calibri" w:hAnsi="Times New Roman" w:cs="Times New Roman"/>
          <w:b/>
          <w:sz w:val="24"/>
          <w:szCs w:val="24"/>
          <w:u w:val="single"/>
          <w:lang w:val="pt-BR"/>
        </w:rPr>
      </w:pPr>
      <w:r w:rsidRPr="005707C2">
        <w:rPr>
          <w:rFonts w:ascii="Times New Roman" w:hAnsi="Times New Roman" w:cs="Times New Roman"/>
          <w:b/>
          <w:sz w:val="24"/>
          <w:szCs w:val="24"/>
          <w:u w:val="single"/>
          <w:lang w:val="pt-BR"/>
        </w:rPr>
        <w:t xml:space="preserve">Capítulo IV.  </w:t>
      </w:r>
      <w:r w:rsidRPr="005707C2">
        <w:rPr>
          <w:rFonts w:ascii="Times New Roman" w:eastAsia="Calibri" w:hAnsi="Times New Roman" w:cs="Times New Roman"/>
          <w:b/>
          <w:sz w:val="24"/>
          <w:szCs w:val="24"/>
          <w:u w:val="single"/>
          <w:lang w:val="pt-BR"/>
        </w:rPr>
        <w:t>Prospecção de Novos instrumentos</w:t>
      </w:r>
    </w:p>
    <w:p w14:paraId="7D0F3E21" w14:textId="77777777" w:rsidR="00427CAD" w:rsidRPr="00CA2760" w:rsidRDefault="00427CAD" w:rsidP="00427CAD">
      <w:pPr>
        <w:pStyle w:val="BodyText"/>
        <w:spacing w:line="360" w:lineRule="auto"/>
        <w:rPr>
          <w:rFonts w:ascii="Times New Roman" w:eastAsia="Calibri" w:hAnsi="Times New Roman"/>
          <w:sz w:val="24"/>
          <w:szCs w:val="24"/>
          <w:lang w:val="pt-BR"/>
        </w:rPr>
      </w:pPr>
      <w:r w:rsidRPr="00CA2760">
        <w:rPr>
          <w:rFonts w:ascii="Times New Roman" w:eastAsia="Calibri" w:hAnsi="Times New Roman"/>
          <w:sz w:val="24"/>
          <w:szCs w:val="24"/>
          <w:lang w:val="pt-BR"/>
        </w:rPr>
        <w:t xml:space="preserve">Neste capítulo, avaliaremos de maneira prospectiva a possibilidade de criação de instrumentos financeiros que permitam a alavancagem de recursos do setor privado no financiamento de infraestrutura municipal.  A análise </w:t>
      </w:r>
      <w:r>
        <w:rPr>
          <w:rFonts w:ascii="Times New Roman" w:eastAsia="Calibri" w:hAnsi="Times New Roman"/>
          <w:sz w:val="24"/>
          <w:szCs w:val="24"/>
          <w:lang w:val="pt-BR"/>
        </w:rPr>
        <w:t>destas</w:t>
      </w:r>
      <w:r w:rsidRPr="00CA2760">
        <w:rPr>
          <w:rFonts w:ascii="Times New Roman" w:eastAsia="Calibri" w:hAnsi="Times New Roman"/>
          <w:sz w:val="24"/>
          <w:szCs w:val="24"/>
          <w:lang w:val="pt-BR"/>
        </w:rPr>
        <w:t xml:space="preserve"> opções é </w:t>
      </w:r>
      <w:r>
        <w:rPr>
          <w:rFonts w:ascii="Times New Roman" w:eastAsia="Calibri" w:hAnsi="Times New Roman"/>
          <w:sz w:val="24"/>
          <w:szCs w:val="24"/>
          <w:lang w:val="pt-BR"/>
        </w:rPr>
        <w:t>apenas</w:t>
      </w:r>
      <w:r w:rsidRPr="00CA2760">
        <w:rPr>
          <w:rFonts w:ascii="Times New Roman" w:eastAsia="Calibri" w:hAnsi="Times New Roman"/>
          <w:sz w:val="24"/>
          <w:szCs w:val="24"/>
          <w:lang w:val="pt-BR"/>
        </w:rPr>
        <w:t xml:space="preserve"> de caráter prospectiv</w:t>
      </w:r>
      <w:r>
        <w:rPr>
          <w:rFonts w:ascii="Times New Roman" w:eastAsia="Calibri" w:hAnsi="Times New Roman"/>
          <w:sz w:val="24"/>
          <w:szCs w:val="24"/>
          <w:lang w:val="pt-BR"/>
        </w:rPr>
        <w:t>o</w:t>
      </w:r>
      <w:r w:rsidRPr="00CA2760">
        <w:rPr>
          <w:rFonts w:ascii="Times New Roman" w:eastAsia="Calibri" w:hAnsi="Times New Roman"/>
          <w:sz w:val="24"/>
          <w:szCs w:val="24"/>
          <w:lang w:val="pt-BR"/>
        </w:rPr>
        <w:t xml:space="preserve"> de forma a identificar oportunidades ou entraves no desenvolvimento destes instrumentos conforme a legislação vigente no Brasil e às normas específicas do Banco Central que regem o funcionamento das Agências de Fomento. Durante a execução do Programa serão desenvolvidas outras consultorias para o desenvolvimento </w:t>
      </w:r>
      <w:r>
        <w:rPr>
          <w:rFonts w:ascii="Times New Roman" w:eastAsia="Calibri" w:hAnsi="Times New Roman"/>
          <w:sz w:val="24"/>
          <w:szCs w:val="24"/>
          <w:lang w:val="pt-BR"/>
        </w:rPr>
        <w:t>operacional</w:t>
      </w:r>
      <w:r w:rsidRPr="00CA2760">
        <w:rPr>
          <w:rFonts w:ascii="Times New Roman" w:eastAsia="Calibri" w:hAnsi="Times New Roman"/>
          <w:sz w:val="24"/>
          <w:szCs w:val="24"/>
          <w:lang w:val="pt-BR"/>
        </w:rPr>
        <w:t xml:space="preserve"> específico dos instrumentos identificados neste estudo.</w:t>
      </w:r>
    </w:p>
    <w:p w14:paraId="4CCF71D2" w14:textId="77777777" w:rsidR="00427CAD" w:rsidRPr="00792A90" w:rsidRDefault="00427CAD" w:rsidP="00427CAD">
      <w:pPr>
        <w:autoSpaceDE w:val="0"/>
        <w:autoSpaceDN w:val="0"/>
        <w:adjustRightInd w:val="0"/>
        <w:spacing w:before="240" w:line="360" w:lineRule="auto"/>
        <w:rPr>
          <w:rFonts w:ascii="Times New Roman" w:hAnsi="Times New Roman" w:cs="Times New Roman"/>
          <w:b/>
          <w:sz w:val="24"/>
          <w:szCs w:val="24"/>
          <w:lang w:val="pt-BR"/>
        </w:rPr>
      </w:pPr>
      <w:r w:rsidRPr="00CA2760">
        <w:rPr>
          <w:rFonts w:ascii="Times New Roman" w:hAnsi="Times New Roman" w:cs="Times New Roman"/>
          <w:b/>
          <w:sz w:val="24"/>
          <w:szCs w:val="24"/>
          <w:lang w:val="pt-BR"/>
        </w:rPr>
        <w:t xml:space="preserve">As </w:t>
      </w:r>
      <w:r w:rsidRPr="00792A90">
        <w:rPr>
          <w:rFonts w:ascii="Times New Roman" w:hAnsi="Times New Roman" w:cs="Times New Roman"/>
          <w:b/>
          <w:sz w:val="24"/>
          <w:szCs w:val="24"/>
          <w:lang w:val="pt-BR"/>
        </w:rPr>
        <w:t>condições da matriz de financiamento</w:t>
      </w:r>
    </w:p>
    <w:p w14:paraId="4D4E6C9D" w14:textId="77777777" w:rsidR="00427CAD" w:rsidRPr="00CA2760" w:rsidRDefault="00427CAD" w:rsidP="00427CAD">
      <w:pPr>
        <w:autoSpaceDE w:val="0"/>
        <w:autoSpaceDN w:val="0"/>
        <w:adjustRightInd w:val="0"/>
        <w:spacing w:after="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As condições de financiamento que poderiam variar são:</w:t>
      </w:r>
      <w:r>
        <w:rPr>
          <w:rFonts w:ascii="Times New Roman" w:hAnsi="Times New Roman" w:cs="Times New Roman"/>
          <w:sz w:val="24"/>
          <w:szCs w:val="24"/>
          <w:lang w:val="pt-BR"/>
        </w:rPr>
        <w:t xml:space="preserve"> </w:t>
      </w:r>
    </w:p>
    <w:p w14:paraId="54A9AF61" w14:textId="77777777" w:rsidR="00427CAD" w:rsidRPr="00CA2760" w:rsidRDefault="00427CAD" w:rsidP="00427CAD">
      <w:pPr>
        <w:pStyle w:val="ListParagraph"/>
        <w:numPr>
          <w:ilvl w:val="0"/>
          <w:numId w:val="3"/>
        </w:numPr>
        <w:spacing w:after="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Juros</w:t>
      </w:r>
    </w:p>
    <w:p w14:paraId="0CBA0F1B" w14:textId="77777777" w:rsidR="00427CAD" w:rsidRPr="00CA2760" w:rsidRDefault="00427CAD" w:rsidP="00427CAD">
      <w:pPr>
        <w:pStyle w:val="ListParagraph"/>
        <w:numPr>
          <w:ilvl w:val="0"/>
          <w:numId w:val="3"/>
        </w:numPr>
        <w:spacing w:after="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Prazo</w:t>
      </w:r>
    </w:p>
    <w:p w14:paraId="58E243BE" w14:textId="77777777" w:rsidR="00427CAD" w:rsidRPr="00CA2760" w:rsidRDefault="00427CAD" w:rsidP="00427CAD">
      <w:pPr>
        <w:pStyle w:val="ListParagraph"/>
        <w:numPr>
          <w:ilvl w:val="0"/>
          <w:numId w:val="3"/>
        </w:numPr>
        <w:spacing w:after="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Carência</w:t>
      </w:r>
    </w:p>
    <w:p w14:paraId="7B4DAE0E" w14:textId="77777777" w:rsidR="00427CAD" w:rsidRPr="00CA2760" w:rsidRDefault="00427CAD" w:rsidP="00427CAD">
      <w:pPr>
        <w:pStyle w:val="ListParagraph"/>
        <w:numPr>
          <w:ilvl w:val="0"/>
          <w:numId w:val="3"/>
        </w:numPr>
        <w:spacing w:after="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lastRenderedPageBreak/>
        <w:t>% do custo total financiado</w:t>
      </w:r>
    </w:p>
    <w:p w14:paraId="6E1B4DB6" w14:textId="77777777" w:rsidR="00427CAD" w:rsidRDefault="00427CAD" w:rsidP="00427CAD">
      <w:p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Também, uma taxa de compromisso poderia ser cobrada sobre a parcela do empréstimo, não desembolsado, para servir como um incentivo </w:t>
      </w:r>
      <w:r>
        <w:rPr>
          <w:rFonts w:ascii="Times New Roman" w:hAnsi="Times New Roman" w:cs="Times New Roman"/>
          <w:sz w:val="24"/>
          <w:szCs w:val="24"/>
          <w:lang w:val="pt-BR"/>
        </w:rPr>
        <w:t>na utilização</w:t>
      </w:r>
      <w:r w:rsidRPr="00CA2760">
        <w:rPr>
          <w:rFonts w:ascii="Times New Roman" w:hAnsi="Times New Roman" w:cs="Times New Roman"/>
          <w:sz w:val="24"/>
          <w:szCs w:val="24"/>
          <w:lang w:val="pt-BR"/>
        </w:rPr>
        <w:t xml:space="preserve"> </w:t>
      </w:r>
      <w:r>
        <w:rPr>
          <w:rFonts w:ascii="Times New Roman" w:hAnsi="Times New Roman" w:cs="Times New Roman"/>
          <w:sz w:val="24"/>
          <w:szCs w:val="24"/>
          <w:lang w:val="pt-BR"/>
        </w:rPr>
        <w:t>d</w:t>
      </w:r>
      <w:r w:rsidRPr="00CA2760">
        <w:rPr>
          <w:rFonts w:ascii="Times New Roman" w:hAnsi="Times New Roman" w:cs="Times New Roman"/>
          <w:sz w:val="24"/>
          <w:szCs w:val="24"/>
          <w:lang w:val="pt-BR"/>
        </w:rPr>
        <w:t xml:space="preserve">os recursos em tempo hábil.  Outra opção seria </w:t>
      </w:r>
      <w:r>
        <w:rPr>
          <w:rFonts w:ascii="Times New Roman" w:hAnsi="Times New Roman" w:cs="Times New Roman"/>
          <w:sz w:val="24"/>
          <w:szCs w:val="24"/>
          <w:lang w:val="pt-BR"/>
        </w:rPr>
        <w:t>a cobrança de</w:t>
      </w:r>
      <w:r w:rsidRPr="00CA2760">
        <w:rPr>
          <w:rFonts w:ascii="Times New Roman" w:hAnsi="Times New Roman" w:cs="Times New Roman"/>
          <w:sz w:val="24"/>
          <w:szCs w:val="24"/>
          <w:lang w:val="pt-BR"/>
        </w:rPr>
        <w:t xml:space="preserve"> taxas para estruturação, processamento da aplicação, etc. </w:t>
      </w:r>
      <w:r>
        <w:rPr>
          <w:rFonts w:ascii="Times New Roman" w:hAnsi="Times New Roman" w:cs="Times New Roman"/>
          <w:sz w:val="24"/>
          <w:szCs w:val="24"/>
          <w:lang w:val="pt-BR"/>
        </w:rPr>
        <w:t xml:space="preserve"> F</w:t>
      </w:r>
      <w:r w:rsidRPr="00644DFC">
        <w:rPr>
          <w:rFonts w:ascii="Times New Roman" w:hAnsi="Times New Roman" w:cs="Times New Roman"/>
          <w:sz w:val="24"/>
          <w:szCs w:val="24"/>
          <w:lang w:val="pt-BR"/>
        </w:rPr>
        <w:t xml:space="preserve">inalmente, como discutiremos a seguir, o compromisso </w:t>
      </w:r>
      <w:r>
        <w:rPr>
          <w:rFonts w:ascii="Times New Roman" w:hAnsi="Times New Roman" w:cs="Times New Roman"/>
          <w:sz w:val="24"/>
          <w:szCs w:val="24"/>
          <w:lang w:val="pt-BR"/>
        </w:rPr>
        <w:t xml:space="preserve">para financiamento de </w:t>
      </w:r>
      <w:r w:rsidRPr="00644DFC">
        <w:rPr>
          <w:rFonts w:ascii="Times New Roman" w:hAnsi="Times New Roman" w:cs="Times New Roman"/>
          <w:sz w:val="24"/>
          <w:szCs w:val="24"/>
          <w:lang w:val="pt-BR"/>
        </w:rPr>
        <w:t xml:space="preserve">um programa de investimentos mais amplo por um período mais longo também pode servir como um </w:t>
      </w:r>
      <w:r>
        <w:rPr>
          <w:rFonts w:ascii="Times New Roman" w:hAnsi="Times New Roman" w:cs="Times New Roman"/>
          <w:sz w:val="24"/>
          <w:szCs w:val="24"/>
          <w:lang w:val="pt-BR"/>
        </w:rPr>
        <w:t xml:space="preserve">importante </w:t>
      </w:r>
      <w:r w:rsidRPr="00644DFC">
        <w:rPr>
          <w:rFonts w:ascii="Times New Roman" w:hAnsi="Times New Roman" w:cs="Times New Roman"/>
          <w:sz w:val="24"/>
          <w:szCs w:val="24"/>
          <w:lang w:val="pt-BR"/>
        </w:rPr>
        <w:t>incentivo.</w:t>
      </w:r>
    </w:p>
    <w:p w14:paraId="28813E6C" w14:textId="77777777" w:rsidR="00427CAD" w:rsidRPr="00A03390" w:rsidRDefault="00427CAD" w:rsidP="00427CAD">
      <w:pPr>
        <w:autoSpaceDE w:val="0"/>
        <w:autoSpaceDN w:val="0"/>
        <w:adjustRightInd w:val="0"/>
        <w:spacing w:line="360" w:lineRule="auto"/>
        <w:rPr>
          <w:rFonts w:ascii="Times New Roman" w:hAnsi="Times New Roman" w:cs="Times New Roman"/>
          <w:sz w:val="24"/>
          <w:szCs w:val="24"/>
          <w:lang w:val="pt-BR"/>
        </w:rPr>
      </w:pPr>
      <w:r w:rsidRPr="007451C3">
        <w:rPr>
          <w:rFonts w:ascii="Times New Roman" w:hAnsi="Times New Roman" w:cs="Times New Roman"/>
          <w:sz w:val="24"/>
          <w:szCs w:val="24"/>
          <w:lang w:val="pt-BR"/>
        </w:rPr>
        <w:t>Para a definição das condições dos empréstimos, a</w:t>
      </w:r>
      <w:r w:rsidRPr="00A03390">
        <w:rPr>
          <w:rFonts w:ascii="Times New Roman" w:hAnsi="Times New Roman" w:cs="Times New Roman"/>
          <w:sz w:val="24"/>
          <w:szCs w:val="24"/>
          <w:lang w:val="pt-BR"/>
        </w:rPr>
        <w:t xml:space="preserve"> matriz de financiamento poderá </w:t>
      </w:r>
      <w:r>
        <w:rPr>
          <w:rFonts w:ascii="Times New Roman" w:hAnsi="Times New Roman" w:cs="Times New Roman"/>
          <w:sz w:val="24"/>
          <w:szCs w:val="24"/>
          <w:lang w:val="pt-BR"/>
        </w:rPr>
        <w:t xml:space="preserve">também </w:t>
      </w:r>
      <w:r w:rsidRPr="00A03390">
        <w:rPr>
          <w:rFonts w:ascii="Times New Roman" w:hAnsi="Times New Roman" w:cs="Times New Roman"/>
          <w:sz w:val="24"/>
          <w:szCs w:val="24"/>
          <w:lang w:val="pt-BR"/>
        </w:rPr>
        <w:t xml:space="preserve">considerar variáveis, tais como: </w:t>
      </w:r>
    </w:p>
    <w:p w14:paraId="01448018" w14:textId="77777777" w:rsidR="00427CAD" w:rsidRPr="00CA2760" w:rsidRDefault="00427CAD" w:rsidP="00427CAD">
      <w:pPr>
        <w:pStyle w:val="ListParagraph"/>
        <w:numPr>
          <w:ilvl w:val="0"/>
          <w:numId w:val="3"/>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Indicadores Econômicos e Sociais</w:t>
      </w:r>
    </w:p>
    <w:p w14:paraId="3BF2B771" w14:textId="77777777" w:rsidR="00427CAD" w:rsidRPr="00CA2760" w:rsidRDefault="00427CAD" w:rsidP="00427CAD">
      <w:pPr>
        <w:pStyle w:val="ListParagraph"/>
        <w:numPr>
          <w:ilvl w:val="0"/>
          <w:numId w:val="3"/>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A tipologia de obra a ser financiada</w:t>
      </w:r>
    </w:p>
    <w:p w14:paraId="69742FA8" w14:textId="77777777" w:rsidR="00427CAD" w:rsidRDefault="00427CAD" w:rsidP="00427CAD">
      <w:pPr>
        <w:autoSpaceDE w:val="0"/>
        <w:autoSpaceDN w:val="0"/>
        <w:adjustRightInd w:val="0"/>
        <w:spacing w:line="360" w:lineRule="auto"/>
        <w:rPr>
          <w:rFonts w:ascii="Times New Roman" w:hAnsi="Times New Roman" w:cs="Times New Roman"/>
          <w:sz w:val="24"/>
          <w:szCs w:val="24"/>
          <w:lang w:val="pt-BR"/>
        </w:rPr>
      </w:pPr>
      <w:r w:rsidRPr="00A03390">
        <w:rPr>
          <w:rFonts w:ascii="Times New Roman" w:hAnsi="Times New Roman" w:cs="Times New Roman"/>
          <w:sz w:val="24"/>
          <w:szCs w:val="24"/>
          <w:lang w:val="pt-BR"/>
        </w:rPr>
        <w:t xml:space="preserve">Entre os indicadores mais interessantes, são aqueles que analisaremos agora </w:t>
      </w:r>
      <w:r>
        <w:rPr>
          <w:rFonts w:ascii="Times New Roman" w:hAnsi="Times New Roman" w:cs="Times New Roman"/>
          <w:sz w:val="24"/>
          <w:szCs w:val="24"/>
          <w:lang w:val="pt-BR"/>
        </w:rPr>
        <w:t xml:space="preserve">e </w:t>
      </w:r>
      <w:r w:rsidRPr="00A03390">
        <w:rPr>
          <w:rFonts w:ascii="Times New Roman" w:hAnsi="Times New Roman" w:cs="Times New Roman"/>
          <w:sz w:val="24"/>
          <w:szCs w:val="24"/>
          <w:lang w:val="pt-BR"/>
        </w:rPr>
        <w:t xml:space="preserve">que forneceriam incentivos para: </w:t>
      </w:r>
    </w:p>
    <w:p w14:paraId="295541E2" w14:textId="77777777" w:rsidR="00427CAD" w:rsidRPr="00644DFC" w:rsidRDefault="00427CAD" w:rsidP="00427CAD">
      <w:pPr>
        <w:pStyle w:val="ListParagraph"/>
        <w:numPr>
          <w:ilvl w:val="0"/>
          <w:numId w:val="36"/>
        </w:numPr>
        <w:autoSpaceDE w:val="0"/>
        <w:autoSpaceDN w:val="0"/>
        <w:adjustRightInd w:val="0"/>
        <w:spacing w:line="360" w:lineRule="auto"/>
        <w:rPr>
          <w:rFonts w:ascii="Times New Roman" w:hAnsi="Times New Roman" w:cs="Times New Roman"/>
          <w:sz w:val="24"/>
          <w:szCs w:val="24"/>
          <w:lang w:val="pt-BR"/>
        </w:rPr>
      </w:pPr>
      <w:r w:rsidRPr="00644DFC">
        <w:rPr>
          <w:rFonts w:ascii="Times New Roman" w:hAnsi="Times New Roman" w:cs="Times New Roman"/>
          <w:sz w:val="24"/>
          <w:szCs w:val="24"/>
          <w:lang w:val="pt-BR"/>
        </w:rPr>
        <w:t>Melhora</w:t>
      </w:r>
      <w:r>
        <w:rPr>
          <w:rFonts w:ascii="Times New Roman" w:hAnsi="Times New Roman" w:cs="Times New Roman"/>
          <w:sz w:val="24"/>
          <w:szCs w:val="24"/>
          <w:lang w:val="pt-BR"/>
        </w:rPr>
        <w:t>mentos</w:t>
      </w:r>
      <w:r w:rsidRPr="00644DFC">
        <w:rPr>
          <w:rFonts w:ascii="Times New Roman" w:hAnsi="Times New Roman" w:cs="Times New Roman"/>
          <w:sz w:val="24"/>
          <w:szCs w:val="24"/>
          <w:lang w:val="pt-BR"/>
        </w:rPr>
        <w:t xml:space="preserve"> </w:t>
      </w:r>
      <w:r>
        <w:rPr>
          <w:rFonts w:ascii="Times New Roman" w:hAnsi="Times New Roman" w:cs="Times New Roman"/>
          <w:sz w:val="24"/>
          <w:szCs w:val="24"/>
          <w:lang w:val="pt-BR"/>
        </w:rPr>
        <w:t>n</w:t>
      </w:r>
      <w:r w:rsidRPr="00644DFC">
        <w:rPr>
          <w:rFonts w:ascii="Times New Roman" w:hAnsi="Times New Roman" w:cs="Times New Roman"/>
          <w:sz w:val="24"/>
          <w:szCs w:val="24"/>
          <w:lang w:val="pt-BR"/>
        </w:rPr>
        <w:t>o desempenho financeiro municipal tais como indicadores de esforço</w:t>
      </w:r>
      <w:r>
        <w:rPr>
          <w:rFonts w:ascii="Times New Roman" w:hAnsi="Times New Roman" w:cs="Times New Roman"/>
          <w:sz w:val="24"/>
          <w:szCs w:val="24"/>
          <w:lang w:val="pt-BR"/>
        </w:rPr>
        <w:t>s</w:t>
      </w:r>
      <w:r w:rsidRPr="00644DFC">
        <w:rPr>
          <w:rFonts w:ascii="Times New Roman" w:hAnsi="Times New Roman" w:cs="Times New Roman"/>
          <w:sz w:val="24"/>
          <w:szCs w:val="24"/>
          <w:lang w:val="pt-BR"/>
        </w:rPr>
        <w:t xml:space="preserve"> fisca</w:t>
      </w:r>
      <w:r>
        <w:rPr>
          <w:rFonts w:ascii="Times New Roman" w:hAnsi="Times New Roman" w:cs="Times New Roman"/>
          <w:sz w:val="24"/>
          <w:szCs w:val="24"/>
          <w:lang w:val="pt-BR"/>
        </w:rPr>
        <w:t>is</w:t>
      </w:r>
      <w:r w:rsidRPr="00644DFC">
        <w:rPr>
          <w:rFonts w:ascii="Times New Roman" w:hAnsi="Times New Roman" w:cs="Times New Roman"/>
          <w:sz w:val="24"/>
          <w:szCs w:val="24"/>
          <w:lang w:val="pt-BR"/>
        </w:rPr>
        <w:t xml:space="preserve"> (e.g., receitas próprias/PIB per capita) e capacidade de endividamento.</w:t>
      </w:r>
    </w:p>
    <w:p w14:paraId="46CD4CA0" w14:textId="77777777" w:rsidR="00427CAD" w:rsidRPr="00CA2760" w:rsidRDefault="00427CAD" w:rsidP="00427CAD">
      <w:pPr>
        <w:pStyle w:val="ListParagraph"/>
        <w:numPr>
          <w:ilvl w:val="0"/>
          <w:numId w:val="3"/>
        </w:num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Utiliza</w:t>
      </w:r>
      <w:r>
        <w:rPr>
          <w:rFonts w:ascii="Times New Roman" w:hAnsi="Times New Roman" w:cs="Times New Roman"/>
          <w:sz w:val="24"/>
          <w:szCs w:val="24"/>
          <w:lang w:val="pt-BR"/>
        </w:rPr>
        <w:t>ção</w:t>
      </w:r>
      <w:r w:rsidRPr="00CA2760">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de </w:t>
      </w:r>
      <w:r w:rsidRPr="00CA2760">
        <w:rPr>
          <w:rFonts w:ascii="Times New Roman" w:hAnsi="Times New Roman" w:cs="Times New Roman"/>
          <w:sz w:val="24"/>
          <w:szCs w:val="24"/>
          <w:lang w:val="pt-BR"/>
        </w:rPr>
        <w:t>um processo de planejamento mais integrado nos projetos de infraestrutura municipal.</w:t>
      </w:r>
    </w:p>
    <w:p w14:paraId="4D016194" w14:textId="77777777" w:rsidR="00427CAD" w:rsidRPr="00CA2760" w:rsidRDefault="00427CAD" w:rsidP="00427CAD">
      <w:pPr>
        <w:pStyle w:val="ListParagraph"/>
        <w:numPr>
          <w:ilvl w:val="0"/>
          <w:numId w:val="3"/>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Empreg</w:t>
      </w:r>
      <w:r>
        <w:rPr>
          <w:rFonts w:ascii="Times New Roman" w:hAnsi="Times New Roman" w:cs="Times New Roman"/>
          <w:sz w:val="24"/>
          <w:szCs w:val="24"/>
          <w:lang w:val="pt-BR"/>
        </w:rPr>
        <w:t>o</w:t>
      </w:r>
      <w:r w:rsidRPr="00CA2760">
        <w:rPr>
          <w:rFonts w:ascii="Times New Roman" w:hAnsi="Times New Roman" w:cs="Times New Roman"/>
          <w:sz w:val="24"/>
          <w:szCs w:val="24"/>
          <w:lang w:val="pt-BR"/>
        </w:rPr>
        <w:t xml:space="preserve"> </w:t>
      </w:r>
      <w:r>
        <w:rPr>
          <w:rFonts w:ascii="Times New Roman" w:hAnsi="Times New Roman" w:cs="Times New Roman"/>
          <w:sz w:val="24"/>
          <w:szCs w:val="24"/>
          <w:lang w:val="pt-BR"/>
        </w:rPr>
        <w:t>d</w:t>
      </w:r>
      <w:r w:rsidRPr="00CA2760">
        <w:rPr>
          <w:rFonts w:ascii="Times New Roman" w:hAnsi="Times New Roman" w:cs="Times New Roman"/>
          <w:sz w:val="24"/>
          <w:szCs w:val="24"/>
          <w:lang w:val="pt-BR"/>
        </w:rPr>
        <w:t>os instrumentos de captura de valor permitidos pelo Estatuto da Cidade.</w:t>
      </w:r>
    </w:p>
    <w:p w14:paraId="4909413C" w14:textId="77777777" w:rsidR="00427CAD" w:rsidRPr="00CA2760" w:rsidRDefault="00427CAD" w:rsidP="00427CAD">
      <w:pPr>
        <w:spacing w:before="240" w:after="0" w:line="360" w:lineRule="auto"/>
        <w:rPr>
          <w:rFonts w:ascii="Times New Roman" w:hAnsi="Times New Roman" w:cs="Times New Roman"/>
          <w:b/>
          <w:sz w:val="24"/>
          <w:szCs w:val="24"/>
          <w:lang w:val="pt-BR"/>
        </w:rPr>
      </w:pPr>
      <w:r w:rsidRPr="00CA2760">
        <w:rPr>
          <w:rFonts w:ascii="Times New Roman" w:hAnsi="Times New Roman" w:cs="Times New Roman"/>
          <w:b/>
          <w:sz w:val="24"/>
          <w:szCs w:val="24"/>
          <w:lang w:val="pt-BR"/>
        </w:rPr>
        <w:t>Incentivos para melhora</w:t>
      </w:r>
      <w:r>
        <w:rPr>
          <w:rFonts w:ascii="Times New Roman" w:hAnsi="Times New Roman" w:cs="Times New Roman"/>
          <w:b/>
          <w:sz w:val="24"/>
          <w:szCs w:val="24"/>
          <w:lang w:val="pt-BR"/>
        </w:rPr>
        <w:t>mentos</w:t>
      </w:r>
      <w:r w:rsidRPr="00CA2760">
        <w:rPr>
          <w:rFonts w:ascii="Times New Roman" w:hAnsi="Times New Roman" w:cs="Times New Roman"/>
          <w:b/>
          <w:sz w:val="24"/>
          <w:szCs w:val="24"/>
          <w:lang w:val="pt-BR"/>
        </w:rPr>
        <w:t xml:space="preserve"> </w:t>
      </w:r>
      <w:r>
        <w:rPr>
          <w:rFonts w:ascii="Times New Roman" w:hAnsi="Times New Roman" w:cs="Times New Roman"/>
          <w:b/>
          <w:sz w:val="24"/>
          <w:szCs w:val="24"/>
          <w:lang w:val="pt-BR"/>
        </w:rPr>
        <w:t>n</w:t>
      </w:r>
      <w:r w:rsidRPr="00CA2760">
        <w:rPr>
          <w:rFonts w:ascii="Times New Roman" w:hAnsi="Times New Roman" w:cs="Times New Roman"/>
          <w:b/>
          <w:sz w:val="24"/>
          <w:szCs w:val="24"/>
          <w:lang w:val="pt-BR"/>
        </w:rPr>
        <w:t>o desempenho financeiro dos municípios</w:t>
      </w:r>
    </w:p>
    <w:p w14:paraId="2B313A6C" w14:textId="02433C05" w:rsidR="00595CB8" w:rsidRDefault="00427CAD" w:rsidP="000325ED">
      <w:pPr>
        <w:spacing w:before="240" w:line="360" w:lineRule="auto"/>
        <w:rPr>
          <w:rFonts w:ascii="Times New Roman" w:hAnsi="Times New Roman" w:cs="Times New Roman"/>
          <w:b/>
          <w:sz w:val="24"/>
          <w:szCs w:val="24"/>
          <w:lang w:val="pt-BR"/>
        </w:rPr>
      </w:pPr>
      <w:r w:rsidRPr="00CA2760">
        <w:rPr>
          <w:rFonts w:ascii="Times New Roman" w:hAnsi="Times New Roman" w:cs="Times New Roman"/>
          <w:sz w:val="24"/>
          <w:szCs w:val="24"/>
          <w:lang w:val="pt-BR"/>
        </w:rPr>
        <w:t xml:space="preserve">No mercado privado de crédito municipal nos EUA e Europa, as condições dos créditos dependem do desempenho financeiro do município.  No caso dos EUA, a taxa de juros dos títulos municipais seria menor e com </w:t>
      </w:r>
      <w:r>
        <w:rPr>
          <w:rFonts w:ascii="Times New Roman" w:hAnsi="Times New Roman" w:cs="Times New Roman"/>
          <w:sz w:val="24"/>
          <w:szCs w:val="24"/>
          <w:lang w:val="pt-BR"/>
        </w:rPr>
        <w:t xml:space="preserve">maior </w:t>
      </w:r>
      <w:r w:rsidRPr="00CA2760">
        <w:rPr>
          <w:rFonts w:ascii="Times New Roman" w:hAnsi="Times New Roman" w:cs="Times New Roman"/>
          <w:sz w:val="24"/>
          <w:szCs w:val="24"/>
          <w:lang w:val="pt-BR"/>
        </w:rPr>
        <w:t xml:space="preserve">prazo para municípios que possuem </w:t>
      </w:r>
      <w:r>
        <w:rPr>
          <w:rFonts w:ascii="Times New Roman" w:hAnsi="Times New Roman" w:cs="Times New Roman"/>
          <w:sz w:val="24"/>
          <w:szCs w:val="24"/>
          <w:lang w:val="pt-BR"/>
        </w:rPr>
        <w:t>os</w:t>
      </w:r>
      <w:r w:rsidRPr="00CA2760">
        <w:rPr>
          <w:rFonts w:ascii="Times New Roman" w:hAnsi="Times New Roman" w:cs="Times New Roman"/>
          <w:sz w:val="24"/>
          <w:szCs w:val="24"/>
          <w:lang w:val="pt-BR"/>
        </w:rPr>
        <w:t xml:space="preserve"> melhores </w:t>
      </w:r>
      <w:r w:rsidRPr="003C2B7A">
        <w:rPr>
          <w:rFonts w:ascii="Times New Roman" w:hAnsi="Times New Roman" w:cs="Times New Roman"/>
          <w:i/>
          <w:sz w:val="24"/>
          <w:szCs w:val="24"/>
          <w:lang w:val="pt-BR"/>
        </w:rPr>
        <w:t xml:space="preserve">ratings </w:t>
      </w:r>
      <w:r w:rsidRPr="00CA2760">
        <w:rPr>
          <w:rFonts w:ascii="Times New Roman" w:hAnsi="Times New Roman" w:cs="Times New Roman"/>
          <w:sz w:val="24"/>
          <w:szCs w:val="24"/>
          <w:lang w:val="pt-BR"/>
        </w:rPr>
        <w:t xml:space="preserve">das agências </w:t>
      </w:r>
      <w:r>
        <w:rPr>
          <w:rFonts w:ascii="Times New Roman" w:hAnsi="Times New Roman" w:cs="Times New Roman"/>
          <w:sz w:val="24"/>
          <w:szCs w:val="24"/>
          <w:lang w:val="pt-BR"/>
        </w:rPr>
        <w:t>classificadoras</w:t>
      </w:r>
      <w:r w:rsidRPr="00CA2760">
        <w:rPr>
          <w:rFonts w:ascii="Times New Roman" w:hAnsi="Times New Roman" w:cs="Times New Roman"/>
          <w:sz w:val="24"/>
          <w:szCs w:val="24"/>
          <w:lang w:val="pt-BR"/>
        </w:rPr>
        <w:t xml:space="preserve"> (e.g., Moody’s, S &amp; P e Fitch).  Por isso mesmo, os municípios procuram melhorar ou pelo menos manter suas avaliações.  Assim sendo, </w:t>
      </w:r>
      <w:r>
        <w:rPr>
          <w:rFonts w:ascii="Times New Roman" w:hAnsi="Times New Roman" w:cs="Times New Roman"/>
          <w:sz w:val="24"/>
          <w:szCs w:val="24"/>
          <w:lang w:val="pt-BR"/>
        </w:rPr>
        <w:t>no</w:t>
      </w:r>
      <w:r w:rsidRPr="007D7304">
        <w:rPr>
          <w:rFonts w:ascii="Times New Roman" w:hAnsi="Times New Roman" w:cs="Times New Roman"/>
          <w:sz w:val="24"/>
          <w:szCs w:val="24"/>
          <w:lang w:val="pt-BR"/>
        </w:rPr>
        <w:t xml:space="preserve"> Paraná III</w:t>
      </w:r>
      <w:r>
        <w:rPr>
          <w:rFonts w:ascii="Times New Roman" w:hAnsi="Times New Roman" w:cs="Times New Roman"/>
          <w:sz w:val="24"/>
          <w:szCs w:val="24"/>
          <w:lang w:val="pt-BR"/>
        </w:rPr>
        <w:t xml:space="preserve">, o SFM pretende </w:t>
      </w:r>
      <w:r w:rsidRPr="007D7304">
        <w:rPr>
          <w:rFonts w:ascii="Times New Roman" w:hAnsi="Times New Roman" w:cs="Times New Roman"/>
          <w:sz w:val="24"/>
          <w:szCs w:val="24"/>
          <w:lang w:val="pt-BR"/>
        </w:rPr>
        <w:t>classifica</w:t>
      </w:r>
      <w:r>
        <w:rPr>
          <w:rFonts w:ascii="Times New Roman" w:hAnsi="Times New Roman" w:cs="Times New Roman"/>
          <w:sz w:val="24"/>
          <w:szCs w:val="24"/>
          <w:lang w:val="pt-BR"/>
        </w:rPr>
        <w:t>r</w:t>
      </w:r>
      <w:r w:rsidRPr="007D7304">
        <w:rPr>
          <w:rFonts w:ascii="Times New Roman" w:hAnsi="Times New Roman" w:cs="Times New Roman"/>
          <w:sz w:val="24"/>
          <w:szCs w:val="24"/>
          <w:lang w:val="pt-BR"/>
        </w:rPr>
        <w:t xml:space="preserve"> os municípios com base em seu desempenho financeiro (A, B, etc.). Municípios com classificações mais favoráveis receberão melhores termos do que um com classificação C (por exemplo, menor interesse ou prazo mais longo).  </w:t>
      </w:r>
      <w:r>
        <w:rPr>
          <w:rFonts w:ascii="Times New Roman" w:hAnsi="Times New Roman" w:cs="Times New Roman"/>
          <w:sz w:val="24"/>
          <w:szCs w:val="24"/>
          <w:lang w:val="pt-BR"/>
        </w:rPr>
        <w:t>D</w:t>
      </w:r>
      <w:r w:rsidRPr="00CA2760">
        <w:rPr>
          <w:rFonts w:ascii="Times New Roman" w:hAnsi="Times New Roman" w:cs="Times New Roman"/>
          <w:sz w:val="24"/>
          <w:szCs w:val="24"/>
          <w:lang w:val="pt-BR"/>
        </w:rPr>
        <w:t>esta maneira, o projeto poderia oferecer incentivos importantes para a manutenção de disciplina fiscal nos municípios.</w:t>
      </w:r>
      <w:r>
        <w:rPr>
          <w:rFonts w:ascii="Times New Roman" w:hAnsi="Times New Roman" w:cs="Times New Roman"/>
          <w:sz w:val="24"/>
          <w:szCs w:val="24"/>
          <w:lang w:val="pt-BR"/>
        </w:rPr>
        <w:t xml:space="preserve"> </w:t>
      </w:r>
    </w:p>
    <w:p w14:paraId="5A063C7E" w14:textId="585AB727" w:rsidR="00427CAD" w:rsidRDefault="00427CAD" w:rsidP="00427CAD">
      <w:pPr>
        <w:spacing w:before="240" w:line="360" w:lineRule="auto"/>
        <w:rPr>
          <w:rFonts w:ascii="Times New Roman" w:hAnsi="Times New Roman" w:cs="Times New Roman"/>
          <w:b/>
          <w:sz w:val="24"/>
          <w:szCs w:val="24"/>
          <w:lang w:val="pt-BR"/>
        </w:rPr>
      </w:pPr>
      <w:r w:rsidRPr="00CA2760">
        <w:rPr>
          <w:rFonts w:ascii="Times New Roman" w:hAnsi="Times New Roman" w:cs="Times New Roman"/>
          <w:b/>
          <w:sz w:val="24"/>
          <w:szCs w:val="24"/>
          <w:lang w:val="pt-BR"/>
        </w:rPr>
        <w:lastRenderedPageBreak/>
        <w:t xml:space="preserve">Incentivos para </w:t>
      </w:r>
      <w:r>
        <w:rPr>
          <w:rFonts w:ascii="Times New Roman" w:hAnsi="Times New Roman" w:cs="Times New Roman"/>
          <w:b/>
          <w:sz w:val="24"/>
          <w:szCs w:val="24"/>
          <w:lang w:val="pt-BR"/>
        </w:rPr>
        <w:t xml:space="preserve">utilização de </w:t>
      </w:r>
      <w:r w:rsidRPr="00CA2760">
        <w:rPr>
          <w:rFonts w:ascii="Times New Roman" w:hAnsi="Times New Roman" w:cs="Times New Roman"/>
          <w:b/>
          <w:sz w:val="24"/>
          <w:szCs w:val="24"/>
          <w:lang w:val="pt-BR"/>
        </w:rPr>
        <w:t xml:space="preserve">um processo de planejamento mais integrado </w:t>
      </w:r>
      <w:r>
        <w:rPr>
          <w:rFonts w:ascii="Times New Roman" w:hAnsi="Times New Roman" w:cs="Times New Roman"/>
          <w:b/>
          <w:sz w:val="24"/>
          <w:szCs w:val="24"/>
          <w:lang w:val="pt-BR"/>
        </w:rPr>
        <w:t>aos</w:t>
      </w:r>
      <w:r w:rsidRPr="00CA2760">
        <w:rPr>
          <w:rFonts w:ascii="Times New Roman" w:hAnsi="Times New Roman" w:cs="Times New Roman"/>
          <w:b/>
          <w:sz w:val="24"/>
          <w:szCs w:val="24"/>
          <w:lang w:val="pt-BR"/>
        </w:rPr>
        <w:t xml:space="preserve"> projetos de infraestrutura</w:t>
      </w:r>
    </w:p>
    <w:p w14:paraId="3C4B9182" w14:textId="77777777" w:rsidR="00427CAD" w:rsidRPr="00CA2760" w:rsidRDefault="00427CAD" w:rsidP="00427CAD">
      <w:pPr>
        <w:spacing w:before="240" w:after="240" w:line="360" w:lineRule="auto"/>
        <w:rPr>
          <w:rFonts w:ascii="Times New Roman" w:hAnsi="Times New Roman" w:cs="Times New Roman"/>
          <w:sz w:val="24"/>
          <w:szCs w:val="24"/>
          <w:lang w:val="pt-BR"/>
        </w:rPr>
      </w:pPr>
      <w:r>
        <w:rPr>
          <w:rFonts w:ascii="Times New Roman" w:hAnsi="Times New Roman" w:cs="Times New Roman"/>
          <w:sz w:val="24"/>
          <w:szCs w:val="24"/>
          <w:lang w:val="pt-BR"/>
        </w:rPr>
        <w:t>M</w:t>
      </w:r>
      <w:r w:rsidRPr="001E44A2">
        <w:rPr>
          <w:rFonts w:ascii="Times New Roman" w:hAnsi="Times New Roman" w:cs="Times New Roman"/>
          <w:sz w:val="24"/>
          <w:szCs w:val="24"/>
          <w:lang w:val="pt-BR"/>
        </w:rPr>
        <w:t>uitos especialistas defendem</w:t>
      </w:r>
      <w:r>
        <w:rPr>
          <w:rFonts w:ascii="Times New Roman" w:hAnsi="Times New Roman" w:cs="Times New Roman"/>
          <w:sz w:val="24"/>
          <w:szCs w:val="24"/>
          <w:lang w:val="pt-BR"/>
        </w:rPr>
        <w:t xml:space="preserve"> </w:t>
      </w:r>
      <w:r w:rsidRPr="001E44A2">
        <w:rPr>
          <w:rFonts w:ascii="Times New Roman" w:hAnsi="Times New Roman" w:cs="Times New Roman"/>
          <w:sz w:val="24"/>
          <w:szCs w:val="24"/>
          <w:lang w:val="pt-BR"/>
        </w:rPr>
        <w:t>um planejamento de investimento</w:t>
      </w:r>
      <w:r>
        <w:rPr>
          <w:rFonts w:ascii="Times New Roman" w:hAnsi="Times New Roman" w:cs="Times New Roman"/>
          <w:sz w:val="24"/>
          <w:szCs w:val="24"/>
          <w:lang w:val="pt-BR"/>
        </w:rPr>
        <w:t xml:space="preserve"> </w:t>
      </w:r>
      <w:r w:rsidRPr="001E44A2">
        <w:rPr>
          <w:rFonts w:ascii="Times New Roman" w:hAnsi="Times New Roman" w:cs="Times New Roman"/>
          <w:sz w:val="24"/>
          <w:szCs w:val="24"/>
          <w:lang w:val="pt-BR"/>
        </w:rPr>
        <w:t xml:space="preserve">municipal mais sistemático e integrado, incluindo </w:t>
      </w:r>
      <w:r>
        <w:rPr>
          <w:rFonts w:ascii="Times New Roman" w:hAnsi="Times New Roman" w:cs="Times New Roman"/>
          <w:sz w:val="24"/>
          <w:szCs w:val="24"/>
          <w:lang w:val="pt-BR"/>
        </w:rPr>
        <w:t xml:space="preserve">Garson (2009), </w:t>
      </w:r>
      <w:r w:rsidRPr="001E44A2">
        <w:rPr>
          <w:rFonts w:ascii="Times New Roman" w:hAnsi="Times New Roman" w:cs="Times New Roman"/>
          <w:sz w:val="24"/>
          <w:szCs w:val="24"/>
          <w:lang w:val="pt-BR"/>
        </w:rPr>
        <w:t>Vogt (2007)</w:t>
      </w:r>
      <w:r>
        <w:rPr>
          <w:rFonts w:ascii="Times New Roman" w:hAnsi="Times New Roman" w:cs="Times New Roman"/>
          <w:sz w:val="24"/>
          <w:szCs w:val="24"/>
          <w:lang w:val="pt-BR"/>
        </w:rPr>
        <w:t>, Elmer (2005)</w:t>
      </w:r>
      <w:r w:rsidRPr="001E44A2">
        <w:rPr>
          <w:rFonts w:ascii="Times New Roman" w:hAnsi="Times New Roman" w:cs="Times New Roman"/>
          <w:sz w:val="24"/>
          <w:szCs w:val="24"/>
          <w:lang w:val="pt-BR"/>
        </w:rPr>
        <w:t xml:space="preserve"> e Kitchen (2004).  </w:t>
      </w:r>
      <w:r>
        <w:rPr>
          <w:rFonts w:ascii="Times New Roman" w:hAnsi="Times New Roman" w:cs="Times New Roman"/>
          <w:sz w:val="24"/>
          <w:szCs w:val="24"/>
          <w:lang w:val="pt-BR"/>
        </w:rPr>
        <w:t xml:space="preserve">Uma </w:t>
      </w:r>
      <w:r w:rsidRPr="00CA2760">
        <w:rPr>
          <w:rFonts w:ascii="Times New Roman" w:hAnsi="Times New Roman" w:cs="Times New Roman"/>
          <w:sz w:val="24"/>
          <w:szCs w:val="24"/>
          <w:lang w:val="pt-BR"/>
        </w:rPr>
        <w:t xml:space="preserve">proposta </w:t>
      </w:r>
      <w:r>
        <w:rPr>
          <w:rFonts w:ascii="Times New Roman" w:hAnsi="Times New Roman" w:cs="Times New Roman"/>
          <w:sz w:val="24"/>
          <w:szCs w:val="24"/>
          <w:lang w:val="pt-BR"/>
        </w:rPr>
        <w:t>seria</w:t>
      </w:r>
      <w:r w:rsidRPr="00CA2760">
        <w:rPr>
          <w:rFonts w:ascii="Times New Roman" w:hAnsi="Times New Roman" w:cs="Times New Roman"/>
          <w:sz w:val="24"/>
          <w:szCs w:val="24"/>
          <w:lang w:val="pt-BR"/>
        </w:rPr>
        <w:t xml:space="preserve"> de incentivar </w:t>
      </w:r>
      <w:r>
        <w:rPr>
          <w:rFonts w:ascii="Times New Roman" w:hAnsi="Times New Roman" w:cs="Times New Roman"/>
          <w:sz w:val="24"/>
          <w:szCs w:val="24"/>
          <w:lang w:val="pt-BR"/>
        </w:rPr>
        <w:t>a utilização de um</w:t>
      </w:r>
      <w:r w:rsidRPr="00CA2760">
        <w:rPr>
          <w:rFonts w:ascii="Times New Roman" w:hAnsi="Times New Roman" w:cs="Times New Roman"/>
          <w:sz w:val="24"/>
          <w:szCs w:val="24"/>
          <w:lang w:val="pt-BR"/>
        </w:rPr>
        <w:t xml:space="preserve"> processo de planejamento mais integrado </w:t>
      </w:r>
      <w:r>
        <w:rPr>
          <w:rFonts w:ascii="Times New Roman" w:hAnsi="Times New Roman" w:cs="Times New Roman"/>
          <w:sz w:val="24"/>
          <w:szCs w:val="24"/>
          <w:lang w:val="pt-BR"/>
        </w:rPr>
        <w:t>aos</w:t>
      </w:r>
      <w:r w:rsidRPr="00CA2760">
        <w:rPr>
          <w:rFonts w:ascii="Times New Roman" w:hAnsi="Times New Roman" w:cs="Times New Roman"/>
          <w:sz w:val="24"/>
          <w:szCs w:val="24"/>
          <w:lang w:val="pt-BR"/>
        </w:rPr>
        <w:t xml:space="preserve"> projetos de infraestrutura nos municípios</w:t>
      </w:r>
      <w:r>
        <w:rPr>
          <w:rFonts w:ascii="Times New Roman" w:hAnsi="Times New Roman" w:cs="Times New Roman"/>
          <w:sz w:val="24"/>
          <w:szCs w:val="24"/>
          <w:lang w:val="pt-BR"/>
        </w:rPr>
        <w:t>, gerando uma melhoria na eficiência destes investimentos.</w:t>
      </w:r>
      <w:r w:rsidRPr="00CA2760">
        <w:rPr>
          <w:rFonts w:ascii="Times New Roman" w:hAnsi="Times New Roman" w:cs="Times New Roman"/>
          <w:sz w:val="24"/>
          <w:szCs w:val="24"/>
          <w:lang w:val="pt-BR"/>
        </w:rPr>
        <w:t xml:space="preserve"> </w:t>
      </w:r>
      <w:r w:rsidRPr="00CA2760">
        <w:rPr>
          <w:rFonts w:ascii="Times New Roman" w:hAnsi="Times New Roman" w:cs="Times New Roman"/>
          <w:i/>
          <w:sz w:val="24"/>
          <w:szCs w:val="24"/>
          <w:lang w:val="pt-BR"/>
        </w:rPr>
        <w:t>Capital budgeting</w:t>
      </w:r>
      <w:r w:rsidRPr="00CA2760">
        <w:rPr>
          <w:rFonts w:ascii="Times New Roman" w:hAnsi="Times New Roman" w:cs="Times New Roman"/>
          <w:sz w:val="24"/>
          <w:szCs w:val="24"/>
          <w:lang w:val="pt-BR"/>
        </w:rPr>
        <w:t xml:space="preserve"> (como utilizado em muitos municípios nos países desenvolvidos) poderia ser </w:t>
      </w:r>
      <w:r>
        <w:rPr>
          <w:rFonts w:ascii="Times New Roman" w:hAnsi="Times New Roman" w:cs="Times New Roman"/>
          <w:sz w:val="24"/>
          <w:szCs w:val="24"/>
          <w:lang w:val="pt-BR"/>
        </w:rPr>
        <w:t>utilizado como modelo com esse intuito</w:t>
      </w:r>
      <w:r w:rsidRPr="00CA2760">
        <w:rPr>
          <w:rFonts w:ascii="Times New Roman" w:hAnsi="Times New Roman" w:cs="Times New Roman"/>
          <w:sz w:val="24"/>
          <w:szCs w:val="24"/>
          <w:lang w:val="pt-BR"/>
        </w:rPr>
        <w:t>.  O</w:t>
      </w:r>
      <w:r w:rsidRPr="00CA2760">
        <w:rPr>
          <w:rFonts w:ascii="Times New Roman" w:hAnsi="Times New Roman" w:cs="Times New Roman"/>
          <w:i/>
          <w:sz w:val="24"/>
          <w:szCs w:val="24"/>
          <w:lang w:val="pt-BR"/>
        </w:rPr>
        <w:t xml:space="preserve"> capital budget</w:t>
      </w:r>
      <w:r>
        <w:rPr>
          <w:rFonts w:ascii="Times New Roman" w:hAnsi="Times New Roman" w:cs="Times New Roman"/>
          <w:i/>
          <w:sz w:val="24"/>
          <w:szCs w:val="24"/>
          <w:lang w:val="pt-BR"/>
        </w:rPr>
        <w:t>ing</w:t>
      </w:r>
      <w:r w:rsidRPr="00CA2760">
        <w:rPr>
          <w:rFonts w:ascii="Times New Roman" w:hAnsi="Times New Roman" w:cs="Times New Roman"/>
          <w:sz w:val="24"/>
          <w:szCs w:val="24"/>
          <w:lang w:val="pt-BR"/>
        </w:rPr>
        <w:t xml:space="preserve"> (daqui por diante, Programa de Investimento Municipal) </w:t>
      </w:r>
      <w:r w:rsidRPr="00332E0B">
        <w:rPr>
          <w:rFonts w:ascii="Times New Roman" w:hAnsi="Times New Roman" w:cs="Times New Roman"/>
          <w:sz w:val="24"/>
          <w:szCs w:val="24"/>
          <w:lang w:val="pt-BR"/>
        </w:rPr>
        <w:t xml:space="preserve">transforma o Plano Diretor (que é mais abstrato e de longo prazo) em um programa de investimento concreto a médio prazo (por exemplo, de quatro anos).  </w:t>
      </w:r>
    </w:p>
    <w:p w14:paraId="3A19E9A4" w14:textId="77777777" w:rsidR="00427CAD" w:rsidRDefault="00427CAD" w:rsidP="00427CAD">
      <w:pPr>
        <w:autoSpaceDE w:val="0"/>
        <w:autoSpaceDN w:val="0"/>
        <w:adjustRightInd w:val="0"/>
        <w:spacing w:after="0" w:line="360" w:lineRule="auto"/>
        <w:rPr>
          <w:rFonts w:ascii="Times New Roman" w:hAnsi="Times New Roman" w:cs="Times New Roman"/>
          <w:sz w:val="24"/>
          <w:szCs w:val="24"/>
          <w:lang w:val="pt-BR"/>
        </w:rPr>
      </w:pPr>
      <w:r w:rsidRPr="003A09DE">
        <w:rPr>
          <w:rFonts w:ascii="Times New Roman" w:hAnsi="Times New Roman" w:cs="Times New Roman"/>
          <w:sz w:val="24"/>
          <w:szCs w:val="24"/>
          <w:lang w:val="pt-BR"/>
        </w:rPr>
        <w:t xml:space="preserve">O SFM poderia financiar </w:t>
      </w:r>
      <w:r>
        <w:rPr>
          <w:rFonts w:ascii="Times New Roman" w:hAnsi="Times New Roman" w:cs="Times New Roman"/>
          <w:sz w:val="24"/>
          <w:szCs w:val="24"/>
          <w:lang w:val="pt-BR"/>
        </w:rPr>
        <w:t>uma parcela d</w:t>
      </w:r>
      <w:r w:rsidRPr="003A09DE">
        <w:rPr>
          <w:rFonts w:ascii="Times New Roman" w:hAnsi="Times New Roman" w:cs="Times New Roman"/>
          <w:sz w:val="24"/>
          <w:szCs w:val="24"/>
          <w:lang w:val="pt-BR"/>
        </w:rPr>
        <w:t xml:space="preserve">o Programa de Investimento Municipal em vez de projetos individuais nos municípios.  A matriz de financiamento destes programas poderia incluir incentivos para diferentes elementos das políticas de desenvolvimento urbano do estado (e.g., </w:t>
      </w:r>
      <w:r w:rsidRPr="001A2B95">
        <w:rPr>
          <w:rFonts w:ascii="Times New Roman" w:hAnsi="Times New Roman" w:cs="Times New Roman"/>
          <w:sz w:val="24"/>
          <w:szCs w:val="24"/>
          <w:lang w:val="pt-BR"/>
        </w:rPr>
        <w:t>uso dos instrumentos de captura de valor, melhoria de bairros, etc.).</w:t>
      </w:r>
      <w:r w:rsidRPr="00B46CC2">
        <w:rPr>
          <w:rFonts w:ascii="Times New Roman" w:hAnsi="Times New Roman" w:cs="Times New Roman"/>
          <w:sz w:val="24"/>
          <w:szCs w:val="24"/>
          <w:lang w:val="pt-BR"/>
        </w:rPr>
        <w:t xml:space="preserve">  Um dos </w:t>
      </w:r>
      <w:r w:rsidRPr="00A426E1">
        <w:rPr>
          <w:rFonts w:ascii="Times New Roman" w:hAnsi="Times New Roman" w:cs="Times New Roman"/>
          <w:sz w:val="24"/>
          <w:szCs w:val="24"/>
          <w:lang w:val="pt-BR"/>
        </w:rPr>
        <w:t xml:space="preserve">incentivos para o município seria ter um compromisso de financiamento </w:t>
      </w:r>
      <w:r w:rsidRPr="00F40E6F">
        <w:rPr>
          <w:rFonts w:ascii="Times New Roman" w:hAnsi="Times New Roman" w:cs="Times New Roman"/>
          <w:sz w:val="24"/>
          <w:szCs w:val="24"/>
          <w:lang w:val="pt-BR"/>
        </w:rPr>
        <w:t>a</w:t>
      </w:r>
      <w:r w:rsidRPr="000C3BEC">
        <w:rPr>
          <w:rFonts w:ascii="Times New Roman" w:hAnsi="Times New Roman" w:cs="Times New Roman"/>
          <w:sz w:val="24"/>
          <w:szCs w:val="24"/>
          <w:lang w:val="pt-BR"/>
        </w:rPr>
        <w:t xml:space="preserve"> longo prazo por parte do SFM </w:t>
      </w:r>
      <w:r w:rsidRPr="007451C3">
        <w:rPr>
          <w:rFonts w:ascii="Times New Roman" w:hAnsi="Times New Roman" w:cs="Times New Roman"/>
          <w:sz w:val="24"/>
          <w:szCs w:val="24"/>
          <w:lang w:val="pt-BR"/>
        </w:rPr>
        <w:t xml:space="preserve">para todos os </w:t>
      </w:r>
      <w:r w:rsidRPr="00332E0B">
        <w:rPr>
          <w:rFonts w:ascii="Times New Roman" w:hAnsi="Times New Roman" w:cs="Times New Roman"/>
          <w:sz w:val="24"/>
          <w:szCs w:val="24"/>
          <w:lang w:val="pt-BR"/>
        </w:rPr>
        <w:t>projetos incluídos no Plano de Investimento Municipal, desde que continuem a atender aos indicadores de desempenho fiscal incluídos no plano.  O não</w:t>
      </w:r>
      <w:r w:rsidRPr="003A09DE">
        <w:rPr>
          <w:rFonts w:ascii="Times New Roman" w:hAnsi="Times New Roman" w:cs="Times New Roman"/>
          <w:sz w:val="24"/>
          <w:szCs w:val="24"/>
          <w:lang w:val="pt-BR"/>
        </w:rPr>
        <w:t xml:space="preserve"> cumprimento dos indicadores de desempenho interromperia o financiamento em projetos que não foram iniciados</w:t>
      </w:r>
      <w:r w:rsidRPr="001A2B95">
        <w:rPr>
          <w:rFonts w:ascii="Times New Roman" w:hAnsi="Times New Roman" w:cs="Times New Roman"/>
          <w:sz w:val="24"/>
          <w:szCs w:val="24"/>
          <w:lang w:val="pt-BR"/>
        </w:rPr>
        <w:t>, mais não para os que já foram iniciados</w:t>
      </w:r>
      <w:r w:rsidRPr="00B46CC2">
        <w:rPr>
          <w:rFonts w:ascii="Times New Roman" w:hAnsi="Times New Roman" w:cs="Times New Roman"/>
          <w:sz w:val="24"/>
          <w:szCs w:val="24"/>
          <w:lang w:val="pt-BR"/>
        </w:rPr>
        <w:t xml:space="preserve"> para não </w:t>
      </w:r>
      <w:r w:rsidRPr="00A426E1">
        <w:rPr>
          <w:rFonts w:ascii="Times New Roman" w:hAnsi="Times New Roman" w:cs="Times New Roman"/>
          <w:sz w:val="24"/>
          <w:szCs w:val="24"/>
          <w:lang w:val="pt-BR"/>
        </w:rPr>
        <w:t>os deixar inacabados.</w:t>
      </w:r>
    </w:p>
    <w:p w14:paraId="0F250203" w14:textId="77777777" w:rsidR="00427CAD" w:rsidRPr="00332E0B" w:rsidRDefault="00427CAD" w:rsidP="00427CAD">
      <w:pPr>
        <w:autoSpaceDE w:val="0"/>
        <w:autoSpaceDN w:val="0"/>
        <w:adjustRightInd w:val="0"/>
        <w:spacing w:after="0" w:line="360" w:lineRule="auto"/>
        <w:rPr>
          <w:rFonts w:ascii="Times New Roman" w:hAnsi="Times New Roman" w:cs="Times New Roman"/>
          <w:sz w:val="16"/>
          <w:szCs w:val="16"/>
          <w:lang w:val="pt-BR"/>
        </w:rPr>
      </w:pPr>
    </w:p>
    <w:p w14:paraId="19CAE0DE" w14:textId="77777777" w:rsidR="00427CAD" w:rsidRPr="00CA2760" w:rsidRDefault="00427CAD" w:rsidP="00427CAD">
      <w:pPr>
        <w:spacing w:line="240" w:lineRule="auto"/>
        <w:rPr>
          <w:rFonts w:ascii="Times New Roman" w:hAnsi="Times New Roman" w:cs="Times New Roman"/>
          <w:sz w:val="24"/>
          <w:szCs w:val="24"/>
          <w:lang w:val="pt-BR"/>
        </w:rPr>
      </w:pPr>
      <w:r w:rsidRPr="00CA2760">
        <w:rPr>
          <w:rFonts w:ascii="Times New Roman" w:hAnsi="Times New Roman" w:cs="Times New Roman"/>
          <w:b/>
          <w:sz w:val="24"/>
          <w:szCs w:val="24"/>
          <w:lang w:val="pt-BR"/>
        </w:rPr>
        <w:t>Incentivos para a utilização dos instrumentos de captura do valor criado pelos investimentos e outras ações municipais</w:t>
      </w:r>
    </w:p>
    <w:p w14:paraId="17216BD5" w14:textId="77777777" w:rsidR="00427CAD" w:rsidRDefault="00427CAD" w:rsidP="00427CAD">
      <w:pPr>
        <w:spacing w:line="360" w:lineRule="auto"/>
        <w:rPr>
          <w:rFonts w:ascii="Times New Roman" w:hAnsi="Times New Roman" w:cs="Times New Roman"/>
          <w:sz w:val="24"/>
          <w:szCs w:val="24"/>
          <w:lang w:val="pt-BR"/>
        </w:rPr>
      </w:pPr>
      <w:r w:rsidRPr="00332E0B">
        <w:rPr>
          <w:rFonts w:ascii="Times New Roman" w:hAnsi="Times New Roman" w:cs="Times New Roman"/>
          <w:sz w:val="24"/>
          <w:szCs w:val="24"/>
          <w:lang w:val="pt-BR"/>
        </w:rPr>
        <w:t>O Programa de Investimento Municipal também poderia ser uma forma de incentivar o uso dos</w:t>
      </w:r>
      <w:r w:rsidRPr="00CA2760">
        <w:rPr>
          <w:rFonts w:ascii="Times New Roman" w:hAnsi="Times New Roman" w:cs="Times New Roman"/>
          <w:sz w:val="24"/>
          <w:szCs w:val="24"/>
          <w:lang w:val="pt-BR"/>
        </w:rPr>
        <w:t xml:space="preserve"> instrumentos de captura de valor viabilizados pelo Estatuto da Cidade, como será discutido agora.</w:t>
      </w:r>
      <w:r>
        <w:rPr>
          <w:rFonts w:ascii="Times New Roman" w:hAnsi="Times New Roman" w:cs="Times New Roman"/>
          <w:sz w:val="24"/>
          <w:szCs w:val="24"/>
          <w:lang w:val="pt-BR"/>
        </w:rPr>
        <w:t xml:space="preserve">  </w:t>
      </w:r>
      <w:r w:rsidRPr="001E44A2">
        <w:rPr>
          <w:rFonts w:ascii="Times New Roman" w:hAnsi="Times New Roman" w:cs="Times New Roman"/>
          <w:sz w:val="24"/>
          <w:szCs w:val="24"/>
          <w:lang w:val="pt-BR"/>
        </w:rPr>
        <w:t xml:space="preserve">Estudos recentes </w:t>
      </w:r>
      <w:r>
        <w:rPr>
          <w:rFonts w:ascii="Times New Roman" w:hAnsi="Times New Roman" w:cs="Times New Roman"/>
          <w:sz w:val="24"/>
          <w:szCs w:val="24"/>
          <w:lang w:val="pt-BR"/>
        </w:rPr>
        <w:t>do</w:t>
      </w:r>
      <w:r w:rsidRPr="001E44A2">
        <w:rPr>
          <w:rFonts w:ascii="Times New Roman" w:hAnsi="Times New Roman" w:cs="Times New Roman"/>
          <w:sz w:val="24"/>
          <w:szCs w:val="24"/>
          <w:lang w:val="pt-BR"/>
        </w:rPr>
        <w:t xml:space="preserve"> BID e </w:t>
      </w:r>
      <w:r>
        <w:rPr>
          <w:rFonts w:ascii="Times New Roman" w:hAnsi="Times New Roman" w:cs="Times New Roman"/>
          <w:sz w:val="24"/>
          <w:szCs w:val="24"/>
          <w:lang w:val="pt-BR"/>
        </w:rPr>
        <w:t xml:space="preserve">de </w:t>
      </w:r>
      <w:r w:rsidRPr="001E44A2">
        <w:rPr>
          <w:rFonts w:ascii="Times New Roman" w:hAnsi="Times New Roman" w:cs="Times New Roman"/>
          <w:sz w:val="24"/>
          <w:szCs w:val="24"/>
          <w:lang w:val="pt-BR"/>
        </w:rPr>
        <w:t xml:space="preserve">outras </w:t>
      </w:r>
      <w:r>
        <w:rPr>
          <w:rFonts w:ascii="Times New Roman" w:hAnsi="Times New Roman" w:cs="Times New Roman"/>
          <w:sz w:val="24"/>
          <w:szCs w:val="24"/>
          <w:lang w:val="pt-BR"/>
        </w:rPr>
        <w:t>instituições</w:t>
      </w:r>
      <w:r w:rsidRPr="001E44A2">
        <w:rPr>
          <w:rFonts w:ascii="Times New Roman" w:hAnsi="Times New Roman" w:cs="Times New Roman"/>
          <w:sz w:val="24"/>
          <w:szCs w:val="24"/>
          <w:lang w:val="pt-BR"/>
        </w:rPr>
        <w:t xml:space="preserve"> destacam a importância </w:t>
      </w:r>
      <w:r>
        <w:rPr>
          <w:rFonts w:ascii="Times New Roman" w:hAnsi="Times New Roman" w:cs="Times New Roman"/>
          <w:sz w:val="24"/>
          <w:szCs w:val="24"/>
          <w:lang w:val="pt-BR"/>
        </w:rPr>
        <w:t>da</w:t>
      </w:r>
      <w:r w:rsidRPr="001E44A2">
        <w:rPr>
          <w:rFonts w:ascii="Times New Roman" w:hAnsi="Times New Roman" w:cs="Times New Roman"/>
          <w:sz w:val="24"/>
          <w:szCs w:val="24"/>
          <w:lang w:val="pt-BR"/>
        </w:rPr>
        <w:t xml:space="preserve"> captura de valor gerado pelas intervenções públicas </w:t>
      </w:r>
      <w:r>
        <w:rPr>
          <w:rFonts w:ascii="Times New Roman" w:hAnsi="Times New Roman" w:cs="Times New Roman"/>
          <w:sz w:val="24"/>
          <w:szCs w:val="24"/>
          <w:lang w:val="pt-BR"/>
        </w:rPr>
        <w:t>para financiar</w:t>
      </w:r>
      <w:r w:rsidRPr="001E44A2">
        <w:rPr>
          <w:rFonts w:ascii="Times New Roman" w:hAnsi="Times New Roman" w:cs="Times New Roman"/>
          <w:sz w:val="24"/>
          <w:szCs w:val="24"/>
          <w:lang w:val="pt-BR"/>
        </w:rPr>
        <w:t xml:space="preserve"> investimentos em infraestrutura necessários para </w:t>
      </w:r>
      <w:r>
        <w:rPr>
          <w:rFonts w:ascii="Times New Roman" w:hAnsi="Times New Roman" w:cs="Times New Roman"/>
          <w:sz w:val="24"/>
          <w:szCs w:val="24"/>
          <w:lang w:val="pt-BR"/>
        </w:rPr>
        <w:t xml:space="preserve">o </w:t>
      </w:r>
      <w:r w:rsidRPr="001E44A2">
        <w:rPr>
          <w:rFonts w:ascii="Times New Roman" w:hAnsi="Times New Roman" w:cs="Times New Roman"/>
          <w:sz w:val="24"/>
          <w:szCs w:val="24"/>
          <w:lang w:val="pt-BR"/>
        </w:rPr>
        <w:t>desenvolvimento sustentável (Blanco et al. 2016 e Blanco et al. 2016</w:t>
      </w:r>
      <w:r>
        <w:rPr>
          <w:rFonts w:ascii="Times New Roman" w:hAnsi="Times New Roman" w:cs="Times New Roman"/>
          <w:sz w:val="24"/>
          <w:szCs w:val="24"/>
          <w:lang w:val="pt-BR"/>
        </w:rPr>
        <w:t>b</w:t>
      </w:r>
      <w:r w:rsidRPr="001E44A2">
        <w:rPr>
          <w:rFonts w:ascii="Times New Roman" w:hAnsi="Times New Roman" w:cs="Times New Roman"/>
          <w:sz w:val="24"/>
          <w:szCs w:val="24"/>
          <w:lang w:val="pt-BR"/>
        </w:rPr>
        <w:t xml:space="preserve">, Smolka 2014).  </w:t>
      </w:r>
    </w:p>
    <w:p w14:paraId="4749273E" w14:textId="77777777" w:rsidR="00427CAD" w:rsidRPr="001E44A2" w:rsidRDefault="00427CAD" w:rsidP="00427CAD">
      <w:pPr>
        <w:spacing w:line="360" w:lineRule="auto"/>
        <w:rPr>
          <w:rFonts w:ascii="Times New Roman" w:hAnsi="Times New Roman" w:cs="Times New Roman"/>
          <w:sz w:val="24"/>
          <w:szCs w:val="24"/>
          <w:lang w:val="pt-BR"/>
        </w:rPr>
      </w:pPr>
      <w:r w:rsidRPr="001E44A2">
        <w:rPr>
          <w:rFonts w:ascii="Times New Roman" w:hAnsi="Times New Roman" w:cs="Times New Roman"/>
          <w:sz w:val="24"/>
          <w:szCs w:val="24"/>
          <w:lang w:val="pt-BR"/>
        </w:rPr>
        <w:t xml:space="preserve">Os projetos municipais de desenvolvimento criados pelo BID no estado do Paraná foram bem-sucedidos no incentivo à captura de valor de investimentos municipais através das contribuições </w:t>
      </w:r>
      <w:r w:rsidRPr="001E44A2">
        <w:rPr>
          <w:rFonts w:ascii="Times New Roman" w:hAnsi="Times New Roman" w:cs="Times New Roman"/>
          <w:sz w:val="24"/>
          <w:szCs w:val="24"/>
          <w:lang w:val="pt-BR"/>
        </w:rPr>
        <w:lastRenderedPageBreak/>
        <w:t>de melhoria e também d</w:t>
      </w:r>
      <w:r>
        <w:rPr>
          <w:rFonts w:ascii="Times New Roman" w:hAnsi="Times New Roman" w:cs="Times New Roman"/>
          <w:sz w:val="24"/>
          <w:szCs w:val="24"/>
          <w:lang w:val="pt-BR"/>
        </w:rPr>
        <w:t>o</w:t>
      </w:r>
      <w:r w:rsidRPr="001E44A2">
        <w:rPr>
          <w:rFonts w:ascii="Times New Roman" w:hAnsi="Times New Roman" w:cs="Times New Roman"/>
          <w:sz w:val="24"/>
          <w:szCs w:val="24"/>
          <w:lang w:val="pt-BR"/>
        </w:rPr>
        <w:t xml:space="preserve"> financiamento de modernização dos cadastros utilizados na cobrança dos impostos sobre o valor e a transferência de imóveis urbanos (IPTU e ITBI). </w:t>
      </w:r>
    </w:p>
    <w:p w14:paraId="5C73598D" w14:textId="77777777" w:rsidR="00427CAD" w:rsidRPr="00CA2760" w:rsidRDefault="00427CAD" w:rsidP="00427CAD">
      <w:pPr>
        <w:autoSpaceDE w:val="0"/>
        <w:autoSpaceDN w:val="0"/>
        <w:adjustRightInd w:val="0"/>
        <w:spacing w:line="360" w:lineRule="auto"/>
        <w:rPr>
          <w:rFonts w:ascii="Times New Roman" w:hAnsi="Times New Roman" w:cs="Times New Roman"/>
          <w:sz w:val="24"/>
          <w:szCs w:val="24"/>
          <w:lang w:val="pt-BR"/>
        </w:rPr>
      </w:pPr>
      <w:r w:rsidRPr="00792A90">
        <w:rPr>
          <w:rFonts w:ascii="Times New Roman" w:hAnsi="Times New Roman" w:cs="Times New Roman"/>
          <w:sz w:val="24"/>
          <w:szCs w:val="24"/>
        </w:rPr>
        <w:t xml:space="preserve">Uma das principais razões para o sucesso do Paraná na arrecadação da contribuição de melhoria </w:t>
      </w:r>
      <w:r>
        <w:rPr>
          <w:rFonts w:ascii="Times New Roman" w:hAnsi="Times New Roman" w:cs="Times New Roman"/>
          <w:sz w:val="24"/>
          <w:szCs w:val="24"/>
        </w:rPr>
        <w:t>foram</w:t>
      </w:r>
      <w:r w:rsidRPr="00792A90">
        <w:rPr>
          <w:rFonts w:ascii="Times New Roman" w:hAnsi="Times New Roman" w:cs="Times New Roman"/>
          <w:sz w:val="24"/>
          <w:szCs w:val="24"/>
        </w:rPr>
        <w:t xml:space="preserve"> seus projetos de desenvolvimento urbano:</w:t>
      </w:r>
      <w:r w:rsidRPr="00332E0B">
        <w:rPr>
          <w:rFonts w:ascii="Times New Roman" w:hAnsi="Times New Roman" w:cs="Times New Roman"/>
          <w:sz w:val="24"/>
          <w:szCs w:val="24"/>
        </w:rPr>
        <w:t xml:space="preserve"> </w:t>
      </w:r>
      <w:r w:rsidRPr="002E3D8F">
        <w:rPr>
          <w:rFonts w:ascii="Times New Roman" w:hAnsi="Times New Roman" w:cs="Times New Roman"/>
          <w:sz w:val="24"/>
          <w:szCs w:val="24"/>
        </w:rPr>
        <w:t xml:space="preserve"> “The</w:t>
      </w:r>
      <w:r w:rsidRPr="00522FE4">
        <w:rPr>
          <w:rFonts w:ascii="Times New Roman" w:hAnsi="Times New Roman" w:cs="Times New Roman"/>
          <w:sz w:val="24"/>
          <w:szCs w:val="24"/>
        </w:rPr>
        <w:t xml:space="preserve"> requirements under phase one of the Paraná Urbano program with respect to cost recovery for investments and operating and maintenance costs, along with the goals for launching and collecting all municipal levies and institutional strengthening, enabled municipalities to increase their fiscal effort and reduce their reliance on transfers.” </w:t>
      </w:r>
      <w:r w:rsidRPr="00CA2760">
        <w:rPr>
          <w:rFonts w:ascii="Times New Roman" w:hAnsi="Times New Roman" w:cs="Times New Roman"/>
          <w:sz w:val="24"/>
          <w:szCs w:val="24"/>
          <w:lang w:val="pt-BR"/>
        </w:rPr>
        <w:t>(IDB 2002)</w:t>
      </w:r>
    </w:p>
    <w:p w14:paraId="503F62DE" w14:textId="77777777" w:rsidR="00427CAD" w:rsidRPr="00CA2760" w:rsidRDefault="00427CAD" w:rsidP="00427CAD">
      <w:pPr>
        <w:spacing w:line="360" w:lineRule="auto"/>
        <w:rPr>
          <w:rFonts w:ascii="Times New Roman" w:hAnsi="Times New Roman" w:cs="Times New Roman"/>
          <w:sz w:val="24"/>
          <w:szCs w:val="24"/>
          <w:u w:val="single"/>
          <w:lang w:val="pt-BR"/>
        </w:rPr>
      </w:pPr>
      <w:r w:rsidRPr="00CA2760">
        <w:rPr>
          <w:rFonts w:ascii="Times New Roman" w:hAnsi="Times New Roman" w:cs="Times New Roman"/>
          <w:sz w:val="24"/>
          <w:szCs w:val="24"/>
          <w:u w:val="single"/>
          <w:lang w:val="pt-BR"/>
        </w:rPr>
        <w:t>Os incentivos para utilizar os instrumentos de captura de valor</w:t>
      </w:r>
    </w:p>
    <w:p w14:paraId="2AC0C706" w14:textId="77777777" w:rsidR="00427CAD" w:rsidRPr="00CA2760" w:rsidRDefault="00427CAD" w:rsidP="00427CAD">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O Paraná III poderia oferecer melhores condições no financiamento dos Programas de Investimento Municipal que utilizam estes instrumentos.  Por exemplo, o SFM poderia financiar uma porcentagem maior de um Programa de Investimento Municipal que emprega os instrumentos de captura de valor, tais como contribuição de melhoria ou </w:t>
      </w:r>
      <w:r>
        <w:rPr>
          <w:rFonts w:ascii="Times New Roman" w:hAnsi="Times New Roman" w:cs="Times New Roman"/>
          <w:sz w:val="24"/>
          <w:szCs w:val="24"/>
          <w:lang w:val="pt-BR"/>
        </w:rPr>
        <w:t>venda do direto de construir</w:t>
      </w:r>
      <w:r w:rsidRPr="00CA2760">
        <w:rPr>
          <w:rFonts w:ascii="Times New Roman" w:hAnsi="Times New Roman" w:cs="Times New Roman"/>
          <w:sz w:val="24"/>
          <w:szCs w:val="24"/>
          <w:lang w:val="pt-BR"/>
        </w:rPr>
        <w:t>, já que o município está recuperando uma parcela do custo do investimento.  Uma</w:t>
      </w:r>
      <w:r>
        <w:rPr>
          <w:rFonts w:ascii="Times New Roman" w:hAnsi="Times New Roman" w:cs="Times New Roman"/>
          <w:sz w:val="24"/>
          <w:szCs w:val="24"/>
          <w:lang w:val="pt-BR"/>
        </w:rPr>
        <w:t xml:space="preserve"> outra</w:t>
      </w:r>
      <w:r w:rsidRPr="00CA2760">
        <w:rPr>
          <w:rFonts w:ascii="Times New Roman" w:hAnsi="Times New Roman" w:cs="Times New Roman"/>
          <w:sz w:val="24"/>
          <w:szCs w:val="24"/>
          <w:lang w:val="pt-BR"/>
        </w:rPr>
        <w:t xml:space="preserve"> alternativa seria de considerar os investimentos do setor privado em concessões ou PPPs fornecendo infraestrutura municipal com estes instrumentos como contrapartida municipal.</w:t>
      </w:r>
    </w:p>
    <w:p w14:paraId="40A00BFE" w14:textId="77777777" w:rsidR="00427CAD" w:rsidRDefault="00427CAD" w:rsidP="00427CAD">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Uma estratégia desta natureza também forneceria incentivos para os municípios na preparação e uso de um Programa de Investimento Municipal e também para melhorar seu desempenho financeiro de forma que se torne elegível para conseguir financiamento do programa.  Assim, a estratégia poderia aumentar o papel dos municípios no desenvolvimento nacional, enquanto proporciona incentivos para manter a disciplina fiscal.</w:t>
      </w:r>
    </w:p>
    <w:p w14:paraId="56F8EECE" w14:textId="77777777" w:rsidR="00427CAD" w:rsidRDefault="00427CAD" w:rsidP="00427CAD">
      <w:pPr>
        <w:spacing w:line="360" w:lineRule="auto"/>
        <w:rPr>
          <w:rFonts w:ascii="Times New Roman" w:hAnsi="Times New Roman" w:cs="Times New Roman"/>
          <w:sz w:val="24"/>
          <w:szCs w:val="24"/>
          <w:u w:val="single"/>
          <w:lang w:val="pt-PT"/>
        </w:rPr>
      </w:pPr>
      <w:r w:rsidRPr="00543F02">
        <w:rPr>
          <w:rFonts w:ascii="Times New Roman" w:hAnsi="Times New Roman" w:cs="Times New Roman"/>
          <w:sz w:val="24"/>
          <w:szCs w:val="24"/>
          <w:u w:val="single"/>
          <w:lang w:val="pt-PT"/>
        </w:rPr>
        <w:t>A importância de um cadastro moderno como primeiro passo na estratégia de captura de valor</w:t>
      </w:r>
    </w:p>
    <w:p w14:paraId="26EE4561" w14:textId="77777777" w:rsidR="00427CAD" w:rsidRDefault="00427CAD" w:rsidP="00427CAD">
      <w:pPr>
        <w:spacing w:line="360" w:lineRule="auto"/>
        <w:rPr>
          <w:rFonts w:ascii="Times New Roman" w:hAnsi="Times New Roman" w:cs="Times New Roman"/>
          <w:sz w:val="24"/>
          <w:szCs w:val="24"/>
          <w:lang w:val="pt-PT"/>
        </w:rPr>
      </w:pPr>
      <w:r w:rsidRPr="00543F02">
        <w:rPr>
          <w:rFonts w:ascii="Times New Roman" w:hAnsi="Times New Roman" w:cs="Times New Roman"/>
          <w:sz w:val="24"/>
          <w:szCs w:val="24"/>
          <w:lang w:val="pt-PT"/>
        </w:rPr>
        <w:t>A moder</w:t>
      </w:r>
      <w:r>
        <w:rPr>
          <w:rFonts w:ascii="Times New Roman" w:hAnsi="Times New Roman" w:cs="Times New Roman"/>
          <w:sz w:val="24"/>
          <w:szCs w:val="24"/>
          <w:lang w:val="pt-PT"/>
        </w:rPr>
        <w:t>nização</w:t>
      </w:r>
      <w:r w:rsidRPr="00543F02">
        <w:rPr>
          <w:rFonts w:ascii="Times New Roman" w:hAnsi="Times New Roman" w:cs="Times New Roman"/>
          <w:sz w:val="24"/>
          <w:szCs w:val="24"/>
          <w:lang w:val="pt-PT"/>
        </w:rPr>
        <w:t xml:space="preserve"> do </w:t>
      </w:r>
      <w:r>
        <w:rPr>
          <w:rFonts w:ascii="Times New Roman" w:hAnsi="Times New Roman" w:cs="Times New Roman"/>
          <w:sz w:val="24"/>
          <w:szCs w:val="24"/>
          <w:lang w:val="pt-PT"/>
        </w:rPr>
        <w:t>c</w:t>
      </w:r>
      <w:r w:rsidRPr="00543F02">
        <w:rPr>
          <w:rFonts w:ascii="Times New Roman" w:hAnsi="Times New Roman" w:cs="Times New Roman"/>
          <w:sz w:val="24"/>
          <w:szCs w:val="24"/>
          <w:lang w:val="pt-PT"/>
        </w:rPr>
        <w:t>adastro pode efetivamente aumentar a receita do</w:t>
      </w:r>
      <w:r>
        <w:rPr>
          <w:rFonts w:ascii="Times New Roman" w:hAnsi="Times New Roman" w:cs="Times New Roman"/>
          <w:sz w:val="24"/>
          <w:szCs w:val="24"/>
          <w:lang w:val="pt-PT"/>
        </w:rPr>
        <w:t>s impostos sobre o valor imobiliário e sua transferência (IPTU e ITBI)</w:t>
      </w:r>
      <w:r w:rsidRPr="00543F02">
        <w:rPr>
          <w:rFonts w:ascii="Times New Roman" w:hAnsi="Times New Roman" w:cs="Times New Roman"/>
          <w:sz w:val="24"/>
          <w:szCs w:val="24"/>
          <w:lang w:val="pt-PT"/>
        </w:rPr>
        <w:t>, fornecendo estimativas mais precisas dos valores cadastrais do estoque de terrenos e edifícios.</w:t>
      </w:r>
      <w:r>
        <w:rPr>
          <w:rFonts w:ascii="Times New Roman" w:hAnsi="Times New Roman" w:cs="Times New Roman"/>
          <w:sz w:val="24"/>
          <w:szCs w:val="24"/>
          <w:lang w:val="pt-PT"/>
        </w:rPr>
        <w:t xml:space="preserve"> </w:t>
      </w:r>
      <w:r w:rsidRPr="00543F02">
        <w:rPr>
          <w:rFonts w:ascii="Times New Roman" w:hAnsi="Times New Roman" w:cs="Times New Roman"/>
          <w:sz w:val="24"/>
          <w:szCs w:val="24"/>
          <w:lang w:val="pt-PT"/>
        </w:rPr>
        <w:t xml:space="preserve"> Ess</w:t>
      </w:r>
      <w:r>
        <w:rPr>
          <w:rFonts w:ascii="Times New Roman" w:hAnsi="Times New Roman" w:cs="Times New Roman"/>
          <w:sz w:val="24"/>
          <w:szCs w:val="24"/>
          <w:lang w:val="pt-PT"/>
        </w:rPr>
        <w:t>a</w:t>
      </w:r>
      <w:r w:rsidRPr="00543F02">
        <w:rPr>
          <w:rFonts w:ascii="Times New Roman" w:hAnsi="Times New Roman" w:cs="Times New Roman"/>
          <w:sz w:val="24"/>
          <w:szCs w:val="24"/>
          <w:lang w:val="pt-PT"/>
        </w:rPr>
        <w:t xml:space="preserve">s </w:t>
      </w:r>
      <w:r>
        <w:rPr>
          <w:rFonts w:ascii="Times New Roman" w:hAnsi="Times New Roman" w:cs="Times New Roman"/>
          <w:sz w:val="24"/>
          <w:szCs w:val="24"/>
          <w:lang w:val="pt-PT"/>
        </w:rPr>
        <w:t>estimativas</w:t>
      </w:r>
      <w:r w:rsidRPr="00543F02">
        <w:rPr>
          <w:rFonts w:ascii="Times New Roman" w:hAnsi="Times New Roman" w:cs="Times New Roman"/>
          <w:sz w:val="24"/>
          <w:szCs w:val="24"/>
          <w:lang w:val="pt-PT"/>
        </w:rPr>
        <w:t xml:space="preserve"> também podem ser usad</w:t>
      </w:r>
      <w:r>
        <w:rPr>
          <w:rFonts w:ascii="Times New Roman" w:hAnsi="Times New Roman" w:cs="Times New Roman"/>
          <w:sz w:val="24"/>
          <w:szCs w:val="24"/>
          <w:lang w:val="pt-PT"/>
        </w:rPr>
        <w:t>a</w:t>
      </w:r>
      <w:r w:rsidRPr="00543F02">
        <w:rPr>
          <w:rFonts w:ascii="Times New Roman" w:hAnsi="Times New Roman" w:cs="Times New Roman"/>
          <w:sz w:val="24"/>
          <w:szCs w:val="24"/>
          <w:lang w:val="pt-PT"/>
        </w:rPr>
        <w:t xml:space="preserve">s para estimar os incrementos de valor necessários para </w:t>
      </w:r>
      <w:r>
        <w:rPr>
          <w:rFonts w:ascii="Times New Roman" w:hAnsi="Times New Roman" w:cs="Times New Roman"/>
          <w:sz w:val="24"/>
          <w:szCs w:val="24"/>
          <w:lang w:val="pt-PT"/>
        </w:rPr>
        <w:t>utilizar</w:t>
      </w:r>
      <w:r w:rsidRPr="00543F02">
        <w:rPr>
          <w:rFonts w:ascii="Times New Roman" w:hAnsi="Times New Roman" w:cs="Times New Roman"/>
          <w:sz w:val="24"/>
          <w:szCs w:val="24"/>
          <w:lang w:val="pt-PT"/>
        </w:rPr>
        <w:t xml:space="preserve"> os outros instrumentos de captura de valor</w:t>
      </w:r>
      <w:r>
        <w:rPr>
          <w:rFonts w:ascii="Times New Roman" w:hAnsi="Times New Roman" w:cs="Times New Roman"/>
          <w:sz w:val="24"/>
          <w:szCs w:val="24"/>
          <w:lang w:val="pt-PT"/>
        </w:rPr>
        <w:t>.</w:t>
      </w:r>
    </w:p>
    <w:p w14:paraId="476567DF" w14:textId="77777777" w:rsidR="00595CB8" w:rsidRDefault="00595CB8" w:rsidP="00427CAD">
      <w:pPr>
        <w:spacing w:line="360" w:lineRule="auto"/>
        <w:rPr>
          <w:rFonts w:ascii="Times New Roman" w:hAnsi="Times New Roman" w:cs="Times New Roman"/>
          <w:b/>
          <w:sz w:val="24"/>
          <w:szCs w:val="24"/>
          <w:lang w:val="pt-BR"/>
        </w:rPr>
      </w:pPr>
    </w:p>
    <w:p w14:paraId="1DE86D56" w14:textId="1A9B0040" w:rsidR="00427CAD" w:rsidRDefault="00427CAD" w:rsidP="00427CAD">
      <w:pPr>
        <w:spacing w:line="360" w:lineRule="auto"/>
        <w:rPr>
          <w:rFonts w:ascii="Times New Roman" w:hAnsi="Times New Roman" w:cs="Times New Roman"/>
          <w:sz w:val="24"/>
          <w:szCs w:val="24"/>
          <w:lang w:val="pt-PT"/>
        </w:rPr>
      </w:pPr>
      <w:r>
        <w:rPr>
          <w:rFonts w:ascii="Times New Roman" w:hAnsi="Times New Roman" w:cs="Times New Roman"/>
          <w:b/>
          <w:sz w:val="24"/>
          <w:szCs w:val="24"/>
          <w:lang w:val="pt-BR"/>
        </w:rPr>
        <w:lastRenderedPageBreak/>
        <w:t>Outros</w:t>
      </w:r>
      <w:r w:rsidRPr="00CA2760">
        <w:rPr>
          <w:rFonts w:ascii="Times New Roman" w:hAnsi="Times New Roman" w:cs="Times New Roman"/>
          <w:b/>
          <w:sz w:val="24"/>
          <w:szCs w:val="24"/>
          <w:lang w:val="pt-BR"/>
        </w:rPr>
        <w:t xml:space="preserve"> </w:t>
      </w:r>
      <w:r>
        <w:rPr>
          <w:rFonts w:ascii="Times New Roman" w:hAnsi="Times New Roman" w:cs="Times New Roman"/>
          <w:b/>
          <w:sz w:val="24"/>
          <w:szCs w:val="24"/>
          <w:lang w:val="pt-BR"/>
        </w:rPr>
        <w:t xml:space="preserve">novos </w:t>
      </w:r>
      <w:r w:rsidRPr="00CA2760">
        <w:rPr>
          <w:rFonts w:ascii="Times New Roman" w:hAnsi="Times New Roman" w:cs="Times New Roman"/>
          <w:b/>
          <w:sz w:val="24"/>
          <w:szCs w:val="24"/>
          <w:lang w:val="pt-BR"/>
        </w:rPr>
        <w:t>instrumentos</w:t>
      </w:r>
    </w:p>
    <w:p w14:paraId="78B74093" w14:textId="77777777" w:rsidR="00427CAD" w:rsidRPr="00CA2760" w:rsidRDefault="00427CAD" w:rsidP="00427CAD">
      <w:p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Existem várias alternativas para aumentar a participação do setor privado no financiamento de infraestrutura municipal no Paraná, incluindo:</w:t>
      </w:r>
    </w:p>
    <w:p w14:paraId="29353A6B" w14:textId="77777777" w:rsidR="00427CAD" w:rsidRPr="00CA2760" w:rsidRDefault="00427CAD" w:rsidP="00427CAD">
      <w:pPr>
        <w:pStyle w:val="ListParagraph"/>
        <w:numPr>
          <w:ilvl w:val="0"/>
          <w:numId w:val="16"/>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Financiamento dos parceiros privados dos municípios em PPPs e concessões.</w:t>
      </w:r>
    </w:p>
    <w:p w14:paraId="7A0EEDD0" w14:textId="77777777" w:rsidR="00427CAD" w:rsidRPr="00CA2760" w:rsidRDefault="00427CAD" w:rsidP="00427CAD">
      <w:pPr>
        <w:pStyle w:val="ListParagraph"/>
        <w:numPr>
          <w:ilvl w:val="0"/>
          <w:numId w:val="16"/>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Participação do setor privado no financiamento do SFM.</w:t>
      </w:r>
    </w:p>
    <w:p w14:paraId="29C647B0" w14:textId="77777777" w:rsidR="00427CAD" w:rsidRPr="00CA2760" w:rsidRDefault="00427CAD" w:rsidP="00427CAD">
      <w:pPr>
        <w:spacing w:before="240"/>
        <w:rPr>
          <w:rFonts w:ascii="Times New Roman" w:hAnsi="Times New Roman" w:cs="Times New Roman"/>
          <w:b/>
          <w:sz w:val="24"/>
          <w:szCs w:val="24"/>
          <w:lang w:val="pt-BR"/>
        </w:rPr>
      </w:pPr>
      <w:r>
        <w:rPr>
          <w:rFonts w:ascii="Times New Roman" w:hAnsi="Times New Roman" w:cs="Times New Roman"/>
          <w:b/>
          <w:sz w:val="24"/>
          <w:szCs w:val="24"/>
          <w:lang w:val="pt-BR"/>
        </w:rPr>
        <w:t>Uma</w:t>
      </w:r>
      <w:r w:rsidRPr="00CA2760">
        <w:rPr>
          <w:rFonts w:ascii="Times New Roman" w:hAnsi="Times New Roman" w:cs="Times New Roman"/>
          <w:b/>
          <w:sz w:val="24"/>
          <w:szCs w:val="24"/>
          <w:lang w:val="pt-BR"/>
        </w:rPr>
        <w:t xml:space="preserve"> linha de financiamento específica para a preparação de projetos </w:t>
      </w:r>
      <w:r>
        <w:rPr>
          <w:rFonts w:ascii="Times New Roman" w:hAnsi="Times New Roman" w:cs="Times New Roman"/>
          <w:b/>
          <w:sz w:val="24"/>
          <w:szCs w:val="24"/>
          <w:lang w:val="pt-BR"/>
        </w:rPr>
        <w:t xml:space="preserve">inovadores </w:t>
      </w:r>
    </w:p>
    <w:p w14:paraId="36B8FFFB" w14:textId="77777777" w:rsidR="00427CAD" w:rsidRPr="00CA2760" w:rsidRDefault="00427CAD" w:rsidP="00427CAD">
      <w:p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Uma maneira usual para financiar </w:t>
      </w:r>
      <w:r>
        <w:rPr>
          <w:rFonts w:ascii="Times New Roman" w:hAnsi="Times New Roman" w:cs="Times New Roman"/>
          <w:sz w:val="24"/>
          <w:szCs w:val="24"/>
          <w:lang w:val="pt-BR"/>
        </w:rPr>
        <w:t xml:space="preserve">a </w:t>
      </w:r>
      <w:r w:rsidRPr="00CA2760">
        <w:rPr>
          <w:rFonts w:ascii="Times New Roman" w:hAnsi="Times New Roman" w:cs="Times New Roman"/>
          <w:sz w:val="24"/>
          <w:szCs w:val="24"/>
          <w:lang w:val="pt-BR"/>
        </w:rPr>
        <w:t xml:space="preserve">preparação dos projetos municipais é através de recursos do componente de desenvolvimento institucional do projeto.  No entanto, há uma necessidade de um mecanismo para incentivar a elaboração de programas e projetos inovadores já que estes envolvem altos custos de pesquisa e desenvolvimento (e.g., na preparação de estudos técnicos e documentos legais e de licitação).  Os outros municípios poderiam aproveitar como </w:t>
      </w:r>
      <w:r w:rsidRPr="00CA2760">
        <w:rPr>
          <w:rFonts w:ascii="Times New Roman" w:hAnsi="Times New Roman" w:cs="Times New Roman"/>
          <w:i/>
          <w:sz w:val="24"/>
          <w:szCs w:val="24"/>
          <w:lang w:val="pt-BR"/>
        </w:rPr>
        <w:t>free riders</w:t>
      </w:r>
      <w:r w:rsidRPr="00CA2760">
        <w:rPr>
          <w:rFonts w:ascii="Times New Roman" w:hAnsi="Times New Roman" w:cs="Times New Roman"/>
          <w:sz w:val="24"/>
          <w:szCs w:val="24"/>
          <w:lang w:val="pt-BR"/>
        </w:rPr>
        <w:t xml:space="preserve"> os benefícios deste processo de pesquisa e desenvolvimento dos municípios que geram as inovações.  Assim sendo, seria interessante desenvolver um programa de financiamento para a preparação de projetos inovadores (e.g., projetos utilizando mecanismos financeiros </w:t>
      </w:r>
      <w:r>
        <w:rPr>
          <w:rFonts w:ascii="Times New Roman" w:hAnsi="Times New Roman" w:cs="Times New Roman"/>
          <w:sz w:val="24"/>
          <w:szCs w:val="24"/>
          <w:lang w:val="pt-BR"/>
        </w:rPr>
        <w:t xml:space="preserve">inovadores </w:t>
      </w:r>
      <w:r w:rsidRPr="00CA2760">
        <w:rPr>
          <w:rFonts w:ascii="Times New Roman" w:hAnsi="Times New Roman" w:cs="Times New Roman"/>
          <w:sz w:val="24"/>
          <w:szCs w:val="24"/>
          <w:lang w:val="pt-BR"/>
        </w:rPr>
        <w:t>ou novas tecnologias) e também os primeiros Programas de Investimento Municipal.  Seria importante também avaliar projetos já implementados para identificar as melhores práticas e disseminar esta informação.</w:t>
      </w:r>
    </w:p>
    <w:p w14:paraId="7241203D" w14:textId="77777777" w:rsidR="00427CAD" w:rsidRPr="00CA2760" w:rsidRDefault="00427CAD" w:rsidP="00427CAD">
      <w:p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Poderia haver um concurso periódico para selecionar propostas de projetos inovadores a serem financiados a fundo perdido.  Por exemplo, o concurso poderia financiar a fundo perdido a preparação:</w:t>
      </w:r>
    </w:p>
    <w:p w14:paraId="477EBF1E" w14:textId="77777777" w:rsidR="00427CAD" w:rsidRPr="0090341D" w:rsidRDefault="00427CAD" w:rsidP="00427CAD">
      <w:pPr>
        <w:pStyle w:val="ListParagraph"/>
        <w:numPr>
          <w:ilvl w:val="0"/>
          <w:numId w:val="37"/>
        </w:numPr>
        <w:autoSpaceDE w:val="0"/>
        <w:autoSpaceDN w:val="0"/>
        <w:adjustRightInd w:val="0"/>
        <w:spacing w:line="360" w:lineRule="auto"/>
        <w:rPr>
          <w:rFonts w:ascii="Times New Roman" w:hAnsi="Times New Roman" w:cs="Times New Roman"/>
          <w:sz w:val="24"/>
          <w:szCs w:val="24"/>
          <w:lang w:val="pt-BR"/>
        </w:rPr>
      </w:pPr>
      <w:r w:rsidRPr="0090341D">
        <w:rPr>
          <w:rFonts w:ascii="Times New Roman" w:hAnsi="Times New Roman" w:cs="Times New Roman"/>
          <w:sz w:val="24"/>
          <w:szCs w:val="24"/>
          <w:lang w:val="pt-BR"/>
        </w:rPr>
        <w:t>De projetos inovadores em áreas inovadoras (e.g., a adaptação à mudança climática) ou com instrumentos novos de financiamento ou gestão.</w:t>
      </w:r>
    </w:p>
    <w:p w14:paraId="6476BE95" w14:textId="77777777" w:rsidR="00427CAD" w:rsidRPr="0090341D" w:rsidRDefault="00427CAD" w:rsidP="00427CAD">
      <w:pPr>
        <w:pStyle w:val="ListParagraph"/>
        <w:numPr>
          <w:ilvl w:val="0"/>
          <w:numId w:val="37"/>
        </w:numPr>
        <w:autoSpaceDE w:val="0"/>
        <w:autoSpaceDN w:val="0"/>
        <w:adjustRightInd w:val="0"/>
        <w:spacing w:line="360" w:lineRule="auto"/>
        <w:rPr>
          <w:rFonts w:ascii="Times New Roman" w:hAnsi="Times New Roman" w:cs="Times New Roman"/>
          <w:sz w:val="24"/>
          <w:szCs w:val="24"/>
          <w:lang w:val="pt-BR"/>
        </w:rPr>
      </w:pPr>
      <w:r w:rsidRPr="0090341D">
        <w:rPr>
          <w:rFonts w:ascii="Times New Roman" w:hAnsi="Times New Roman" w:cs="Times New Roman"/>
          <w:sz w:val="24"/>
          <w:szCs w:val="24"/>
          <w:lang w:val="pt-BR"/>
        </w:rPr>
        <w:t>Dos primeiros Programas de Investimento Municipal.</w:t>
      </w:r>
    </w:p>
    <w:p w14:paraId="25457600" w14:textId="77777777" w:rsidR="00427CAD" w:rsidRPr="00855F63" w:rsidRDefault="00427CAD" w:rsidP="00427CAD">
      <w:pPr>
        <w:spacing w:line="360" w:lineRule="auto"/>
        <w:jc w:val="center"/>
        <w:rPr>
          <w:rFonts w:ascii="Times New Roman" w:hAnsi="Times New Roman" w:cs="Times New Roman"/>
          <w:b/>
          <w:sz w:val="24"/>
          <w:szCs w:val="24"/>
          <w:u w:val="single"/>
          <w:lang w:val="pt-BR"/>
        </w:rPr>
      </w:pPr>
      <w:r w:rsidRPr="00855F63">
        <w:rPr>
          <w:rFonts w:ascii="Times New Roman" w:hAnsi="Times New Roman" w:cs="Times New Roman"/>
          <w:b/>
          <w:sz w:val="24"/>
          <w:szCs w:val="24"/>
          <w:u w:val="single"/>
          <w:lang w:val="pt-BR"/>
        </w:rPr>
        <w:t>Uma nota final</w:t>
      </w:r>
    </w:p>
    <w:p w14:paraId="74CC9705" w14:textId="77777777" w:rsidR="00427CAD" w:rsidRPr="00CA2760" w:rsidRDefault="00427CAD" w:rsidP="00427CAD">
      <w:pPr>
        <w:autoSpaceDE w:val="0"/>
        <w:autoSpaceDN w:val="0"/>
        <w:adjustRightInd w:val="0"/>
        <w:spacing w:line="360" w:lineRule="auto"/>
        <w:rPr>
          <w:rFonts w:ascii="Times New Roman" w:hAnsi="Times New Roman" w:cs="Times New Roman"/>
          <w:b/>
          <w:sz w:val="24"/>
          <w:szCs w:val="24"/>
          <w:lang w:val="pt-BR"/>
        </w:rPr>
      </w:pPr>
      <w:r w:rsidRPr="00CA2760">
        <w:rPr>
          <w:rFonts w:ascii="Times New Roman" w:hAnsi="Times New Roman" w:cs="Times New Roman"/>
          <w:sz w:val="24"/>
          <w:szCs w:val="24"/>
          <w:lang w:val="pt-BR"/>
        </w:rPr>
        <w:t xml:space="preserve">Paraná III apresenta uma excelente oportunidade de desenvolver um novo modelo de financiamento de desenvolvimento urbano, que poderia ser utilizado eventualmente por outros estados no Brasil e internacionalmente, como foi o caso com os projetos Paraná I e II.  Desta </w:t>
      </w:r>
      <w:r w:rsidRPr="00CA2760">
        <w:rPr>
          <w:rFonts w:ascii="Times New Roman" w:hAnsi="Times New Roman" w:cs="Times New Roman"/>
          <w:sz w:val="24"/>
          <w:szCs w:val="24"/>
          <w:lang w:val="pt-BR"/>
        </w:rPr>
        <w:lastRenderedPageBreak/>
        <w:t xml:space="preserve">forma, o projeto Paraná III poderia marcar o início de uma nova geração de projetos de desenvolvimento municipal </w:t>
      </w:r>
      <w:r>
        <w:rPr>
          <w:rFonts w:ascii="Times New Roman" w:hAnsi="Times New Roman" w:cs="Times New Roman"/>
          <w:sz w:val="24"/>
          <w:szCs w:val="24"/>
          <w:lang w:val="pt-BR"/>
        </w:rPr>
        <w:t xml:space="preserve">sustentável, </w:t>
      </w:r>
      <w:r w:rsidRPr="00CA2760">
        <w:rPr>
          <w:rFonts w:ascii="Times New Roman" w:hAnsi="Times New Roman" w:cs="Times New Roman"/>
          <w:sz w:val="24"/>
          <w:szCs w:val="24"/>
          <w:lang w:val="pt-BR"/>
        </w:rPr>
        <w:t>com instituições financeiras mais sólidas e</w:t>
      </w:r>
      <w:r>
        <w:rPr>
          <w:rFonts w:ascii="Times New Roman" w:hAnsi="Times New Roman" w:cs="Times New Roman"/>
          <w:sz w:val="24"/>
          <w:szCs w:val="24"/>
          <w:lang w:val="pt-BR"/>
        </w:rPr>
        <w:t>,</w:t>
      </w:r>
      <w:r w:rsidRPr="00CA2760">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principalmente, com </w:t>
      </w:r>
      <w:r w:rsidRPr="00CA2760">
        <w:rPr>
          <w:rFonts w:ascii="Times New Roman" w:hAnsi="Times New Roman" w:cs="Times New Roman"/>
          <w:sz w:val="24"/>
          <w:szCs w:val="24"/>
          <w:lang w:val="pt-BR"/>
        </w:rPr>
        <w:t xml:space="preserve">incentivos para maior esforço fiscal por parte dos municípios, melhor integração nos investimentos municipais, aumento do uso dos instrumentos de captura de valor, </w:t>
      </w:r>
      <w:r>
        <w:rPr>
          <w:rFonts w:ascii="Times New Roman" w:hAnsi="Times New Roman" w:cs="Times New Roman"/>
          <w:sz w:val="24"/>
          <w:szCs w:val="24"/>
          <w:lang w:val="pt-BR"/>
        </w:rPr>
        <w:t xml:space="preserve">preocupação com os aspectos de interesse social </w:t>
      </w:r>
      <w:r w:rsidRPr="00CA2760">
        <w:rPr>
          <w:rFonts w:ascii="Times New Roman" w:hAnsi="Times New Roman" w:cs="Times New Roman"/>
          <w:sz w:val="24"/>
          <w:szCs w:val="24"/>
          <w:lang w:val="pt-BR"/>
        </w:rPr>
        <w:t>e aumento da participação do setor privado na provisão de infraestrutura municipal e de seu financiamento.</w:t>
      </w:r>
    </w:p>
    <w:p w14:paraId="67CA88EC" w14:textId="77777777" w:rsidR="00427CAD" w:rsidRPr="00CA2760" w:rsidRDefault="00427CAD" w:rsidP="00427CAD">
      <w:pPr>
        <w:pStyle w:val="Paragraph"/>
        <w:tabs>
          <w:tab w:val="left" w:pos="7655"/>
        </w:tabs>
        <w:spacing w:line="360" w:lineRule="auto"/>
        <w:jc w:val="left"/>
        <w:rPr>
          <w:szCs w:val="24"/>
          <w:lang w:val="pt-BR"/>
        </w:rPr>
      </w:pPr>
      <w:r w:rsidRPr="00CA2760" w:rsidDel="00862D83">
        <w:rPr>
          <w:b/>
          <w:szCs w:val="24"/>
          <w:lang w:val="pt-BR"/>
        </w:rPr>
        <w:t xml:space="preserve"> </w:t>
      </w:r>
    </w:p>
    <w:p w14:paraId="5FF3AFC2" w14:textId="77777777" w:rsidR="00427CAD" w:rsidRPr="00695893" w:rsidRDefault="00427CAD" w:rsidP="00427CAD">
      <w:pPr>
        <w:autoSpaceDE w:val="0"/>
        <w:autoSpaceDN w:val="0"/>
        <w:adjustRightInd w:val="0"/>
        <w:spacing w:line="360" w:lineRule="auto"/>
        <w:rPr>
          <w:rFonts w:ascii="Times New Roman" w:hAnsi="Times New Roman" w:cs="Times New Roman"/>
          <w:b/>
          <w:sz w:val="24"/>
          <w:szCs w:val="24"/>
          <w:u w:val="single"/>
          <w:lang w:val="pt-BR"/>
        </w:rPr>
      </w:pPr>
    </w:p>
    <w:p w14:paraId="66F6EB79" w14:textId="77777777" w:rsidR="00427CAD" w:rsidRPr="00E332E4" w:rsidRDefault="00427CAD" w:rsidP="002978B9">
      <w:pPr>
        <w:spacing w:line="360" w:lineRule="auto"/>
        <w:jc w:val="center"/>
        <w:rPr>
          <w:rFonts w:ascii="Times New Roman" w:eastAsia="Times New Roman" w:hAnsi="Times New Roman" w:cs="Times New Roman"/>
          <w:b/>
          <w:sz w:val="24"/>
          <w:szCs w:val="24"/>
          <w:lang w:val="pt-BR"/>
        </w:rPr>
      </w:pPr>
    </w:p>
    <w:p w14:paraId="4B9A56C2" w14:textId="77777777" w:rsidR="002978B9" w:rsidRPr="002827C5" w:rsidRDefault="002978B9" w:rsidP="002978B9">
      <w:pPr>
        <w:jc w:val="center"/>
        <w:rPr>
          <w:rFonts w:ascii="Times New Roman" w:eastAsia="Times New Roman" w:hAnsi="Times New Roman" w:cs="Times New Roman"/>
          <w:b/>
          <w:color w:val="000000"/>
          <w:sz w:val="24"/>
          <w:szCs w:val="24"/>
          <w:lang w:val="pt-BR"/>
        </w:rPr>
      </w:pPr>
    </w:p>
    <w:p w14:paraId="7AFF3720" w14:textId="77777777" w:rsidR="002978B9" w:rsidRPr="002827C5" w:rsidRDefault="002978B9" w:rsidP="002978B9">
      <w:pPr>
        <w:rPr>
          <w:rFonts w:ascii="Times New Roman" w:eastAsia="Times New Roman" w:hAnsi="Times New Roman" w:cs="Times New Roman"/>
          <w:b/>
          <w:color w:val="000000"/>
          <w:sz w:val="24"/>
          <w:szCs w:val="24"/>
          <w:lang w:val="pt-BR"/>
        </w:rPr>
      </w:pPr>
      <w:r w:rsidRPr="002827C5">
        <w:rPr>
          <w:rFonts w:ascii="Times New Roman" w:eastAsia="Times New Roman" w:hAnsi="Times New Roman" w:cs="Times New Roman"/>
          <w:b/>
          <w:color w:val="000000"/>
          <w:sz w:val="24"/>
          <w:szCs w:val="24"/>
          <w:lang w:val="pt-BR"/>
        </w:rPr>
        <w:br w:type="page"/>
      </w:r>
    </w:p>
    <w:p w14:paraId="227228D3" w14:textId="3A9829E2" w:rsidR="00C46123" w:rsidRPr="001C15E5" w:rsidRDefault="00C46123" w:rsidP="00C46123">
      <w:pPr>
        <w:widowControl w:val="0"/>
        <w:overflowPunct w:val="0"/>
        <w:autoSpaceDE w:val="0"/>
        <w:autoSpaceDN w:val="0"/>
        <w:adjustRightInd w:val="0"/>
        <w:spacing w:after="0" w:line="367" w:lineRule="auto"/>
        <w:jc w:val="center"/>
        <w:rPr>
          <w:rFonts w:ascii="Times New Roman" w:hAnsi="Times New Roman" w:cs="Times New Roman"/>
          <w:b/>
          <w:sz w:val="24"/>
          <w:szCs w:val="24"/>
          <w:lang w:val="pt-BR"/>
        </w:rPr>
      </w:pPr>
      <w:r w:rsidRPr="001C15E5">
        <w:rPr>
          <w:rFonts w:ascii="Times New Roman" w:hAnsi="Times New Roman" w:cs="Times New Roman"/>
          <w:b/>
          <w:sz w:val="24"/>
          <w:szCs w:val="24"/>
          <w:lang w:val="pt-BR"/>
        </w:rPr>
        <w:lastRenderedPageBreak/>
        <w:t xml:space="preserve">O SISTEMA DE FINANCIAMENTO E APOIO AOS MUNICÍPIOS (SFM) </w:t>
      </w:r>
    </w:p>
    <w:p w14:paraId="1094F0FC" w14:textId="77777777" w:rsidR="00C46123" w:rsidRPr="001C15E5" w:rsidRDefault="00C46123" w:rsidP="00C46123">
      <w:pPr>
        <w:widowControl w:val="0"/>
        <w:overflowPunct w:val="0"/>
        <w:autoSpaceDE w:val="0"/>
        <w:autoSpaceDN w:val="0"/>
        <w:adjustRightInd w:val="0"/>
        <w:spacing w:after="0" w:line="367" w:lineRule="auto"/>
        <w:jc w:val="center"/>
        <w:rPr>
          <w:rFonts w:ascii="Times New Roman" w:hAnsi="Times New Roman" w:cs="Times New Roman"/>
          <w:b/>
          <w:sz w:val="24"/>
          <w:szCs w:val="24"/>
          <w:lang w:val="pt-BR"/>
        </w:rPr>
      </w:pPr>
      <w:r w:rsidRPr="001C15E5">
        <w:rPr>
          <w:rFonts w:ascii="Times New Roman" w:hAnsi="Times New Roman" w:cs="Times New Roman"/>
          <w:b/>
          <w:sz w:val="24"/>
          <w:szCs w:val="24"/>
          <w:lang w:val="pt-BR"/>
        </w:rPr>
        <w:t>DO ESTADO DO PARANÁ</w:t>
      </w:r>
    </w:p>
    <w:p w14:paraId="3CEDAE37" w14:textId="77777777" w:rsidR="00C46123" w:rsidRPr="00CA2760" w:rsidRDefault="00C46123" w:rsidP="00C46123">
      <w:pPr>
        <w:spacing w:after="0" w:line="360" w:lineRule="auto"/>
        <w:rPr>
          <w:rFonts w:ascii="Times New Roman" w:hAnsi="Times New Roman" w:cs="Times New Roman"/>
          <w:b/>
          <w:bCs/>
          <w:sz w:val="24"/>
          <w:szCs w:val="24"/>
          <w:lang w:val="pt-BR"/>
        </w:rPr>
      </w:pPr>
    </w:p>
    <w:p w14:paraId="05415671" w14:textId="77777777" w:rsidR="00C46123" w:rsidRPr="001C15E5" w:rsidRDefault="00C46123" w:rsidP="00C46123">
      <w:pPr>
        <w:spacing w:line="360" w:lineRule="auto"/>
        <w:jc w:val="center"/>
        <w:rPr>
          <w:rFonts w:ascii="Times New Roman" w:hAnsi="Times New Roman" w:cs="Times New Roman"/>
          <w:b/>
          <w:bCs/>
          <w:sz w:val="24"/>
          <w:szCs w:val="24"/>
          <w:u w:val="single"/>
          <w:lang w:val="pt-BR"/>
        </w:rPr>
      </w:pPr>
      <w:r w:rsidRPr="001C15E5">
        <w:rPr>
          <w:rFonts w:ascii="Times New Roman" w:hAnsi="Times New Roman" w:cs="Times New Roman"/>
          <w:b/>
          <w:bCs/>
          <w:sz w:val="24"/>
          <w:szCs w:val="24"/>
          <w:u w:val="single"/>
          <w:lang w:val="pt-BR"/>
        </w:rPr>
        <w:t>Introdução</w:t>
      </w:r>
    </w:p>
    <w:p w14:paraId="369DD417" w14:textId="77C1B5E3" w:rsidR="00C46123" w:rsidRPr="00CA2760" w:rsidRDefault="00C46123" w:rsidP="00C46123">
      <w:pPr>
        <w:spacing w:line="360" w:lineRule="auto"/>
        <w:rPr>
          <w:rStyle w:val="ts-alignment-element"/>
          <w:rFonts w:ascii="Segoe UI" w:hAnsi="Segoe UI" w:cs="Segoe UI"/>
          <w:sz w:val="21"/>
          <w:szCs w:val="21"/>
          <w:lang w:val="pt-BR"/>
        </w:rPr>
      </w:pPr>
      <w:r w:rsidRPr="00CA2760">
        <w:rPr>
          <w:rFonts w:ascii="Times New Roman" w:eastAsia="Times New Roman" w:hAnsi="Times New Roman" w:cs="Times New Roman"/>
          <w:sz w:val="24"/>
          <w:szCs w:val="24"/>
          <w:lang w:val="pt-BR"/>
        </w:rPr>
        <w:t>A presente consultoria atualizará o estudo inicial de 2014</w:t>
      </w:r>
      <w:r w:rsidRPr="00CA2760">
        <w:rPr>
          <w:rFonts w:ascii="Times New Roman" w:eastAsia="Times New Roman" w:hAnsi="Times New Roman" w:cs="Times New Roman"/>
          <w:sz w:val="24"/>
          <w:szCs w:val="24"/>
          <w:vertAlign w:val="superscript"/>
          <w:lang w:val="pt-BR"/>
        </w:rPr>
        <w:footnoteReference w:id="1"/>
      </w:r>
      <w:r w:rsidRPr="00CA2760">
        <w:rPr>
          <w:rFonts w:ascii="Times New Roman" w:eastAsia="Times New Roman" w:hAnsi="Times New Roman" w:cs="Times New Roman"/>
          <w:sz w:val="24"/>
          <w:szCs w:val="24"/>
          <w:lang w:val="pt-BR"/>
        </w:rPr>
        <w:t xml:space="preserve"> e tem como objetivos: i) revisar </w:t>
      </w:r>
      <w:r w:rsidR="004D20D2" w:rsidRPr="00CA2760">
        <w:rPr>
          <w:rFonts w:ascii="Times New Roman" w:eastAsia="Times New Roman" w:hAnsi="Times New Roman" w:cs="Times New Roman"/>
          <w:sz w:val="24"/>
          <w:szCs w:val="24"/>
          <w:lang w:val="pt-BR"/>
        </w:rPr>
        <w:t xml:space="preserve">a matriz de financiamento com </w:t>
      </w:r>
      <w:r w:rsidRPr="00CA2760">
        <w:rPr>
          <w:rFonts w:ascii="Times New Roman" w:eastAsia="Times New Roman" w:hAnsi="Times New Roman" w:cs="Times New Roman"/>
          <w:sz w:val="24"/>
          <w:szCs w:val="24"/>
          <w:lang w:val="pt-BR"/>
        </w:rPr>
        <w:t xml:space="preserve">as condições e critérios que permitam dirigir e estimular a demanda por infraestrutura municipal em função das prioridades assignadas pela política pública estadual; ii) avaliar a sustentabilidade do </w:t>
      </w:r>
      <w:bookmarkStart w:id="8" w:name="_Hlk513142175"/>
      <w:r w:rsidRPr="00CA2760">
        <w:rPr>
          <w:rFonts w:ascii="Times New Roman" w:eastAsia="Times New Roman" w:hAnsi="Times New Roman" w:cs="Times New Roman"/>
          <w:sz w:val="24"/>
          <w:szCs w:val="24"/>
          <w:lang w:val="pt-BR"/>
        </w:rPr>
        <w:t>F</w:t>
      </w:r>
      <w:r w:rsidR="00C14B72">
        <w:rPr>
          <w:rFonts w:ascii="Times New Roman" w:eastAsia="Times New Roman" w:hAnsi="Times New Roman" w:cs="Times New Roman"/>
          <w:sz w:val="24"/>
          <w:szCs w:val="24"/>
          <w:lang w:val="pt-BR"/>
        </w:rPr>
        <w:t xml:space="preserve">undo de </w:t>
      </w:r>
      <w:r w:rsidRPr="00CA2760">
        <w:rPr>
          <w:rFonts w:ascii="Times New Roman" w:eastAsia="Times New Roman" w:hAnsi="Times New Roman" w:cs="Times New Roman"/>
          <w:sz w:val="24"/>
          <w:szCs w:val="24"/>
          <w:lang w:val="pt-BR"/>
        </w:rPr>
        <w:t>D</w:t>
      </w:r>
      <w:r w:rsidR="00C14B72">
        <w:rPr>
          <w:rFonts w:ascii="Times New Roman" w:eastAsia="Times New Roman" w:hAnsi="Times New Roman" w:cs="Times New Roman"/>
          <w:sz w:val="24"/>
          <w:szCs w:val="24"/>
          <w:lang w:val="pt-BR"/>
        </w:rPr>
        <w:t xml:space="preserve">esenvolvimento </w:t>
      </w:r>
      <w:r w:rsidRPr="00CA2760">
        <w:rPr>
          <w:rFonts w:ascii="Times New Roman" w:eastAsia="Times New Roman" w:hAnsi="Times New Roman" w:cs="Times New Roman"/>
          <w:sz w:val="24"/>
          <w:szCs w:val="24"/>
          <w:lang w:val="pt-BR"/>
        </w:rPr>
        <w:t>U</w:t>
      </w:r>
      <w:bookmarkEnd w:id="8"/>
      <w:r w:rsidR="00C14B72">
        <w:rPr>
          <w:rFonts w:ascii="Times New Roman" w:eastAsia="Times New Roman" w:hAnsi="Times New Roman" w:cs="Times New Roman"/>
          <w:sz w:val="24"/>
          <w:szCs w:val="24"/>
          <w:lang w:val="pt-BR"/>
        </w:rPr>
        <w:t>rbano (FDU)</w:t>
      </w:r>
      <w:r w:rsidRPr="00CA2760">
        <w:rPr>
          <w:rFonts w:ascii="Times New Roman" w:eastAsia="Times New Roman" w:hAnsi="Times New Roman" w:cs="Times New Roman"/>
          <w:sz w:val="24"/>
          <w:szCs w:val="24"/>
          <w:lang w:val="pt-BR"/>
        </w:rPr>
        <w:t xml:space="preserve"> considerando </w:t>
      </w:r>
      <w:r w:rsidR="00F413FB">
        <w:rPr>
          <w:rFonts w:ascii="Times New Roman" w:eastAsia="Times New Roman" w:hAnsi="Times New Roman" w:cs="Times New Roman"/>
          <w:sz w:val="24"/>
          <w:szCs w:val="24"/>
          <w:lang w:val="pt-BR"/>
        </w:rPr>
        <w:t xml:space="preserve">diferentes </w:t>
      </w:r>
      <w:r w:rsidRPr="00CA2760">
        <w:rPr>
          <w:rFonts w:ascii="Times New Roman" w:eastAsia="Times New Roman" w:hAnsi="Times New Roman" w:cs="Times New Roman"/>
          <w:sz w:val="24"/>
          <w:szCs w:val="24"/>
          <w:lang w:val="pt-BR"/>
        </w:rPr>
        <w:t>alternativas de cenários económicos; iii) propor de maneira preliminar instrumentos financeiros que incentivem a participação do setor privado no desenvolvimento dos projetos de infraestrutura do estado.</w:t>
      </w:r>
    </w:p>
    <w:p w14:paraId="5FDE422E" w14:textId="183C89D8" w:rsidR="00C46123" w:rsidRPr="00CA2760" w:rsidRDefault="00C46123" w:rsidP="00C46123">
      <w:pPr>
        <w:widowControl w:val="0"/>
        <w:overflowPunct w:val="0"/>
        <w:autoSpaceDE w:val="0"/>
        <w:autoSpaceDN w:val="0"/>
        <w:adjustRightInd w:val="0"/>
        <w:spacing w:line="367" w:lineRule="auto"/>
        <w:rPr>
          <w:rFonts w:ascii="Times New Roman" w:hAnsi="Times New Roman" w:cs="Times New Roman"/>
          <w:sz w:val="24"/>
          <w:szCs w:val="24"/>
          <w:lang w:val="pt-BR"/>
        </w:rPr>
      </w:pPr>
      <w:r w:rsidRPr="00CA2760">
        <w:rPr>
          <w:rStyle w:val="ts-alignment-element"/>
          <w:rFonts w:ascii="Times New Roman" w:hAnsi="Times New Roman" w:cs="Times New Roman"/>
          <w:sz w:val="24"/>
          <w:szCs w:val="24"/>
          <w:lang w:val="pt-BR"/>
        </w:rPr>
        <w:t>Atualizamos o estudo anterior</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com</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base</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em</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uma</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revisão</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dos</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dados</w:t>
      </w:r>
      <w:r w:rsidRPr="00CA2760">
        <w:rPr>
          <w:rFonts w:ascii="Times New Roman" w:hAnsi="Times New Roman" w:cs="Times New Roman"/>
          <w:sz w:val="24"/>
          <w:szCs w:val="24"/>
          <w:lang w:val="pt-BR"/>
        </w:rPr>
        <w:t xml:space="preserve"> enviados pelas </w:t>
      </w:r>
      <w:r w:rsidRPr="00CA2760">
        <w:rPr>
          <w:rStyle w:val="ts-alignment-element"/>
          <w:rFonts w:ascii="Times New Roman" w:hAnsi="Times New Roman" w:cs="Times New Roman"/>
          <w:sz w:val="24"/>
          <w:szCs w:val="24"/>
          <w:lang w:val="pt-BR"/>
        </w:rPr>
        <w:t>principais</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entidades</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do</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S</w:t>
      </w:r>
      <w:r w:rsidR="00C14B72">
        <w:rPr>
          <w:rStyle w:val="ts-alignment-element"/>
          <w:rFonts w:ascii="Times New Roman" w:hAnsi="Times New Roman" w:cs="Times New Roman"/>
          <w:sz w:val="24"/>
          <w:szCs w:val="24"/>
          <w:lang w:val="pt-BR"/>
        </w:rPr>
        <w:t xml:space="preserve">istema de </w:t>
      </w:r>
      <w:r w:rsidRPr="00CA2760">
        <w:rPr>
          <w:rStyle w:val="ts-alignment-element"/>
          <w:rFonts w:ascii="Times New Roman" w:hAnsi="Times New Roman" w:cs="Times New Roman"/>
          <w:sz w:val="24"/>
          <w:szCs w:val="24"/>
          <w:lang w:val="pt-BR"/>
        </w:rPr>
        <w:t>F</w:t>
      </w:r>
      <w:r w:rsidR="00C14B72">
        <w:rPr>
          <w:rStyle w:val="ts-alignment-element"/>
          <w:rFonts w:ascii="Times New Roman" w:hAnsi="Times New Roman" w:cs="Times New Roman"/>
          <w:sz w:val="24"/>
          <w:szCs w:val="24"/>
          <w:lang w:val="pt-BR"/>
        </w:rPr>
        <w:t xml:space="preserve">inanciamento aos </w:t>
      </w:r>
      <w:r w:rsidRPr="00CA2760">
        <w:rPr>
          <w:rStyle w:val="ts-alignment-element"/>
          <w:rFonts w:ascii="Times New Roman" w:hAnsi="Times New Roman" w:cs="Times New Roman"/>
          <w:sz w:val="24"/>
          <w:szCs w:val="24"/>
          <w:lang w:val="pt-BR"/>
        </w:rPr>
        <w:t>M</w:t>
      </w:r>
      <w:r w:rsidR="00C14B72">
        <w:rPr>
          <w:rStyle w:val="ts-alignment-element"/>
          <w:rFonts w:ascii="Times New Roman" w:hAnsi="Times New Roman" w:cs="Times New Roman"/>
          <w:sz w:val="24"/>
          <w:szCs w:val="24"/>
          <w:lang w:val="pt-BR"/>
        </w:rPr>
        <w:t>unicípios (SFM)</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e</w:t>
      </w:r>
      <w:r w:rsidRPr="00CA2760">
        <w:rPr>
          <w:rFonts w:ascii="Times New Roman" w:hAnsi="Times New Roman" w:cs="Times New Roman"/>
          <w:sz w:val="24"/>
          <w:szCs w:val="24"/>
          <w:lang w:val="pt-BR"/>
        </w:rPr>
        <w:t xml:space="preserve"> </w:t>
      </w:r>
      <w:r w:rsidR="00C14B72">
        <w:rPr>
          <w:rFonts w:ascii="Times New Roman" w:hAnsi="Times New Roman" w:cs="Times New Roman"/>
          <w:sz w:val="24"/>
          <w:szCs w:val="24"/>
          <w:lang w:val="pt-BR"/>
        </w:rPr>
        <w:t xml:space="preserve">do </w:t>
      </w:r>
      <w:r w:rsidRPr="00CA2760">
        <w:rPr>
          <w:rStyle w:val="ts-alignment-element"/>
          <w:rFonts w:ascii="Times New Roman" w:hAnsi="Times New Roman" w:cs="Times New Roman"/>
          <w:sz w:val="24"/>
          <w:szCs w:val="24"/>
          <w:lang w:val="pt-BR"/>
        </w:rPr>
        <w:t>B</w:t>
      </w:r>
      <w:r w:rsidR="00C14B72">
        <w:rPr>
          <w:rStyle w:val="ts-alignment-element"/>
          <w:rFonts w:ascii="Times New Roman" w:hAnsi="Times New Roman" w:cs="Times New Roman"/>
          <w:sz w:val="24"/>
          <w:szCs w:val="24"/>
          <w:lang w:val="pt-BR"/>
        </w:rPr>
        <w:t xml:space="preserve">anco </w:t>
      </w:r>
      <w:r w:rsidRPr="00CA2760">
        <w:rPr>
          <w:rStyle w:val="ts-alignment-element"/>
          <w:rFonts w:ascii="Times New Roman" w:hAnsi="Times New Roman" w:cs="Times New Roman"/>
          <w:sz w:val="24"/>
          <w:szCs w:val="24"/>
          <w:lang w:val="pt-BR"/>
        </w:rPr>
        <w:t>I</w:t>
      </w:r>
      <w:r w:rsidR="00C14B72">
        <w:rPr>
          <w:rStyle w:val="ts-alignment-element"/>
          <w:rFonts w:ascii="Times New Roman" w:hAnsi="Times New Roman" w:cs="Times New Roman"/>
          <w:sz w:val="24"/>
          <w:szCs w:val="24"/>
          <w:lang w:val="pt-BR"/>
        </w:rPr>
        <w:t xml:space="preserve">nteramericano de </w:t>
      </w:r>
      <w:r w:rsidRPr="00CA2760">
        <w:rPr>
          <w:rStyle w:val="ts-alignment-element"/>
          <w:rFonts w:ascii="Times New Roman" w:hAnsi="Times New Roman" w:cs="Times New Roman"/>
          <w:sz w:val="24"/>
          <w:szCs w:val="24"/>
          <w:lang w:val="pt-BR"/>
        </w:rPr>
        <w:t>D</w:t>
      </w:r>
      <w:r w:rsidR="00C14B72">
        <w:rPr>
          <w:rStyle w:val="ts-alignment-element"/>
          <w:rFonts w:ascii="Times New Roman" w:hAnsi="Times New Roman" w:cs="Times New Roman"/>
          <w:sz w:val="24"/>
          <w:szCs w:val="24"/>
          <w:lang w:val="pt-BR"/>
        </w:rPr>
        <w:t>esenvolvimento (BID)</w:t>
      </w:r>
      <w:r w:rsidRPr="00CA2760">
        <w:rPr>
          <w:rStyle w:val="ts-alignment-element"/>
          <w:rFonts w:ascii="Times New Roman" w:hAnsi="Times New Roman" w:cs="Times New Roman"/>
          <w:sz w:val="24"/>
          <w:szCs w:val="24"/>
          <w:lang w:val="pt-BR"/>
        </w:rPr>
        <w:t>,</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incluindo</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respostas</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a</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e-mails</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e</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discussões</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por</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telefone.</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Além</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disso,</w:t>
      </w:r>
      <w:r w:rsidRPr="00CA2760">
        <w:rPr>
          <w:rFonts w:ascii="Times New Roman" w:hAnsi="Times New Roman" w:cs="Times New Roman"/>
          <w:sz w:val="24"/>
          <w:szCs w:val="24"/>
          <w:lang w:val="pt-BR"/>
        </w:rPr>
        <w:t xml:space="preserve"> </w:t>
      </w:r>
      <w:r w:rsidR="00C14B72">
        <w:rPr>
          <w:rFonts w:ascii="Times New Roman" w:hAnsi="Times New Roman" w:cs="Times New Roman"/>
          <w:sz w:val="24"/>
          <w:szCs w:val="24"/>
          <w:lang w:val="pt-BR"/>
        </w:rPr>
        <w:t>utilizamos</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relatórios</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disponíveis</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na</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Internet</w:t>
      </w:r>
      <w:r w:rsidR="00C14B72">
        <w:rPr>
          <w:rStyle w:val="ts-alignment-element"/>
          <w:rFonts w:ascii="Times New Roman" w:hAnsi="Times New Roman" w:cs="Times New Roman"/>
          <w:sz w:val="24"/>
          <w:szCs w:val="24"/>
          <w:lang w:val="pt-BR"/>
        </w:rPr>
        <w:t xml:space="preserve">, mas </w:t>
      </w:r>
      <w:r w:rsidRPr="00CA2760">
        <w:rPr>
          <w:rFonts w:ascii="Times New Roman" w:hAnsi="Times New Roman" w:cs="Times New Roman"/>
          <w:sz w:val="24"/>
          <w:szCs w:val="24"/>
          <w:lang w:val="pt-BR"/>
        </w:rPr>
        <w:t xml:space="preserve">não realizamos reuniões no Paraná para o desenvolvimento desta versão, ao contrário do que aconteceu no primeiro relatório.  </w:t>
      </w:r>
    </w:p>
    <w:p w14:paraId="7491B2F2" w14:textId="34EDBC1D" w:rsidR="0068543A" w:rsidRPr="0039785E" w:rsidRDefault="0068543A" w:rsidP="0068543A">
      <w:pPr>
        <w:widowControl w:val="0"/>
        <w:overflowPunct w:val="0"/>
        <w:autoSpaceDE w:val="0"/>
        <w:autoSpaceDN w:val="0"/>
        <w:adjustRightInd w:val="0"/>
        <w:spacing w:line="367" w:lineRule="auto"/>
        <w:rPr>
          <w:rFonts w:ascii="Times New Roman" w:hAnsi="Times New Roman" w:cs="Times New Roman"/>
          <w:sz w:val="24"/>
          <w:szCs w:val="24"/>
          <w:lang w:val="pt-BR"/>
        </w:rPr>
      </w:pPr>
      <w:r w:rsidRPr="0039785E">
        <w:rPr>
          <w:rStyle w:val="ts-alignment-element"/>
          <w:rFonts w:ascii="Times New Roman" w:hAnsi="Times New Roman" w:cs="Times New Roman"/>
          <w:sz w:val="24"/>
          <w:szCs w:val="24"/>
          <w:lang w:val="pt-BR"/>
        </w:rPr>
        <w:t>Este</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relatório</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está organizado em quatro capítulos.</w:t>
      </w:r>
      <w:r w:rsidRPr="0039785E">
        <w:rPr>
          <w:rFonts w:ascii="Times New Roman" w:hAnsi="Times New Roman" w:cs="Times New Roman"/>
          <w:sz w:val="24"/>
          <w:szCs w:val="24"/>
          <w:lang w:val="pt-BR"/>
        </w:rPr>
        <w:t xml:space="preserve"> O c</w:t>
      </w:r>
      <w:r w:rsidRPr="0039785E">
        <w:rPr>
          <w:rStyle w:val="ts-alignment-element"/>
          <w:rFonts w:ascii="Times New Roman" w:hAnsi="Times New Roman" w:cs="Times New Roman"/>
          <w:sz w:val="24"/>
          <w:szCs w:val="24"/>
          <w:lang w:val="pt-BR"/>
        </w:rPr>
        <w:t>apítulo</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I</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abrange</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a</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criação</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e</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estrutura</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organizacional</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atual</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do</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SFM</w:t>
      </w:r>
      <w:r w:rsidRPr="0039785E">
        <w:rPr>
          <w:rFonts w:ascii="Times New Roman" w:hAnsi="Times New Roman" w:cs="Times New Roman"/>
          <w:sz w:val="24"/>
          <w:szCs w:val="24"/>
          <w:lang w:val="pt-BR"/>
        </w:rPr>
        <w:t xml:space="preserve"> em 2013 e seu desempenho financeir</w:t>
      </w:r>
      <w:r w:rsidR="005D083C">
        <w:rPr>
          <w:rFonts w:ascii="Times New Roman" w:hAnsi="Times New Roman" w:cs="Times New Roman"/>
          <w:sz w:val="24"/>
          <w:szCs w:val="24"/>
          <w:lang w:val="pt-BR"/>
        </w:rPr>
        <w:t>o</w:t>
      </w:r>
      <w:r w:rsidRPr="0039785E">
        <w:rPr>
          <w:rFonts w:ascii="Times New Roman" w:hAnsi="Times New Roman" w:cs="Times New Roman"/>
          <w:sz w:val="24"/>
          <w:szCs w:val="24"/>
          <w:lang w:val="pt-BR"/>
        </w:rPr>
        <w:t xml:space="preserve"> no período</w:t>
      </w:r>
      <w:r w:rsidR="005D083C">
        <w:rPr>
          <w:rFonts w:ascii="Times New Roman" w:hAnsi="Times New Roman" w:cs="Times New Roman"/>
          <w:sz w:val="24"/>
          <w:szCs w:val="24"/>
          <w:lang w:val="pt-BR"/>
        </w:rPr>
        <w:t xml:space="preserve"> entre</w:t>
      </w:r>
      <w:r w:rsidRPr="0039785E">
        <w:rPr>
          <w:rFonts w:ascii="Times New Roman" w:hAnsi="Times New Roman" w:cs="Times New Roman"/>
          <w:sz w:val="24"/>
          <w:szCs w:val="24"/>
          <w:lang w:val="pt-BR"/>
        </w:rPr>
        <w:t xml:space="preserve"> 2013/2017. O </w:t>
      </w:r>
      <w:r w:rsidRPr="0039785E">
        <w:rPr>
          <w:rStyle w:val="ts-alignment-element"/>
          <w:rFonts w:ascii="Times New Roman" w:hAnsi="Times New Roman" w:cs="Times New Roman"/>
          <w:sz w:val="24"/>
          <w:szCs w:val="24"/>
          <w:lang w:val="pt-BR"/>
        </w:rPr>
        <w:t>capítulo</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II</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revisa a matriz de financiamento do FDU,</w:t>
      </w:r>
      <w:r w:rsidRPr="0039785E">
        <w:rPr>
          <w:rFonts w:ascii="Times New Roman" w:hAnsi="Times New Roman" w:cs="Times New Roman"/>
          <w:sz w:val="24"/>
          <w:szCs w:val="24"/>
          <w:lang w:val="pt-BR"/>
        </w:rPr>
        <w:t xml:space="preserve"> </w:t>
      </w:r>
      <w:r w:rsidRPr="0039785E">
        <w:rPr>
          <w:rStyle w:val="ts-alignment-element"/>
          <w:rFonts w:ascii="Times New Roman" w:hAnsi="Times New Roman" w:cs="Times New Roman"/>
          <w:sz w:val="24"/>
          <w:szCs w:val="24"/>
          <w:lang w:val="pt-BR"/>
        </w:rPr>
        <w:t>incluindo</w:t>
      </w:r>
      <w:r w:rsidRPr="0039785E">
        <w:rPr>
          <w:rFonts w:ascii="Times New Roman" w:hAnsi="Times New Roman" w:cs="Times New Roman"/>
          <w:sz w:val="24"/>
          <w:szCs w:val="24"/>
          <w:lang w:val="pt-BR"/>
        </w:rPr>
        <w:t xml:space="preserve"> o volume e termos dos empréstimos municipais.  O </w:t>
      </w:r>
      <w:r>
        <w:rPr>
          <w:rFonts w:ascii="Times New Roman" w:hAnsi="Times New Roman" w:cs="Times New Roman"/>
          <w:sz w:val="24"/>
          <w:szCs w:val="24"/>
          <w:lang w:val="pt-BR"/>
        </w:rPr>
        <w:t>c</w:t>
      </w:r>
      <w:r w:rsidRPr="0039785E">
        <w:rPr>
          <w:rFonts w:ascii="Times New Roman" w:hAnsi="Times New Roman" w:cs="Times New Roman"/>
          <w:sz w:val="24"/>
          <w:szCs w:val="24"/>
          <w:lang w:val="pt-BR"/>
        </w:rPr>
        <w:t>apítulo III analisa a s</w:t>
      </w:r>
      <w:r w:rsidRPr="0039785E">
        <w:rPr>
          <w:rFonts w:ascii="Times New Roman" w:eastAsia="Calibri" w:hAnsi="Times New Roman" w:cs="Times New Roman"/>
          <w:sz w:val="24"/>
          <w:szCs w:val="24"/>
          <w:lang w:val="pt-BR"/>
        </w:rPr>
        <w:t xml:space="preserve">ustentabilidade do SFM através de </w:t>
      </w:r>
      <w:r w:rsidRPr="0039785E">
        <w:rPr>
          <w:rFonts w:ascii="Times New Roman" w:hAnsi="Times New Roman" w:cs="Times New Roman"/>
          <w:sz w:val="24"/>
          <w:szCs w:val="24"/>
          <w:lang w:val="pt-BR"/>
        </w:rPr>
        <w:t>simulações financeiras do FDU para</w:t>
      </w:r>
      <w:r w:rsidR="005D083C">
        <w:rPr>
          <w:rFonts w:ascii="Times New Roman" w:hAnsi="Times New Roman" w:cs="Times New Roman"/>
          <w:sz w:val="24"/>
          <w:szCs w:val="24"/>
          <w:lang w:val="pt-BR"/>
        </w:rPr>
        <w:t xml:space="preserve"> o período entre</w:t>
      </w:r>
      <w:r w:rsidRPr="0039785E">
        <w:rPr>
          <w:rFonts w:ascii="Times New Roman" w:hAnsi="Times New Roman" w:cs="Times New Roman"/>
          <w:sz w:val="24"/>
          <w:szCs w:val="24"/>
          <w:lang w:val="pt-BR"/>
        </w:rPr>
        <w:t xml:space="preserve"> 2018/2038. O </w:t>
      </w:r>
      <w:r>
        <w:rPr>
          <w:rFonts w:ascii="Times New Roman" w:hAnsi="Times New Roman" w:cs="Times New Roman"/>
          <w:sz w:val="24"/>
          <w:szCs w:val="24"/>
          <w:lang w:val="pt-BR"/>
        </w:rPr>
        <w:t>c</w:t>
      </w:r>
      <w:r w:rsidRPr="0039785E">
        <w:rPr>
          <w:rFonts w:ascii="Times New Roman" w:hAnsi="Times New Roman" w:cs="Times New Roman"/>
          <w:sz w:val="24"/>
          <w:szCs w:val="24"/>
          <w:lang w:val="pt-BR"/>
        </w:rPr>
        <w:t>apítulo IV fornece uma prospecção de novos instrumentos, inclusive a geração de incentivos para melhorar o desempenho financeiro dos municípios.</w:t>
      </w:r>
    </w:p>
    <w:p w14:paraId="6CA346CF" w14:textId="77777777" w:rsidR="00C46123" w:rsidRPr="00CA2760" w:rsidRDefault="00C46123" w:rsidP="00C46123">
      <w:pPr>
        <w:rPr>
          <w:rFonts w:ascii="Times New Roman" w:hAnsi="Times New Roman" w:cs="Times New Roman"/>
          <w:b/>
          <w:sz w:val="24"/>
          <w:szCs w:val="24"/>
          <w:lang w:val="pt-BR"/>
        </w:rPr>
      </w:pPr>
      <w:r w:rsidRPr="00CA2760">
        <w:rPr>
          <w:rFonts w:ascii="Times New Roman" w:hAnsi="Times New Roman" w:cs="Times New Roman"/>
          <w:b/>
          <w:sz w:val="24"/>
          <w:szCs w:val="24"/>
          <w:lang w:val="pt-BR"/>
        </w:rPr>
        <w:br w:type="page"/>
      </w:r>
    </w:p>
    <w:p w14:paraId="4EE05355" w14:textId="318C6363" w:rsidR="00C46123" w:rsidRPr="00CA2760" w:rsidRDefault="00C46123" w:rsidP="00C46123">
      <w:pPr>
        <w:pStyle w:val="BodyText"/>
        <w:spacing w:line="360" w:lineRule="auto"/>
        <w:jc w:val="center"/>
        <w:rPr>
          <w:rFonts w:ascii="Times New Roman" w:eastAsia="Calibri" w:hAnsi="Times New Roman"/>
          <w:b/>
          <w:sz w:val="24"/>
          <w:szCs w:val="24"/>
          <w:u w:val="single"/>
          <w:lang w:val="pt-BR"/>
        </w:rPr>
      </w:pPr>
      <w:r w:rsidRPr="00CA2760">
        <w:rPr>
          <w:rFonts w:ascii="Times New Roman" w:eastAsia="Calibri" w:hAnsi="Times New Roman"/>
          <w:b/>
          <w:sz w:val="24"/>
          <w:szCs w:val="24"/>
          <w:u w:val="single"/>
          <w:lang w:val="pt-BR"/>
        </w:rPr>
        <w:lastRenderedPageBreak/>
        <w:t xml:space="preserve">Capítulo I. A estrutura do SFM e o </w:t>
      </w:r>
      <w:r w:rsidR="00E02554">
        <w:rPr>
          <w:rFonts w:ascii="Times New Roman" w:eastAsia="Calibri" w:hAnsi="Times New Roman"/>
          <w:b/>
          <w:sz w:val="24"/>
          <w:szCs w:val="24"/>
          <w:u w:val="single"/>
          <w:lang w:val="pt-BR"/>
        </w:rPr>
        <w:t xml:space="preserve">recente </w:t>
      </w:r>
      <w:r w:rsidRPr="00CA2760">
        <w:rPr>
          <w:rFonts w:ascii="Times New Roman" w:eastAsia="Calibri" w:hAnsi="Times New Roman"/>
          <w:b/>
          <w:sz w:val="24"/>
          <w:szCs w:val="24"/>
          <w:u w:val="single"/>
          <w:lang w:val="pt-BR"/>
        </w:rPr>
        <w:t xml:space="preserve">desempenho financeiro </w:t>
      </w:r>
    </w:p>
    <w:p w14:paraId="0EE9BF85" w14:textId="77777777" w:rsidR="00C46123" w:rsidRPr="00CA2760" w:rsidRDefault="00C46123" w:rsidP="00C46123">
      <w:pPr>
        <w:pStyle w:val="BodyText"/>
        <w:spacing w:line="360" w:lineRule="auto"/>
        <w:jc w:val="center"/>
        <w:rPr>
          <w:rFonts w:ascii="Times New Roman" w:eastAsia="Calibri" w:hAnsi="Times New Roman" w:cs="Times New Roman"/>
          <w:b/>
          <w:sz w:val="24"/>
          <w:szCs w:val="24"/>
          <w:u w:val="single"/>
          <w:lang w:val="pt-BR"/>
        </w:rPr>
      </w:pPr>
      <w:r w:rsidRPr="00CA2760">
        <w:rPr>
          <w:rFonts w:ascii="Times New Roman" w:eastAsia="Calibri" w:hAnsi="Times New Roman"/>
          <w:b/>
          <w:sz w:val="24"/>
          <w:szCs w:val="24"/>
          <w:u w:val="single"/>
          <w:lang w:val="pt-BR"/>
        </w:rPr>
        <w:t>de suas principais entidades</w:t>
      </w:r>
    </w:p>
    <w:p w14:paraId="38650A6A" w14:textId="06AEDE00" w:rsidR="00C46123" w:rsidRPr="00CA2760" w:rsidRDefault="00C46123" w:rsidP="00C46123">
      <w:pPr>
        <w:pStyle w:val="BodyText"/>
        <w:spacing w:line="360" w:lineRule="auto"/>
        <w:rPr>
          <w:rFonts w:ascii="Times New Roman" w:eastAsia="Calibri" w:hAnsi="Times New Roman"/>
          <w:sz w:val="24"/>
          <w:szCs w:val="24"/>
          <w:lang w:val="pt-BR"/>
        </w:rPr>
      </w:pPr>
      <w:r w:rsidRPr="00CA2760">
        <w:rPr>
          <w:rFonts w:ascii="Times New Roman" w:eastAsia="Calibri" w:hAnsi="Times New Roman"/>
          <w:sz w:val="24"/>
          <w:szCs w:val="24"/>
          <w:lang w:val="pt-BR"/>
        </w:rPr>
        <w:t>Neste capítulo, r</w:t>
      </w:r>
      <w:r w:rsidRPr="00CA2760">
        <w:rPr>
          <w:rFonts w:ascii="Times New Roman" w:eastAsia="Calibri" w:hAnsi="Times New Roman" w:cs="Times New Roman"/>
          <w:sz w:val="24"/>
          <w:szCs w:val="24"/>
          <w:lang w:val="pt-BR"/>
        </w:rPr>
        <w:t>evisa</w:t>
      </w:r>
      <w:r w:rsidRPr="00CA2760">
        <w:rPr>
          <w:rFonts w:ascii="Times New Roman" w:eastAsia="Calibri" w:hAnsi="Times New Roman"/>
          <w:sz w:val="24"/>
          <w:szCs w:val="24"/>
          <w:lang w:val="pt-BR"/>
        </w:rPr>
        <w:t>mos</w:t>
      </w:r>
      <w:r w:rsidRPr="00CA2760">
        <w:rPr>
          <w:rFonts w:ascii="Times New Roman" w:eastAsia="Calibri" w:hAnsi="Times New Roman" w:cs="Times New Roman"/>
          <w:sz w:val="24"/>
          <w:szCs w:val="24"/>
          <w:lang w:val="pt-BR"/>
        </w:rPr>
        <w:t xml:space="preserve"> as pertentes leis, regulamentos, demonstrativos contábeis e outras informações</w:t>
      </w:r>
      <w:r w:rsidRPr="00CA2760">
        <w:rPr>
          <w:rFonts w:ascii="Times New Roman" w:eastAsia="Calibri" w:hAnsi="Times New Roman"/>
          <w:sz w:val="24"/>
          <w:szCs w:val="24"/>
          <w:lang w:val="pt-BR"/>
        </w:rPr>
        <w:t xml:space="preserve"> </w:t>
      </w:r>
      <w:r w:rsidRPr="00CA2760">
        <w:rPr>
          <w:rFonts w:ascii="Times New Roman" w:eastAsia="Calibri" w:hAnsi="Times New Roman" w:cs="Times New Roman"/>
          <w:sz w:val="24"/>
          <w:szCs w:val="24"/>
          <w:lang w:val="pt-BR"/>
        </w:rPr>
        <w:t>sobre a estratégia, objetivos e resultados</w:t>
      </w:r>
      <w:r w:rsidRPr="00CA2760">
        <w:rPr>
          <w:rFonts w:ascii="Times New Roman" w:eastAsia="Calibri" w:hAnsi="Times New Roman"/>
          <w:sz w:val="24"/>
          <w:szCs w:val="24"/>
          <w:lang w:val="pt-BR"/>
        </w:rPr>
        <w:t xml:space="preserve"> dos anos recentes e os</w:t>
      </w:r>
      <w:r w:rsidRPr="00CA2760">
        <w:rPr>
          <w:rFonts w:ascii="Times New Roman" w:eastAsia="Calibri" w:hAnsi="Times New Roman" w:cs="Times New Roman"/>
          <w:sz w:val="24"/>
          <w:szCs w:val="24"/>
          <w:lang w:val="pt-BR"/>
        </w:rPr>
        <w:t xml:space="preserve"> esperados para os próximos anos com respeito ao financiamento municipal </w:t>
      </w:r>
      <w:r w:rsidRPr="00CA2760">
        <w:rPr>
          <w:rFonts w:ascii="Times New Roman" w:eastAsia="Calibri" w:hAnsi="Times New Roman"/>
          <w:sz w:val="24"/>
          <w:szCs w:val="24"/>
          <w:lang w:val="pt-BR"/>
        </w:rPr>
        <w:t xml:space="preserve">das principais entidades do SFM: A </w:t>
      </w:r>
      <w:r w:rsidRPr="00CA2760">
        <w:rPr>
          <w:rFonts w:ascii="Times New Roman" w:eastAsia="Calibri" w:hAnsi="Times New Roman" w:cs="Times New Roman"/>
          <w:sz w:val="24"/>
          <w:szCs w:val="24"/>
          <w:lang w:val="pt-BR"/>
        </w:rPr>
        <w:t>Fomento Paraná e o PARANACIDADE</w:t>
      </w:r>
      <w:r w:rsidRPr="00CA2760">
        <w:rPr>
          <w:rFonts w:ascii="Times New Roman" w:eastAsia="Calibri" w:hAnsi="Times New Roman"/>
          <w:sz w:val="24"/>
          <w:szCs w:val="24"/>
          <w:lang w:val="pt-BR"/>
        </w:rPr>
        <w:t>. O capítulo começa com uma revisão da</w:t>
      </w:r>
      <w:r w:rsidRPr="00CA2760">
        <w:rPr>
          <w:rFonts w:ascii="Times New Roman" w:hAnsi="Times New Roman" w:cs="Times New Roman"/>
          <w:b/>
          <w:sz w:val="24"/>
          <w:szCs w:val="24"/>
          <w:lang w:val="pt-BR"/>
        </w:rPr>
        <w:t xml:space="preserve"> </w:t>
      </w:r>
      <w:r w:rsidRPr="00CA2760">
        <w:rPr>
          <w:rFonts w:ascii="Times New Roman" w:hAnsi="Times New Roman" w:cs="Times New Roman"/>
          <w:sz w:val="24"/>
          <w:szCs w:val="24"/>
          <w:lang w:val="pt-BR"/>
        </w:rPr>
        <w:t>criação e estrutura organizacional do SFM</w:t>
      </w:r>
      <w:r w:rsidRPr="00CA2760">
        <w:rPr>
          <w:rFonts w:ascii="Times New Roman" w:hAnsi="Times New Roman"/>
          <w:sz w:val="24"/>
          <w:szCs w:val="24"/>
          <w:lang w:val="pt-BR"/>
        </w:rPr>
        <w:t xml:space="preserve">, e </w:t>
      </w:r>
      <w:r w:rsidRPr="00CA2760">
        <w:rPr>
          <w:rFonts w:ascii="Times New Roman" w:hAnsi="Times New Roman" w:cs="Times New Roman"/>
          <w:sz w:val="24"/>
          <w:szCs w:val="24"/>
          <w:lang w:val="pt-BR"/>
        </w:rPr>
        <w:t xml:space="preserve">depois passa para uma </w:t>
      </w:r>
      <w:r w:rsidRPr="00CA2760">
        <w:rPr>
          <w:rFonts w:ascii="Times New Roman" w:hAnsi="Times New Roman"/>
          <w:sz w:val="24"/>
          <w:szCs w:val="24"/>
          <w:lang w:val="pt-BR"/>
        </w:rPr>
        <w:t xml:space="preserve">avalição do desempenho financeiro do </w:t>
      </w:r>
      <w:r w:rsidRPr="00CA2760">
        <w:rPr>
          <w:rFonts w:ascii="Times New Roman" w:eastAsia="Calibri" w:hAnsi="Times New Roman"/>
          <w:sz w:val="24"/>
          <w:szCs w:val="24"/>
          <w:lang w:val="pt-BR"/>
        </w:rPr>
        <w:t>FDU e da Fomento Paraná</w:t>
      </w:r>
      <w:r w:rsidR="007D3073">
        <w:rPr>
          <w:rFonts w:ascii="Times New Roman" w:eastAsia="Calibri" w:hAnsi="Times New Roman"/>
          <w:sz w:val="24"/>
          <w:szCs w:val="24"/>
          <w:lang w:val="pt-BR"/>
        </w:rPr>
        <w:t xml:space="preserve"> para o período de 2014/2017</w:t>
      </w:r>
      <w:r w:rsidRPr="00CA2760">
        <w:rPr>
          <w:rFonts w:ascii="Times New Roman" w:eastAsia="Calibri" w:hAnsi="Times New Roman"/>
          <w:sz w:val="24"/>
          <w:szCs w:val="24"/>
          <w:lang w:val="pt-BR"/>
        </w:rPr>
        <w:t xml:space="preserve">, após a reforma que criou o SFM. </w:t>
      </w:r>
    </w:p>
    <w:p w14:paraId="174D47B9" w14:textId="77777777" w:rsidR="00C46123" w:rsidRPr="00CA2760" w:rsidRDefault="00C46123" w:rsidP="00C46123">
      <w:pPr>
        <w:widowControl w:val="0"/>
        <w:overflowPunct w:val="0"/>
        <w:autoSpaceDE w:val="0"/>
        <w:autoSpaceDN w:val="0"/>
        <w:adjustRightInd w:val="0"/>
        <w:spacing w:line="367" w:lineRule="auto"/>
        <w:jc w:val="center"/>
        <w:rPr>
          <w:rFonts w:ascii="Times New Roman" w:hAnsi="Times New Roman" w:cs="Times New Roman"/>
          <w:b/>
          <w:sz w:val="24"/>
          <w:szCs w:val="24"/>
          <w:lang w:val="pt-BR"/>
        </w:rPr>
      </w:pPr>
      <w:bookmarkStart w:id="9" w:name="_Hlk511646161"/>
      <w:r w:rsidRPr="00CA2760">
        <w:rPr>
          <w:rFonts w:ascii="Times New Roman" w:hAnsi="Times New Roman" w:cs="Times New Roman"/>
          <w:b/>
          <w:sz w:val="24"/>
          <w:szCs w:val="24"/>
          <w:lang w:val="pt-BR"/>
        </w:rPr>
        <w:t>A criação e estrutura organizacional do SFM</w:t>
      </w:r>
      <w:bookmarkEnd w:id="9"/>
    </w:p>
    <w:p w14:paraId="0AC53510" w14:textId="5B7D7B9C" w:rsidR="00C46123" w:rsidRPr="00CA2760" w:rsidRDefault="00C46123" w:rsidP="00C46123">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A sustentabilidade e a capitalização ao longo prazo do SFM dependem da qualidade de seu quadro institucional, especialmente no gerenciamento de seu capital, bem como de seus riscos dentro do âmbito da regulamentação e legislação em vigor. O SFM representa uma organização importante no </w:t>
      </w:r>
      <w:r w:rsidRPr="00CF3E79">
        <w:rPr>
          <w:rFonts w:ascii="Times New Roman" w:hAnsi="Times New Roman" w:cs="Times New Roman"/>
          <w:sz w:val="24"/>
          <w:szCs w:val="24"/>
          <w:lang w:val="pt-BR"/>
        </w:rPr>
        <w:t>Sistema Financeiro Nacional</w:t>
      </w:r>
      <w:r w:rsidRPr="00CA2760">
        <w:rPr>
          <w:rFonts w:ascii="Times New Roman" w:hAnsi="Times New Roman" w:cs="Times New Roman"/>
          <w:sz w:val="24"/>
          <w:szCs w:val="24"/>
          <w:lang w:val="pt-BR"/>
        </w:rPr>
        <w:t xml:space="preserve"> </w:t>
      </w:r>
      <w:r w:rsidR="00CF3E79">
        <w:rPr>
          <w:rFonts w:ascii="Times New Roman" w:hAnsi="Times New Roman" w:cs="Times New Roman"/>
          <w:sz w:val="24"/>
          <w:szCs w:val="24"/>
          <w:lang w:val="pt-BR"/>
        </w:rPr>
        <w:t xml:space="preserve">(SFN) </w:t>
      </w:r>
      <w:r w:rsidRPr="00CA2760">
        <w:rPr>
          <w:rFonts w:ascii="Times New Roman" w:hAnsi="Times New Roman" w:cs="Times New Roman"/>
          <w:sz w:val="24"/>
          <w:szCs w:val="24"/>
          <w:lang w:val="pt-BR"/>
        </w:rPr>
        <w:t>do Brasil.  Por exemplo, com um Patrimônio Líquido (PL) de aproximadamente R$1,4 bilhão (US$422</w:t>
      </w:r>
      <w:r w:rsidR="00383B18">
        <w:rPr>
          <w:rFonts w:ascii="Times New Roman" w:hAnsi="Times New Roman" w:cs="Times New Roman"/>
          <w:sz w:val="24"/>
          <w:szCs w:val="24"/>
          <w:lang w:val="pt-BR"/>
        </w:rPr>
        <w:t>,</w:t>
      </w:r>
      <w:r w:rsidRPr="00CA2760">
        <w:rPr>
          <w:rFonts w:ascii="Times New Roman" w:hAnsi="Times New Roman" w:cs="Times New Roman"/>
          <w:sz w:val="24"/>
          <w:szCs w:val="24"/>
          <w:lang w:val="pt-BR"/>
        </w:rPr>
        <w:t>9 milhões) em 2017, se fosse um banco, o SFM seria classificado entre os 25 maiores bancos brasileiros.</w:t>
      </w:r>
    </w:p>
    <w:p w14:paraId="4A916AC6" w14:textId="77777777" w:rsidR="00C46123" w:rsidRPr="00CA2760" w:rsidRDefault="00C46123" w:rsidP="00C46123">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Um quadro organizacional adequado para o SFM seria o de uma organização financeira integrada com os departamentos de desenvolvimento de negócios e os de </w:t>
      </w:r>
      <w:r w:rsidRPr="00CA2760">
        <w:rPr>
          <w:rFonts w:ascii="Times New Roman" w:hAnsi="Times New Roman" w:cs="Times New Roman"/>
          <w:i/>
          <w:sz w:val="24"/>
          <w:szCs w:val="24"/>
          <w:lang w:val="pt-BR"/>
        </w:rPr>
        <w:t>back office</w:t>
      </w:r>
      <w:r w:rsidRPr="00CA2760">
        <w:rPr>
          <w:rFonts w:ascii="Times New Roman" w:hAnsi="Times New Roman" w:cs="Times New Roman"/>
          <w:sz w:val="24"/>
          <w:szCs w:val="24"/>
          <w:lang w:val="pt-BR"/>
        </w:rPr>
        <w:t xml:space="preserve"> (análise de crédito, operações e tesouraria) atuando em harmonia para maximizar os objetivos de desempenho, tal como definido por um conselho administrativo.  Um livre fluxo de informações relevantes através de um </w:t>
      </w:r>
      <w:bookmarkStart w:id="10" w:name="_Hlk512673997"/>
      <w:r w:rsidRPr="00CA2760">
        <w:rPr>
          <w:rFonts w:ascii="Times New Roman" w:hAnsi="Times New Roman" w:cs="Times New Roman"/>
          <w:sz w:val="24"/>
          <w:szCs w:val="24"/>
          <w:lang w:val="pt-BR"/>
        </w:rPr>
        <w:t xml:space="preserve">Sistema de Informação de Gestão Financeira </w:t>
      </w:r>
      <w:bookmarkEnd w:id="10"/>
      <w:r w:rsidRPr="00CA2760">
        <w:rPr>
          <w:rFonts w:ascii="Times New Roman" w:hAnsi="Times New Roman" w:cs="Times New Roman"/>
          <w:sz w:val="24"/>
          <w:szCs w:val="24"/>
          <w:lang w:val="pt-BR"/>
        </w:rPr>
        <w:t>eficiente seria essencial, pois permitiria a otimização da alocação de recursos do SFM para assim alcançar seus objetivos.</w:t>
      </w:r>
    </w:p>
    <w:p w14:paraId="47B9FE1A" w14:textId="77777777" w:rsidR="00C46123" w:rsidRPr="00CA2760" w:rsidRDefault="00C46123" w:rsidP="00C46123">
      <w:pPr>
        <w:spacing w:before="240" w:line="360" w:lineRule="auto"/>
        <w:rPr>
          <w:rFonts w:ascii="Times New Roman" w:hAnsi="Times New Roman" w:cs="Times New Roman"/>
          <w:b/>
          <w:sz w:val="24"/>
          <w:szCs w:val="24"/>
          <w:lang w:val="pt-BR"/>
        </w:rPr>
      </w:pPr>
      <w:r w:rsidRPr="00CA2760">
        <w:rPr>
          <w:rFonts w:ascii="Times New Roman" w:hAnsi="Times New Roman" w:cs="Times New Roman"/>
          <w:b/>
          <w:sz w:val="24"/>
          <w:szCs w:val="24"/>
          <w:lang w:val="pt-BR"/>
        </w:rPr>
        <w:t>A Lei de Responsabilidade Fiscal e a criação do SFM</w:t>
      </w:r>
    </w:p>
    <w:p w14:paraId="455612EC" w14:textId="44637714" w:rsidR="00C46123" w:rsidRPr="00CA2760" w:rsidRDefault="00C46123" w:rsidP="00C46123">
      <w:pPr>
        <w:shd w:val="clear" w:color="auto" w:fill="FFFFFF"/>
        <w:spacing w:after="0" w:line="360" w:lineRule="atLeast"/>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Em 2000, a Lei de Responsabilidade Fiscal vedou a realização de operações de crédito entre um estado e seus municípios, o que inviabilizou o sistema de concessão que estava sendo utilizado </w:t>
      </w:r>
      <w:r w:rsidRPr="00735DB3">
        <w:rPr>
          <w:rFonts w:ascii="Times New Roman" w:hAnsi="Times New Roman" w:cs="Times New Roman"/>
          <w:sz w:val="24"/>
          <w:szCs w:val="24"/>
          <w:lang w:val="pt-BR"/>
        </w:rPr>
        <w:t>FDU</w:t>
      </w:r>
      <w:r w:rsidR="00865997" w:rsidRPr="00735DB3">
        <w:rPr>
          <w:rFonts w:ascii="Times New Roman" w:hAnsi="Times New Roman" w:cs="Times New Roman"/>
          <w:sz w:val="24"/>
          <w:szCs w:val="24"/>
          <w:lang w:val="pt-BR"/>
        </w:rPr>
        <w:t xml:space="preserve">.  </w:t>
      </w:r>
      <w:r w:rsidR="00A61131" w:rsidRPr="00735DB3">
        <w:rPr>
          <w:rFonts w:ascii="Times New Roman" w:hAnsi="Times New Roman" w:cs="Times New Roman"/>
          <w:sz w:val="24"/>
          <w:szCs w:val="24"/>
          <w:lang w:val="pt-PT"/>
        </w:rPr>
        <w:t xml:space="preserve">Para resolver este problema, o Estado </w:t>
      </w:r>
      <w:r w:rsidR="00CF3E79">
        <w:rPr>
          <w:rFonts w:ascii="Times New Roman" w:hAnsi="Times New Roman" w:cs="Times New Roman"/>
          <w:sz w:val="24"/>
          <w:szCs w:val="24"/>
          <w:lang w:val="pt-PT"/>
        </w:rPr>
        <w:t>do</w:t>
      </w:r>
      <w:r w:rsidR="00A61131" w:rsidRPr="00735DB3">
        <w:rPr>
          <w:rFonts w:ascii="Times New Roman" w:hAnsi="Times New Roman" w:cs="Times New Roman"/>
          <w:sz w:val="24"/>
          <w:szCs w:val="24"/>
          <w:lang w:val="pt-PT"/>
        </w:rPr>
        <w:t xml:space="preserve"> Paraná criou o SFM com </w:t>
      </w:r>
      <w:r w:rsidRPr="00735DB3">
        <w:rPr>
          <w:rFonts w:ascii="Times New Roman" w:hAnsi="Times New Roman" w:cs="Times New Roman"/>
          <w:sz w:val="24"/>
          <w:szCs w:val="24"/>
          <w:lang w:val="pt-BR"/>
        </w:rPr>
        <w:t>a Lei Estadual nº 13.227 de 18/07/2001, que permite a continuidade de financiamentos aos municípios através dos seguintes</w:t>
      </w:r>
      <w:r w:rsidRPr="00CA2760">
        <w:rPr>
          <w:rFonts w:ascii="Times New Roman" w:hAnsi="Times New Roman" w:cs="Times New Roman"/>
          <w:sz w:val="24"/>
          <w:szCs w:val="24"/>
          <w:lang w:val="pt-BR"/>
        </w:rPr>
        <w:t xml:space="preserve"> mecanismos:</w:t>
      </w:r>
    </w:p>
    <w:p w14:paraId="1220BBA8" w14:textId="3BCBAB8A" w:rsidR="00C46123" w:rsidRPr="00CA2760" w:rsidRDefault="00C46123" w:rsidP="00C46123">
      <w:pPr>
        <w:pStyle w:val="ListParagraph"/>
        <w:numPr>
          <w:ilvl w:val="0"/>
          <w:numId w:val="9"/>
        </w:numPr>
        <w:shd w:val="clear" w:color="auto" w:fill="FFFFFF"/>
        <w:spacing w:after="0" w:line="360" w:lineRule="atLeast"/>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A Agência de Fomento do Paraná passa a ser reconhecida como Instituição Financeira e é regulamentada pelo </w:t>
      </w:r>
      <w:r w:rsidR="00E2531E">
        <w:rPr>
          <w:rFonts w:ascii="Times New Roman" w:hAnsi="Times New Roman" w:cs="Times New Roman"/>
          <w:sz w:val="24"/>
          <w:szCs w:val="24"/>
          <w:lang w:val="pt-BR"/>
        </w:rPr>
        <w:t>Banco Central</w:t>
      </w:r>
      <w:r w:rsidRPr="00CA2760">
        <w:rPr>
          <w:rFonts w:ascii="Times New Roman" w:hAnsi="Times New Roman" w:cs="Times New Roman"/>
          <w:sz w:val="24"/>
          <w:szCs w:val="24"/>
          <w:lang w:val="pt-BR"/>
        </w:rPr>
        <w:t>.</w:t>
      </w:r>
    </w:p>
    <w:p w14:paraId="0CCBE04B" w14:textId="36DC13F5" w:rsidR="00C46123" w:rsidRPr="00CA2760" w:rsidRDefault="00C46123" w:rsidP="001B591F">
      <w:pPr>
        <w:pStyle w:val="ListParagraph"/>
        <w:numPr>
          <w:ilvl w:val="0"/>
          <w:numId w:val="9"/>
        </w:numPr>
        <w:shd w:val="clear" w:color="auto" w:fill="FFFFFF"/>
        <w:spacing w:line="360" w:lineRule="atLeast"/>
        <w:rPr>
          <w:rFonts w:ascii="Times New Roman" w:hAnsi="Times New Roman" w:cs="Times New Roman"/>
          <w:sz w:val="24"/>
          <w:szCs w:val="24"/>
          <w:lang w:val="pt-BR"/>
        </w:rPr>
      </w:pPr>
      <w:r w:rsidRPr="00CA2760">
        <w:rPr>
          <w:rFonts w:ascii="Times New Roman" w:hAnsi="Times New Roman" w:cs="Times New Roman"/>
          <w:sz w:val="24"/>
          <w:szCs w:val="24"/>
          <w:lang w:val="pt-BR"/>
        </w:rPr>
        <w:lastRenderedPageBreak/>
        <w:t>Os recursos do Fundo de Desenvolvimento Urbano (FDU) passam a ser integralizados ao capital social da Agência de Fomento do Paraná S.A. (AFPR)– destinados ao setor público, o que viabilizou a retomada do mecanismo de financiamento aos municípios, sem ferir a Lei de Responsabilidade Fiscal.</w:t>
      </w:r>
    </w:p>
    <w:p w14:paraId="046862EF" w14:textId="2D4E2679" w:rsidR="00C46123" w:rsidRPr="00CA2760" w:rsidRDefault="00C46123" w:rsidP="00C46123">
      <w:pPr>
        <w:pStyle w:val="Paragraph"/>
        <w:spacing w:line="360" w:lineRule="auto"/>
        <w:jc w:val="left"/>
        <w:rPr>
          <w:szCs w:val="24"/>
          <w:lang w:val="pt-BR"/>
        </w:rPr>
      </w:pPr>
      <w:r w:rsidRPr="00CA2760">
        <w:rPr>
          <w:rFonts w:eastAsiaTheme="minorHAnsi"/>
          <w:szCs w:val="24"/>
          <w:lang w:val="pt-BR"/>
        </w:rPr>
        <w:t xml:space="preserve">A </w:t>
      </w:r>
      <w:r w:rsidRPr="00CA2760">
        <w:rPr>
          <w:szCs w:val="24"/>
          <w:lang w:val="pt-BR"/>
        </w:rPr>
        <w:t>Fomento Paraná foi c</w:t>
      </w:r>
      <w:r w:rsidRPr="00CA2760">
        <w:rPr>
          <w:rFonts w:eastAsiaTheme="minorHAnsi"/>
          <w:szCs w:val="24"/>
          <w:lang w:val="pt-BR"/>
        </w:rPr>
        <w:t xml:space="preserve">riada pela Lei Estadual n° 11741/1997 e </w:t>
      </w:r>
      <w:r w:rsidRPr="00CA2760">
        <w:rPr>
          <w:szCs w:val="24"/>
          <w:lang w:val="pt-BR"/>
        </w:rPr>
        <w:t xml:space="preserve">é </w:t>
      </w:r>
      <w:r w:rsidRPr="00CA2760">
        <w:rPr>
          <w:rFonts w:eastAsiaTheme="minorHAnsi"/>
          <w:szCs w:val="24"/>
          <w:lang w:val="pt-BR"/>
        </w:rPr>
        <w:t>regulamentada por leis complementares</w:t>
      </w:r>
      <w:r w:rsidRPr="00CA2760">
        <w:rPr>
          <w:szCs w:val="24"/>
          <w:lang w:val="pt-BR"/>
        </w:rPr>
        <w:t>. Como parte da reforma do setor financeiro brasileiro nos anos 1990/2000, as agências de fomento foram criadas com o objetivo de substituir os bancos públicos estaduais que foram liquidados ou privatizados.  “As agências de fomento têm como objeto social a concessão de financiamento de capital fixo e de giro associado a projetos na Unidade da Federação onde tenham sede.  Devem ser constituídas sob a forma de sociedade anônima de capital fechado e estar sob o controle de Unidade da Federação (. . .)  Tais entidades têm status de instituição financeira, mas são proibidas de captar recursos junto ao público, recorrer ao redesconto, ter conta de reserva no Banco Central, contratar depósitos interfinanceiros na qualidade de depositante ou de depositária e nem ter participação societária em outras instituições financeiras.”</w:t>
      </w:r>
      <w:r w:rsidRPr="00CA2760">
        <w:rPr>
          <w:rStyle w:val="FootnoteReference"/>
          <w:szCs w:val="24"/>
          <w:lang w:val="pt-BR"/>
        </w:rPr>
        <w:footnoteReference w:id="2"/>
      </w:r>
      <w:r w:rsidRPr="00CA2760">
        <w:rPr>
          <w:szCs w:val="24"/>
          <w:lang w:val="pt-BR"/>
        </w:rPr>
        <w:t xml:space="preserve">  Estas restrições operacionais visam minimizar o risco dessas agências ao </w:t>
      </w:r>
      <w:r w:rsidR="004B27B4">
        <w:rPr>
          <w:szCs w:val="24"/>
          <w:lang w:val="pt-BR"/>
        </w:rPr>
        <w:t>SFN</w:t>
      </w:r>
      <w:r w:rsidRPr="00CA2760">
        <w:rPr>
          <w:szCs w:val="24"/>
          <w:lang w:val="pt-BR"/>
        </w:rPr>
        <w:t>.  O Banco Central supervisiona as agências de fomento.  Como veremos a seguir, a atual regulamentação financeira quase elimina a capacidade do FDU para alavancar o seu Patrimônio de Referência (PR).</w:t>
      </w:r>
    </w:p>
    <w:p w14:paraId="33A81B74" w14:textId="243E10DF" w:rsidR="00C46123" w:rsidRPr="00CA2760" w:rsidRDefault="00C46123" w:rsidP="00C46123">
      <w:pPr>
        <w:spacing w:before="240" w:line="360" w:lineRule="auto"/>
        <w:rPr>
          <w:rFonts w:ascii="Times New Roman" w:hAnsi="Times New Roman" w:cs="Times New Roman"/>
          <w:b/>
          <w:sz w:val="24"/>
          <w:szCs w:val="24"/>
          <w:lang w:val="pt-BR"/>
        </w:rPr>
      </w:pPr>
      <w:r w:rsidRPr="00CA2760">
        <w:rPr>
          <w:rFonts w:ascii="Times New Roman" w:eastAsia="Times New Roman" w:hAnsi="Times New Roman" w:cs="Times New Roman"/>
          <w:color w:val="000000"/>
          <w:sz w:val="24"/>
          <w:szCs w:val="24"/>
          <w:lang w:val="pt-BR"/>
        </w:rPr>
        <w:t xml:space="preserve">O risco fiscal deste arranjo institucional parece mínimo, uma vez que o montante que as agências de fomento podem emprestar aos municípios é estritamente limitado por leis e regulamentos, supervisionados pelo Banco Central como entes do </w:t>
      </w:r>
      <w:r w:rsidR="004B27B4">
        <w:rPr>
          <w:rFonts w:ascii="Times New Roman" w:eastAsia="Times New Roman" w:hAnsi="Times New Roman" w:cs="Times New Roman"/>
          <w:color w:val="000000"/>
          <w:sz w:val="24"/>
          <w:szCs w:val="24"/>
          <w:lang w:val="pt-BR"/>
        </w:rPr>
        <w:t>SFN</w:t>
      </w:r>
      <w:r w:rsidRPr="00CA2760">
        <w:rPr>
          <w:rFonts w:ascii="Times New Roman" w:eastAsia="Times New Roman" w:hAnsi="Times New Roman" w:cs="Times New Roman"/>
          <w:color w:val="000000"/>
          <w:sz w:val="24"/>
          <w:szCs w:val="24"/>
          <w:lang w:val="pt-BR"/>
        </w:rPr>
        <w:t xml:space="preserve">. Também, </w:t>
      </w:r>
      <w:proofErr w:type="gramStart"/>
      <w:r w:rsidRPr="00CA2760">
        <w:rPr>
          <w:rFonts w:ascii="Times New Roman" w:eastAsia="Times New Roman" w:hAnsi="Times New Roman" w:cs="Times New Roman"/>
          <w:color w:val="000000"/>
          <w:sz w:val="24"/>
          <w:szCs w:val="24"/>
          <w:lang w:val="pt-BR"/>
        </w:rPr>
        <w:t>a  Secretaria</w:t>
      </w:r>
      <w:proofErr w:type="gramEnd"/>
      <w:r w:rsidRPr="00CA2760">
        <w:rPr>
          <w:rFonts w:ascii="Times New Roman" w:eastAsia="Times New Roman" w:hAnsi="Times New Roman" w:cs="Times New Roman"/>
          <w:color w:val="000000"/>
          <w:sz w:val="24"/>
          <w:szCs w:val="24"/>
          <w:lang w:val="pt-BR"/>
        </w:rPr>
        <w:t xml:space="preserve"> do Tesouro Nacional</w:t>
      </w:r>
      <w:r w:rsidR="00DF7B84">
        <w:rPr>
          <w:rFonts w:ascii="Times New Roman" w:eastAsia="Times New Roman" w:hAnsi="Times New Roman" w:cs="Times New Roman"/>
          <w:color w:val="000000"/>
          <w:sz w:val="24"/>
          <w:szCs w:val="24"/>
          <w:lang w:val="pt-BR"/>
        </w:rPr>
        <w:t xml:space="preserve"> (STN</w:t>
      </w:r>
      <w:r w:rsidRPr="00CA2760">
        <w:rPr>
          <w:rFonts w:ascii="Times New Roman" w:eastAsia="Times New Roman" w:hAnsi="Times New Roman" w:cs="Times New Roman"/>
          <w:color w:val="000000"/>
          <w:sz w:val="24"/>
          <w:szCs w:val="24"/>
          <w:lang w:val="pt-BR"/>
        </w:rPr>
        <w:t xml:space="preserve">) controla o endividamento municipal. Desta forma, existem controles regulamentares administrados pelo Banco Central na concessão de empréstimos aos municípios através das agências de fomento, bem como limites de empréstimos aos municípios por parte da STN. </w:t>
      </w:r>
    </w:p>
    <w:p w14:paraId="6012E1D4" w14:textId="77777777" w:rsidR="00A52F38" w:rsidRDefault="00A52F38">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14:paraId="5332068F" w14:textId="33A51B3E" w:rsidR="00C46123" w:rsidRPr="00CA2760" w:rsidRDefault="00C46123" w:rsidP="00C46123">
      <w:pPr>
        <w:spacing w:before="240" w:line="360" w:lineRule="auto"/>
        <w:rPr>
          <w:rFonts w:ascii="Times New Roman" w:hAnsi="Times New Roman" w:cs="Times New Roman"/>
          <w:b/>
          <w:sz w:val="24"/>
          <w:szCs w:val="24"/>
          <w:lang w:val="pt-BR"/>
        </w:rPr>
      </w:pPr>
      <w:r w:rsidRPr="00CA2760">
        <w:rPr>
          <w:rFonts w:ascii="Times New Roman" w:hAnsi="Times New Roman" w:cs="Times New Roman"/>
          <w:b/>
          <w:sz w:val="24"/>
          <w:szCs w:val="24"/>
          <w:lang w:val="pt-BR"/>
        </w:rPr>
        <w:lastRenderedPageBreak/>
        <w:t>A nova lei que estabelece uma estrutura institucional mais sólida e blinda o FDU</w:t>
      </w:r>
    </w:p>
    <w:p w14:paraId="4132787C" w14:textId="552F5F22" w:rsidR="00C46123" w:rsidRPr="00CA2760" w:rsidRDefault="00C46123" w:rsidP="00C46123">
      <w:p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Foi aprovada pela Assembleia Legislativa do Paraná e sancionada pelo governador a Lei 17655 (7 de agosto de 2013) que </w:t>
      </w:r>
      <w:r w:rsidR="00B9084E">
        <w:rPr>
          <w:rFonts w:ascii="Times New Roman" w:hAnsi="Times New Roman" w:cs="Times New Roman"/>
          <w:sz w:val="24"/>
          <w:szCs w:val="24"/>
          <w:lang w:val="pt-BR"/>
        </w:rPr>
        <w:t>blinda a sustentabilidade financeira</w:t>
      </w:r>
      <w:r w:rsidRPr="00CA2760">
        <w:rPr>
          <w:rFonts w:ascii="Times New Roman" w:hAnsi="Times New Roman" w:cs="Times New Roman"/>
          <w:sz w:val="24"/>
          <w:szCs w:val="24"/>
          <w:lang w:val="pt-BR"/>
        </w:rPr>
        <w:t xml:space="preserve"> e moderniza o </w:t>
      </w:r>
      <w:r w:rsidR="00735DB3">
        <w:rPr>
          <w:rFonts w:ascii="Times New Roman" w:hAnsi="Times New Roman" w:cs="Times New Roman"/>
          <w:sz w:val="24"/>
          <w:szCs w:val="24"/>
          <w:lang w:val="pt-BR"/>
        </w:rPr>
        <w:t>SFM</w:t>
      </w:r>
      <w:r w:rsidRPr="00CA2760">
        <w:rPr>
          <w:rFonts w:ascii="Times New Roman" w:hAnsi="Times New Roman" w:cs="Times New Roman"/>
          <w:sz w:val="24"/>
          <w:szCs w:val="24"/>
          <w:lang w:val="pt-BR"/>
        </w:rPr>
        <w:t xml:space="preserve">. Com esta lei, o SFM passou a contar com um novo marco regulatório, que promove uma blindagem dos recursos </w:t>
      </w:r>
      <w:r w:rsidR="00735DB3">
        <w:rPr>
          <w:rFonts w:ascii="Times New Roman" w:hAnsi="Times New Roman" w:cs="Times New Roman"/>
          <w:sz w:val="24"/>
          <w:szCs w:val="24"/>
          <w:lang w:val="pt-BR"/>
        </w:rPr>
        <w:t xml:space="preserve">do FDU </w:t>
      </w:r>
      <w:r w:rsidRPr="00CA2760">
        <w:rPr>
          <w:rFonts w:ascii="Times New Roman" w:hAnsi="Times New Roman" w:cs="Times New Roman"/>
          <w:sz w:val="24"/>
          <w:szCs w:val="24"/>
          <w:lang w:val="pt-BR"/>
        </w:rPr>
        <w:t>e assegura a sustentabilidade do sistema.</w:t>
      </w:r>
    </w:p>
    <w:p w14:paraId="48451366" w14:textId="77777777" w:rsidR="00C46123" w:rsidRPr="00CA2760" w:rsidRDefault="00C46123" w:rsidP="00C46123">
      <w:pPr>
        <w:autoSpaceDE w:val="0"/>
        <w:autoSpaceDN w:val="0"/>
        <w:adjustRightInd w:val="0"/>
        <w:spacing w:line="360" w:lineRule="auto"/>
        <w:rPr>
          <w:rFonts w:ascii="Times New Roman" w:hAnsi="Times New Roman" w:cs="Times New Roman"/>
          <w:color w:val="000000"/>
          <w:sz w:val="24"/>
          <w:szCs w:val="24"/>
          <w:u w:val="single"/>
          <w:lang w:val="pt-BR"/>
        </w:rPr>
      </w:pPr>
      <w:r w:rsidRPr="00CA2760">
        <w:rPr>
          <w:rFonts w:ascii="Times New Roman" w:hAnsi="Times New Roman" w:cs="Times New Roman"/>
          <w:color w:val="000000"/>
          <w:sz w:val="24"/>
          <w:szCs w:val="24"/>
          <w:u w:val="single"/>
          <w:lang w:val="pt-BR"/>
        </w:rPr>
        <w:t>A nova estrutura do SFM</w:t>
      </w:r>
    </w:p>
    <w:p w14:paraId="1D060E8B" w14:textId="0AE9790C" w:rsidR="00C46123" w:rsidRPr="00CA2760" w:rsidRDefault="00C46123" w:rsidP="00C46123">
      <w:pPr>
        <w:autoSpaceDE w:val="0"/>
        <w:autoSpaceDN w:val="0"/>
        <w:adjustRightInd w:val="0"/>
        <w:spacing w:line="360" w:lineRule="auto"/>
        <w:rPr>
          <w:rFonts w:ascii="Times New Roman" w:hAnsi="Times New Roman" w:cs="Times New Roman"/>
          <w:color w:val="000000"/>
          <w:sz w:val="24"/>
          <w:szCs w:val="24"/>
          <w:u w:val="single"/>
          <w:lang w:val="pt-BR"/>
        </w:rPr>
      </w:pPr>
      <w:r w:rsidRPr="00CA2760">
        <w:rPr>
          <w:rFonts w:ascii="Times New Roman" w:hAnsi="Times New Roman" w:cs="Times New Roman"/>
          <w:sz w:val="24"/>
          <w:szCs w:val="24"/>
          <w:lang w:val="pt-BR"/>
        </w:rPr>
        <w:t>A lei</w:t>
      </w:r>
      <w:r w:rsidRPr="00CA2760">
        <w:rPr>
          <w:rStyle w:val="FootnoteReference"/>
          <w:rFonts w:ascii="Times New Roman" w:hAnsi="Times New Roman" w:cs="Times New Roman"/>
          <w:sz w:val="24"/>
          <w:szCs w:val="24"/>
          <w:lang w:val="pt-BR"/>
        </w:rPr>
        <w:footnoteReference w:id="3"/>
      </w:r>
      <w:r w:rsidRPr="00CA2760">
        <w:rPr>
          <w:rFonts w:ascii="Times New Roman" w:hAnsi="Times New Roman" w:cs="Times New Roman"/>
          <w:sz w:val="24"/>
          <w:szCs w:val="24"/>
          <w:lang w:val="pt-BR"/>
        </w:rPr>
        <w:t xml:space="preserve"> estabelece as responsabilidades </w:t>
      </w:r>
      <w:r w:rsidR="00B347BC">
        <w:rPr>
          <w:rFonts w:ascii="Times New Roman" w:hAnsi="Times New Roman" w:cs="Times New Roman"/>
          <w:sz w:val="24"/>
          <w:szCs w:val="24"/>
          <w:lang w:val="pt-BR"/>
        </w:rPr>
        <w:t>das seguintes entidades</w:t>
      </w:r>
      <w:r w:rsidRPr="00CA2760">
        <w:rPr>
          <w:rFonts w:ascii="Times New Roman" w:hAnsi="Times New Roman" w:cs="Times New Roman"/>
          <w:sz w:val="24"/>
          <w:szCs w:val="24"/>
          <w:lang w:val="pt-BR"/>
        </w:rPr>
        <w:t xml:space="preserve"> que fazem parte da estrutura organizacional do SFM:</w:t>
      </w:r>
    </w:p>
    <w:p w14:paraId="0C689FD9" w14:textId="0D6DF39E" w:rsidR="00C46123" w:rsidRPr="00CA2760" w:rsidRDefault="00C46123" w:rsidP="00735DB3">
      <w:pPr>
        <w:autoSpaceDE w:val="0"/>
        <w:autoSpaceDN w:val="0"/>
        <w:adjustRightInd w:val="0"/>
        <w:spacing w:line="360" w:lineRule="auto"/>
        <w:ind w:left="567"/>
        <w:rPr>
          <w:rFonts w:ascii="Times New Roman" w:hAnsi="Times New Roman" w:cs="Times New Roman"/>
          <w:sz w:val="24"/>
          <w:szCs w:val="24"/>
          <w:lang w:val="pt-BR"/>
        </w:rPr>
      </w:pPr>
      <w:r w:rsidRPr="00CA2760">
        <w:rPr>
          <w:rFonts w:ascii="Times New Roman" w:hAnsi="Times New Roman" w:cs="Times New Roman"/>
          <w:b/>
          <w:bCs/>
          <w:sz w:val="24"/>
          <w:szCs w:val="24"/>
          <w:lang w:val="pt-BR"/>
        </w:rPr>
        <w:t xml:space="preserve">I - </w:t>
      </w:r>
      <w:r w:rsidRPr="00CA2760">
        <w:rPr>
          <w:rFonts w:ascii="Times New Roman" w:hAnsi="Times New Roman" w:cs="Times New Roman"/>
          <w:sz w:val="24"/>
          <w:szCs w:val="24"/>
          <w:lang w:val="pt-BR"/>
        </w:rPr>
        <w:t>a Secretaria de Estado do Desenvolvimento Urbano, (. . .) Responsável pela elaboração das políticas, do planejamento, da execução, da coordenação e do controle do desenvolvimento urbano e regional do Estado, cabendo-lhe a administração do SFM;</w:t>
      </w:r>
    </w:p>
    <w:p w14:paraId="24C907E6" w14:textId="77777777" w:rsidR="00C46123" w:rsidRPr="00CA2760" w:rsidRDefault="00C46123" w:rsidP="00735DB3">
      <w:pPr>
        <w:autoSpaceDE w:val="0"/>
        <w:autoSpaceDN w:val="0"/>
        <w:adjustRightInd w:val="0"/>
        <w:spacing w:line="360" w:lineRule="auto"/>
        <w:ind w:left="567"/>
        <w:rPr>
          <w:rFonts w:ascii="Times New Roman" w:hAnsi="Times New Roman" w:cs="Times New Roman"/>
          <w:sz w:val="24"/>
          <w:szCs w:val="24"/>
          <w:lang w:val="pt-BR"/>
        </w:rPr>
      </w:pPr>
      <w:r w:rsidRPr="00CA2760">
        <w:rPr>
          <w:rFonts w:ascii="Times New Roman" w:hAnsi="Times New Roman" w:cs="Times New Roman"/>
          <w:b/>
          <w:bCs/>
          <w:sz w:val="24"/>
          <w:szCs w:val="24"/>
          <w:lang w:val="pt-BR"/>
        </w:rPr>
        <w:t xml:space="preserve">II - </w:t>
      </w:r>
      <w:r w:rsidRPr="00CA2760">
        <w:rPr>
          <w:rFonts w:ascii="Times New Roman" w:hAnsi="Times New Roman" w:cs="Times New Roman"/>
          <w:sz w:val="24"/>
          <w:szCs w:val="24"/>
          <w:lang w:val="pt-BR"/>
        </w:rPr>
        <w:t>o Serviço Social Autônomo Paranacidade (. . .) Com a função de agente técnico operacional do SFM;</w:t>
      </w:r>
    </w:p>
    <w:p w14:paraId="4F40C1A5" w14:textId="7E6A9347" w:rsidR="00C46123" w:rsidRPr="00CA2760" w:rsidRDefault="00C46123" w:rsidP="00735DB3">
      <w:pPr>
        <w:autoSpaceDE w:val="0"/>
        <w:autoSpaceDN w:val="0"/>
        <w:adjustRightInd w:val="0"/>
        <w:spacing w:line="360" w:lineRule="auto"/>
        <w:ind w:left="567"/>
        <w:rPr>
          <w:rFonts w:ascii="Times New Roman" w:hAnsi="Times New Roman" w:cs="Times New Roman"/>
          <w:sz w:val="24"/>
          <w:szCs w:val="24"/>
          <w:lang w:val="pt-BR"/>
        </w:rPr>
      </w:pPr>
      <w:r w:rsidRPr="00CA2760">
        <w:rPr>
          <w:rFonts w:ascii="Times New Roman" w:hAnsi="Times New Roman" w:cs="Times New Roman"/>
          <w:b/>
          <w:bCs/>
          <w:sz w:val="24"/>
          <w:szCs w:val="24"/>
          <w:lang w:val="pt-BR"/>
        </w:rPr>
        <w:t xml:space="preserve">III - </w:t>
      </w:r>
      <w:r w:rsidRPr="00CA2760">
        <w:rPr>
          <w:rFonts w:ascii="Times New Roman" w:hAnsi="Times New Roman" w:cs="Times New Roman"/>
          <w:sz w:val="24"/>
          <w:szCs w:val="24"/>
          <w:lang w:val="pt-BR"/>
        </w:rPr>
        <w:t>a Agência de Fomento do Paraná S.A. – Fomento Paraná, instituição financeira de economia mista, pertencente ao Estado do Paraná, sociedade anônima de capital fechado</w:t>
      </w:r>
      <w:r w:rsidR="00735DB3">
        <w:rPr>
          <w:rFonts w:ascii="Times New Roman" w:hAnsi="Times New Roman" w:cs="Times New Roman"/>
          <w:sz w:val="24"/>
          <w:szCs w:val="24"/>
          <w:lang w:val="pt-BR"/>
        </w:rPr>
        <w:t xml:space="preserve"> c</w:t>
      </w:r>
      <w:r w:rsidRPr="00CA2760">
        <w:rPr>
          <w:rFonts w:ascii="Times New Roman" w:hAnsi="Times New Roman" w:cs="Times New Roman"/>
          <w:sz w:val="24"/>
          <w:szCs w:val="24"/>
          <w:lang w:val="pt-BR"/>
        </w:rPr>
        <w:t>om a função de agente financeiro do SFM;</w:t>
      </w:r>
    </w:p>
    <w:p w14:paraId="0251AE89" w14:textId="77777777" w:rsidR="00C46123" w:rsidRPr="00CA2760" w:rsidRDefault="00C46123" w:rsidP="00735DB3">
      <w:pPr>
        <w:autoSpaceDE w:val="0"/>
        <w:autoSpaceDN w:val="0"/>
        <w:adjustRightInd w:val="0"/>
        <w:spacing w:before="240" w:line="360" w:lineRule="auto"/>
        <w:ind w:left="567"/>
        <w:rPr>
          <w:rFonts w:ascii="Times New Roman" w:hAnsi="Times New Roman" w:cs="Times New Roman"/>
          <w:sz w:val="24"/>
          <w:szCs w:val="24"/>
          <w:lang w:val="pt-BR"/>
        </w:rPr>
      </w:pPr>
      <w:r w:rsidRPr="00CA2760">
        <w:rPr>
          <w:rFonts w:ascii="Times New Roman" w:hAnsi="Times New Roman" w:cs="Times New Roman"/>
          <w:b/>
          <w:bCs/>
          <w:sz w:val="24"/>
          <w:szCs w:val="24"/>
          <w:lang w:val="pt-BR"/>
        </w:rPr>
        <w:t xml:space="preserve">IV - </w:t>
      </w:r>
      <w:r w:rsidRPr="00CA2760">
        <w:rPr>
          <w:rFonts w:ascii="Times New Roman" w:hAnsi="Times New Roman" w:cs="Times New Roman"/>
          <w:sz w:val="24"/>
          <w:szCs w:val="24"/>
          <w:lang w:val="pt-BR"/>
        </w:rPr>
        <w:t>O Comitê de Investimento do SFM, órgão de natureza consultiva, deliberativa e propositiva.</w:t>
      </w:r>
    </w:p>
    <w:p w14:paraId="12A17E36" w14:textId="71CDABD2" w:rsidR="00C46123" w:rsidRPr="00CA2760" w:rsidRDefault="00E02554" w:rsidP="00C46123">
      <w:pPr>
        <w:autoSpaceDE w:val="0"/>
        <w:autoSpaceDN w:val="0"/>
        <w:adjustRightInd w:val="0"/>
        <w:spacing w:before="240" w:line="360" w:lineRule="auto"/>
        <w:rPr>
          <w:rFonts w:ascii="Times New Roman" w:hAnsi="Times New Roman" w:cs="Times New Roman"/>
          <w:color w:val="000000"/>
          <w:sz w:val="24"/>
          <w:szCs w:val="24"/>
          <w:u w:val="single"/>
          <w:lang w:val="pt-BR"/>
        </w:rPr>
      </w:pPr>
      <w:r>
        <w:rPr>
          <w:rFonts w:ascii="Times New Roman" w:hAnsi="Times New Roman" w:cs="Times New Roman"/>
          <w:color w:val="000000"/>
          <w:sz w:val="24"/>
          <w:szCs w:val="24"/>
          <w:u w:val="single"/>
          <w:lang w:val="pt-BR"/>
        </w:rPr>
        <w:t>A c</w:t>
      </w:r>
      <w:r w:rsidR="00C46123" w:rsidRPr="00CA2760">
        <w:rPr>
          <w:rFonts w:ascii="Times New Roman" w:hAnsi="Times New Roman" w:cs="Times New Roman"/>
          <w:color w:val="000000"/>
          <w:sz w:val="24"/>
          <w:szCs w:val="24"/>
          <w:u w:val="single"/>
          <w:lang w:val="pt-BR"/>
        </w:rPr>
        <w:t>riação do Comitê de Investimentos</w:t>
      </w:r>
    </w:p>
    <w:p w14:paraId="58739930" w14:textId="2006DF70" w:rsidR="00C46123" w:rsidRPr="00CA2760" w:rsidRDefault="00C46123" w:rsidP="00C46123">
      <w:pPr>
        <w:autoSpaceDE w:val="0"/>
        <w:autoSpaceDN w:val="0"/>
        <w:adjustRightInd w:val="0"/>
        <w:spacing w:line="360" w:lineRule="auto"/>
        <w:rPr>
          <w:rFonts w:ascii="Times New Roman" w:hAnsi="Times New Roman" w:cs="Times New Roman"/>
          <w:i/>
          <w:color w:val="000000"/>
          <w:sz w:val="24"/>
          <w:szCs w:val="24"/>
          <w:lang w:val="pt-BR"/>
        </w:rPr>
      </w:pPr>
      <w:bookmarkStart w:id="11" w:name="_Hlk512409198"/>
      <w:r w:rsidRPr="00CA2760">
        <w:rPr>
          <w:rFonts w:ascii="Times New Roman" w:hAnsi="Times New Roman" w:cs="Times New Roman"/>
          <w:color w:val="000000"/>
          <w:sz w:val="24"/>
          <w:szCs w:val="24"/>
          <w:lang w:val="pt-BR"/>
        </w:rPr>
        <w:t>A fim de garantir a aderência das ações do SFM às diretrizes dos planos do governo</w:t>
      </w:r>
      <w:bookmarkEnd w:id="11"/>
      <w:r w:rsidRPr="00CA2760">
        <w:rPr>
          <w:rFonts w:ascii="Times New Roman" w:hAnsi="Times New Roman" w:cs="Times New Roman"/>
          <w:color w:val="000000"/>
          <w:sz w:val="24"/>
          <w:szCs w:val="24"/>
          <w:lang w:val="pt-BR"/>
        </w:rPr>
        <w:t xml:space="preserve">, foi criado o Comitê de Investimentos, formado pelos titulares das secretarias de Estado do Desenvolvimento Urbano (SEDU), da Fazenda, da Casa Civil, de Governo, do Planejamento, além dos titulares da Fomento Paraná e Paranacidade.  O organograma no Gráfico 1 mostra estas </w:t>
      </w:r>
      <w:r w:rsidRPr="005D083C">
        <w:rPr>
          <w:rFonts w:ascii="Times New Roman" w:hAnsi="Times New Roman" w:cs="Times New Roman"/>
          <w:color w:val="000000"/>
          <w:sz w:val="24"/>
          <w:szCs w:val="24"/>
          <w:lang w:val="pt-BR"/>
        </w:rPr>
        <w:t>sete entidades</w:t>
      </w:r>
      <w:r w:rsidRPr="00CA2760">
        <w:rPr>
          <w:rFonts w:ascii="Times New Roman" w:hAnsi="Times New Roman" w:cs="Times New Roman"/>
          <w:color w:val="000000"/>
          <w:sz w:val="24"/>
          <w:szCs w:val="24"/>
          <w:lang w:val="pt-BR"/>
        </w:rPr>
        <w:t xml:space="preserve"> que participam no Comitê de investimento e também a subordinação do Paranacidade à SEDU e da Fomento Paraná à Secretaria de Estado da Fazenda (</w:t>
      </w:r>
      <w:r w:rsidRPr="00CA2760">
        <w:rPr>
          <w:rFonts w:ascii="Times New Roman" w:hAnsi="Times New Roman" w:cs="Times New Roman"/>
          <w:i/>
          <w:color w:val="000000"/>
          <w:sz w:val="24"/>
          <w:szCs w:val="24"/>
          <w:lang w:val="pt-BR"/>
        </w:rPr>
        <w:t>as linhas vermelhas).</w:t>
      </w:r>
    </w:p>
    <w:p w14:paraId="65C8A06D" w14:textId="77777777" w:rsidR="00C46123" w:rsidRPr="00CA2760" w:rsidRDefault="00C46123" w:rsidP="00C46123">
      <w:pPr>
        <w:autoSpaceDE w:val="0"/>
        <w:autoSpaceDN w:val="0"/>
        <w:adjustRightInd w:val="0"/>
        <w:spacing w:line="360" w:lineRule="auto"/>
        <w:rPr>
          <w:rFonts w:ascii="Times New Roman" w:hAnsi="Times New Roman" w:cs="Times New Roman"/>
          <w:color w:val="000000"/>
          <w:sz w:val="24"/>
          <w:szCs w:val="24"/>
          <w:lang w:val="pt-BR"/>
        </w:rPr>
      </w:pPr>
      <w:r w:rsidRPr="00CA2760">
        <w:rPr>
          <w:rFonts w:ascii="Times New Roman" w:hAnsi="Times New Roman" w:cs="Times New Roman"/>
          <w:color w:val="000000"/>
          <w:sz w:val="24"/>
          <w:szCs w:val="24"/>
          <w:lang w:val="pt-BR"/>
        </w:rPr>
        <w:lastRenderedPageBreak/>
        <w:t>Segundo a Lei 17655, cabe ao Comitê de Investimento do SFM:</w:t>
      </w:r>
    </w:p>
    <w:p w14:paraId="5CBF5534" w14:textId="77777777" w:rsidR="00C46123" w:rsidRPr="00CA2760" w:rsidRDefault="00C46123" w:rsidP="00C46123">
      <w:pPr>
        <w:autoSpaceDE w:val="0"/>
        <w:autoSpaceDN w:val="0"/>
        <w:adjustRightInd w:val="0"/>
        <w:spacing w:after="0" w:line="360" w:lineRule="auto"/>
        <w:ind w:left="720"/>
        <w:rPr>
          <w:rFonts w:ascii="Times New Roman" w:hAnsi="Times New Roman" w:cs="Times New Roman"/>
          <w:color w:val="000000"/>
          <w:sz w:val="24"/>
          <w:szCs w:val="24"/>
          <w:lang w:val="pt-BR"/>
        </w:rPr>
      </w:pPr>
      <w:r w:rsidRPr="00CA2760">
        <w:rPr>
          <w:rFonts w:ascii="Times New Roman" w:hAnsi="Times New Roman" w:cs="Times New Roman"/>
          <w:color w:val="000000"/>
          <w:sz w:val="24"/>
          <w:szCs w:val="24"/>
          <w:lang w:val="pt-BR"/>
        </w:rPr>
        <w:t>I - elaborar e aprovar seu Regimento Interno</w:t>
      </w:r>
    </w:p>
    <w:p w14:paraId="3334A367" w14:textId="77777777" w:rsidR="00C46123" w:rsidRPr="00CA2760" w:rsidRDefault="00C46123" w:rsidP="00C46123">
      <w:pPr>
        <w:autoSpaceDE w:val="0"/>
        <w:autoSpaceDN w:val="0"/>
        <w:adjustRightInd w:val="0"/>
        <w:spacing w:after="0" w:line="360" w:lineRule="auto"/>
        <w:ind w:left="720"/>
        <w:rPr>
          <w:rFonts w:ascii="Times New Roman" w:hAnsi="Times New Roman" w:cs="Times New Roman"/>
          <w:color w:val="000000"/>
          <w:sz w:val="24"/>
          <w:szCs w:val="24"/>
          <w:lang w:val="pt-BR"/>
        </w:rPr>
      </w:pPr>
      <w:r w:rsidRPr="00CA2760">
        <w:rPr>
          <w:rFonts w:ascii="Times New Roman" w:hAnsi="Times New Roman" w:cs="Times New Roman"/>
          <w:color w:val="000000"/>
          <w:sz w:val="24"/>
          <w:szCs w:val="24"/>
          <w:lang w:val="pt-BR"/>
        </w:rPr>
        <w:t>II - estabelecer metas de aplicação ao SFM</w:t>
      </w:r>
    </w:p>
    <w:p w14:paraId="056D7565" w14:textId="77777777" w:rsidR="00C46123" w:rsidRPr="00CA2760" w:rsidRDefault="00C46123" w:rsidP="00C46123">
      <w:pPr>
        <w:autoSpaceDE w:val="0"/>
        <w:autoSpaceDN w:val="0"/>
        <w:adjustRightInd w:val="0"/>
        <w:spacing w:after="0" w:line="360" w:lineRule="auto"/>
        <w:ind w:left="720"/>
        <w:rPr>
          <w:rFonts w:ascii="Times New Roman" w:hAnsi="Times New Roman" w:cs="Times New Roman"/>
          <w:color w:val="000000"/>
          <w:sz w:val="24"/>
          <w:szCs w:val="24"/>
          <w:lang w:val="pt-BR"/>
        </w:rPr>
      </w:pPr>
      <w:r w:rsidRPr="00CA2760">
        <w:rPr>
          <w:rFonts w:ascii="Times New Roman" w:hAnsi="Times New Roman" w:cs="Times New Roman"/>
          <w:color w:val="000000"/>
          <w:sz w:val="24"/>
          <w:szCs w:val="24"/>
          <w:lang w:val="pt-BR"/>
        </w:rPr>
        <w:t>III - acompanhar o funcionamento do SFM, nos termos previstos na lei</w:t>
      </w:r>
    </w:p>
    <w:p w14:paraId="533D6866" w14:textId="77777777" w:rsidR="00C46123" w:rsidRPr="00CA2760" w:rsidRDefault="00C46123" w:rsidP="00C46123">
      <w:pPr>
        <w:autoSpaceDE w:val="0"/>
        <w:autoSpaceDN w:val="0"/>
        <w:adjustRightInd w:val="0"/>
        <w:spacing w:after="0" w:line="360" w:lineRule="auto"/>
        <w:ind w:left="720"/>
        <w:rPr>
          <w:rFonts w:ascii="Times New Roman" w:hAnsi="Times New Roman" w:cs="Times New Roman"/>
          <w:color w:val="000000"/>
          <w:sz w:val="24"/>
          <w:szCs w:val="24"/>
          <w:lang w:val="pt-BR"/>
        </w:rPr>
      </w:pPr>
      <w:r w:rsidRPr="00CA2760">
        <w:rPr>
          <w:rFonts w:ascii="Times New Roman" w:hAnsi="Times New Roman" w:cs="Times New Roman"/>
          <w:color w:val="000000"/>
          <w:sz w:val="24"/>
          <w:szCs w:val="24"/>
          <w:lang w:val="pt-BR"/>
        </w:rPr>
        <w:t>IV - deliberar acerca dos relatórios de desempenho operacional e financeiro do SFM</w:t>
      </w:r>
    </w:p>
    <w:p w14:paraId="75DB008C" w14:textId="77777777" w:rsidR="00C46123" w:rsidRPr="00CA2760" w:rsidRDefault="00C46123" w:rsidP="00C46123">
      <w:pPr>
        <w:autoSpaceDE w:val="0"/>
        <w:autoSpaceDN w:val="0"/>
        <w:adjustRightInd w:val="0"/>
        <w:spacing w:after="0" w:line="360" w:lineRule="auto"/>
        <w:ind w:left="720"/>
        <w:rPr>
          <w:rFonts w:ascii="Times New Roman" w:hAnsi="Times New Roman" w:cs="Times New Roman"/>
          <w:color w:val="000000"/>
          <w:sz w:val="24"/>
          <w:szCs w:val="24"/>
          <w:lang w:val="pt-BR"/>
        </w:rPr>
      </w:pPr>
      <w:r w:rsidRPr="00CA2760">
        <w:rPr>
          <w:rFonts w:ascii="Times New Roman" w:hAnsi="Times New Roman" w:cs="Times New Roman"/>
          <w:color w:val="000000"/>
          <w:sz w:val="24"/>
          <w:szCs w:val="24"/>
          <w:lang w:val="pt-BR"/>
        </w:rPr>
        <w:t xml:space="preserve">V - deliberar sobre os encargos contratuais para operacionalização dos financiamentos, tais como: custos, juros, </w:t>
      </w:r>
      <w:r w:rsidRPr="00CA2760">
        <w:rPr>
          <w:rFonts w:ascii="Times New Roman" w:hAnsi="Times New Roman" w:cs="Times New Roman"/>
          <w:i/>
          <w:color w:val="000000"/>
          <w:sz w:val="24"/>
          <w:szCs w:val="24"/>
          <w:lang w:val="pt-BR"/>
        </w:rPr>
        <w:t>spreads</w:t>
      </w:r>
      <w:r w:rsidRPr="00CA2760">
        <w:rPr>
          <w:rFonts w:ascii="Times New Roman" w:hAnsi="Times New Roman" w:cs="Times New Roman"/>
          <w:color w:val="000000"/>
          <w:sz w:val="24"/>
          <w:szCs w:val="24"/>
          <w:lang w:val="pt-BR"/>
        </w:rPr>
        <w:t>, prazos e garantias, observados os limites impostos, em conformidade com o Sistema Financeiro Nacional, a partir da proposição da SEDU, Paranacidade e/ou Fomento Paraná.</w:t>
      </w:r>
    </w:p>
    <w:p w14:paraId="6DB0DF7C" w14:textId="77777777" w:rsidR="00C46123" w:rsidRPr="00CA2760" w:rsidRDefault="00C46123" w:rsidP="00C46123">
      <w:pPr>
        <w:autoSpaceDE w:val="0"/>
        <w:autoSpaceDN w:val="0"/>
        <w:adjustRightInd w:val="0"/>
        <w:spacing w:after="0" w:line="240" w:lineRule="auto"/>
        <w:rPr>
          <w:rFonts w:ascii="Times New Roman" w:eastAsia="Times New Roman" w:hAnsi="Times New Roman" w:cs="Times New Roman"/>
          <w:color w:val="000000"/>
          <w:sz w:val="24"/>
          <w:szCs w:val="24"/>
          <w:lang w:val="pt-BR"/>
        </w:rPr>
      </w:pPr>
    </w:p>
    <w:p w14:paraId="357A9627" w14:textId="77777777" w:rsidR="00C46123" w:rsidRPr="00CA2760" w:rsidRDefault="00C46123" w:rsidP="00C46123">
      <w:pPr>
        <w:autoSpaceDE w:val="0"/>
        <w:autoSpaceDN w:val="0"/>
        <w:adjustRightInd w:val="0"/>
        <w:spacing w:after="0" w:line="240" w:lineRule="auto"/>
        <w:rPr>
          <w:rFonts w:ascii="Times New Roman" w:eastAsia="Times New Roman" w:hAnsi="Times New Roman" w:cs="Times New Roman"/>
          <w:color w:val="000000"/>
          <w:sz w:val="24"/>
          <w:szCs w:val="24"/>
          <w:lang w:val="pt-BR"/>
        </w:rPr>
      </w:pPr>
      <w:r w:rsidRPr="00CA2760">
        <w:rPr>
          <w:rFonts w:ascii="Times New Roman" w:eastAsia="Times New Roman" w:hAnsi="Times New Roman" w:cs="Times New Roman"/>
          <w:color w:val="000000"/>
          <w:sz w:val="24"/>
          <w:szCs w:val="24"/>
          <w:lang w:val="pt-BR"/>
        </w:rPr>
        <w:t>Gráfico 1.  Organograma do Comitê de Investimento do SFM</w:t>
      </w:r>
    </w:p>
    <w:p w14:paraId="3ADF249E" w14:textId="77777777" w:rsidR="00C46123" w:rsidRPr="00CA2760" w:rsidRDefault="00C46123" w:rsidP="00C46123">
      <w:pPr>
        <w:autoSpaceDE w:val="0"/>
        <w:autoSpaceDN w:val="0"/>
        <w:adjustRightInd w:val="0"/>
        <w:spacing w:after="0" w:line="240" w:lineRule="auto"/>
        <w:rPr>
          <w:rFonts w:ascii="Times New Roman" w:hAnsi="Times New Roman" w:cs="Times New Roman"/>
          <w:sz w:val="24"/>
          <w:szCs w:val="24"/>
          <w:highlight w:val="yellow"/>
          <w:lang w:val="pt-BR"/>
        </w:rPr>
      </w:pPr>
      <w:r w:rsidRPr="00CA2760">
        <w:rPr>
          <w:rFonts w:ascii="Times New Roman" w:hAnsi="Times New Roman" w:cs="Times New Roman"/>
          <w:noProof/>
          <w:color w:val="000000"/>
          <w:sz w:val="24"/>
          <w:szCs w:val="24"/>
          <w:highlight w:val="yellow"/>
          <w:lang w:val="pt-BR"/>
        </w:rPr>
        <w:drawing>
          <wp:inline distT="0" distB="0" distL="0" distR="0" wp14:anchorId="0C12FA42" wp14:editId="4F175C90">
            <wp:extent cx="5105400" cy="382905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105400" cy="3829050"/>
                    </a:xfrm>
                    <a:prstGeom prst="rect">
                      <a:avLst/>
                    </a:prstGeom>
                  </pic:spPr>
                </pic:pic>
              </a:graphicData>
            </a:graphic>
          </wp:inline>
        </w:drawing>
      </w:r>
    </w:p>
    <w:p w14:paraId="1D8CA20F" w14:textId="77777777" w:rsidR="00C46123" w:rsidRPr="00CA2760" w:rsidRDefault="00C46123" w:rsidP="00C46123">
      <w:pPr>
        <w:autoSpaceDE w:val="0"/>
        <w:autoSpaceDN w:val="0"/>
        <w:adjustRightInd w:val="0"/>
        <w:spacing w:after="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Os organogramas dos entes principais do SFM se encontram na internet:</w:t>
      </w:r>
    </w:p>
    <w:p w14:paraId="3731D910" w14:textId="77777777" w:rsidR="00C46123" w:rsidRPr="00CA2760" w:rsidRDefault="00C46123" w:rsidP="00C46123">
      <w:pPr>
        <w:pStyle w:val="ListParagraph"/>
        <w:numPr>
          <w:ilvl w:val="0"/>
          <w:numId w:val="11"/>
        </w:numPr>
        <w:spacing w:line="360" w:lineRule="auto"/>
        <w:rPr>
          <w:rStyle w:val="Hyperlink"/>
          <w:rFonts w:ascii="Times New Roman" w:hAnsi="Times New Roman" w:cs="Times New Roman"/>
          <w:color w:val="365F91" w:themeColor="accent1" w:themeShade="BF"/>
          <w:sz w:val="20"/>
          <w:szCs w:val="20"/>
          <w:u w:val="none"/>
          <w:lang w:val="pt-BR"/>
        </w:rPr>
      </w:pPr>
      <w:r w:rsidRPr="00CA2760">
        <w:rPr>
          <w:rFonts w:ascii="Times New Roman" w:hAnsi="Times New Roman" w:cs="Times New Roman"/>
          <w:sz w:val="24"/>
          <w:szCs w:val="24"/>
          <w:lang w:val="pt-BR"/>
        </w:rPr>
        <w:t xml:space="preserve">Secretaria de Desenvolvimento Urbano: </w:t>
      </w:r>
      <w:hyperlink r:id="rId14" w:history="1">
        <w:r w:rsidRPr="00CA2760">
          <w:rPr>
            <w:rStyle w:val="Hyperlink"/>
            <w:rFonts w:ascii="Times New Roman" w:hAnsi="Times New Roman" w:cs="Times New Roman"/>
            <w:sz w:val="20"/>
            <w:szCs w:val="20"/>
            <w:lang w:val="pt-BR"/>
          </w:rPr>
          <w:t>http://www.desenvolvimentourbano.pr.gov.br/modules/conteudo/conteudo.php?conteudo=100</w:t>
        </w:r>
      </w:hyperlink>
    </w:p>
    <w:p w14:paraId="0E611CD2" w14:textId="77777777" w:rsidR="00C46123" w:rsidRPr="00CA2760" w:rsidRDefault="00C46123" w:rsidP="00C46123">
      <w:pPr>
        <w:pStyle w:val="ListParagraph"/>
        <w:numPr>
          <w:ilvl w:val="0"/>
          <w:numId w:val="11"/>
        </w:numPr>
        <w:spacing w:line="360" w:lineRule="auto"/>
        <w:rPr>
          <w:rFonts w:ascii="Times New Roman" w:hAnsi="Times New Roman" w:cs="Times New Roman"/>
          <w:color w:val="365F91" w:themeColor="accent1" w:themeShade="BF"/>
          <w:sz w:val="20"/>
          <w:szCs w:val="20"/>
          <w:lang w:val="pt-BR"/>
        </w:rPr>
      </w:pPr>
      <w:r w:rsidRPr="00CA2760">
        <w:rPr>
          <w:rFonts w:ascii="Times New Roman" w:hAnsi="Times New Roman" w:cs="Times New Roman"/>
          <w:sz w:val="24"/>
          <w:szCs w:val="24"/>
          <w:lang w:val="pt-BR"/>
        </w:rPr>
        <w:t xml:space="preserve">Paranacidade:  </w:t>
      </w:r>
      <w:hyperlink r:id="rId15" w:history="1">
        <w:r w:rsidRPr="00CA2760">
          <w:rPr>
            <w:rStyle w:val="Hyperlink"/>
            <w:rFonts w:ascii="Times New Roman" w:hAnsi="Times New Roman" w:cs="Times New Roman"/>
            <w:color w:val="365F91" w:themeColor="accent1" w:themeShade="BF"/>
            <w:sz w:val="20"/>
            <w:szCs w:val="20"/>
            <w:lang w:val="pt-BR"/>
          </w:rPr>
          <w:t>http://www.paranacidade.org.br/modules/conteudo/conteudo.php?conteudo=59</w:t>
        </w:r>
      </w:hyperlink>
    </w:p>
    <w:p w14:paraId="3E9B6E3E" w14:textId="77777777" w:rsidR="00C46123" w:rsidRPr="00CA2760" w:rsidRDefault="00C46123" w:rsidP="00C46123">
      <w:pPr>
        <w:pStyle w:val="ListParagraph"/>
        <w:numPr>
          <w:ilvl w:val="0"/>
          <w:numId w:val="2"/>
        </w:numPr>
        <w:spacing w:after="0" w:line="360" w:lineRule="auto"/>
        <w:textAlignment w:val="baseline"/>
        <w:rPr>
          <w:rStyle w:val="Hyperlink"/>
          <w:rFonts w:ascii="Times New Roman" w:eastAsia="Times New Roman" w:hAnsi="Times New Roman" w:cs="Times New Roman"/>
          <w:color w:val="000000"/>
          <w:sz w:val="24"/>
          <w:szCs w:val="24"/>
          <w:u w:val="none"/>
          <w:lang w:val="pt-BR"/>
        </w:rPr>
      </w:pPr>
      <w:r w:rsidRPr="00CA2760">
        <w:rPr>
          <w:rFonts w:ascii="Times New Roman" w:hAnsi="Times New Roman" w:cs="Times New Roman"/>
          <w:sz w:val="24"/>
          <w:szCs w:val="24"/>
          <w:lang w:val="pt-BR"/>
        </w:rPr>
        <w:t xml:space="preserve">Secretaria de Estado da Fazenda:  </w:t>
      </w:r>
      <w:hyperlink r:id="rId16" w:history="1">
        <w:r w:rsidRPr="00CA2760">
          <w:rPr>
            <w:rStyle w:val="Hyperlink"/>
            <w:rFonts w:ascii="Times New Roman" w:hAnsi="Times New Roman" w:cs="Times New Roman"/>
            <w:sz w:val="20"/>
            <w:szCs w:val="20"/>
            <w:lang w:val="pt-BR"/>
          </w:rPr>
          <w:t>http://www.fazenda.pr.gov.br/modules/conteudo/conteudo.php?conteudo=434</w:t>
        </w:r>
      </w:hyperlink>
    </w:p>
    <w:p w14:paraId="6BE12513" w14:textId="77777777" w:rsidR="00C46123" w:rsidRPr="00CA2760" w:rsidRDefault="00C46123" w:rsidP="00C46123">
      <w:pPr>
        <w:pStyle w:val="ListParagraph"/>
        <w:numPr>
          <w:ilvl w:val="0"/>
          <w:numId w:val="2"/>
        </w:numPr>
        <w:spacing w:line="360" w:lineRule="auto"/>
        <w:textAlignment w:val="baseline"/>
        <w:rPr>
          <w:rStyle w:val="Hyperlink"/>
          <w:rFonts w:ascii="Times New Roman" w:eastAsia="Times New Roman" w:hAnsi="Times New Roman" w:cs="Times New Roman"/>
          <w:color w:val="000000"/>
          <w:sz w:val="24"/>
          <w:szCs w:val="24"/>
          <w:u w:val="none"/>
          <w:lang w:val="pt-BR"/>
        </w:rPr>
      </w:pPr>
      <w:r w:rsidRPr="00CA2760">
        <w:rPr>
          <w:rFonts w:ascii="Times New Roman" w:hAnsi="Times New Roman" w:cs="Times New Roman"/>
          <w:sz w:val="24"/>
          <w:szCs w:val="24"/>
          <w:lang w:val="pt-BR"/>
        </w:rPr>
        <w:lastRenderedPageBreak/>
        <w:t xml:space="preserve">Fomento Paraná: </w:t>
      </w:r>
      <w:hyperlink r:id="rId17" w:history="1">
        <w:r w:rsidRPr="00CA2760">
          <w:rPr>
            <w:rStyle w:val="Hyperlink"/>
            <w:rFonts w:ascii="Times New Roman" w:hAnsi="Times New Roman" w:cs="Times New Roman"/>
            <w:sz w:val="20"/>
            <w:szCs w:val="20"/>
            <w:lang w:val="pt-BR"/>
          </w:rPr>
          <w:t>www.fomento.pr.gov.br/arquivos/File/institucional/organograma2017a.pdf</w:t>
        </w:r>
      </w:hyperlink>
      <w:bookmarkStart w:id="12" w:name="_Hlk509841248"/>
    </w:p>
    <w:p w14:paraId="375840F7" w14:textId="77777777" w:rsidR="00C46123" w:rsidRPr="00CA2760" w:rsidRDefault="00C46123" w:rsidP="00C46123">
      <w:pPr>
        <w:spacing w:after="0" w:line="360" w:lineRule="auto"/>
        <w:textAlignment w:val="baseline"/>
        <w:rPr>
          <w:rFonts w:ascii="Times New Roman" w:eastAsia="Times New Roman" w:hAnsi="Times New Roman" w:cs="Times New Roman"/>
          <w:color w:val="000000"/>
          <w:sz w:val="24"/>
          <w:szCs w:val="24"/>
          <w:lang w:val="pt-BR"/>
        </w:rPr>
      </w:pPr>
      <w:r w:rsidRPr="00CA2760">
        <w:rPr>
          <w:rFonts w:ascii="Times New Roman" w:hAnsi="Times New Roman" w:cs="Times New Roman"/>
          <w:color w:val="000000"/>
          <w:sz w:val="24"/>
          <w:szCs w:val="24"/>
          <w:lang w:val="pt-BR"/>
        </w:rPr>
        <w:t>O Comitê de Investimento do SFM está funcionando normalmente e se reuni periodicamente para atender s</w:t>
      </w:r>
      <w:r w:rsidRPr="00CA2760">
        <w:rPr>
          <w:rFonts w:ascii="Times New Roman" w:eastAsia="Times New Roman" w:hAnsi="Times New Roman" w:cs="Times New Roman"/>
          <w:color w:val="000000"/>
          <w:sz w:val="24"/>
          <w:szCs w:val="24"/>
          <w:lang w:val="pt-BR"/>
        </w:rPr>
        <w:t xml:space="preserve">eus deveres e responsabilidades </w:t>
      </w:r>
      <w:r w:rsidRPr="00CA2760">
        <w:rPr>
          <w:rFonts w:ascii="Times New Roman" w:hAnsi="Times New Roman" w:cs="Times New Roman"/>
          <w:color w:val="000000"/>
          <w:sz w:val="24"/>
          <w:szCs w:val="24"/>
          <w:lang w:val="pt-BR"/>
        </w:rPr>
        <w:t xml:space="preserve">definidos no regimento interno.  </w:t>
      </w:r>
      <w:r w:rsidRPr="00CA2760">
        <w:rPr>
          <w:rFonts w:ascii="Times New Roman" w:eastAsia="Times New Roman" w:hAnsi="Times New Roman" w:cs="Times New Roman"/>
          <w:color w:val="000000"/>
          <w:sz w:val="24"/>
          <w:szCs w:val="24"/>
          <w:lang w:val="pt-BR"/>
        </w:rPr>
        <w:t>O Regimento Interno define o papel que o Comitê desempenha na:</w:t>
      </w:r>
    </w:p>
    <w:p w14:paraId="4FC10F55" w14:textId="77777777" w:rsidR="00C46123" w:rsidRPr="00CA2760" w:rsidRDefault="00C46123" w:rsidP="00C46123">
      <w:pPr>
        <w:pStyle w:val="ListParagraph"/>
        <w:numPr>
          <w:ilvl w:val="0"/>
          <w:numId w:val="2"/>
        </w:numPr>
        <w:spacing w:after="0" w:line="360" w:lineRule="auto"/>
        <w:textAlignment w:val="baseline"/>
        <w:rPr>
          <w:rFonts w:ascii="Times New Roman" w:eastAsia="Times New Roman" w:hAnsi="Times New Roman" w:cs="Times New Roman"/>
          <w:color w:val="000000"/>
          <w:sz w:val="24"/>
          <w:szCs w:val="24"/>
          <w:lang w:val="pt-BR"/>
        </w:rPr>
      </w:pPr>
      <w:r w:rsidRPr="00CA2760">
        <w:rPr>
          <w:rFonts w:ascii="Times New Roman" w:eastAsia="Times New Roman" w:hAnsi="Times New Roman" w:cs="Times New Roman"/>
          <w:color w:val="000000"/>
          <w:sz w:val="24"/>
          <w:szCs w:val="24"/>
          <w:lang w:val="pt-BR"/>
        </w:rPr>
        <w:t>Formulação de metas, estratégias, objetivos e prioridades.</w:t>
      </w:r>
    </w:p>
    <w:p w14:paraId="3C761449" w14:textId="77777777" w:rsidR="00C46123" w:rsidRPr="00CA2760" w:rsidRDefault="00C46123" w:rsidP="00C46123">
      <w:pPr>
        <w:pStyle w:val="ListParagraph"/>
        <w:numPr>
          <w:ilvl w:val="0"/>
          <w:numId w:val="2"/>
        </w:numPr>
        <w:spacing w:after="0" w:line="360" w:lineRule="auto"/>
        <w:textAlignment w:val="baseline"/>
        <w:rPr>
          <w:rFonts w:ascii="Times New Roman" w:eastAsia="Times New Roman" w:hAnsi="Times New Roman" w:cs="Times New Roman"/>
          <w:color w:val="000000"/>
          <w:sz w:val="24"/>
          <w:szCs w:val="24"/>
          <w:lang w:val="pt-BR"/>
        </w:rPr>
      </w:pPr>
      <w:r w:rsidRPr="00CA2760">
        <w:rPr>
          <w:rFonts w:ascii="Times New Roman" w:eastAsia="Times New Roman" w:hAnsi="Times New Roman" w:cs="Times New Roman"/>
          <w:color w:val="000000"/>
          <w:sz w:val="24"/>
          <w:szCs w:val="24"/>
          <w:lang w:val="pt-BR"/>
        </w:rPr>
        <w:t>Alocação de recursos/ Processo orçamentário. Monitoramento e controle das operações e seleção dos funcionários.</w:t>
      </w:r>
    </w:p>
    <w:p w14:paraId="18F4F749" w14:textId="77777777" w:rsidR="00C46123" w:rsidRPr="00CA2760" w:rsidRDefault="00C46123" w:rsidP="00C46123">
      <w:pPr>
        <w:pStyle w:val="ListParagraph"/>
        <w:numPr>
          <w:ilvl w:val="0"/>
          <w:numId w:val="2"/>
        </w:numPr>
        <w:spacing w:after="0" w:line="360" w:lineRule="auto"/>
        <w:textAlignment w:val="baseline"/>
        <w:rPr>
          <w:rFonts w:ascii="Times New Roman" w:eastAsia="Times New Roman" w:hAnsi="Times New Roman" w:cs="Times New Roman"/>
          <w:color w:val="000000"/>
          <w:sz w:val="24"/>
          <w:szCs w:val="24"/>
          <w:lang w:val="pt-BR"/>
        </w:rPr>
      </w:pPr>
      <w:r w:rsidRPr="00CA2760">
        <w:rPr>
          <w:rFonts w:ascii="Times New Roman" w:eastAsia="Times New Roman" w:hAnsi="Times New Roman" w:cs="Times New Roman"/>
          <w:color w:val="000000"/>
          <w:sz w:val="24"/>
          <w:szCs w:val="24"/>
          <w:lang w:val="pt-BR"/>
        </w:rPr>
        <w:t>Definição das condições para os diferentes produtos de acordo com as condições de mercado.</w:t>
      </w:r>
    </w:p>
    <w:p w14:paraId="08BF58EE" w14:textId="77777777" w:rsidR="00C46123" w:rsidRPr="00CA2760" w:rsidRDefault="00C46123" w:rsidP="00C46123">
      <w:pPr>
        <w:pStyle w:val="ListParagraph"/>
        <w:numPr>
          <w:ilvl w:val="0"/>
          <w:numId w:val="2"/>
        </w:numPr>
        <w:spacing w:after="0" w:line="360" w:lineRule="auto"/>
        <w:textAlignment w:val="baseline"/>
        <w:rPr>
          <w:rFonts w:ascii="Times New Roman" w:eastAsia="Times New Roman" w:hAnsi="Times New Roman" w:cs="Times New Roman"/>
          <w:color w:val="000000"/>
          <w:sz w:val="24"/>
          <w:szCs w:val="24"/>
          <w:lang w:val="pt-BR"/>
        </w:rPr>
      </w:pPr>
      <w:r w:rsidRPr="00CA2760">
        <w:rPr>
          <w:rFonts w:ascii="Times New Roman" w:eastAsia="Times New Roman" w:hAnsi="Times New Roman" w:cs="Times New Roman"/>
          <w:color w:val="000000"/>
          <w:sz w:val="24"/>
          <w:szCs w:val="24"/>
          <w:lang w:val="pt-BR"/>
        </w:rPr>
        <w:t>Gestão de riscos, incluindo riscos financeiros, legais e à reputação.</w:t>
      </w:r>
    </w:p>
    <w:p w14:paraId="2FC358C9" w14:textId="77777777" w:rsidR="00C46123" w:rsidRPr="00CA2760" w:rsidRDefault="00C46123" w:rsidP="00C46123">
      <w:pPr>
        <w:pStyle w:val="ListParagraph"/>
        <w:numPr>
          <w:ilvl w:val="0"/>
          <w:numId w:val="2"/>
        </w:numPr>
        <w:spacing w:after="0" w:line="360" w:lineRule="auto"/>
        <w:textAlignment w:val="baseline"/>
        <w:rPr>
          <w:rFonts w:ascii="Times New Roman" w:eastAsia="Times New Roman" w:hAnsi="Times New Roman" w:cs="Times New Roman"/>
          <w:color w:val="000000"/>
          <w:sz w:val="24"/>
          <w:szCs w:val="24"/>
          <w:lang w:val="pt-BR"/>
        </w:rPr>
      </w:pPr>
      <w:r w:rsidRPr="00CA2760">
        <w:rPr>
          <w:rFonts w:ascii="Times New Roman" w:eastAsia="Times New Roman" w:hAnsi="Times New Roman" w:cs="Times New Roman"/>
          <w:i/>
          <w:color w:val="000000"/>
          <w:sz w:val="24"/>
          <w:szCs w:val="24"/>
          <w:lang w:val="pt-BR"/>
        </w:rPr>
        <w:t>Compliance</w:t>
      </w:r>
      <w:r w:rsidRPr="00CA2760">
        <w:rPr>
          <w:rFonts w:ascii="Times New Roman" w:eastAsia="Times New Roman" w:hAnsi="Times New Roman" w:cs="Times New Roman"/>
          <w:color w:val="000000"/>
          <w:sz w:val="24"/>
          <w:szCs w:val="24"/>
          <w:lang w:val="pt-BR"/>
        </w:rPr>
        <w:t xml:space="preserve"> com as leis e regulamentos.</w:t>
      </w:r>
    </w:p>
    <w:p w14:paraId="7431E4F1" w14:textId="77777777" w:rsidR="00C46123" w:rsidRPr="00CA2760" w:rsidRDefault="00C46123" w:rsidP="00C46123">
      <w:pPr>
        <w:pStyle w:val="ListParagraph"/>
        <w:numPr>
          <w:ilvl w:val="0"/>
          <w:numId w:val="2"/>
        </w:numPr>
        <w:spacing w:line="360" w:lineRule="auto"/>
        <w:textAlignment w:val="baseline"/>
        <w:rPr>
          <w:rFonts w:ascii="Times New Roman" w:eastAsia="Times New Roman" w:hAnsi="Times New Roman" w:cs="Times New Roman"/>
          <w:color w:val="000000"/>
          <w:sz w:val="24"/>
          <w:szCs w:val="24"/>
          <w:lang w:val="pt-BR"/>
        </w:rPr>
      </w:pPr>
      <w:r w:rsidRPr="00CA2760">
        <w:rPr>
          <w:rFonts w:ascii="Times New Roman" w:eastAsia="Times New Roman" w:hAnsi="Times New Roman" w:cs="Times New Roman"/>
          <w:color w:val="000000"/>
          <w:sz w:val="24"/>
          <w:szCs w:val="24"/>
          <w:lang w:val="pt-BR"/>
        </w:rPr>
        <w:t>Auditoria e controle de conflitos de interesse.</w:t>
      </w:r>
    </w:p>
    <w:bookmarkEnd w:id="12"/>
    <w:p w14:paraId="3928EE28" w14:textId="7A4595D7" w:rsidR="00C46123" w:rsidRPr="00CA2760" w:rsidRDefault="00C46123" w:rsidP="00C46123">
      <w:pPr>
        <w:autoSpaceDE w:val="0"/>
        <w:autoSpaceDN w:val="0"/>
        <w:adjustRightInd w:val="0"/>
        <w:spacing w:line="360" w:lineRule="auto"/>
        <w:rPr>
          <w:rFonts w:ascii="Times New Roman" w:hAnsi="Times New Roman" w:cs="Times New Roman"/>
          <w:color w:val="000000"/>
          <w:sz w:val="24"/>
          <w:szCs w:val="24"/>
          <w:u w:val="single"/>
          <w:lang w:val="pt-BR"/>
        </w:rPr>
      </w:pPr>
      <w:r w:rsidRPr="00CA2760">
        <w:rPr>
          <w:rFonts w:ascii="Times New Roman" w:hAnsi="Times New Roman" w:cs="Times New Roman"/>
          <w:color w:val="000000"/>
          <w:sz w:val="24"/>
          <w:szCs w:val="24"/>
          <w:u w:val="single"/>
          <w:lang w:val="pt-BR"/>
        </w:rPr>
        <w:t xml:space="preserve">A </w:t>
      </w:r>
      <w:r w:rsidR="00E02554">
        <w:rPr>
          <w:rFonts w:ascii="Times New Roman" w:hAnsi="Times New Roman" w:cs="Times New Roman"/>
          <w:color w:val="000000"/>
          <w:sz w:val="24"/>
          <w:szCs w:val="24"/>
          <w:u w:val="single"/>
          <w:lang w:val="pt-BR"/>
        </w:rPr>
        <w:t xml:space="preserve">complexidade da </w:t>
      </w:r>
      <w:r w:rsidRPr="00CA2760">
        <w:rPr>
          <w:rFonts w:ascii="Times New Roman" w:hAnsi="Times New Roman" w:cs="Times New Roman"/>
          <w:color w:val="000000"/>
          <w:sz w:val="24"/>
          <w:szCs w:val="24"/>
          <w:u w:val="single"/>
          <w:lang w:val="pt-BR"/>
        </w:rPr>
        <w:t>estrutura institucional do SFM</w:t>
      </w:r>
    </w:p>
    <w:p w14:paraId="1DD99294" w14:textId="11FC101A" w:rsidR="00F4574E" w:rsidRPr="00E332E4" w:rsidRDefault="00C46123" w:rsidP="00F4574E">
      <w:pPr>
        <w:spacing w:line="360" w:lineRule="auto"/>
        <w:rPr>
          <w:rFonts w:ascii="Times New Roman" w:eastAsia="Times New Roman" w:hAnsi="Times New Roman" w:cs="Times New Roman"/>
          <w:sz w:val="24"/>
          <w:szCs w:val="24"/>
          <w:lang w:val="pt-PT" w:eastAsia="pt-BR"/>
        </w:rPr>
      </w:pPr>
      <w:r w:rsidRPr="00CA2760">
        <w:rPr>
          <w:rFonts w:ascii="Times New Roman" w:hAnsi="Times New Roman" w:cs="Times New Roman"/>
          <w:color w:val="000000"/>
          <w:sz w:val="24"/>
          <w:szCs w:val="24"/>
          <w:lang w:val="pt-BR"/>
        </w:rPr>
        <w:t xml:space="preserve">Mesmo após a nova lei, a estrutura institucional do SFM continua bastante complexa e requer uma coordenação eficiente e ágil entre os municípios, Paranacidade, Fomento Paraná e STN como mostra o fluxograma </w:t>
      </w:r>
      <w:r w:rsidRPr="00CA2760">
        <w:rPr>
          <w:rFonts w:ascii="Times New Roman" w:eastAsia="Times New Roman" w:hAnsi="Times New Roman" w:cs="Times New Roman"/>
          <w:color w:val="000000"/>
          <w:sz w:val="24"/>
          <w:szCs w:val="24"/>
          <w:lang w:val="pt-BR"/>
        </w:rPr>
        <w:t xml:space="preserve">do </w:t>
      </w:r>
      <w:r w:rsidRPr="00CA2760">
        <w:rPr>
          <w:rFonts w:ascii="Times New Roman" w:hAnsi="Times New Roman" w:cs="Times New Roman"/>
          <w:color w:val="000000"/>
          <w:sz w:val="24"/>
          <w:szCs w:val="24"/>
          <w:lang w:val="pt-BR"/>
        </w:rPr>
        <w:t>Regulamento Operacional do Programa (ROP) de fevereiro de 2018 no Gráfico 2. Para funcionar eficaz e eficientemente, a SFM deve ter um sistema de informação totalmente integrado que acompanha cada projeto desde o seu início até o final da amortização, conforme proposta para o Paraná III.</w:t>
      </w:r>
      <w:r w:rsidR="00F4574E">
        <w:rPr>
          <w:rFonts w:ascii="Times New Roman" w:hAnsi="Times New Roman" w:cs="Times New Roman"/>
          <w:color w:val="000000"/>
          <w:sz w:val="24"/>
          <w:szCs w:val="24"/>
          <w:lang w:val="pt-BR"/>
        </w:rPr>
        <w:t xml:space="preserve"> </w:t>
      </w:r>
      <w:r w:rsidR="00F4574E" w:rsidRPr="00E332E4">
        <w:rPr>
          <w:rFonts w:ascii="Times New Roman" w:eastAsia="Times New Roman" w:hAnsi="Times New Roman" w:cs="Times New Roman"/>
          <w:sz w:val="24"/>
          <w:szCs w:val="24"/>
          <w:lang w:val="pt-PT" w:eastAsia="pt-BR"/>
        </w:rPr>
        <w:t xml:space="preserve">A Carta Consulta do Paraná III propõe uma atualização para o sistema de informação existente no SFM, de forma a atender </w:t>
      </w:r>
      <w:r w:rsidR="005D083C">
        <w:rPr>
          <w:rFonts w:ascii="Times New Roman" w:eastAsia="Times New Roman" w:hAnsi="Times New Roman" w:cs="Times New Roman"/>
          <w:sz w:val="24"/>
          <w:szCs w:val="24"/>
          <w:lang w:val="pt-PT" w:eastAsia="pt-BR"/>
        </w:rPr>
        <w:t>suas</w:t>
      </w:r>
      <w:r w:rsidR="00F4574E" w:rsidRPr="00E332E4">
        <w:rPr>
          <w:rFonts w:ascii="Times New Roman" w:eastAsia="Times New Roman" w:hAnsi="Times New Roman" w:cs="Times New Roman"/>
          <w:sz w:val="24"/>
          <w:szCs w:val="24"/>
          <w:lang w:val="pt-PT" w:eastAsia="pt-BR"/>
        </w:rPr>
        <w:t xml:space="preserve"> necessidades. Dada a complexa estrutura institucional do SFM com duas entidades distintas (Parancidade e Fomento Paraná) em diferentes secretariados, seria necessário um sistema de informação totalmente integrado que acompanhe cada empréstimo desde o seu início até o final de sua amortização . Como com os sistemas de informação de outras entidades financeiras modernas, o sistema deve fornecer atualizações oportunas para todos os indicadores financeiros chave. Tal </w:t>
      </w:r>
      <w:r w:rsidR="00E046AC">
        <w:rPr>
          <w:rFonts w:ascii="Times New Roman" w:eastAsia="Times New Roman" w:hAnsi="Times New Roman" w:cs="Times New Roman"/>
          <w:sz w:val="24"/>
          <w:szCs w:val="24"/>
          <w:lang w:val="pt-PT" w:eastAsia="pt-BR"/>
        </w:rPr>
        <w:t xml:space="preserve">tipo de </w:t>
      </w:r>
      <w:r w:rsidR="00F4574E" w:rsidRPr="00E332E4">
        <w:rPr>
          <w:rFonts w:ascii="Times New Roman" w:eastAsia="Times New Roman" w:hAnsi="Times New Roman" w:cs="Times New Roman"/>
          <w:sz w:val="24"/>
          <w:szCs w:val="24"/>
          <w:lang w:val="pt-PT" w:eastAsia="pt-BR"/>
        </w:rPr>
        <w:t xml:space="preserve">sistema de informação seria uma exigência dos reguladores </w:t>
      </w:r>
      <w:r w:rsidR="00E046AC">
        <w:rPr>
          <w:rFonts w:ascii="Times New Roman" w:eastAsia="Times New Roman" w:hAnsi="Times New Roman" w:cs="Times New Roman"/>
          <w:sz w:val="24"/>
          <w:szCs w:val="24"/>
          <w:lang w:val="pt-PT" w:eastAsia="pt-BR"/>
        </w:rPr>
        <w:t>de paises desenvolvidos</w:t>
      </w:r>
      <w:r w:rsidR="005D083C">
        <w:rPr>
          <w:rFonts w:ascii="Times New Roman" w:eastAsia="Times New Roman" w:hAnsi="Times New Roman" w:cs="Times New Roman"/>
          <w:sz w:val="24"/>
          <w:szCs w:val="24"/>
          <w:lang w:val="pt-PT" w:eastAsia="pt-BR"/>
        </w:rPr>
        <w:t>.</w:t>
      </w:r>
    </w:p>
    <w:p w14:paraId="6843DF87" w14:textId="77777777" w:rsidR="00C46123" w:rsidRPr="00CA2760" w:rsidRDefault="00C46123" w:rsidP="00C46123">
      <w:pPr>
        <w:pStyle w:val="Paragraph"/>
        <w:autoSpaceDE w:val="0"/>
        <w:autoSpaceDN w:val="0"/>
        <w:adjustRightInd w:val="0"/>
        <w:spacing w:line="360" w:lineRule="auto"/>
        <w:rPr>
          <w:szCs w:val="24"/>
          <w:u w:val="single"/>
          <w:lang w:val="pt-BR"/>
        </w:rPr>
      </w:pPr>
      <w:r w:rsidRPr="00CA2760">
        <w:rPr>
          <w:szCs w:val="24"/>
          <w:u w:val="single"/>
          <w:lang w:val="pt-BR"/>
        </w:rPr>
        <w:t>A blindagem do FDU e integração da Fomento Paraná no SFM</w:t>
      </w:r>
    </w:p>
    <w:p w14:paraId="0EE31CAE" w14:textId="77777777" w:rsidR="00C46123" w:rsidRPr="00CA2760" w:rsidRDefault="00C46123" w:rsidP="00C46123">
      <w:pPr>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A Lei 17655 define que o SFM conta com os recursos do FDU de acordo com os: </w:t>
      </w:r>
    </w:p>
    <w:p w14:paraId="39D0027F" w14:textId="77777777" w:rsidR="00C46123" w:rsidRPr="00CA2760" w:rsidRDefault="00C46123" w:rsidP="00C46123">
      <w:pPr>
        <w:ind w:left="567"/>
        <w:rPr>
          <w:rFonts w:ascii="Times New Roman" w:hAnsi="Times New Roman" w:cs="Times New Roman"/>
          <w:sz w:val="24"/>
          <w:szCs w:val="24"/>
          <w:lang w:val="pt-BR"/>
        </w:rPr>
      </w:pPr>
      <w:r w:rsidRPr="00CA2760">
        <w:rPr>
          <w:rFonts w:ascii="Times New Roman" w:hAnsi="Times New Roman" w:cs="Times New Roman"/>
          <w:sz w:val="24"/>
          <w:szCs w:val="24"/>
          <w:lang w:val="pt-BR"/>
        </w:rPr>
        <w:lastRenderedPageBreak/>
        <w:t>respectivos retornos dos empréstimos e dos resultados das aplicações financeiras do FDU; com recursos do capital social da Fomento Paraná destinados ao setor público e respectivos retornos dos empréstimos às entidades municipais paranaenses, bem como dos resultados das aplicações financeiras; além de recursos de outras fontes.</w:t>
      </w:r>
    </w:p>
    <w:p w14:paraId="7BFCA051" w14:textId="52D4449C" w:rsidR="00C46123" w:rsidRDefault="00C46123" w:rsidP="00C46123">
      <w:pPr>
        <w:ind w:left="567"/>
        <w:rPr>
          <w:rFonts w:ascii="Times New Roman" w:hAnsi="Times New Roman" w:cs="Times New Roman"/>
          <w:sz w:val="24"/>
          <w:szCs w:val="24"/>
          <w:lang w:val="pt-BR"/>
        </w:rPr>
      </w:pPr>
      <w:r w:rsidRPr="00CA2760">
        <w:rPr>
          <w:rFonts w:ascii="Times New Roman" w:hAnsi="Times New Roman" w:cs="Times New Roman"/>
          <w:sz w:val="24"/>
          <w:szCs w:val="24"/>
          <w:lang w:val="pt-BR"/>
        </w:rPr>
        <w:t>Os retornos e os juros dos empréstimos concedidos pela Fomento Paraná e os resultados auferidos em aplicações financeiras, desde que oriundos das integralizações feitas pelo FDU, deduzidos os custos operacionais, apurados na forma da totalidade dos dividendos (. . .), deverão obrigatoriamente ser destacados e destinados para futuros empréstimos vinculados ao SFM, a partir do exercício fiscal de 2014.</w:t>
      </w:r>
    </w:p>
    <w:p w14:paraId="52FC66AD" w14:textId="77777777" w:rsidR="00587ACF" w:rsidRPr="00CA2760" w:rsidRDefault="00587ACF" w:rsidP="00587ACF">
      <w:pPr>
        <w:pStyle w:val="Paragraph"/>
        <w:autoSpaceDE w:val="0"/>
        <w:autoSpaceDN w:val="0"/>
        <w:adjustRightInd w:val="0"/>
        <w:spacing w:after="0" w:line="360" w:lineRule="auto"/>
        <w:rPr>
          <w:rFonts w:eastAsiaTheme="minorHAnsi"/>
          <w:color w:val="000000"/>
          <w:szCs w:val="24"/>
          <w:lang w:val="pt-BR"/>
        </w:rPr>
      </w:pPr>
      <w:r w:rsidRPr="00CA2760">
        <w:rPr>
          <w:szCs w:val="24"/>
          <w:lang w:val="pt-BR"/>
        </w:rPr>
        <w:t>É importante notar que o SFM conta tanto com recursos do FDU, como com os “recursos do capital social da Fomento Paraná destinados ao setor público.”  A inclusão da Fomento Paraná no SFM poderia aumentar a carteira atual de empréstimos municipais, como vem fazendo ou pretende fazer junto às parcerias com a Caixa Econômica Federal</w:t>
      </w:r>
      <w:r>
        <w:rPr>
          <w:szCs w:val="24"/>
          <w:lang w:val="pt-BR"/>
        </w:rPr>
        <w:t xml:space="preserve"> (Caixa)</w:t>
      </w:r>
      <w:r w:rsidRPr="00CA2760">
        <w:rPr>
          <w:szCs w:val="24"/>
          <w:lang w:val="pt-BR"/>
        </w:rPr>
        <w:t xml:space="preserve">, </w:t>
      </w:r>
      <w:r>
        <w:rPr>
          <w:szCs w:val="24"/>
          <w:lang w:val="pt-BR"/>
        </w:rPr>
        <w:t>Banco Nacional de Desenvolvimento Econômico e Social (</w:t>
      </w:r>
      <w:r w:rsidRPr="00CA2760">
        <w:rPr>
          <w:color w:val="000000"/>
          <w:szCs w:val="24"/>
          <w:lang w:val="pt-BR"/>
        </w:rPr>
        <w:t>BNDES</w:t>
      </w:r>
      <w:r>
        <w:rPr>
          <w:color w:val="000000"/>
          <w:szCs w:val="24"/>
          <w:lang w:val="pt-BR"/>
        </w:rPr>
        <w:t>)</w:t>
      </w:r>
      <w:r w:rsidRPr="00CA2760">
        <w:rPr>
          <w:color w:val="000000"/>
          <w:szCs w:val="24"/>
          <w:lang w:val="pt-BR"/>
        </w:rPr>
        <w:t xml:space="preserve"> e outros. </w:t>
      </w:r>
    </w:p>
    <w:p w14:paraId="3458F003" w14:textId="77777777" w:rsidR="00587ACF" w:rsidRPr="00CA2760" w:rsidRDefault="00587ACF" w:rsidP="00C46123">
      <w:pPr>
        <w:ind w:left="567"/>
        <w:rPr>
          <w:rFonts w:ascii="Times New Roman" w:hAnsi="Times New Roman" w:cs="Times New Roman"/>
          <w:sz w:val="24"/>
          <w:szCs w:val="24"/>
          <w:lang w:val="pt-BR"/>
        </w:rPr>
      </w:pPr>
    </w:p>
    <w:p w14:paraId="4F741B48" w14:textId="77777777" w:rsidR="00587ACF" w:rsidRDefault="00587ACF">
      <w:pPr>
        <w:rPr>
          <w:rFonts w:ascii="Times New Roman" w:hAnsi="Times New Roman" w:cs="Times New Roman"/>
          <w:color w:val="000000"/>
          <w:sz w:val="24"/>
          <w:szCs w:val="24"/>
          <w:lang w:val="pt-BR"/>
        </w:rPr>
      </w:pPr>
      <w:r>
        <w:rPr>
          <w:color w:val="000000"/>
          <w:szCs w:val="24"/>
          <w:lang w:val="pt-BR"/>
        </w:rPr>
        <w:br w:type="page"/>
      </w:r>
    </w:p>
    <w:p w14:paraId="6BCC93D2" w14:textId="25B297BE" w:rsidR="00C46123" w:rsidRPr="00CA2760" w:rsidRDefault="00C46123" w:rsidP="00C46123">
      <w:pPr>
        <w:pStyle w:val="Paragraph"/>
        <w:autoSpaceDE w:val="0"/>
        <w:autoSpaceDN w:val="0"/>
        <w:adjustRightInd w:val="0"/>
        <w:spacing w:after="0"/>
        <w:rPr>
          <w:szCs w:val="24"/>
          <w:lang w:val="pt-BR"/>
        </w:rPr>
      </w:pPr>
      <w:r w:rsidRPr="00CA2760">
        <w:rPr>
          <w:rFonts w:eastAsiaTheme="minorHAnsi"/>
          <w:color w:val="000000"/>
          <w:szCs w:val="24"/>
          <w:lang w:val="pt-BR"/>
        </w:rPr>
        <w:lastRenderedPageBreak/>
        <w:t xml:space="preserve">Gráfico 2. </w:t>
      </w:r>
      <w:r w:rsidRPr="00CA2760">
        <w:rPr>
          <w:szCs w:val="24"/>
          <w:lang w:val="pt-BR"/>
        </w:rPr>
        <w:t>Fluxograma das Fases de Implementação do Programa</w:t>
      </w:r>
    </w:p>
    <w:p w14:paraId="224FC33F" w14:textId="77777777" w:rsidR="00C46123" w:rsidRPr="00CA2760" w:rsidRDefault="00C46123" w:rsidP="00C46123">
      <w:pPr>
        <w:pStyle w:val="Paragraph"/>
        <w:spacing w:before="0" w:after="0"/>
        <w:ind w:left="-426" w:right="-380"/>
        <w:jc w:val="center"/>
        <w:rPr>
          <w:szCs w:val="24"/>
          <w:highlight w:val="yellow"/>
          <w:lang w:val="pt-BR"/>
        </w:rPr>
      </w:pPr>
      <w:r w:rsidRPr="00CA2760">
        <w:rPr>
          <w:noProof/>
          <w:szCs w:val="24"/>
          <w:highlight w:val="yellow"/>
          <w:lang w:val="pt-BR"/>
        </w:rPr>
        <w:drawing>
          <wp:inline distT="0" distB="0" distL="0" distR="0" wp14:anchorId="4E46EF0E" wp14:editId="124DD7C3">
            <wp:extent cx="5335270" cy="7711440"/>
            <wp:effectExtent l="0" t="0" r="0" b="3810"/>
            <wp:docPr id="6" name="Picture 6" descr="FLUXO AGENCIA PRCID MU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UXO AGENCIA PRCID MUNI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5270" cy="7711440"/>
                    </a:xfrm>
                    <a:prstGeom prst="rect">
                      <a:avLst/>
                    </a:prstGeom>
                    <a:noFill/>
                    <a:ln>
                      <a:noFill/>
                    </a:ln>
                  </pic:spPr>
                </pic:pic>
              </a:graphicData>
            </a:graphic>
          </wp:inline>
        </w:drawing>
      </w:r>
    </w:p>
    <w:p w14:paraId="69020759" w14:textId="77777777" w:rsidR="00C46123" w:rsidRPr="00CA2760" w:rsidRDefault="00C46123" w:rsidP="00C46123">
      <w:pPr>
        <w:pStyle w:val="Paragraph"/>
        <w:spacing w:before="0" w:after="0"/>
        <w:ind w:left="-426" w:right="-380" w:firstLine="1146"/>
        <w:jc w:val="left"/>
        <w:rPr>
          <w:b/>
          <w:szCs w:val="24"/>
          <w:highlight w:val="yellow"/>
          <w:lang w:val="pt-BR"/>
        </w:rPr>
      </w:pPr>
      <w:r w:rsidRPr="00CA2760">
        <w:rPr>
          <w:sz w:val="22"/>
          <w:szCs w:val="22"/>
          <w:lang w:val="pt-BR"/>
        </w:rPr>
        <w:t>Fonte: ROP (2018).</w:t>
      </w:r>
      <w:r w:rsidRPr="00CA2760">
        <w:rPr>
          <w:b/>
          <w:szCs w:val="24"/>
          <w:highlight w:val="yellow"/>
          <w:lang w:val="pt-BR"/>
        </w:rPr>
        <w:br w:type="page"/>
      </w:r>
    </w:p>
    <w:p w14:paraId="08F0ECDD" w14:textId="02D4649D" w:rsidR="00C46123" w:rsidRDefault="00C46123" w:rsidP="000108CB">
      <w:pPr>
        <w:spacing w:before="240" w:line="360" w:lineRule="auto"/>
        <w:jc w:val="center"/>
        <w:rPr>
          <w:rFonts w:ascii="Times New Roman" w:eastAsia="Times New Roman" w:hAnsi="Times New Roman" w:cs="Times New Roman"/>
          <w:b/>
          <w:sz w:val="24"/>
          <w:szCs w:val="24"/>
          <w:lang w:val="pt-BR" w:eastAsia="pt-BR"/>
        </w:rPr>
      </w:pPr>
      <w:r w:rsidRPr="000108CB">
        <w:rPr>
          <w:rFonts w:ascii="Times New Roman" w:hAnsi="Times New Roman" w:cs="Times New Roman"/>
          <w:b/>
          <w:sz w:val="24"/>
          <w:szCs w:val="24"/>
          <w:lang w:val="pt-BR"/>
        </w:rPr>
        <w:lastRenderedPageBreak/>
        <w:t>O desempenho financeiro do FDU: 2013/2017</w:t>
      </w:r>
    </w:p>
    <w:p w14:paraId="1DBB8BAA" w14:textId="77777777" w:rsidR="00C46123" w:rsidRPr="00CA2760" w:rsidRDefault="00C46123" w:rsidP="00C46123">
      <w:pPr>
        <w:shd w:val="clear" w:color="auto" w:fill="FFFFFF"/>
        <w:spacing w:after="0" w:line="360" w:lineRule="auto"/>
        <w:rPr>
          <w:rFonts w:ascii="Times New Roman" w:eastAsia="Times New Roman" w:hAnsi="Times New Roman" w:cs="Times New Roman"/>
          <w:b/>
          <w:sz w:val="24"/>
          <w:szCs w:val="24"/>
          <w:lang w:val="pt-BR" w:eastAsia="pt-BR"/>
        </w:rPr>
      </w:pPr>
      <w:r w:rsidRPr="00CA2760">
        <w:rPr>
          <w:rFonts w:ascii="Times New Roman" w:eastAsia="Times New Roman" w:hAnsi="Times New Roman" w:cs="Times New Roman"/>
          <w:b/>
          <w:sz w:val="24"/>
          <w:szCs w:val="24"/>
          <w:lang w:val="pt-BR" w:eastAsia="pt-BR"/>
        </w:rPr>
        <w:t>Os balanços do FDU</w:t>
      </w:r>
    </w:p>
    <w:p w14:paraId="29893D0B" w14:textId="1F293D89" w:rsidR="00C46123" w:rsidRPr="00CA2760" w:rsidRDefault="00C46123" w:rsidP="00A76D59">
      <w:pPr>
        <w:shd w:val="clear" w:color="auto" w:fill="FFFFFF"/>
        <w:spacing w:line="360" w:lineRule="auto"/>
        <w:rPr>
          <w:rFonts w:ascii="Times New Roman" w:eastAsia="Times New Roman" w:hAnsi="Times New Roman" w:cs="Times New Roman"/>
          <w:sz w:val="24"/>
          <w:szCs w:val="24"/>
          <w:lang w:val="pt-BR" w:eastAsia="pt-BR"/>
        </w:rPr>
      </w:pPr>
      <w:r w:rsidRPr="00B46CC2">
        <w:rPr>
          <w:rFonts w:ascii="Times New Roman" w:eastAsia="Times New Roman" w:hAnsi="Times New Roman" w:cs="Times New Roman"/>
          <w:sz w:val="24"/>
          <w:szCs w:val="24"/>
          <w:lang w:val="pt-BR" w:eastAsia="pt-BR"/>
        </w:rPr>
        <w:t xml:space="preserve">As tabelas 1, </w:t>
      </w:r>
      <w:r w:rsidR="007451C3">
        <w:rPr>
          <w:rFonts w:ascii="Times New Roman" w:eastAsia="Times New Roman" w:hAnsi="Times New Roman" w:cs="Times New Roman"/>
          <w:sz w:val="24"/>
          <w:szCs w:val="24"/>
          <w:lang w:val="pt-BR" w:eastAsia="pt-BR"/>
        </w:rPr>
        <w:t>2</w:t>
      </w:r>
      <w:r w:rsidRPr="00CA2760">
        <w:rPr>
          <w:rFonts w:ascii="Times New Roman" w:eastAsia="Times New Roman" w:hAnsi="Times New Roman" w:cs="Times New Roman"/>
          <w:sz w:val="24"/>
          <w:szCs w:val="24"/>
          <w:lang w:val="pt-BR" w:eastAsia="pt-BR"/>
        </w:rPr>
        <w:t xml:space="preserve"> e </w:t>
      </w:r>
      <w:r w:rsidR="007451C3">
        <w:rPr>
          <w:rFonts w:ascii="Times New Roman" w:eastAsia="Times New Roman" w:hAnsi="Times New Roman" w:cs="Times New Roman"/>
          <w:sz w:val="24"/>
          <w:szCs w:val="24"/>
          <w:lang w:val="pt-BR" w:eastAsia="pt-BR"/>
        </w:rPr>
        <w:t>3</w:t>
      </w:r>
      <w:r w:rsidRPr="00CA2760">
        <w:rPr>
          <w:rFonts w:ascii="Times New Roman" w:eastAsia="Times New Roman" w:hAnsi="Times New Roman" w:cs="Times New Roman"/>
          <w:sz w:val="24"/>
          <w:szCs w:val="24"/>
          <w:lang w:val="pt-BR" w:eastAsia="pt-BR"/>
        </w:rPr>
        <w:t xml:space="preserve"> mostram os balanços do FDU para o período entre 2013 e 2017 em Reais de valor nominal</w:t>
      </w:r>
      <w:r w:rsidR="000108CB">
        <w:rPr>
          <w:rFonts w:ascii="Times New Roman" w:eastAsia="Times New Roman" w:hAnsi="Times New Roman" w:cs="Times New Roman"/>
          <w:sz w:val="24"/>
          <w:szCs w:val="24"/>
          <w:lang w:val="pt-BR" w:eastAsia="pt-BR"/>
        </w:rPr>
        <w:t>,</w:t>
      </w:r>
      <w:r w:rsidR="004D20D2">
        <w:rPr>
          <w:rFonts w:ascii="Times New Roman" w:eastAsia="Times New Roman" w:hAnsi="Times New Roman" w:cs="Times New Roman"/>
          <w:sz w:val="24"/>
          <w:szCs w:val="24"/>
          <w:lang w:val="pt-BR" w:eastAsia="pt-BR"/>
        </w:rPr>
        <w:t xml:space="preserve"> </w:t>
      </w:r>
      <w:r w:rsidR="000108CB">
        <w:rPr>
          <w:rFonts w:ascii="Times New Roman" w:eastAsia="Times New Roman" w:hAnsi="Times New Roman" w:cs="Times New Roman"/>
          <w:sz w:val="24"/>
          <w:szCs w:val="24"/>
          <w:lang w:val="pt-BR" w:eastAsia="pt-BR"/>
        </w:rPr>
        <w:t xml:space="preserve">em valor </w:t>
      </w:r>
      <w:r w:rsidRPr="00CA2760">
        <w:rPr>
          <w:rFonts w:ascii="Times New Roman" w:eastAsia="Times New Roman" w:hAnsi="Times New Roman" w:cs="Times New Roman"/>
          <w:sz w:val="24"/>
          <w:szCs w:val="24"/>
          <w:lang w:val="pt-BR" w:eastAsia="pt-BR"/>
        </w:rPr>
        <w:t>constante de 2017 e em Dólares americanos, respectivamente.</w:t>
      </w:r>
      <w:r w:rsidR="00A76D59">
        <w:rPr>
          <w:rFonts w:ascii="Times New Roman" w:eastAsia="Times New Roman" w:hAnsi="Times New Roman" w:cs="Times New Roman"/>
          <w:sz w:val="24"/>
          <w:szCs w:val="24"/>
          <w:lang w:val="pt-BR" w:eastAsia="pt-BR"/>
        </w:rPr>
        <w:t xml:space="preserve"> </w:t>
      </w:r>
      <w:r w:rsidRPr="00CA2760">
        <w:rPr>
          <w:rFonts w:ascii="Times New Roman" w:eastAsia="Times New Roman" w:hAnsi="Times New Roman" w:cs="Times New Roman"/>
          <w:sz w:val="24"/>
          <w:szCs w:val="24"/>
          <w:lang w:val="pt-BR" w:eastAsia="pt-BR"/>
        </w:rPr>
        <w:t xml:space="preserve">No restante do relatório, transformaremos a moeda brasileira (Real) em seu valor de 2017 usando o Índice de Preços ao Consumidor Ampliado (IPCA) (ver </w:t>
      </w:r>
      <w:r w:rsidR="00B46CC2">
        <w:rPr>
          <w:rFonts w:ascii="Times New Roman" w:eastAsia="Times New Roman" w:hAnsi="Times New Roman" w:cs="Times New Roman"/>
          <w:sz w:val="24"/>
          <w:szCs w:val="24"/>
          <w:lang w:val="pt-BR" w:eastAsia="pt-BR"/>
        </w:rPr>
        <w:t>quadro</w:t>
      </w:r>
      <w:r w:rsidR="00B46CC2" w:rsidRPr="00CA2760">
        <w:rPr>
          <w:rFonts w:ascii="Times New Roman" w:eastAsia="Times New Roman" w:hAnsi="Times New Roman" w:cs="Times New Roman"/>
          <w:sz w:val="24"/>
          <w:szCs w:val="24"/>
          <w:lang w:val="pt-BR" w:eastAsia="pt-BR"/>
        </w:rPr>
        <w:t xml:space="preserve"> </w:t>
      </w:r>
      <w:r w:rsidR="00125E59">
        <w:rPr>
          <w:rFonts w:ascii="Times New Roman" w:eastAsia="Times New Roman" w:hAnsi="Times New Roman" w:cs="Times New Roman"/>
          <w:sz w:val="24"/>
          <w:szCs w:val="24"/>
          <w:lang w:val="pt-BR" w:eastAsia="pt-BR"/>
        </w:rPr>
        <w:t>1</w:t>
      </w:r>
      <w:r w:rsidRPr="00CA2760">
        <w:rPr>
          <w:rFonts w:ascii="Times New Roman" w:eastAsia="Times New Roman" w:hAnsi="Times New Roman" w:cs="Times New Roman"/>
          <w:sz w:val="24"/>
          <w:szCs w:val="24"/>
          <w:lang w:val="pt-BR" w:eastAsia="pt-BR"/>
        </w:rPr>
        <w:t>), e em dólares americanos usando a taxa</w:t>
      </w:r>
      <w:r w:rsidR="00707E6C">
        <w:rPr>
          <w:rFonts w:ascii="Times New Roman" w:eastAsia="Times New Roman" w:hAnsi="Times New Roman" w:cs="Times New Roman"/>
          <w:sz w:val="24"/>
          <w:szCs w:val="24"/>
          <w:lang w:val="pt-BR" w:eastAsia="pt-BR"/>
        </w:rPr>
        <w:t xml:space="preserve"> média</w:t>
      </w:r>
      <w:r w:rsidRPr="00CA2760">
        <w:rPr>
          <w:rFonts w:ascii="Times New Roman" w:eastAsia="Times New Roman" w:hAnsi="Times New Roman" w:cs="Times New Roman"/>
          <w:sz w:val="24"/>
          <w:szCs w:val="24"/>
          <w:lang w:val="pt-BR" w:eastAsia="pt-BR"/>
        </w:rPr>
        <w:t xml:space="preserve"> de câmbio comercial em 2017: US$1 = R$3</w:t>
      </w:r>
      <w:r w:rsidR="00DA38EF">
        <w:rPr>
          <w:rFonts w:ascii="Times New Roman" w:eastAsia="Times New Roman" w:hAnsi="Times New Roman" w:cs="Times New Roman"/>
          <w:sz w:val="24"/>
          <w:szCs w:val="24"/>
          <w:lang w:val="pt-BR" w:eastAsia="pt-BR"/>
        </w:rPr>
        <w:t>,</w:t>
      </w:r>
      <w:r w:rsidRPr="00CA2760">
        <w:rPr>
          <w:rFonts w:ascii="Times New Roman" w:eastAsia="Times New Roman" w:hAnsi="Times New Roman" w:cs="Times New Roman"/>
          <w:sz w:val="24"/>
          <w:szCs w:val="24"/>
          <w:lang w:val="pt-BR" w:eastAsia="pt-BR"/>
        </w:rPr>
        <w:t xml:space="preserve">20.  </w:t>
      </w:r>
    </w:p>
    <w:tbl>
      <w:tblPr>
        <w:tblStyle w:val="TableGrid"/>
        <w:tblW w:w="0" w:type="auto"/>
        <w:tblLook w:val="04A0" w:firstRow="1" w:lastRow="0" w:firstColumn="1" w:lastColumn="0" w:noHBand="0" w:noVBand="1"/>
      </w:tblPr>
      <w:tblGrid>
        <w:gridCol w:w="9350"/>
      </w:tblGrid>
      <w:tr w:rsidR="00C46123" w:rsidRPr="00A31500" w14:paraId="12741528" w14:textId="77777777" w:rsidTr="00B87A9B">
        <w:tc>
          <w:tcPr>
            <w:tcW w:w="9350" w:type="dxa"/>
            <w:vAlign w:val="center"/>
          </w:tcPr>
          <w:p w14:paraId="04C4F192" w14:textId="2BDF678B" w:rsidR="00C46123" w:rsidRPr="00CA2760" w:rsidRDefault="00B46CC2" w:rsidP="00B87A9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Quadro</w:t>
            </w:r>
            <w:r w:rsidR="005A6826">
              <w:rPr>
                <w:rFonts w:ascii="Times New Roman" w:hAnsi="Times New Roman" w:cs="Times New Roman"/>
                <w:sz w:val="24"/>
                <w:szCs w:val="24"/>
                <w:lang w:val="pt-BR"/>
              </w:rPr>
              <w:t xml:space="preserve"> </w:t>
            </w:r>
            <w:r w:rsidR="00125E59">
              <w:rPr>
                <w:rFonts w:ascii="Times New Roman" w:hAnsi="Times New Roman" w:cs="Times New Roman"/>
                <w:sz w:val="24"/>
                <w:szCs w:val="24"/>
                <w:lang w:val="pt-BR"/>
              </w:rPr>
              <w:t>1</w:t>
            </w:r>
            <w:r w:rsidR="00C46123" w:rsidRPr="00CA2760">
              <w:rPr>
                <w:rFonts w:ascii="Times New Roman" w:hAnsi="Times New Roman" w:cs="Times New Roman"/>
                <w:sz w:val="24"/>
                <w:szCs w:val="24"/>
                <w:lang w:val="pt-BR"/>
              </w:rPr>
              <w:t>. Índice de Preços ao Consumidor Ampliado (IPCA)</w:t>
            </w:r>
          </w:p>
        </w:tc>
      </w:tr>
      <w:tr w:rsidR="00C46123" w:rsidRPr="00A31500" w14:paraId="11DB118F" w14:textId="77777777" w:rsidTr="00B87A9B">
        <w:tc>
          <w:tcPr>
            <w:tcW w:w="9350" w:type="dxa"/>
          </w:tcPr>
          <w:p w14:paraId="0A5C4BF8" w14:textId="04864583" w:rsidR="00C46123" w:rsidRPr="00CA2760" w:rsidRDefault="00C46123" w:rsidP="00B87A9B">
            <w:pPr>
              <w:spacing w:after="16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O IPCA é publicado mensalmente pelo IBGE (Instituto Brasileiro de Geografia e Estatística), e tem por objetivo medir a inflação de um conjunto de produtos e serviços comercializados no varejo, referentes ao consumo pessoal das famílias. O índice foi criado com o objetivo de garantir uma cobertura de 90% das famílias pertencentes às áreas urbanas de cobertura do Sistema Nacional de Índices de Preços ao Consumidor</w:t>
            </w:r>
            <w:r w:rsidR="000108CB">
              <w:rPr>
                <w:rFonts w:ascii="Times New Roman" w:hAnsi="Times New Roman" w:cs="Times New Roman"/>
                <w:sz w:val="24"/>
                <w:szCs w:val="24"/>
                <w:lang w:val="pt-BR"/>
              </w:rPr>
              <w:t xml:space="preserve"> (IPC)</w:t>
            </w:r>
            <w:r w:rsidRPr="00CA2760">
              <w:rPr>
                <w:rFonts w:ascii="Times New Roman" w:hAnsi="Times New Roman" w:cs="Times New Roman"/>
                <w:sz w:val="24"/>
                <w:szCs w:val="24"/>
                <w:lang w:val="pt-BR"/>
              </w:rPr>
              <w:t>. O Conselho Monetário Nacional (CMN) usa o IPCA na definição da meta da inflação e seu monitoramento.</w:t>
            </w:r>
          </w:p>
        </w:tc>
      </w:tr>
    </w:tbl>
    <w:p w14:paraId="1C3D51B9" w14:textId="77777777" w:rsidR="00C46123" w:rsidRPr="00CA2760" w:rsidRDefault="00C46123" w:rsidP="00C46123">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Fonte: IBGE: </w:t>
      </w:r>
      <w:hyperlink r:id="rId19" w:history="1">
        <w:r w:rsidRPr="00CA2760">
          <w:rPr>
            <w:rStyle w:val="Hyperlink"/>
            <w:rFonts w:ascii="Times New Roman" w:hAnsi="Times New Roman" w:cs="Times New Roman"/>
            <w:sz w:val="20"/>
            <w:szCs w:val="20"/>
            <w:lang w:val="pt-BR"/>
          </w:rPr>
          <w:t>https://ww2.ibge.gov.br/home/estatistica/indicadores/precos/inpc_ipca/defaultinpc.shtm</w:t>
        </w:r>
      </w:hyperlink>
    </w:p>
    <w:p w14:paraId="7774F793" w14:textId="511DF904" w:rsidR="00C46123" w:rsidRPr="00CA2760" w:rsidRDefault="00C46123" w:rsidP="00C46123">
      <w:pPr>
        <w:shd w:val="clear" w:color="auto" w:fill="FFFFFF"/>
        <w:spacing w:after="0"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t xml:space="preserve">O FDU foi criado com os recursos iniciais de um empréstimo do Banco Mundial (1989) no valor de US$100 milhões e dois empréstimos do BID de US$249 milhões em 1996 e US$100 milhões em 2002.  Embora a mediana de inflação do IPCA anual para o período de 1996/2017 fosse de quase 6% e tenha variado acima de 12%, </w:t>
      </w:r>
      <w:r w:rsidRPr="00CA2760">
        <w:rPr>
          <w:rFonts w:ascii="Times New Roman" w:hAnsi="Times New Roman" w:cs="Times New Roman"/>
          <w:sz w:val="24"/>
          <w:szCs w:val="24"/>
          <w:lang w:val="pt-BR"/>
        </w:rPr>
        <w:t xml:space="preserve">falta de apoio de algumas administrações do governo estadual </w:t>
      </w:r>
      <w:r w:rsidRPr="00CA2760">
        <w:rPr>
          <w:rFonts w:ascii="Times New Roman" w:eastAsia="Times New Roman" w:hAnsi="Times New Roman" w:cs="Times New Roman"/>
          <w:sz w:val="24"/>
          <w:szCs w:val="24"/>
          <w:lang w:val="pt-BR" w:eastAsia="pt-BR"/>
        </w:rPr>
        <w:t xml:space="preserve">e outros obstáculos, o </w:t>
      </w:r>
      <w:r w:rsidR="000108CB">
        <w:rPr>
          <w:rFonts w:ascii="Times New Roman" w:eastAsia="Times New Roman" w:hAnsi="Times New Roman" w:cs="Times New Roman"/>
          <w:sz w:val="24"/>
          <w:szCs w:val="24"/>
          <w:lang w:val="pt-BR" w:eastAsia="pt-BR"/>
        </w:rPr>
        <w:t>PL</w:t>
      </w:r>
      <w:r w:rsidRPr="00CA2760">
        <w:rPr>
          <w:rFonts w:ascii="Times New Roman" w:eastAsia="Times New Roman" w:hAnsi="Times New Roman" w:cs="Times New Roman"/>
          <w:sz w:val="24"/>
          <w:szCs w:val="24"/>
          <w:lang w:val="pt-BR" w:eastAsia="pt-BR"/>
        </w:rPr>
        <w:t xml:space="preserve"> do FDU em 201</w:t>
      </w:r>
      <w:r w:rsidR="00A76D59">
        <w:rPr>
          <w:rFonts w:ascii="Times New Roman" w:eastAsia="Times New Roman" w:hAnsi="Times New Roman" w:cs="Times New Roman"/>
          <w:sz w:val="24"/>
          <w:szCs w:val="24"/>
          <w:lang w:val="pt-BR" w:eastAsia="pt-BR"/>
        </w:rPr>
        <w:t>3</w:t>
      </w:r>
      <w:r w:rsidRPr="00CA2760">
        <w:rPr>
          <w:rFonts w:ascii="Times New Roman" w:eastAsia="Times New Roman" w:hAnsi="Times New Roman" w:cs="Times New Roman"/>
          <w:sz w:val="24"/>
          <w:szCs w:val="24"/>
          <w:lang w:val="pt-BR" w:eastAsia="pt-BR"/>
        </w:rPr>
        <w:t xml:space="preserve"> </w:t>
      </w:r>
      <w:r w:rsidR="00635C8A">
        <w:rPr>
          <w:rFonts w:ascii="Times New Roman" w:eastAsia="Times New Roman" w:hAnsi="Times New Roman" w:cs="Times New Roman"/>
          <w:sz w:val="24"/>
          <w:szCs w:val="24"/>
          <w:lang w:val="pt-BR" w:eastAsia="pt-BR"/>
        </w:rPr>
        <w:t>chegou a quase um bilhão de Reais</w:t>
      </w:r>
      <w:r w:rsidRPr="00127938">
        <w:rPr>
          <w:rFonts w:ascii="Times New Roman" w:eastAsia="Times New Roman" w:hAnsi="Times New Roman" w:cs="Times New Roman"/>
          <w:sz w:val="24"/>
          <w:szCs w:val="24"/>
          <w:lang w:val="pt-BR" w:eastAsia="pt-BR"/>
        </w:rPr>
        <w:t>.</w:t>
      </w:r>
      <w:r w:rsidR="009875AA">
        <w:rPr>
          <w:rFonts w:ascii="Times New Roman" w:eastAsia="Times New Roman" w:hAnsi="Times New Roman" w:cs="Times New Roman"/>
          <w:sz w:val="24"/>
          <w:szCs w:val="24"/>
          <w:lang w:val="pt-BR" w:eastAsia="pt-BR"/>
        </w:rPr>
        <w:t xml:space="preserve">  </w:t>
      </w:r>
      <w:r w:rsidR="00127938" w:rsidRPr="00127938">
        <w:rPr>
          <w:rFonts w:ascii="Times New Roman" w:eastAsia="Times New Roman" w:hAnsi="Times New Roman" w:cs="Times New Roman"/>
          <w:sz w:val="24"/>
          <w:szCs w:val="24"/>
          <w:lang w:val="pt-BR" w:eastAsia="pt-BR"/>
        </w:rPr>
        <w:t xml:space="preserve">Nesse período anterior à blindagem, o FDU teria se capitalizado mais rapidamente se alguns dos governos estaduais não tivessem usado o Resultado Líquido do FDU para outros programas, em vez de aumentar seu </w:t>
      </w:r>
      <w:r w:rsidR="0044019D">
        <w:rPr>
          <w:rFonts w:ascii="Times New Roman" w:eastAsia="Times New Roman" w:hAnsi="Times New Roman" w:cs="Times New Roman"/>
          <w:sz w:val="24"/>
          <w:szCs w:val="24"/>
          <w:lang w:val="pt-BR" w:eastAsia="pt-BR"/>
        </w:rPr>
        <w:t>PL</w:t>
      </w:r>
      <w:r w:rsidR="00127938" w:rsidRPr="00127938">
        <w:rPr>
          <w:rFonts w:ascii="Times New Roman" w:eastAsia="Times New Roman" w:hAnsi="Times New Roman" w:cs="Times New Roman"/>
          <w:sz w:val="24"/>
          <w:szCs w:val="24"/>
          <w:lang w:val="pt-BR" w:eastAsia="pt-BR"/>
        </w:rPr>
        <w:t>.</w:t>
      </w:r>
    </w:p>
    <w:p w14:paraId="5D4ACCA5" w14:textId="77777777" w:rsidR="00C46123" w:rsidRPr="00CA2760" w:rsidRDefault="00C46123" w:rsidP="00C46123">
      <w:pPr>
        <w:rPr>
          <w:rFonts w:ascii="Times New Roman" w:hAnsi="Times New Roman" w:cs="Times New Roman"/>
          <w:bCs/>
          <w:sz w:val="24"/>
          <w:szCs w:val="24"/>
          <w:highlight w:val="yellow"/>
          <w:lang w:val="pt-BR"/>
        </w:rPr>
      </w:pPr>
      <w:r w:rsidRPr="00CA2760">
        <w:rPr>
          <w:rFonts w:ascii="Times New Roman" w:hAnsi="Times New Roman" w:cs="Times New Roman"/>
          <w:bCs/>
          <w:sz w:val="24"/>
          <w:szCs w:val="24"/>
          <w:highlight w:val="yellow"/>
          <w:lang w:val="pt-BR"/>
        </w:rPr>
        <w:br w:type="page"/>
      </w:r>
    </w:p>
    <w:p w14:paraId="1999B4BA" w14:textId="0751CB2B" w:rsidR="00C46123" w:rsidRPr="00CA2760" w:rsidRDefault="00C46123" w:rsidP="00C46123">
      <w:pPr>
        <w:spacing w:after="0" w:line="240" w:lineRule="auto"/>
        <w:rPr>
          <w:rFonts w:ascii="Times New Roman" w:hAnsi="Times New Roman" w:cs="Times New Roman"/>
          <w:bCs/>
          <w:sz w:val="24"/>
          <w:szCs w:val="24"/>
          <w:lang w:val="pt-BR"/>
        </w:rPr>
      </w:pPr>
      <w:r w:rsidRPr="00CA2760">
        <w:rPr>
          <w:rFonts w:ascii="Times New Roman" w:hAnsi="Times New Roman" w:cs="Times New Roman"/>
          <w:bCs/>
          <w:sz w:val="24"/>
          <w:szCs w:val="24"/>
          <w:lang w:val="pt-BR"/>
        </w:rPr>
        <w:lastRenderedPageBreak/>
        <w:t xml:space="preserve">Tabela </w:t>
      </w:r>
      <w:r w:rsidR="007451C3">
        <w:rPr>
          <w:rFonts w:ascii="Times New Roman" w:hAnsi="Times New Roman" w:cs="Times New Roman"/>
          <w:bCs/>
          <w:sz w:val="24"/>
          <w:szCs w:val="24"/>
          <w:lang w:val="pt-BR"/>
        </w:rPr>
        <w:t>1</w:t>
      </w:r>
      <w:r w:rsidRPr="00CA2760">
        <w:rPr>
          <w:rFonts w:ascii="Times New Roman" w:hAnsi="Times New Roman" w:cs="Times New Roman"/>
          <w:bCs/>
          <w:sz w:val="24"/>
          <w:szCs w:val="24"/>
          <w:lang w:val="pt-BR"/>
        </w:rPr>
        <w:t>.  FDU: Balanço Patrimonial: Em 31 de Dezembro de 2013 e 2017</w:t>
      </w:r>
    </w:p>
    <w:p w14:paraId="38B714CB" w14:textId="77777777" w:rsidR="00C46123" w:rsidRPr="00CA2760" w:rsidRDefault="00C46123" w:rsidP="00C46123">
      <w:pPr>
        <w:spacing w:after="0" w:line="240" w:lineRule="auto"/>
        <w:rPr>
          <w:rFonts w:ascii="Times New Roman" w:hAnsi="Times New Roman" w:cs="Times New Roman"/>
          <w:bCs/>
          <w:i/>
          <w:sz w:val="24"/>
          <w:szCs w:val="24"/>
          <w:lang w:val="pt-BR"/>
        </w:rPr>
      </w:pPr>
      <w:r w:rsidRPr="00CA2760">
        <w:rPr>
          <w:rFonts w:ascii="Times New Roman" w:hAnsi="Times New Roman" w:cs="Times New Roman"/>
          <w:bCs/>
          <w:i/>
          <w:sz w:val="24"/>
          <w:szCs w:val="24"/>
          <w:lang w:val="pt-BR"/>
        </w:rPr>
        <w:t>Em R$ milhões nominais</w:t>
      </w:r>
    </w:p>
    <w:tbl>
      <w:tblPr>
        <w:tblStyle w:val="TableGrid"/>
        <w:tblW w:w="0" w:type="auto"/>
        <w:tblLook w:val="04A0" w:firstRow="1" w:lastRow="0" w:firstColumn="1" w:lastColumn="0" w:noHBand="0" w:noVBand="1"/>
      </w:tblPr>
      <w:tblGrid>
        <w:gridCol w:w="3561"/>
        <w:gridCol w:w="1396"/>
        <w:gridCol w:w="906"/>
        <w:gridCol w:w="865"/>
        <w:gridCol w:w="1004"/>
        <w:gridCol w:w="1103"/>
      </w:tblGrid>
      <w:tr w:rsidR="00C46123" w:rsidRPr="00CA2760" w14:paraId="030697E5" w14:textId="77777777" w:rsidTr="00991982">
        <w:trPr>
          <w:trHeight w:val="276"/>
        </w:trPr>
        <w:tc>
          <w:tcPr>
            <w:tcW w:w="8835" w:type="dxa"/>
            <w:gridSpan w:val="6"/>
            <w:hideMark/>
          </w:tcPr>
          <w:p w14:paraId="62A585B0"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ATIVO</w:t>
            </w:r>
          </w:p>
        </w:tc>
      </w:tr>
      <w:tr w:rsidR="00C46123" w:rsidRPr="00CA2760" w14:paraId="0EEF4C60" w14:textId="77777777" w:rsidTr="00991982">
        <w:trPr>
          <w:trHeight w:val="264"/>
        </w:trPr>
        <w:tc>
          <w:tcPr>
            <w:tcW w:w="3561" w:type="dxa"/>
            <w:noWrap/>
            <w:hideMark/>
          </w:tcPr>
          <w:p w14:paraId="2EFDCF56"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w:t>
            </w:r>
          </w:p>
        </w:tc>
        <w:tc>
          <w:tcPr>
            <w:tcW w:w="1396" w:type="dxa"/>
            <w:hideMark/>
          </w:tcPr>
          <w:p w14:paraId="5A07D0FD"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2013</w:t>
            </w:r>
          </w:p>
        </w:tc>
        <w:tc>
          <w:tcPr>
            <w:tcW w:w="906" w:type="dxa"/>
            <w:hideMark/>
          </w:tcPr>
          <w:p w14:paraId="78E953F9"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2017</w:t>
            </w:r>
          </w:p>
        </w:tc>
        <w:tc>
          <w:tcPr>
            <w:tcW w:w="2972" w:type="dxa"/>
            <w:gridSpan w:val="3"/>
            <w:hideMark/>
          </w:tcPr>
          <w:p w14:paraId="2A475E09"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Variação 2013/17</w:t>
            </w:r>
          </w:p>
        </w:tc>
      </w:tr>
      <w:tr w:rsidR="00C46123" w:rsidRPr="00CA2760" w14:paraId="21A94BC7" w14:textId="77777777" w:rsidTr="00991982">
        <w:trPr>
          <w:trHeight w:val="264"/>
        </w:trPr>
        <w:tc>
          <w:tcPr>
            <w:tcW w:w="3561" w:type="dxa"/>
            <w:noWrap/>
            <w:hideMark/>
          </w:tcPr>
          <w:p w14:paraId="0D51AED5"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w:t>
            </w:r>
          </w:p>
        </w:tc>
        <w:tc>
          <w:tcPr>
            <w:tcW w:w="1396" w:type="dxa"/>
            <w:noWrap/>
            <w:hideMark/>
          </w:tcPr>
          <w:p w14:paraId="11ACDE73"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w:t>
            </w:r>
          </w:p>
        </w:tc>
        <w:tc>
          <w:tcPr>
            <w:tcW w:w="906" w:type="dxa"/>
            <w:noWrap/>
            <w:hideMark/>
          </w:tcPr>
          <w:p w14:paraId="2FDE96AE"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w:t>
            </w:r>
          </w:p>
        </w:tc>
        <w:tc>
          <w:tcPr>
            <w:tcW w:w="865" w:type="dxa"/>
            <w:hideMark/>
          </w:tcPr>
          <w:p w14:paraId="09474DD5"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xml:space="preserve"> Abs. </w:t>
            </w:r>
          </w:p>
        </w:tc>
        <w:tc>
          <w:tcPr>
            <w:tcW w:w="1004" w:type="dxa"/>
            <w:hideMark/>
          </w:tcPr>
          <w:p w14:paraId="0F8195D6"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w:t>
            </w:r>
          </w:p>
        </w:tc>
        <w:tc>
          <w:tcPr>
            <w:tcW w:w="1103" w:type="dxa"/>
            <w:hideMark/>
          </w:tcPr>
          <w:p w14:paraId="795DE1B8"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anual</w:t>
            </w:r>
          </w:p>
        </w:tc>
      </w:tr>
      <w:tr w:rsidR="00C46123" w:rsidRPr="00CA2760" w14:paraId="7804D478" w14:textId="77777777" w:rsidTr="008B2EB5">
        <w:trPr>
          <w:trHeight w:val="264"/>
        </w:trPr>
        <w:tc>
          <w:tcPr>
            <w:tcW w:w="3561" w:type="dxa"/>
            <w:noWrap/>
            <w:vAlign w:val="center"/>
            <w:hideMark/>
          </w:tcPr>
          <w:p w14:paraId="76CCD58D" w14:textId="77777777" w:rsidR="00C46123" w:rsidRPr="00CA2760" w:rsidRDefault="00C46123" w:rsidP="00ED52F6">
            <w:pPr>
              <w:rPr>
                <w:rFonts w:ascii="Arial" w:hAnsi="Arial" w:cs="Arial"/>
                <w:b/>
                <w:bCs/>
                <w:sz w:val="20"/>
                <w:szCs w:val="20"/>
                <w:lang w:val="pt-BR"/>
              </w:rPr>
            </w:pPr>
            <w:r w:rsidRPr="00CA2760">
              <w:rPr>
                <w:rFonts w:ascii="Arial" w:hAnsi="Arial" w:cs="Arial"/>
                <w:b/>
                <w:bCs/>
                <w:sz w:val="20"/>
                <w:szCs w:val="20"/>
                <w:lang w:val="pt-BR"/>
              </w:rPr>
              <w:t>TOTAL DO ATIVO CIRCULANTE</w:t>
            </w:r>
          </w:p>
        </w:tc>
        <w:tc>
          <w:tcPr>
            <w:tcW w:w="1396" w:type="dxa"/>
            <w:noWrap/>
            <w:vAlign w:val="center"/>
            <w:hideMark/>
          </w:tcPr>
          <w:p w14:paraId="2B296E45" w14:textId="77777777" w:rsidR="00C46123" w:rsidRPr="00CA2760" w:rsidRDefault="00C46123" w:rsidP="008B2EB5">
            <w:pPr>
              <w:jc w:val="right"/>
              <w:rPr>
                <w:rFonts w:ascii="Arial" w:hAnsi="Arial" w:cs="Arial"/>
                <w:b/>
                <w:bCs/>
                <w:sz w:val="20"/>
                <w:szCs w:val="20"/>
                <w:lang w:val="pt-BR"/>
              </w:rPr>
            </w:pPr>
            <w:r w:rsidRPr="00CA2760">
              <w:rPr>
                <w:rFonts w:ascii="Arial" w:hAnsi="Arial" w:cs="Arial"/>
                <w:b/>
                <w:bCs/>
                <w:sz w:val="20"/>
                <w:szCs w:val="20"/>
                <w:lang w:val="pt-BR"/>
              </w:rPr>
              <w:t>985,1</w:t>
            </w:r>
          </w:p>
        </w:tc>
        <w:tc>
          <w:tcPr>
            <w:tcW w:w="906" w:type="dxa"/>
            <w:noWrap/>
            <w:vAlign w:val="center"/>
            <w:hideMark/>
          </w:tcPr>
          <w:p w14:paraId="6F782435" w14:textId="77777777" w:rsidR="00C46123" w:rsidRPr="00CA2760" w:rsidRDefault="00C46123" w:rsidP="008B2EB5">
            <w:pPr>
              <w:jc w:val="right"/>
              <w:rPr>
                <w:rFonts w:ascii="Arial" w:hAnsi="Arial" w:cs="Arial"/>
                <w:b/>
                <w:bCs/>
                <w:sz w:val="20"/>
                <w:szCs w:val="20"/>
                <w:lang w:val="pt-BR"/>
              </w:rPr>
            </w:pPr>
            <w:r w:rsidRPr="00CA2760">
              <w:rPr>
                <w:rFonts w:ascii="Arial" w:hAnsi="Arial" w:cs="Arial"/>
                <w:b/>
                <w:bCs/>
                <w:sz w:val="20"/>
                <w:szCs w:val="20"/>
                <w:lang w:val="pt-BR"/>
              </w:rPr>
              <w:t>1.453,0</w:t>
            </w:r>
          </w:p>
        </w:tc>
        <w:tc>
          <w:tcPr>
            <w:tcW w:w="865" w:type="dxa"/>
            <w:noWrap/>
            <w:vAlign w:val="center"/>
            <w:hideMark/>
          </w:tcPr>
          <w:p w14:paraId="6F11E89B" w14:textId="77777777" w:rsidR="00C46123" w:rsidRPr="00CA2760" w:rsidRDefault="00C46123" w:rsidP="008B2EB5">
            <w:pPr>
              <w:jc w:val="right"/>
              <w:rPr>
                <w:rFonts w:ascii="Arial" w:hAnsi="Arial" w:cs="Arial"/>
                <w:b/>
                <w:bCs/>
                <w:sz w:val="20"/>
                <w:szCs w:val="20"/>
                <w:lang w:val="pt-BR"/>
              </w:rPr>
            </w:pPr>
            <w:r w:rsidRPr="00CA2760">
              <w:rPr>
                <w:rFonts w:ascii="Arial" w:hAnsi="Arial" w:cs="Arial"/>
                <w:b/>
                <w:bCs/>
                <w:sz w:val="20"/>
                <w:szCs w:val="20"/>
                <w:lang w:val="pt-BR"/>
              </w:rPr>
              <w:t>467,8</w:t>
            </w:r>
          </w:p>
        </w:tc>
        <w:tc>
          <w:tcPr>
            <w:tcW w:w="1004" w:type="dxa"/>
            <w:noWrap/>
            <w:vAlign w:val="center"/>
            <w:hideMark/>
          </w:tcPr>
          <w:p w14:paraId="1D157D1E" w14:textId="2527737F" w:rsidR="00C46123" w:rsidRPr="00CA2760" w:rsidRDefault="00E82174" w:rsidP="008B2EB5">
            <w:pPr>
              <w:jc w:val="right"/>
              <w:rPr>
                <w:rFonts w:ascii="Arial" w:hAnsi="Arial" w:cs="Arial"/>
                <w:b/>
                <w:bCs/>
                <w:sz w:val="20"/>
                <w:szCs w:val="20"/>
                <w:lang w:val="pt-BR"/>
              </w:rPr>
            </w:pPr>
            <w:r>
              <w:rPr>
                <w:rFonts w:ascii="Arial" w:hAnsi="Arial" w:cs="Arial"/>
                <w:b/>
                <w:bCs/>
                <w:sz w:val="20"/>
                <w:szCs w:val="20"/>
              </w:rPr>
              <w:t>47,5%</w:t>
            </w:r>
          </w:p>
        </w:tc>
        <w:tc>
          <w:tcPr>
            <w:tcW w:w="1103" w:type="dxa"/>
            <w:noWrap/>
            <w:vAlign w:val="center"/>
            <w:hideMark/>
          </w:tcPr>
          <w:p w14:paraId="5C6DB6A6" w14:textId="77777777" w:rsidR="00C46123" w:rsidRPr="00CA2760" w:rsidRDefault="00C46123" w:rsidP="008B2EB5">
            <w:pPr>
              <w:jc w:val="right"/>
              <w:rPr>
                <w:rFonts w:ascii="Arial" w:hAnsi="Arial" w:cs="Arial"/>
                <w:b/>
                <w:bCs/>
                <w:sz w:val="20"/>
                <w:szCs w:val="20"/>
                <w:lang w:val="pt-BR"/>
              </w:rPr>
            </w:pPr>
            <w:r w:rsidRPr="00CA2760">
              <w:rPr>
                <w:rFonts w:ascii="Arial" w:hAnsi="Arial" w:cs="Arial"/>
                <w:b/>
                <w:bCs/>
                <w:sz w:val="20"/>
                <w:szCs w:val="20"/>
                <w:lang w:val="pt-BR"/>
              </w:rPr>
              <w:t>10,2%</w:t>
            </w:r>
          </w:p>
        </w:tc>
      </w:tr>
      <w:tr w:rsidR="00991982" w:rsidRPr="00CA2760" w14:paraId="219054A3" w14:textId="77777777" w:rsidTr="008B2EB5">
        <w:trPr>
          <w:trHeight w:val="264"/>
        </w:trPr>
        <w:tc>
          <w:tcPr>
            <w:tcW w:w="3561" w:type="dxa"/>
            <w:noWrap/>
            <w:hideMark/>
          </w:tcPr>
          <w:p w14:paraId="6C57FB73" w14:textId="77777777" w:rsidR="00991982" w:rsidRPr="00CA2760" w:rsidRDefault="00991982" w:rsidP="00991982">
            <w:pPr>
              <w:rPr>
                <w:rFonts w:ascii="Arial" w:hAnsi="Arial" w:cs="Arial"/>
                <w:sz w:val="20"/>
                <w:szCs w:val="20"/>
                <w:lang w:val="pt-BR"/>
              </w:rPr>
            </w:pPr>
            <w:r w:rsidRPr="00CA2760">
              <w:rPr>
                <w:rFonts w:ascii="Arial" w:hAnsi="Arial" w:cs="Arial"/>
                <w:sz w:val="20"/>
                <w:szCs w:val="20"/>
                <w:lang w:val="pt-BR"/>
              </w:rPr>
              <w:t>Aplicações Financeiras</w:t>
            </w:r>
          </w:p>
        </w:tc>
        <w:tc>
          <w:tcPr>
            <w:tcW w:w="1396" w:type="dxa"/>
            <w:noWrap/>
            <w:vAlign w:val="center"/>
            <w:hideMark/>
          </w:tcPr>
          <w:p w14:paraId="06564E5C" w14:textId="77777777" w:rsidR="00991982" w:rsidRPr="00CA2760" w:rsidRDefault="00991982" w:rsidP="008B2EB5">
            <w:pPr>
              <w:jc w:val="right"/>
              <w:rPr>
                <w:rFonts w:ascii="Arial" w:hAnsi="Arial" w:cs="Arial"/>
                <w:sz w:val="20"/>
                <w:szCs w:val="20"/>
                <w:lang w:val="pt-BR"/>
              </w:rPr>
            </w:pPr>
            <w:r w:rsidRPr="00CA2760">
              <w:rPr>
                <w:rFonts w:ascii="Arial" w:hAnsi="Arial" w:cs="Arial"/>
                <w:sz w:val="20"/>
                <w:szCs w:val="20"/>
                <w:lang w:val="pt-BR"/>
              </w:rPr>
              <w:t>404,9</w:t>
            </w:r>
          </w:p>
        </w:tc>
        <w:tc>
          <w:tcPr>
            <w:tcW w:w="906" w:type="dxa"/>
            <w:noWrap/>
            <w:vAlign w:val="center"/>
            <w:hideMark/>
          </w:tcPr>
          <w:p w14:paraId="3808E255" w14:textId="77777777" w:rsidR="00991982" w:rsidRPr="00CA2760" w:rsidRDefault="00991982" w:rsidP="008B2EB5">
            <w:pPr>
              <w:jc w:val="right"/>
              <w:rPr>
                <w:rFonts w:ascii="Arial" w:hAnsi="Arial" w:cs="Arial"/>
                <w:sz w:val="20"/>
                <w:szCs w:val="20"/>
                <w:lang w:val="pt-BR"/>
              </w:rPr>
            </w:pPr>
            <w:r w:rsidRPr="00CA2760">
              <w:rPr>
                <w:rFonts w:ascii="Arial" w:hAnsi="Arial" w:cs="Arial"/>
                <w:sz w:val="20"/>
                <w:szCs w:val="20"/>
                <w:lang w:val="pt-BR"/>
              </w:rPr>
              <w:t>587,3</w:t>
            </w:r>
          </w:p>
        </w:tc>
        <w:tc>
          <w:tcPr>
            <w:tcW w:w="865" w:type="dxa"/>
            <w:noWrap/>
            <w:vAlign w:val="center"/>
            <w:hideMark/>
          </w:tcPr>
          <w:p w14:paraId="47DFB896" w14:textId="77777777" w:rsidR="00991982" w:rsidRPr="00CA2760" w:rsidRDefault="00991982" w:rsidP="008B2EB5">
            <w:pPr>
              <w:jc w:val="right"/>
              <w:rPr>
                <w:rFonts w:ascii="Arial" w:hAnsi="Arial" w:cs="Arial"/>
                <w:sz w:val="20"/>
                <w:szCs w:val="20"/>
                <w:lang w:val="pt-BR"/>
              </w:rPr>
            </w:pPr>
            <w:r w:rsidRPr="00CA2760">
              <w:rPr>
                <w:rFonts w:ascii="Arial" w:hAnsi="Arial" w:cs="Arial"/>
                <w:sz w:val="20"/>
                <w:szCs w:val="20"/>
                <w:lang w:val="pt-BR"/>
              </w:rPr>
              <w:t>182,4</w:t>
            </w:r>
          </w:p>
        </w:tc>
        <w:tc>
          <w:tcPr>
            <w:tcW w:w="1004" w:type="dxa"/>
            <w:noWrap/>
            <w:vAlign w:val="center"/>
            <w:hideMark/>
          </w:tcPr>
          <w:p w14:paraId="6CB926EF" w14:textId="1A5F1E6E" w:rsidR="00991982" w:rsidRPr="00CA2760" w:rsidRDefault="00991982" w:rsidP="008B2EB5">
            <w:pPr>
              <w:jc w:val="right"/>
              <w:rPr>
                <w:rFonts w:ascii="Arial" w:hAnsi="Arial" w:cs="Arial"/>
                <w:sz w:val="20"/>
                <w:szCs w:val="20"/>
                <w:lang w:val="pt-BR"/>
              </w:rPr>
            </w:pPr>
            <w:r>
              <w:rPr>
                <w:rFonts w:ascii="Arial" w:hAnsi="Arial" w:cs="Arial"/>
                <w:sz w:val="20"/>
                <w:szCs w:val="20"/>
              </w:rPr>
              <w:t>45,0%</w:t>
            </w:r>
          </w:p>
        </w:tc>
        <w:tc>
          <w:tcPr>
            <w:tcW w:w="1103" w:type="dxa"/>
            <w:noWrap/>
            <w:vAlign w:val="center"/>
            <w:hideMark/>
          </w:tcPr>
          <w:p w14:paraId="161793DD" w14:textId="77777777" w:rsidR="00991982" w:rsidRPr="00CA2760" w:rsidRDefault="00991982" w:rsidP="008B2EB5">
            <w:pPr>
              <w:jc w:val="right"/>
              <w:rPr>
                <w:rFonts w:ascii="Arial" w:hAnsi="Arial" w:cs="Arial"/>
                <w:sz w:val="20"/>
                <w:szCs w:val="20"/>
                <w:lang w:val="pt-BR"/>
              </w:rPr>
            </w:pPr>
            <w:r w:rsidRPr="00CA2760">
              <w:rPr>
                <w:rFonts w:ascii="Arial" w:hAnsi="Arial" w:cs="Arial"/>
                <w:sz w:val="20"/>
                <w:szCs w:val="20"/>
                <w:lang w:val="pt-BR"/>
              </w:rPr>
              <w:t>9,7%</w:t>
            </w:r>
          </w:p>
        </w:tc>
      </w:tr>
      <w:tr w:rsidR="00991982" w:rsidRPr="00CA2760" w14:paraId="4B96098A" w14:textId="77777777" w:rsidTr="008B2EB5">
        <w:trPr>
          <w:trHeight w:val="264"/>
        </w:trPr>
        <w:tc>
          <w:tcPr>
            <w:tcW w:w="3561" w:type="dxa"/>
            <w:noWrap/>
            <w:hideMark/>
          </w:tcPr>
          <w:p w14:paraId="390BB267" w14:textId="77777777" w:rsidR="00991982" w:rsidRPr="00CA2760" w:rsidRDefault="00991982" w:rsidP="00991982">
            <w:pPr>
              <w:rPr>
                <w:rFonts w:ascii="Arial" w:hAnsi="Arial" w:cs="Arial"/>
                <w:sz w:val="20"/>
                <w:szCs w:val="20"/>
                <w:lang w:val="pt-BR"/>
              </w:rPr>
            </w:pPr>
            <w:r w:rsidRPr="00CA2760">
              <w:rPr>
                <w:rFonts w:ascii="Arial" w:hAnsi="Arial" w:cs="Arial"/>
                <w:sz w:val="20"/>
                <w:szCs w:val="20"/>
                <w:lang w:val="pt-BR"/>
              </w:rPr>
              <w:t>Financiamentos Concedidos aos Municípios</w:t>
            </w:r>
          </w:p>
        </w:tc>
        <w:tc>
          <w:tcPr>
            <w:tcW w:w="1396" w:type="dxa"/>
            <w:noWrap/>
            <w:vAlign w:val="center"/>
            <w:hideMark/>
          </w:tcPr>
          <w:p w14:paraId="10C7F44F" w14:textId="77777777" w:rsidR="00991982" w:rsidRPr="00CA2760" w:rsidRDefault="00991982" w:rsidP="008B2EB5">
            <w:pPr>
              <w:jc w:val="right"/>
              <w:rPr>
                <w:rFonts w:ascii="Arial" w:hAnsi="Arial" w:cs="Arial"/>
                <w:sz w:val="20"/>
                <w:szCs w:val="20"/>
                <w:lang w:val="pt-BR"/>
              </w:rPr>
            </w:pPr>
            <w:r w:rsidRPr="00CA2760">
              <w:rPr>
                <w:rFonts w:ascii="Arial" w:hAnsi="Arial" w:cs="Arial"/>
                <w:sz w:val="20"/>
                <w:szCs w:val="20"/>
                <w:lang w:val="pt-BR"/>
              </w:rPr>
              <w:t>574,2</w:t>
            </w:r>
          </w:p>
        </w:tc>
        <w:tc>
          <w:tcPr>
            <w:tcW w:w="906" w:type="dxa"/>
            <w:noWrap/>
            <w:vAlign w:val="center"/>
            <w:hideMark/>
          </w:tcPr>
          <w:p w14:paraId="61F43AD6" w14:textId="77777777" w:rsidR="00991982" w:rsidRPr="00CA2760" w:rsidRDefault="00991982" w:rsidP="008B2EB5">
            <w:pPr>
              <w:jc w:val="right"/>
              <w:rPr>
                <w:rFonts w:ascii="Arial" w:hAnsi="Arial" w:cs="Arial"/>
                <w:sz w:val="20"/>
                <w:szCs w:val="20"/>
                <w:lang w:val="pt-BR"/>
              </w:rPr>
            </w:pPr>
            <w:r w:rsidRPr="00CA2760">
              <w:rPr>
                <w:rFonts w:ascii="Arial" w:hAnsi="Arial" w:cs="Arial"/>
                <w:sz w:val="20"/>
                <w:szCs w:val="20"/>
                <w:lang w:val="pt-BR"/>
              </w:rPr>
              <w:t>848,3</w:t>
            </w:r>
          </w:p>
        </w:tc>
        <w:tc>
          <w:tcPr>
            <w:tcW w:w="865" w:type="dxa"/>
            <w:noWrap/>
            <w:vAlign w:val="center"/>
            <w:hideMark/>
          </w:tcPr>
          <w:p w14:paraId="71821029" w14:textId="77777777" w:rsidR="00991982" w:rsidRPr="00CA2760" w:rsidRDefault="00991982" w:rsidP="008B2EB5">
            <w:pPr>
              <w:jc w:val="right"/>
              <w:rPr>
                <w:rFonts w:ascii="Arial" w:hAnsi="Arial" w:cs="Arial"/>
                <w:sz w:val="20"/>
                <w:szCs w:val="20"/>
                <w:lang w:val="pt-BR"/>
              </w:rPr>
            </w:pPr>
            <w:r w:rsidRPr="00CA2760">
              <w:rPr>
                <w:rFonts w:ascii="Arial" w:hAnsi="Arial" w:cs="Arial"/>
                <w:sz w:val="20"/>
                <w:szCs w:val="20"/>
                <w:lang w:val="pt-BR"/>
              </w:rPr>
              <w:t>274,1</w:t>
            </w:r>
          </w:p>
        </w:tc>
        <w:tc>
          <w:tcPr>
            <w:tcW w:w="1004" w:type="dxa"/>
            <w:noWrap/>
            <w:vAlign w:val="center"/>
            <w:hideMark/>
          </w:tcPr>
          <w:p w14:paraId="25B2EEBB" w14:textId="4E1F1FB4" w:rsidR="00991982" w:rsidRPr="00CA2760" w:rsidRDefault="00991982" w:rsidP="008B2EB5">
            <w:pPr>
              <w:jc w:val="right"/>
              <w:rPr>
                <w:rFonts w:ascii="Arial" w:hAnsi="Arial" w:cs="Arial"/>
                <w:sz w:val="20"/>
                <w:szCs w:val="20"/>
                <w:lang w:val="pt-BR"/>
              </w:rPr>
            </w:pPr>
            <w:r>
              <w:rPr>
                <w:rFonts w:ascii="Arial" w:hAnsi="Arial" w:cs="Arial"/>
                <w:sz w:val="20"/>
                <w:szCs w:val="20"/>
              </w:rPr>
              <w:t>47,7%</w:t>
            </w:r>
          </w:p>
        </w:tc>
        <w:tc>
          <w:tcPr>
            <w:tcW w:w="1103" w:type="dxa"/>
            <w:noWrap/>
            <w:vAlign w:val="center"/>
            <w:hideMark/>
          </w:tcPr>
          <w:p w14:paraId="5C7D3CE5" w14:textId="77777777" w:rsidR="00991982" w:rsidRPr="00CA2760" w:rsidRDefault="00991982" w:rsidP="008B2EB5">
            <w:pPr>
              <w:jc w:val="right"/>
              <w:rPr>
                <w:rFonts w:ascii="Arial" w:hAnsi="Arial" w:cs="Arial"/>
                <w:sz w:val="20"/>
                <w:szCs w:val="20"/>
                <w:lang w:val="pt-BR"/>
              </w:rPr>
            </w:pPr>
            <w:r w:rsidRPr="00CA2760">
              <w:rPr>
                <w:rFonts w:ascii="Arial" w:hAnsi="Arial" w:cs="Arial"/>
                <w:sz w:val="20"/>
                <w:szCs w:val="20"/>
                <w:lang w:val="pt-BR"/>
              </w:rPr>
              <w:t>10,2%</w:t>
            </w:r>
          </w:p>
        </w:tc>
      </w:tr>
      <w:tr w:rsidR="00991982" w:rsidRPr="00CA2760" w14:paraId="0C98C112" w14:textId="77777777" w:rsidTr="008B2EB5">
        <w:trPr>
          <w:trHeight w:val="528"/>
        </w:trPr>
        <w:tc>
          <w:tcPr>
            <w:tcW w:w="3561" w:type="dxa"/>
            <w:hideMark/>
          </w:tcPr>
          <w:p w14:paraId="55F8BFA2" w14:textId="77777777" w:rsidR="00991982" w:rsidRPr="00CA2760" w:rsidRDefault="00991982" w:rsidP="00991982">
            <w:pPr>
              <w:rPr>
                <w:rFonts w:ascii="Arial" w:hAnsi="Arial" w:cs="Arial"/>
                <w:sz w:val="20"/>
                <w:szCs w:val="20"/>
                <w:lang w:val="pt-BR"/>
              </w:rPr>
            </w:pPr>
            <w:r w:rsidRPr="00CA2760">
              <w:rPr>
                <w:rFonts w:ascii="Arial" w:hAnsi="Arial" w:cs="Arial"/>
                <w:sz w:val="20"/>
                <w:szCs w:val="20"/>
                <w:lang w:val="pt-BR"/>
              </w:rPr>
              <w:t>Caixa, Bancos, Contas a Receber e Outros Créditos</w:t>
            </w:r>
          </w:p>
        </w:tc>
        <w:tc>
          <w:tcPr>
            <w:tcW w:w="1396" w:type="dxa"/>
            <w:noWrap/>
            <w:vAlign w:val="center"/>
            <w:hideMark/>
          </w:tcPr>
          <w:p w14:paraId="42DC9526" w14:textId="77777777" w:rsidR="00991982" w:rsidRPr="00CA2760" w:rsidRDefault="00991982" w:rsidP="008B2EB5">
            <w:pPr>
              <w:jc w:val="right"/>
              <w:rPr>
                <w:rFonts w:ascii="Arial" w:hAnsi="Arial" w:cs="Arial"/>
                <w:sz w:val="20"/>
                <w:szCs w:val="20"/>
                <w:lang w:val="pt-BR"/>
              </w:rPr>
            </w:pPr>
            <w:r w:rsidRPr="00CA2760">
              <w:rPr>
                <w:rFonts w:ascii="Arial" w:hAnsi="Arial" w:cs="Arial"/>
                <w:sz w:val="20"/>
                <w:szCs w:val="20"/>
                <w:lang w:val="pt-BR"/>
              </w:rPr>
              <w:t>6,0</w:t>
            </w:r>
          </w:p>
        </w:tc>
        <w:tc>
          <w:tcPr>
            <w:tcW w:w="906" w:type="dxa"/>
            <w:noWrap/>
            <w:vAlign w:val="center"/>
            <w:hideMark/>
          </w:tcPr>
          <w:p w14:paraId="2352B0D7" w14:textId="77777777" w:rsidR="00991982" w:rsidRPr="00CA2760" w:rsidRDefault="00991982" w:rsidP="008B2EB5">
            <w:pPr>
              <w:jc w:val="right"/>
              <w:rPr>
                <w:rFonts w:ascii="Arial" w:hAnsi="Arial" w:cs="Arial"/>
                <w:sz w:val="20"/>
                <w:szCs w:val="20"/>
                <w:lang w:val="pt-BR"/>
              </w:rPr>
            </w:pPr>
            <w:r w:rsidRPr="00CA2760">
              <w:rPr>
                <w:rFonts w:ascii="Arial" w:hAnsi="Arial" w:cs="Arial"/>
                <w:sz w:val="20"/>
                <w:szCs w:val="20"/>
                <w:lang w:val="pt-BR"/>
              </w:rPr>
              <w:t>17,3</w:t>
            </w:r>
          </w:p>
        </w:tc>
        <w:tc>
          <w:tcPr>
            <w:tcW w:w="865" w:type="dxa"/>
            <w:noWrap/>
            <w:vAlign w:val="center"/>
            <w:hideMark/>
          </w:tcPr>
          <w:p w14:paraId="3657005F" w14:textId="77777777" w:rsidR="00991982" w:rsidRPr="00CA2760" w:rsidRDefault="00991982" w:rsidP="008B2EB5">
            <w:pPr>
              <w:jc w:val="right"/>
              <w:rPr>
                <w:rFonts w:ascii="Arial" w:hAnsi="Arial" w:cs="Arial"/>
                <w:sz w:val="20"/>
                <w:szCs w:val="20"/>
                <w:lang w:val="pt-BR"/>
              </w:rPr>
            </w:pPr>
            <w:r w:rsidRPr="00CA2760">
              <w:rPr>
                <w:rFonts w:ascii="Arial" w:hAnsi="Arial" w:cs="Arial"/>
                <w:sz w:val="20"/>
                <w:szCs w:val="20"/>
                <w:lang w:val="pt-BR"/>
              </w:rPr>
              <w:t>11,3</w:t>
            </w:r>
          </w:p>
        </w:tc>
        <w:tc>
          <w:tcPr>
            <w:tcW w:w="1004" w:type="dxa"/>
            <w:noWrap/>
            <w:vAlign w:val="center"/>
            <w:hideMark/>
          </w:tcPr>
          <w:p w14:paraId="42B6154D" w14:textId="1B1009A5" w:rsidR="00991982" w:rsidRPr="00CA2760" w:rsidRDefault="00991982" w:rsidP="008B2EB5">
            <w:pPr>
              <w:jc w:val="right"/>
              <w:rPr>
                <w:rFonts w:ascii="Arial" w:hAnsi="Arial" w:cs="Arial"/>
                <w:sz w:val="20"/>
                <w:szCs w:val="20"/>
                <w:lang w:val="pt-BR"/>
              </w:rPr>
            </w:pPr>
            <w:r>
              <w:rPr>
                <w:rFonts w:ascii="Arial" w:hAnsi="Arial" w:cs="Arial"/>
                <w:sz w:val="20"/>
                <w:szCs w:val="20"/>
              </w:rPr>
              <w:t>189,3%</w:t>
            </w:r>
          </w:p>
        </w:tc>
        <w:tc>
          <w:tcPr>
            <w:tcW w:w="1103" w:type="dxa"/>
            <w:noWrap/>
            <w:vAlign w:val="center"/>
            <w:hideMark/>
          </w:tcPr>
          <w:p w14:paraId="5E5C0E2D" w14:textId="77777777" w:rsidR="00991982" w:rsidRPr="00CA2760" w:rsidRDefault="00991982" w:rsidP="008B2EB5">
            <w:pPr>
              <w:jc w:val="right"/>
              <w:rPr>
                <w:rFonts w:ascii="Arial" w:hAnsi="Arial" w:cs="Arial"/>
                <w:sz w:val="20"/>
                <w:szCs w:val="20"/>
                <w:lang w:val="pt-BR"/>
              </w:rPr>
            </w:pPr>
            <w:r w:rsidRPr="00CA2760">
              <w:rPr>
                <w:rFonts w:ascii="Arial" w:hAnsi="Arial" w:cs="Arial"/>
                <w:sz w:val="20"/>
                <w:szCs w:val="20"/>
                <w:lang w:val="pt-BR"/>
              </w:rPr>
              <w:t>30,4%</w:t>
            </w:r>
          </w:p>
        </w:tc>
      </w:tr>
      <w:tr w:rsidR="00C46123" w:rsidRPr="00A31500" w14:paraId="19EBEA02" w14:textId="77777777" w:rsidTr="008B2EB5">
        <w:trPr>
          <w:trHeight w:val="264"/>
        </w:trPr>
        <w:tc>
          <w:tcPr>
            <w:tcW w:w="3561" w:type="dxa"/>
            <w:noWrap/>
            <w:hideMark/>
          </w:tcPr>
          <w:p w14:paraId="5B339885"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TOTAL DO ATIVO NÃO CIRCULANTE</w:t>
            </w:r>
          </w:p>
        </w:tc>
        <w:tc>
          <w:tcPr>
            <w:tcW w:w="1396" w:type="dxa"/>
            <w:noWrap/>
            <w:vAlign w:val="center"/>
          </w:tcPr>
          <w:p w14:paraId="656EFD02" w14:textId="562342E3" w:rsidR="00C46123" w:rsidRPr="00CA2760" w:rsidRDefault="00C46123" w:rsidP="008B2EB5">
            <w:pPr>
              <w:jc w:val="right"/>
              <w:rPr>
                <w:rFonts w:ascii="Arial" w:hAnsi="Arial" w:cs="Arial"/>
                <w:b/>
                <w:bCs/>
                <w:sz w:val="20"/>
                <w:szCs w:val="20"/>
                <w:lang w:val="pt-BR"/>
              </w:rPr>
            </w:pPr>
          </w:p>
        </w:tc>
        <w:tc>
          <w:tcPr>
            <w:tcW w:w="906" w:type="dxa"/>
            <w:noWrap/>
            <w:vAlign w:val="center"/>
          </w:tcPr>
          <w:p w14:paraId="6DED15A2" w14:textId="21C9EB7D" w:rsidR="00C46123" w:rsidRPr="00CA2760" w:rsidRDefault="00C46123" w:rsidP="008B2EB5">
            <w:pPr>
              <w:jc w:val="right"/>
              <w:rPr>
                <w:rFonts w:ascii="Arial" w:hAnsi="Arial" w:cs="Arial"/>
                <w:b/>
                <w:bCs/>
                <w:sz w:val="20"/>
                <w:szCs w:val="20"/>
                <w:lang w:val="pt-BR"/>
              </w:rPr>
            </w:pPr>
          </w:p>
        </w:tc>
        <w:tc>
          <w:tcPr>
            <w:tcW w:w="865" w:type="dxa"/>
            <w:noWrap/>
            <w:vAlign w:val="center"/>
          </w:tcPr>
          <w:p w14:paraId="3B63D4DF" w14:textId="77777777" w:rsidR="00C46123" w:rsidRPr="00CA2760" w:rsidRDefault="00C46123" w:rsidP="008B2EB5">
            <w:pPr>
              <w:jc w:val="right"/>
              <w:rPr>
                <w:rFonts w:ascii="Arial" w:hAnsi="Arial" w:cs="Arial"/>
                <w:b/>
                <w:bCs/>
                <w:sz w:val="20"/>
                <w:szCs w:val="20"/>
                <w:lang w:val="pt-BR"/>
              </w:rPr>
            </w:pPr>
          </w:p>
        </w:tc>
        <w:tc>
          <w:tcPr>
            <w:tcW w:w="1004" w:type="dxa"/>
            <w:noWrap/>
            <w:vAlign w:val="center"/>
          </w:tcPr>
          <w:p w14:paraId="7FEA53F0" w14:textId="77777777" w:rsidR="00C46123" w:rsidRPr="00CA2760" w:rsidRDefault="00C46123" w:rsidP="008B2EB5">
            <w:pPr>
              <w:jc w:val="right"/>
              <w:rPr>
                <w:rFonts w:ascii="Arial" w:hAnsi="Arial" w:cs="Arial"/>
                <w:b/>
                <w:bCs/>
                <w:sz w:val="20"/>
                <w:szCs w:val="20"/>
                <w:lang w:val="pt-BR"/>
              </w:rPr>
            </w:pPr>
          </w:p>
        </w:tc>
        <w:tc>
          <w:tcPr>
            <w:tcW w:w="1103" w:type="dxa"/>
            <w:noWrap/>
            <w:vAlign w:val="center"/>
            <w:hideMark/>
          </w:tcPr>
          <w:p w14:paraId="5BA311BA" w14:textId="77777777" w:rsidR="00C46123" w:rsidRPr="00CA2760" w:rsidRDefault="00C46123" w:rsidP="008B2EB5">
            <w:pPr>
              <w:jc w:val="right"/>
              <w:rPr>
                <w:rFonts w:ascii="Arial" w:hAnsi="Arial" w:cs="Arial"/>
                <w:b/>
                <w:bCs/>
                <w:sz w:val="20"/>
                <w:szCs w:val="20"/>
                <w:lang w:val="pt-BR"/>
              </w:rPr>
            </w:pPr>
          </w:p>
        </w:tc>
      </w:tr>
      <w:tr w:rsidR="00C46123" w:rsidRPr="00CA2760" w14:paraId="5ED4E767" w14:textId="77777777" w:rsidTr="008B2EB5">
        <w:trPr>
          <w:trHeight w:val="264"/>
        </w:trPr>
        <w:tc>
          <w:tcPr>
            <w:tcW w:w="3561" w:type="dxa"/>
            <w:noWrap/>
            <w:hideMark/>
          </w:tcPr>
          <w:p w14:paraId="0A7D159D"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REALIZÁVEL A LONGO PRAZO</w:t>
            </w:r>
          </w:p>
        </w:tc>
        <w:tc>
          <w:tcPr>
            <w:tcW w:w="1396" w:type="dxa"/>
            <w:noWrap/>
            <w:vAlign w:val="center"/>
          </w:tcPr>
          <w:p w14:paraId="7BB2D510" w14:textId="77777777" w:rsidR="00C46123" w:rsidRPr="00CA2760" w:rsidRDefault="00C46123" w:rsidP="008B2EB5">
            <w:pPr>
              <w:jc w:val="right"/>
              <w:rPr>
                <w:rFonts w:ascii="Arial" w:hAnsi="Arial" w:cs="Arial"/>
                <w:b/>
                <w:bCs/>
                <w:sz w:val="20"/>
                <w:szCs w:val="20"/>
                <w:lang w:val="pt-BR"/>
              </w:rPr>
            </w:pPr>
          </w:p>
        </w:tc>
        <w:tc>
          <w:tcPr>
            <w:tcW w:w="906" w:type="dxa"/>
            <w:noWrap/>
            <w:vAlign w:val="center"/>
          </w:tcPr>
          <w:p w14:paraId="16A4CD63" w14:textId="77777777" w:rsidR="00C46123" w:rsidRPr="003E04B9" w:rsidRDefault="00C46123" w:rsidP="008B2EB5">
            <w:pPr>
              <w:jc w:val="right"/>
              <w:rPr>
                <w:rFonts w:ascii="Arial" w:hAnsi="Arial" w:cs="Arial"/>
                <w:b/>
                <w:bCs/>
                <w:sz w:val="20"/>
                <w:szCs w:val="20"/>
                <w:lang w:val="pt-BR"/>
              </w:rPr>
            </w:pPr>
          </w:p>
        </w:tc>
        <w:tc>
          <w:tcPr>
            <w:tcW w:w="865" w:type="dxa"/>
            <w:noWrap/>
            <w:vAlign w:val="center"/>
          </w:tcPr>
          <w:p w14:paraId="4B680B22" w14:textId="77777777" w:rsidR="00C46123" w:rsidRPr="000730D7" w:rsidRDefault="00C46123" w:rsidP="008B2EB5">
            <w:pPr>
              <w:jc w:val="right"/>
              <w:rPr>
                <w:rFonts w:ascii="Arial" w:hAnsi="Arial" w:cs="Arial"/>
                <w:b/>
                <w:bCs/>
                <w:sz w:val="20"/>
                <w:szCs w:val="20"/>
                <w:lang w:val="pt-BR"/>
              </w:rPr>
            </w:pPr>
          </w:p>
        </w:tc>
        <w:tc>
          <w:tcPr>
            <w:tcW w:w="1004" w:type="dxa"/>
            <w:noWrap/>
            <w:vAlign w:val="center"/>
          </w:tcPr>
          <w:p w14:paraId="717FEBB8" w14:textId="77777777" w:rsidR="00C46123" w:rsidRPr="00CA2760" w:rsidRDefault="00C46123" w:rsidP="008B2EB5">
            <w:pPr>
              <w:jc w:val="right"/>
              <w:rPr>
                <w:rFonts w:ascii="Arial" w:hAnsi="Arial" w:cs="Arial"/>
                <w:b/>
                <w:bCs/>
                <w:sz w:val="20"/>
                <w:szCs w:val="20"/>
                <w:lang w:val="pt-BR"/>
              </w:rPr>
            </w:pPr>
          </w:p>
        </w:tc>
        <w:tc>
          <w:tcPr>
            <w:tcW w:w="1103" w:type="dxa"/>
            <w:noWrap/>
            <w:vAlign w:val="center"/>
            <w:hideMark/>
          </w:tcPr>
          <w:p w14:paraId="5382DFEA" w14:textId="77777777" w:rsidR="00C46123" w:rsidRPr="00CA2760" w:rsidRDefault="00C46123" w:rsidP="008B2EB5">
            <w:pPr>
              <w:jc w:val="right"/>
              <w:rPr>
                <w:rFonts w:ascii="Arial" w:hAnsi="Arial" w:cs="Arial"/>
                <w:b/>
                <w:bCs/>
                <w:sz w:val="20"/>
                <w:szCs w:val="20"/>
                <w:lang w:val="pt-BR"/>
              </w:rPr>
            </w:pPr>
          </w:p>
        </w:tc>
      </w:tr>
      <w:tr w:rsidR="00C46123" w:rsidRPr="00CA2760" w14:paraId="4D098FE5" w14:textId="77777777" w:rsidTr="008B2EB5">
        <w:trPr>
          <w:trHeight w:val="276"/>
        </w:trPr>
        <w:tc>
          <w:tcPr>
            <w:tcW w:w="3561" w:type="dxa"/>
            <w:noWrap/>
            <w:hideMark/>
          </w:tcPr>
          <w:p w14:paraId="28BE3AA1"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TOTAL DO ATIVO</w:t>
            </w:r>
          </w:p>
        </w:tc>
        <w:tc>
          <w:tcPr>
            <w:tcW w:w="1396" w:type="dxa"/>
            <w:noWrap/>
            <w:vAlign w:val="center"/>
            <w:hideMark/>
          </w:tcPr>
          <w:p w14:paraId="24DBEEA8" w14:textId="77777777" w:rsidR="00C46123" w:rsidRPr="00CA2760" w:rsidRDefault="00C46123" w:rsidP="008B2EB5">
            <w:pPr>
              <w:jc w:val="right"/>
              <w:rPr>
                <w:rFonts w:ascii="Arial" w:hAnsi="Arial" w:cs="Arial"/>
                <w:b/>
                <w:bCs/>
                <w:sz w:val="20"/>
                <w:szCs w:val="20"/>
                <w:lang w:val="pt-BR"/>
              </w:rPr>
            </w:pPr>
            <w:r w:rsidRPr="00CA2760">
              <w:rPr>
                <w:rFonts w:ascii="Arial" w:hAnsi="Arial" w:cs="Arial"/>
                <w:b/>
                <w:bCs/>
                <w:sz w:val="20"/>
                <w:szCs w:val="20"/>
                <w:lang w:val="pt-BR"/>
              </w:rPr>
              <w:t>985,1</w:t>
            </w:r>
          </w:p>
        </w:tc>
        <w:tc>
          <w:tcPr>
            <w:tcW w:w="906" w:type="dxa"/>
            <w:noWrap/>
            <w:vAlign w:val="center"/>
            <w:hideMark/>
          </w:tcPr>
          <w:p w14:paraId="245F7767" w14:textId="75705C73" w:rsidR="00C46123" w:rsidRPr="003E04B9" w:rsidRDefault="00C46123" w:rsidP="008B2EB5">
            <w:pPr>
              <w:jc w:val="right"/>
              <w:rPr>
                <w:rFonts w:ascii="Arial" w:hAnsi="Arial" w:cs="Arial"/>
                <w:b/>
                <w:bCs/>
                <w:sz w:val="20"/>
                <w:szCs w:val="20"/>
                <w:lang w:val="pt-BR"/>
              </w:rPr>
            </w:pPr>
            <w:r w:rsidRPr="003E04B9">
              <w:rPr>
                <w:rFonts w:ascii="Arial" w:hAnsi="Arial" w:cs="Arial"/>
                <w:b/>
                <w:bCs/>
                <w:sz w:val="20"/>
                <w:szCs w:val="20"/>
                <w:lang w:val="pt-BR"/>
              </w:rPr>
              <w:t>1</w:t>
            </w:r>
            <w:r w:rsidR="003E04B9">
              <w:rPr>
                <w:rFonts w:ascii="Arial" w:hAnsi="Arial" w:cs="Arial"/>
                <w:b/>
                <w:bCs/>
                <w:sz w:val="20"/>
                <w:szCs w:val="20"/>
                <w:lang w:val="pt-BR"/>
              </w:rPr>
              <w:t>.</w:t>
            </w:r>
            <w:r w:rsidRPr="003E04B9">
              <w:rPr>
                <w:rFonts w:ascii="Arial" w:hAnsi="Arial" w:cs="Arial"/>
                <w:b/>
                <w:bCs/>
                <w:sz w:val="20"/>
                <w:szCs w:val="20"/>
                <w:lang w:val="pt-BR"/>
              </w:rPr>
              <w:t>453,0</w:t>
            </w:r>
          </w:p>
        </w:tc>
        <w:tc>
          <w:tcPr>
            <w:tcW w:w="865" w:type="dxa"/>
            <w:noWrap/>
            <w:vAlign w:val="center"/>
            <w:hideMark/>
          </w:tcPr>
          <w:p w14:paraId="7D74721F" w14:textId="77777777" w:rsidR="00C46123" w:rsidRPr="000730D7" w:rsidRDefault="00C46123" w:rsidP="008B2EB5">
            <w:pPr>
              <w:jc w:val="right"/>
              <w:rPr>
                <w:rFonts w:ascii="Arial" w:hAnsi="Arial" w:cs="Arial"/>
                <w:b/>
                <w:bCs/>
                <w:sz w:val="20"/>
                <w:szCs w:val="20"/>
                <w:lang w:val="pt-BR"/>
              </w:rPr>
            </w:pPr>
            <w:r w:rsidRPr="000730D7">
              <w:rPr>
                <w:rFonts w:ascii="Arial" w:hAnsi="Arial" w:cs="Arial"/>
                <w:b/>
                <w:bCs/>
                <w:sz w:val="20"/>
                <w:szCs w:val="20"/>
                <w:lang w:val="pt-BR"/>
              </w:rPr>
              <w:t>467,8</w:t>
            </w:r>
          </w:p>
        </w:tc>
        <w:tc>
          <w:tcPr>
            <w:tcW w:w="1004" w:type="dxa"/>
            <w:noWrap/>
            <w:vAlign w:val="center"/>
            <w:hideMark/>
          </w:tcPr>
          <w:p w14:paraId="774B08F1" w14:textId="758697BD" w:rsidR="00C46123" w:rsidRPr="00CA2760" w:rsidRDefault="00E82174" w:rsidP="008B2EB5">
            <w:pPr>
              <w:jc w:val="right"/>
              <w:rPr>
                <w:rFonts w:ascii="Arial" w:hAnsi="Arial" w:cs="Arial"/>
                <w:b/>
                <w:bCs/>
                <w:sz w:val="20"/>
                <w:szCs w:val="20"/>
                <w:lang w:val="pt-BR"/>
              </w:rPr>
            </w:pPr>
            <w:r>
              <w:rPr>
                <w:rFonts w:ascii="Arial" w:hAnsi="Arial" w:cs="Arial"/>
                <w:b/>
                <w:bCs/>
                <w:sz w:val="20"/>
                <w:szCs w:val="20"/>
              </w:rPr>
              <w:t>47,5%</w:t>
            </w:r>
          </w:p>
        </w:tc>
        <w:tc>
          <w:tcPr>
            <w:tcW w:w="1103" w:type="dxa"/>
            <w:noWrap/>
            <w:vAlign w:val="center"/>
            <w:hideMark/>
          </w:tcPr>
          <w:p w14:paraId="14A30528" w14:textId="77777777" w:rsidR="00C46123" w:rsidRPr="00CA2760" w:rsidRDefault="00C46123" w:rsidP="008B2EB5">
            <w:pPr>
              <w:jc w:val="right"/>
              <w:rPr>
                <w:rFonts w:ascii="Arial" w:hAnsi="Arial" w:cs="Arial"/>
                <w:b/>
                <w:bCs/>
                <w:sz w:val="20"/>
                <w:szCs w:val="20"/>
                <w:lang w:val="pt-BR"/>
              </w:rPr>
            </w:pPr>
            <w:r w:rsidRPr="00CA2760">
              <w:rPr>
                <w:rFonts w:ascii="Arial" w:hAnsi="Arial" w:cs="Arial"/>
                <w:b/>
                <w:bCs/>
                <w:sz w:val="20"/>
                <w:szCs w:val="20"/>
                <w:lang w:val="pt-BR"/>
              </w:rPr>
              <w:t>10,2%</w:t>
            </w:r>
          </w:p>
        </w:tc>
      </w:tr>
      <w:tr w:rsidR="00C46123" w:rsidRPr="005F0A37" w14:paraId="37D208A4" w14:textId="77777777" w:rsidTr="00991982">
        <w:trPr>
          <w:trHeight w:val="288"/>
        </w:trPr>
        <w:tc>
          <w:tcPr>
            <w:tcW w:w="8835" w:type="dxa"/>
            <w:gridSpan w:val="6"/>
            <w:hideMark/>
          </w:tcPr>
          <w:p w14:paraId="02E21F29" w14:textId="0F52C586" w:rsidR="005F0A37"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PASSIVO</w:t>
            </w:r>
          </w:p>
        </w:tc>
      </w:tr>
      <w:tr w:rsidR="00C46123" w:rsidRPr="00CA2760" w14:paraId="5131E798" w14:textId="77777777" w:rsidTr="00991982">
        <w:trPr>
          <w:trHeight w:val="276"/>
        </w:trPr>
        <w:tc>
          <w:tcPr>
            <w:tcW w:w="3561" w:type="dxa"/>
            <w:noWrap/>
            <w:hideMark/>
          </w:tcPr>
          <w:p w14:paraId="0FA23D85"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w:t>
            </w:r>
          </w:p>
        </w:tc>
        <w:tc>
          <w:tcPr>
            <w:tcW w:w="1396" w:type="dxa"/>
            <w:hideMark/>
          </w:tcPr>
          <w:p w14:paraId="5E1EDBCD"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2013</w:t>
            </w:r>
          </w:p>
        </w:tc>
        <w:tc>
          <w:tcPr>
            <w:tcW w:w="906" w:type="dxa"/>
            <w:hideMark/>
          </w:tcPr>
          <w:p w14:paraId="60E3220F"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2017</w:t>
            </w:r>
          </w:p>
        </w:tc>
        <w:tc>
          <w:tcPr>
            <w:tcW w:w="2972" w:type="dxa"/>
            <w:gridSpan w:val="3"/>
            <w:hideMark/>
          </w:tcPr>
          <w:p w14:paraId="049E8A72"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Variação 2013/17</w:t>
            </w:r>
          </w:p>
        </w:tc>
      </w:tr>
      <w:tr w:rsidR="00C46123" w:rsidRPr="00CA2760" w14:paraId="6E5743BD" w14:textId="77777777" w:rsidTr="00991982">
        <w:trPr>
          <w:trHeight w:val="264"/>
        </w:trPr>
        <w:tc>
          <w:tcPr>
            <w:tcW w:w="3561" w:type="dxa"/>
            <w:noWrap/>
            <w:hideMark/>
          </w:tcPr>
          <w:p w14:paraId="028E8432"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w:t>
            </w:r>
          </w:p>
        </w:tc>
        <w:tc>
          <w:tcPr>
            <w:tcW w:w="1396" w:type="dxa"/>
            <w:noWrap/>
            <w:hideMark/>
          </w:tcPr>
          <w:p w14:paraId="30721AB4"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w:t>
            </w:r>
          </w:p>
        </w:tc>
        <w:tc>
          <w:tcPr>
            <w:tcW w:w="906" w:type="dxa"/>
            <w:noWrap/>
            <w:hideMark/>
          </w:tcPr>
          <w:p w14:paraId="24772923"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w:t>
            </w:r>
          </w:p>
        </w:tc>
        <w:tc>
          <w:tcPr>
            <w:tcW w:w="865" w:type="dxa"/>
            <w:hideMark/>
          </w:tcPr>
          <w:p w14:paraId="0A71E19C"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xml:space="preserve"> Abs. </w:t>
            </w:r>
          </w:p>
        </w:tc>
        <w:tc>
          <w:tcPr>
            <w:tcW w:w="1004" w:type="dxa"/>
            <w:hideMark/>
          </w:tcPr>
          <w:p w14:paraId="4DE8D27F"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w:t>
            </w:r>
          </w:p>
        </w:tc>
        <w:tc>
          <w:tcPr>
            <w:tcW w:w="1103" w:type="dxa"/>
            <w:hideMark/>
          </w:tcPr>
          <w:p w14:paraId="77E02E25"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anual</w:t>
            </w:r>
          </w:p>
        </w:tc>
      </w:tr>
      <w:tr w:rsidR="00B2721B" w:rsidRPr="00CA2760" w14:paraId="0D0C67DA" w14:textId="77777777" w:rsidTr="00E8250D">
        <w:trPr>
          <w:trHeight w:val="264"/>
        </w:trPr>
        <w:tc>
          <w:tcPr>
            <w:tcW w:w="3561" w:type="dxa"/>
            <w:noWrap/>
            <w:hideMark/>
          </w:tcPr>
          <w:p w14:paraId="24CEA512" w14:textId="77777777" w:rsidR="00B2721B" w:rsidRPr="00CA2760" w:rsidRDefault="00B2721B" w:rsidP="00B2721B">
            <w:pPr>
              <w:rPr>
                <w:rFonts w:ascii="Arial" w:hAnsi="Arial" w:cs="Arial"/>
                <w:b/>
                <w:bCs/>
                <w:sz w:val="20"/>
                <w:szCs w:val="20"/>
                <w:lang w:val="pt-BR"/>
              </w:rPr>
            </w:pPr>
            <w:r w:rsidRPr="00CA2760">
              <w:rPr>
                <w:rFonts w:ascii="Arial" w:hAnsi="Arial" w:cs="Arial"/>
                <w:b/>
                <w:bCs/>
                <w:sz w:val="20"/>
                <w:szCs w:val="20"/>
                <w:lang w:val="pt-BR"/>
              </w:rPr>
              <w:t>TOTAL DO PASSIVO CIRCULANTE</w:t>
            </w:r>
          </w:p>
        </w:tc>
        <w:tc>
          <w:tcPr>
            <w:tcW w:w="1396" w:type="dxa"/>
            <w:noWrap/>
            <w:hideMark/>
          </w:tcPr>
          <w:p w14:paraId="269F5D50" w14:textId="77777777" w:rsidR="00B2721B" w:rsidRPr="00CA2760" w:rsidRDefault="00B2721B" w:rsidP="00B2721B">
            <w:pPr>
              <w:jc w:val="right"/>
              <w:rPr>
                <w:rFonts w:ascii="Arial" w:hAnsi="Arial" w:cs="Arial"/>
                <w:b/>
                <w:bCs/>
                <w:sz w:val="20"/>
                <w:szCs w:val="20"/>
                <w:lang w:val="pt-BR"/>
              </w:rPr>
            </w:pPr>
            <w:r w:rsidRPr="00CA2760">
              <w:rPr>
                <w:rFonts w:ascii="Arial" w:hAnsi="Arial" w:cs="Arial"/>
                <w:b/>
                <w:bCs/>
                <w:sz w:val="20"/>
                <w:szCs w:val="20"/>
                <w:lang w:val="pt-BR"/>
              </w:rPr>
              <w:t>12,8</w:t>
            </w:r>
          </w:p>
        </w:tc>
        <w:tc>
          <w:tcPr>
            <w:tcW w:w="906" w:type="dxa"/>
            <w:noWrap/>
            <w:hideMark/>
          </w:tcPr>
          <w:p w14:paraId="4ACB7B43" w14:textId="77777777" w:rsidR="00B2721B" w:rsidRPr="00CA2760" w:rsidRDefault="00B2721B" w:rsidP="00B2721B">
            <w:pPr>
              <w:jc w:val="right"/>
              <w:rPr>
                <w:rFonts w:ascii="Arial" w:hAnsi="Arial" w:cs="Arial"/>
                <w:b/>
                <w:bCs/>
                <w:sz w:val="20"/>
                <w:szCs w:val="20"/>
                <w:lang w:val="pt-BR"/>
              </w:rPr>
            </w:pPr>
            <w:r w:rsidRPr="00CA2760">
              <w:rPr>
                <w:rFonts w:ascii="Arial" w:hAnsi="Arial" w:cs="Arial"/>
                <w:b/>
                <w:bCs/>
                <w:sz w:val="20"/>
                <w:szCs w:val="20"/>
                <w:lang w:val="pt-BR"/>
              </w:rPr>
              <w:t>99,6</w:t>
            </w:r>
          </w:p>
        </w:tc>
        <w:tc>
          <w:tcPr>
            <w:tcW w:w="865" w:type="dxa"/>
            <w:noWrap/>
            <w:vAlign w:val="center"/>
            <w:hideMark/>
          </w:tcPr>
          <w:p w14:paraId="7B4491D4" w14:textId="5E3B26D9" w:rsidR="00B2721B" w:rsidRPr="00CA2760" w:rsidRDefault="00B2721B" w:rsidP="00B2721B">
            <w:pPr>
              <w:jc w:val="right"/>
              <w:rPr>
                <w:rFonts w:ascii="Arial" w:hAnsi="Arial" w:cs="Arial"/>
                <w:b/>
                <w:bCs/>
                <w:sz w:val="20"/>
                <w:szCs w:val="20"/>
                <w:lang w:val="pt-BR"/>
              </w:rPr>
            </w:pPr>
            <w:r>
              <w:rPr>
                <w:rFonts w:ascii="Arial" w:hAnsi="Arial" w:cs="Arial"/>
                <w:b/>
                <w:bCs/>
                <w:sz w:val="20"/>
                <w:szCs w:val="20"/>
              </w:rPr>
              <w:t xml:space="preserve">86,8 </w:t>
            </w:r>
          </w:p>
        </w:tc>
        <w:tc>
          <w:tcPr>
            <w:tcW w:w="1004" w:type="dxa"/>
            <w:noWrap/>
            <w:vAlign w:val="center"/>
            <w:hideMark/>
          </w:tcPr>
          <w:p w14:paraId="109B5FB7" w14:textId="2870B1F2" w:rsidR="00B2721B" w:rsidRPr="00CA2760" w:rsidRDefault="00B2721B" w:rsidP="00B2721B">
            <w:pPr>
              <w:jc w:val="right"/>
              <w:rPr>
                <w:rFonts w:ascii="Arial" w:hAnsi="Arial" w:cs="Arial"/>
                <w:b/>
                <w:bCs/>
                <w:sz w:val="20"/>
                <w:szCs w:val="20"/>
                <w:lang w:val="pt-BR"/>
              </w:rPr>
            </w:pPr>
            <w:r>
              <w:rPr>
                <w:rFonts w:ascii="Arial" w:hAnsi="Arial" w:cs="Arial"/>
                <w:b/>
                <w:bCs/>
                <w:sz w:val="20"/>
                <w:szCs w:val="20"/>
              </w:rPr>
              <w:t>678,7%</w:t>
            </w:r>
          </w:p>
        </w:tc>
        <w:tc>
          <w:tcPr>
            <w:tcW w:w="1103" w:type="dxa"/>
            <w:noWrap/>
            <w:vAlign w:val="center"/>
            <w:hideMark/>
          </w:tcPr>
          <w:p w14:paraId="33B39FF6" w14:textId="06675C85" w:rsidR="00B2721B" w:rsidRPr="00CA2760" w:rsidRDefault="00B2721B" w:rsidP="00B2721B">
            <w:pPr>
              <w:jc w:val="right"/>
              <w:rPr>
                <w:rFonts w:ascii="Arial" w:hAnsi="Arial" w:cs="Arial"/>
                <w:b/>
                <w:bCs/>
                <w:sz w:val="20"/>
                <w:szCs w:val="20"/>
                <w:lang w:val="pt-BR"/>
              </w:rPr>
            </w:pPr>
            <w:r>
              <w:rPr>
                <w:rFonts w:ascii="Arial" w:hAnsi="Arial" w:cs="Arial"/>
                <w:b/>
                <w:bCs/>
                <w:sz w:val="20"/>
                <w:szCs w:val="20"/>
              </w:rPr>
              <w:t>67,0%</w:t>
            </w:r>
          </w:p>
        </w:tc>
      </w:tr>
      <w:tr w:rsidR="00C46123" w:rsidRPr="00A31500" w14:paraId="698EDE1D" w14:textId="77777777" w:rsidTr="00991982">
        <w:trPr>
          <w:trHeight w:val="264"/>
        </w:trPr>
        <w:tc>
          <w:tcPr>
            <w:tcW w:w="3561" w:type="dxa"/>
            <w:noWrap/>
            <w:hideMark/>
          </w:tcPr>
          <w:p w14:paraId="0C05EF4F"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TOTAL DO PASSIVO NÃO CIRCULANTE</w:t>
            </w:r>
          </w:p>
        </w:tc>
        <w:tc>
          <w:tcPr>
            <w:tcW w:w="1396" w:type="dxa"/>
            <w:noWrap/>
            <w:hideMark/>
          </w:tcPr>
          <w:p w14:paraId="5ABA559B" w14:textId="77777777" w:rsidR="00C46123" w:rsidRPr="00CA2760" w:rsidRDefault="00C46123" w:rsidP="00B87A9B">
            <w:pPr>
              <w:jc w:val="right"/>
              <w:rPr>
                <w:rFonts w:ascii="Arial" w:hAnsi="Arial" w:cs="Arial"/>
                <w:b/>
                <w:bCs/>
                <w:sz w:val="20"/>
                <w:szCs w:val="20"/>
                <w:lang w:val="pt-BR"/>
              </w:rPr>
            </w:pPr>
          </w:p>
        </w:tc>
        <w:tc>
          <w:tcPr>
            <w:tcW w:w="906" w:type="dxa"/>
            <w:noWrap/>
            <w:hideMark/>
          </w:tcPr>
          <w:p w14:paraId="39730615" w14:textId="77777777" w:rsidR="00C46123" w:rsidRPr="00CA2760" w:rsidRDefault="00C46123" w:rsidP="00B87A9B">
            <w:pPr>
              <w:jc w:val="right"/>
              <w:rPr>
                <w:rFonts w:ascii="Arial" w:hAnsi="Arial" w:cs="Arial"/>
                <w:b/>
                <w:bCs/>
                <w:sz w:val="20"/>
                <w:szCs w:val="20"/>
                <w:lang w:val="pt-BR"/>
              </w:rPr>
            </w:pPr>
          </w:p>
        </w:tc>
        <w:tc>
          <w:tcPr>
            <w:tcW w:w="865" w:type="dxa"/>
            <w:noWrap/>
            <w:hideMark/>
          </w:tcPr>
          <w:p w14:paraId="0CBD2741" w14:textId="77777777" w:rsidR="00C46123" w:rsidRPr="00CA2760" w:rsidRDefault="00C46123" w:rsidP="00B87A9B">
            <w:pPr>
              <w:jc w:val="right"/>
              <w:rPr>
                <w:rFonts w:ascii="Arial" w:hAnsi="Arial" w:cs="Arial"/>
                <w:b/>
                <w:bCs/>
                <w:sz w:val="20"/>
                <w:szCs w:val="20"/>
                <w:lang w:val="pt-BR"/>
              </w:rPr>
            </w:pPr>
          </w:p>
        </w:tc>
        <w:tc>
          <w:tcPr>
            <w:tcW w:w="1004" w:type="dxa"/>
            <w:noWrap/>
            <w:hideMark/>
          </w:tcPr>
          <w:p w14:paraId="4F979100" w14:textId="77777777" w:rsidR="00C46123" w:rsidRPr="00CA2760" w:rsidRDefault="00C46123" w:rsidP="00B87A9B">
            <w:pPr>
              <w:jc w:val="right"/>
              <w:rPr>
                <w:rFonts w:ascii="Arial" w:hAnsi="Arial" w:cs="Arial"/>
                <w:b/>
                <w:bCs/>
                <w:sz w:val="20"/>
                <w:szCs w:val="20"/>
                <w:lang w:val="pt-BR"/>
              </w:rPr>
            </w:pPr>
          </w:p>
        </w:tc>
        <w:tc>
          <w:tcPr>
            <w:tcW w:w="1103" w:type="dxa"/>
            <w:noWrap/>
            <w:hideMark/>
          </w:tcPr>
          <w:p w14:paraId="04A2832C" w14:textId="77777777" w:rsidR="00C46123" w:rsidRPr="00CA2760" w:rsidRDefault="00C46123" w:rsidP="00B87A9B">
            <w:pPr>
              <w:jc w:val="right"/>
              <w:rPr>
                <w:rFonts w:ascii="Arial" w:hAnsi="Arial" w:cs="Arial"/>
                <w:b/>
                <w:bCs/>
                <w:sz w:val="20"/>
                <w:szCs w:val="20"/>
                <w:lang w:val="pt-BR"/>
              </w:rPr>
            </w:pPr>
          </w:p>
        </w:tc>
      </w:tr>
      <w:tr w:rsidR="00C46123" w:rsidRPr="00CA2760" w14:paraId="2EDD07D8" w14:textId="77777777" w:rsidTr="00991982">
        <w:trPr>
          <w:trHeight w:val="264"/>
        </w:trPr>
        <w:tc>
          <w:tcPr>
            <w:tcW w:w="3561" w:type="dxa"/>
            <w:noWrap/>
            <w:hideMark/>
          </w:tcPr>
          <w:p w14:paraId="28EBE20B"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EXIGÍVEL A LONGO PRAZO</w:t>
            </w:r>
          </w:p>
        </w:tc>
        <w:tc>
          <w:tcPr>
            <w:tcW w:w="1396" w:type="dxa"/>
            <w:noWrap/>
            <w:hideMark/>
          </w:tcPr>
          <w:p w14:paraId="7C4B7BDC" w14:textId="77777777" w:rsidR="00C46123" w:rsidRPr="00CA2760" w:rsidRDefault="00C46123" w:rsidP="00B87A9B">
            <w:pPr>
              <w:jc w:val="right"/>
              <w:rPr>
                <w:rFonts w:ascii="Arial" w:hAnsi="Arial" w:cs="Arial"/>
                <w:b/>
                <w:bCs/>
                <w:sz w:val="20"/>
                <w:szCs w:val="20"/>
                <w:lang w:val="pt-BR"/>
              </w:rPr>
            </w:pPr>
          </w:p>
        </w:tc>
        <w:tc>
          <w:tcPr>
            <w:tcW w:w="906" w:type="dxa"/>
            <w:noWrap/>
            <w:hideMark/>
          </w:tcPr>
          <w:p w14:paraId="76DBAC24" w14:textId="77777777" w:rsidR="00C46123" w:rsidRPr="00CA2760" w:rsidRDefault="00C46123" w:rsidP="00B87A9B">
            <w:pPr>
              <w:jc w:val="right"/>
              <w:rPr>
                <w:rFonts w:ascii="Arial" w:hAnsi="Arial" w:cs="Arial"/>
                <w:b/>
                <w:bCs/>
                <w:sz w:val="20"/>
                <w:szCs w:val="20"/>
                <w:lang w:val="pt-BR"/>
              </w:rPr>
            </w:pPr>
          </w:p>
        </w:tc>
        <w:tc>
          <w:tcPr>
            <w:tcW w:w="865" w:type="dxa"/>
            <w:noWrap/>
            <w:hideMark/>
          </w:tcPr>
          <w:p w14:paraId="6467DFC8" w14:textId="77777777" w:rsidR="00C46123" w:rsidRPr="00CA2760" w:rsidRDefault="00C46123" w:rsidP="00B87A9B">
            <w:pPr>
              <w:jc w:val="right"/>
              <w:rPr>
                <w:rFonts w:ascii="Arial" w:hAnsi="Arial" w:cs="Arial"/>
                <w:b/>
                <w:bCs/>
                <w:sz w:val="20"/>
                <w:szCs w:val="20"/>
                <w:lang w:val="pt-BR"/>
              </w:rPr>
            </w:pPr>
          </w:p>
        </w:tc>
        <w:tc>
          <w:tcPr>
            <w:tcW w:w="1004" w:type="dxa"/>
            <w:noWrap/>
            <w:hideMark/>
          </w:tcPr>
          <w:p w14:paraId="0000DB7E" w14:textId="77777777" w:rsidR="00C46123" w:rsidRPr="00CA2760" w:rsidRDefault="00C46123" w:rsidP="00B87A9B">
            <w:pPr>
              <w:jc w:val="right"/>
              <w:rPr>
                <w:rFonts w:ascii="Arial" w:hAnsi="Arial" w:cs="Arial"/>
                <w:b/>
                <w:bCs/>
                <w:sz w:val="20"/>
                <w:szCs w:val="20"/>
                <w:lang w:val="pt-BR"/>
              </w:rPr>
            </w:pPr>
          </w:p>
        </w:tc>
        <w:tc>
          <w:tcPr>
            <w:tcW w:w="1103" w:type="dxa"/>
            <w:noWrap/>
            <w:hideMark/>
          </w:tcPr>
          <w:p w14:paraId="3BF13077" w14:textId="77777777" w:rsidR="00C46123" w:rsidRPr="00CA2760" w:rsidRDefault="00C46123" w:rsidP="00B87A9B">
            <w:pPr>
              <w:jc w:val="right"/>
              <w:rPr>
                <w:rFonts w:ascii="Arial" w:hAnsi="Arial" w:cs="Arial"/>
                <w:b/>
                <w:bCs/>
                <w:sz w:val="20"/>
                <w:szCs w:val="20"/>
                <w:lang w:val="pt-BR"/>
              </w:rPr>
            </w:pPr>
          </w:p>
        </w:tc>
      </w:tr>
      <w:tr w:rsidR="00C46123" w:rsidRPr="00CA2760" w14:paraId="7239D582" w14:textId="77777777" w:rsidTr="00991982">
        <w:trPr>
          <w:trHeight w:val="264"/>
        </w:trPr>
        <w:tc>
          <w:tcPr>
            <w:tcW w:w="3561" w:type="dxa"/>
            <w:noWrap/>
            <w:hideMark/>
          </w:tcPr>
          <w:p w14:paraId="7082BD16"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xml:space="preserve">  Provisões para contingências</w:t>
            </w:r>
          </w:p>
        </w:tc>
        <w:tc>
          <w:tcPr>
            <w:tcW w:w="1396" w:type="dxa"/>
            <w:noWrap/>
            <w:hideMark/>
          </w:tcPr>
          <w:p w14:paraId="629CEA1A" w14:textId="77777777" w:rsidR="00C46123" w:rsidRPr="00CA2760" w:rsidRDefault="00C46123" w:rsidP="00B87A9B">
            <w:pPr>
              <w:jc w:val="right"/>
              <w:rPr>
                <w:rFonts w:ascii="Arial" w:hAnsi="Arial" w:cs="Arial"/>
                <w:b/>
                <w:bCs/>
                <w:sz w:val="20"/>
                <w:szCs w:val="20"/>
                <w:lang w:val="pt-BR"/>
              </w:rPr>
            </w:pPr>
          </w:p>
        </w:tc>
        <w:tc>
          <w:tcPr>
            <w:tcW w:w="906" w:type="dxa"/>
            <w:noWrap/>
            <w:hideMark/>
          </w:tcPr>
          <w:p w14:paraId="38CDE40D" w14:textId="77777777" w:rsidR="00C46123" w:rsidRPr="00CA2760" w:rsidRDefault="00C46123" w:rsidP="00B87A9B">
            <w:pPr>
              <w:jc w:val="right"/>
              <w:rPr>
                <w:rFonts w:ascii="Arial" w:hAnsi="Arial" w:cs="Arial"/>
                <w:b/>
                <w:bCs/>
                <w:sz w:val="20"/>
                <w:szCs w:val="20"/>
                <w:lang w:val="pt-BR"/>
              </w:rPr>
            </w:pPr>
          </w:p>
        </w:tc>
        <w:tc>
          <w:tcPr>
            <w:tcW w:w="865" w:type="dxa"/>
            <w:noWrap/>
            <w:hideMark/>
          </w:tcPr>
          <w:p w14:paraId="4DB2A32F" w14:textId="77777777" w:rsidR="00C46123" w:rsidRPr="00CA2760" w:rsidRDefault="00C46123" w:rsidP="00B87A9B">
            <w:pPr>
              <w:jc w:val="right"/>
              <w:rPr>
                <w:rFonts w:ascii="Arial" w:hAnsi="Arial" w:cs="Arial"/>
                <w:b/>
                <w:bCs/>
                <w:sz w:val="20"/>
                <w:szCs w:val="20"/>
                <w:lang w:val="pt-BR"/>
              </w:rPr>
            </w:pPr>
          </w:p>
        </w:tc>
        <w:tc>
          <w:tcPr>
            <w:tcW w:w="1004" w:type="dxa"/>
            <w:noWrap/>
            <w:hideMark/>
          </w:tcPr>
          <w:p w14:paraId="592B2175" w14:textId="77777777" w:rsidR="00C46123" w:rsidRPr="00CA2760" w:rsidRDefault="00C46123" w:rsidP="00B87A9B">
            <w:pPr>
              <w:jc w:val="right"/>
              <w:rPr>
                <w:rFonts w:ascii="Arial" w:hAnsi="Arial" w:cs="Arial"/>
                <w:b/>
                <w:bCs/>
                <w:sz w:val="20"/>
                <w:szCs w:val="20"/>
                <w:lang w:val="pt-BR"/>
              </w:rPr>
            </w:pPr>
          </w:p>
        </w:tc>
        <w:tc>
          <w:tcPr>
            <w:tcW w:w="1103" w:type="dxa"/>
            <w:noWrap/>
            <w:hideMark/>
          </w:tcPr>
          <w:p w14:paraId="66AF681C" w14:textId="77777777" w:rsidR="00C46123" w:rsidRPr="00CA2760" w:rsidRDefault="00C46123" w:rsidP="00B87A9B">
            <w:pPr>
              <w:jc w:val="right"/>
              <w:rPr>
                <w:rFonts w:ascii="Arial" w:hAnsi="Arial" w:cs="Arial"/>
                <w:b/>
                <w:bCs/>
                <w:sz w:val="20"/>
                <w:szCs w:val="20"/>
                <w:lang w:val="pt-BR"/>
              </w:rPr>
            </w:pPr>
          </w:p>
        </w:tc>
      </w:tr>
      <w:tr w:rsidR="00C46123" w:rsidRPr="00CA2760" w14:paraId="7BA186EC" w14:textId="77777777" w:rsidTr="00991982">
        <w:trPr>
          <w:trHeight w:val="264"/>
        </w:trPr>
        <w:tc>
          <w:tcPr>
            <w:tcW w:w="3561" w:type="dxa"/>
            <w:noWrap/>
            <w:hideMark/>
          </w:tcPr>
          <w:p w14:paraId="2FC0C62D"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xml:space="preserve">  Empréstimos e Financiamentos</w:t>
            </w:r>
          </w:p>
        </w:tc>
        <w:tc>
          <w:tcPr>
            <w:tcW w:w="1396" w:type="dxa"/>
            <w:noWrap/>
            <w:hideMark/>
          </w:tcPr>
          <w:p w14:paraId="117F8032" w14:textId="77777777" w:rsidR="00C46123" w:rsidRPr="00CA2760" w:rsidRDefault="00C46123" w:rsidP="00B87A9B">
            <w:pPr>
              <w:jc w:val="right"/>
              <w:rPr>
                <w:rFonts w:ascii="Arial" w:hAnsi="Arial" w:cs="Arial"/>
                <w:b/>
                <w:bCs/>
                <w:sz w:val="20"/>
                <w:szCs w:val="20"/>
                <w:lang w:val="pt-BR"/>
              </w:rPr>
            </w:pPr>
          </w:p>
        </w:tc>
        <w:tc>
          <w:tcPr>
            <w:tcW w:w="906" w:type="dxa"/>
            <w:noWrap/>
            <w:hideMark/>
          </w:tcPr>
          <w:p w14:paraId="6365BB74" w14:textId="77777777" w:rsidR="00C46123" w:rsidRPr="00CA2760" w:rsidRDefault="00C46123" w:rsidP="00B87A9B">
            <w:pPr>
              <w:jc w:val="right"/>
              <w:rPr>
                <w:rFonts w:ascii="Arial" w:hAnsi="Arial" w:cs="Arial"/>
                <w:b/>
                <w:bCs/>
                <w:sz w:val="20"/>
                <w:szCs w:val="20"/>
                <w:lang w:val="pt-BR"/>
              </w:rPr>
            </w:pPr>
          </w:p>
        </w:tc>
        <w:tc>
          <w:tcPr>
            <w:tcW w:w="865" w:type="dxa"/>
            <w:noWrap/>
            <w:hideMark/>
          </w:tcPr>
          <w:p w14:paraId="50D5414F" w14:textId="77777777" w:rsidR="00C46123" w:rsidRPr="00CA2760" w:rsidRDefault="00C46123" w:rsidP="00B87A9B">
            <w:pPr>
              <w:jc w:val="right"/>
              <w:rPr>
                <w:rFonts w:ascii="Arial" w:hAnsi="Arial" w:cs="Arial"/>
                <w:b/>
                <w:bCs/>
                <w:sz w:val="20"/>
                <w:szCs w:val="20"/>
                <w:lang w:val="pt-BR"/>
              </w:rPr>
            </w:pPr>
          </w:p>
        </w:tc>
        <w:tc>
          <w:tcPr>
            <w:tcW w:w="1004" w:type="dxa"/>
            <w:noWrap/>
            <w:hideMark/>
          </w:tcPr>
          <w:p w14:paraId="20374A52" w14:textId="77777777" w:rsidR="00C46123" w:rsidRPr="00CA2760" w:rsidRDefault="00C46123" w:rsidP="00B87A9B">
            <w:pPr>
              <w:jc w:val="right"/>
              <w:rPr>
                <w:rFonts w:ascii="Arial" w:hAnsi="Arial" w:cs="Arial"/>
                <w:b/>
                <w:bCs/>
                <w:sz w:val="20"/>
                <w:szCs w:val="20"/>
                <w:lang w:val="pt-BR"/>
              </w:rPr>
            </w:pPr>
          </w:p>
        </w:tc>
        <w:tc>
          <w:tcPr>
            <w:tcW w:w="1103" w:type="dxa"/>
            <w:noWrap/>
            <w:hideMark/>
          </w:tcPr>
          <w:p w14:paraId="042ADE5F" w14:textId="77777777" w:rsidR="00C46123" w:rsidRPr="00CA2760" w:rsidRDefault="00C46123" w:rsidP="00B87A9B">
            <w:pPr>
              <w:jc w:val="right"/>
              <w:rPr>
                <w:rFonts w:ascii="Arial" w:hAnsi="Arial" w:cs="Arial"/>
                <w:b/>
                <w:bCs/>
                <w:sz w:val="20"/>
                <w:szCs w:val="20"/>
                <w:lang w:val="pt-BR"/>
              </w:rPr>
            </w:pPr>
          </w:p>
        </w:tc>
      </w:tr>
      <w:tr w:rsidR="00C46123" w:rsidRPr="00CA2760" w14:paraId="41FF3318" w14:textId="77777777" w:rsidTr="00991982">
        <w:trPr>
          <w:trHeight w:val="264"/>
        </w:trPr>
        <w:tc>
          <w:tcPr>
            <w:tcW w:w="3561" w:type="dxa"/>
            <w:noWrap/>
            <w:hideMark/>
          </w:tcPr>
          <w:p w14:paraId="7EC21693"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PATRIMÔNIO LÍQUIDO</w:t>
            </w:r>
          </w:p>
        </w:tc>
        <w:tc>
          <w:tcPr>
            <w:tcW w:w="1396" w:type="dxa"/>
            <w:noWrap/>
            <w:hideMark/>
          </w:tcPr>
          <w:p w14:paraId="76E8F591"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972,4</w:t>
            </w:r>
          </w:p>
        </w:tc>
        <w:tc>
          <w:tcPr>
            <w:tcW w:w="906" w:type="dxa"/>
            <w:noWrap/>
            <w:hideMark/>
          </w:tcPr>
          <w:p w14:paraId="6221B8BB"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1.353,4</w:t>
            </w:r>
          </w:p>
        </w:tc>
        <w:tc>
          <w:tcPr>
            <w:tcW w:w="865" w:type="dxa"/>
            <w:noWrap/>
            <w:hideMark/>
          </w:tcPr>
          <w:p w14:paraId="42B8BDEB"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381,0</w:t>
            </w:r>
          </w:p>
        </w:tc>
        <w:tc>
          <w:tcPr>
            <w:tcW w:w="1004" w:type="dxa"/>
            <w:noWrap/>
            <w:hideMark/>
          </w:tcPr>
          <w:p w14:paraId="445AADFF"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39,2%</w:t>
            </w:r>
          </w:p>
        </w:tc>
        <w:tc>
          <w:tcPr>
            <w:tcW w:w="1103" w:type="dxa"/>
            <w:noWrap/>
            <w:hideMark/>
          </w:tcPr>
          <w:p w14:paraId="65D1F05E"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8,6%</w:t>
            </w:r>
          </w:p>
        </w:tc>
      </w:tr>
      <w:tr w:rsidR="00C46123" w:rsidRPr="00CA2760" w14:paraId="2369D348" w14:textId="77777777" w:rsidTr="00991982">
        <w:trPr>
          <w:trHeight w:val="264"/>
        </w:trPr>
        <w:tc>
          <w:tcPr>
            <w:tcW w:w="3561" w:type="dxa"/>
            <w:noWrap/>
            <w:hideMark/>
          </w:tcPr>
          <w:p w14:paraId="7657FD9A"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TOTAL DO PASSIVO</w:t>
            </w:r>
          </w:p>
        </w:tc>
        <w:tc>
          <w:tcPr>
            <w:tcW w:w="1396" w:type="dxa"/>
            <w:noWrap/>
            <w:hideMark/>
          </w:tcPr>
          <w:p w14:paraId="28A8EDA4"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985,1</w:t>
            </w:r>
          </w:p>
        </w:tc>
        <w:tc>
          <w:tcPr>
            <w:tcW w:w="906" w:type="dxa"/>
            <w:noWrap/>
            <w:hideMark/>
          </w:tcPr>
          <w:p w14:paraId="73B1673F"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1.453,0</w:t>
            </w:r>
          </w:p>
        </w:tc>
        <w:tc>
          <w:tcPr>
            <w:tcW w:w="865" w:type="dxa"/>
            <w:noWrap/>
            <w:hideMark/>
          </w:tcPr>
          <w:p w14:paraId="77D2BE57"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467,8</w:t>
            </w:r>
          </w:p>
        </w:tc>
        <w:tc>
          <w:tcPr>
            <w:tcW w:w="1004" w:type="dxa"/>
            <w:noWrap/>
            <w:hideMark/>
          </w:tcPr>
          <w:p w14:paraId="6ADD0384"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47,5%</w:t>
            </w:r>
          </w:p>
        </w:tc>
        <w:tc>
          <w:tcPr>
            <w:tcW w:w="1103" w:type="dxa"/>
            <w:noWrap/>
            <w:hideMark/>
          </w:tcPr>
          <w:p w14:paraId="3BDCDF28"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10,2%</w:t>
            </w:r>
          </w:p>
        </w:tc>
      </w:tr>
    </w:tbl>
    <w:p w14:paraId="2DDB2B27" w14:textId="77777777" w:rsidR="00C46123" w:rsidRPr="00CA2760" w:rsidRDefault="00C46123" w:rsidP="00C46123">
      <w:pPr>
        <w:rPr>
          <w:rFonts w:ascii="Times New Roman" w:hAnsi="Times New Roman" w:cs="Times New Roman"/>
          <w:lang w:val="pt-BR"/>
        </w:rPr>
      </w:pPr>
      <w:r w:rsidRPr="00CA2760">
        <w:rPr>
          <w:rFonts w:ascii="Times New Roman" w:hAnsi="Times New Roman" w:cs="Times New Roman"/>
          <w:lang w:val="pt-BR"/>
        </w:rPr>
        <w:t>Fonte: Cálculos dos autores com os dados do SFM.</w:t>
      </w:r>
    </w:p>
    <w:p w14:paraId="4C134146" w14:textId="77777777" w:rsidR="00C46123" w:rsidRPr="00CA2760" w:rsidRDefault="00C46123" w:rsidP="00C46123">
      <w:pPr>
        <w:rPr>
          <w:rFonts w:ascii="Arial" w:hAnsi="Arial" w:cs="Arial"/>
          <w:b/>
          <w:bCs/>
          <w:sz w:val="20"/>
          <w:szCs w:val="20"/>
          <w:lang w:val="pt-BR"/>
        </w:rPr>
      </w:pPr>
      <w:r w:rsidRPr="00CA2760">
        <w:rPr>
          <w:rFonts w:ascii="Arial" w:hAnsi="Arial" w:cs="Arial"/>
          <w:b/>
          <w:bCs/>
          <w:sz w:val="20"/>
          <w:szCs w:val="20"/>
          <w:lang w:val="pt-BR"/>
        </w:rPr>
        <w:br w:type="page"/>
      </w:r>
    </w:p>
    <w:p w14:paraId="19BBE68F" w14:textId="3126C3B5" w:rsidR="00C46123" w:rsidRPr="00CA2760" w:rsidRDefault="00C46123" w:rsidP="00C46123">
      <w:pPr>
        <w:spacing w:after="0" w:line="240" w:lineRule="auto"/>
        <w:rPr>
          <w:rFonts w:ascii="Times New Roman" w:hAnsi="Times New Roman" w:cs="Times New Roman"/>
          <w:bCs/>
          <w:sz w:val="24"/>
          <w:szCs w:val="24"/>
          <w:lang w:val="pt-BR"/>
        </w:rPr>
      </w:pPr>
      <w:r w:rsidRPr="00CA2760">
        <w:rPr>
          <w:rFonts w:ascii="Times New Roman" w:hAnsi="Times New Roman" w:cs="Times New Roman"/>
          <w:bCs/>
          <w:sz w:val="24"/>
          <w:szCs w:val="24"/>
          <w:lang w:val="pt-BR"/>
        </w:rPr>
        <w:lastRenderedPageBreak/>
        <w:t xml:space="preserve">Tabela </w:t>
      </w:r>
      <w:r w:rsidR="007451C3">
        <w:rPr>
          <w:rFonts w:ascii="Times New Roman" w:hAnsi="Times New Roman" w:cs="Times New Roman"/>
          <w:bCs/>
          <w:sz w:val="24"/>
          <w:szCs w:val="24"/>
          <w:lang w:val="pt-BR"/>
        </w:rPr>
        <w:t>2</w:t>
      </w:r>
      <w:r w:rsidRPr="00CA2760">
        <w:rPr>
          <w:rFonts w:ascii="Times New Roman" w:hAnsi="Times New Roman" w:cs="Times New Roman"/>
          <w:bCs/>
          <w:sz w:val="24"/>
          <w:szCs w:val="24"/>
          <w:lang w:val="pt-BR"/>
        </w:rPr>
        <w:t>. FDU: Balanço Patrimonial: Em 31 de Dezembro de 2013 e 2017</w:t>
      </w:r>
    </w:p>
    <w:p w14:paraId="5888C467" w14:textId="77777777" w:rsidR="00C46123" w:rsidRPr="00CA2760" w:rsidRDefault="00C46123" w:rsidP="00C46123">
      <w:pPr>
        <w:spacing w:after="0" w:line="240" w:lineRule="auto"/>
        <w:rPr>
          <w:rFonts w:ascii="Times New Roman" w:hAnsi="Times New Roman" w:cs="Times New Roman"/>
          <w:bCs/>
          <w:i/>
          <w:iCs/>
          <w:sz w:val="24"/>
          <w:szCs w:val="24"/>
          <w:lang w:val="pt-BR"/>
        </w:rPr>
      </w:pPr>
      <w:r w:rsidRPr="00CA2760">
        <w:rPr>
          <w:rFonts w:ascii="Times New Roman" w:hAnsi="Times New Roman" w:cs="Times New Roman"/>
          <w:bCs/>
          <w:i/>
          <w:iCs/>
          <w:sz w:val="24"/>
          <w:szCs w:val="24"/>
          <w:lang w:val="pt-BR"/>
        </w:rPr>
        <w:t>Em R$ milhões valores constantes de 2017 (*)</w:t>
      </w:r>
    </w:p>
    <w:tbl>
      <w:tblPr>
        <w:tblStyle w:val="TableGrid"/>
        <w:tblW w:w="0" w:type="auto"/>
        <w:tblLook w:val="04A0" w:firstRow="1" w:lastRow="0" w:firstColumn="1" w:lastColumn="0" w:noHBand="0" w:noVBand="1"/>
      </w:tblPr>
      <w:tblGrid>
        <w:gridCol w:w="3681"/>
        <w:gridCol w:w="1039"/>
        <w:gridCol w:w="884"/>
        <w:gridCol w:w="918"/>
        <w:gridCol w:w="1069"/>
        <w:gridCol w:w="1043"/>
      </w:tblGrid>
      <w:tr w:rsidR="00C46123" w:rsidRPr="00CA2760" w14:paraId="630093D7" w14:textId="77777777" w:rsidTr="00B87A9B">
        <w:trPr>
          <w:trHeight w:val="276"/>
        </w:trPr>
        <w:tc>
          <w:tcPr>
            <w:tcW w:w="8634" w:type="dxa"/>
            <w:gridSpan w:val="6"/>
            <w:hideMark/>
          </w:tcPr>
          <w:p w14:paraId="11E39610"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ATIVO</w:t>
            </w:r>
          </w:p>
        </w:tc>
      </w:tr>
      <w:tr w:rsidR="00C46123" w:rsidRPr="00CA2760" w14:paraId="0FEE6DD3" w14:textId="77777777" w:rsidTr="00B87A9B">
        <w:trPr>
          <w:trHeight w:val="264"/>
        </w:trPr>
        <w:tc>
          <w:tcPr>
            <w:tcW w:w="3681" w:type="dxa"/>
            <w:noWrap/>
            <w:hideMark/>
          </w:tcPr>
          <w:p w14:paraId="28348981"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w:t>
            </w:r>
          </w:p>
        </w:tc>
        <w:tc>
          <w:tcPr>
            <w:tcW w:w="1039" w:type="dxa"/>
            <w:hideMark/>
          </w:tcPr>
          <w:p w14:paraId="028BF102"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2013</w:t>
            </w:r>
          </w:p>
        </w:tc>
        <w:tc>
          <w:tcPr>
            <w:tcW w:w="884" w:type="dxa"/>
            <w:hideMark/>
          </w:tcPr>
          <w:p w14:paraId="4DA996B8"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2017</w:t>
            </w:r>
          </w:p>
        </w:tc>
        <w:tc>
          <w:tcPr>
            <w:tcW w:w="3030" w:type="dxa"/>
            <w:gridSpan w:val="3"/>
            <w:hideMark/>
          </w:tcPr>
          <w:p w14:paraId="7E07E523"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Variação 2013/17</w:t>
            </w:r>
          </w:p>
        </w:tc>
      </w:tr>
      <w:tr w:rsidR="00C46123" w:rsidRPr="00CA2760" w14:paraId="1AE6B6FE" w14:textId="77777777" w:rsidTr="00B87A9B">
        <w:trPr>
          <w:trHeight w:val="264"/>
        </w:trPr>
        <w:tc>
          <w:tcPr>
            <w:tcW w:w="3681" w:type="dxa"/>
            <w:noWrap/>
            <w:hideMark/>
          </w:tcPr>
          <w:p w14:paraId="48F7DFBD"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w:t>
            </w:r>
          </w:p>
        </w:tc>
        <w:tc>
          <w:tcPr>
            <w:tcW w:w="1039" w:type="dxa"/>
            <w:noWrap/>
            <w:hideMark/>
          </w:tcPr>
          <w:p w14:paraId="684F3651"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w:t>
            </w:r>
          </w:p>
        </w:tc>
        <w:tc>
          <w:tcPr>
            <w:tcW w:w="884" w:type="dxa"/>
            <w:noWrap/>
            <w:hideMark/>
          </w:tcPr>
          <w:p w14:paraId="41E3A767"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w:t>
            </w:r>
          </w:p>
        </w:tc>
        <w:tc>
          <w:tcPr>
            <w:tcW w:w="918" w:type="dxa"/>
            <w:hideMark/>
          </w:tcPr>
          <w:p w14:paraId="5599FC6C"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xml:space="preserve"> Abs. </w:t>
            </w:r>
          </w:p>
        </w:tc>
        <w:tc>
          <w:tcPr>
            <w:tcW w:w="1069" w:type="dxa"/>
            <w:hideMark/>
          </w:tcPr>
          <w:p w14:paraId="0F75AB8E"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w:t>
            </w:r>
          </w:p>
        </w:tc>
        <w:tc>
          <w:tcPr>
            <w:tcW w:w="1043" w:type="dxa"/>
            <w:hideMark/>
          </w:tcPr>
          <w:p w14:paraId="304324C7"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anual</w:t>
            </w:r>
          </w:p>
        </w:tc>
      </w:tr>
      <w:tr w:rsidR="00C46123" w:rsidRPr="00CA2760" w14:paraId="01B005A8" w14:textId="77777777" w:rsidTr="00B87A9B">
        <w:trPr>
          <w:trHeight w:val="264"/>
        </w:trPr>
        <w:tc>
          <w:tcPr>
            <w:tcW w:w="3681" w:type="dxa"/>
            <w:noWrap/>
            <w:hideMark/>
          </w:tcPr>
          <w:p w14:paraId="2006F9CE"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TOTAL DO ATIVO CIRCULANTE</w:t>
            </w:r>
          </w:p>
        </w:tc>
        <w:tc>
          <w:tcPr>
            <w:tcW w:w="1039" w:type="dxa"/>
            <w:noWrap/>
            <w:hideMark/>
          </w:tcPr>
          <w:p w14:paraId="46AA0AE8"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1.269,5</w:t>
            </w:r>
          </w:p>
        </w:tc>
        <w:tc>
          <w:tcPr>
            <w:tcW w:w="884" w:type="dxa"/>
            <w:noWrap/>
            <w:hideMark/>
          </w:tcPr>
          <w:p w14:paraId="04715388"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1.453,0</w:t>
            </w:r>
          </w:p>
        </w:tc>
        <w:tc>
          <w:tcPr>
            <w:tcW w:w="918" w:type="dxa"/>
            <w:noWrap/>
            <w:hideMark/>
          </w:tcPr>
          <w:p w14:paraId="0A9E3571"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183,5</w:t>
            </w:r>
          </w:p>
        </w:tc>
        <w:tc>
          <w:tcPr>
            <w:tcW w:w="1069" w:type="dxa"/>
            <w:noWrap/>
            <w:hideMark/>
          </w:tcPr>
          <w:p w14:paraId="7274E9E5"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14,5%</w:t>
            </w:r>
          </w:p>
        </w:tc>
        <w:tc>
          <w:tcPr>
            <w:tcW w:w="1043" w:type="dxa"/>
            <w:noWrap/>
            <w:hideMark/>
          </w:tcPr>
          <w:p w14:paraId="0A3DD8BA"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3,4%</w:t>
            </w:r>
          </w:p>
        </w:tc>
      </w:tr>
      <w:tr w:rsidR="00C46123" w:rsidRPr="00CA2760" w14:paraId="19438437" w14:textId="77777777" w:rsidTr="008B2EB5">
        <w:trPr>
          <w:trHeight w:val="264"/>
        </w:trPr>
        <w:tc>
          <w:tcPr>
            <w:tcW w:w="3681" w:type="dxa"/>
            <w:noWrap/>
            <w:hideMark/>
          </w:tcPr>
          <w:p w14:paraId="58D5A657"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Aplicações Financeiras</w:t>
            </w:r>
          </w:p>
        </w:tc>
        <w:tc>
          <w:tcPr>
            <w:tcW w:w="1039" w:type="dxa"/>
            <w:noWrap/>
            <w:vAlign w:val="center"/>
            <w:hideMark/>
          </w:tcPr>
          <w:p w14:paraId="175B4D2C"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521,8</w:t>
            </w:r>
          </w:p>
        </w:tc>
        <w:tc>
          <w:tcPr>
            <w:tcW w:w="884" w:type="dxa"/>
            <w:noWrap/>
            <w:vAlign w:val="center"/>
            <w:hideMark/>
          </w:tcPr>
          <w:p w14:paraId="24AC5B3E"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587,3</w:t>
            </w:r>
          </w:p>
        </w:tc>
        <w:tc>
          <w:tcPr>
            <w:tcW w:w="918" w:type="dxa"/>
            <w:noWrap/>
            <w:vAlign w:val="center"/>
            <w:hideMark/>
          </w:tcPr>
          <w:p w14:paraId="03350D3A"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65,5</w:t>
            </w:r>
          </w:p>
        </w:tc>
        <w:tc>
          <w:tcPr>
            <w:tcW w:w="1069" w:type="dxa"/>
            <w:noWrap/>
            <w:vAlign w:val="center"/>
            <w:hideMark/>
          </w:tcPr>
          <w:p w14:paraId="25492A49"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12,6%</w:t>
            </w:r>
          </w:p>
        </w:tc>
        <w:tc>
          <w:tcPr>
            <w:tcW w:w="1043" w:type="dxa"/>
            <w:noWrap/>
            <w:vAlign w:val="center"/>
            <w:hideMark/>
          </w:tcPr>
          <w:p w14:paraId="02E7FF8D"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3,0%</w:t>
            </w:r>
          </w:p>
        </w:tc>
      </w:tr>
      <w:tr w:rsidR="00C46123" w:rsidRPr="00CA2760" w14:paraId="0CC54687" w14:textId="77777777" w:rsidTr="008B2EB5">
        <w:trPr>
          <w:trHeight w:val="264"/>
        </w:trPr>
        <w:tc>
          <w:tcPr>
            <w:tcW w:w="3681" w:type="dxa"/>
            <w:noWrap/>
            <w:hideMark/>
          </w:tcPr>
          <w:p w14:paraId="4E33EA1B"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Financiamentos Concedidos aos Municípios</w:t>
            </w:r>
          </w:p>
        </w:tc>
        <w:tc>
          <w:tcPr>
            <w:tcW w:w="1039" w:type="dxa"/>
            <w:noWrap/>
            <w:vAlign w:val="center"/>
            <w:hideMark/>
          </w:tcPr>
          <w:p w14:paraId="38A8DA29"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740,0</w:t>
            </w:r>
          </w:p>
        </w:tc>
        <w:tc>
          <w:tcPr>
            <w:tcW w:w="884" w:type="dxa"/>
            <w:noWrap/>
            <w:vAlign w:val="center"/>
            <w:hideMark/>
          </w:tcPr>
          <w:p w14:paraId="40C63441"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848,3</w:t>
            </w:r>
          </w:p>
        </w:tc>
        <w:tc>
          <w:tcPr>
            <w:tcW w:w="918" w:type="dxa"/>
            <w:noWrap/>
            <w:vAlign w:val="center"/>
            <w:hideMark/>
          </w:tcPr>
          <w:p w14:paraId="0ECF87E5"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108,4</w:t>
            </w:r>
          </w:p>
        </w:tc>
        <w:tc>
          <w:tcPr>
            <w:tcW w:w="1069" w:type="dxa"/>
            <w:noWrap/>
            <w:vAlign w:val="center"/>
            <w:hideMark/>
          </w:tcPr>
          <w:p w14:paraId="4A9D0D58"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14,6%</w:t>
            </w:r>
          </w:p>
        </w:tc>
        <w:tc>
          <w:tcPr>
            <w:tcW w:w="1043" w:type="dxa"/>
            <w:noWrap/>
            <w:vAlign w:val="center"/>
            <w:hideMark/>
          </w:tcPr>
          <w:p w14:paraId="0615C8CE"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3,5%</w:t>
            </w:r>
          </w:p>
        </w:tc>
      </w:tr>
      <w:tr w:rsidR="00C46123" w:rsidRPr="00CA2760" w14:paraId="0617C070" w14:textId="77777777" w:rsidTr="008B2EB5">
        <w:trPr>
          <w:trHeight w:val="528"/>
        </w:trPr>
        <w:tc>
          <w:tcPr>
            <w:tcW w:w="3681" w:type="dxa"/>
            <w:hideMark/>
          </w:tcPr>
          <w:p w14:paraId="072F6BA8"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Caixa, Bancos, Contas a Receber e Outros Créditos</w:t>
            </w:r>
          </w:p>
        </w:tc>
        <w:tc>
          <w:tcPr>
            <w:tcW w:w="1039" w:type="dxa"/>
            <w:noWrap/>
            <w:vAlign w:val="center"/>
            <w:hideMark/>
          </w:tcPr>
          <w:p w14:paraId="4141D1DD"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7,7</w:t>
            </w:r>
          </w:p>
        </w:tc>
        <w:tc>
          <w:tcPr>
            <w:tcW w:w="884" w:type="dxa"/>
            <w:noWrap/>
            <w:vAlign w:val="center"/>
            <w:hideMark/>
          </w:tcPr>
          <w:p w14:paraId="151CF037"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17,3</w:t>
            </w:r>
          </w:p>
        </w:tc>
        <w:tc>
          <w:tcPr>
            <w:tcW w:w="918" w:type="dxa"/>
            <w:noWrap/>
            <w:vAlign w:val="center"/>
            <w:hideMark/>
          </w:tcPr>
          <w:p w14:paraId="12383B29"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9,6</w:t>
            </w:r>
          </w:p>
        </w:tc>
        <w:tc>
          <w:tcPr>
            <w:tcW w:w="1069" w:type="dxa"/>
            <w:noWrap/>
            <w:vAlign w:val="center"/>
            <w:hideMark/>
          </w:tcPr>
          <w:p w14:paraId="12424AD2"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124,5%</w:t>
            </w:r>
          </w:p>
        </w:tc>
        <w:tc>
          <w:tcPr>
            <w:tcW w:w="1043" w:type="dxa"/>
            <w:noWrap/>
            <w:vAlign w:val="center"/>
            <w:hideMark/>
          </w:tcPr>
          <w:p w14:paraId="143D133D"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22,4%</w:t>
            </w:r>
          </w:p>
        </w:tc>
      </w:tr>
      <w:tr w:rsidR="00C46123" w:rsidRPr="00A31500" w14:paraId="23AF53EF" w14:textId="77777777" w:rsidTr="008B2EB5">
        <w:trPr>
          <w:trHeight w:val="264"/>
        </w:trPr>
        <w:tc>
          <w:tcPr>
            <w:tcW w:w="3681" w:type="dxa"/>
            <w:noWrap/>
            <w:hideMark/>
          </w:tcPr>
          <w:p w14:paraId="583E41C8"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TOTAL DO ATIVO NÃO CIRCULANTE</w:t>
            </w:r>
          </w:p>
        </w:tc>
        <w:tc>
          <w:tcPr>
            <w:tcW w:w="1039" w:type="dxa"/>
            <w:noWrap/>
            <w:vAlign w:val="center"/>
          </w:tcPr>
          <w:p w14:paraId="676E7F3A" w14:textId="6CB59908" w:rsidR="00C46123" w:rsidRPr="00CA2760" w:rsidRDefault="00C46123" w:rsidP="008B2EB5">
            <w:pPr>
              <w:jc w:val="right"/>
              <w:rPr>
                <w:rFonts w:ascii="Arial" w:hAnsi="Arial" w:cs="Arial"/>
                <w:b/>
                <w:bCs/>
                <w:sz w:val="20"/>
                <w:szCs w:val="20"/>
                <w:lang w:val="pt-BR"/>
              </w:rPr>
            </w:pPr>
          </w:p>
        </w:tc>
        <w:tc>
          <w:tcPr>
            <w:tcW w:w="884" w:type="dxa"/>
            <w:noWrap/>
            <w:vAlign w:val="center"/>
          </w:tcPr>
          <w:p w14:paraId="1513D1A7" w14:textId="0DBCA6D8" w:rsidR="00C46123" w:rsidRPr="00CA2760" w:rsidRDefault="00C46123" w:rsidP="008B2EB5">
            <w:pPr>
              <w:jc w:val="right"/>
              <w:rPr>
                <w:rFonts w:ascii="Arial" w:hAnsi="Arial" w:cs="Arial"/>
                <w:b/>
                <w:bCs/>
                <w:sz w:val="20"/>
                <w:szCs w:val="20"/>
                <w:lang w:val="pt-BR"/>
              </w:rPr>
            </w:pPr>
          </w:p>
        </w:tc>
        <w:tc>
          <w:tcPr>
            <w:tcW w:w="918" w:type="dxa"/>
            <w:noWrap/>
            <w:vAlign w:val="center"/>
          </w:tcPr>
          <w:p w14:paraId="345EB7A1" w14:textId="77777777" w:rsidR="00C46123" w:rsidRPr="00CA2760" w:rsidRDefault="00C46123" w:rsidP="008B2EB5">
            <w:pPr>
              <w:jc w:val="right"/>
              <w:rPr>
                <w:rFonts w:ascii="Arial" w:hAnsi="Arial" w:cs="Arial"/>
                <w:b/>
                <w:bCs/>
                <w:sz w:val="20"/>
                <w:szCs w:val="20"/>
                <w:lang w:val="pt-BR"/>
              </w:rPr>
            </w:pPr>
          </w:p>
        </w:tc>
        <w:tc>
          <w:tcPr>
            <w:tcW w:w="1069" w:type="dxa"/>
            <w:noWrap/>
            <w:vAlign w:val="center"/>
            <w:hideMark/>
          </w:tcPr>
          <w:p w14:paraId="30B76BAA" w14:textId="77777777" w:rsidR="00C46123" w:rsidRPr="00CA2760" w:rsidRDefault="00C46123" w:rsidP="008B2EB5">
            <w:pPr>
              <w:jc w:val="right"/>
              <w:rPr>
                <w:rFonts w:ascii="Arial" w:hAnsi="Arial" w:cs="Arial"/>
                <w:b/>
                <w:bCs/>
                <w:sz w:val="20"/>
                <w:szCs w:val="20"/>
                <w:lang w:val="pt-BR"/>
              </w:rPr>
            </w:pPr>
          </w:p>
        </w:tc>
        <w:tc>
          <w:tcPr>
            <w:tcW w:w="1043" w:type="dxa"/>
            <w:noWrap/>
            <w:vAlign w:val="center"/>
            <w:hideMark/>
          </w:tcPr>
          <w:p w14:paraId="07AA19E0" w14:textId="77777777" w:rsidR="00C46123" w:rsidRPr="00CA2760" w:rsidRDefault="00C46123" w:rsidP="008B2EB5">
            <w:pPr>
              <w:jc w:val="right"/>
              <w:rPr>
                <w:rFonts w:ascii="Arial" w:hAnsi="Arial" w:cs="Arial"/>
                <w:b/>
                <w:bCs/>
                <w:sz w:val="20"/>
                <w:szCs w:val="20"/>
                <w:lang w:val="pt-BR"/>
              </w:rPr>
            </w:pPr>
          </w:p>
        </w:tc>
      </w:tr>
      <w:tr w:rsidR="00C46123" w:rsidRPr="00CA2760" w14:paraId="1136755E" w14:textId="77777777" w:rsidTr="00635C8A">
        <w:trPr>
          <w:trHeight w:val="265"/>
        </w:trPr>
        <w:tc>
          <w:tcPr>
            <w:tcW w:w="3681" w:type="dxa"/>
            <w:noWrap/>
            <w:hideMark/>
          </w:tcPr>
          <w:p w14:paraId="1833BC16"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REALIZÁVEL A LONGO PRAZO</w:t>
            </w:r>
          </w:p>
        </w:tc>
        <w:tc>
          <w:tcPr>
            <w:tcW w:w="1039" w:type="dxa"/>
            <w:noWrap/>
            <w:hideMark/>
          </w:tcPr>
          <w:p w14:paraId="13C35DAE" w14:textId="77777777" w:rsidR="00C46123" w:rsidRPr="00CA2760" w:rsidRDefault="00C46123" w:rsidP="00B87A9B">
            <w:pPr>
              <w:jc w:val="right"/>
              <w:rPr>
                <w:rFonts w:ascii="Arial" w:hAnsi="Arial" w:cs="Arial"/>
                <w:b/>
                <w:bCs/>
                <w:sz w:val="20"/>
                <w:szCs w:val="20"/>
                <w:lang w:val="pt-BR"/>
              </w:rPr>
            </w:pPr>
          </w:p>
        </w:tc>
        <w:tc>
          <w:tcPr>
            <w:tcW w:w="884" w:type="dxa"/>
            <w:noWrap/>
            <w:hideMark/>
          </w:tcPr>
          <w:p w14:paraId="48ED8CD7" w14:textId="77777777" w:rsidR="00C46123" w:rsidRPr="00CA2760" w:rsidRDefault="00C46123" w:rsidP="00B87A9B">
            <w:pPr>
              <w:jc w:val="right"/>
              <w:rPr>
                <w:rFonts w:ascii="Arial" w:hAnsi="Arial" w:cs="Arial"/>
                <w:b/>
                <w:bCs/>
                <w:sz w:val="20"/>
                <w:szCs w:val="20"/>
                <w:lang w:val="pt-BR"/>
              </w:rPr>
            </w:pPr>
          </w:p>
        </w:tc>
        <w:tc>
          <w:tcPr>
            <w:tcW w:w="918" w:type="dxa"/>
            <w:noWrap/>
            <w:hideMark/>
          </w:tcPr>
          <w:p w14:paraId="5C40E986" w14:textId="77777777" w:rsidR="00C46123" w:rsidRPr="00CA2760" w:rsidRDefault="00C46123" w:rsidP="00B87A9B">
            <w:pPr>
              <w:jc w:val="right"/>
              <w:rPr>
                <w:rFonts w:ascii="Arial" w:hAnsi="Arial" w:cs="Arial"/>
                <w:b/>
                <w:bCs/>
                <w:sz w:val="20"/>
                <w:szCs w:val="20"/>
                <w:lang w:val="pt-BR"/>
              </w:rPr>
            </w:pPr>
          </w:p>
        </w:tc>
        <w:tc>
          <w:tcPr>
            <w:tcW w:w="1069" w:type="dxa"/>
            <w:noWrap/>
            <w:hideMark/>
          </w:tcPr>
          <w:p w14:paraId="414B9637" w14:textId="77777777" w:rsidR="00C46123" w:rsidRPr="00CA2760" w:rsidRDefault="00C46123" w:rsidP="00B87A9B">
            <w:pPr>
              <w:jc w:val="right"/>
              <w:rPr>
                <w:rFonts w:ascii="Arial" w:hAnsi="Arial" w:cs="Arial"/>
                <w:b/>
                <w:bCs/>
                <w:sz w:val="20"/>
                <w:szCs w:val="20"/>
                <w:lang w:val="pt-BR"/>
              </w:rPr>
            </w:pPr>
          </w:p>
        </w:tc>
        <w:tc>
          <w:tcPr>
            <w:tcW w:w="1043" w:type="dxa"/>
            <w:noWrap/>
            <w:hideMark/>
          </w:tcPr>
          <w:p w14:paraId="0BCEA256" w14:textId="77777777" w:rsidR="00C46123" w:rsidRPr="00CA2760" w:rsidRDefault="00C46123" w:rsidP="00B87A9B">
            <w:pPr>
              <w:jc w:val="right"/>
              <w:rPr>
                <w:rFonts w:ascii="Arial" w:hAnsi="Arial" w:cs="Arial"/>
                <w:b/>
                <w:bCs/>
                <w:sz w:val="20"/>
                <w:szCs w:val="20"/>
                <w:lang w:val="pt-BR"/>
              </w:rPr>
            </w:pPr>
          </w:p>
        </w:tc>
      </w:tr>
      <w:tr w:rsidR="00C46123" w:rsidRPr="00CA2760" w14:paraId="1BE93D4E" w14:textId="77777777" w:rsidTr="00B87A9B">
        <w:trPr>
          <w:trHeight w:val="276"/>
        </w:trPr>
        <w:tc>
          <w:tcPr>
            <w:tcW w:w="3681" w:type="dxa"/>
            <w:noWrap/>
            <w:hideMark/>
          </w:tcPr>
          <w:p w14:paraId="71414C7F"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TOTAL DO ATIVO</w:t>
            </w:r>
          </w:p>
        </w:tc>
        <w:tc>
          <w:tcPr>
            <w:tcW w:w="1039" w:type="dxa"/>
            <w:noWrap/>
            <w:hideMark/>
          </w:tcPr>
          <w:p w14:paraId="71208A90"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1.269,5</w:t>
            </w:r>
          </w:p>
        </w:tc>
        <w:tc>
          <w:tcPr>
            <w:tcW w:w="884" w:type="dxa"/>
            <w:noWrap/>
            <w:hideMark/>
          </w:tcPr>
          <w:p w14:paraId="08709BD8"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1.453,0</w:t>
            </w:r>
          </w:p>
        </w:tc>
        <w:tc>
          <w:tcPr>
            <w:tcW w:w="918" w:type="dxa"/>
            <w:noWrap/>
            <w:hideMark/>
          </w:tcPr>
          <w:p w14:paraId="631765BD"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183,5</w:t>
            </w:r>
          </w:p>
        </w:tc>
        <w:tc>
          <w:tcPr>
            <w:tcW w:w="1069" w:type="dxa"/>
            <w:noWrap/>
            <w:hideMark/>
          </w:tcPr>
          <w:p w14:paraId="13A6ED50" w14:textId="6C512591" w:rsidR="00C46123" w:rsidRPr="00CA2760" w:rsidRDefault="00E82174" w:rsidP="00B87A9B">
            <w:pPr>
              <w:jc w:val="right"/>
              <w:rPr>
                <w:rFonts w:ascii="Arial" w:hAnsi="Arial" w:cs="Arial"/>
                <w:b/>
                <w:bCs/>
                <w:sz w:val="20"/>
                <w:szCs w:val="20"/>
                <w:lang w:val="pt-BR"/>
              </w:rPr>
            </w:pPr>
            <w:r w:rsidRPr="00CA2760">
              <w:rPr>
                <w:rFonts w:ascii="Arial" w:hAnsi="Arial" w:cs="Arial"/>
                <w:b/>
                <w:bCs/>
                <w:sz w:val="20"/>
                <w:szCs w:val="20"/>
                <w:lang w:val="pt-BR"/>
              </w:rPr>
              <w:t>14,5%</w:t>
            </w:r>
          </w:p>
        </w:tc>
        <w:tc>
          <w:tcPr>
            <w:tcW w:w="1043" w:type="dxa"/>
            <w:noWrap/>
            <w:hideMark/>
          </w:tcPr>
          <w:p w14:paraId="05EACDE3"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3,4%</w:t>
            </w:r>
          </w:p>
        </w:tc>
      </w:tr>
      <w:tr w:rsidR="00C46123" w:rsidRPr="00CA2760" w14:paraId="353F270F" w14:textId="77777777" w:rsidTr="00B87A9B">
        <w:trPr>
          <w:trHeight w:val="288"/>
        </w:trPr>
        <w:tc>
          <w:tcPr>
            <w:tcW w:w="8634" w:type="dxa"/>
            <w:gridSpan w:val="6"/>
            <w:hideMark/>
          </w:tcPr>
          <w:p w14:paraId="5DE1A9E2"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PASSIVO</w:t>
            </w:r>
          </w:p>
        </w:tc>
      </w:tr>
      <w:tr w:rsidR="00C46123" w:rsidRPr="00CA2760" w14:paraId="0CC6047E" w14:textId="77777777" w:rsidTr="00B87A9B">
        <w:trPr>
          <w:trHeight w:val="276"/>
        </w:trPr>
        <w:tc>
          <w:tcPr>
            <w:tcW w:w="3681" w:type="dxa"/>
            <w:noWrap/>
            <w:hideMark/>
          </w:tcPr>
          <w:p w14:paraId="52CA29C3"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w:t>
            </w:r>
          </w:p>
        </w:tc>
        <w:tc>
          <w:tcPr>
            <w:tcW w:w="1039" w:type="dxa"/>
            <w:hideMark/>
          </w:tcPr>
          <w:p w14:paraId="30B10A56"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2013</w:t>
            </w:r>
          </w:p>
        </w:tc>
        <w:tc>
          <w:tcPr>
            <w:tcW w:w="884" w:type="dxa"/>
            <w:hideMark/>
          </w:tcPr>
          <w:p w14:paraId="12E65FAF"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2017</w:t>
            </w:r>
          </w:p>
        </w:tc>
        <w:tc>
          <w:tcPr>
            <w:tcW w:w="3030" w:type="dxa"/>
            <w:gridSpan w:val="3"/>
            <w:hideMark/>
          </w:tcPr>
          <w:p w14:paraId="2AF17945"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Variação 2013/17</w:t>
            </w:r>
          </w:p>
        </w:tc>
      </w:tr>
      <w:tr w:rsidR="00C46123" w:rsidRPr="00CA2760" w14:paraId="62949DBB" w14:textId="77777777" w:rsidTr="00B87A9B">
        <w:trPr>
          <w:trHeight w:val="264"/>
        </w:trPr>
        <w:tc>
          <w:tcPr>
            <w:tcW w:w="3681" w:type="dxa"/>
            <w:noWrap/>
            <w:hideMark/>
          </w:tcPr>
          <w:p w14:paraId="23A700A2"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w:t>
            </w:r>
          </w:p>
        </w:tc>
        <w:tc>
          <w:tcPr>
            <w:tcW w:w="1039" w:type="dxa"/>
            <w:noWrap/>
            <w:hideMark/>
          </w:tcPr>
          <w:p w14:paraId="58D01CCB" w14:textId="77777777" w:rsidR="00C46123" w:rsidRPr="00CA2760" w:rsidRDefault="00C46123" w:rsidP="00B87A9B">
            <w:pPr>
              <w:jc w:val="right"/>
              <w:rPr>
                <w:rFonts w:ascii="Arial" w:hAnsi="Arial" w:cs="Arial"/>
                <w:b/>
                <w:bCs/>
                <w:sz w:val="20"/>
                <w:szCs w:val="20"/>
                <w:lang w:val="pt-BR"/>
              </w:rPr>
            </w:pPr>
          </w:p>
        </w:tc>
        <w:tc>
          <w:tcPr>
            <w:tcW w:w="884" w:type="dxa"/>
            <w:noWrap/>
            <w:hideMark/>
          </w:tcPr>
          <w:p w14:paraId="42ED7EB3" w14:textId="77777777" w:rsidR="00C46123" w:rsidRPr="00CA2760" w:rsidRDefault="00C46123" w:rsidP="00B87A9B">
            <w:pPr>
              <w:jc w:val="right"/>
              <w:rPr>
                <w:rFonts w:ascii="Arial" w:hAnsi="Arial" w:cs="Arial"/>
                <w:b/>
                <w:bCs/>
                <w:sz w:val="20"/>
                <w:szCs w:val="20"/>
                <w:lang w:val="pt-BR"/>
              </w:rPr>
            </w:pPr>
          </w:p>
        </w:tc>
        <w:tc>
          <w:tcPr>
            <w:tcW w:w="918" w:type="dxa"/>
            <w:hideMark/>
          </w:tcPr>
          <w:p w14:paraId="2C226289"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Abs.</w:t>
            </w:r>
          </w:p>
        </w:tc>
        <w:tc>
          <w:tcPr>
            <w:tcW w:w="1069" w:type="dxa"/>
            <w:hideMark/>
          </w:tcPr>
          <w:p w14:paraId="3E2ADC84"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w:t>
            </w:r>
          </w:p>
        </w:tc>
        <w:tc>
          <w:tcPr>
            <w:tcW w:w="1043" w:type="dxa"/>
            <w:hideMark/>
          </w:tcPr>
          <w:p w14:paraId="0D5A7704"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%anual</w:t>
            </w:r>
          </w:p>
        </w:tc>
      </w:tr>
      <w:tr w:rsidR="00ED52F6" w:rsidRPr="00CA2760" w14:paraId="2DE3568E" w14:textId="77777777" w:rsidTr="00E8250D">
        <w:trPr>
          <w:trHeight w:val="264"/>
        </w:trPr>
        <w:tc>
          <w:tcPr>
            <w:tcW w:w="3681" w:type="dxa"/>
            <w:noWrap/>
            <w:hideMark/>
          </w:tcPr>
          <w:p w14:paraId="7A74017F" w14:textId="77777777" w:rsidR="00ED52F6" w:rsidRPr="00CA2760" w:rsidRDefault="00ED52F6" w:rsidP="00ED52F6">
            <w:pPr>
              <w:rPr>
                <w:rFonts w:ascii="Arial" w:hAnsi="Arial" w:cs="Arial"/>
                <w:b/>
                <w:bCs/>
                <w:sz w:val="20"/>
                <w:szCs w:val="20"/>
                <w:lang w:val="pt-BR"/>
              </w:rPr>
            </w:pPr>
            <w:r w:rsidRPr="00CA2760">
              <w:rPr>
                <w:rFonts w:ascii="Arial" w:hAnsi="Arial" w:cs="Arial"/>
                <w:b/>
                <w:bCs/>
                <w:sz w:val="20"/>
                <w:szCs w:val="20"/>
                <w:lang w:val="pt-BR"/>
              </w:rPr>
              <w:t>TOTAL DO PASSIVO CIRCULANTE</w:t>
            </w:r>
          </w:p>
        </w:tc>
        <w:tc>
          <w:tcPr>
            <w:tcW w:w="1039" w:type="dxa"/>
            <w:noWrap/>
            <w:hideMark/>
          </w:tcPr>
          <w:p w14:paraId="4F6A5AEC" w14:textId="77777777" w:rsidR="00ED52F6" w:rsidRPr="00CA2760" w:rsidRDefault="00ED52F6" w:rsidP="00ED52F6">
            <w:pPr>
              <w:jc w:val="right"/>
              <w:rPr>
                <w:rFonts w:ascii="Arial" w:hAnsi="Arial" w:cs="Arial"/>
                <w:b/>
                <w:bCs/>
                <w:sz w:val="20"/>
                <w:szCs w:val="20"/>
                <w:lang w:val="pt-BR"/>
              </w:rPr>
            </w:pPr>
            <w:r w:rsidRPr="00CA2760">
              <w:rPr>
                <w:rFonts w:ascii="Arial" w:hAnsi="Arial" w:cs="Arial"/>
                <w:b/>
                <w:bCs/>
                <w:sz w:val="20"/>
                <w:szCs w:val="20"/>
                <w:lang w:val="pt-BR"/>
              </w:rPr>
              <w:t>16,5</w:t>
            </w:r>
          </w:p>
        </w:tc>
        <w:tc>
          <w:tcPr>
            <w:tcW w:w="884" w:type="dxa"/>
            <w:noWrap/>
            <w:hideMark/>
          </w:tcPr>
          <w:p w14:paraId="3E2EFE41" w14:textId="77777777" w:rsidR="00ED52F6" w:rsidRPr="00CA2760" w:rsidRDefault="00ED52F6" w:rsidP="00ED52F6">
            <w:pPr>
              <w:jc w:val="right"/>
              <w:rPr>
                <w:rFonts w:ascii="Arial" w:hAnsi="Arial" w:cs="Arial"/>
                <w:b/>
                <w:bCs/>
                <w:sz w:val="20"/>
                <w:szCs w:val="20"/>
                <w:lang w:val="pt-BR"/>
              </w:rPr>
            </w:pPr>
            <w:r w:rsidRPr="00CA2760">
              <w:rPr>
                <w:rFonts w:ascii="Arial" w:hAnsi="Arial" w:cs="Arial"/>
                <w:b/>
                <w:bCs/>
                <w:sz w:val="20"/>
                <w:szCs w:val="20"/>
                <w:lang w:val="pt-BR"/>
              </w:rPr>
              <w:t>99,6</w:t>
            </w:r>
          </w:p>
        </w:tc>
        <w:tc>
          <w:tcPr>
            <w:tcW w:w="918" w:type="dxa"/>
            <w:noWrap/>
            <w:hideMark/>
          </w:tcPr>
          <w:p w14:paraId="2BDCDA62" w14:textId="77777777" w:rsidR="00ED52F6" w:rsidRPr="00CA2760" w:rsidRDefault="00ED52F6" w:rsidP="00ED52F6">
            <w:pPr>
              <w:jc w:val="right"/>
              <w:rPr>
                <w:rFonts w:ascii="Arial" w:hAnsi="Arial" w:cs="Arial"/>
                <w:b/>
                <w:bCs/>
                <w:sz w:val="20"/>
                <w:szCs w:val="20"/>
                <w:lang w:val="pt-BR"/>
              </w:rPr>
            </w:pPr>
            <w:r w:rsidRPr="00CA2760">
              <w:rPr>
                <w:rFonts w:ascii="Arial" w:hAnsi="Arial" w:cs="Arial"/>
                <w:b/>
                <w:bCs/>
                <w:sz w:val="20"/>
                <w:szCs w:val="20"/>
                <w:lang w:val="pt-BR"/>
              </w:rPr>
              <w:t>83,1</w:t>
            </w:r>
          </w:p>
        </w:tc>
        <w:tc>
          <w:tcPr>
            <w:tcW w:w="1069" w:type="dxa"/>
            <w:noWrap/>
            <w:vAlign w:val="center"/>
            <w:hideMark/>
          </w:tcPr>
          <w:p w14:paraId="52B2A21D" w14:textId="1776B8B8" w:rsidR="00ED52F6" w:rsidRPr="00CA2760" w:rsidRDefault="00ED52F6" w:rsidP="00ED52F6">
            <w:pPr>
              <w:jc w:val="right"/>
              <w:rPr>
                <w:rFonts w:ascii="Arial" w:hAnsi="Arial" w:cs="Arial"/>
                <w:b/>
                <w:bCs/>
                <w:sz w:val="20"/>
                <w:szCs w:val="20"/>
                <w:lang w:val="pt-BR"/>
              </w:rPr>
            </w:pPr>
            <w:r>
              <w:rPr>
                <w:rFonts w:ascii="Arial" w:hAnsi="Arial" w:cs="Arial"/>
                <w:b/>
                <w:bCs/>
                <w:sz w:val="20"/>
                <w:szCs w:val="20"/>
              </w:rPr>
              <w:t>504,3%</w:t>
            </w:r>
          </w:p>
        </w:tc>
        <w:tc>
          <w:tcPr>
            <w:tcW w:w="1043" w:type="dxa"/>
            <w:noWrap/>
            <w:vAlign w:val="center"/>
            <w:hideMark/>
          </w:tcPr>
          <w:p w14:paraId="2A021B70" w14:textId="40992237" w:rsidR="00ED52F6" w:rsidRPr="00CA2760" w:rsidRDefault="00ED52F6" w:rsidP="00ED52F6">
            <w:pPr>
              <w:jc w:val="right"/>
              <w:rPr>
                <w:rFonts w:ascii="Arial" w:hAnsi="Arial" w:cs="Arial"/>
                <w:b/>
                <w:bCs/>
                <w:sz w:val="20"/>
                <w:szCs w:val="20"/>
                <w:lang w:val="pt-BR"/>
              </w:rPr>
            </w:pPr>
            <w:r>
              <w:rPr>
                <w:rFonts w:ascii="Arial" w:hAnsi="Arial" w:cs="Arial"/>
                <w:b/>
                <w:bCs/>
                <w:sz w:val="20"/>
                <w:szCs w:val="20"/>
              </w:rPr>
              <w:t>56,8%</w:t>
            </w:r>
          </w:p>
        </w:tc>
      </w:tr>
      <w:tr w:rsidR="00C46123" w:rsidRPr="00A31500" w14:paraId="5D63F542" w14:textId="77777777" w:rsidTr="00B87A9B">
        <w:trPr>
          <w:trHeight w:val="264"/>
        </w:trPr>
        <w:tc>
          <w:tcPr>
            <w:tcW w:w="3681" w:type="dxa"/>
            <w:noWrap/>
            <w:hideMark/>
          </w:tcPr>
          <w:p w14:paraId="1DE2C8BE"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TOTAL DO PASSIVO NÃO CIRCULANTE</w:t>
            </w:r>
          </w:p>
        </w:tc>
        <w:tc>
          <w:tcPr>
            <w:tcW w:w="1039" w:type="dxa"/>
            <w:noWrap/>
            <w:hideMark/>
          </w:tcPr>
          <w:p w14:paraId="203BD64D" w14:textId="77777777" w:rsidR="00C46123" w:rsidRPr="00CA2760" w:rsidRDefault="00C46123" w:rsidP="00B87A9B">
            <w:pPr>
              <w:jc w:val="right"/>
              <w:rPr>
                <w:rFonts w:ascii="Arial" w:hAnsi="Arial" w:cs="Arial"/>
                <w:b/>
                <w:bCs/>
                <w:sz w:val="20"/>
                <w:szCs w:val="20"/>
                <w:lang w:val="pt-BR"/>
              </w:rPr>
            </w:pPr>
          </w:p>
        </w:tc>
        <w:tc>
          <w:tcPr>
            <w:tcW w:w="884" w:type="dxa"/>
            <w:noWrap/>
            <w:hideMark/>
          </w:tcPr>
          <w:p w14:paraId="32990112" w14:textId="77777777" w:rsidR="00C46123" w:rsidRPr="00CA2760" w:rsidRDefault="00C46123" w:rsidP="00B87A9B">
            <w:pPr>
              <w:jc w:val="right"/>
              <w:rPr>
                <w:rFonts w:ascii="Arial" w:hAnsi="Arial" w:cs="Arial"/>
                <w:b/>
                <w:bCs/>
                <w:sz w:val="20"/>
                <w:szCs w:val="20"/>
                <w:lang w:val="pt-BR"/>
              </w:rPr>
            </w:pPr>
          </w:p>
        </w:tc>
        <w:tc>
          <w:tcPr>
            <w:tcW w:w="918" w:type="dxa"/>
            <w:noWrap/>
            <w:hideMark/>
          </w:tcPr>
          <w:p w14:paraId="32CAD2C0" w14:textId="77777777" w:rsidR="00C46123" w:rsidRPr="00CA2760" w:rsidRDefault="00C46123" w:rsidP="00B87A9B">
            <w:pPr>
              <w:jc w:val="right"/>
              <w:rPr>
                <w:rFonts w:ascii="Arial" w:hAnsi="Arial" w:cs="Arial"/>
                <w:b/>
                <w:bCs/>
                <w:sz w:val="20"/>
                <w:szCs w:val="20"/>
                <w:lang w:val="pt-BR"/>
              </w:rPr>
            </w:pPr>
          </w:p>
        </w:tc>
        <w:tc>
          <w:tcPr>
            <w:tcW w:w="1069" w:type="dxa"/>
            <w:noWrap/>
            <w:hideMark/>
          </w:tcPr>
          <w:p w14:paraId="2A03E6F8" w14:textId="77777777" w:rsidR="00C46123" w:rsidRPr="00CA2760" w:rsidRDefault="00C46123" w:rsidP="00B87A9B">
            <w:pPr>
              <w:jc w:val="right"/>
              <w:rPr>
                <w:rFonts w:ascii="Arial" w:hAnsi="Arial" w:cs="Arial"/>
                <w:b/>
                <w:bCs/>
                <w:sz w:val="20"/>
                <w:szCs w:val="20"/>
                <w:lang w:val="pt-BR"/>
              </w:rPr>
            </w:pPr>
          </w:p>
        </w:tc>
        <w:tc>
          <w:tcPr>
            <w:tcW w:w="1043" w:type="dxa"/>
            <w:noWrap/>
            <w:hideMark/>
          </w:tcPr>
          <w:p w14:paraId="72C07C0D" w14:textId="77777777" w:rsidR="00C46123" w:rsidRPr="00CA2760" w:rsidRDefault="00C46123" w:rsidP="00B87A9B">
            <w:pPr>
              <w:jc w:val="right"/>
              <w:rPr>
                <w:rFonts w:ascii="Arial" w:hAnsi="Arial" w:cs="Arial"/>
                <w:b/>
                <w:bCs/>
                <w:sz w:val="20"/>
                <w:szCs w:val="20"/>
                <w:lang w:val="pt-BR"/>
              </w:rPr>
            </w:pPr>
          </w:p>
        </w:tc>
      </w:tr>
      <w:tr w:rsidR="00C46123" w:rsidRPr="00CA2760" w14:paraId="6D929713" w14:textId="77777777" w:rsidTr="00B87A9B">
        <w:trPr>
          <w:trHeight w:val="264"/>
        </w:trPr>
        <w:tc>
          <w:tcPr>
            <w:tcW w:w="3681" w:type="dxa"/>
            <w:noWrap/>
            <w:hideMark/>
          </w:tcPr>
          <w:p w14:paraId="5EC4CC9A"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EXIGÍVEL A LONGO PRAZO</w:t>
            </w:r>
          </w:p>
        </w:tc>
        <w:tc>
          <w:tcPr>
            <w:tcW w:w="1039" w:type="dxa"/>
            <w:noWrap/>
            <w:hideMark/>
          </w:tcPr>
          <w:p w14:paraId="3EEA11CD" w14:textId="77777777" w:rsidR="00C46123" w:rsidRPr="00CA2760" w:rsidRDefault="00C46123" w:rsidP="00B87A9B">
            <w:pPr>
              <w:jc w:val="right"/>
              <w:rPr>
                <w:rFonts w:ascii="Arial" w:hAnsi="Arial" w:cs="Arial"/>
                <w:b/>
                <w:bCs/>
                <w:sz w:val="20"/>
                <w:szCs w:val="20"/>
                <w:lang w:val="pt-BR"/>
              </w:rPr>
            </w:pPr>
          </w:p>
        </w:tc>
        <w:tc>
          <w:tcPr>
            <w:tcW w:w="884" w:type="dxa"/>
            <w:noWrap/>
            <w:hideMark/>
          </w:tcPr>
          <w:p w14:paraId="34B9C7DB" w14:textId="77777777" w:rsidR="00C46123" w:rsidRPr="00CA2760" w:rsidRDefault="00C46123" w:rsidP="00B87A9B">
            <w:pPr>
              <w:jc w:val="right"/>
              <w:rPr>
                <w:rFonts w:ascii="Arial" w:hAnsi="Arial" w:cs="Arial"/>
                <w:b/>
                <w:bCs/>
                <w:sz w:val="20"/>
                <w:szCs w:val="20"/>
                <w:lang w:val="pt-BR"/>
              </w:rPr>
            </w:pPr>
          </w:p>
        </w:tc>
        <w:tc>
          <w:tcPr>
            <w:tcW w:w="918" w:type="dxa"/>
            <w:noWrap/>
            <w:hideMark/>
          </w:tcPr>
          <w:p w14:paraId="5634E2FD" w14:textId="77777777" w:rsidR="00C46123" w:rsidRPr="00CA2760" w:rsidRDefault="00C46123" w:rsidP="00B87A9B">
            <w:pPr>
              <w:jc w:val="right"/>
              <w:rPr>
                <w:rFonts w:ascii="Arial" w:hAnsi="Arial" w:cs="Arial"/>
                <w:b/>
                <w:bCs/>
                <w:sz w:val="20"/>
                <w:szCs w:val="20"/>
                <w:lang w:val="pt-BR"/>
              </w:rPr>
            </w:pPr>
          </w:p>
        </w:tc>
        <w:tc>
          <w:tcPr>
            <w:tcW w:w="1069" w:type="dxa"/>
            <w:noWrap/>
            <w:hideMark/>
          </w:tcPr>
          <w:p w14:paraId="45F4FA39" w14:textId="77777777" w:rsidR="00C46123" w:rsidRPr="00CA2760" w:rsidRDefault="00C46123" w:rsidP="00B87A9B">
            <w:pPr>
              <w:jc w:val="right"/>
              <w:rPr>
                <w:rFonts w:ascii="Arial" w:hAnsi="Arial" w:cs="Arial"/>
                <w:b/>
                <w:bCs/>
                <w:sz w:val="20"/>
                <w:szCs w:val="20"/>
                <w:lang w:val="pt-BR"/>
              </w:rPr>
            </w:pPr>
          </w:p>
        </w:tc>
        <w:tc>
          <w:tcPr>
            <w:tcW w:w="1043" w:type="dxa"/>
            <w:noWrap/>
            <w:hideMark/>
          </w:tcPr>
          <w:p w14:paraId="62302F47" w14:textId="77777777" w:rsidR="00C46123" w:rsidRPr="00CA2760" w:rsidRDefault="00C46123" w:rsidP="00B87A9B">
            <w:pPr>
              <w:jc w:val="right"/>
              <w:rPr>
                <w:rFonts w:ascii="Arial" w:hAnsi="Arial" w:cs="Arial"/>
                <w:b/>
                <w:bCs/>
                <w:sz w:val="20"/>
                <w:szCs w:val="20"/>
                <w:lang w:val="pt-BR"/>
              </w:rPr>
            </w:pPr>
          </w:p>
        </w:tc>
      </w:tr>
      <w:tr w:rsidR="00C46123" w:rsidRPr="00CA2760" w14:paraId="0BDC2016" w14:textId="77777777" w:rsidTr="00B87A9B">
        <w:trPr>
          <w:trHeight w:val="264"/>
        </w:trPr>
        <w:tc>
          <w:tcPr>
            <w:tcW w:w="3681" w:type="dxa"/>
            <w:noWrap/>
            <w:hideMark/>
          </w:tcPr>
          <w:p w14:paraId="2BBA9D67"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xml:space="preserve">  Provisões para contingências</w:t>
            </w:r>
          </w:p>
        </w:tc>
        <w:tc>
          <w:tcPr>
            <w:tcW w:w="1039" w:type="dxa"/>
            <w:noWrap/>
            <w:hideMark/>
          </w:tcPr>
          <w:p w14:paraId="313548AB" w14:textId="77777777" w:rsidR="00C46123" w:rsidRPr="00CA2760" w:rsidRDefault="00C46123" w:rsidP="00B87A9B">
            <w:pPr>
              <w:jc w:val="right"/>
              <w:rPr>
                <w:rFonts w:ascii="Arial" w:hAnsi="Arial" w:cs="Arial"/>
                <w:b/>
                <w:bCs/>
                <w:sz w:val="20"/>
                <w:szCs w:val="20"/>
                <w:lang w:val="pt-BR"/>
              </w:rPr>
            </w:pPr>
          </w:p>
        </w:tc>
        <w:tc>
          <w:tcPr>
            <w:tcW w:w="884" w:type="dxa"/>
            <w:noWrap/>
            <w:hideMark/>
          </w:tcPr>
          <w:p w14:paraId="64319033" w14:textId="77777777" w:rsidR="00C46123" w:rsidRPr="00CA2760" w:rsidRDefault="00C46123" w:rsidP="00B87A9B">
            <w:pPr>
              <w:jc w:val="right"/>
              <w:rPr>
                <w:rFonts w:ascii="Arial" w:hAnsi="Arial" w:cs="Arial"/>
                <w:b/>
                <w:bCs/>
                <w:sz w:val="20"/>
                <w:szCs w:val="20"/>
                <w:lang w:val="pt-BR"/>
              </w:rPr>
            </w:pPr>
          </w:p>
        </w:tc>
        <w:tc>
          <w:tcPr>
            <w:tcW w:w="918" w:type="dxa"/>
            <w:noWrap/>
            <w:hideMark/>
          </w:tcPr>
          <w:p w14:paraId="5C75EAB0" w14:textId="77777777" w:rsidR="00C46123" w:rsidRPr="00CA2760" w:rsidRDefault="00C46123" w:rsidP="00B87A9B">
            <w:pPr>
              <w:jc w:val="right"/>
              <w:rPr>
                <w:rFonts w:ascii="Arial" w:hAnsi="Arial" w:cs="Arial"/>
                <w:b/>
                <w:bCs/>
                <w:sz w:val="20"/>
                <w:szCs w:val="20"/>
                <w:lang w:val="pt-BR"/>
              </w:rPr>
            </w:pPr>
          </w:p>
        </w:tc>
        <w:tc>
          <w:tcPr>
            <w:tcW w:w="1069" w:type="dxa"/>
            <w:noWrap/>
            <w:hideMark/>
          </w:tcPr>
          <w:p w14:paraId="32B94CF0" w14:textId="77777777" w:rsidR="00C46123" w:rsidRPr="00CA2760" w:rsidRDefault="00C46123" w:rsidP="00B87A9B">
            <w:pPr>
              <w:jc w:val="right"/>
              <w:rPr>
                <w:rFonts w:ascii="Arial" w:hAnsi="Arial" w:cs="Arial"/>
                <w:b/>
                <w:bCs/>
                <w:sz w:val="20"/>
                <w:szCs w:val="20"/>
                <w:lang w:val="pt-BR"/>
              </w:rPr>
            </w:pPr>
          </w:p>
        </w:tc>
        <w:tc>
          <w:tcPr>
            <w:tcW w:w="1043" w:type="dxa"/>
            <w:noWrap/>
            <w:hideMark/>
          </w:tcPr>
          <w:p w14:paraId="09C9555A" w14:textId="77777777" w:rsidR="00C46123" w:rsidRPr="00CA2760" w:rsidRDefault="00C46123" w:rsidP="00B87A9B">
            <w:pPr>
              <w:jc w:val="right"/>
              <w:rPr>
                <w:rFonts w:ascii="Arial" w:hAnsi="Arial" w:cs="Arial"/>
                <w:b/>
                <w:bCs/>
                <w:sz w:val="20"/>
                <w:szCs w:val="20"/>
                <w:lang w:val="pt-BR"/>
              </w:rPr>
            </w:pPr>
          </w:p>
        </w:tc>
      </w:tr>
      <w:tr w:rsidR="00C46123" w:rsidRPr="00CA2760" w14:paraId="75EA9225" w14:textId="77777777" w:rsidTr="00B87A9B">
        <w:trPr>
          <w:trHeight w:val="264"/>
        </w:trPr>
        <w:tc>
          <w:tcPr>
            <w:tcW w:w="3681" w:type="dxa"/>
            <w:noWrap/>
            <w:hideMark/>
          </w:tcPr>
          <w:p w14:paraId="16C79CEC"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xml:space="preserve">  Empréstimos e Financiamentos</w:t>
            </w:r>
          </w:p>
        </w:tc>
        <w:tc>
          <w:tcPr>
            <w:tcW w:w="1039" w:type="dxa"/>
            <w:noWrap/>
            <w:hideMark/>
          </w:tcPr>
          <w:p w14:paraId="02DBD4AB" w14:textId="77777777" w:rsidR="00C46123" w:rsidRPr="00CA2760" w:rsidRDefault="00C46123" w:rsidP="00B87A9B">
            <w:pPr>
              <w:jc w:val="right"/>
              <w:rPr>
                <w:rFonts w:ascii="Arial" w:hAnsi="Arial" w:cs="Arial"/>
                <w:b/>
                <w:bCs/>
                <w:sz w:val="20"/>
                <w:szCs w:val="20"/>
                <w:lang w:val="pt-BR"/>
              </w:rPr>
            </w:pPr>
          </w:p>
        </w:tc>
        <w:tc>
          <w:tcPr>
            <w:tcW w:w="884" w:type="dxa"/>
            <w:noWrap/>
            <w:hideMark/>
          </w:tcPr>
          <w:p w14:paraId="467A49CF" w14:textId="77777777" w:rsidR="00C46123" w:rsidRPr="00CA2760" w:rsidRDefault="00C46123" w:rsidP="00B87A9B">
            <w:pPr>
              <w:jc w:val="right"/>
              <w:rPr>
                <w:rFonts w:ascii="Arial" w:hAnsi="Arial" w:cs="Arial"/>
                <w:b/>
                <w:bCs/>
                <w:sz w:val="20"/>
                <w:szCs w:val="20"/>
                <w:lang w:val="pt-BR"/>
              </w:rPr>
            </w:pPr>
          </w:p>
        </w:tc>
        <w:tc>
          <w:tcPr>
            <w:tcW w:w="918" w:type="dxa"/>
            <w:noWrap/>
            <w:hideMark/>
          </w:tcPr>
          <w:p w14:paraId="5C6E720D" w14:textId="77777777" w:rsidR="00C46123" w:rsidRPr="00CA2760" w:rsidRDefault="00C46123" w:rsidP="00B87A9B">
            <w:pPr>
              <w:jc w:val="right"/>
              <w:rPr>
                <w:rFonts w:ascii="Arial" w:hAnsi="Arial" w:cs="Arial"/>
                <w:b/>
                <w:bCs/>
                <w:sz w:val="20"/>
                <w:szCs w:val="20"/>
                <w:lang w:val="pt-BR"/>
              </w:rPr>
            </w:pPr>
          </w:p>
        </w:tc>
        <w:tc>
          <w:tcPr>
            <w:tcW w:w="1069" w:type="dxa"/>
            <w:noWrap/>
            <w:hideMark/>
          </w:tcPr>
          <w:p w14:paraId="141A4420" w14:textId="77777777" w:rsidR="00C46123" w:rsidRPr="00CA2760" w:rsidRDefault="00C46123" w:rsidP="00B87A9B">
            <w:pPr>
              <w:jc w:val="right"/>
              <w:rPr>
                <w:rFonts w:ascii="Arial" w:hAnsi="Arial" w:cs="Arial"/>
                <w:b/>
                <w:bCs/>
                <w:sz w:val="20"/>
                <w:szCs w:val="20"/>
                <w:lang w:val="pt-BR"/>
              </w:rPr>
            </w:pPr>
          </w:p>
        </w:tc>
        <w:tc>
          <w:tcPr>
            <w:tcW w:w="1043" w:type="dxa"/>
            <w:noWrap/>
            <w:hideMark/>
          </w:tcPr>
          <w:p w14:paraId="4EB44C93" w14:textId="77777777" w:rsidR="00C46123" w:rsidRPr="00CA2760" w:rsidRDefault="00C46123" w:rsidP="00B87A9B">
            <w:pPr>
              <w:jc w:val="right"/>
              <w:rPr>
                <w:rFonts w:ascii="Arial" w:hAnsi="Arial" w:cs="Arial"/>
                <w:b/>
                <w:bCs/>
                <w:sz w:val="20"/>
                <w:szCs w:val="20"/>
                <w:lang w:val="pt-BR"/>
              </w:rPr>
            </w:pPr>
          </w:p>
        </w:tc>
      </w:tr>
      <w:tr w:rsidR="00C46123" w:rsidRPr="00CA2760" w14:paraId="06540DB0" w14:textId="77777777" w:rsidTr="00B87A9B">
        <w:trPr>
          <w:trHeight w:val="264"/>
        </w:trPr>
        <w:tc>
          <w:tcPr>
            <w:tcW w:w="3681" w:type="dxa"/>
            <w:noWrap/>
            <w:hideMark/>
          </w:tcPr>
          <w:p w14:paraId="42F5811D"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PATRIMÔNIO LÍQUIDO</w:t>
            </w:r>
          </w:p>
        </w:tc>
        <w:tc>
          <w:tcPr>
            <w:tcW w:w="1039" w:type="dxa"/>
            <w:noWrap/>
            <w:hideMark/>
          </w:tcPr>
          <w:p w14:paraId="5F67101F"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1.253,0</w:t>
            </w:r>
          </w:p>
        </w:tc>
        <w:tc>
          <w:tcPr>
            <w:tcW w:w="884" w:type="dxa"/>
            <w:noWrap/>
            <w:hideMark/>
          </w:tcPr>
          <w:p w14:paraId="0FE26642"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1.353,4</w:t>
            </w:r>
          </w:p>
        </w:tc>
        <w:tc>
          <w:tcPr>
            <w:tcW w:w="918" w:type="dxa"/>
            <w:noWrap/>
            <w:hideMark/>
          </w:tcPr>
          <w:p w14:paraId="7B79A227"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100,4</w:t>
            </w:r>
          </w:p>
        </w:tc>
        <w:tc>
          <w:tcPr>
            <w:tcW w:w="1069" w:type="dxa"/>
            <w:noWrap/>
            <w:hideMark/>
          </w:tcPr>
          <w:p w14:paraId="044EAA82"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8,0%</w:t>
            </w:r>
          </w:p>
        </w:tc>
        <w:tc>
          <w:tcPr>
            <w:tcW w:w="1043" w:type="dxa"/>
            <w:noWrap/>
            <w:hideMark/>
          </w:tcPr>
          <w:p w14:paraId="58EFE5E9"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1,9%</w:t>
            </w:r>
          </w:p>
        </w:tc>
      </w:tr>
      <w:tr w:rsidR="00C46123" w:rsidRPr="00CA2760" w14:paraId="4B2E0D9E" w14:textId="77777777" w:rsidTr="00B87A9B">
        <w:trPr>
          <w:trHeight w:val="264"/>
        </w:trPr>
        <w:tc>
          <w:tcPr>
            <w:tcW w:w="3681" w:type="dxa"/>
            <w:noWrap/>
            <w:hideMark/>
          </w:tcPr>
          <w:p w14:paraId="619DDDF2"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TOTAL DO PASSIVO</w:t>
            </w:r>
          </w:p>
        </w:tc>
        <w:tc>
          <w:tcPr>
            <w:tcW w:w="1039" w:type="dxa"/>
            <w:noWrap/>
            <w:hideMark/>
          </w:tcPr>
          <w:p w14:paraId="005871EC"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1.269,5</w:t>
            </w:r>
          </w:p>
        </w:tc>
        <w:tc>
          <w:tcPr>
            <w:tcW w:w="884" w:type="dxa"/>
            <w:noWrap/>
            <w:hideMark/>
          </w:tcPr>
          <w:p w14:paraId="5C171884"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1.453,0</w:t>
            </w:r>
          </w:p>
        </w:tc>
        <w:tc>
          <w:tcPr>
            <w:tcW w:w="918" w:type="dxa"/>
            <w:noWrap/>
            <w:hideMark/>
          </w:tcPr>
          <w:p w14:paraId="7D14591E"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183,5</w:t>
            </w:r>
          </w:p>
        </w:tc>
        <w:tc>
          <w:tcPr>
            <w:tcW w:w="1069" w:type="dxa"/>
            <w:noWrap/>
            <w:hideMark/>
          </w:tcPr>
          <w:p w14:paraId="10ABC1F9"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14,5%</w:t>
            </w:r>
          </w:p>
        </w:tc>
        <w:tc>
          <w:tcPr>
            <w:tcW w:w="1043" w:type="dxa"/>
            <w:noWrap/>
            <w:hideMark/>
          </w:tcPr>
          <w:p w14:paraId="283D1A7E"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3,4%</w:t>
            </w:r>
          </w:p>
        </w:tc>
      </w:tr>
    </w:tbl>
    <w:p w14:paraId="6839603B" w14:textId="77777777" w:rsidR="00C46123" w:rsidRPr="00CA2760" w:rsidRDefault="00C46123" w:rsidP="00C46123">
      <w:pPr>
        <w:spacing w:after="0"/>
        <w:rPr>
          <w:rFonts w:ascii="Times New Roman" w:hAnsi="Times New Roman" w:cs="Times New Roman"/>
          <w:lang w:val="pt-BR"/>
        </w:rPr>
      </w:pPr>
      <w:bookmarkStart w:id="13" w:name="_Hlk511368583"/>
      <w:r w:rsidRPr="00CA2760">
        <w:rPr>
          <w:rFonts w:ascii="Times New Roman" w:hAnsi="Times New Roman" w:cs="Times New Roman"/>
          <w:lang w:val="pt-BR"/>
        </w:rPr>
        <w:t>Nota (*): Estimado utilizando o IPCA.</w:t>
      </w:r>
    </w:p>
    <w:p w14:paraId="7C2D971D" w14:textId="77777777" w:rsidR="00C46123" w:rsidRPr="00CA2760" w:rsidRDefault="00C46123" w:rsidP="00C46123">
      <w:pPr>
        <w:rPr>
          <w:rFonts w:ascii="Times New Roman" w:hAnsi="Times New Roman" w:cs="Times New Roman"/>
          <w:lang w:val="pt-BR"/>
        </w:rPr>
      </w:pPr>
      <w:r w:rsidRPr="00CA2760">
        <w:rPr>
          <w:rFonts w:ascii="Times New Roman" w:hAnsi="Times New Roman" w:cs="Times New Roman"/>
          <w:lang w:val="pt-BR"/>
        </w:rPr>
        <w:t>Fonte: Cálculos dos autores com os dados do SFM.</w:t>
      </w:r>
    </w:p>
    <w:bookmarkEnd w:id="13"/>
    <w:p w14:paraId="7C0B3203" w14:textId="77777777" w:rsidR="00C46123" w:rsidRPr="00CA2760" w:rsidRDefault="00C46123" w:rsidP="00C46123">
      <w:pPr>
        <w:rPr>
          <w:rFonts w:ascii="Arial" w:hAnsi="Arial" w:cs="Arial"/>
          <w:sz w:val="20"/>
          <w:szCs w:val="20"/>
          <w:lang w:val="pt-BR"/>
        </w:rPr>
      </w:pPr>
      <w:r w:rsidRPr="00CA2760">
        <w:rPr>
          <w:rFonts w:ascii="Arial" w:hAnsi="Arial" w:cs="Arial"/>
          <w:sz w:val="20"/>
          <w:szCs w:val="20"/>
          <w:lang w:val="pt-BR"/>
        </w:rPr>
        <w:br w:type="page"/>
      </w:r>
    </w:p>
    <w:p w14:paraId="548A8E4E" w14:textId="372ECA26" w:rsidR="00C46123" w:rsidRPr="00CA2760" w:rsidRDefault="00C46123" w:rsidP="00C46123">
      <w:pPr>
        <w:spacing w:after="0"/>
        <w:rPr>
          <w:rFonts w:ascii="Times New Roman" w:hAnsi="Times New Roman" w:cs="Times New Roman"/>
          <w:bCs/>
          <w:sz w:val="24"/>
          <w:szCs w:val="24"/>
          <w:lang w:val="pt-BR"/>
        </w:rPr>
      </w:pPr>
      <w:r w:rsidRPr="00CA2760">
        <w:rPr>
          <w:rFonts w:ascii="Times New Roman" w:hAnsi="Times New Roman" w:cs="Times New Roman"/>
          <w:bCs/>
          <w:sz w:val="24"/>
          <w:szCs w:val="24"/>
          <w:lang w:val="pt-BR"/>
        </w:rPr>
        <w:lastRenderedPageBreak/>
        <w:t>Tabela</w:t>
      </w:r>
      <w:r w:rsidR="007451C3">
        <w:rPr>
          <w:rFonts w:ascii="Times New Roman" w:hAnsi="Times New Roman" w:cs="Times New Roman"/>
          <w:bCs/>
          <w:sz w:val="24"/>
          <w:szCs w:val="24"/>
          <w:lang w:val="pt-BR"/>
        </w:rPr>
        <w:t xml:space="preserve"> 3</w:t>
      </w:r>
      <w:r w:rsidRPr="00CA2760">
        <w:rPr>
          <w:rFonts w:ascii="Times New Roman" w:hAnsi="Times New Roman" w:cs="Times New Roman"/>
          <w:bCs/>
          <w:sz w:val="24"/>
          <w:szCs w:val="24"/>
          <w:lang w:val="pt-BR"/>
        </w:rPr>
        <w:t>. FDU: Balanço Patrimonial: Em 31 de Dezembro de 2013 e 2017</w:t>
      </w:r>
    </w:p>
    <w:p w14:paraId="628231DB" w14:textId="51B3730A" w:rsidR="00C46123" w:rsidRPr="00CA2760" w:rsidRDefault="00C46123" w:rsidP="00C46123">
      <w:pPr>
        <w:spacing w:after="0"/>
        <w:rPr>
          <w:rFonts w:ascii="Times New Roman" w:hAnsi="Times New Roman" w:cs="Times New Roman"/>
          <w:bCs/>
          <w:sz w:val="24"/>
          <w:szCs w:val="24"/>
          <w:lang w:val="pt-BR"/>
        </w:rPr>
      </w:pPr>
      <w:r w:rsidRPr="00635C8A">
        <w:rPr>
          <w:rFonts w:ascii="Times New Roman" w:hAnsi="Times New Roman" w:cs="Times New Roman"/>
          <w:bCs/>
          <w:sz w:val="24"/>
          <w:szCs w:val="24"/>
          <w:lang w:val="pt-BR"/>
        </w:rPr>
        <w:t>US$ milhões valores constantes de 2017 (*)</w:t>
      </w:r>
    </w:p>
    <w:tbl>
      <w:tblPr>
        <w:tblStyle w:val="TableGrid"/>
        <w:tblW w:w="0" w:type="auto"/>
        <w:tblLook w:val="04A0" w:firstRow="1" w:lastRow="0" w:firstColumn="1" w:lastColumn="0" w:noHBand="0" w:noVBand="1"/>
      </w:tblPr>
      <w:tblGrid>
        <w:gridCol w:w="4055"/>
        <w:gridCol w:w="920"/>
        <w:gridCol w:w="920"/>
        <w:gridCol w:w="960"/>
        <w:gridCol w:w="1120"/>
        <w:gridCol w:w="1092"/>
      </w:tblGrid>
      <w:tr w:rsidR="00C46123" w:rsidRPr="00CA2760" w14:paraId="4B3DA767" w14:textId="77777777" w:rsidTr="00B87A9B">
        <w:trPr>
          <w:trHeight w:val="276"/>
        </w:trPr>
        <w:tc>
          <w:tcPr>
            <w:tcW w:w="9067" w:type="dxa"/>
            <w:gridSpan w:val="6"/>
            <w:hideMark/>
          </w:tcPr>
          <w:p w14:paraId="37BF9180"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ATIVO</w:t>
            </w:r>
          </w:p>
        </w:tc>
      </w:tr>
      <w:tr w:rsidR="00C46123" w:rsidRPr="00CA2760" w14:paraId="147E1DF4" w14:textId="77777777" w:rsidTr="00B87A9B">
        <w:trPr>
          <w:trHeight w:val="264"/>
        </w:trPr>
        <w:tc>
          <w:tcPr>
            <w:tcW w:w="4055" w:type="dxa"/>
            <w:noWrap/>
            <w:hideMark/>
          </w:tcPr>
          <w:p w14:paraId="174BF456"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w:t>
            </w:r>
          </w:p>
        </w:tc>
        <w:tc>
          <w:tcPr>
            <w:tcW w:w="920" w:type="dxa"/>
            <w:hideMark/>
          </w:tcPr>
          <w:p w14:paraId="57E93985"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2013</w:t>
            </w:r>
          </w:p>
        </w:tc>
        <w:tc>
          <w:tcPr>
            <w:tcW w:w="920" w:type="dxa"/>
            <w:hideMark/>
          </w:tcPr>
          <w:p w14:paraId="29507896"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2017</w:t>
            </w:r>
          </w:p>
        </w:tc>
        <w:tc>
          <w:tcPr>
            <w:tcW w:w="3172" w:type="dxa"/>
            <w:gridSpan w:val="3"/>
            <w:hideMark/>
          </w:tcPr>
          <w:p w14:paraId="0F2EE118"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Variação 2013/17</w:t>
            </w:r>
          </w:p>
        </w:tc>
      </w:tr>
      <w:tr w:rsidR="00C46123" w:rsidRPr="00CA2760" w14:paraId="40137835" w14:textId="77777777" w:rsidTr="00B87A9B">
        <w:trPr>
          <w:trHeight w:val="264"/>
        </w:trPr>
        <w:tc>
          <w:tcPr>
            <w:tcW w:w="4055" w:type="dxa"/>
            <w:noWrap/>
            <w:hideMark/>
          </w:tcPr>
          <w:p w14:paraId="454FD103"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w:t>
            </w:r>
          </w:p>
        </w:tc>
        <w:tc>
          <w:tcPr>
            <w:tcW w:w="920" w:type="dxa"/>
            <w:noWrap/>
            <w:hideMark/>
          </w:tcPr>
          <w:p w14:paraId="221242D9"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w:t>
            </w:r>
          </w:p>
        </w:tc>
        <w:tc>
          <w:tcPr>
            <w:tcW w:w="920" w:type="dxa"/>
            <w:noWrap/>
            <w:hideMark/>
          </w:tcPr>
          <w:p w14:paraId="319B41BF"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w:t>
            </w:r>
          </w:p>
        </w:tc>
        <w:tc>
          <w:tcPr>
            <w:tcW w:w="960" w:type="dxa"/>
            <w:hideMark/>
          </w:tcPr>
          <w:p w14:paraId="2C35F7BB"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xml:space="preserve"> Abs. </w:t>
            </w:r>
          </w:p>
        </w:tc>
        <w:tc>
          <w:tcPr>
            <w:tcW w:w="1120" w:type="dxa"/>
            <w:hideMark/>
          </w:tcPr>
          <w:p w14:paraId="2D6D9561"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w:t>
            </w:r>
          </w:p>
        </w:tc>
        <w:tc>
          <w:tcPr>
            <w:tcW w:w="1092" w:type="dxa"/>
            <w:hideMark/>
          </w:tcPr>
          <w:p w14:paraId="600878E9"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anual</w:t>
            </w:r>
          </w:p>
        </w:tc>
      </w:tr>
      <w:tr w:rsidR="00C46123" w:rsidRPr="00CA2760" w14:paraId="2BB8F521" w14:textId="77777777" w:rsidTr="00B87A9B">
        <w:trPr>
          <w:trHeight w:val="264"/>
        </w:trPr>
        <w:tc>
          <w:tcPr>
            <w:tcW w:w="4055" w:type="dxa"/>
            <w:noWrap/>
            <w:hideMark/>
          </w:tcPr>
          <w:p w14:paraId="45F762DE"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Total do ativo circulante</w:t>
            </w:r>
          </w:p>
        </w:tc>
        <w:tc>
          <w:tcPr>
            <w:tcW w:w="920" w:type="dxa"/>
            <w:noWrap/>
            <w:hideMark/>
          </w:tcPr>
          <w:p w14:paraId="3E98C1C7"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396,7</w:t>
            </w:r>
          </w:p>
        </w:tc>
        <w:tc>
          <w:tcPr>
            <w:tcW w:w="920" w:type="dxa"/>
            <w:noWrap/>
            <w:hideMark/>
          </w:tcPr>
          <w:p w14:paraId="054ED50D"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454,0</w:t>
            </w:r>
          </w:p>
        </w:tc>
        <w:tc>
          <w:tcPr>
            <w:tcW w:w="960" w:type="dxa"/>
            <w:noWrap/>
            <w:hideMark/>
          </w:tcPr>
          <w:p w14:paraId="3C4FFA76"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57,3</w:t>
            </w:r>
          </w:p>
        </w:tc>
        <w:tc>
          <w:tcPr>
            <w:tcW w:w="1120" w:type="dxa"/>
            <w:noWrap/>
            <w:hideMark/>
          </w:tcPr>
          <w:p w14:paraId="6348572F"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14,5%</w:t>
            </w:r>
          </w:p>
        </w:tc>
        <w:tc>
          <w:tcPr>
            <w:tcW w:w="1092" w:type="dxa"/>
            <w:noWrap/>
            <w:hideMark/>
          </w:tcPr>
          <w:p w14:paraId="69458980"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3,4%</w:t>
            </w:r>
          </w:p>
        </w:tc>
      </w:tr>
      <w:tr w:rsidR="00C46123" w:rsidRPr="00CA2760" w14:paraId="437D6C95" w14:textId="77777777" w:rsidTr="00B87A9B">
        <w:trPr>
          <w:trHeight w:val="264"/>
        </w:trPr>
        <w:tc>
          <w:tcPr>
            <w:tcW w:w="4055" w:type="dxa"/>
            <w:noWrap/>
            <w:hideMark/>
          </w:tcPr>
          <w:p w14:paraId="71A0AF9A"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w:t>
            </w:r>
          </w:p>
        </w:tc>
        <w:tc>
          <w:tcPr>
            <w:tcW w:w="920" w:type="dxa"/>
            <w:noWrap/>
            <w:hideMark/>
          </w:tcPr>
          <w:p w14:paraId="3C7DA520" w14:textId="77777777" w:rsidR="00C46123" w:rsidRPr="00CA2760" w:rsidRDefault="00C46123" w:rsidP="00B87A9B">
            <w:pPr>
              <w:jc w:val="right"/>
              <w:rPr>
                <w:rFonts w:ascii="Arial" w:hAnsi="Arial" w:cs="Arial"/>
                <w:b/>
                <w:bCs/>
                <w:sz w:val="20"/>
                <w:szCs w:val="20"/>
                <w:lang w:val="pt-BR"/>
              </w:rPr>
            </w:pPr>
          </w:p>
        </w:tc>
        <w:tc>
          <w:tcPr>
            <w:tcW w:w="920" w:type="dxa"/>
            <w:noWrap/>
            <w:hideMark/>
          </w:tcPr>
          <w:p w14:paraId="3B3491F8" w14:textId="77777777" w:rsidR="00C46123" w:rsidRPr="00CA2760" w:rsidRDefault="00C46123" w:rsidP="00B87A9B">
            <w:pPr>
              <w:jc w:val="right"/>
              <w:rPr>
                <w:rFonts w:ascii="Arial" w:hAnsi="Arial" w:cs="Arial"/>
                <w:b/>
                <w:bCs/>
                <w:sz w:val="20"/>
                <w:szCs w:val="20"/>
                <w:lang w:val="pt-BR"/>
              </w:rPr>
            </w:pPr>
          </w:p>
        </w:tc>
        <w:tc>
          <w:tcPr>
            <w:tcW w:w="960" w:type="dxa"/>
            <w:noWrap/>
            <w:hideMark/>
          </w:tcPr>
          <w:p w14:paraId="6AD0ACA9" w14:textId="27841D1E" w:rsidR="00C46123" w:rsidRPr="00CA2760" w:rsidRDefault="00C46123" w:rsidP="00B87A9B">
            <w:pPr>
              <w:jc w:val="right"/>
              <w:rPr>
                <w:rFonts w:ascii="Arial" w:hAnsi="Arial" w:cs="Arial"/>
                <w:b/>
                <w:bCs/>
                <w:sz w:val="20"/>
                <w:szCs w:val="20"/>
                <w:lang w:val="pt-BR"/>
              </w:rPr>
            </w:pPr>
          </w:p>
        </w:tc>
        <w:tc>
          <w:tcPr>
            <w:tcW w:w="1120" w:type="dxa"/>
            <w:noWrap/>
            <w:hideMark/>
          </w:tcPr>
          <w:p w14:paraId="627CB9DE" w14:textId="77777777" w:rsidR="00C46123" w:rsidRPr="00CA2760" w:rsidRDefault="00C46123" w:rsidP="00B87A9B">
            <w:pPr>
              <w:jc w:val="right"/>
              <w:rPr>
                <w:rFonts w:ascii="Arial" w:hAnsi="Arial" w:cs="Arial"/>
                <w:b/>
                <w:bCs/>
                <w:sz w:val="20"/>
                <w:szCs w:val="20"/>
                <w:lang w:val="pt-BR"/>
              </w:rPr>
            </w:pPr>
          </w:p>
        </w:tc>
        <w:tc>
          <w:tcPr>
            <w:tcW w:w="1092" w:type="dxa"/>
            <w:noWrap/>
            <w:hideMark/>
          </w:tcPr>
          <w:p w14:paraId="65F357D5" w14:textId="77777777" w:rsidR="00C46123" w:rsidRPr="00CA2760" w:rsidRDefault="00C46123" w:rsidP="00B87A9B">
            <w:pPr>
              <w:jc w:val="right"/>
              <w:rPr>
                <w:rFonts w:ascii="Arial" w:hAnsi="Arial" w:cs="Arial"/>
                <w:b/>
                <w:bCs/>
                <w:sz w:val="20"/>
                <w:szCs w:val="20"/>
                <w:lang w:val="pt-BR"/>
              </w:rPr>
            </w:pPr>
          </w:p>
        </w:tc>
      </w:tr>
      <w:tr w:rsidR="00C46123" w:rsidRPr="00CA2760" w14:paraId="0904CE51" w14:textId="77777777" w:rsidTr="00B87A9B">
        <w:trPr>
          <w:trHeight w:val="264"/>
        </w:trPr>
        <w:tc>
          <w:tcPr>
            <w:tcW w:w="4055" w:type="dxa"/>
            <w:noWrap/>
            <w:hideMark/>
          </w:tcPr>
          <w:p w14:paraId="3DBB60AD"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xml:space="preserve">  Aplicações Financeiras</w:t>
            </w:r>
          </w:p>
        </w:tc>
        <w:tc>
          <w:tcPr>
            <w:tcW w:w="920" w:type="dxa"/>
            <w:noWrap/>
            <w:hideMark/>
          </w:tcPr>
          <w:p w14:paraId="5878B0CD"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163,1</w:t>
            </w:r>
          </w:p>
        </w:tc>
        <w:tc>
          <w:tcPr>
            <w:tcW w:w="920" w:type="dxa"/>
            <w:noWrap/>
            <w:hideMark/>
          </w:tcPr>
          <w:p w14:paraId="29238E27"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183,5</w:t>
            </w:r>
          </w:p>
        </w:tc>
        <w:tc>
          <w:tcPr>
            <w:tcW w:w="960" w:type="dxa"/>
            <w:noWrap/>
            <w:hideMark/>
          </w:tcPr>
          <w:p w14:paraId="5411344D"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20,5</w:t>
            </w:r>
          </w:p>
        </w:tc>
        <w:tc>
          <w:tcPr>
            <w:tcW w:w="1120" w:type="dxa"/>
            <w:noWrap/>
            <w:hideMark/>
          </w:tcPr>
          <w:p w14:paraId="3310486A"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12,6%</w:t>
            </w:r>
          </w:p>
        </w:tc>
        <w:tc>
          <w:tcPr>
            <w:tcW w:w="1092" w:type="dxa"/>
            <w:noWrap/>
            <w:hideMark/>
          </w:tcPr>
          <w:p w14:paraId="12B6C734"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3,0%</w:t>
            </w:r>
          </w:p>
        </w:tc>
      </w:tr>
      <w:tr w:rsidR="00C46123" w:rsidRPr="00CA2760" w14:paraId="1D625357" w14:textId="77777777" w:rsidTr="00EB209E">
        <w:trPr>
          <w:trHeight w:val="264"/>
        </w:trPr>
        <w:tc>
          <w:tcPr>
            <w:tcW w:w="4055" w:type="dxa"/>
            <w:noWrap/>
            <w:hideMark/>
          </w:tcPr>
          <w:p w14:paraId="186BA44A"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xml:space="preserve">  Financiamentos Concedidos aos Municípios</w:t>
            </w:r>
          </w:p>
        </w:tc>
        <w:tc>
          <w:tcPr>
            <w:tcW w:w="920" w:type="dxa"/>
            <w:noWrap/>
            <w:vAlign w:val="center"/>
            <w:hideMark/>
          </w:tcPr>
          <w:p w14:paraId="748A5A76"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231,2</w:t>
            </w:r>
          </w:p>
        </w:tc>
        <w:tc>
          <w:tcPr>
            <w:tcW w:w="920" w:type="dxa"/>
            <w:noWrap/>
            <w:vAlign w:val="center"/>
            <w:hideMark/>
          </w:tcPr>
          <w:p w14:paraId="7ABD47D1"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265,1</w:t>
            </w:r>
          </w:p>
        </w:tc>
        <w:tc>
          <w:tcPr>
            <w:tcW w:w="960" w:type="dxa"/>
            <w:noWrap/>
            <w:vAlign w:val="center"/>
            <w:hideMark/>
          </w:tcPr>
          <w:p w14:paraId="4A790CF1"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33,9</w:t>
            </w:r>
          </w:p>
        </w:tc>
        <w:tc>
          <w:tcPr>
            <w:tcW w:w="1120" w:type="dxa"/>
            <w:noWrap/>
            <w:vAlign w:val="center"/>
            <w:hideMark/>
          </w:tcPr>
          <w:p w14:paraId="20F268AC"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14,6%</w:t>
            </w:r>
          </w:p>
        </w:tc>
        <w:tc>
          <w:tcPr>
            <w:tcW w:w="1092" w:type="dxa"/>
            <w:noWrap/>
            <w:vAlign w:val="center"/>
            <w:hideMark/>
          </w:tcPr>
          <w:p w14:paraId="0EA65046"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3,5%</w:t>
            </w:r>
          </w:p>
        </w:tc>
      </w:tr>
      <w:tr w:rsidR="00C46123" w:rsidRPr="00CA2760" w14:paraId="52174385" w14:textId="77777777" w:rsidTr="00EB209E">
        <w:trPr>
          <w:trHeight w:val="528"/>
        </w:trPr>
        <w:tc>
          <w:tcPr>
            <w:tcW w:w="4055" w:type="dxa"/>
            <w:hideMark/>
          </w:tcPr>
          <w:p w14:paraId="6023F623"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xml:space="preserve">  Caixa, Bancos, Contas a Receber e Outros Créditos</w:t>
            </w:r>
          </w:p>
        </w:tc>
        <w:tc>
          <w:tcPr>
            <w:tcW w:w="920" w:type="dxa"/>
            <w:noWrap/>
            <w:vAlign w:val="center"/>
            <w:hideMark/>
          </w:tcPr>
          <w:p w14:paraId="5EA68C22"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2,4</w:t>
            </w:r>
          </w:p>
        </w:tc>
        <w:tc>
          <w:tcPr>
            <w:tcW w:w="920" w:type="dxa"/>
            <w:noWrap/>
            <w:vAlign w:val="center"/>
            <w:hideMark/>
          </w:tcPr>
          <w:p w14:paraId="365AD203"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5,4</w:t>
            </w:r>
          </w:p>
        </w:tc>
        <w:tc>
          <w:tcPr>
            <w:tcW w:w="960" w:type="dxa"/>
            <w:noWrap/>
            <w:vAlign w:val="center"/>
            <w:hideMark/>
          </w:tcPr>
          <w:p w14:paraId="553798E0"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3,0</w:t>
            </w:r>
          </w:p>
        </w:tc>
        <w:tc>
          <w:tcPr>
            <w:tcW w:w="1120" w:type="dxa"/>
            <w:noWrap/>
            <w:vAlign w:val="center"/>
            <w:hideMark/>
          </w:tcPr>
          <w:p w14:paraId="50F0B6C5"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124,5%</w:t>
            </w:r>
          </w:p>
        </w:tc>
        <w:tc>
          <w:tcPr>
            <w:tcW w:w="1092" w:type="dxa"/>
            <w:noWrap/>
            <w:vAlign w:val="center"/>
            <w:hideMark/>
          </w:tcPr>
          <w:p w14:paraId="3DA084E6" w14:textId="77777777" w:rsidR="00C46123" w:rsidRPr="00CA2760" w:rsidRDefault="00C46123" w:rsidP="008B2EB5">
            <w:pPr>
              <w:jc w:val="right"/>
              <w:rPr>
                <w:rFonts w:ascii="Arial" w:hAnsi="Arial" w:cs="Arial"/>
                <w:sz w:val="20"/>
                <w:szCs w:val="20"/>
                <w:lang w:val="pt-BR"/>
              </w:rPr>
            </w:pPr>
            <w:r w:rsidRPr="00CA2760">
              <w:rPr>
                <w:rFonts w:ascii="Arial" w:hAnsi="Arial" w:cs="Arial"/>
                <w:sz w:val="20"/>
                <w:szCs w:val="20"/>
                <w:lang w:val="pt-BR"/>
              </w:rPr>
              <w:t>22,4%</w:t>
            </w:r>
          </w:p>
        </w:tc>
      </w:tr>
      <w:tr w:rsidR="00C46123" w:rsidRPr="00A31500" w14:paraId="528776D1" w14:textId="77777777" w:rsidTr="001B591F">
        <w:trPr>
          <w:trHeight w:val="264"/>
        </w:trPr>
        <w:tc>
          <w:tcPr>
            <w:tcW w:w="4055" w:type="dxa"/>
            <w:noWrap/>
            <w:hideMark/>
          </w:tcPr>
          <w:p w14:paraId="61862898"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Total do ativo não circulante</w:t>
            </w:r>
          </w:p>
        </w:tc>
        <w:tc>
          <w:tcPr>
            <w:tcW w:w="920" w:type="dxa"/>
            <w:noWrap/>
          </w:tcPr>
          <w:p w14:paraId="72D042E8" w14:textId="125DC21F" w:rsidR="00C46123" w:rsidRPr="00CA2760" w:rsidRDefault="00C46123" w:rsidP="00B87A9B">
            <w:pPr>
              <w:jc w:val="right"/>
              <w:rPr>
                <w:rFonts w:ascii="Arial" w:hAnsi="Arial" w:cs="Arial"/>
                <w:b/>
                <w:bCs/>
                <w:sz w:val="20"/>
                <w:szCs w:val="20"/>
                <w:lang w:val="pt-BR"/>
              </w:rPr>
            </w:pPr>
          </w:p>
        </w:tc>
        <w:tc>
          <w:tcPr>
            <w:tcW w:w="920" w:type="dxa"/>
            <w:noWrap/>
          </w:tcPr>
          <w:p w14:paraId="3AA3A981" w14:textId="31ECD7E9" w:rsidR="00C46123" w:rsidRPr="00CA2760" w:rsidRDefault="00C46123" w:rsidP="00B87A9B">
            <w:pPr>
              <w:jc w:val="right"/>
              <w:rPr>
                <w:rFonts w:ascii="Arial" w:hAnsi="Arial" w:cs="Arial"/>
                <w:b/>
                <w:bCs/>
                <w:sz w:val="20"/>
                <w:szCs w:val="20"/>
                <w:lang w:val="pt-BR"/>
              </w:rPr>
            </w:pPr>
          </w:p>
        </w:tc>
        <w:tc>
          <w:tcPr>
            <w:tcW w:w="960" w:type="dxa"/>
            <w:noWrap/>
            <w:hideMark/>
          </w:tcPr>
          <w:p w14:paraId="33AA9102" w14:textId="77777777" w:rsidR="00C46123" w:rsidRPr="00CA2760" w:rsidRDefault="00C46123" w:rsidP="00B87A9B">
            <w:pPr>
              <w:jc w:val="right"/>
              <w:rPr>
                <w:rFonts w:ascii="Arial" w:hAnsi="Arial" w:cs="Arial"/>
                <w:b/>
                <w:bCs/>
                <w:sz w:val="20"/>
                <w:szCs w:val="20"/>
                <w:lang w:val="pt-BR"/>
              </w:rPr>
            </w:pPr>
          </w:p>
        </w:tc>
        <w:tc>
          <w:tcPr>
            <w:tcW w:w="1120" w:type="dxa"/>
            <w:noWrap/>
            <w:hideMark/>
          </w:tcPr>
          <w:p w14:paraId="3189B6B8" w14:textId="77777777" w:rsidR="00C46123" w:rsidRPr="00CA2760" w:rsidRDefault="00C46123" w:rsidP="00B87A9B">
            <w:pPr>
              <w:jc w:val="right"/>
              <w:rPr>
                <w:rFonts w:ascii="Arial" w:hAnsi="Arial" w:cs="Arial"/>
                <w:b/>
                <w:bCs/>
                <w:sz w:val="20"/>
                <w:szCs w:val="20"/>
                <w:lang w:val="pt-BR"/>
              </w:rPr>
            </w:pPr>
          </w:p>
        </w:tc>
        <w:tc>
          <w:tcPr>
            <w:tcW w:w="1092" w:type="dxa"/>
            <w:noWrap/>
            <w:hideMark/>
          </w:tcPr>
          <w:p w14:paraId="0B338524" w14:textId="77777777" w:rsidR="00C46123" w:rsidRPr="00CA2760" w:rsidRDefault="00C46123" w:rsidP="00B87A9B">
            <w:pPr>
              <w:jc w:val="right"/>
              <w:rPr>
                <w:rFonts w:ascii="Arial" w:hAnsi="Arial" w:cs="Arial"/>
                <w:b/>
                <w:bCs/>
                <w:sz w:val="20"/>
                <w:szCs w:val="20"/>
                <w:lang w:val="pt-BR"/>
              </w:rPr>
            </w:pPr>
          </w:p>
        </w:tc>
      </w:tr>
      <w:tr w:rsidR="00C46123" w:rsidRPr="00CA2760" w14:paraId="53753771" w14:textId="77777777" w:rsidTr="00B87A9B">
        <w:trPr>
          <w:trHeight w:val="264"/>
        </w:trPr>
        <w:tc>
          <w:tcPr>
            <w:tcW w:w="4055" w:type="dxa"/>
            <w:noWrap/>
            <w:hideMark/>
          </w:tcPr>
          <w:p w14:paraId="31E6075E"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Realizável a longo prazo</w:t>
            </w:r>
          </w:p>
        </w:tc>
        <w:tc>
          <w:tcPr>
            <w:tcW w:w="920" w:type="dxa"/>
            <w:noWrap/>
            <w:hideMark/>
          </w:tcPr>
          <w:p w14:paraId="60B57A03" w14:textId="77777777" w:rsidR="00C46123" w:rsidRPr="00CA2760" w:rsidRDefault="00C46123" w:rsidP="00B87A9B">
            <w:pPr>
              <w:jc w:val="right"/>
              <w:rPr>
                <w:rFonts w:ascii="Arial" w:hAnsi="Arial" w:cs="Arial"/>
                <w:b/>
                <w:bCs/>
                <w:sz w:val="20"/>
                <w:szCs w:val="20"/>
                <w:lang w:val="pt-BR"/>
              </w:rPr>
            </w:pPr>
          </w:p>
        </w:tc>
        <w:tc>
          <w:tcPr>
            <w:tcW w:w="920" w:type="dxa"/>
            <w:noWrap/>
            <w:hideMark/>
          </w:tcPr>
          <w:p w14:paraId="2D16AF44" w14:textId="77777777" w:rsidR="00C46123" w:rsidRPr="00CA2760" w:rsidRDefault="00C46123" w:rsidP="00B87A9B">
            <w:pPr>
              <w:jc w:val="right"/>
              <w:rPr>
                <w:rFonts w:ascii="Arial" w:hAnsi="Arial" w:cs="Arial"/>
                <w:b/>
                <w:bCs/>
                <w:sz w:val="20"/>
                <w:szCs w:val="20"/>
                <w:lang w:val="pt-BR"/>
              </w:rPr>
            </w:pPr>
          </w:p>
        </w:tc>
        <w:tc>
          <w:tcPr>
            <w:tcW w:w="960" w:type="dxa"/>
            <w:noWrap/>
            <w:hideMark/>
          </w:tcPr>
          <w:p w14:paraId="5A4E85F0" w14:textId="77777777" w:rsidR="00C46123" w:rsidRPr="00CA2760" w:rsidRDefault="00C46123" w:rsidP="00B87A9B">
            <w:pPr>
              <w:jc w:val="right"/>
              <w:rPr>
                <w:rFonts w:ascii="Arial" w:hAnsi="Arial" w:cs="Arial"/>
                <w:b/>
                <w:bCs/>
                <w:sz w:val="20"/>
                <w:szCs w:val="20"/>
                <w:lang w:val="pt-BR"/>
              </w:rPr>
            </w:pPr>
          </w:p>
        </w:tc>
        <w:tc>
          <w:tcPr>
            <w:tcW w:w="1120" w:type="dxa"/>
            <w:noWrap/>
            <w:hideMark/>
          </w:tcPr>
          <w:p w14:paraId="117537E9" w14:textId="77777777" w:rsidR="00C46123" w:rsidRPr="00CA2760" w:rsidRDefault="00C46123" w:rsidP="00B87A9B">
            <w:pPr>
              <w:jc w:val="right"/>
              <w:rPr>
                <w:rFonts w:ascii="Arial" w:hAnsi="Arial" w:cs="Arial"/>
                <w:b/>
                <w:bCs/>
                <w:sz w:val="20"/>
                <w:szCs w:val="20"/>
                <w:lang w:val="pt-BR"/>
              </w:rPr>
            </w:pPr>
          </w:p>
        </w:tc>
        <w:tc>
          <w:tcPr>
            <w:tcW w:w="1092" w:type="dxa"/>
            <w:noWrap/>
            <w:hideMark/>
          </w:tcPr>
          <w:p w14:paraId="58EE9273" w14:textId="77777777" w:rsidR="00C46123" w:rsidRPr="00CA2760" w:rsidRDefault="00C46123" w:rsidP="00B87A9B">
            <w:pPr>
              <w:jc w:val="right"/>
              <w:rPr>
                <w:rFonts w:ascii="Arial" w:hAnsi="Arial" w:cs="Arial"/>
                <w:b/>
                <w:bCs/>
                <w:sz w:val="20"/>
                <w:szCs w:val="20"/>
                <w:lang w:val="pt-BR"/>
              </w:rPr>
            </w:pPr>
          </w:p>
        </w:tc>
      </w:tr>
      <w:tr w:rsidR="00C46123" w:rsidRPr="00CA2760" w14:paraId="385EF552" w14:textId="77777777" w:rsidTr="00B87A9B">
        <w:trPr>
          <w:trHeight w:val="276"/>
        </w:trPr>
        <w:tc>
          <w:tcPr>
            <w:tcW w:w="4055" w:type="dxa"/>
            <w:noWrap/>
            <w:hideMark/>
          </w:tcPr>
          <w:p w14:paraId="52DCD8F2"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TOTAL DO ATIVO</w:t>
            </w:r>
          </w:p>
        </w:tc>
        <w:tc>
          <w:tcPr>
            <w:tcW w:w="920" w:type="dxa"/>
            <w:noWrap/>
            <w:hideMark/>
          </w:tcPr>
          <w:p w14:paraId="7D7B8F28"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396,7</w:t>
            </w:r>
          </w:p>
        </w:tc>
        <w:tc>
          <w:tcPr>
            <w:tcW w:w="920" w:type="dxa"/>
            <w:noWrap/>
            <w:hideMark/>
          </w:tcPr>
          <w:p w14:paraId="082FEA2B"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454,0</w:t>
            </w:r>
          </w:p>
        </w:tc>
        <w:tc>
          <w:tcPr>
            <w:tcW w:w="960" w:type="dxa"/>
            <w:noWrap/>
            <w:hideMark/>
          </w:tcPr>
          <w:p w14:paraId="3137382F"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57,3</w:t>
            </w:r>
          </w:p>
        </w:tc>
        <w:tc>
          <w:tcPr>
            <w:tcW w:w="1120" w:type="dxa"/>
            <w:noWrap/>
            <w:hideMark/>
          </w:tcPr>
          <w:p w14:paraId="2E731E45" w14:textId="47782E3D" w:rsidR="00C46123" w:rsidRPr="00CA2760" w:rsidRDefault="00E82174" w:rsidP="00B87A9B">
            <w:pPr>
              <w:jc w:val="right"/>
              <w:rPr>
                <w:rFonts w:ascii="Arial" w:hAnsi="Arial" w:cs="Arial"/>
                <w:b/>
                <w:bCs/>
                <w:sz w:val="20"/>
                <w:szCs w:val="20"/>
                <w:lang w:val="pt-BR"/>
              </w:rPr>
            </w:pPr>
            <w:r w:rsidRPr="00CA2760">
              <w:rPr>
                <w:rFonts w:ascii="Arial" w:hAnsi="Arial" w:cs="Arial"/>
                <w:b/>
                <w:bCs/>
                <w:sz w:val="20"/>
                <w:szCs w:val="20"/>
                <w:lang w:val="pt-BR"/>
              </w:rPr>
              <w:t>14,5%</w:t>
            </w:r>
          </w:p>
        </w:tc>
        <w:tc>
          <w:tcPr>
            <w:tcW w:w="1092" w:type="dxa"/>
            <w:noWrap/>
            <w:hideMark/>
          </w:tcPr>
          <w:p w14:paraId="115D0394"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3,4%</w:t>
            </w:r>
          </w:p>
        </w:tc>
      </w:tr>
      <w:tr w:rsidR="00C46123" w:rsidRPr="00CA2760" w14:paraId="553319D1" w14:textId="77777777" w:rsidTr="00B87A9B">
        <w:trPr>
          <w:trHeight w:val="288"/>
        </w:trPr>
        <w:tc>
          <w:tcPr>
            <w:tcW w:w="9067" w:type="dxa"/>
            <w:gridSpan w:val="6"/>
            <w:hideMark/>
          </w:tcPr>
          <w:p w14:paraId="2DF6193E"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PASSIVO</w:t>
            </w:r>
          </w:p>
        </w:tc>
      </w:tr>
      <w:tr w:rsidR="00C46123" w:rsidRPr="00CA2760" w14:paraId="65F2547D" w14:textId="77777777" w:rsidTr="00B87A9B">
        <w:trPr>
          <w:trHeight w:val="276"/>
        </w:trPr>
        <w:tc>
          <w:tcPr>
            <w:tcW w:w="4055" w:type="dxa"/>
            <w:noWrap/>
            <w:hideMark/>
          </w:tcPr>
          <w:p w14:paraId="24724CE8"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w:t>
            </w:r>
          </w:p>
        </w:tc>
        <w:tc>
          <w:tcPr>
            <w:tcW w:w="920" w:type="dxa"/>
            <w:hideMark/>
          </w:tcPr>
          <w:p w14:paraId="4FFD1BEC"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2013</w:t>
            </w:r>
          </w:p>
        </w:tc>
        <w:tc>
          <w:tcPr>
            <w:tcW w:w="920" w:type="dxa"/>
            <w:hideMark/>
          </w:tcPr>
          <w:p w14:paraId="3C251D0D"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2017</w:t>
            </w:r>
          </w:p>
        </w:tc>
        <w:tc>
          <w:tcPr>
            <w:tcW w:w="3172" w:type="dxa"/>
            <w:gridSpan w:val="3"/>
            <w:hideMark/>
          </w:tcPr>
          <w:p w14:paraId="76D86046"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Variação 2013/17</w:t>
            </w:r>
          </w:p>
        </w:tc>
      </w:tr>
      <w:tr w:rsidR="00C46123" w:rsidRPr="00CA2760" w14:paraId="7A561119" w14:textId="77777777" w:rsidTr="00B87A9B">
        <w:trPr>
          <w:trHeight w:val="264"/>
        </w:trPr>
        <w:tc>
          <w:tcPr>
            <w:tcW w:w="4055" w:type="dxa"/>
            <w:noWrap/>
            <w:hideMark/>
          </w:tcPr>
          <w:p w14:paraId="1CA03161"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w:t>
            </w:r>
          </w:p>
        </w:tc>
        <w:tc>
          <w:tcPr>
            <w:tcW w:w="920" w:type="dxa"/>
            <w:noWrap/>
            <w:hideMark/>
          </w:tcPr>
          <w:p w14:paraId="48931447"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w:t>
            </w:r>
          </w:p>
        </w:tc>
        <w:tc>
          <w:tcPr>
            <w:tcW w:w="920" w:type="dxa"/>
            <w:noWrap/>
            <w:hideMark/>
          </w:tcPr>
          <w:p w14:paraId="4D7DD0EB"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w:t>
            </w:r>
          </w:p>
        </w:tc>
        <w:tc>
          <w:tcPr>
            <w:tcW w:w="960" w:type="dxa"/>
            <w:hideMark/>
          </w:tcPr>
          <w:p w14:paraId="6EC49B23"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xml:space="preserve"> Abs. </w:t>
            </w:r>
          </w:p>
        </w:tc>
        <w:tc>
          <w:tcPr>
            <w:tcW w:w="1120" w:type="dxa"/>
            <w:hideMark/>
          </w:tcPr>
          <w:p w14:paraId="078090C5"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w:t>
            </w:r>
          </w:p>
        </w:tc>
        <w:tc>
          <w:tcPr>
            <w:tcW w:w="1092" w:type="dxa"/>
            <w:hideMark/>
          </w:tcPr>
          <w:p w14:paraId="6A3E7D34"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anual</w:t>
            </w:r>
          </w:p>
        </w:tc>
      </w:tr>
      <w:tr w:rsidR="00ED52F6" w:rsidRPr="00CA2760" w14:paraId="3BE3AB31" w14:textId="77777777" w:rsidTr="00E8250D">
        <w:trPr>
          <w:trHeight w:val="264"/>
        </w:trPr>
        <w:tc>
          <w:tcPr>
            <w:tcW w:w="4055" w:type="dxa"/>
            <w:noWrap/>
            <w:hideMark/>
          </w:tcPr>
          <w:p w14:paraId="52DAEAC9" w14:textId="77777777" w:rsidR="00ED52F6" w:rsidRPr="00CA2760" w:rsidRDefault="00ED52F6" w:rsidP="00ED52F6">
            <w:pPr>
              <w:rPr>
                <w:rFonts w:ascii="Arial" w:hAnsi="Arial" w:cs="Arial"/>
                <w:b/>
                <w:bCs/>
                <w:sz w:val="20"/>
                <w:szCs w:val="20"/>
                <w:lang w:val="pt-BR"/>
              </w:rPr>
            </w:pPr>
            <w:r w:rsidRPr="00CA2760">
              <w:rPr>
                <w:rFonts w:ascii="Arial" w:hAnsi="Arial" w:cs="Arial"/>
                <w:b/>
                <w:bCs/>
                <w:sz w:val="20"/>
                <w:szCs w:val="20"/>
                <w:lang w:val="pt-BR"/>
              </w:rPr>
              <w:t>Total do passivo circulante</w:t>
            </w:r>
          </w:p>
        </w:tc>
        <w:tc>
          <w:tcPr>
            <w:tcW w:w="920" w:type="dxa"/>
            <w:noWrap/>
            <w:hideMark/>
          </w:tcPr>
          <w:p w14:paraId="336E00DB" w14:textId="77777777" w:rsidR="00ED52F6" w:rsidRPr="00CA2760" w:rsidRDefault="00ED52F6" w:rsidP="00ED52F6">
            <w:pPr>
              <w:jc w:val="right"/>
              <w:rPr>
                <w:rFonts w:ascii="Arial" w:hAnsi="Arial" w:cs="Arial"/>
                <w:b/>
                <w:bCs/>
                <w:sz w:val="20"/>
                <w:szCs w:val="20"/>
                <w:lang w:val="pt-BR"/>
              </w:rPr>
            </w:pPr>
            <w:r w:rsidRPr="00CA2760">
              <w:rPr>
                <w:rFonts w:ascii="Arial" w:hAnsi="Arial" w:cs="Arial"/>
                <w:b/>
                <w:bCs/>
                <w:sz w:val="20"/>
                <w:szCs w:val="20"/>
                <w:lang w:val="pt-BR"/>
              </w:rPr>
              <w:t>5,2</w:t>
            </w:r>
          </w:p>
        </w:tc>
        <w:tc>
          <w:tcPr>
            <w:tcW w:w="920" w:type="dxa"/>
            <w:noWrap/>
            <w:hideMark/>
          </w:tcPr>
          <w:p w14:paraId="1E239140" w14:textId="77777777" w:rsidR="00ED52F6" w:rsidRPr="00CA2760" w:rsidRDefault="00ED52F6" w:rsidP="00ED52F6">
            <w:pPr>
              <w:jc w:val="right"/>
              <w:rPr>
                <w:rFonts w:ascii="Arial" w:hAnsi="Arial" w:cs="Arial"/>
                <w:b/>
                <w:bCs/>
                <w:sz w:val="20"/>
                <w:szCs w:val="20"/>
                <w:lang w:val="pt-BR"/>
              </w:rPr>
            </w:pPr>
            <w:r w:rsidRPr="00CA2760">
              <w:rPr>
                <w:rFonts w:ascii="Arial" w:hAnsi="Arial" w:cs="Arial"/>
                <w:b/>
                <w:bCs/>
                <w:sz w:val="20"/>
                <w:szCs w:val="20"/>
                <w:lang w:val="pt-BR"/>
              </w:rPr>
              <w:t>31,1</w:t>
            </w:r>
          </w:p>
        </w:tc>
        <w:tc>
          <w:tcPr>
            <w:tcW w:w="960" w:type="dxa"/>
            <w:noWrap/>
            <w:hideMark/>
          </w:tcPr>
          <w:p w14:paraId="558806DC" w14:textId="77777777" w:rsidR="00ED52F6" w:rsidRPr="00CA2760" w:rsidRDefault="00ED52F6" w:rsidP="00ED52F6">
            <w:pPr>
              <w:jc w:val="right"/>
              <w:rPr>
                <w:rFonts w:ascii="Arial" w:hAnsi="Arial" w:cs="Arial"/>
                <w:b/>
                <w:bCs/>
                <w:sz w:val="20"/>
                <w:szCs w:val="20"/>
                <w:lang w:val="pt-BR"/>
              </w:rPr>
            </w:pPr>
            <w:r w:rsidRPr="00CA2760">
              <w:rPr>
                <w:rFonts w:ascii="Arial" w:hAnsi="Arial" w:cs="Arial"/>
                <w:b/>
                <w:bCs/>
                <w:sz w:val="20"/>
                <w:szCs w:val="20"/>
                <w:lang w:val="pt-BR"/>
              </w:rPr>
              <w:t>26,0</w:t>
            </w:r>
          </w:p>
        </w:tc>
        <w:tc>
          <w:tcPr>
            <w:tcW w:w="1120" w:type="dxa"/>
            <w:noWrap/>
            <w:vAlign w:val="center"/>
            <w:hideMark/>
          </w:tcPr>
          <w:p w14:paraId="5E7C121E" w14:textId="1F1F9D7C" w:rsidR="00ED52F6" w:rsidRPr="00CA2760" w:rsidRDefault="00ED52F6" w:rsidP="00ED52F6">
            <w:pPr>
              <w:jc w:val="right"/>
              <w:rPr>
                <w:rFonts w:ascii="Arial" w:hAnsi="Arial" w:cs="Arial"/>
                <w:b/>
                <w:bCs/>
                <w:sz w:val="20"/>
                <w:szCs w:val="20"/>
                <w:lang w:val="pt-BR"/>
              </w:rPr>
            </w:pPr>
            <w:r>
              <w:rPr>
                <w:rFonts w:ascii="Arial" w:hAnsi="Arial" w:cs="Arial"/>
                <w:b/>
                <w:bCs/>
                <w:sz w:val="20"/>
                <w:szCs w:val="20"/>
              </w:rPr>
              <w:t>504,3%</w:t>
            </w:r>
          </w:p>
        </w:tc>
        <w:tc>
          <w:tcPr>
            <w:tcW w:w="1092" w:type="dxa"/>
            <w:noWrap/>
            <w:vAlign w:val="center"/>
            <w:hideMark/>
          </w:tcPr>
          <w:p w14:paraId="58CFEDD3" w14:textId="1AE96934" w:rsidR="00ED52F6" w:rsidRPr="00CA2760" w:rsidRDefault="00ED52F6" w:rsidP="00ED52F6">
            <w:pPr>
              <w:jc w:val="right"/>
              <w:rPr>
                <w:rFonts w:ascii="Arial" w:hAnsi="Arial" w:cs="Arial"/>
                <w:b/>
                <w:bCs/>
                <w:sz w:val="20"/>
                <w:szCs w:val="20"/>
                <w:lang w:val="pt-BR"/>
              </w:rPr>
            </w:pPr>
            <w:r>
              <w:rPr>
                <w:rFonts w:ascii="Arial" w:hAnsi="Arial" w:cs="Arial"/>
                <w:b/>
                <w:bCs/>
                <w:sz w:val="20"/>
                <w:szCs w:val="20"/>
              </w:rPr>
              <w:t>56,8%</w:t>
            </w:r>
          </w:p>
        </w:tc>
      </w:tr>
      <w:tr w:rsidR="00C46123" w:rsidRPr="00A31500" w14:paraId="2B5AAC31" w14:textId="77777777" w:rsidTr="00B87A9B">
        <w:trPr>
          <w:trHeight w:val="264"/>
        </w:trPr>
        <w:tc>
          <w:tcPr>
            <w:tcW w:w="4055" w:type="dxa"/>
            <w:noWrap/>
            <w:hideMark/>
          </w:tcPr>
          <w:p w14:paraId="0F729E0E"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Total do passivo não circulante</w:t>
            </w:r>
          </w:p>
        </w:tc>
        <w:tc>
          <w:tcPr>
            <w:tcW w:w="920" w:type="dxa"/>
            <w:noWrap/>
            <w:hideMark/>
          </w:tcPr>
          <w:p w14:paraId="3B264AB0" w14:textId="77777777" w:rsidR="00C46123" w:rsidRPr="00CA2760" w:rsidRDefault="00C46123" w:rsidP="00B87A9B">
            <w:pPr>
              <w:jc w:val="right"/>
              <w:rPr>
                <w:rFonts w:ascii="Arial" w:hAnsi="Arial" w:cs="Arial"/>
                <w:b/>
                <w:bCs/>
                <w:sz w:val="20"/>
                <w:szCs w:val="20"/>
                <w:lang w:val="pt-BR"/>
              </w:rPr>
            </w:pPr>
          </w:p>
        </w:tc>
        <w:tc>
          <w:tcPr>
            <w:tcW w:w="920" w:type="dxa"/>
            <w:noWrap/>
            <w:hideMark/>
          </w:tcPr>
          <w:p w14:paraId="470C2657" w14:textId="77777777" w:rsidR="00C46123" w:rsidRPr="00CA2760" w:rsidRDefault="00C46123" w:rsidP="00B87A9B">
            <w:pPr>
              <w:jc w:val="right"/>
              <w:rPr>
                <w:rFonts w:ascii="Arial" w:hAnsi="Arial" w:cs="Arial"/>
                <w:b/>
                <w:bCs/>
                <w:sz w:val="20"/>
                <w:szCs w:val="20"/>
                <w:lang w:val="pt-BR"/>
              </w:rPr>
            </w:pPr>
          </w:p>
        </w:tc>
        <w:tc>
          <w:tcPr>
            <w:tcW w:w="960" w:type="dxa"/>
            <w:noWrap/>
            <w:hideMark/>
          </w:tcPr>
          <w:p w14:paraId="3827C0BB" w14:textId="77777777" w:rsidR="00C46123" w:rsidRPr="00CA2760" w:rsidRDefault="00C46123" w:rsidP="00B87A9B">
            <w:pPr>
              <w:jc w:val="right"/>
              <w:rPr>
                <w:rFonts w:ascii="Arial" w:hAnsi="Arial" w:cs="Arial"/>
                <w:b/>
                <w:bCs/>
                <w:sz w:val="20"/>
                <w:szCs w:val="20"/>
                <w:lang w:val="pt-BR"/>
              </w:rPr>
            </w:pPr>
          </w:p>
        </w:tc>
        <w:tc>
          <w:tcPr>
            <w:tcW w:w="1120" w:type="dxa"/>
            <w:noWrap/>
            <w:hideMark/>
          </w:tcPr>
          <w:p w14:paraId="681999B4" w14:textId="77777777" w:rsidR="00C46123" w:rsidRPr="00CA2760" w:rsidRDefault="00C46123" w:rsidP="00B87A9B">
            <w:pPr>
              <w:jc w:val="right"/>
              <w:rPr>
                <w:rFonts w:ascii="Arial" w:hAnsi="Arial" w:cs="Arial"/>
                <w:b/>
                <w:bCs/>
                <w:sz w:val="20"/>
                <w:szCs w:val="20"/>
                <w:lang w:val="pt-BR"/>
              </w:rPr>
            </w:pPr>
          </w:p>
        </w:tc>
        <w:tc>
          <w:tcPr>
            <w:tcW w:w="1092" w:type="dxa"/>
            <w:noWrap/>
            <w:hideMark/>
          </w:tcPr>
          <w:p w14:paraId="392A6B14" w14:textId="77777777" w:rsidR="00C46123" w:rsidRPr="00CA2760" w:rsidRDefault="00C46123" w:rsidP="00B87A9B">
            <w:pPr>
              <w:jc w:val="right"/>
              <w:rPr>
                <w:rFonts w:ascii="Arial" w:hAnsi="Arial" w:cs="Arial"/>
                <w:b/>
                <w:bCs/>
                <w:sz w:val="20"/>
                <w:szCs w:val="20"/>
                <w:lang w:val="pt-BR"/>
              </w:rPr>
            </w:pPr>
          </w:p>
        </w:tc>
      </w:tr>
      <w:tr w:rsidR="00C46123" w:rsidRPr="00CA2760" w14:paraId="28F5415A" w14:textId="77777777" w:rsidTr="00B87A9B">
        <w:trPr>
          <w:trHeight w:val="264"/>
        </w:trPr>
        <w:tc>
          <w:tcPr>
            <w:tcW w:w="4055" w:type="dxa"/>
            <w:noWrap/>
            <w:hideMark/>
          </w:tcPr>
          <w:p w14:paraId="508CAA0B"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Exigível a longo prazo</w:t>
            </w:r>
          </w:p>
        </w:tc>
        <w:tc>
          <w:tcPr>
            <w:tcW w:w="920" w:type="dxa"/>
            <w:noWrap/>
            <w:hideMark/>
          </w:tcPr>
          <w:p w14:paraId="3F644475" w14:textId="77777777" w:rsidR="00C46123" w:rsidRPr="00CA2760" w:rsidRDefault="00C46123" w:rsidP="00B87A9B">
            <w:pPr>
              <w:jc w:val="right"/>
              <w:rPr>
                <w:rFonts w:ascii="Arial" w:hAnsi="Arial" w:cs="Arial"/>
                <w:b/>
                <w:bCs/>
                <w:sz w:val="20"/>
                <w:szCs w:val="20"/>
                <w:lang w:val="pt-BR"/>
              </w:rPr>
            </w:pPr>
          </w:p>
        </w:tc>
        <w:tc>
          <w:tcPr>
            <w:tcW w:w="920" w:type="dxa"/>
            <w:noWrap/>
            <w:hideMark/>
          </w:tcPr>
          <w:p w14:paraId="04A31BE4" w14:textId="77777777" w:rsidR="00C46123" w:rsidRPr="00CA2760" w:rsidRDefault="00C46123" w:rsidP="00B87A9B">
            <w:pPr>
              <w:jc w:val="right"/>
              <w:rPr>
                <w:rFonts w:ascii="Arial" w:hAnsi="Arial" w:cs="Arial"/>
                <w:b/>
                <w:bCs/>
                <w:sz w:val="20"/>
                <w:szCs w:val="20"/>
                <w:lang w:val="pt-BR"/>
              </w:rPr>
            </w:pPr>
          </w:p>
        </w:tc>
        <w:tc>
          <w:tcPr>
            <w:tcW w:w="960" w:type="dxa"/>
            <w:noWrap/>
            <w:hideMark/>
          </w:tcPr>
          <w:p w14:paraId="0071B613" w14:textId="77777777" w:rsidR="00C46123" w:rsidRPr="00CA2760" w:rsidRDefault="00C46123" w:rsidP="00B87A9B">
            <w:pPr>
              <w:jc w:val="right"/>
              <w:rPr>
                <w:rFonts w:ascii="Arial" w:hAnsi="Arial" w:cs="Arial"/>
                <w:b/>
                <w:bCs/>
                <w:sz w:val="20"/>
                <w:szCs w:val="20"/>
                <w:lang w:val="pt-BR"/>
              </w:rPr>
            </w:pPr>
          </w:p>
        </w:tc>
        <w:tc>
          <w:tcPr>
            <w:tcW w:w="1120" w:type="dxa"/>
            <w:noWrap/>
            <w:hideMark/>
          </w:tcPr>
          <w:p w14:paraId="2562ABE1" w14:textId="77777777" w:rsidR="00C46123" w:rsidRPr="00CA2760" w:rsidRDefault="00C46123" w:rsidP="00B87A9B">
            <w:pPr>
              <w:jc w:val="right"/>
              <w:rPr>
                <w:rFonts w:ascii="Arial" w:hAnsi="Arial" w:cs="Arial"/>
                <w:b/>
                <w:bCs/>
                <w:sz w:val="20"/>
                <w:szCs w:val="20"/>
                <w:lang w:val="pt-BR"/>
              </w:rPr>
            </w:pPr>
          </w:p>
        </w:tc>
        <w:tc>
          <w:tcPr>
            <w:tcW w:w="1092" w:type="dxa"/>
            <w:noWrap/>
            <w:hideMark/>
          </w:tcPr>
          <w:p w14:paraId="55689A53" w14:textId="77777777" w:rsidR="00C46123" w:rsidRPr="00CA2760" w:rsidRDefault="00C46123" w:rsidP="00B87A9B">
            <w:pPr>
              <w:jc w:val="right"/>
              <w:rPr>
                <w:rFonts w:ascii="Arial" w:hAnsi="Arial" w:cs="Arial"/>
                <w:b/>
                <w:bCs/>
                <w:sz w:val="20"/>
                <w:szCs w:val="20"/>
                <w:lang w:val="pt-BR"/>
              </w:rPr>
            </w:pPr>
          </w:p>
        </w:tc>
      </w:tr>
      <w:tr w:rsidR="00C46123" w:rsidRPr="00CA2760" w14:paraId="73431135" w14:textId="77777777" w:rsidTr="00B87A9B">
        <w:trPr>
          <w:trHeight w:val="264"/>
        </w:trPr>
        <w:tc>
          <w:tcPr>
            <w:tcW w:w="4055" w:type="dxa"/>
            <w:noWrap/>
            <w:hideMark/>
          </w:tcPr>
          <w:p w14:paraId="63D8D7BC"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xml:space="preserve">  Provisões para contingências</w:t>
            </w:r>
          </w:p>
        </w:tc>
        <w:tc>
          <w:tcPr>
            <w:tcW w:w="920" w:type="dxa"/>
            <w:noWrap/>
            <w:hideMark/>
          </w:tcPr>
          <w:p w14:paraId="10D9306D" w14:textId="77777777" w:rsidR="00C46123" w:rsidRPr="00CA2760" w:rsidRDefault="00C46123" w:rsidP="00B87A9B">
            <w:pPr>
              <w:jc w:val="right"/>
              <w:rPr>
                <w:rFonts w:ascii="Arial" w:hAnsi="Arial" w:cs="Arial"/>
                <w:b/>
                <w:bCs/>
                <w:sz w:val="20"/>
                <w:szCs w:val="20"/>
                <w:lang w:val="pt-BR"/>
              </w:rPr>
            </w:pPr>
          </w:p>
        </w:tc>
        <w:tc>
          <w:tcPr>
            <w:tcW w:w="920" w:type="dxa"/>
            <w:noWrap/>
            <w:hideMark/>
          </w:tcPr>
          <w:p w14:paraId="77237300" w14:textId="77777777" w:rsidR="00C46123" w:rsidRPr="00CA2760" w:rsidRDefault="00C46123" w:rsidP="00B87A9B">
            <w:pPr>
              <w:jc w:val="right"/>
              <w:rPr>
                <w:rFonts w:ascii="Arial" w:hAnsi="Arial" w:cs="Arial"/>
                <w:b/>
                <w:bCs/>
                <w:sz w:val="20"/>
                <w:szCs w:val="20"/>
                <w:lang w:val="pt-BR"/>
              </w:rPr>
            </w:pPr>
          </w:p>
        </w:tc>
        <w:tc>
          <w:tcPr>
            <w:tcW w:w="960" w:type="dxa"/>
            <w:noWrap/>
            <w:hideMark/>
          </w:tcPr>
          <w:p w14:paraId="25FFCA0D" w14:textId="77777777" w:rsidR="00C46123" w:rsidRPr="00CA2760" w:rsidRDefault="00C46123" w:rsidP="00B87A9B">
            <w:pPr>
              <w:jc w:val="right"/>
              <w:rPr>
                <w:rFonts w:ascii="Arial" w:hAnsi="Arial" w:cs="Arial"/>
                <w:b/>
                <w:bCs/>
                <w:sz w:val="20"/>
                <w:szCs w:val="20"/>
                <w:lang w:val="pt-BR"/>
              </w:rPr>
            </w:pPr>
          </w:p>
        </w:tc>
        <w:tc>
          <w:tcPr>
            <w:tcW w:w="1120" w:type="dxa"/>
            <w:noWrap/>
            <w:hideMark/>
          </w:tcPr>
          <w:p w14:paraId="60F722B9" w14:textId="77777777" w:rsidR="00C46123" w:rsidRPr="00CA2760" w:rsidRDefault="00C46123" w:rsidP="00B87A9B">
            <w:pPr>
              <w:jc w:val="right"/>
              <w:rPr>
                <w:rFonts w:ascii="Arial" w:hAnsi="Arial" w:cs="Arial"/>
                <w:b/>
                <w:bCs/>
                <w:sz w:val="20"/>
                <w:szCs w:val="20"/>
                <w:lang w:val="pt-BR"/>
              </w:rPr>
            </w:pPr>
          </w:p>
        </w:tc>
        <w:tc>
          <w:tcPr>
            <w:tcW w:w="1092" w:type="dxa"/>
            <w:noWrap/>
            <w:hideMark/>
          </w:tcPr>
          <w:p w14:paraId="03FBF06C" w14:textId="77777777" w:rsidR="00C46123" w:rsidRPr="00CA2760" w:rsidRDefault="00C46123" w:rsidP="00B87A9B">
            <w:pPr>
              <w:jc w:val="right"/>
              <w:rPr>
                <w:rFonts w:ascii="Arial" w:hAnsi="Arial" w:cs="Arial"/>
                <w:b/>
                <w:bCs/>
                <w:sz w:val="20"/>
                <w:szCs w:val="20"/>
                <w:lang w:val="pt-BR"/>
              </w:rPr>
            </w:pPr>
          </w:p>
        </w:tc>
      </w:tr>
      <w:tr w:rsidR="00C46123" w:rsidRPr="00CA2760" w14:paraId="3C6ABB0E" w14:textId="77777777" w:rsidTr="00B87A9B">
        <w:trPr>
          <w:trHeight w:val="264"/>
        </w:trPr>
        <w:tc>
          <w:tcPr>
            <w:tcW w:w="4055" w:type="dxa"/>
            <w:noWrap/>
            <w:hideMark/>
          </w:tcPr>
          <w:p w14:paraId="6EF8245F"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 xml:space="preserve">  Empréstimos e Financiamentos</w:t>
            </w:r>
          </w:p>
        </w:tc>
        <w:tc>
          <w:tcPr>
            <w:tcW w:w="920" w:type="dxa"/>
            <w:noWrap/>
            <w:hideMark/>
          </w:tcPr>
          <w:p w14:paraId="4098561C" w14:textId="77777777" w:rsidR="00C46123" w:rsidRPr="00CA2760" w:rsidRDefault="00C46123" w:rsidP="00B87A9B">
            <w:pPr>
              <w:jc w:val="right"/>
              <w:rPr>
                <w:rFonts w:ascii="Arial" w:hAnsi="Arial" w:cs="Arial"/>
                <w:b/>
                <w:bCs/>
                <w:sz w:val="20"/>
                <w:szCs w:val="20"/>
                <w:lang w:val="pt-BR"/>
              </w:rPr>
            </w:pPr>
          </w:p>
        </w:tc>
        <w:tc>
          <w:tcPr>
            <w:tcW w:w="920" w:type="dxa"/>
            <w:noWrap/>
            <w:hideMark/>
          </w:tcPr>
          <w:p w14:paraId="2F2C44EB" w14:textId="77777777" w:rsidR="00C46123" w:rsidRPr="00CA2760" w:rsidRDefault="00C46123" w:rsidP="00B87A9B">
            <w:pPr>
              <w:jc w:val="right"/>
              <w:rPr>
                <w:rFonts w:ascii="Arial" w:hAnsi="Arial" w:cs="Arial"/>
                <w:b/>
                <w:bCs/>
                <w:sz w:val="20"/>
                <w:szCs w:val="20"/>
                <w:lang w:val="pt-BR"/>
              </w:rPr>
            </w:pPr>
          </w:p>
        </w:tc>
        <w:tc>
          <w:tcPr>
            <w:tcW w:w="960" w:type="dxa"/>
            <w:noWrap/>
            <w:hideMark/>
          </w:tcPr>
          <w:p w14:paraId="505CAF8E" w14:textId="77777777" w:rsidR="00C46123" w:rsidRPr="00CA2760" w:rsidRDefault="00C46123" w:rsidP="00B87A9B">
            <w:pPr>
              <w:jc w:val="right"/>
              <w:rPr>
                <w:rFonts w:ascii="Arial" w:hAnsi="Arial" w:cs="Arial"/>
                <w:b/>
                <w:bCs/>
                <w:sz w:val="20"/>
                <w:szCs w:val="20"/>
                <w:lang w:val="pt-BR"/>
              </w:rPr>
            </w:pPr>
          </w:p>
        </w:tc>
        <w:tc>
          <w:tcPr>
            <w:tcW w:w="1120" w:type="dxa"/>
            <w:noWrap/>
            <w:hideMark/>
          </w:tcPr>
          <w:p w14:paraId="0EC7BFAB" w14:textId="77777777" w:rsidR="00C46123" w:rsidRPr="00CA2760" w:rsidRDefault="00C46123" w:rsidP="00B87A9B">
            <w:pPr>
              <w:jc w:val="right"/>
              <w:rPr>
                <w:rFonts w:ascii="Arial" w:hAnsi="Arial" w:cs="Arial"/>
                <w:b/>
                <w:bCs/>
                <w:sz w:val="20"/>
                <w:szCs w:val="20"/>
                <w:lang w:val="pt-BR"/>
              </w:rPr>
            </w:pPr>
          </w:p>
        </w:tc>
        <w:tc>
          <w:tcPr>
            <w:tcW w:w="1092" w:type="dxa"/>
            <w:noWrap/>
            <w:hideMark/>
          </w:tcPr>
          <w:p w14:paraId="2010B7DF" w14:textId="77777777" w:rsidR="00C46123" w:rsidRPr="00CA2760" w:rsidRDefault="00C46123" w:rsidP="00B87A9B">
            <w:pPr>
              <w:jc w:val="right"/>
              <w:rPr>
                <w:rFonts w:ascii="Arial" w:hAnsi="Arial" w:cs="Arial"/>
                <w:b/>
                <w:bCs/>
                <w:sz w:val="20"/>
                <w:szCs w:val="20"/>
                <w:lang w:val="pt-BR"/>
              </w:rPr>
            </w:pPr>
          </w:p>
        </w:tc>
      </w:tr>
      <w:tr w:rsidR="00C46123" w:rsidRPr="00CA2760" w14:paraId="41415F1A" w14:textId="77777777" w:rsidTr="00B87A9B">
        <w:trPr>
          <w:trHeight w:val="264"/>
        </w:trPr>
        <w:tc>
          <w:tcPr>
            <w:tcW w:w="4055" w:type="dxa"/>
            <w:noWrap/>
            <w:hideMark/>
          </w:tcPr>
          <w:p w14:paraId="6596E824"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Patrimônio líquido</w:t>
            </w:r>
          </w:p>
        </w:tc>
        <w:tc>
          <w:tcPr>
            <w:tcW w:w="920" w:type="dxa"/>
            <w:noWrap/>
            <w:hideMark/>
          </w:tcPr>
          <w:p w14:paraId="6954A809"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391,6</w:t>
            </w:r>
          </w:p>
        </w:tc>
        <w:tc>
          <w:tcPr>
            <w:tcW w:w="920" w:type="dxa"/>
            <w:noWrap/>
            <w:hideMark/>
          </w:tcPr>
          <w:p w14:paraId="6FBF3DE1"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422,9</w:t>
            </w:r>
          </w:p>
        </w:tc>
        <w:tc>
          <w:tcPr>
            <w:tcW w:w="960" w:type="dxa"/>
            <w:noWrap/>
            <w:hideMark/>
          </w:tcPr>
          <w:p w14:paraId="16B5CE10"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31,4</w:t>
            </w:r>
          </w:p>
        </w:tc>
        <w:tc>
          <w:tcPr>
            <w:tcW w:w="1120" w:type="dxa"/>
            <w:noWrap/>
            <w:hideMark/>
          </w:tcPr>
          <w:p w14:paraId="57AEEFE3"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8,0%</w:t>
            </w:r>
          </w:p>
        </w:tc>
        <w:tc>
          <w:tcPr>
            <w:tcW w:w="1092" w:type="dxa"/>
            <w:noWrap/>
            <w:hideMark/>
          </w:tcPr>
          <w:p w14:paraId="6D35BA85"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1,9%</w:t>
            </w:r>
          </w:p>
        </w:tc>
      </w:tr>
      <w:tr w:rsidR="00C46123" w:rsidRPr="00CA2760" w14:paraId="303E3FC5" w14:textId="77777777" w:rsidTr="00B87A9B">
        <w:trPr>
          <w:trHeight w:val="264"/>
        </w:trPr>
        <w:tc>
          <w:tcPr>
            <w:tcW w:w="4055" w:type="dxa"/>
            <w:noWrap/>
            <w:hideMark/>
          </w:tcPr>
          <w:p w14:paraId="03EA39BF"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TOTAL DO PASSIVO</w:t>
            </w:r>
          </w:p>
        </w:tc>
        <w:tc>
          <w:tcPr>
            <w:tcW w:w="920" w:type="dxa"/>
            <w:noWrap/>
            <w:hideMark/>
          </w:tcPr>
          <w:p w14:paraId="4BB60AEF"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396,7</w:t>
            </w:r>
          </w:p>
        </w:tc>
        <w:tc>
          <w:tcPr>
            <w:tcW w:w="920" w:type="dxa"/>
            <w:noWrap/>
            <w:hideMark/>
          </w:tcPr>
          <w:p w14:paraId="21CE55A8"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454,0</w:t>
            </w:r>
          </w:p>
        </w:tc>
        <w:tc>
          <w:tcPr>
            <w:tcW w:w="960" w:type="dxa"/>
            <w:noWrap/>
            <w:hideMark/>
          </w:tcPr>
          <w:p w14:paraId="03B8D7EA"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57,3</w:t>
            </w:r>
          </w:p>
        </w:tc>
        <w:tc>
          <w:tcPr>
            <w:tcW w:w="1120" w:type="dxa"/>
            <w:noWrap/>
            <w:hideMark/>
          </w:tcPr>
          <w:p w14:paraId="653FE33A"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14,5%</w:t>
            </w:r>
          </w:p>
        </w:tc>
        <w:tc>
          <w:tcPr>
            <w:tcW w:w="1092" w:type="dxa"/>
            <w:noWrap/>
            <w:hideMark/>
          </w:tcPr>
          <w:p w14:paraId="5EFD2340"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3,4%</w:t>
            </w:r>
          </w:p>
        </w:tc>
      </w:tr>
    </w:tbl>
    <w:p w14:paraId="5F212329" w14:textId="19596558" w:rsidR="00C46123" w:rsidRPr="00CA2760" w:rsidRDefault="00C46123" w:rsidP="00C46123">
      <w:pPr>
        <w:spacing w:after="0" w:line="240" w:lineRule="auto"/>
        <w:rPr>
          <w:rFonts w:ascii="Times New Roman" w:hAnsi="Times New Roman" w:cs="Times New Roman"/>
          <w:lang w:val="pt-BR"/>
        </w:rPr>
      </w:pPr>
      <w:r w:rsidRPr="00CA2760">
        <w:rPr>
          <w:rFonts w:ascii="Times New Roman" w:hAnsi="Times New Roman" w:cs="Times New Roman"/>
          <w:lang w:val="pt-BR"/>
        </w:rPr>
        <w:t>Nota: (*) US$1 = R$3</w:t>
      </w:r>
      <w:r w:rsidR="00DA38EF">
        <w:rPr>
          <w:rFonts w:ascii="Times New Roman" w:hAnsi="Times New Roman" w:cs="Times New Roman"/>
          <w:lang w:val="pt-BR"/>
        </w:rPr>
        <w:t>,</w:t>
      </w:r>
      <w:r w:rsidRPr="00CA2760">
        <w:rPr>
          <w:rFonts w:ascii="Times New Roman" w:hAnsi="Times New Roman" w:cs="Times New Roman"/>
          <w:lang w:val="pt-BR"/>
        </w:rPr>
        <w:t>20</w:t>
      </w:r>
    </w:p>
    <w:p w14:paraId="154EB763" w14:textId="4654ECFD" w:rsidR="00C46123" w:rsidRDefault="00C46123" w:rsidP="00C46123">
      <w:pPr>
        <w:rPr>
          <w:rFonts w:ascii="Times New Roman" w:hAnsi="Times New Roman" w:cs="Times New Roman"/>
          <w:lang w:val="pt-BR"/>
        </w:rPr>
      </w:pPr>
      <w:r w:rsidRPr="00CA2760">
        <w:rPr>
          <w:rFonts w:ascii="Times New Roman" w:hAnsi="Times New Roman" w:cs="Times New Roman"/>
          <w:lang w:val="pt-BR"/>
        </w:rPr>
        <w:t>Fonte: Cálculos dos autores com os dados do SFM.</w:t>
      </w:r>
      <w:r w:rsidR="002016F9">
        <w:rPr>
          <w:rFonts w:ascii="Times New Roman" w:hAnsi="Times New Roman" w:cs="Times New Roman"/>
          <w:lang w:val="pt-BR"/>
        </w:rPr>
        <w:t xml:space="preserve"> </w:t>
      </w:r>
    </w:p>
    <w:p w14:paraId="07DDFC21" w14:textId="7429A4B2" w:rsidR="00C46123" w:rsidRPr="0041470F" w:rsidRDefault="00C46123" w:rsidP="00C46123">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Conforme discutido acima, as reformas legislativas e regulatórias iniciadas como parte da preparação do Paraná III em 2013 procuraram blindar a integridade do FDU. Como resultado, o </w:t>
      </w:r>
      <w:r w:rsidR="002539BA">
        <w:rPr>
          <w:rFonts w:ascii="Times New Roman" w:hAnsi="Times New Roman" w:cs="Times New Roman"/>
          <w:sz w:val="24"/>
          <w:szCs w:val="24"/>
          <w:lang w:val="pt-BR"/>
        </w:rPr>
        <w:t>PL</w:t>
      </w:r>
      <w:r w:rsidRPr="00CA2760">
        <w:rPr>
          <w:rFonts w:ascii="Times New Roman" w:hAnsi="Times New Roman" w:cs="Times New Roman"/>
          <w:sz w:val="24"/>
          <w:szCs w:val="24"/>
          <w:lang w:val="pt-BR"/>
        </w:rPr>
        <w:t xml:space="preserve"> do FDU começou a crescer mais rapidamente, atingindo R$1</w:t>
      </w:r>
      <w:r w:rsidR="004D20D2">
        <w:rPr>
          <w:rFonts w:ascii="Times New Roman" w:hAnsi="Times New Roman" w:cs="Times New Roman"/>
          <w:sz w:val="24"/>
          <w:szCs w:val="24"/>
          <w:lang w:val="pt-BR"/>
        </w:rPr>
        <w:t>,</w:t>
      </w:r>
      <w:r w:rsidRPr="00CA2760">
        <w:rPr>
          <w:rFonts w:ascii="Times New Roman" w:hAnsi="Times New Roman" w:cs="Times New Roman"/>
          <w:sz w:val="24"/>
          <w:szCs w:val="24"/>
          <w:lang w:val="pt-BR"/>
        </w:rPr>
        <w:t xml:space="preserve">35 bilhões em 2017 (US$422,9 milhões). </w:t>
      </w:r>
      <w:r w:rsidRPr="0041470F">
        <w:rPr>
          <w:rStyle w:val="ts-alignment-element"/>
          <w:rFonts w:ascii="Times New Roman" w:hAnsi="Times New Roman" w:cs="Times New Roman"/>
          <w:sz w:val="24"/>
          <w:szCs w:val="24"/>
          <w:lang w:val="pt-BR"/>
        </w:rPr>
        <w:t>Este</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crescimento</w:t>
      </w:r>
      <w:r w:rsidRPr="0041470F">
        <w:rPr>
          <w:rFonts w:ascii="Times New Roman" w:hAnsi="Times New Roman" w:cs="Times New Roman"/>
          <w:sz w:val="24"/>
          <w:szCs w:val="24"/>
          <w:lang w:val="pt-BR"/>
        </w:rPr>
        <w:t xml:space="preserve"> real </w:t>
      </w:r>
      <w:r w:rsidRPr="0041470F">
        <w:rPr>
          <w:rStyle w:val="ts-alignment-element"/>
          <w:rFonts w:ascii="Times New Roman" w:hAnsi="Times New Roman" w:cs="Times New Roman"/>
          <w:sz w:val="24"/>
          <w:szCs w:val="24"/>
          <w:lang w:val="pt-BR"/>
        </w:rPr>
        <w:t>de</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8,0%</w:t>
      </w:r>
      <w:r w:rsidRPr="0041470F">
        <w:rPr>
          <w:rFonts w:ascii="Times New Roman" w:hAnsi="Times New Roman" w:cs="Times New Roman"/>
          <w:sz w:val="24"/>
          <w:szCs w:val="24"/>
          <w:lang w:val="pt-BR"/>
        </w:rPr>
        <w:t xml:space="preserve"> </w:t>
      </w:r>
      <w:r w:rsidR="00635C8A" w:rsidRPr="0041470F">
        <w:rPr>
          <w:rFonts w:ascii="Times New Roman" w:hAnsi="Times New Roman" w:cs="Times New Roman"/>
          <w:sz w:val="24"/>
          <w:szCs w:val="24"/>
          <w:lang w:val="pt-BR"/>
        </w:rPr>
        <w:t>(R$100,4 milhões</w:t>
      </w:r>
      <w:r w:rsidR="002539BA">
        <w:rPr>
          <w:rFonts w:ascii="Times New Roman" w:hAnsi="Times New Roman" w:cs="Times New Roman"/>
          <w:sz w:val="24"/>
          <w:szCs w:val="24"/>
          <w:lang w:val="pt-BR"/>
        </w:rPr>
        <w:t xml:space="preserve"> em valores constantes de 2017</w:t>
      </w:r>
      <w:r w:rsidR="00635C8A" w:rsidRPr="0041470F">
        <w:rPr>
          <w:rFonts w:ascii="Times New Roman" w:hAnsi="Times New Roman" w:cs="Times New Roman"/>
          <w:sz w:val="24"/>
          <w:szCs w:val="24"/>
          <w:lang w:val="pt-BR"/>
        </w:rPr>
        <w:t xml:space="preserve">) </w:t>
      </w:r>
      <w:r w:rsidRPr="0041470F">
        <w:rPr>
          <w:rFonts w:ascii="Times New Roman" w:hAnsi="Times New Roman" w:cs="Times New Roman"/>
          <w:sz w:val="24"/>
          <w:szCs w:val="24"/>
          <w:lang w:val="pt-BR"/>
        </w:rPr>
        <w:t xml:space="preserve">no período de </w:t>
      </w:r>
      <w:r w:rsidRPr="0041470F">
        <w:rPr>
          <w:rStyle w:val="ts-alignment-element"/>
          <w:rFonts w:ascii="Times New Roman" w:hAnsi="Times New Roman" w:cs="Times New Roman"/>
          <w:sz w:val="24"/>
          <w:szCs w:val="24"/>
          <w:lang w:val="pt-BR"/>
        </w:rPr>
        <w:t>2013/2017</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é</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impressionante</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uma</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vez</w:t>
      </w:r>
      <w:r w:rsidRPr="0041470F">
        <w:rPr>
          <w:rFonts w:ascii="Times New Roman" w:hAnsi="Times New Roman" w:cs="Times New Roman"/>
          <w:sz w:val="24"/>
          <w:szCs w:val="24"/>
          <w:lang w:val="pt-BR"/>
        </w:rPr>
        <w:t xml:space="preserve"> que </w:t>
      </w:r>
      <w:r w:rsidR="0041470F" w:rsidRPr="0041470F">
        <w:rPr>
          <w:rFonts w:ascii="Times New Roman" w:hAnsi="Times New Roman" w:cs="Times New Roman"/>
          <w:sz w:val="24"/>
          <w:szCs w:val="24"/>
          <w:lang w:val="pt-BR"/>
        </w:rPr>
        <w:t>Bra</w:t>
      </w:r>
      <w:r w:rsidR="0041470F" w:rsidRPr="0041470F">
        <w:rPr>
          <w:rFonts w:ascii="Times New Roman" w:hAnsi="Times New Roman" w:cs="Times New Roman"/>
          <w:sz w:val="24"/>
          <w:szCs w:val="24"/>
          <w:lang w:val="pt-PT"/>
        </w:rPr>
        <w:t xml:space="preserve">sil passou por uma grave recessão durante </w:t>
      </w:r>
      <w:r w:rsidR="0041470F" w:rsidRPr="0041470F">
        <w:rPr>
          <w:rStyle w:val="ts-alignment-element"/>
          <w:rFonts w:ascii="Times New Roman" w:hAnsi="Times New Roman" w:cs="Times New Roman"/>
          <w:sz w:val="24"/>
          <w:szCs w:val="24"/>
          <w:lang w:val="pt-BR"/>
        </w:rPr>
        <w:t>2014/2016</w:t>
      </w:r>
      <w:r w:rsidR="0041470F" w:rsidRPr="0041470F">
        <w:rPr>
          <w:rFonts w:ascii="Times New Roman" w:hAnsi="Times New Roman" w:cs="Times New Roman"/>
          <w:sz w:val="24"/>
          <w:szCs w:val="24"/>
          <w:lang w:val="pt-BR"/>
        </w:rPr>
        <w:t xml:space="preserve"> </w:t>
      </w:r>
      <w:r w:rsidR="0041470F" w:rsidRPr="0041470F">
        <w:rPr>
          <w:rStyle w:val="ts-alignment-element"/>
          <w:rFonts w:ascii="Times New Roman" w:hAnsi="Times New Roman" w:cs="Times New Roman"/>
          <w:sz w:val="24"/>
          <w:szCs w:val="24"/>
          <w:lang w:val="pt-BR"/>
        </w:rPr>
        <w:t>(Oreiro,</w:t>
      </w:r>
      <w:r w:rsidR="0041470F" w:rsidRPr="0041470F">
        <w:rPr>
          <w:rFonts w:ascii="Times New Roman" w:hAnsi="Times New Roman" w:cs="Times New Roman"/>
          <w:sz w:val="24"/>
          <w:szCs w:val="24"/>
          <w:lang w:val="pt-BR"/>
        </w:rPr>
        <w:t xml:space="preserve"> </w:t>
      </w:r>
      <w:r w:rsidR="0041470F" w:rsidRPr="0041470F">
        <w:rPr>
          <w:rStyle w:val="ts-alignment-element"/>
          <w:rFonts w:ascii="Times New Roman" w:hAnsi="Times New Roman" w:cs="Times New Roman"/>
          <w:sz w:val="24"/>
          <w:szCs w:val="24"/>
          <w:lang w:val="pt-BR"/>
        </w:rPr>
        <w:t>2017</w:t>
      </w:r>
      <w:r w:rsidR="0041470F" w:rsidRPr="0041470F">
        <w:rPr>
          <w:rFonts w:ascii="Times New Roman" w:hAnsi="Times New Roman" w:cs="Times New Roman"/>
          <w:sz w:val="24"/>
          <w:szCs w:val="24"/>
          <w:lang w:val="pt-BR"/>
        </w:rPr>
        <w:t>)</w:t>
      </w:r>
      <w:r w:rsidR="0041470F" w:rsidRPr="0041470F">
        <w:rPr>
          <w:rFonts w:ascii="Times New Roman" w:hAnsi="Times New Roman" w:cs="Times New Roman"/>
          <w:sz w:val="24"/>
          <w:szCs w:val="24"/>
          <w:lang w:val="pt-PT"/>
        </w:rPr>
        <w:t xml:space="preserve"> </w:t>
      </w:r>
      <w:r w:rsidR="002539BA">
        <w:rPr>
          <w:rFonts w:ascii="Times New Roman" w:hAnsi="Times New Roman" w:cs="Times New Roman"/>
          <w:sz w:val="24"/>
          <w:szCs w:val="24"/>
          <w:lang w:val="pt-PT"/>
        </w:rPr>
        <w:t>quando</w:t>
      </w:r>
      <w:r w:rsidR="0041470F" w:rsidRPr="0041470F">
        <w:rPr>
          <w:rFonts w:ascii="Times New Roman" w:hAnsi="Times New Roman" w:cs="Times New Roman"/>
          <w:sz w:val="24"/>
          <w:szCs w:val="24"/>
          <w:lang w:val="pt-PT"/>
        </w:rPr>
        <w:t xml:space="preserve"> </w:t>
      </w:r>
      <w:r w:rsidRPr="0041470F">
        <w:rPr>
          <w:rFonts w:ascii="Times New Roman" w:hAnsi="Times New Roman" w:cs="Times New Roman"/>
          <w:sz w:val="24"/>
          <w:szCs w:val="24"/>
          <w:lang w:val="pt-BR"/>
        </w:rPr>
        <w:t xml:space="preserve">o </w:t>
      </w:r>
      <w:r w:rsidRPr="0041470F">
        <w:rPr>
          <w:rStyle w:val="ts-alignment-element"/>
          <w:rFonts w:ascii="Times New Roman" w:hAnsi="Times New Roman" w:cs="Times New Roman"/>
          <w:sz w:val="24"/>
          <w:szCs w:val="24"/>
          <w:lang w:val="pt-BR"/>
        </w:rPr>
        <w:t>P</w:t>
      </w:r>
      <w:r w:rsidR="00A11679">
        <w:rPr>
          <w:rStyle w:val="ts-alignment-element"/>
          <w:rFonts w:ascii="Times New Roman" w:hAnsi="Times New Roman" w:cs="Times New Roman"/>
          <w:sz w:val="24"/>
          <w:szCs w:val="24"/>
          <w:lang w:val="pt-BR"/>
        </w:rPr>
        <w:t xml:space="preserve">roduto </w:t>
      </w:r>
      <w:r w:rsidRPr="0041470F">
        <w:rPr>
          <w:rStyle w:val="ts-alignment-element"/>
          <w:rFonts w:ascii="Times New Roman" w:hAnsi="Times New Roman" w:cs="Times New Roman"/>
          <w:sz w:val="24"/>
          <w:szCs w:val="24"/>
          <w:lang w:val="pt-BR"/>
        </w:rPr>
        <w:t>I</w:t>
      </w:r>
      <w:r w:rsidR="00A11679">
        <w:rPr>
          <w:rStyle w:val="ts-alignment-element"/>
          <w:rFonts w:ascii="Times New Roman" w:hAnsi="Times New Roman" w:cs="Times New Roman"/>
          <w:sz w:val="24"/>
          <w:szCs w:val="24"/>
          <w:lang w:val="pt-BR"/>
        </w:rPr>
        <w:t xml:space="preserve">nterno </w:t>
      </w:r>
      <w:r w:rsidRPr="0041470F">
        <w:rPr>
          <w:rStyle w:val="ts-alignment-element"/>
          <w:rFonts w:ascii="Times New Roman" w:hAnsi="Times New Roman" w:cs="Times New Roman"/>
          <w:sz w:val="24"/>
          <w:szCs w:val="24"/>
          <w:lang w:val="pt-BR"/>
        </w:rPr>
        <w:t>B</w:t>
      </w:r>
      <w:r w:rsidR="00A11679">
        <w:rPr>
          <w:rStyle w:val="ts-alignment-element"/>
          <w:rFonts w:ascii="Times New Roman" w:hAnsi="Times New Roman" w:cs="Times New Roman"/>
          <w:sz w:val="24"/>
          <w:szCs w:val="24"/>
          <w:lang w:val="pt-BR"/>
        </w:rPr>
        <w:t>ruto (PIB)</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real</w:t>
      </w:r>
      <w:r w:rsidRPr="0041470F">
        <w:rPr>
          <w:rFonts w:ascii="Times New Roman" w:hAnsi="Times New Roman" w:cs="Times New Roman"/>
          <w:sz w:val="24"/>
          <w:szCs w:val="24"/>
          <w:lang w:val="pt-BR"/>
        </w:rPr>
        <w:t xml:space="preserve"> caiu </w:t>
      </w:r>
      <w:r w:rsidRPr="0041470F">
        <w:rPr>
          <w:rStyle w:val="ts-alignment-element"/>
          <w:rFonts w:ascii="Times New Roman" w:hAnsi="Times New Roman" w:cs="Times New Roman"/>
          <w:sz w:val="24"/>
          <w:szCs w:val="24"/>
          <w:lang w:val="pt-BR"/>
        </w:rPr>
        <w:t>em</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mais</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de</w:t>
      </w:r>
      <w:r w:rsidRPr="0041470F">
        <w:rPr>
          <w:rFonts w:ascii="Times New Roman" w:hAnsi="Times New Roman" w:cs="Times New Roman"/>
          <w:sz w:val="24"/>
          <w:szCs w:val="24"/>
          <w:lang w:val="pt-BR"/>
        </w:rPr>
        <w:t xml:space="preserve"> </w:t>
      </w:r>
      <w:r w:rsidRPr="0041470F">
        <w:rPr>
          <w:rStyle w:val="ts-alignment-element"/>
          <w:rFonts w:ascii="Times New Roman" w:hAnsi="Times New Roman" w:cs="Times New Roman"/>
          <w:sz w:val="24"/>
          <w:szCs w:val="24"/>
          <w:lang w:val="pt-BR"/>
        </w:rPr>
        <w:t>8%</w:t>
      </w:r>
      <w:r w:rsidR="0041470F" w:rsidRPr="0041470F">
        <w:rPr>
          <w:rStyle w:val="ts-alignment-element"/>
          <w:rFonts w:ascii="Times New Roman" w:hAnsi="Times New Roman" w:cs="Times New Roman"/>
          <w:sz w:val="24"/>
          <w:szCs w:val="24"/>
          <w:lang w:val="pt-BR"/>
        </w:rPr>
        <w:t xml:space="preserve"> e a </w:t>
      </w:r>
      <w:r w:rsidR="0041470F" w:rsidRPr="0041470F">
        <w:rPr>
          <w:rFonts w:ascii="Times New Roman" w:hAnsi="Times New Roman" w:cs="Times New Roman"/>
          <w:sz w:val="24"/>
          <w:szCs w:val="24"/>
          <w:lang w:val="pt-BR"/>
        </w:rPr>
        <w:t xml:space="preserve">inflação </w:t>
      </w:r>
      <w:r w:rsidR="0041470F" w:rsidRPr="0041470F">
        <w:rPr>
          <w:rStyle w:val="ts-alignment-element"/>
          <w:rFonts w:ascii="Times New Roman" w:hAnsi="Times New Roman" w:cs="Times New Roman"/>
          <w:sz w:val="24"/>
          <w:szCs w:val="24"/>
          <w:lang w:val="pt-BR"/>
        </w:rPr>
        <w:t>do</w:t>
      </w:r>
      <w:r w:rsidR="0041470F" w:rsidRPr="0041470F">
        <w:rPr>
          <w:rFonts w:ascii="Times New Roman" w:hAnsi="Times New Roman" w:cs="Times New Roman"/>
          <w:sz w:val="24"/>
          <w:szCs w:val="24"/>
          <w:lang w:val="pt-BR"/>
        </w:rPr>
        <w:t xml:space="preserve"> </w:t>
      </w:r>
      <w:r w:rsidR="0041470F" w:rsidRPr="0041470F">
        <w:rPr>
          <w:rStyle w:val="ts-alignment-element"/>
          <w:rFonts w:ascii="Times New Roman" w:hAnsi="Times New Roman" w:cs="Times New Roman"/>
          <w:sz w:val="24"/>
          <w:szCs w:val="24"/>
          <w:lang w:val="pt-BR"/>
        </w:rPr>
        <w:t>Brasil</w:t>
      </w:r>
      <w:r w:rsidR="0041470F" w:rsidRPr="0041470F">
        <w:rPr>
          <w:rFonts w:ascii="Times New Roman" w:hAnsi="Times New Roman" w:cs="Times New Roman"/>
          <w:sz w:val="24"/>
          <w:szCs w:val="24"/>
          <w:lang w:val="pt-BR"/>
        </w:rPr>
        <w:t xml:space="preserve"> </w:t>
      </w:r>
      <w:r w:rsidR="0041470F" w:rsidRPr="0041470F">
        <w:rPr>
          <w:rStyle w:val="ts-alignment-element"/>
          <w:rFonts w:ascii="Times New Roman" w:hAnsi="Times New Roman" w:cs="Times New Roman"/>
          <w:sz w:val="24"/>
          <w:szCs w:val="24"/>
          <w:lang w:val="pt-BR"/>
        </w:rPr>
        <w:t>foi</w:t>
      </w:r>
      <w:r w:rsidR="0041470F" w:rsidRPr="0041470F">
        <w:rPr>
          <w:rFonts w:ascii="Times New Roman" w:hAnsi="Times New Roman" w:cs="Times New Roman"/>
          <w:sz w:val="24"/>
          <w:szCs w:val="24"/>
          <w:lang w:val="pt-BR"/>
        </w:rPr>
        <w:t xml:space="preserve"> </w:t>
      </w:r>
      <w:r w:rsidR="0041470F" w:rsidRPr="0041470F">
        <w:rPr>
          <w:rStyle w:val="ts-alignment-element"/>
          <w:rFonts w:ascii="Times New Roman" w:hAnsi="Times New Roman" w:cs="Times New Roman"/>
          <w:sz w:val="24"/>
          <w:szCs w:val="24"/>
          <w:lang w:val="pt-BR"/>
        </w:rPr>
        <w:t>de</w:t>
      </w:r>
      <w:r w:rsidR="0041470F" w:rsidRPr="0041470F">
        <w:rPr>
          <w:rFonts w:ascii="Times New Roman" w:hAnsi="Times New Roman" w:cs="Times New Roman"/>
          <w:sz w:val="24"/>
          <w:szCs w:val="24"/>
          <w:lang w:val="pt-BR"/>
        </w:rPr>
        <w:t xml:space="preserve"> </w:t>
      </w:r>
      <w:r w:rsidR="0041470F" w:rsidRPr="0041470F">
        <w:rPr>
          <w:rStyle w:val="ts-alignment-element"/>
          <w:rFonts w:ascii="Times New Roman" w:hAnsi="Times New Roman" w:cs="Times New Roman"/>
          <w:sz w:val="24"/>
          <w:szCs w:val="24"/>
          <w:lang w:val="pt-BR"/>
        </w:rPr>
        <w:t>cerca</w:t>
      </w:r>
      <w:r w:rsidR="0041470F" w:rsidRPr="0041470F">
        <w:rPr>
          <w:rFonts w:ascii="Times New Roman" w:hAnsi="Times New Roman" w:cs="Times New Roman"/>
          <w:sz w:val="24"/>
          <w:szCs w:val="24"/>
          <w:lang w:val="pt-BR"/>
        </w:rPr>
        <w:t xml:space="preserve"> </w:t>
      </w:r>
      <w:r w:rsidR="0041470F" w:rsidRPr="0041470F">
        <w:rPr>
          <w:rStyle w:val="ts-alignment-element"/>
          <w:rFonts w:ascii="Times New Roman" w:hAnsi="Times New Roman" w:cs="Times New Roman"/>
          <w:sz w:val="24"/>
          <w:szCs w:val="24"/>
          <w:lang w:val="pt-BR"/>
        </w:rPr>
        <w:t>de</w:t>
      </w:r>
      <w:r w:rsidR="0041470F" w:rsidRPr="0041470F">
        <w:rPr>
          <w:rFonts w:ascii="Times New Roman" w:hAnsi="Times New Roman" w:cs="Times New Roman"/>
          <w:sz w:val="24"/>
          <w:szCs w:val="24"/>
          <w:lang w:val="pt-BR"/>
        </w:rPr>
        <w:t xml:space="preserve"> </w:t>
      </w:r>
      <w:r w:rsidR="0041470F" w:rsidRPr="0041470F">
        <w:rPr>
          <w:rStyle w:val="ts-alignment-element"/>
          <w:rFonts w:ascii="Times New Roman" w:hAnsi="Times New Roman" w:cs="Times New Roman"/>
          <w:sz w:val="24"/>
          <w:szCs w:val="24"/>
          <w:lang w:val="pt-BR"/>
        </w:rPr>
        <w:t>30%</w:t>
      </w:r>
      <w:r w:rsidRPr="0041470F">
        <w:rPr>
          <w:rFonts w:ascii="Times New Roman" w:hAnsi="Times New Roman" w:cs="Times New Roman"/>
          <w:sz w:val="24"/>
          <w:szCs w:val="24"/>
          <w:lang w:val="pt-BR"/>
        </w:rPr>
        <w:t>.</w:t>
      </w:r>
    </w:p>
    <w:p w14:paraId="6E72974D" w14:textId="0761A9D2" w:rsidR="00E046AC" w:rsidRPr="008B2EB5" w:rsidRDefault="00C46123" w:rsidP="00E046AC">
      <w:pPr>
        <w:spacing w:line="360" w:lineRule="auto"/>
        <w:rPr>
          <w:rStyle w:val="ts-alignment-element"/>
          <w:lang w:val="pt-BR"/>
        </w:rPr>
      </w:pPr>
      <w:r w:rsidRPr="00CA2760">
        <w:rPr>
          <w:rFonts w:ascii="Times New Roman" w:hAnsi="Times New Roman" w:cs="Times New Roman"/>
          <w:sz w:val="24"/>
          <w:szCs w:val="24"/>
          <w:lang w:val="pt-BR"/>
        </w:rPr>
        <w:t xml:space="preserve">A capitalização do </w:t>
      </w:r>
      <w:r w:rsidR="00D43DE3" w:rsidRPr="00CA2760">
        <w:rPr>
          <w:rFonts w:ascii="Times New Roman" w:hAnsi="Times New Roman" w:cs="Times New Roman"/>
          <w:sz w:val="24"/>
          <w:szCs w:val="24"/>
          <w:lang w:val="pt-BR"/>
        </w:rPr>
        <w:t xml:space="preserve">Resultado Líquido </w:t>
      </w:r>
      <w:r w:rsidRPr="00CA2760">
        <w:rPr>
          <w:rFonts w:ascii="Times New Roman" w:hAnsi="Times New Roman" w:cs="Times New Roman"/>
          <w:sz w:val="24"/>
          <w:szCs w:val="24"/>
          <w:lang w:val="pt-BR"/>
        </w:rPr>
        <w:t>(ou seja, Lucro Líquido) e de Juros sobre o Capital Próprio (JCP) são as duas principais fontes deste incremento no patrimônio do FDU.</w:t>
      </w:r>
      <w:r w:rsidR="0041470F">
        <w:rPr>
          <w:rStyle w:val="FootnoteReference"/>
          <w:rFonts w:ascii="Times New Roman" w:hAnsi="Times New Roman" w:cs="Times New Roman"/>
          <w:sz w:val="24"/>
          <w:szCs w:val="24"/>
          <w:lang w:val="pt-BR"/>
        </w:rPr>
        <w:footnoteReference w:id="4"/>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JCP</w:t>
      </w:r>
      <w:r w:rsidRPr="00CA2760">
        <w:rPr>
          <w:rFonts w:ascii="Times New Roman" w:hAnsi="Times New Roman" w:cs="Times New Roman"/>
          <w:sz w:val="24"/>
          <w:szCs w:val="24"/>
          <w:lang w:val="pt-BR"/>
        </w:rPr>
        <w:t xml:space="preserve"> </w:t>
      </w:r>
      <w:r w:rsidR="0005602F">
        <w:rPr>
          <w:rStyle w:val="ts-alignment-element"/>
          <w:rFonts w:ascii="Times New Roman" w:hAnsi="Times New Roman" w:cs="Times New Roman"/>
          <w:sz w:val="24"/>
          <w:szCs w:val="24"/>
          <w:lang w:val="pt-BR"/>
        </w:rPr>
        <w:t>são</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o</w:t>
      </w:r>
      <w:r w:rsidR="0005602F">
        <w:rPr>
          <w:rStyle w:val="ts-alignment-element"/>
          <w:rFonts w:ascii="Times New Roman" w:hAnsi="Times New Roman" w:cs="Times New Roman"/>
          <w:sz w:val="24"/>
          <w:szCs w:val="24"/>
          <w:lang w:val="pt-BR"/>
        </w:rPr>
        <w:t>s</w:t>
      </w:r>
      <w:r w:rsidRPr="00CA2760">
        <w:rPr>
          <w:rFonts w:ascii="Times New Roman" w:hAnsi="Times New Roman" w:cs="Times New Roman"/>
          <w:sz w:val="24"/>
          <w:szCs w:val="24"/>
          <w:lang w:val="pt-BR"/>
        </w:rPr>
        <w:t xml:space="preserve"> juros </w:t>
      </w:r>
      <w:r w:rsidRPr="00CA2760">
        <w:rPr>
          <w:rStyle w:val="ts-alignment-element"/>
          <w:rFonts w:ascii="Times New Roman" w:hAnsi="Times New Roman" w:cs="Times New Roman"/>
          <w:sz w:val="24"/>
          <w:szCs w:val="24"/>
          <w:lang w:val="pt-BR"/>
        </w:rPr>
        <w:t>implícito</w:t>
      </w:r>
      <w:r w:rsidR="0005602F">
        <w:rPr>
          <w:rStyle w:val="ts-alignment-element"/>
          <w:rFonts w:ascii="Times New Roman" w:hAnsi="Times New Roman" w:cs="Times New Roman"/>
          <w:sz w:val="24"/>
          <w:szCs w:val="24"/>
          <w:lang w:val="pt-BR"/>
        </w:rPr>
        <w:t>s</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 xml:space="preserve">sobre o </w:t>
      </w:r>
      <w:r w:rsidR="002539BA">
        <w:rPr>
          <w:rStyle w:val="ts-alignment-element"/>
          <w:rFonts w:ascii="Times New Roman" w:hAnsi="Times New Roman" w:cs="Times New Roman"/>
          <w:sz w:val="24"/>
          <w:szCs w:val="24"/>
          <w:lang w:val="pt-BR"/>
        </w:rPr>
        <w:t>PL</w:t>
      </w:r>
      <w:r w:rsidRPr="00CA2760">
        <w:rPr>
          <w:rFonts w:ascii="Times New Roman" w:hAnsi="Times New Roman" w:cs="Times New Roman"/>
          <w:sz w:val="24"/>
          <w:szCs w:val="24"/>
          <w:lang w:val="pt-BR"/>
        </w:rPr>
        <w:t xml:space="preserve"> do FDU</w:t>
      </w:r>
      <w:r w:rsidRPr="00CA2760">
        <w:rPr>
          <w:rStyle w:val="ts-alignment-element"/>
          <w:rFonts w:ascii="Times New Roman" w:hAnsi="Times New Roman" w:cs="Times New Roman"/>
          <w:sz w:val="24"/>
          <w:szCs w:val="24"/>
          <w:lang w:val="pt-BR"/>
        </w:rPr>
        <w:t>.</w:t>
      </w:r>
      <w:r w:rsidRPr="00CA2760">
        <w:rPr>
          <w:rFonts w:ascii="Times New Roman" w:hAnsi="Times New Roman" w:cs="Times New Roman"/>
          <w:sz w:val="24"/>
          <w:szCs w:val="24"/>
          <w:lang w:val="pt-BR"/>
        </w:rPr>
        <w:t xml:space="preserve">  O direito do FDU de capitalizar sob o JCP ajudou a impulsionar o </w:t>
      </w:r>
      <w:r w:rsidR="002539BA">
        <w:rPr>
          <w:rFonts w:ascii="Times New Roman" w:hAnsi="Times New Roman" w:cs="Times New Roman"/>
          <w:sz w:val="24"/>
          <w:szCs w:val="24"/>
          <w:lang w:val="pt-BR"/>
        </w:rPr>
        <w:t>PL</w:t>
      </w:r>
      <w:r w:rsidRPr="00CA2760">
        <w:rPr>
          <w:rFonts w:ascii="Times New Roman" w:hAnsi="Times New Roman" w:cs="Times New Roman"/>
          <w:sz w:val="24"/>
          <w:szCs w:val="24"/>
          <w:lang w:val="pt-BR"/>
        </w:rPr>
        <w:t xml:space="preserve"> em duas maneiras. Primeiramente, na forma de estimar seu rendimento tributável, onde o </w:t>
      </w:r>
      <w:r w:rsidRPr="005D7379">
        <w:rPr>
          <w:rFonts w:ascii="Times New Roman" w:hAnsi="Times New Roman" w:cs="Times New Roman"/>
          <w:sz w:val="24"/>
          <w:szCs w:val="24"/>
          <w:lang w:val="pt-BR"/>
        </w:rPr>
        <w:lastRenderedPageBreak/>
        <w:t xml:space="preserve">FDU </w:t>
      </w:r>
      <w:r w:rsidRPr="0084383C">
        <w:rPr>
          <w:rFonts w:ascii="Times New Roman" w:hAnsi="Times New Roman" w:cs="Times New Roman"/>
          <w:sz w:val="24"/>
          <w:szCs w:val="24"/>
          <w:lang w:val="pt-BR"/>
        </w:rPr>
        <w:t>pode deduzir a estimativa anual do JCP</w:t>
      </w:r>
      <w:r w:rsidRPr="005D7379">
        <w:rPr>
          <w:rFonts w:ascii="Times New Roman" w:hAnsi="Times New Roman" w:cs="Times New Roman"/>
          <w:sz w:val="24"/>
          <w:szCs w:val="24"/>
          <w:lang w:val="pt-BR"/>
        </w:rPr>
        <w:t xml:space="preserve"> de seu lucro, impulsionando desse modo seu resultado líquido.  Em segundo lugar, o FDU tem o direito </w:t>
      </w:r>
      <w:r w:rsidRPr="0084383C">
        <w:rPr>
          <w:rFonts w:ascii="Times New Roman" w:hAnsi="Times New Roman" w:cs="Times New Roman"/>
          <w:sz w:val="24"/>
          <w:szCs w:val="24"/>
          <w:lang w:val="pt-BR"/>
        </w:rPr>
        <w:t>legal de capitalizar o JCP</w:t>
      </w:r>
      <w:r w:rsidRPr="005D7379">
        <w:rPr>
          <w:rFonts w:ascii="Times New Roman" w:hAnsi="Times New Roman" w:cs="Times New Roman"/>
          <w:sz w:val="24"/>
          <w:szCs w:val="24"/>
          <w:lang w:val="pt-BR"/>
        </w:rPr>
        <w:t xml:space="preserve"> em seu </w:t>
      </w:r>
      <w:r w:rsidR="002539BA">
        <w:rPr>
          <w:rFonts w:ascii="Times New Roman" w:hAnsi="Times New Roman" w:cs="Times New Roman"/>
          <w:sz w:val="24"/>
          <w:szCs w:val="24"/>
          <w:lang w:val="pt-BR"/>
        </w:rPr>
        <w:t>PL</w:t>
      </w:r>
      <w:r w:rsidRPr="005D7379">
        <w:rPr>
          <w:rFonts w:ascii="Times New Roman" w:hAnsi="Times New Roman" w:cs="Times New Roman"/>
          <w:sz w:val="24"/>
          <w:szCs w:val="24"/>
          <w:lang w:val="pt-BR"/>
        </w:rPr>
        <w:t xml:space="preserve">. O </w:t>
      </w:r>
      <w:r w:rsidRPr="005D7379">
        <w:rPr>
          <w:rStyle w:val="ts-alignment-element"/>
          <w:rFonts w:ascii="Times New Roman" w:hAnsi="Times New Roman" w:cs="Times New Roman"/>
          <w:sz w:val="24"/>
          <w:szCs w:val="24"/>
          <w:lang w:val="pt-BR"/>
        </w:rPr>
        <w:t>Anexo</w:t>
      </w:r>
      <w:r w:rsidRPr="005D7379">
        <w:rPr>
          <w:rFonts w:ascii="Times New Roman" w:hAnsi="Times New Roman" w:cs="Times New Roman"/>
          <w:sz w:val="24"/>
          <w:szCs w:val="24"/>
          <w:lang w:val="pt-BR"/>
        </w:rPr>
        <w:t xml:space="preserve"> </w:t>
      </w:r>
      <w:r w:rsidRPr="005D7379">
        <w:rPr>
          <w:rStyle w:val="ts-alignment-element"/>
          <w:rFonts w:ascii="Times New Roman" w:hAnsi="Times New Roman" w:cs="Times New Roman"/>
          <w:sz w:val="24"/>
          <w:szCs w:val="24"/>
          <w:lang w:val="pt-BR"/>
        </w:rPr>
        <w:t>A</w:t>
      </w:r>
      <w:r w:rsidRPr="005D7379">
        <w:rPr>
          <w:rFonts w:ascii="Times New Roman" w:hAnsi="Times New Roman" w:cs="Times New Roman"/>
          <w:sz w:val="24"/>
          <w:szCs w:val="24"/>
          <w:lang w:val="pt-BR"/>
        </w:rPr>
        <w:t xml:space="preserve"> </w:t>
      </w:r>
      <w:r w:rsidRPr="0084383C">
        <w:rPr>
          <w:rStyle w:val="ts-alignment-element"/>
          <w:rFonts w:ascii="Times New Roman" w:hAnsi="Times New Roman" w:cs="Times New Roman"/>
          <w:sz w:val="24"/>
          <w:szCs w:val="24"/>
          <w:lang w:val="pt-BR"/>
        </w:rPr>
        <w:t>possui</w:t>
      </w:r>
      <w:r w:rsidRPr="0084383C">
        <w:rPr>
          <w:rFonts w:ascii="Times New Roman" w:hAnsi="Times New Roman" w:cs="Times New Roman"/>
          <w:sz w:val="24"/>
          <w:szCs w:val="24"/>
          <w:lang w:val="pt-BR"/>
        </w:rPr>
        <w:t xml:space="preserve"> os artigos das </w:t>
      </w:r>
      <w:r w:rsidRPr="0084383C">
        <w:rPr>
          <w:rStyle w:val="ts-alignment-element"/>
          <w:rFonts w:ascii="Times New Roman" w:hAnsi="Times New Roman" w:cs="Times New Roman"/>
          <w:sz w:val="24"/>
          <w:szCs w:val="24"/>
          <w:lang w:val="pt-BR"/>
        </w:rPr>
        <w:t>leis</w:t>
      </w:r>
      <w:r w:rsidRPr="0084383C">
        <w:rPr>
          <w:rFonts w:ascii="Times New Roman" w:hAnsi="Times New Roman" w:cs="Times New Roman"/>
          <w:sz w:val="24"/>
          <w:szCs w:val="24"/>
          <w:lang w:val="pt-BR"/>
        </w:rPr>
        <w:t xml:space="preserve"> </w:t>
      </w:r>
      <w:r w:rsidRPr="0084383C">
        <w:rPr>
          <w:rStyle w:val="ts-alignment-element"/>
          <w:rFonts w:ascii="Times New Roman" w:hAnsi="Times New Roman" w:cs="Times New Roman"/>
          <w:sz w:val="24"/>
          <w:szCs w:val="24"/>
          <w:lang w:val="pt-BR"/>
        </w:rPr>
        <w:t>e</w:t>
      </w:r>
      <w:r w:rsidRPr="0084383C">
        <w:rPr>
          <w:rFonts w:ascii="Times New Roman" w:hAnsi="Times New Roman" w:cs="Times New Roman"/>
          <w:sz w:val="24"/>
          <w:szCs w:val="24"/>
          <w:lang w:val="pt-BR"/>
        </w:rPr>
        <w:t xml:space="preserve"> </w:t>
      </w:r>
      <w:r w:rsidRPr="0084383C">
        <w:rPr>
          <w:rStyle w:val="ts-alignment-element"/>
          <w:rFonts w:ascii="Times New Roman" w:hAnsi="Times New Roman" w:cs="Times New Roman"/>
          <w:sz w:val="24"/>
          <w:szCs w:val="24"/>
          <w:lang w:val="pt-BR"/>
        </w:rPr>
        <w:t>regulamentos</w:t>
      </w:r>
      <w:r w:rsidRPr="0084383C">
        <w:rPr>
          <w:rFonts w:ascii="Times New Roman" w:hAnsi="Times New Roman" w:cs="Times New Roman"/>
          <w:sz w:val="24"/>
          <w:szCs w:val="24"/>
          <w:lang w:val="pt-BR"/>
        </w:rPr>
        <w:t xml:space="preserve"> </w:t>
      </w:r>
      <w:r w:rsidRPr="0084383C">
        <w:rPr>
          <w:rStyle w:val="ts-alignment-element"/>
          <w:rFonts w:ascii="Times New Roman" w:hAnsi="Times New Roman" w:cs="Times New Roman"/>
          <w:sz w:val="24"/>
          <w:szCs w:val="24"/>
          <w:lang w:val="pt-BR"/>
        </w:rPr>
        <w:t>que</w:t>
      </w:r>
      <w:r w:rsidRPr="0084383C">
        <w:rPr>
          <w:rFonts w:ascii="Times New Roman" w:hAnsi="Times New Roman" w:cs="Times New Roman"/>
          <w:sz w:val="24"/>
          <w:szCs w:val="24"/>
          <w:lang w:val="pt-BR"/>
        </w:rPr>
        <w:t xml:space="preserve"> </w:t>
      </w:r>
      <w:r w:rsidRPr="0084383C">
        <w:rPr>
          <w:rStyle w:val="ts-alignment-element"/>
          <w:rFonts w:ascii="Times New Roman" w:hAnsi="Times New Roman" w:cs="Times New Roman"/>
          <w:sz w:val="24"/>
          <w:szCs w:val="24"/>
          <w:lang w:val="pt-BR"/>
        </w:rPr>
        <w:t>tornam</w:t>
      </w:r>
      <w:r w:rsidRPr="0084383C">
        <w:rPr>
          <w:rFonts w:ascii="Times New Roman" w:hAnsi="Times New Roman" w:cs="Times New Roman"/>
          <w:sz w:val="24"/>
          <w:szCs w:val="24"/>
          <w:lang w:val="pt-BR"/>
        </w:rPr>
        <w:t xml:space="preserve"> isso </w:t>
      </w:r>
      <w:r w:rsidRPr="0084383C">
        <w:rPr>
          <w:rStyle w:val="ts-alignment-element"/>
          <w:rFonts w:ascii="Times New Roman" w:hAnsi="Times New Roman" w:cs="Times New Roman"/>
          <w:sz w:val="24"/>
          <w:szCs w:val="24"/>
          <w:lang w:val="pt-BR"/>
        </w:rPr>
        <w:t>possível,</w:t>
      </w:r>
      <w:r w:rsidRPr="0084383C">
        <w:rPr>
          <w:rFonts w:ascii="Times New Roman" w:hAnsi="Times New Roman" w:cs="Times New Roman"/>
          <w:sz w:val="24"/>
          <w:szCs w:val="24"/>
          <w:lang w:val="pt-BR"/>
        </w:rPr>
        <w:t xml:space="preserve"> </w:t>
      </w:r>
      <w:r w:rsidRPr="0084383C">
        <w:rPr>
          <w:rStyle w:val="ts-alignment-element"/>
          <w:rFonts w:ascii="Times New Roman" w:hAnsi="Times New Roman" w:cs="Times New Roman"/>
          <w:sz w:val="24"/>
          <w:szCs w:val="24"/>
          <w:lang w:val="pt-BR"/>
        </w:rPr>
        <w:t>incluindo</w:t>
      </w:r>
      <w:r w:rsidRPr="0084383C">
        <w:rPr>
          <w:rFonts w:ascii="Times New Roman" w:hAnsi="Times New Roman" w:cs="Times New Roman"/>
          <w:sz w:val="24"/>
          <w:szCs w:val="24"/>
          <w:lang w:val="pt-BR"/>
        </w:rPr>
        <w:t xml:space="preserve"> </w:t>
      </w:r>
      <w:r w:rsidRPr="0084383C">
        <w:rPr>
          <w:rStyle w:val="ts-alignment-element"/>
          <w:rFonts w:ascii="Times New Roman" w:hAnsi="Times New Roman" w:cs="Times New Roman"/>
          <w:sz w:val="24"/>
          <w:szCs w:val="24"/>
          <w:lang w:val="pt-BR"/>
        </w:rPr>
        <w:t>os</w:t>
      </w:r>
      <w:r w:rsidRPr="0084383C">
        <w:rPr>
          <w:rFonts w:ascii="Times New Roman" w:hAnsi="Times New Roman" w:cs="Times New Roman"/>
          <w:sz w:val="24"/>
          <w:szCs w:val="24"/>
          <w:lang w:val="pt-BR"/>
        </w:rPr>
        <w:t xml:space="preserve"> </w:t>
      </w:r>
      <w:r w:rsidRPr="0084383C">
        <w:rPr>
          <w:rStyle w:val="ts-alignment-element"/>
          <w:rFonts w:ascii="Times New Roman" w:hAnsi="Times New Roman" w:cs="Times New Roman"/>
          <w:sz w:val="24"/>
          <w:szCs w:val="24"/>
          <w:lang w:val="pt-BR"/>
        </w:rPr>
        <w:t>limites</w:t>
      </w:r>
      <w:r w:rsidRPr="0084383C">
        <w:rPr>
          <w:rFonts w:ascii="Times New Roman" w:hAnsi="Times New Roman" w:cs="Times New Roman"/>
          <w:sz w:val="24"/>
          <w:szCs w:val="24"/>
          <w:lang w:val="pt-BR"/>
        </w:rPr>
        <w:t xml:space="preserve"> das </w:t>
      </w:r>
      <w:r w:rsidRPr="0084383C">
        <w:rPr>
          <w:rStyle w:val="ts-alignment-element"/>
          <w:rFonts w:ascii="Times New Roman" w:hAnsi="Times New Roman" w:cs="Times New Roman"/>
          <w:sz w:val="24"/>
          <w:szCs w:val="24"/>
          <w:lang w:val="pt-BR"/>
        </w:rPr>
        <w:t>taxas</w:t>
      </w:r>
      <w:r w:rsidRPr="0084383C">
        <w:rPr>
          <w:rFonts w:ascii="Times New Roman" w:hAnsi="Times New Roman" w:cs="Times New Roman"/>
          <w:sz w:val="24"/>
          <w:szCs w:val="24"/>
          <w:lang w:val="pt-BR"/>
        </w:rPr>
        <w:t xml:space="preserve"> </w:t>
      </w:r>
      <w:r w:rsidRPr="0084383C">
        <w:rPr>
          <w:rStyle w:val="ts-alignment-element"/>
          <w:rFonts w:ascii="Times New Roman" w:hAnsi="Times New Roman" w:cs="Times New Roman"/>
          <w:sz w:val="24"/>
          <w:szCs w:val="24"/>
          <w:lang w:val="pt-BR"/>
        </w:rPr>
        <w:t>de</w:t>
      </w:r>
      <w:r w:rsidRPr="0084383C">
        <w:rPr>
          <w:rFonts w:ascii="Times New Roman" w:hAnsi="Times New Roman" w:cs="Times New Roman"/>
          <w:sz w:val="24"/>
          <w:szCs w:val="24"/>
          <w:lang w:val="pt-BR"/>
        </w:rPr>
        <w:t xml:space="preserve"> </w:t>
      </w:r>
      <w:r w:rsidRPr="0084383C">
        <w:rPr>
          <w:rStyle w:val="ts-alignment-element"/>
          <w:rFonts w:ascii="Times New Roman" w:hAnsi="Times New Roman" w:cs="Times New Roman"/>
          <w:sz w:val="24"/>
          <w:szCs w:val="24"/>
          <w:lang w:val="pt-BR"/>
        </w:rPr>
        <w:t>JCP.</w:t>
      </w:r>
      <w:r w:rsidRPr="0084383C">
        <w:rPr>
          <w:rFonts w:ascii="Times New Roman" w:hAnsi="Times New Roman" w:cs="Times New Roman"/>
          <w:sz w:val="24"/>
          <w:szCs w:val="24"/>
          <w:lang w:val="pt-BR"/>
        </w:rPr>
        <w:t xml:space="preserve"> Em resumo, a capitalização</w:t>
      </w:r>
      <w:r w:rsidRPr="005D7379">
        <w:rPr>
          <w:rFonts w:ascii="Times New Roman" w:hAnsi="Times New Roman" w:cs="Times New Roman"/>
          <w:sz w:val="24"/>
          <w:szCs w:val="24"/>
          <w:lang w:val="pt-BR"/>
        </w:rPr>
        <w:t xml:space="preserve"> do JCP e o </w:t>
      </w:r>
      <w:r w:rsidR="00127938" w:rsidRPr="0084383C">
        <w:rPr>
          <w:rFonts w:ascii="Times New Roman" w:hAnsi="Times New Roman" w:cs="Times New Roman"/>
          <w:sz w:val="24"/>
          <w:szCs w:val="24"/>
          <w:lang w:val="pt-BR"/>
        </w:rPr>
        <w:t>Resultado Líquido</w:t>
      </w:r>
      <w:r w:rsidRPr="0084383C">
        <w:rPr>
          <w:rFonts w:ascii="Times New Roman" w:hAnsi="Times New Roman" w:cs="Times New Roman"/>
          <w:sz w:val="24"/>
          <w:szCs w:val="24"/>
          <w:lang w:val="pt-BR"/>
        </w:rPr>
        <w:t xml:space="preserve"> do FDU</w:t>
      </w:r>
      <w:r w:rsidRPr="00CA2760">
        <w:rPr>
          <w:rFonts w:ascii="Times New Roman" w:hAnsi="Times New Roman" w:cs="Times New Roman"/>
          <w:sz w:val="24"/>
          <w:szCs w:val="24"/>
          <w:lang w:val="pt-BR"/>
        </w:rPr>
        <w:t xml:space="preserve"> contribuíram para o rápido crescimento do </w:t>
      </w:r>
      <w:r w:rsidR="008D1BC4">
        <w:rPr>
          <w:rFonts w:ascii="Times New Roman" w:hAnsi="Times New Roman" w:cs="Times New Roman"/>
          <w:sz w:val="24"/>
          <w:szCs w:val="24"/>
          <w:lang w:val="pt-BR"/>
        </w:rPr>
        <w:t>PL</w:t>
      </w:r>
      <w:r w:rsidRPr="00CA2760">
        <w:rPr>
          <w:rFonts w:ascii="Times New Roman" w:hAnsi="Times New Roman" w:cs="Times New Roman"/>
          <w:sz w:val="24"/>
          <w:szCs w:val="24"/>
          <w:lang w:val="pt-BR"/>
        </w:rPr>
        <w:t xml:space="preserve"> durante 2013/2017. </w:t>
      </w:r>
      <w:r w:rsidRPr="00CA2760">
        <w:rPr>
          <w:rStyle w:val="ts-alignment-element"/>
          <w:rFonts w:ascii="Times New Roman" w:hAnsi="Times New Roman" w:cs="Times New Roman"/>
          <w:sz w:val="24"/>
          <w:szCs w:val="24"/>
          <w:lang w:val="pt-BR"/>
        </w:rPr>
        <w:t>Este</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aumento</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no</w:t>
      </w:r>
      <w:r w:rsidR="00942CD1">
        <w:rPr>
          <w:rStyle w:val="ts-alignment-element"/>
          <w:rFonts w:ascii="Times New Roman" w:hAnsi="Times New Roman" w:cs="Times New Roman"/>
          <w:sz w:val="24"/>
          <w:szCs w:val="24"/>
          <w:lang w:val="pt-BR"/>
        </w:rPr>
        <w:t xml:space="preserve"> </w:t>
      </w:r>
      <w:r w:rsidR="008D1BC4">
        <w:rPr>
          <w:rStyle w:val="ts-alignment-element"/>
          <w:rFonts w:ascii="Times New Roman" w:hAnsi="Times New Roman" w:cs="Times New Roman"/>
          <w:sz w:val="24"/>
          <w:szCs w:val="24"/>
          <w:lang w:val="pt-BR"/>
        </w:rPr>
        <w:t>PL</w:t>
      </w:r>
      <w:r w:rsidR="00942CD1">
        <w:rPr>
          <w:rStyle w:val="ts-alignment-element"/>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do FDU, bem como outras</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medidas</w:t>
      </w:r>
      <w:r w:rsidRPr="00CA2760">
        <w:rPr>
          <w:rFonts w:ascii="Times New Roman" w:hAnsi="Times New Roman" w:cs="Times New Roman"/>
          <w:sz w:val="24"/>
          <w:szCs w:val="24"/>
          <w:lang w:val="pt-BR"/>
        </w:rPr>
        <w:t xml:space="preserve"> de ajuste de gestão ajudaram </w:t>
      </w:r>
      <w:r w:rsidRPr="00CA2760">
        <w:rPr>
          <w:rStyle w:val="ts-alignment-element"/>
          <w:rFonts w:ascii="Times New Roman" w:hAnsi="Times New Roman" w:cs="Times New Roman"/>
          <w:sz w:val="24"/>
          <w:szCs w:val="24"/>
          <w:lang w:val="pt-BR"/>
        </w:rPr>
        <w:t>a</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aumentar</w:t>
      </w:r>
      <w:r w:rsidRPr="00CA2760">
        <w:rPr>
          <w:rFonts w:ascii="Times New Roman" w:hAnsi="Times New Roman" w:cs="Times New Roman"/>
          <w:sz w:val="24"/>
          <w:szCs w:val="24"/>
          <w:lang w:val="pt-BR"/>
        </w:rPr>
        <w:t xml:space="preserve"> o </w:t>
      </w:r>
      <w:r w:rsidRPr="00CA2760">
        <w:rPr>
          <w:rStyle w:val="ts-alignment-element"/>
          <w:rFonts w:ascii="Times New Roman" w:hAnsi="Times New Roman" w:cs="Times New Roman"/>
          <w:sz w:val="24"/>
          <w:szCs w:val="24"/>
          <w:lang w:val="pt-BR"/>
        </w:rPr>
        <w:t>total</w:t>
      </w:r>
      <w:r w:rsidRPr="00CA2760">
        <w:rPr>
          <w:rFonts w:ascii="Times New Roman" w:hAnsi="Times New Roman" w:cs="Times New Roman"/>
          <w:sz w:val="24"/>
          <w:szCs w:val="24"/>
          <w:lang w:val="pt-BR"/>
        </w:rPr>
        <w:t xml:space="preserve"> de </w:t>
      </w:r>
      <w:r w:rsidRPr="00CA2760">
        <w:rPr>
          <w:rStyle w:val="ts-alignment-element"/>
          <w:rFonts w:ascii="Times New Roman" w:hAnsi="Times New Roman" w:cs="Times New Roman"/>
          <w:sz w:val="24"/>
          <w:szCs w:val="24"/>
          <w:lang w:val="pt-BR"/>
        </w:rPr>
        <w:t>financiamentos concedidos</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aos</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 xml:space="preserve">municípios </w:t>
      </w:r>
      <w:r w:rsidRPr="00CA2760">
        <w:rPr>
          <w:rFonts w:ascii="Times New Roman" w:hAnsi="Times New Roman" w:cs="Times New Roman"/>
          <w:sz w:val="24"/>
          <w:szCs w:val="24"/>
          <w:lang w:val="pt-BR"/>
        </w:rPr>
        <w:t>em 14,6%</w:t>
      </w:r>
      <w:r w:rsidRPr="00CA2760">
        <w:rPr>
          <w:rStyle w:val="ts-alignment-element"/>
          <w:rFonts w:ascii="Times New Roman" w:hAnsi="Times New Roman" w:cs="Times New Roman"/>
          <w:sz w:val="24"/>
          <w:szCs w:val="24"/>
          <w:lang w:val="pt-BR"/>
        </w:rPr>
        <w:t>,</w:t>
      </w:r>
      <w:r w:rsidRPr="00CA2760">
        <w:rPr>
          <w:rFonts w:ascii="Times New Roman" w:hAnsi="Times New Roman" w:cs="Times New Roman"/>
          <w:sz w:val="24"/>
          <w:szCs w:val="24"/>
          <w:lang w:val="pt-BR"/>
        </w:rPr>
        <w:t xml:space="preserve"> em termos reais, </w:t>
      </w:r>
      <w:r w:rsidRPr="00CA2760">
        <w:rPr>
          <w:rStyle w:val="ts-alignment-element"/>
          <w:rFonts w:ascii="Times New Roman" w:hAnsi="Times New Roman" w:cs="Times New Roman"/>
          <w:sz w:val="24"/>
          <w:szCs w:val="24"/>
          <w:lang w:val="pt-BR"/>
        </w:rPr>
        <w:t>no período entre</w:t>
      </w:r>
      <w:r w:rsidRPr="00CA2760">
        <w:rPr>
          <w:rFonts w:ascii="Times New Roman" w:hAnsi="Times New Roman" w:cs="Times New Roman"/>
          <w:sz w:val="24"/>
          <w:szCs w:val="24"/>
          <w:lang w:val="pt-BR"/>
        </w:rPr>
        <w:t xml:space="preserve"> </w:t>
      </w:r>
      <w:r w:rsidRPr="00CA2760">
        <w:rPr>
          <w:rStyle w:val="ts-alignment-element"/>
          <w:rFonts w:ascii="Times New Roman" w:hAnsi="Times New Roman" w:cs="Times New Roman"/>
          <w:sz w:val="24"/>
          <w:szCs w:val="24"/>
          <w:lang w:val="pt-BR"/>
        </w:rPr>
        <w:t>2013/2017</w:t>
      </w:r>
      <w:r w:rsidRPr="00CA2760">
        <w:rPr>
          <w:rFonts w:ascii="Times New Roman" w:hAnsi="Times New Roman" w:cs="Times New Roman"/>
          <w:sz w:val="24"/>
          <w:szCs w:val="24"/>
          <w:lang w:val="pt-BR"/>
        </w:rPr>
        <w:t>.</w:t>
      </w:r>
      <w:r w:rsidR="00E046AC">
        <w:rPr>
          <w:rFonts w:ascii="Times New Roman" w:hAnsi="Times New Roman" w:cs="Times New Roman"/>
          <w:sz w:val="24"/>
          <w:szCs w:val="24"/>
          <w:lang w:val="pt-BR"/>
        </w:rPr>
        <w:t xml:space="preserve">  </w:t>
      </w:r>
      <w:r w:rsidR="00163A51" w:rsidRPr="00543F02">
        <w:rPr>
          <w:rStyle w:val="ts-alignment-element"/>
          <w:rFonts w:ascii="Times New Roman" w:hAnsi="Times New Roman" w:cs="Times New Roman"/>
          <w:sz w:val="24"/>
          <w:szCs w:val="24"/>
          <w:lang w:val="pt-BR"/>
        </w:rPr>
        <w:t>Embora</w:t>
      </w:r>
      <w:r w:rsidR="00477CB7">
        <w:rPr>
          <w:rStyle w:val="ts-alignment-element"/>
          <w:rFonts w:ascii="Times New Roman" w:hAnsi="Times New Roman" w:cs="Times New Roman"/>
          <w:sz w:val="24"/>
          <w:szCs w:val="24"/>
          <w:lang w:val="pt-BR"/>
        </w:rPr>
        <w:t xml:space="preserve"> </w:t>
      </w:r>
      <w:r w:rsidR="00477CB7" w:rsidRPr="00E332E4">
        <w:rPr>
          <w:rStyle w:val="ts-alignment-element"/>
          <w:rFonts w:ascii="Times New Roman" w:hAnsi="Times New Roman" w:cs="Times New Roman"/>
          <w:sz w:val="24"/>
          <w:szCs w:val="24"/>
          <w:lang w:val="pt-BR"/>
        </w:rPr>
        <w:t xml:space="preserve">o </w:t>
      </w:r>
      <w:r w:rsidR="00477CB7">
        <w:rPr>
          <w:rStyle w:val="ts-alignment-element"/>
          <w:rFonts w:ascii="Times New Roman" w:hAnsi="Times New Roman" w:cs="Times New Roman"/>
          <w:sz w:val="24"/>
          <w:szCs w:val="24"/>
          <w:lang w:val="pt-BR"/>
        </w:rPr>
        <w:t>passivo</w:t>
      </w:r>
      <w:r w:rsidR="00477CB7" w:rsidRPr="00543F02">
        <w:rPr>
          <w:rStyle w:val="ts-alignment-element"/>
          <w:rFonts w:ascii="Times New Roman" w:hAnsi="Times New Roman" w:cs="Times New Roman"/>
          <w:sz w:val="24"/>
          <w:szCs w:val="24"/>
          <w:lang w:val="pt-BR"/>
        </w:rPr>
        <w:t xml:space="preserve"> circulante</w:t>
      </w:r>
      <w:r w:rsidR="00477CB7">
        <w:rPr>
          <w:rStyle w:val="ts-alignment-element"/>
          <w:rFonts w:ascii="Times New Roman" w:hAnsi="Times New Roman" w:cs="Times New Roman"/>
          <w:sz w:val="24"/>
          <w:szCs w:val="24"/>
          <w:lang w:val="pt-BR"/>
        </w:rPr>
        <w:t xml:space="preserve"> est</w:t>
      </w:r>
      <w:r w:rsidR="008B2EB5">
        <w:rPr>
          <w:rStyle w:val="ts-alignment-element"/>
          <w:rFonts w:ascii="Times New Roman" w:hAnsi="Times New Roman" w:cs="Times New Roman"/>
          <w:sz w:val="24"/>
          <w:szCs w:val="24"/>
          <w:lang w:val="pt-BR"/>
        </w:rPr>
        <w:t>eja</w:t>
      </w:r>
      <w:r w:rsidR="00477CB7" w:rsidRPr="00543F02">
        <w:rPr>
          <w:rStyle w:val="ts-alignment-element"/>
          <w:rFonts w:ascii="Times New Roman" w:hAnsi="Times New Roman" w:cs="Times New Roman"/>
          <w:sz w:val="24"/>
          <w:szCs w:val="24"/>
          <w:lang w:val="pt-BR"/>
        </w:rPr>
        <w:t xml:space="preserve"> </w:t>
      </w:r>
      <w:r w:rsidR="00163A51" w:rsidRPr="00543F02">
        <w:rPr>
          <w:rStyle w:val="ts-alignment-element"/>
          <w:rFonts w:ascii="Times New Roman" w:hAnsi="Times New Roman" w:cs="Times New Roman"/>
          <w:sz w:val="24"/>
          <w:szCs w:val="24"/>
          <w:lang w:val="pt-BR"/>
        </w:rPr>
        <w:t xml:space="preserve">ainda bastante baixo </w:t>
      </w:r>
      <w:r w:rsidR="00163A51">
        <w:rPr>
          <w:rStyle w:val="ts-alignment-element"/>
          <w:rFonts w:ascii="Times New Roman" w:hAnsi="Times New Roman" w:cs="Times New Roman"/>
          <w:sz w:val="24"/>
          <w:szCs w:val="24"/>
          <w:lang w:val="pt-BR"/>
        </w:rPr>
        <w:t>(apenas R$</w:t>
      </w:r>
      <w:r w:rsidR="00163A51" w:rsidRPr="00E332E4">
        <w:rPr>
          <w:rStyle w:val="ts-alignment-element"/>
          <w:rFonts w:ascii="Times New Roman" w:hAnsi="Times New Roman" w:cs="Times New Roman"/>
          <w:sz w:val="24"/>
          <w:szCs w:val="24"/>
          <w:lang w:val="pt-BR"/>
        </w:rPr>
        <w:t xml:space="preserve">99,6 milhões </w:t>
      </w:r>
      <w:r w:rsidR="00163A51">
        <w:rPr>
          <w:rStyle w:val="ts-alignment-element"/>
          <w:rFonts w:ascii="Times New Roman" w:hAnsi="Times New Roman" w:cs="Times New Roman"/>
          <w:sz w:val="24"/>
          <w:szCs w:val="24"/>
          <w:lang w:val="pt-BR"/>
        </w:rPr>
        <w:t>em 2017</w:t>
      </w:r>
      <w:r w:rsidR="00163A51" w:rsidRPr="00E332E4">
        <w:rPr>
          <w:rStyle w:val="ts-alignment-element"/>
          <w:rFonts w:ascii="Times New Roman" w:hAnsi="Times New Roman" w:cs="Times New Roman"/>
          <w:sz w:val="24"/>
          <w:szCs w:val="24"/>
          <w:lang w:val="pt-BR"/>
        </w:rPr>
        <w:t>)</w:t>
      </w:r>
      <w:r w:rsidR="00163A51">
        <w:rPr>
          <w:rStyle w:val="ts-alignment-element"/>
          <w:rFonts w:ascii="Times New Roman" w:hAnsi="Times New Roman" w:cs="Times New Roman"/>
          <w:sz w:val="24"/>
          <w:szCs w:val="24"/>
          <w:lang w:val="pt-BR"/>
        </w:rPr>
        <w:t>,</w:t>
      </w:r>
      <w:r w:rsidR="00163A51" w:rsidRPr="00E332E4">
        <w:rPr>
          <w:rStyle w:val="ts-alignment-element"/>
          <w:rFonts w:ascii="Times New Roman" w:hAnsi="Times New Roman" w:cs="Times New Roman"/>
          <w:sz w:val="24"/>
          <w:szCs w:val="24"/>
          <w:lang w:val="pt-BR"/>
        </w:rPr>
        <w:t xml:space="preserve"> </w:t>
      </w:r>
      <w:r w:rsidR="00477CB7" w:rsidRPr="008B2EB5">
        <w:rPr>
          <w:rStyle w:val="ts-alignment-element"/>
          <w:rFonts w:ascii="Times New Roman" w:hAnsi="Times New Roman" w:cs="Times New Roman"/>
          <w:sz w:val="24"/>
          <w:szCs w:val="24"/>
          <w:lang w:val="pt-BR"/>
        </w:rPr>
        <w:t>a sua taxa de crescimento foi relativamente rápid</w:t>
      </w:r>
      <w:r w:rsidR="00477CB7">
        <w:rPr>
          <w:rStyle w:val="ts-alignment-element"/>
          <w:rFonts w:ascii="Times New Roman" w:hAnsi="Times New Roman" w:cs="Times New Roman"/>
          <w:sz w:val="24"/>
          <w:szCs w:val="24"/>
          <w:lang w:val="pt-BR"/>
        </w:rPr>
        <w:t>a</w:t>
      </w:r>
      <w:r w:rsidR="00477CB7" w:rsidRPr="00543F02">
        <w:rPr>
          <w:rStyle w:val="ts-alignment-element"/>
          <w:rFonts w:ascii="Times New Roman" w:hAnsi="Times New Roman" w:cs="Times New Roman"/>
          <w:sz w:val="24"/>
          <w:szCs w:val="24"/>
          <w:lang w:val="pt-BR"/>
        </w:rPr>
        <w:t xml:space="preserve"> </w:t>
      </w:r>
      <w:r w:rsidR="00163A51" w:rsidRPr="00543F02">
        <w:rPr>
          <w:rStyle w:val="ts-alignment-element"/>
          <w:rFonts w:ascii="Times New Roman" w:hAnsi="Times New Roman" w:cs="Times New Roman"/>
          <w:sz w:val="24"/>
          <w:szCs w:val="24"/>
          <w:lang w:val="pt-BR"/>
        </w:rPr>
        <w:t xml:space="preserve">durante </w:t>
      </w:r>
      <w:r w:rsidR="008B2EB5">
        <w:rPr>
          <w:rStyle w:val="ts-alignment-element"/>
          <w:rFonts w:ascii="Times New Roman" w:hAnsi="Times New Roman" w:cs="Times New Roman"/>
          <w:sz w:val="24"/>
          <w:szCs w:val="24"/>
          <w:lang w:val="pt-BR"/>
        </w:rPr>
        <w:t>o</w:t>
      </w:r>
      <w:r w:rsidR="00163A51" w:rsidRPr="00543F02">
        <w:rPr>
          <w:rStyle w:val="ts-alignment-element"/>
          <w:rFonts w:ascii="Times New Roman" w:hAnsi="Times New Roman" w:cs="Times New Roman"/>
          <w:sz w:val="24"/>
          <w:szCs w:val="24"/>
          <w:lang w:val="pt-BR"/>
        </w:rPr>
        <w:t xml:space="preserve"> período, principalmente devido ao provisionamento.</w:t>
      </w:r>
    </w:p>
    <w:p w14:paraId="21348CBC" w14:textId="6623C568" w:rsidR="00C46123" w:rsidRPr="00CA2760" w:rsidRDefault="00C46123" w:rsidP="00C46123">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Como mencionado </w:t>
      </w:r>
      <w:r w:rsidR="0005602F" w:rsidRPr="00CA2760">
        <w:rPr>
          <w:rFonts w:ascii="Times New Roman" w:hAnsi="Times New Roman" w:cs="Times New Roman"/>
          <w:sz w:val="24"/>
          <w:szCs w:val="24"/>
          <w:lang w:val="pt-BR"/>
        </w:rPr>
        <w:t>anteriormente</w:t>
      </w:r>
      <w:r w:rsidRPr="00CA2760">
        <w:rPr>
          <w:rFonts w:ascii="Times New Roman" w:hAnsi="Times New Roman" w:cs="Times New Roman"/>
          <w:sz w:val="24"/>
          <w:szCs w:val="24"/>
          <w:lang w:val="pt-BR"/>
        </w:rPr>
        <w:t xml:space="preserve">, a Lei de </w:t>
      </w:r>
      <w:r w:rsidR="0005602F" w:rsidRPr="00CA2760">
        <w:rPr>
          <w:rFonts w:ascii="Times New Roman" w:hAnsi="Times New Roman" w:cs="Times New Roman"/>
          <w:sz w:val="24"/>
          <w:szCs w:val="24"/>
          <w:lang w:val="pt-BR"/>
        </w:rPr>
        <w:t>Responsabilidade</w:t>
      </w:r>
      <w:r w:rsidRPr="00CA2760">
        <w:rPr>
          <w:rFonts w:ascii="Times New Roman" w:hAnsi="Times New Roman" w:cs="Times New Roman"/>
          <w:sz w:val="24"/>
          <w:szCs w:val="24"/>
          <w:lang w:val="pt-BR"/>
        </w:rPr>
        <w:t xml:space="preserve"> Fiscal e os novos regulamentos do </w:t>
      </w:r>
      <w:r w:rsidR="008D1BC4">
        <w:rPr>
          <w:rFonts w:ascii="Times New Roman" w:hAnsi="Times New Roman" w:cs="Times New Roman"/>
          <w:sz w:val="24"/>
          <w:szCs w:val="24"/>
          <w:lang w:val="pt-BR"/>
        </w:rPr>
        <w:t>SFN</w:t>
      </w:r>
      <w:r w:rsidRPr="00CA2760">
        <w:rPr>
          <w:rFonts w:ascii="Times New Roman" w:hAnsi="Times New Roman" w:cs="Times New Roman"/>
          <w:sz w:val="24"/>
          <w:szCs w:val="24"/>
          <w:lang w:val="pt-BR"/>
        </w:rPr>
        <w:t xml:space="preserve"> limitaram extremamente a habilidade do FDU em </w:t>
      </w:r>
      <w:r w:rsidR="00125E59">
        <w:rPr>
          <w:rFonts w:ascii="Times New Roman" w:hAnsi="Times New Roman" w:cs="Times New Roman"/>
          <w:sz w:val="24"/>
          <w:szCs w:val="24"/>
          <w:lang w:val="pt-BR"/>
        </w:rPr>
        <w:t>a</w:t>
      </w:r>
      <w:r w:rsidRPr="00CA2760">
        <w:rPr>
          <w:rFonts w:ascii="Times New Roman" w:hAnsi="Times New Roman" w:cs="Times New Roman"/>
          <w:sz w:val="24"/>
          <w:szCs w:val="24"/>
          <w:lang w:val="pt-BR"/>
        </w:rPr>
        <w:t>l</w:t>
      </w:r>
      <w:r w:rsidR="00125E59">
        <w:rPr>
          <w:rFonts w:ascii="Times New Roman" w:hAnsi="Times New Roman" w:cs="Times New Roman"/>
          <w:sz w:val="24"/>
          <w:szCs w:val="24"/>
          <w:lang w:val="pt-BR"/>
        </w:rPr>
        <w:t>a</w:t>
      </w:r>
      <w:r w:rsidRPr="00CA2760">
        <w:rPr>
          <w:rFonts w:ascii="Times New Roman" w:hAnsi="Times New Roman" w:cs="Times New Roman"/>
          <w:sz w:val="24"/>
          <w:szCs w:val="24"/>
          <w:lang w:val="pt-BR"/>
        </w:rPr>
        <w:t xml:space="preserve">vancar seu </w:t>
      </w:r>
      <w:r w:rsidR="008D1BC4">
        <w:rPr>
          <w:rFonts w:ascii="Times New Roman" w:hAnsi="Times New Roman" w:cs="Times New Roman"/>
          <w:sz w:val="24"/>
          <w:szCs w:val="24"/>
          <w:lang w:val="pt-BR"/>
        </w:rPr>
        <w:t>PL</w:t>
      </w:r>
      <w:r w:rsidRPr="00CA2760">
        <w:rPr>
          <w:rFonts w:ascii="Times New Roman" w:hAnsi="Times New Roman" w:cs="Times New Roman"/>
          <w:sz w:val="24"/>
          <w:szCs w:val="24"/>
          <w:lang w:val="pt-BR"/>
        </w:rPr>
        <w:t>. Como resultado, a razão entre o total de ativos do FDU/</w:t>
      </w:r>
      <w:r w:rsidR="00F94774">
        <w:rPr>
          <w:rFonts w:ascii="Times New Roman" w:hAnsi="Times New Roman" w:cs="Times New Roman"/>
          <w:sz w:val="24"/>
          <w:szCs w:val="24"/>
          <w:lang w:val="pt-BR"/>
        </w:rPr>
        <w:t>PL</w:t>
      </w:r>
      <w:r w:rsidRPr="00CA2760">
        <w:rPr>
          <w:rFonts w:ascii="Times New Roman" w:hAnsi="Times New Roman" w:cs="Times New Roman"/>
          <w:sz w:val="24"/>
          <w:szCs w:val="24"/>
          <w:lang w:val="pt-BR"/>
        </w:rPr>
        <w:t xml:space="preserve"> foi de pouco mais de 1,0 versus uma mediana de cerca de 6,0 para os bancos brasileiros. </w:t>
      </w:r>
    </w:p>
    <w:p w14:paraId="7807D34C" w14:textId="540ACCE2" w:rsidR="00C46123" w:rsidRPr="00CA2760" w:rsidRDefault="00C46123" w:rsidP="00C46123">
      <w:pPr>
        <w:shd w:val="clear" w:color="auto" w:fill="FFFFFF"/>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Os regulamentos exigem que o FDU forneça uma carteira de reserva de ativos de baixo risco (por exemplo, títulos do governo nacional) para todos os seus empréstimos municipais, independentemente da sua qualidade de crédito. Assim sendo, com a venda de seus ativos de baixo risco, o FDU poderia cobrir totalmente cerca de 70% </w:t>
      </w:r>
      <w:r w:rsidR="0084383C" w:rsidRPr="00CA2760">
        <w:rPr>
          <w:rFonts w:ascii="Times New Roman" w:hAnsi="Times New Roman" w:cs="Times New Roman"/>
          <w:sz w:val="24"/>
          <w:szCs w:val="24"/>
          <w:lang w:val="pt-BR"/>
        </w:rPr>
        <w:t>d</w:t>
      </w:r>
      <w:r w:rsidR="00D43DE3">
        <w:rPr>
          <w:rFonts w:ascii="Times New Roman" w:hAnsi="Times New Roman" w:cs="Times New Roman"/>
          <w:sz w:val="24"/>
          <w:szCs w:val="24"/>
          <w:lang w:val="pt-BR"/>
        </w:rPr>
        <w:t xml:space="preserve">o valor </w:t>
      </w:r>
      <w:r w:rsidRPr="00CA2760">
        <w:rPr>
          <w:rFonts w:ascii="Times New Roman" w:hAnsi="Times New Roman" w:cs="Times New Roman"/>
          <w:sz w:val="24"/>
          <w:szCs w:val="24"/>
          <w:lang w:val="pt-BR"/>
        </w:rPr>
        <w:t xml:space="preserve">total em seus empréstimos municipais. </w:t>
      </w:r>
    </w:p>
    <w:p w14:paraId="5F4203FE" w14:textId="7D2F56A0" w:rsidR="00C46123" w:rsidRPr="00CA2760" w:rsidRDefault="00C46123" w:rsidP="00C46123">
      <w:pPr>
        <w:shd w:val="clear" w:color="auto" w:fill="FFFFFF"/>
        <w:spacing w:line="360" w:lineRule="auto"/>
        <w:rPr>
          <w:rStyle w:val="ts-alignment-element"/>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Esta reserva é exigida mesmo que o risco de crédito de empréstimos municipais seja virtualmente zero, já que o SFM tem um mecanismo de garantia muito forte no qual os municípios comprometem suas transferências </w:t>
      </w:r>
      <w:r w:rsidRPr="008B2EB5">
        <w:rPr>
          <w:rFonts w:ascii="Times New Roman" w:hAnsi="Times New Roman" w:cs="Times New Roman"/>
          <w:sz w:val="24"/>
          <w:szCs w:val="24"/>
          <w:lang w:val="pt-BR"/>
        </w:rPr>
        <w:t xml:space="preserve">estaduais com base no imposto sobre o valor agregado ou no Fundo de Participação dos </w:t>
      </w:r>
      <w:r w:rsidRPr="008B2EB5">
        <w:rPr>
          <w:rStyle w:val="ts-alignment-element"/>
          <w:rFonts w:ascii="Times New Roman" w:hAnsi="Times New Roman" w:cs="Times New Roman"/>
          <w:sz w:val="24"/>
          <w:szCs w:val="24"/>
          <w:lang w:val="pt-BR"/>
        </w:rPr>
        <w:t>Municípios</w:t>
      </w:r>
      <w:r w:rsidRPr="008B2EB5">
        <w:rPr>
          <w:rFonts w:ascii="Times New Roman" w:hAnsi="Times New Roman" w:cs="Times New Roman"/>
          <w:sz w:val="24"/>
          <w:szCs w:val="24"/>
          <w:lang w:val="pt-BR"/>
        </w:rPr>
        <w:t xml:space="preserve">.  Ou seja, </w:t>
      </w:r>
      <w:r w:rsidR="00974D39" w:rsidRPr="008B2EB5">
        <w:rPr>
          <w:rFonts w:ascii="Times New Roman" w:hAnsi="Times New Roman" w:cs="Times New Roman"/>
          <w:sz w:val="24"/>
          <w:szCs w:val="24"/>
          <w:lang w:val="pt-BR"/>
        </w:rPr>
        <w:t>n</w:t>
      </w:r>
      <w:r w:rsidRPr="008B2EB5">
        <w:rPr>
          <w:rFonts w:ascii="Times New Roman" w:hAnsi="Times New Roman" w:cs="Times New Roman"/>
          <w:sz w:val="24"/>
          <w:szCs w:val="24"/>
          <w:lang w:val="pt-BR"/>
        </w:rPr>
        <w:t xml:space="preserve">os contratos de empréstimo os municípios cedem </w:t>
      </w:r>
      <w:r w:rsidRPr="008B2EB5">
        <w:rPr>
          <w:rStyle w:val="ts-alignment-element"/>
          <w:rFonts w:ascii="Times New Roman" w:hAnsi="Times New Roman" w:cs="Times New Roman"/>
          <w:sz w:val="24"/>
          <w:szCs w:val="24"/>
          <w:lang w:val="pt-BR"/>
        </w:rPr>
        <w:t>o direito de deduzir o valor d</w:t>
      </w:r>
      <w:r w:rsidR="008B2EB5" w:rsidRPr="008B2EB5">
        <w:rPr>
          <w:rStyle w:val="ts-alignment-element"/>
          <w:rFonts w:ascii="Times New Roman" w:hAnsi="Times New Roman" w:cs="Times New Roman"/>
          <w:sz w:val="24"/>
          <w:szCs w:val="24"/>
          <w:lang w:val="pt-BR"/>
        </w:rPr>
        <w:t>e</w:t>
      </w:r>
      <w:r w:rsidRPr="008B2EB5">
        <w:rPr>
          <w:rStyle w:val="ts-alignment-element"/>
          <w:rFonts w:ascii="Times New Roman" w:hAnsi="Times New Roman" w:cs="Times New Roman"/>
          <w:sz w:val="24"/>
          <w:szCs w:val="24"/>
          <w:lang w:val="pt-BR"/>
        </w:rPr>
        <w:t xml:space="preserve"> pagamento do empréstimo da</w:t>
      </w:r>
      <w:r w:rsidR="008B2EB5" w:rsidRPr="008B2EB5">
        <w:rPr>
          <w:rStyle w:val="ts-alignment-element"/>
          <w:rFonts w:ascii="Times New Roman" w:hAnsi="Times New Roman" w:cs="Times New Roman"/>
          <w:sz w:val="24"/>
          <w:szCs w:val="24"/>
          <w:lang w:val="pt-BR"/>
        </w:rPr>
        <w:t>s</w:t>
      </w:r>
      <w:r w:rsidRPr="008B2EB5">
        <w:rPr>
          <w:rStyle w:val="ts-alignment-element"/>
          <w:rFonts w:ascii="Times New Roman" w:hAnsi="Times New Roman" w:cs="Times New Roman"/>
          <w:sz w:val="24"/>
          <w:szCs w:val="24"/>
          <w:lang w:val="pt-BR"/>
        </w:rPr>
        <w:t xml:space="preserve"> transferência</w:t>
      </w:r>
      <w:r w:rsidR="008B2EB5" w:rsidRPr="008B2EB5">
        <w:rPr>
          <w:rStyle w:val="ts-alignment-element"/>
          <w:rFonts w:ascii="Times New Roman" w:hAnsi="Times New Roman" w:cs="Times New Roman"/>
          <w:sz w:val="24"/>
          <w:szCs w:val="24"/>
          <w:lang w:val="pt-BR"/>
        </w:rPr>
        <w:t>s</w:t>
      </w:r>
      <w:r w:rsidRPr="008B2EB5">
        <w:rPr>
          <w:rStyle w:val="ts-alignment-element"/>
          <w:rFonts w:ascii="Times New Roman" w:hAnsi="Times New Roman" w:cs="Times New Roman"/>
          <w:sz w:val="24"/>
          <w:szCs w:val="24"/>
          <w:lang w:val="pt-BR"/>
        </w:rPr>
        <w:t xml:space="preserve"> estadua</w:t>
      </w:r>
      <w:r w:rsidR="008B2EB5" w:rsidRPr="008B2EB5">
        <w:rPr>
          <w:rStyle w:val="ts-alignment-element"/>
          <w:rFonts w:ascii="Times New Roman" w:hAnsi="Times New Roman" w:cs="Times New Roman"/>
          <w:sz w:val="24"/>
          <w:szCs w:val="24"/>
          <w:lang w:val="pt-BR"/>
        </w:rPr>
        <w:t>is</w:t>
      </w:r>
      <w:r w:rsidRPr="008B2EB5">
        <w:rPr>
          <w:rStyle w:val="ts-alignment-element"/>
          <w:rFonts w:ascii="Times New Roman" w:hAnsi="Times New Roman" w:cs="Times New Roman"/>
          <w:sz w:val="24"/>
          <w:szCs w:val="24"/>
          <w:lang w:val="pt-BR"/>
        </w:rPr>
        <w:t xml:space="preserve"> para os municípios antes de envi</w:t>
      </w:r>
      <w:r w:rsidR="008B2EB5" w:rsidRPr="008B2EB5">
        <w:rPr>
          <w:rStyle w:val="ts-alignment-element"/>
          <w:rFonts w:ascii="Times New Roman" w:hAnsi="Times New Roman" w:cs="Times New Roman"/>
          <w:sz w:val="24"/>
          <w:szCs w:val="24"/>
          <w:lang w:val="pt-BR"/>
        </w:rPr>
        <w:t>á-las.</w:t>
      </w:r>
      <w:r w:rsidRPr="00CA2760">
        <w:rPr>
          <w:rStyle w:val="ts-alignment-element"/>
          <w:rFonts w:ascii="Times New Roman" w:hAnsi="Times New Roman" w:cs="Times New Roman"/>
          <w:sz w:val="24"/>
          <w:szCs w:val="24"/>
          <w:lang w:val="pt-BR"/>
        </w:rPr>
        <w:t xml:space="preserve"> </w:t>
      </w:r>
    </w:p>
    <w:p w14:paraId="02A00B02" w14:textId="01C31F4C" w:rsidR="00C46123" w:rsidRPr="00CA2760" w:rsidRDefault="00C46123" w:rsidP="00C46123">
      <w:pPr>
        <w:shd w:val="clear" w:color="auto" w:fill="FFFFFF"/>
        <w:spacing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t xml:space="preserve">Além disso, </w:t>
      </w:r>
      <w:r w:rsidR="00B76D60">
        <w:rPr>
          <w:rFonts w:ascii="Times New Roman" w:eastAsia="Times New Roman" w:hAnsi="Times New Roman" w:cs="Times New Roman"/>
          <w:sz w:val="24"/>
          <w:szCs w:val="24"/>
          <w:lang w:val="pt-BR" w:eastAsia="pt-BR"/>
        </w:rPr>
        <w:t>a</w:t>
      </w:r>
      <w:r w:rsidRPr="00CA2760">
        <w:rPr>
          <w:rFonts w:ascii="Times New Roman" w:eastAsia="Times New Roman" w:hAnsi="Times New Roman" w:cs="Times New Roman"/>
          <w:sz w:val="24"/>
          <w:szCs w:val="24"/>
          <w:lang w:val="pt-BR" w:eastAsia="pt-BR"/>
        </w:rPr>
        <w:t xml:space="preserve"> </w:t>
      </w:r>
      <w:r w:rsidR="00B76D60">
        <w:rPr>
          <w:rFonts w:ascii="Times New Roman" w:eastAsia="Times New Roman" w:hAnsi="Times New Roman" w:cs="Times New Roman"/>
          <w:sz w:val="24"/>
          <w:szCs w:val="24"/>
          <w:lang w:val="pt-BR" w:eastAsia="pt-BR"/>
        </w:rPr>
        <w:t>STN</w:t>
      </w:r>
      <w:r w:rsidRPr="00CA2760">
        <w:rPr>
          <w:rFonts w:ascii="Times New Roman" w:eastAsia="Times New Roman" w:hAnsi="Times New Roman" w:cs="Times New Roman"/>
          <w:sz w:val="24"/>
          <w:szCs w:val="24"/>
          <w:lang w:val="pt-BR" w:eastAsia="pt-BR"/>
        </w:rPr>
        <w:t xml:space="preserve"> faz uma revisão muito detalhada e rigorosa de cada novo pedido de empréstimo municipal. Como medida adicional, os regulamentos do Banco Central requerem que a Fomento Paraná faça uma provisão para os empréstimos municipais que, a qualquer momento durante o período do empréstimo, fiquem abaixo das classificações de crédito </w:t>
      </w:r>
      <w:r w:rsidRPr="00CA2760">
        <w:rPr>
          <w:rFonts w:ascii="Times New Roman" w:eastAsia="Times New Roman" w:hAnsi="Times New Roman" w:cs="Times New Roman"/>
          <w:sz w:val="24"/>
          <w:szCs w:val="24"/>
          <w:lang w:val="pt-BR" w:eastAsia="pt-BR"/>
        </w:rPr>
        <w:lastRenderedPageBreak/>
        <w:t xml:space="preserve">estabelecidas. Não obstante, como se esperaria dada a baixa taxa de inadimplência, o provisionamento para empréstimos do FDU é bastante baixo, menos de 1,0% do total financiamentos concedidos aos municípios. Entretanto, esta disposição reduz o rendimento tributável. </w:t>
      </w:r>
    </w:p>
    <w:p w14:paraId="50D2F623" w14:textId="77777777" w:rsidR="00C46123" w:rsidRPr="00CA2760" w:rsidRDefault="00C46123" w:rsidP="00C46123">
      <w:pPr>
        <w:shd w:val="clear" w:color="auto" w:fill="FFFFFF"/>
        <w:spacing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t>Em resumo, se o FDU fosse um banco, seria entre os mais conservadores imagináveis. Atribui-se que todos esses controles foram criados para evitar o ressurgimento dos bancos estaduais e os enormes resgates necessários para fechá-los na década de 1990.</w:t>
      </w:r>
    </w:p>
    <w:p w14:paraId="48396F37" w14:textId="154F4542" w:rsidR="00C46123" w:rsidRPr="00CA2760" w:rsidRDefault="005A0FF8" w:rsidP="00C46123">
      <w:pPr>
        <w:shd w:val="clear" w:color="auto" w:fill="FFFFFF"/>
        <w:spacing w:after="0" w:line="360" w:lineRule="auto"/>
        <w:rPr>
          <w:rFonts w:ascii="Times New Roman" w:eastAsia="Times New Roman" w:hAnsi="Times New Roman" w:cs="Times New Roman"/>
          <w:b/>
          <w:sz w:val="24"/>
          <w:szCs w:val="24"/>
          <w:lang w:val="pt-BR" w:eastAsia="pt-BR"/>
        </w:rPr>
      </w:pPr>
      <w:r>
        <w:rPr>
          <w:rFonts w:ascii="Times New Roman" w:eastAsia="Times New Roman" w:hAnsi="Times New Roman" w:cs="Times New Roman"/>
          <w:b/>
          <w:sz w:val="24"/>
          <w:szCs w:val="24"/>
          <w:lang w:val="pt-BR" w:eastAsia="pt-BR"/>
        </w:rPr>
        <w:t>Os r</w:t>
      </w:r>
      <w:r w:rsidR="00C46123" w:rsidRPr="00CA2760">
        <w:rPr>
          <w:rFonts w:ascii="Times New Roman" w:eastAsia="Times New Roman" w:hAnsi="Times New Roman" w:cs="Times New Roman"/>
          <w:b/>
          <w:sz w:val="24"/>
          <w:szCs w:val="24"/>
          <w:lang w:val="pt-BR" w:eastAsia="pt-BR"/>
        </w:rPr>
        <w:t>esultados do FDU: 2013/ 2017</w:t>
      </w:r>
    </w:p>
    <w:p w14:paraId="5E6C5AEF" w14:textId="66AB0844" w:rsidR="00C46123" w:rsidRPr="00CA2760" w:rsidRDefault="00C46123" w:rsidP="00D43DE3">
      <w:pPr>
        <w:shd w:val="clear" w:color="auto" w:fill="FFFFFF"/>
        <w:spacing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t xml:space="preserve">A tabela </w:t>
      </w:r>
      <w:r w:rsidR="00716232">
        <w:rPr>
          <w:rFonts w:ascii="Times New Roman" w:eastAsia="Times New Roman" w:hAnsi="Times New Roman" w:cs="Times New Roman"/>
          <w:sz w:val="24"/>
          <w:szCs w:val="24"/>
          <w:lang w:val="pt-BR" w:eastAsia="pt-BR"/>
        </w:rPr>
        <w:t>4</w:t>
      </w:r>
      <w:r w:rsidR="00716232" w:rsidRPr="00CA2760">
        <w:rPr>
          <w:rFonts w:ascii="Times New Roman" w:eastAsia="Times New Roman" w:hAnsi="Times New Roman" w:cs="Times New Roman"/>
          <w:sz w:val="24"/>
          <w:szCs w:val="24"/>
          <w:lang w:val="pt-BR" w:eastAsia="pt-BR"/>
        </w:rPr>
        <w:t xml:space="preserve"> </w:t>
      </w:r>
      <w:r w:rsidRPr="00CA2760">
        <w:rPr>
          <w:rFonts w:ascii="Times New Roman" w:eastAsia="Times New Roman" w:hAnsi="Times New Roman" w:cs="Times New Roman"/>
          <w:sz w:val="24"/>
          <w:szCs w:val="24"/>
          <w:lang w:val="pt-BR" w:eastAsia="pt-BR"/>
        </w:rPr>
        <w:t>mostra os resultados do FDU para o período de 2013/2017 no qual as receitas dos empréstimos municipais aumentaram em R$10,1 milhões (12,</w:t>
      </w:r>
      <w:r w:rsidR="00B46CC2">
        <w:rPr>
          <w:rFonts w:ascii="Times New Roman" w:eastAsia="Times New Roman" w:hAnsi="Times New Roman" w:cs="Times New Roman"/>
          <w:sz w:val="24"/>
          <w:szCs w:val="24"/>
          <w:lang w:val="pt-BR" w:eastAsia="pt-BR"/>
        </w:rPr>
        <w:t>1</w:t>
      </w:r>
      <w:r w:rsidRPr="00CA2760">
        <w:rPr>
          <w:rFonts w:ascii="Times New Roman" w:eastAsia="Times New Roman" w:hAnsi="Times New Roman" w:cs="Times New Roman"/>
          <w:sz w:val="24"/>
          <w:szCs w:val="24"/>
          <w:lang w:val="pt-BR" w:eastAsia="pt-BR"/>
        </w:rPr>
        <w:t xml:space="preserve">%) em valores constantes de 2017, enquanto que aqueles de </w:t>
      </w:r>
      <w:r w:rsidR="0084383C" w:rsidRPr="00CA2760">
        <w:rPr>
          <w:rFonts w:ascii="Times New Roman" w:eastAsia="Times New Roman" w:hAnsi="Times New Roman" w:cs="Times New Roman"/>
          <w:sz w:val="24"/>
          <w:szCs w:val="24"/>
          <w:lang w:val="pt-BR" w:eastAsia="pt-BR"/>
        </w:rPr>
        <w:t>aplicações</w:t>
      </w:r>
      <w:r w:rsidRPr="00CA2760">
        <w:rPr>
          <w:rFonts w:ascii="Times New Roman" w:eastAsia="Times New Roman" w:hAnsi="Times New Roman" w:cs="Times New Roman"/>
          <w:sz w:val="24"/>
          <w:szCs w:val="24"/>
          <w:lang w:val="pt-BR" w:eastAsia="pt-BR"/>
        </w:rPr>
        <w:t xml:space="preserve"> financeiras diminuíram ligeiramente devido à queda das taxas de juros</w:t>
      </w:r>
      <w:r w:rsidR="001C27FB">
        <w:rPr>
          <w:rFonts w:ascii="Times New Roman" w:eastAsia="Times New Roman" w:hAnsi="Times New Roman" w:cs="Times New Roman"/>
          <w:sz w:val="24"/>
          <w:szCs w:val="24"/>
          <w:lang w:val="pt-BR" w:eastAsia="pt-BR"/>
        </w:rPr>
        <w:t xml:space="preserve"> no mercado</w:t>
      </w:r>
      <w:r w:rsidRPr="00CA2760">
        <w:rPr>
          <w:rFonts w:ascii="Times New Roman" w:eastAsia="Times New Roman" w:hAnsi="Times New Roman" w:cs="Times New Roman"/>
          <w:sz w:val="24"/>
          <w:szCs w:val="24"/>
          <w:lang w:val="pt-BR" w:eastAsia="pt-BR"/>
        </w:rPr>
        <w:t>.</w:t>
      </w:r>
      <w:r w:rsidR="001C27FB">
        <w:rPr>
          <w:rFonts w:ascii="Times New Roman" w:eastAsia="Times New Roman" w:hAnsi="Times New Roman" w:cs="Times New Roman"/>
          <w:sz w:val="24"/>
          <w:szCs w:val="24"/>
          <w:lang w:val="pt-BR" w:eastAsia="pt-BR"/>
        </w:rPr>
        <w:t xml:space="preserve">  </w:t>
      </w:r>
      <w:r w:rsidR="001C27FB" w:rsidRPr="001C27FB">
        <w:rPr>
          <w:rFonts w:ascii="Times New Roman" w:eastAsia="Times New Roman" w:hAnsi="Times New Roman" w:cs="Times New Roman"/>
          <w:sz w:val="24"/>
          <w:szCs w:val="24"/>
          <w:lang w:val="pt-BR" w:eastAsia="pt-BR"/>
        </w:rPr>
        <w:t>Em 2017, a receita total do FDU foi de R</w:t>
      </w:r>
      <w:r w:rsidR="008C5690">
        <w:rPr>
          <w:rFonts w:ascii="Times New Roman" w:eastAsia="Times New Roman" w:hAnsi="Times New Roman" w:cs="Times New Roman"/>
          <w:sz w:val="24"/>
          <w:szCs w:val="24"/>
          <w:lang w:val="pt-BR" w:eastAsia="pt-BR"/>
        </w:rPr>
        <w:t>$</w:t>
      </w:r>
      <w:r w:rsidR="001C27FB" w:rsidRPr="001C27FB">
        <w:rPr>
          <w:rFonts w:ascii="Times New Roman" w:eastAsia="Times New Roman" w:hAnsi="Times New Roman" w:cs="Times New Roman"/>
          <w:sz w:val="24"/>
          <w:szCs w:val="24"/>
          <w:lang w:val="pt-BR" w:eastAsia="pt-BR"/>
        </w:rPr>
        <w:t>143,9 milhões</w:t>
      </w:r>
      <w:r w:rsidR="001C27FB">
        <w:rPr>
          <w:rFonts w:ascii="Times New Roman" w:eastAsia="Times New Roman" w:hAnsi="Times New Roman" w:cs="Times New Roman"/>
          <w:sz w:val="24"/>
          <w:szCs w:val="24"/>
          <w:lang w:val="pt-BR" w:eastAsia="pt-BR"/>
        </w:rPr>
        <w:t>.</w:t>
      </w:r>
    </w:p>
    <w:p w14:paraId="55FB283D" w14:textId="35945345" w:rsidR="00D35056" w:rsidRPr="00CA2760" w:rsidRDefault="00DF1ECA" w:rsidP="00D35056">
      <w:pPr>
        <w:shd w:val="clear" w:color="auto" w:fill="FFFFFF"/>
        <w:spacing w:line="360" w:lineRule="auto"/>
        <w:rPr>
          <w:rFonts w:ascii="Times New Roman" w:eastAsia="Times New Roman" w:hAnsi="Times New Roman" w:cs="Times New Roman"/>
          <w:sz w:val="24"/>
          <w:szCs w:val="24"/>
          <w:lang w:val="pt-BR" w:eastAsia="pt-BR"/>
        </w:rPr>
      </w:pPr>
      <w:bookmarkStart w:id="14" w:name="_Hlk512756433"/>
      <w:r>
        <w:rPr>
          <w:rFonts w:ascii="Times New Roman" w:eastAsia="Times New Roman" w:hAnsi="Times New Roman" w:cs="Times New Roman"/>
          <w:sz w:val="24"/>
          <w:szCs w:val="24"/>
          <w:lang w:val="pt-BR" w:eastAsia="pt-BR"/>
        </w:rPr>
        <w:t xml:space="preserve">A taxa real de aumento do </w:t>
      </w:r>
      <w:r w:rsidR="00C46123" w:rsidRPr="00CA2760">
        <w:rPr>
          <w:rFonts w:ascii="Times New Roman" w:eastAsia="Times New Roman" w:hAnsi="Times New Roman" w:cs="Times New Roman"/>
          <w:sz w:val="24"/>
          <w:szCs w:val="24"/>
          <w:lang w:val="pt-BR" w:eastAsia="pt-BR"/>
        </w:rPr>
        <w:t>total de despesas</w:t>
      </w:r>
      <w:r w:rsidR="00163A51">
        <w:rPr>
          <w:rFonts w:ascii="Times New Roman" w:eastAsia="Times New Roman" w:hAnsi="Times New Roman" w:cs="Times New Roman"/>
          <w:sz w:val="24"/>
          <w:szCs w:val="24"/>
          <w:lang w:val="pt-BR" w:eastAsia="pt-BR"/>
        </w:rPr>
        <w:t xml:space="preserve"> operacionais</w:t>
      </w:r>
      <w:r w:rsidR="00C46123" w:rsidRPr="00CA2760">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foi de</w:t>
      </w:r>
      <w:r w:rsidR="00C46123" w:rsidRPr="00CA2760">
        <w:rPr>
          <w:rFonts w:ascii="Times New Roman" w:eastAsia="Times New Roman" w:hAnsi="Times New Roman" w:cs="Times New Roman"/>
          <w:sz w:val="24"/>
          <w:szCs w:val="24"/>
          <w:lang w:val="pt-BR" w:eastAsia="pt-BR"/>
        </w:rPr>
        <w:t xml:space="preserve"> 12,1% </w:t>
      </w:r>
      <w:r>
        <w:rPr>
          <w:rFonts w:ascii="Times New Roman" w:eastAsia="Times New Roman" w:hAnsi="Times New Roman" w:cs="Times New Roman"/>
          <w:sz w:val="24"/>
          <w:szCs w:val="24"/>
          <w:lang w:val="pt-BR" w:eastAsia="pt-BR"/>
        </w:rPr>
        <w:t xml:space="preserve">durante este </w:t>
      </w:r>
      <w:r w:rsidR="00E45132">
        <w:rPr>
          <w:rFonts w:ascii="Times New Roman" w:eastAsia="Times New Roman" w:hAnsi="Times New Roman" w:cs="Times New Roman"/>
          <w:sz w:val="24"/>
          <w:szCs w:val="24"/>
          <w:lang w:val="pt-BR" w:eastAsia="pt-BR"/>
        </w:rPr>
        <w:t xml:space="preserve">período (uma taxa real anual de </w:t>
      </w:r>
      <w:r w:rsidR="00E45132" w:rsidRPr="00D43DE3">
        <w:rPr>
          <w:rFonts w:ascii="Times New Roman" w:eastAsia="Times New Roman" w:hAnsi="Times New Roman" w:cs="Times New Roman"/>
          <w:sz w:val="24"/>
          <w:szCs w:val="24"/>
          <w:lang w:val="pt-BR" w:eastAsia="pt-BR"/>
        </w:rPr>
        <w:t>2,9%)</w:t>
      </w:r>
      <w:r>
        <w:rPr>
          <w:rFonts w:ascii="Times New Roman" w:eastAsia="Times New Roman" w:hAnsi="Times New Roman" w:cs="Times New Roman"/>
          <w:sz w:val="24"/>
          <w:szCs w:val="24"/>
          <w:lang w:val="pt-BR" w:eastAsia="pt-BR"/>
        </w:rPr>
        <w:t xml:space="preserve">. </w:t>
      </w:r>
      <w:r w:rsidR="001C27FB">
        <w:rPr>
          <w:rFonts w:ascii="Times New Roman" w:eastAsia="Times New Roman" w:hAnsi="Times New Roman" w:cs="Times New Roman"/>
          <w:sz w:val="24"/>
          <w:szCs w:val="24"/>
          <w:lang w:val="pt-BR" w:eastAsia="pt-BR"/>
        </w:rPr>
        <w:t xml:space="preserve"> </w:t>
      </w:r>
      <w:r w:rsidR="00D35056">
        <w:rPr>
          <w:rFonts w:ascii="Times New Roman" w:eastAsia="Times New Roman" w:hAnsi="Times New Roman" w:cs="Times New Roman"/>
          <w:sz w:val="24"/>
          <w:szCs w:val="24"/>
          <w:lang w:val="pt-BR" w:eastAsia="pt-BR"/>
        </w:rPr>
        <w:t>Para cobrir seus custos, o</w:t>
      </w:r>
      <w:r w:rsidR="001C27FB">
        <w:rPr>
          <w:rFonts w:ascii="Times New Roman" w:eastAsia="Times New Roman" w:hAnsi="Times New Roman" w:cs="Times New Roman"/>
          <w:sz w:val="24"/>
          <w:szCs w:val="24"/>
          <w:lang w:val="pt-BR" w:eastAsia="pt-BR"/>
        </w:rPr>
        <w:t xml:space="preserve"> </w:t>
      </w:r>
      <w:r w:rsidR="001C27FB" w:rsidRPr="00D35056">
        <w:rPr>
          <w:rFonts w:ascii="Times New Roman" w:eastAsia="Times New Roman" w:hAnsi="Times New Roman" w:cs="Times New Roman"/>
          <w:sz w:val="24"/>
          <w:szCs w:val="24"/>
          <w:lang w:val="pt-BR" w:eastAsia="pt-BR"/>
        </w:rPr>
        <w:t>Paranacidade recebe</w:t>
      </w:r>
      <w:r w:rsidR="00D35056" w:rsidRPr="00D35056">
        <w:rPr>
          <w:rFonts w:ascii="Times New Roman" w:eastAsia="Times New Roman" w:hAnsi="Times New Roman" w:cs="Times New Roman"/>
          <w:sz w:val="24"/>
          <w:szCs w:val="24"/>
          <w:lang w:val="pt-BR" w:eastAsia="pt-BR"/>
        </w:rPr>
        <w:t xml:space="preserve"> </w:t>
      </w:r>
      <w:r w:rsidR="001C27FB" w:rsidRPr="00D35056">
        <w:rPr>
          <w:rFonts w:ascii="Times New Roman" w:eastAsia="Times New Roman" w:hAnsi="Times New Roman" w:cs="Times New Roman"/>
          <w:sz w:val="24"/>
          <w:szCs w:val="24"/>
          <w:lang w:val="pt-BR" w:eastAsia="pt-BR"/>
        </w:rPr>
        <w:t>8%</w:t>
      </w:r>
      <w:r w:rsidR="00D35056" w:rsidRPr="00D35056">
        <w:rPr>
          <w:rFonts w:ascii="Times New Roman" w:eastAsia="Times New Roman" w:hAnsi="Times New Roman" w:cs="Times New Roman"/>
          <w:sz w:val="24"/>
          <w:szCs w:val="24"/>
          <w:lang w:val="pt-BR" w:eastAsia="pt-BR"/>
        </w:rPr>
        <w:t xml:space="preserve"> e </w:t>
      </w:r>
      <w:r w:rsidR="00FD3EF7">
        <w:rPr>
          <w:rFonts w:ascii="Times New Roman" w:eastAsia="Times New Roman" w:hAnsi="Times New Roman" w:cs="Times New Roman"/>
          <w:sz w:val="24"/>
          <w:szCs w:val="24"/>
          <w:lang w:val="pt-BR" w:eastAsia="pt-BR"/>
        </w:rPr>
        <w:t xml:space="preserve">a </w:t>
      </w:r>
      <w:r w:rsidR="00D35056" w:rsidRPr="00D35056">
        <w:rPr>
          <w:rFonts w:ascii="Times New Roman" w:eastAsia="Times New Roman" w:hAnsi="Times New Roman" w:cs="Times New Roman"/>
          <w:sz w:val="24"/>
          <w:szCs w:val="24"/>
          <w:lang w:val="pt-BR" w:eastAsia="pt-BR"/>
        </w:rPr>
        <w:t xml:space="preserve">Fomento Paraná 1% </w:t>
      </w:r>
      <w:r w:rsidR="001C27FB" w:rsidRPr="00D35056">
        <w:rPr>
          <w:rFonts w:ascii="Times New Roman" w:eastAsia="Times New Roman" w:hAnsi="Times New Roman" w:cs="Times New Roman"/>
          <w:sz w:val="24"/>
          <w:szCs w:val="24"/>
          <w:lang w:val="pt-BR" w:eastAsia="pt-BR"/>
        </w:rPr>
        <w:t>sobre os valores liberados aos municípios</w:t>
      </w:r>
      <w:r w:rsidR="00D35056">
        <w:rPr>
          <w:rFonts w:ascii="Times New Roman" w:eastAsia="Times New Roman" w:hAnsi="Times New Roman" w:cs="Times New Roman"/>
          <w:sz w:val="24"/>
          <w:szCs w:val="24"/>
          <w:lang w:val="pt-BR" w:eastAsia="pt-BR"/>
        </w:rPr>
        <w:t xml:space="preserve">. </w:t>
      </w:r>
      <w:r w:rsidR="001C27FB">
        <w:rPr>
          <w:rFonts w:ascii="Times New Roman" w:eastAsia="Times New Roman" w:hAnsi="Times New Roman" w:cs="Times New Roman"/>
          <w:sz w:val="24"/>
          <w:szCs w:val="24"/>
          <w:lang w:val="pt-BR" w:eastAsia="pt-BR"/>
        </w:rPr>
        <w:t xml:space="preserve"> </w:t>
      </w:r>
      <w:r w:rsidR="00D35056">
        <w:rPr>
          <w:rFonts w:ascii="Times New Roman" w:eastAsia="Times New Roman" w:hAnsi="Times New Roman" w:cs="Times New Roman"/>
          <w:sz w:val="24"/>
          <w:szCs w:val="24"/>
          <w:lang w:val="pt-BR" w:eastAsia="pt-BR"/>
        </w:rPr>
        <w:t>Uma vantagem deste sistema é que i</w:t>
      </w:r>
      <w:r w:rsidR="00D35056" w:rsidRPr="00CA2760">
        <w:rPr>
          <w:rFonts w:ascii="Times New Roman" w:eastAsia="Times New Roman" w:hAnsi="Times New Roman" w:cs="Times New Roman"/>
          <w:sz w:val="24"/>
          <w:szCs w:val="24"/>
          <w:lang w:val="pt-BR" w:eastAsia="pt-BR"/>
        </w:rPr>
        <w:t>sso proporcionaria um incentivo para processar os empréstimos de forma eficaz, bem como proporcionar um limite superior para essas despesas atreladas ao nível da atividade de empréstimos</w:t>
      </w:r>
      <w:r w:rsidR="00D35056">
        <w:rPr>
          <w:rFonts w:ascii="Times New Roman" w:eastAsia="Times New Roman" w:hAnsi="Times New Roman" w:cs="Times New Roman"/>
          <w:sz w:val="24"/>
          <w:szCs w:val="24"/>
          <w:lang w:val="pt-BR" w:eastAsia="pt-BR"/>
        </w:rPr>
        <w:t xml:space="preserve">.  </w:t>
      </w:r>
      <w:r w:rsidR="00D35056" w:rsidRPr="00D43DE3">
        <w:rPr>
          <w:rFonts w:ascii="Times New Roman" w:eastAsia="Times New Roman" w:hAnsi="Times New Roman" w:cs="Times New Roman"/>
          <w:sz w:val="24"/>
          <w:szCs w:val="24"/>
          <w:lang w:val="pt-BR" w:eastAsia="pt-BR"/>
        </w:rPr>
        <w:t>Uma desvantagem de utilizar porcentagem fixa é, obviamente, que não há incentivo para reduzir os gastos</w:t>
      </w:r>
      <w:r w:rsidR="00D35056">
        <w:rPr>
          <w:rFonts w:ascii="Times New Roman" w:eastAsia="Times New Roman" w:hAnsi="Times New Roman" w:cs="Times New Roman"/>
          <w:sz w:val="24"/>
          <w:szCs w:val="24"/>
          <w:lang w:val="pt-BR" w:eastAsia="pt-BR"/>
        </w:rPr>
        <w:t xml:space="preserve"> via</w:t>
      </w:r>
      <w:r w:rsidR="00D35056" w:rsidRPr="002E3B7E">
        <w:rPr>
          <w:rFonts w:ascii="Times New Roman" w:eastAsia="Times New Roman" w:hAnsi="Times New Roman" w:cs="Times New Roman"/>
          <w:sz w:val="24"/>
          <w:szCs w:val="24"/>
          <w:lang w:val="pt-BR" w:eastAsia="pt-BR"/>
        </w:rPr>
        <w:t xml:space="preserve"> melhorias na eficiência</w:t>
      </w:r>
      <w:r w:rsidR="00D35056">
        <w:rPr>
          <w:rFonts w:ascii="Times New Roman" w:eastAsia="Times New Roman" w:hAnsi="Times New Roman" w:cs="Times New Roman"/>
          <w:sz w:val="24"/>
          <w:szCs w:val="24"/>
          <w:lang w:val="pt-BR" w:eastAsia="pt-BR"/>
        </w:rPr>
        <w:t xml:space="preserve"> ou para cobrir os custos necessários para atingir os objetivos do SFM. </w:t>
      </w:r>
    </w:p>
    <w:p w14:paraId="4BE287DC" w14:textId="1E616EF9" w:rsidR="00C46123" w:rsidRPr="00CA2760" w:rsidRDefault="00DF1ECA" w:rsidP="001146D6">
      <w:pPr>
        <w:shd w:val="clear" w:color="auto" w:fill="FFFFFF"/>
        <w:spacing w:after="0" w:line="360" w:lineRule="auto"/>
        <w:rPr>
          <w:rFonts w:ascii="Times New Roman" w:hAnsi="Times New Roman" w:cs="Times New Roman"/>
          <w:sz w:val="24"/>
          <w:szCs w:val="24"/>
          <w:lang w:val="pt-BR"/>
        </w:rPr>
      </w:pPr>
      <w:r>
        <w:rPr>
          <w:rFonts w:ascii="Times New Roman" w:eastAsia="Times New Roman" w:hAnsi="Times New Roman" w:cs="Times New Roman"/>
          <w:sz w:val="24"/>
          <w:szCs w:val="24"/>
          <w:lang w:val="pt-BR" w:eastAsia="pt-BR"/>
        </w:rPr>
        <w:t xml:space="preserve">O </w:t>
      </w:r>
      <w:r w:rsidR="00C46123" w:rsidRPr="00CA2760">
        <w:rPr>
          <w:rFonts w:ascii="Times New Roman" w:eastAsia="Times New Roman" w:hAnsi="Times New Roman" w:cs="Times New Roman"/>
          <w:sz w:val="24"/>
          <w:szCs w:val="24"/>
          <w:lang w:val="pt-BR" w:eastAsia="pt-BR"/>
        </w:rPr>
        <w:t xml:space="preserve">reembolso de custos indiretos para a Fomento Paraná também aumentou significativamente durante esse período. A gerência explicou que este reembolso ocorreu porque o percentual (1%) sobre os valores liberados aos municípios que a Fomento Paraná atualmente recebe não foi suficiente para cobrir o aumento do custo de suas responsabilidades após a reforma de 2013, incluindo </w:t>
      </w:r>
      <w:r w:rsidR="00E45132">
        <w:rPr>
          <w:rFonts w:ascii="Times New Roman" w:eastAsia="Times New Roman" w:hAnsi="Times New Roman" w:cs="Times New Roman"/>
          <w:sz w:val="24"/>
          <w:szCs w:val="24"/>
          <w:lang w:val="pt-BR" w:eastAsia="pt-BR"/>
        </w:rPr>
        <w:t xml:space="preserve">uma ampliação das </w:t>
      </w:r>
      <w:r w:rsidR="00C46123" w:rsidRPr="00CA2760">
        <w:rPr>
          <w:rFonts w:ascii="Times New Roman" w:eastAsia="Times New Roman" w:hAnsi="Times New Roman" w:cs="Times New Roman"/>
          <w:sz w:val="24"/>
          <w:szCs w:val="24"/>
          <w:lang w:val="pt-BR" w:eastAsia="pt-BR"/>
        </w:rPr>
        <w:t xml:space="preserve">responsabilidades na avaliação da </w:t>
      </w:r>
      <w:r w:rsidR="002E3B7E">
        <w:rPr>
          <w:rFonts w:ascii="Times New Roman" w:eastAsia="Times New Roman" w:hAnsi="Times New Roman" w:cs="Times New Roman"/>
          <w:sz w:val="24"/>
          <w:szCs w:val="24"/>
          <w:lang w:val="pt-BR" w:eastAsia="pt-BR"/>
        </w:rPr>
        <w:t>capacidade de endividamento</w:t>
      </w:r>
      <w:r w:rsidR="00C46123" w:rsidRPr="00CA2760">
        <w:rPr>
          <w:rFonts w:ascii="Times New Roman" w:eastAsia="Times New Roman" w:hAnsi="Times New Roman" w:cs="Times New Roman"/>
          <w:sz w:val="24"/>
          <w:szCs w:val="24"/>
          <w:lang w:val="pt-BR" w:eastAsia="pt-BR"/>
        </w:rPr>
        <w:t xml:space="preserve"> dos municípios. Seria útil para o SFM aumentar o percentual de empréstimos liberados aos municípios para cobrir esse incremento de custo</w:t>
      </w:r>
      <w:r w:rsidR="00D35056">
        <w:rPr>
          <w:rFonts w:ascii="Times New Roman" w:eastAsia="Times New Roman" w:hAnsi="Times New Roman" w:cs="Times New Roman"/>
          <w:sz w:val="24"/>
          <w:szCs w:val="24"/>
          <w:lang w:val="pt-BR" w:eastAsia="pt-BR"/>
        </w:rPr>
        <w:t xml:space="preserve"> </w:t>
      </w:r>
      <w:r w:rsidR="004C6B9D">
        <w:rPr>
          <w:rFonts w:ascii="Times New Roman" w:eastAsia="Times New Roman" w:hAnsi="Times New Roman" w:cs="Times New Roman"/>
          <w:sz w:val="24"/>
          <w:szCs w:val="24"/>
          <w:lang w:val="pt-BR" w:eastAsia="pt-BR"/>
        </w:rPr>
        <w:t xml:space="preserve">dadas </w:t>
      </w:r>
      <w:r w:rsidR="00D35056">
        <w:rPr>
          <w:rFonts w:ascii="Times New Roman" w:eastAsia="Times New Roman" w:hAnsi="Times New Roman" w:cs="Times New Roman"/>
          <w:sz w:val="24"/>
          <w:szCs w:val="24"/>
          <w:lang w:val="pt-BR" w:eastAsia="pt-BR"/>
        </w:rPr>
        <w:t>as vantagens e desvantagens mencionad</w:t>
      </w:r>
      <w:r w:rsidR="004C6B9D">
        <w:rPr>
          <w:rFonts w:ascii="Times New Roman" w:eastAsia="Times New Roman" w:hAnsi="Times New Roman" w:cs="Times New Roman"/>
          <w:sz w:val="24"/>
          <w:szCs w:val="24"/>
          <w:lang w:val="pt-BR" w:eastAsia="pt-BR"/>
        </w:rPr>
        <w:t>a</w:t>
      </w:r>
      <w:r w:rsidR="00D35056">
        <w:rPr>
          <w:rFonts w:ascii="Times New Roman" w:eastAsia="Times New Roman" w:hAnsi="Times New Roman" w:cs="Times New Roman"/>
          <w:sz w:val="24"/>
          <w:szCs w:val="24"/>
          <w:lang w:val="pt-BR" w:eastAsia="pt-BR"/>
        </w:rPr>
        <w:t>s acima</w:t>
      </w:r>
      <w:r w:rsidR="00C46123" w:rsidRPr="00CA2760">
        <w:rPr>
          <w:rFonts w:ascii="Times New Roman" w:eastAsia="Times New Roman" w:hAnsi="Times New Roman" w:cs="Times New Roman"/>
          <w:sz w:val="24"/>
          <w:szCs w:val="24"/>
          <w:lang w:val="pt-BR" w:eastAsia="pt-BR"/>
        </w:rPr>
        <w:t xml:space="preserve">?  </w:t>
      </w:r>
      <w:bookmarkEnd w:id="14"/>
    </w:p>
    <w:p w14:paraId="4C82F304" w14:textId="77777777" w:rsidR="00C46123" w:rsidRPr="00CA2760" w:rsidRDefault="00C46123" w:rsidP="00C46123">
      <w:pPr>
        <w:rPr>
          <w:highlight w:val="cyan"/>
          <w:lang w:val="pt-BR"/>
        </w:rPr>
        <w:sectPr w:rsidR="00C46123" w:rsidRPr="00CA2760">
          <w:headerReference w:type="default" r:id="rId20"/>
          <w:pgSz w:w="12240" w:h="15840"/>
          <w:pgMar w:top="1440" w:right="1440" w:bottom="1440" w:left="1440" w:header="720" w:footer="720" w:gutter="0"/>
          <w:cols w:space="720"/>
          <w:docGrid w:linePitch="360"/>
        </w:sectPr>
      </w:pPr>
    </w:p>
    <w:p w14:paraId="7D75EFA0" w14:textId="1960CFCC" w:rsidR="00C46123" w:rsidRPr="00CA2760" w:rsidRDefault="00C46123" w:rsidP="00C46123">
      <w:pPr>
        <w:tabs>
          <w:tab w:val="left" w:pos="4535"/>
          <w:tab w:val="left" w:pos="5395"/>
          <w:tab w:val="left" w:pos="6255"/>
          <w:tab w:val="left" w:pos="7115"/>
          <w:tab w:val="left" w:pos="7975"/>
          <w:tab w:val="left" w:pos="8835"/>
          <w:tab w:val="left" w:pos="9695"/>
          <w:tab w:val="left" w:pos="10635"/>
        </w:tabs>
        <w:spacing w:after="0" w:line="240" w:lineRule="auto"/>
        <w:rPr>
          <w:rFonts w:ascii="Times New Roman" w:hAnsi="Times New Roman" w:cs="Times New Roman"/>
          <w:sz w:val="24"/>
          <w:szCs w:val="24"/>
          <w:lang w:val="pt-BR"/>
        </w:rPr>
      </w:pPr>
      <w:r w:rsidRPr="00B46CC2">
        <w:rPr>
          <w:rFonts w:ascii="Times New Roman" w:hAnsi="Times New Roman" w:cs="Times New Roman"/>
          <w:sz w:val="24"/>
          <w:szCs w:val="24"/>
          <w:lang w:val="pt-BR"/>
        </w:rPr>
        <w:lastRenderedPageBreak/>
        <w:t xml:space="preserve">Tabela </w:t>
      </w:r>
      <w:r w:rsidR="00716232">
        <w:rPr>
          <w:rFonts w:ascii="Times New Roman" w:hAnsi="Times New Roman" w:cs="Times New Roman"/>
          <w:sz w:val="24"/>
          <w:szCs w:val="24"/>
          <w:lang w:val="pt-BR"/>
        </w:rPr>
        <w:t>4</w:t>
      </w:r>
      <w:r w:rsidRPr="00B46CC2">
        <w:rPr>
          <w:rFonts w:ascii="Times New Roman" w:hAnsi="Times New Roman" w:cs="Times New Roman"/>
          <w:sz w:val="24"/>
          <w:szCs w:val="24"/>
          <w:lang w:val="pt-BR"/>
        </w:rPr>
        <w:t>. FDU:</w:t>
      </w:r>
      <w:r w:rsidRPr="00CA2760">
        <w:rPr>
          <w:rFonts w:ascii="Times New Roman" w:hAnsi="Times New Roman" w:cs="Times New Roman"/>
          <w:sz w:val="24"/>
          <w:szCs w:val="24"/>
          <w:lang w:val="pt-BR"/>
        </w:rPr>
        <w:t xml:space="preserve"> Resultados dos Exercícios: 2013/ 2017</w:t>
      </w:r>
    </w:p>
    <w:p w14:paraId="3076DB91" w14:textId="77777777" w:rsidR="00C46123" w:rsidRPr="00CA2760" w:rsidRDefault="00C46123" w:rsidP="00C46123">
      <w:pPr>
        <w:tabs>
          <w:tab w:val="left" w:pos="4535"/>
          <w:tab w:val="left" w:pos="5395"/>
          <w:tab w:val="left" w:pos="6255"/>
          <w:tab w:val="left" w:pos="7115"/>
          <w:tab w:val="left" w:pos="7975"/>
          <w:tab w:val="left" w:pos="8835"/>
          <w:tab w:val="left" w:pos="9695"/>
          <w:tab w:val="left" w:pos="10635"/>
        </w:tabs>
        <w:spacing w:after="0" w:line="240" w:lineRule="auto"/>
        <w:rPr>
          <w:rFonts w:ascii="Times New Roman" w:hAnsi="Times New Roman" w:cs="Times New Roman"/>
          <w:sz w:val="24"/>
          <w:szCs w:val="24"/>
          <w:lang w:val="pt-BR"/>
        </w:rPr>
      </w:pPr>
      <w:r w:rsidRPr="00CA2760">
        <w:rPr>
          <w:rFonts w:ascii="Times New Roman" w:hAnsi="Times New Roman" w:cs="Times New Roman"/>
          <w:bCs/>
          <w:sz w:val="24"/>
          <w:szCs w:val="24"/>
          <w:lang w:val="pt-BR"/>
        </w:rPr>
        <w:t>R$ milhões em valores constantes de 2017 (*)</w:t>
      </w:r>
      <w:r w:rsidRPr="00CA2760">
        <w:rPr>
          <w:rFonts w:ascii="Times New Roman" w:hAnsi="Times New Roman" w:cs="Times New Roman"/>
          <w:sz w:val="24"/>
          <w:szCs w:val="24"/>
          <w:lang w:val="pt-BR"/>
        </w:rPr>
        <w:t> </w:t>
      </w:r>
    </w:p>
    <w:tbl>
      <w:tblPr>
        <w:tblStyle w:val="TableGrid"/>
        <w:tblW w:w="0" w:type="auto"/>
        <w:tblLook w:val="04A0" w:firstRow="1" w:lastRow="0" w:firstColumn="1" w:lastColumn="0" w:noHBand="0" w:noVBand="1"/>
      </w:tblPr>
      <w:tblGrid>
        <w:gridCol w:w="4422"/>
        <w:gridCol w:w="860"/>
        <w:gridCol w:w="860"/>
        <w:gridCol w:w="860"/>
        <w:gridCol w:w="860"/>
        <w:gridCol w:w="860"/>
        <w:gridCol w:w="860"/>
        <w:gridCol w:w="940"/>
        <w:gridCol w:w="940"/>
      </w:tblGrid>
      <w:tr w:rsidR="00C46123" w:rsidRPr="00CA2760" w14:paraId="143700C4" w14:textId="77777777" w:rsidTr="00B87A9B">
        <w:trPr>
          <w:trHeight w:val="264"/>
        </w:trPr>
        <w:tc>
          <w:tcPr>
            <w:tcW w:w="4422" w:type="dxa"/>
            <w:hideMark/>
          </w:tcPr>
          <w:p w14:paraId="5AD208B0"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Descrição</w:t>
            </w:r>
          </w:p>
        </w:tc>
        <w:tc>
          <w:tcPr>
            <w:tcW w:w="860" w:type="dxa"/>
            <w:hideMark/>
          </w:tcPr>
          <w:p w14:paraId="46A43EEC"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2013</w:t>
            </w:r>
          </w:p>
        </w:tc>
        <w:tc>
          <w:tcPr>
            <w:tcW w:w="860" w:type="dxa"/>
            <w:hideMark/>
          </w:tcPr>
          <w:p w14:paraId="260ECEA9"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2014</w:t>
            </w:r>
          </w:p>
        </w:tc>
        <w:tc>
          <w:tcPr>
            <w:tcW w:w="860" w:type="dxa"/>
            <w:hideMark/>
          </w:tcPr>
          <w:p w14:paraId="211AE497"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2015</w:t>
            </w:r>
          </w:p>
        </w:tc>
        <w:tc>
          <w:tcPr>
            <w:tcW w:w="860" w:type="dxa"/>
            <w:hideMark/>
          </w:tcPr>
          <w:p w14:paraId="1FC03B5E"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2016</w:t>
            </w:r>
          </w:p>
        </w:tc>
        <w:tc>
          <w:tcPr>
            <w:tcW w:w="860" w:type="dxa"/>
            <w:hideMark/>
          </w:tcPr>
          <w:p w14:paraId="2CB235B4"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2017</w:t>
            </w:r>
          </w:p>
        </w:tc>
        <w:tc>
          <w:tcPr>
            <w:tcW w:w="2740" w:type="dxa"/>
            <w:gridSpan w:val="3"/>
            <w:hideMark/>
          </w:tcPr>
          <w:p w14:paraId="4BC308D7"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Variação 2013/17</w:t>
            </w:r>
          </w:p>
        </w:tc>
      </w:tr>
      <w:tr w:rsidR="00C46123" w:rsidRPr="00CA2760" w14:paraId="2621652C" w14:textId="77777777" w:rsidTr="00B87A9B">
        <w:trPr>
          <w:trHeight w:val="300"/>
        </w:trPr>
        <w:tc>
          <w:tcPr>
            <w:tcW w:w="4422" w:type="dxa"/>
            <w:hideMark/>
          </w:tcPr>
          <w:p w14:paraId="1D251ED2"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1. Receitas</w:t>
            </w:r>
          </w:p>
        </w:tc>
        <w:tc>
          <w:tcPr>
            <w:tcW w:w="860" w:type="dxa"/>
            <w:noWrap/>
            <w:hideMark/>
          </w:tcPr>
          <w:p w14:paraId="341C19EF" w14:textId="77777777" w:rsidR="00C46123" w:rsidRPr="00CA2760" w:rsidRDefault="00C46123" w:rsidP="00B87A9B">
            <w:pPr>
              <w:jc w:val="right"/>
              <w:rPr>
                <w:rFonts w:ascii="Arial" w:hAnsi="Arial" w:cs="Arial"/>
                <w:sz w:val="20"/>
                <w:szCs w:val="20"/>
                <w:lang w:val="pt-BR"/>
              </w:rPr>
            </w:pPr>
          </w:p>
        </w:tc>
        <w:tc>
          <w:tcPr>
            <w:tcW w:w="860" w:type="dxa"/>
            <w:noWrap/>
            <w:hideMark/>
          </w:tcPr>
          <w:p w14:paraId="351BAFC8" w14:textId="77777777" w:rsidR="00C46123" w:rsidRPr="00CA2760" w:rsidRDefault="00C46123" w:rsidP="00B87A9B">
            <w:pPr>
              <w:jc w:val="right"/>
              <w:rPr>
                <w:rFonts w:ascii="Arial" w:hAnsi="Arial" w:cs="Arial"/>
                <w:sz w:val="20"/>
                <w:szCs w:val="20"/>
                <w:lang w:val="pt-BR"/>
              </w:rPr>
            </w:pPr>
          </w:p>
        </w:tc>
        <w:tc>
          <w:tcPr>
            <w:tcW w:w="860" w:type="dxa"/>
            <w:noWrap/>
            <w:hideMark/>
          </w:tcPr>
          <w:p w14:paraId="023349DA" w14:textId="77777777" w:rsidR="00C46123" w:rsidRPr="00CA2760" w:rsidRDefault="00C46123" w:rsidP="00B87A9B">
            <w:pPr>
              <w:jc w:val="right"/>
              <w:rPr>
                <w:rFonts w:ascii="Arial" w:hAnsi="Arial" w:cs="Arial"/>
                <w:sz w:val="20"/>
                <w:szCs w:val="20"/>
                <w:lang w:val="pt-BR"/>
              </w:rPr>
            </w:pPr>
          </w:p>
        </w:tc>
        <w:tc>
          <w:tcPr>
            <w:tcW w:w="860" w:type="dxa"/>
            <w:noWrap/>
            <w:hideMark/>
          </w:tcPr>
          <w:p w14:paraId="04A4DA89" w14:textId="77777777" w:rsidR="00C46123" w:rsidRPr="00CA2760" w:rsidRDefault="00C46123" w:rsidP="00B87A9B">
            <w:pPr>
              <w:jc w:val="right"/>
              <w:rPr>
                <w:rFonts w:ascii="Arial" w:hAnsi="Arial" w:cs="Arial"/>
                <w:sz w:val="20"/>
                <w:szCs w:val="20"/>
                <w:lang w:val="pt-BR"/>
              </w:rPr>
            </w:pPr>
          </w:p>
        </w:tc>
        <w:tc>
          <w:tcPr>
            <w:tcW w:w="860" w:type="dxa"/>
            <w:noWrap/>
            <w:hideMark/>
          </w:tcPr>
          <w:p w14:paraId="43605EF0" w14:textId="77777777" w:rsidR="00C46123" w:rsidRPr="00CA2760" w:rsidRDefault="00C46123" w:rsidP="00B87A9B">
            <w:pPr>
              <w:jc w:val="right"/>
              <w:rPr>
                <w:rFonts w:ascii="Arial" w:hAnsi="Arial" w:cs="Arial"/>
                <w:sz w:val="20"/>
                <w:szCs w:val="20"/>
                <w:lang w:val="pt-BR"/>
              </w:rPr>
            </w:pPr>
          </w:p>
        </w:tc>
        <w:tc>
          <w:tcPr>
            <w:tcW w:w="860" w:type="dxa"/>
            <w:noWrap/>
            <w:hideMark/>
          </w:tcPr>
          <w:p w14:paraId="6326EB40"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Abs.</w:t>
            </w:r>
          </w:p>
        </w:tc>
        <w:tc>
          <w:tcPr>
            <w:tcW w:w="940" w:type="dxa"/>
            <w:noWrap/>
            <w:hideMark/>
          </w:tcPr>
          <w:p w14:paraId="671BF181"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w:t>
            </w:r>
          </w:p>
        </w:tc>
        <w:tc>
          <w:tcPr>
            <w:tcW w:w="940" w:type="dxa"/>
            <w:noWrap/>
            <w:hideMark/>
          </w:tcPr>
          <w:p w14:paraId="360CDA59"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%anual</w:t>
            </w:r>
          </w:p>
        </w:tc>
      </w:tr>
      <w:tr w:rsidR="00C46123" w:rsidRPr="00CA2760" w14:paraId="0EAA3B22" w14:textId="77777777" w:rsidTr="00B87A9B">
        <w:trPr>
          <w:trHeight w:val="264"/>
        </w:trPr>
        <w:tc>
          <w:tcPr>
            <w:tcW w:w="4422" w:type="dxa"/>
            <w:noWrap/>
            <w:hideMark/>
          </w:tcPr>
          <w:p w14:paraId="6A32FE7B"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Rendas de Aplicação Financeira</w:t>
            </w:r>
          </w:p>
        </w:tc>
        <w:tc>
          <w:tcPr>
            <w:tcW w:w="860" w:type="dxa"/>
            <w:noWrap/>
            <w:vAlign w:val="center"/>
            <w:hideMark/>
          </w:tcPr>
          <w:p w14:paraId="4159A90C"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50,8</w:t>
            </w:r>
          </w:p>
        </w:tc>
        <w:tc>
          <w:tcPr>
            <w:tcW w:w="860" w:type="dxa"/>
            <w:noWrap/>
            <w:vAlign w:val="center"/>
            <w:hideMark/>
          </w:tcPr>
          <w:p w14:paraId="27B70E92"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55,9</w:t>
            </w:r>
          </w:p>
        </w:tc>
        <w:tc>
          <w:tcPr>
            <w:tcW w:w="860" w:type="dxa"/>
            <w:noWrap/>
            <w:vAlign w:val="center"/>
            <w:hideMark/>
          </w:tcPr>
          <w:p w14:paraId="34B6CF61"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69,3</w:t>
            </w:r>
          </w:p>
        </w:tc>
        <w:tc>
          <w:tcPr>
            <w:tcW w:w="860" w:type="dxa"/>
            <w:noWrap/>
            <w:vAlign w:val="center"/>
            <w:hideMark/>
          </w:tcPr>
          <w:p w14:paraId="643E9BFF"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72,8</w:t>
            </w:r>
          </w:p>
        </w:tc>
        <w:tc>
          <w:tcPr>
            <w:tcW w:w="860" w:type="dxa"/>
            <w:noWrap/>
            <w:vAlign w:val="center"/>
            <w:hideMark/>
          </w:tcPr>
          <w:p w14:paraId="50F364B8"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48,1</w:t>
            </w:r>
          </w:p>
        </w:tc>
        <w:tc>
          <w:tcPr>
            <w:tcW w:w="860" w:type="dxa"/>
            <w:noWrap/>
            <w:vAlign w:val="center"/>
            <w:hideMark/>
          </w:tcPr>
          <w:p w14:paraId="246BD3F1"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-2,7</w:t>
            </w:r>
          </w:p>
        </w:tc>
        <w:tc>
          <w:tcPr>
            <w:tcW w:w="940" w:type="dxa"/>
            <w:noWrap/>
            <w:vAlign w:val="center"/>
            <w:hideMark/>
          </w:tcPr>
          <w:p w14:paraId="57AE8A02"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-5,3%</w:t>
            </w:r>
          </w:p>
        </w:tc>
        <w:tc>
          <w:tcPr>
            <w:tcW w:w="940" w:type="dxa"/>
            <w:noWrap/>
            <w:vAlign w:val="center"/>
            <w:hideMark/>
          </w:tcPr>
          <w:p w14:paraId="5DF1572D"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-1,4%</w:t>
            </w:r>
          </w:p>
        </w:tc>
      </w:tr>
      <w:tr w:rsidR="00C46123" w:rsidRPr="008B2EB5" w14:paraId="5ECE941E" w14:textId="77777777" w:rsidTr="008B2EB5">
        <w:trPr>
          <w:trHeight w:val="264"/>
        </w:trPr>
        <w:tc>
          <w:tcPr>
            <w:tcW w:w="4422" w:type="dxa"/>
            <w:noWrap/>
            <w:hideMark/>
          </w:tcPr>
          <w:p w14:paraId="33AB3C67"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Rendas de Financiamentos aos Municípios</w:t>
            </w:r>
          </w:p>
        </w:tc>
        <w:tc>
          <w:tcPr>
            <w:tcW w:w="860" w:type="dxa"/>
            <w:noWrap/>
            <w:vAlign w:val="center"/>
            <w:hideMark/>
          </w:tcPr>
          <w:p w14:paraId="4B3905F9"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83,6</w:t>
            </w:r>
          </w:p>
        </w:tc>
        <w:tc>
          <w:tcPr>
            <w:tcW w:w="860" w:type="dxa"/>
            <w:noWrap/>
            <w:vAlign w:val="center"/>
            <w:hideMark/>
          </w:tcPr>
          <w:p w14:paraId="65A6F107"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74,7</w:t>
            </w:r>
          </w:p>
        </w:tc>
        <w:tc>
          <w:tcPr>
            <w:tcW w:w="860" w:type="dxa"/>
            <w:noWrap/>
            <w:vAlign w:val="center"/>
            <w:hideMark/>
          </w:tcPr>
          <w:p w14:paraId="50799600"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78,4</w:t>
            </w:r>
          </w:p>
        </w:tc>
        <w:tc>
          <w:tcPr>
            <w:tcW w:w="860" w:type="dxa"/>
            <w:noWrap/>
            <w:vAlign w:val="center"/>
            <w:hideMark/>
          </w:tcPr>
          <w:p w14:paraId="637C4C86"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94,4</w:t>
            </w:r>
          </w:p>
        </w:tc>
        <w:tc>
          <w:tcPr>
            <w:tcW w:w="860" w:type="dxa"/>
            <w:noWrap/>
            <w:vAlign w:val="center"/>
            <w:hideMark/>
          </w:tcPr>
          <w:p w14:paraId="3290984F"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93,8</w:t>
            </w:r>
          </w:p>
        </w:tc>
        <w:tc>
          <w:tcPr>
            <w:tcW w:w="860" w:type="dxa"/>
            <w:shd w:val="clear" w:color="auto" w:fill="auto"/>
            <w:noWrap/>
            <w:vAlign w:val="center"/>
            <w:hideMark/>
          </w:tcPr>
          <w:p w14:paraId="702FCA31" w14:textId="77777777" w:rsidR="00C46123" w:rsidRPr="008B2EB5" w:rsidRDefault="00C46123" w:rsidP="00B87A9B">
            <w:pPr>
              <w:jc w:val="right"/>
              <w:rPr>
                <w:rFonts w:ascii="Arial" w:hAnsi="Arial" w:cs="Arial"/>
                <w:sz w:val="20"/>
                <w:szCs w:val="20"/>
                <w:lang w:val="pt-BR"/>
              </w:rPr>
            </w:pPr>
            <w:r w:rsidRPr="008B2EB5">
              <w:rPr>
                <w:rFonts w:ascii="Arial" w:hAnsi="Arial" w:cs="Arial"/>
                <w:sz w:val="20"/>
                <w:szCs w:val="20"/>
                <w:lang w:val="pt-BR"/>
              </w:rPr>
              <w:t>10,1</w:t>
            </w:r>
          </w:p>
        </w:tc>
        <w:tc>
          <w:tcPr>
            <w:tcW w:w="940" w:type="dxa"/>
            <w:shd w:val="clear" w:color="auto" w:fill="auto"/>
            <w:noWrap/>
            <w:vAlign w:val="center"/>
            <w:hideMark/>
          </w:tcPr>
          <w:p w14:paraId="746C9C2E" w14:textId="77777777" w:rsidR="00C46123" w:rsidRPr="008B2EB5" w:rsidRDefault="00C46123" w:rsidP="00B87A9B">
            <w:pPr>
              <w:jc w:val="right"/>
              <w:rPr>
                <w:rFonts w:ascii="Arial" w:hAnsi="Arial" w:cs="Arial"/>
                <w:sz w:val="20"/>
                <w:szCs w:val="20"/>
                <w:lang w:val="pt-BR"/>
              </w:rPr>
            </w:pPr>
            <w:r w:rsidRPr="008B2EB5">
              <w:rPr>
                <w:rFonts w:ascii="Arial" w:hAnsi="Arial" w:cs="Arial"/>
                <w:sz w:val="20"/>
                <w:szCs w:val="20"/>
                <w:lang w:val="pt-BR"/>
              </w:rPr>
              <w:t>12,1%</w:t>
            </w:r>
          </w:p>
        </w:tc>
        <w:tc>
          <w:tcPr>
            <w:tcW w:w="940" w:type="dxa"/>
            <w:shd w:val="clear" w:color="auto" w:fill="auto"/>
            <w:noWrap/>
            <w:vAlign w:val="center"/>
            <w:hideMark/>
          </w:tcPr>
          <w:p w14:paraId="05B07D96" w14:textId="77777777" w:rsidR="00C46123" w:rsidRPr="008B2EB5" w:rsidRDefault="00C46123" w:rsidP="00B87A9B">
            <w:pPr>
              <w:jc w:val="right"/>
              <w:rPr>
                <w:rFonts w:ascii="Arial" w:hAnsi="Arial" w:cs="Arial"/>
                <w:sz w:val="20"/>
                <w:szCs w:val="20"/>
                <w:lang w:val="pt-BR"/>
              </w:rPr>
            </w:pPr>
            <w:r w:rsidRPr="008B2EB5">
              <w:rPr>
                <w:rFonts w:ascii="Arial" w:hAnsi="Arial" w:cs="Arial"/>
                <w:sz w:val="20"/>
                <w:szCs w:val="20"/>
                <w:lang w:val="pt-BR"/>
              </w:rPr>
              <w:t>2,9%</w:t>
            </w:r>
          </w:p>
        </w:tc>
      </w:tr>
      <w:tr w:rsidR="00C46123" w:rsidRPr="008B2EB5" w14:paraId="72504831" w14:textId="77777777" w:rsidTr="008B2EB5">
        <w:trPr>
          <w:trHeight w:val="264"/>
        </w:trPr>
        <w:tc>
          <w:tcPr>
            <w:tcW w:w="4422" w:type="dxa"/>
            <w:noWrap/>
            <w:hideMark/>
          </w:tcPr>
          <w:p w14:paraId="36153EAE"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Outras Receitas</w:t>
            </w:r>
          </w:p>
        </w:tc>
        <w:tc>
          <w:tcPr>
            <w:tcW w:w="860" w:type="dxa"/>
            <w:noWrap/>
            <w:vAlign w:val="center"/>
            <w:hideMark/>
          </w:tcPr>
          <w:p w14:paraId="681275BF"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3,4</w:t>
            </w:r>
          </w:p>
        </w:tc>
        <w:tc>
          <w:tcPr>
            <w:tcW w:w="860" w:type="dxa"/>
            <w:noWrap/>
            <w:vAlign w:val="center"/>
            <w:hideMark/>
          </w:tcPr>
          <w:p w14:paraId="273C06BE"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4,0</w:t>
            </w:r>
          </w:p>
        </w:tc>
        <w:tc>
          <w:tcPr>
            <w:tcW w:w="860" w:type="dxa"/>
            <w:noWrap/>
            <w:vAlign w:val="center"/>
            <w:hideMark/>
          </w:tcPr>
          <w:p w14:paraId="44DB5F25"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4,4</w:t>
            </w:r>
          </w:p>
        </w:tc>
        <w:tc>
          <w:tcPr>
            <w:tcW w:w="860" w:type="dxa"/>
            <w:noWrap/>
            <w:vAlign w:val="center"/>
            <w:hideMark/>
          </w:tcPr>
          <w:p w14:paraId="2EDDEA28"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2,2</w:t>
            </w:r>
          </w:p>
        </w:tc>
        <w:tc>
          <w:tcPr>
            <w:tcW w:w="860" w:type="dxa"/>
            <w:noWrap/>
            <w:vAlign w:val="center"/>
            <w:hideMark/>
          </w:tcPr>
          <w:p w14:paraId="126CC099"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2,0</w:t>
            </w:r>
          </w:p>
        </w:tc>
        <w:tc>
          <w:tcPr>
            <w:tcW w:w="860" w:type="dxa"/>
            <w:shd w:val="clear" w:color="auto" w:fill="auto"/>
            <w:noWrap/>
            <w:vAlign w:val="center"/>
            <w:hideMark/>
          </w:tcPr>
          <w:p w14:paraId="71256CAB" w14:textId="77777777" w:rsidR="00C46123" w:rsidRPr="008B2EB5" w:rsidRDefault="00C46123" w:rsidP="00B87A9B">
            <w:pPr>
              <w:jc w:val="right"/>
              <w:rPr>
                <w:rFonts w:ascii="Arial" w:hAnsi="Arial" w:cs="Arial"/>
                <w:sz w:val="20"/>
                <w:szCs w:val="20"/>
                <w:lang w:val="pt-BR"/>
              </w:rPr>
            </w:pPr>
            <w:r w:rsidRPr="008B2EB5">
              <w:rPr>
                <w:rFonts w:ascii="Arial" w:hAnsi="Arial" w:cs="Arial"/>
                <w:sz w:val="20"/>
                <w:szCs w:val="20"/>
                <w:lang w:val="pt-BR"/>
              </w:rPr>
              <w:t>-1,4</w:t>
            </w:r>
          </w:p>
        </w:tc>
        <w:tc>
          <w:tcPr>
            <w:tcW w:w="940" w:type="dxa"/>
            <w:shd w:val="clear" w:color="auto" w:fill="auto"/>
            <w:noWrap/>
            <w:vAlign w:val="center"/>
            <w:hideMark/>
          </w:tcPr>
          <w:p w14:paraId="43C6DA13" w14:textId="77777777" w:rsidR="00C46123" w:rsidRPr="008B2EB5" w:rsidRDefault="00C46123" w:rsidP="00B87A9B">
            <w:pPr>
              <w:jc w:val="right"/>
              <w:rPr>
                <w:rFonts w:ascii="Arial" w:hAnsi="Arial" w:cs="Arial"/>
                <w:sz w:val="20"/>
                <w:szCs w:val="20"/>
                <w:lang w:val="pt-BR"/>
              </w:rPr>
            </w:pPr>
            <w:r w:rsidRPr="008B2EB5">
              <w:rPr>
                <w:rFonts w:ascii="Arial" w:hAnsi="Arial" w:cs="Arial"/>
                <w:sz w:val="20"/>
                <w:szCs w:val="20"/>
                <w:lang w:val="pt-BR"/>
              </w:rPr>
              <w:t>-40,0%</w:t>
            </w:r>
          </w:p>
        </w:tc>
        <w:tc>
          <w:tcPr>
            <w:tcW w:w="940" w:type="dxa"/>
            <w:shd w:val="clear" w:color="auto" w:fill="auto"/>
            <w:noWrap/>
            <w:vAlign w:val="center"/>
            <w:hideMark/>
          </w:tcPr>
          <w:p w14:paraId="3EA8F1C7" w14:textId="77777777" w:rsidR="00C46123" w:rsidRPr="008B2EB5" w:rsidRDefault="00C46123" w:rsidP="00B87A9B">
            <w:pPr>
              <w:jc w:val="right"/>
              <w:rPr>
                <w:rFonts w:ascii="Arial" w:hAnsi="Arial" w:cs="Arial"/>
                <w:sz w:val="20"/>
                <w:szCs w:val="20"/>
                <w:lang w:val="pt-BR"/>
              </w:rPr>
            </w:pPr>
            <w:r w:rsidRPr="008B2EB5">
              <w:rPr>
                <w:rFonts w:ascii="Arial" w:hAnsi="Arial" w:cs="Arial"/>
                <w:sz w:val="20"/>
                <w:szCs w:val="20"/>
                <w:lang w:val="pt-BR"/>
              </w:rPr>
              <w:t>-12,0%</w:t>
            </w:r>
          </w:p>
        </w:tc>
      </w:tr>
      <w:tr w:rsidR="00C46123" w:rsidRPr="008B2EB5" w14:paraId="713681E8" w14:textId="77777777" w:rsidTr="008B2EB5">
        <w:trPr>
          <w:trHeight w:val="264"/>
        </w:trPr>
        <w:tc>
          <w:tcPr>
            <w:tcW w:w="4422" w:type="dxa"/>
            <w:hideMark/>
          </w:tcPr>
          <w:p w14:paraId="0CEE6508"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Total de Receitas</w:t>
            </w:r>
          </w:p>
        </w:tc>
        <w:tc>
          <w:tcPr>
            <w:tcW w:w="860" w:type="dxa"/>
            <w:noWrap/>
            <w:vAlign w:val="center"/>
            <w:hideMark/>
          </w:tcPr>
          <w:p w14:paraId="30A6A6AB"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137,9</w:t>
            </w:r>
          </w:p>
        </w:tc>
        <w:tc>
          <w:tcPr>
            <w:tcW w:w="860" w:type="dxa"/>
            <w:noWrap/>
            <w:vAlign w:val="center"/>
            <w:hideMark/>
          </w:tcPr>
          <w:p w14:paraId="0454C1E5"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134,6</w:t>
            </w:r>
          </w:p>
        </w:tc>
        <w:tc>
          <w:tcPr>
            <w:tcW w:w="860" w:type="dxa"/>
            <w:noWrap/>
            <w:vAlign w:val="center"/>
            <w:hideMark/>
          </w:tcPr>
          <w:p w14:paraId="429F2484"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152,1</w:t>
            </w:r>
          </w:p>
        </w:tc>
        <w:tc>
          <w:tcPr>
            <w:tcW w:w="860" w:type="dxa"/>
            <w:noWrap/>
            <w:vAlign w:val="center"/>
            <w:hideMark/>
          </w:tcPr>
          <w:p w14:paraId="6E48A9E0"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169,5</w:t>
            </w:r>
          </w:p>
        </w:tc>
        <w:tc>
          <w:tcPr>
            <w:tcW w:w="860" w:type="dxa"/>
            <w:noWrap/>
            <w:vAlign w:val="center"/>
            <w:hideMark/>
          </w:tcPr>
          <w:p w14:paraId="74A9F2FA"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143,9</w:t>
            </w:r>
          </w:p>
        </w:tc>
        <w:tc>
          <w:tcPr>
            <w:tcW w:w="860" w:type="dxa"/>
            <w:shd w:val="clear" w:color="auto" w:fill="auto"/>
            <w:noWrap/>
            <w:vAlign w:val="center"/>
            <w:hideMark/>
          </w:tcPr>
          <w:p w14:paraId="36DB63B9" w14:textId="77777777" w:rsidR="00C46123" w:rsidRPr="008B2EB5" w:rsidRDefault="00C46123" w:rsidP="00B87A9B">
            <w:pPr>
              <w:jc w:val="right"/>
              <w:rPr>
                <w:rFonts w:ascii="Arial" w:hAnsi="Arial" w:cs="Arial"/>
                <w:b/>
                <w:sz w:val="20"/>
                <w:szCs w:val="20"/>
                <w:lang w:val="pt-BR"/>
              </w:rPr>
            </w:pPr>
            <w:r w:rsidRPr="008B2EB5">
              <w:rPr>
                <w:rFonts w:ascii="Arial" w:hAnsi="Arial" w:cs="Arial"/>
                <w:b/>
                <w:sz w:val="20"/>
                <w:szCs w:val="20"/>
                <w:lang w:val="pt-BR"/>
              </w:rPr>
              <w:t>6,1</w:t>
            </w:r>
          </w:p>
        </w:tc>
        <w:tc>
          <w:tcPr>
            <w:tcW w:w="940" w:type="dxa"/>
            <w:shd w:val="clear" w:color="auto" w:fill="auto"/>
            <w:noWrap/>
            <w:vAlign w:val="center"/>
            <w:hideMark/>
          </w:tcPr>
          <w:p w14:paraId="198D7046" w14:textId="77777777" w:rsidR="00C46123" w:rsidRPr="008B2EB5" w:rsidRDefault="00C46123" w:rsidP="00B87A9B">
            <w:pPr>
              <w:jc w:val="right"/>
              <w:rPr>
                <w:rFonts w:ascii="Arial" w:hAnsi="Arial" w:cs="Arial"/>
                <w:b/>
                <w:sz w:val="20"/>
                <w:szCs w:val="20"/>
                <w:lang w:val="pt-BR"/>
              </w:rPr>
            </w:pPr>
            <w:r w:rsidRPr="008B2EB5">
              <w:rPr>
                <w:rFonts w:ascii="Arial" w:hAnsi="Arial" w:cs="Arial"/>
                <w:b/>
                <w:sz w:val="20"/>
                <w:szCs w:val="20"/>
                <w:lang w:val="pt-BR"/>
              </w:rPr>
              <w:t>4,4%</w:t>
            </w:r>
          </w:p>
        </w:tc>
        <w:tc>
          <w:tcPr>
            <w:tcW w:w="940" w:type="dxa"/>
            <w:shd w:val="clear" w:color="auto" w:fill="auto"/>
            <w:noWrap/>
            <w:vAlign w:val="center"/>
            <w:hideMark/>
          </w:tcPr>
          <w:p w14:paraId="6218EC84" w14:textId="77777777" w:rsidR="00C46123" w:rsidRPr="008B2EB5" w:rsidRDefault="00C46123" w:rsidP="00B87A9B">
            <w:pPr>
              <w:jc w:val="right"/>
              <w:rPr>
                <w:rFonts w:ascii="Arial" w:hAnsi="Arial" w:cs="Arial"/>
                <w:b/>
                <w:sz w:val="20"/>
                <w:szCs w:val="20"/>
                <w:lang w:val="pt-BR"/>
              </w:rPr>
            </w:pPr>
            <w:r w:rsidRPr="008B2EB5">
              <w:rPr>
                <w:rFonts w:ascii="Arial" w:hAnsi="Arial" w:cs="Arial"/>
                <w:b/>
                <w:sz w:val="20"/>
                <w:szCs w:val="20"/>
                <w:lang w:val="pt-BR"/>
              </w:rPr>
              <w:t>1,1%</w:t>
            </w:r>
          </w:p>
        </w:tc>
      </w:tr>
      <w:tr w:rsidR="00C46123" w:rsidRPr="008B2EB5" w14:paraId="7956895D" w14:textId="77777777" w:rsidTr="008B2EB5">
        <w:trPr>
          <w:trHeight w:val="264"/>
        </w:trPr>
        <w:tc>
          <w:tcPr>
            <w:tcW w:w="4422" w:type="dxa"/>
            <w:hideMark/>
          </w:tcPr>
          <w:p w14:paraId="53228815"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2. Despesas</w:t>
            </w:r>
          </w:p>
        </w:tc>
        <w:tc>
          <w:tcPr>
            <w:tcW w:w="860" w:type="dxa"/>
            <w:noWrap/>
            <w:vAlign w:val="center"/>
            <w:hideMark/>
          </w:tcPr>
          <w:p w14:paraId="6ECB6F8F" w14:textId="77777777" w:rsidR="00C46123" w:rsidRPr="00CA2760" w:rsidRDefault="00C46123" w:rsidP="00B87A9B">
            <w:pPr>
              <w:jc w:val="right"/>
              <w:rPr>
                <w:rFonts w:ascii="Arial" w:hAnsi="Arial" w:cs="Arial"/>
                <w:sz w:val="20"/>
                <w:szCs w:val="20"/>
                <w:lang w:val="pt-BR"/>
              </w:rPr>
            </w:pPr>
          </w:p>
        </w:tc>
        <w:tc>
          <w:tcPr>
            <w:tcW w:w="860" w:type="dxa"/>
            <w:noWrap/>
            <w:vAlign w:val="center"/>
            <w:hideMark/>
          </w:tcPr>
          <w:p w14:paraId="0D83AA4D" w14:textId="77777777" w:rsidR="00C46123" w:rsidRPr="00CA2760" w:rsidRDefault="00C46123" w:rsidP="00B87A9B">
            <w:pPr>
              <w:jc w:val="right"/>
              <w:rPr>
                <w:rFonts w:ascii="Arial" w:hAnsi="Arial" w:cs="Arial"/>
                <w:sz w:val="20"/>
                <w:szCs w:val="20"/>
                <w:lang w:val="pt-BR"/>
              </w:rPr>
            </w:pPr>
          </w:p>
        </w:tc>
        <w:tc>
          <w:tcPr>
            <w:tcW w:w="860" w:type="dxa"/>
            <w:noWrap/>
            <w:vAlign w:val="center"/>
            <w:hideMark/>
          </w:tcPr>
          <w:p w14:paraId="0F290E70" w14:textId="77777777" w:rsidR="00C46123" w:rsidRPr="00CA2760" w:rsidRDefault="00C46123" w:rsidP="00B87A9B">
            <w:pPr>
              <w:jc w:val="right"/>
              <w:rPr>
                <w:rFonts w:ascii="Arial" w:hAnsi="Arial" w:cs="Arial"/>
                <w:sz w:val="20"/>
                <w:szCs w:val="20"/>
                <w:lang w:val="pt-BR"/>
              </w:rPr>
            </w:pPr>
          </w:p>
        </w:tc>
        <w:tc>
          <w:tcPr>
            <w:tcW w:w="860" w:type="dxa"/>
            <w:noWrap/>
            <w:vAlign w:val="center"/>
            <w:hideMark/>
          </w:tcPr>
          <w:p w14:paraId="351B9696" w14:textId="77777777" w:rsidR="00C46123" w:rsidRPr="00CA2760" w:rsidRDefault="00C46123" w:rsidP="00B87A9B">
            <w:pPr>
              <w:jc w:val="right"/>
              <w:rPr>
                <w:rFonts w:ascii="Arial" w:hAnsi="Arial" w:cs="Arial"/>
                <w:sz w:val="20"/>
                <w:szCs w:val="20"/>
                <w:lang w:val="pt-BR"/>
              </w:rPr>
            </w:pPr>
          </w:p>
        </w:tc>
        <w:tc>
          <w:tcPr>
            <w:tcW w:w="860" w:type="dxa"/>
            <w:noWrap/>
            <w:vAlign w:val="center"/>
            <w:hideMark/>
          </w:tcPr>
          <w:p w14:paraId="7E6CBF4C" w14:textId="77777777" w:rsidR="00C46123" w:rsidRPr="00CA2760" w:rsidRDefault="00C46123" w:rsidP="00B87A9B">
            <w:pPr>
              <w:jc w:val="right"/>
              <w:rPr>
                <w:rFonts w:ascii="Arial" w:hAnsi="Arial" w:cs="Arial"/>
                <w:sz w:val="20"/>
                <w:szCs w:val="20"/>
                <w:lang w:val="pt-BR"/>
              </w:rPr>
            </w:pPr>
          </w:p>
        </w:tc>
        <w:tc>
          <w:tcPr>
            <w:tcW w:w="860" w:type="dxa"/>
            <w:shd w:val="clear" w:color="auto" w:fill="auto"/>
            <w:noWrap/>
            <w:vAlign w:val="center"/>
            <w:hideMark/>
          </w:tcPr>
          <w:p w14:paraId="2CF3B967" w14:textId="77777777" w:rsidR="00C46123" w:rsidRPr="008B2EB5" w:rsidRDefault="00C46123" w:rsidP="00B87A9B">
            <w:pPr>
              <w:jc w:val="right"/>
              <w:rPr>
                <w:rFonts w:ascii="Arial" w:hAnsi="Arial" w:cs="Arial"/>
                <w:sz w:val="20"/>
                <w:szCs w:val="20"/>
                <w:lang w:val="pt-BR"/>
              </w:rPr>
            </w:pPr>
          </w:p>
        </w:tc>
        <w:tc>
          <w:tcPr>
            <w:tcW w:w="940" w:type="dxa"/>
            <w:shd w:val="clear" w:color="auto" w:fill="auto"/>
            <w:noWrap/>
            <w:vAlign w:val="center"/>
            <w:hideMark/>
          </w:tcPr>
          <w:p w14:paraId="1D1C6263" w14:textId="77777777" w:rsidR="00C46123" w:rsidRPr="008B2EB5" w:rsidRDefault="00C46123" w:rsidP="00B87A9B">
            <w:pPr>
              <w:jc w:val="right"/>
              <w:rPr>
                <w:rFonts w:ascii="Arial" w:hAnsi="Arial" w:cs="Arial"/>
                <w:sz w:val="20"/>
                <w:szCs w:val="20"/>
                <w:lang w:val="pt-BR"/>
              </w:rPr>
            </w:pPr>
          </w:p>
        </w:tc>
        <w:tc>
          <w:tcPr>
            <w:tcW w:w="940" w:type="dxa"/>
            <w:shd w:val="clear" w:color="auto" w:fill="auto"/>
            <w:noWrap/>
            <w:vAlign w:val="center"/>
            <w:hideMark/>
          </w:tcPr>
          <w:p w14:paraId="64F72BC1" w14:textId="77777777" w:rsidR="00C46123" w:rsidRPr="008B2EB5" w:rsidRDefault="00C46123" w:rsidP="00B87A9B">
            <w:pPr>
              <w:jc w:val="right"/>
              <w:rPr>
                <w:rFonts w:ascii="Arial" w:hAnsi="Arial" w:cs="Arial"/>
                <w:sz w:val="20"/>
                <w:szCs w:val="20"/>
                <w:lang w:val="pt-BR"/>
              </w:rPr>
            </w:pPr>
          </w:p>
        </w:tc>
      </w:tr>
      <w:tr w:rsidR="00C46123" w:rsidRPr="008B2EB5" w14:paraId="647D6ED4" w14:textId="77777777" w:rsidTr="008B2EB5">
        <w:trPr>
          <w:trHeight w:val="322"/>
        </w:trPr>
        <w:tc>
          <w:tcPr>
            <w:tcW w:w="4422" w:type="dxa"/>
            <w:hideMark/>
          </w:tcPr>
          <w:p w14:paraId="07E0B777" w14:textId="755F4A90" w:rsidR="00C46123" w:rsidRPr="00CA2760" w:rsidRDefault="00C46123" w:rsidP="00B87A9B">
            <w:pPr>
              <w:rPr>
                <w:rFonts w:ascii="Arial" w:hAnsi="Arial" w:cs="Arial"/>
                <w:b/>
                <w:bCs/>
                <w:sz w:val="20"/>
                <w:szCs w:val="20"/>
                <w:lang w:val="pt-BR"/>
              </w:rPr>
            </w:pPr>
            <w:r w:rsidRPr="00CA2760">
              <w:rPr>
                <w:rFonts w:ascii="Arial" w:hAnsi="Arial" w:cs="Arial"/>
                <w:bCs/>
                <w:sz w:val="20"/>
                <w:szCs w:val="20"/>
                <w:lang w:val="pt-BR"/>
              </w:rPr>
              <w:t xml:space="preserve">2.1 Administração do fundo </w:t>
            </w:r>
            <w:r w:rsidR="00C773ED">
              <w:rPr>
                <w:rFonts w:ascii="Arial" w:hAnsi="Arial" w:cs="Arial"/>
                <w:bCs/>
                <w:sz w:val="20"/>
                <w:szCs w:val="20"/>
                <w:lang w:val="pt-BR"/>
              </w:rPr>
              <w:t>–</w:t>
            </w:r>
            <w:r w:rsidRPr="00CA2760">
              <w:rPr>
                <w:rFonts w:ascii="Arial" w:hAnsi="Arial" w:cs="Arial"/>
                <w:bCs/>
                <w:sz w:val="20"/>
                <w:szCs w:val="20"/>
                <w:lang w:val="pt-BR"/>
              </w:rPr>
              <w:t xml:space="preserve"> comissões</w:t>
            </w:r>
          </w:p>
        </w:tc>
        <w:tc>
          <w:tcPr>
            <w:tcW w:w="860" w:type="dxa"/>
            <w:noWrap/>
            <w:vAlign w:val="center"/>
            <w:hideMark/>
          </w:tcPr>
          <w:p w14:paraId="52EAFB50" w14:textId="77777777" w:rsidR="00C46123" w:rsidRPr="00CA2760" w:rsidRDefault="00C46123" w:rsidP="00B87A9B">
            <w:pPr>
              <w:jc w:val="right"/>
              <w:rPr>
                <w:rFonts w:ascii="Arial" w:hAnsi="Arial" w:cs="Arial"/>
                <w:sz w:val="20"/>
                <w:szCs w:val="20"/>
                <w:lang w:val="pt-BR"/>
              </w:rPr>
            </w:pPr>
          </w:p>
        </w:tc>
        <w:tc>
          <w:tcPr>
            <w:tcW w:w="860" w:type="dxa"/>
            <w:noWrap/>
            <w:vAlign w:val="center"/>
            <w:hideMark/>
          </w:tcPr>
          <w:p w14:paraId="1BB816EA" w14:textId="77777777" w:rsidR="00C46123" w:rsidRPr="00CA2760" w:rsidRDefault="00C46123" w:rsidP="00B87A9B">
            <w:pPr>
              <w:jc w:val="right"/>
              <w:rPr>
                <w:rFonts w:ascii="Arial" w:hAnsi="Arial" w:cs="Arial"/>
                <w:sz w:val="20"/>
                <w:szCs w:val="20"/>
                <w:lang w:val="pt-BR"/>
              </w:rPr>
            </w:pPr>
          </w:p>
        </w:tc>
        <w:tc>
          <w:tcPr>
            <w:tcW w:w="860" w:type="dxa"/>
            <w:noWrap/>
            <w:vAlign w:val="center"/>
            <w:hideMark/>
          </w:tcPr>
          <w:p w14:paraId="0053C33D" w14:textId="77777777" w:rsidR="00C46123" w:rsidRPr="00CA2760" w:rsidRDefault="00C46123" w:rsidP="00B87A9B">
            <w:pPr>
              <w:jc w:val="right"/>
              <w:rPr>
                <w:rFonts w:ascii="Arial" w:hAnsi="Arial" w:cs="Arial"/>
                <w:sz w:val="20"/>
                <w:szCs w:val="20"/>
                <w:lang w:val="pt-BR"/>
              </w:rPr>
            </w:pPr>
          </w:p>
        </w:tc>
        <w:tc>
          <w:tcPr>
            <w:tcW w:w="860" w:type="dxa"/>
            <w:noWrap/>
            <w:vAlign w:val="center"/>
            <w:hideMark/>
          </w:tcPr>
          <w:p w14:paraId="28759F6D" w14:textId="77777777" w:rsidR="00C46123" w:rsidRPr="00CA2760" w:rsidRDefault="00C46123" w:rsidP="00B87A9B">
            <w:pPr>
              <w:jc w:val="right"/>
              <w:rPr>
                <w:rFonts w:ascii="Arial" w:hAnsi="Arial" w:cs="Arial"/>
                <w:sz w:val="20"/>
                <w:szCs w:val="20"/>
                <w:lang w:val="pt-BR"/>
              </w:rPr>
            </w:pPr>
          </w:p>
        </w:tc>
        <w:tc>
          <w:tcPr>
            <w:tcW w:w="860" w:type="dxa"/>
            <w:noWrap/>
            <w:vAlign w:val="center"/>
            <w:hideMark/>
          </w:tcPr>
          <w:p w14:paraId="4371EF24" w14:textId="77777777" w:rsidR="00C46123" w:rsidRPr="00CA2760" w:rsidRDefault="00C46123" w:rsidP="00B87A9B">
            <w:pPr>
              <w:jc w:val="right"/>
              <w:rPr>
                <w:rFonts w:ascii="Arial" w:hAnsi="Arial" w:cs="Arial"/>
                <w:sz w:val="20"/>
                <w:szCs w:val="20"/>
                <w:lang w:val="pt-BR"/>
              </w:rPr>
            </w:pPr>
          </w:p>
        </w:tc>
        <w:tc>
          <w:tcPr>
            <w:tcW w:w="860" w:type="dxa"/>
            <w:shd w:val="clear" w:color="auto" w:fill="auto"/>
            <w:noWrap/>
            <w:vAlign w:val="center"/>
            <w:hideMark/>
          </w:tcPr>
          <w:p w14:paraId="04F01871" w14:textId="77777777" w:rsidR="00C46123" w:rsidRPr="008B2EB5" w:rsidRDefault="00C46123" w:rsidP="00B87A9B">
            <w:pPr>
              <w:jc w:val="right"/>
              <w:rPr>
                <w:rFonts w:ascii="Arial" w:hAnsi="Arial" w:cs="Arial"/>
                <w:sz w:val="20"/>
                <w:szCs w:val="20"/>
                <w:lang w:val="pt-BR"/>
              </w:rPr>
            </w:pPr>
          </w:p>
        </w:tc>
        <w:tc>
          <w:tcPr>
            <w:tcW w:w="940" w:type="dxa"/>
            <w:shd w:val="clear" w:color="auto" w:fill="auto"/>
            <w:noWrap/>
            <w:vAlign w:val="center"/>
            <w:hideMark/>
          </w:tcPr>
          <w:p w14:paraId="09E64ACC" w14:textId="77777777" w:rsidR="00C46123" w:rsidRPr="008B2EB5" w:rsidRDefault="00C46123" w:rsidP="00B87A9B">
            <w:pPr>
              <w:jc w:val="right"/>
              <w:rPr>
                <w:rFonts w:ascii="Arial" w:hAnsi="Arial" w:cs="Arial"/>
                <w:sz w:val="20"/>
                <w:szCs w:val="20"/>
                <w:lang w:val="pt-BR"/>
              </w:rPr>
            </w:pPr>
          </w:p>
        </w:tc>
        <w:tc>
          <w:tcPr>
            <w:tcW w:w="940" w:type="dxa"/>
            <w:shd w:val="clear" w:color="auto" w:fill="auto"/>
            <w:noWrap/>
            <w:vAlign w:val="center"/>
            <w:hideMark/>
          </w:tcPr>
          <w:p w14:paraId="62D019DF" w14:textId="77777777" w:rsidR="00C46123" w:rsidRPr="008B2EB5" w:rsidRDefault="00C46123" w:rsidP="00B87A9B">
            <w:pPr>
              <w:jc w:val="right"/>
              <w:rPr>
                <w:rFonts w:ascii="Arial" w:hAnsi="Arial" w:cs="Arial"/>
                <w:sz w:val="20"/>
                <w:szCs w:val="20"/>
                <w:lang w:val="pt-BR"/>
              </w:rPr>
            </w:pPr>
          </w:p>
        </w:tc>
      </w:tr>
      <w:tr w:rsidR="00C46123" w:rsidRPr="008B2EB5" w14:paraId="2D321BB6" w14:textId="77777777" w:rsidTr="008B2EB5">
        <w:trPr>
          <w:trHeight w:val="528"/>
        </w:trPr>
        <w:tc>
          <w:tcPr>
            <w:tcW w:w="4422" w:type="dxa"/>
            <w:hideMark/>
          </w:tcPr>
          <w:p w14:paraId="3B11ADA8"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Fomento Paraná (1% sobre os valores liberados aos municípios)</w:t>
            </w:r>
          </w:p>
        </w:tc>
        <w:tc>
          <w:tcPr>
            <w:tcW w:w="860" w:type="dxa"/>
            <w:noWrap/>
            <w:vAlign w:val="center"/>
            <w:hideMark/>
          </w:tcPr>
          <w:p w14:paraId="303FDC6D"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1,2</w:t>
            </w:r>
          </w:p>
        </w:tc>
        <w:tc>
          <w:tcPr>
            <w:tcW w:w="860" w:type="dxa"/>
            <w:noWrap/>
            <w:vAlign w:val="center"/>
            <w:hideMark/>
          </w:tcPr>
          <w:p w14:paraId="1CF805A3"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2,3</w:t>
            </w:r>
          </w:p>
        </w:tc>
        <w:tc>
          <w:tcPr>
            <w:tcW w:w="860" w:type="dxa"/>
            <w:noWrap/>
            <w:vAlign w:val="center"/>
            <w:hideMark/>
          </w:tcPr>
          <w:p w14:paraId="71FCEEFE"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1,5</w:t>
            </w:r>
          </w:p>
        </w:tc>
        <w:tc>
          <w:tcPr>
            <w:tcW w:w="860" w:type="dxa"/>
            <w:noWrap/>
            <w:vAlign w:val="center"/>
            <w:hideMark/>
          </w:tcPr>
          <w:p w14:paraId="0F6969A2"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1,4</w:t>
            </w:r>
          </w:p>
        </w:tc>
        <w:tc>
          <w:tcPr>
            <w:tcW w:w="860" w:type="dxa"/>
            <w:noWrap/>
            <w:vAlign w:val="center"/>
            <w:hideMark/>
          </w:tcPr>
          <w:p w14:paraId="5A0619EE"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1,4</w:t>
            </w:r>
          </w:p>
        </w:tc>
        <w:tc>
          <w:tcPr>
            <w:tcW w:w="860" w:type="dxa"/>
            <w:shd w:val="clear" w:color="auto" w:fill="auto"/>
            <w:noWrap/>
            <w:vAlign w:val="center"/>
            <w:hideMark/>
          </w:tcPr>
          <w:p w14:paraId="371DB480" w14:textId="77777777" w:rsidR="00C46123" w:rsidRPr="008B2EB5" w:rsidRDefault="00C46123" w:rsidP="00B87A9B">
            <w:pPr>
              <w:jc w:val="right"/>
              <w:rPr>
                <w:rFonts w:ascii="Arial" w:hAnsi="Arial" w:cs="Arial"/>
                <w:sz w:val="20"/>
                <w:szCs w:val="20"/>
                <w:lang w:val="pt-BR"/>
              </w:rPr>
            </w:pPr>
            <w:r w:rsidRPr="008B2EB5">
              <w:rPr>
                <w:rFonts w:ascii="Arial" w:hAnsi="Arial" w:cs="Arial"/>
                <w:sz w:val="20"/>
                <w:szCs w:val="20"/>
                <w:lang w:val="pt-BR"/>
              </w:rPr>
              <w:t>0,2</w:t>
            </w:r>
          </w:p>
        </w:tc>
        <w:tc>
          <w:tcPr>
            <w:tcW w:w="940" w:type="dxa"/>
            <w:shd w:val="clear" w:color="auto" w:fill="auto"/>
            <w:noWrap/>
            <w:vAlign w:val="center"/>
            <w:hideMark/>
          </w:tcPr>
          <w:p w14:paraId="09A261B4" w14:textId="7E83E43C" w:rsidR="00C46123" w:rsidRPr="008B2EB5" w:rsidRDefault="00DD6695" w:rsidP="00B87A9B">
            <w:pPr>
              <w:jc w:val="right"/>
              <w:rPr>
                <w:rFonts w:ascii="Arial" w:hAnsi="Arial" w:cs="Arial"/>
                <w:sz w:val="20"/>
                <w:szCs w:val="20"/>
                <w:lang w:val="pt-BR"/>
              </w:rPr>
            </w:pPr>
            <w:r>
              <w:rPr>
                <w:rFonts w:ascii="Arial" w:hAnsi="Arial" w:cs="Arial"/>
                <w:sz w:val="20"/>
                <w:szCs w:val="20"/>
                <w:lang w:val="pt-BR"/>
              </w:rPr>
              <w:t>16,7</w:t>
            </w:r>
            <w:r w:rsidR="00C46123" w:rsidRPr="008B2EB5">
              <w:rPr>
                <w:rFonts w:ascii="Arial" w:hAnsi="Arial" w:cs="Arial"/>
                <w:sz w:val="20"/>
                <w:szCs w:val="20"/>
                <w:lang w:val="pt-BR"/>
              </w:rPr>
              <w:t>%</w:t>
            </w:r>
          </w:p>
        </w:tc>
        <w:tc>
          <w:tcPr>
            <w:tcW w:w="940" w:type="dxa"/>
            <w:shd w:val="clear" w:color="auto" w:fill="auto"/>
            <w:noWrap/>
            <w:vAlign w:val="center"/>
            <w:hideMark/>
          </w:tcPr>
          <w:p w14:paraId="358AE9A4" w14:textId="088E8582" w:rsidR="00C46123" w:rsidRPr="008B2EB5" w:rsidRDefault="00A80146" w:rsidP="00B87A9B">
            <w:pPr>
              <w:jc w:val="right"/>
              <w:rPr>
                <w:rFonts w:ascii="Arial" w:hAnsi="Arial" w:cs="Arial"/>
                <w:sz w:val="20"/>
                <w:szCs w:val="20"/>
                <w:lang w:val="pt-BR"/>
              </w:rPr>
            </w:pPr>
            <w:r>
              <w:rPr>
                <w:rFonts w:ascii="Arial" w:hAnsi="Arial" w:cs="Arial"/>
                <w:sz w:val="20"/>
                <w:szCs w:val="20"/>
                <w:lang w:val="pt-BR"/>
              </w:rPr>
              <w:t>3,9</w:t>
            </w:r>
            <w:r w:rsidR="00C46123" w:rsidRPr="008B2EB5">
              <w:rPr>
                <w:rFonts w:ascii="Arial" w:hAnsi="Arial" w:cs="Arial"/>
                <w:sz w:val="20"/>
                <w:szCs w:val="20"/>
                <w:lang w:val="pt-BR"/>
              </w:rPr>
              <w:t>%</w:t>
            </w:r>
          </w:p>
        </w:tc>
      </w:tr>
      <w:tr w:rsidR="00C46123" w:rsidRPr="008B2EB5" w14:paraId="28C00AC7" w14:textId="77777777" w:rsidTr="007034F9">
        <w:trPr>
          <w:trHeight w:val="313"/>
        </w:trPr>
        <w:tc>
          <w:tcPr>
            <w:tcW w:w="4422" w:type="dxa"/>
            <w:hideMark/>
          </w:tcPr>
          <w:p w14:paraId="765DD481"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Fomento Paraná: Reembolso de Custos Indiretos</w:t>
            </w:r>
          </w:p>
        </w:tc>
        <w:tc>
          <w:tcPr>
            <w:tcW w:w="860" w:type="dxa"/>
            <w:noWrap/>
            <w:vAlign w:val="center"/>
            <w:hideMark/>
          </w:tcPr>
          <w:p w14:paraId="08AE4C55"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w:t>
            </w:r>
          </w:p>
        </w:tc>
        <w:tc>
          <w:tcPr>
            <w:tcW w:w="860" w:type="dxa"/>
            <w:noWrap/>
            <w:vAlign w:val="center"/>
            <w:hideMark/>
          </w:tcPr>
          <w:p w14:paraId="21B308E9"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w:t>
            </w:r>
          </w:p>
        </w:tc>
        <w:tc>
          <w:tcPr>
            <w:tcW w:w="860" w:type="dxa"/>
            <w:noWrap/>
            <w:vAlign w:val="center"/>
            <w:hideMark/>
          </w:tcPr>
          <w:p w14:paraId="6C6996AD"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3,3</w:t>
            </w:r>
          </w:p>
        </w:tc>
        <w:tc>
          <w:tcPr>
            <w:tcW w:w="860" w:type="dxa"/>
            <w:noWrap/>
            <w:vAlign w:val="center"/>
            <w:hideMark/>
          </w:tcPr>
          <w:p w14:paraId="29C6685B"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4,8</w:t>
            </w:r>
          </w:p>
        </w:tc>
        <w:tc>
          <w:tcPr>
            <w:tcW w:w="860" w:type="dxa"/>
            <w:noWrap/>
            <w:vAlign w:val="center"/>
            <w:hideMark/>
          </w:tcPr>
          <w:p w14:paraId="3B9E2820"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5,4</w:t>
            </w:r>
          </w:p>
        </w:tc>
        <w:tc>
          <w:tcPr>
            <w:tcW w:w="860" w:type="dxa"/>
            <w:shd w:val="clear" w:color="auto" w:fill="auto"/>
            <w:noWrap/>
            <w:vAlign w:val="center"/>
            <w:hideMark/>
          </w:tcPr>
          <w:p w14:paraId="3D762EE3" w14:textId="77777777" w:rsidR="00C46123" w:rsidRPr="008B2EB5" w:rsidRDefault="00C46123" w:rsidP="00B87A9B">
            <w:pPr>
              <w:jc w:val="right"/>
              <w:rPr>
                <w:rFonts w:ascii="Arial" w:hAnsi="Arial" w:cs="Arial"/>
                <w:sz w:val="20"/>
                <w:szCs w:val="20"/>
                <w:lang w:val="pt-BR"/>
              </w:rPr>
            </w:pPr>
            <w:r w:rsidRPr="008B2EB5">
              <w:rPr>
                <w:rFonts w:ascii="Arial" w:hAnsi="Arial" w:cs="Arial"/>
                <w:sz w:val="20"/>
                <w:szCs w:val="20"/>
                <w:lang w:val="pt-BR"/>
              </w:rPr>
              <w:t>5,4</w:t>
            </w:r>
          </w:p>
        </w:tc>
        <w:tc>
          <w:tcPr>
            <w:tcW w:w="940" w:type="dxa"/>
            <w:shd w:val="clear" w:color="auto" w:fill="auto"/>
            <w:noWrap/>
            <w:vAlign w:val="center"/>
          </w:tcPr>
          <w:p w14:paraId="79F19D71" w14:textId="3581C66C" w:rsidR="00C46123" w:rsidRPr="008B2EB5" w:rsidRDefault="00C46123" w:rsidP="00B87A9B">
            <w:pPr>
              <w:jc w:val="right"/>
              <w:rPr>
                <w:rFonts w:ascii="Arial" w:hAnsi="Arial" w:cs="Arial"/>
                <w:sz w:val="20"/>
                <w:szCs w:val="20"/>
                <w:lang w:val="pt-BR"/>
              </w:rPr>
            </w:pPr>
          </w:p>
        </w:tc>
        <w:tc>
          <w:tcPr>
            <w:tcW w:w="940" w:type="dxa"/>
            <w:shd w:val="clear" w:color="auto" w:fill="auto"/>
            <w:noWrap/>
            <w:vAlign w:val="center"/>
          </w:tcPr>
          <w:p w14:paraId="4531F63B" w14:textId="16F7A501" w:rsidR="00C46123" w:rsidRPr="008B2EB5" w:rsidRDefault="00C46123" w:rsidP="00B87A9B">
            <w:pPr>
              <w:jc w:val="right"/>
              <w:rPr>
                <w:rFonts w:ascii="Arial" w:hAnsi="Arial" w:cs="Arial"/>
                <w:sz w:val="20"/>
                <w:szCs w:val="20"/>
                <w:lang w:val="pt-BR"/>
              </w:rPr>
            </w:pPr>
          </w:p>
        </w:tc>
      </w:tr>
      <w:tr w:rsidR="00C46123" w:rsidRPr="008B2EB5" w14:paraId="4D70242E" w14:textId="77777777" w:rsidTr="008B2EB5">
        <w:trPr>
          <w:trHeight w:val="528"/>
        </w:trPr>
        <w:tc>
          <w:tcPr>
            <w:tcW w:w="4422" w:type="dxa"/>
            <w:hideMark/>
          </w:tcPr>
          <w:p w14:paraId="6A6A49DC"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Paranacidade (8% sobre os valores liberados aos municípios)</w:t>
            </w:r>
          </w:p>
        </w:tc>
        <w:tc>
          <w:tcPr>
            <w:tcW w:w="860" w:type="dxa"/>
            <w:noWrap/>
            <w:vAlign w:val="center"/>
            <w:hideMark/>
          </w:tcPr>
          <w:p w14:paraId="0AA06766"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9,7</w:t>
            </w:r>
          </w:p>
        </w:tc>
        <w:tc>
          <w:tcPr>
            <w:tcW w:w="860" w:type="dxa"/>
            <w:noWrap/>
            <w:vAlign w:val="center"/>
            <w:hideMark/>
          </w:tcPr>
          <w:p w14:paraId="46AB6BCD"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18,1</w:t>
            </w:r>
          </w:p>
        </w:tc>
        <w:tc>
          <w:tcPr>
            <w:tcW w:w="860" w:type="dxa"/>
            <w:noWrap/>
            <w:vAlign w:val="center"/>
            <w:hideMark/>
          </w:tcPr>
          <w:p w14:paraId="395376B5"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15,4</w:t>
            </w:r>
          </w:p>
        </w:tc>
        <w:tc>
          <w:tcPr>
            <w:tcW w:w="860" w:type="dxa"/>
            <w:noWrap/>
            <w:vAlign w:val="center"/>
            <w:hideMark/>
          </w:tcPr>
          <w:p w14:paraId="51FDD26C"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29,1</w:t>
            </w:r>
          </w:p>
        </w:tc>
        <w:tc>
          <w:tcPr>
            <w:tcW w:w="860" w:type="dxa"/>
            <w:noWrap/>
            <w:vAlign w:val="center"/>
            <w:hideMark/>
          </w:tcPr>
          <w:p w14:paraId="117E5CD1"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13,1</w:t>
            </w:r>
          </w:p>
        </w:tc>
        <w:tc>
          <w:tcPr>
            <w:tcW w:w="860" w:type="dxa"/>
            <w:shd w:val="clear" w:color="auto" w:fill="auto"/>
            <w:noWrap/>
            <w:vAlign w:val="center"/>
            <w:hideMark/>
          </w:tcPr>
          <w:p w14:paraId="37BB80C3" w14:textId="77777777" w:rsidR="00C46123" w:rsidRPr="008B2EB5" w:rsidRDefault="00C46123" w:rsidP="00B87A9B">
            <w:pPr>
              <w:jc w:val="right"/>
              <w:rPr>
                <w:rFonts w:ascii="Arial" w:hAnsi="Arial" w:cs="Arial"/>
                <w:sz w:val="20"/>
                <w:szCs w:val="20"/>
                <w:lang w:val="pt-BR"/>
              </w:rPr>
            </w:pPr>
            <w:r w:rsidRPr="008B2EB5">
              <w:rPr>
                <w:rFonts w:ascii="Arial" w:hAnsi="Arial" w:cs="Arial"/>
                <w:sz w:val="20"/>
                <w:szCs w:val="20"/>
                <w:lang w:val="pt-BR"/>
              </w:rPr>
              <w:t>3,4</w:t>
            </w:r>
          </w:p>
        </w:tc>
        <w:tc>
          <w:tcPr>
            <w:tcW w:w="940" w:type="dxa"/>
            <w:shd w:val="clear" w:color="auto" w:fill="auto"/>
            <w:noWrap/>
            <w:vAlign w:val="center"/>
            <w:hideMark/>
          </w:tcPr>
          <w:p w14:paraId="2F479394" w14:textId="77777777" w:rsidR="00C46123" w:rsidRPr="008B2EB5" w:rsidRDefault="00C46123" w:rsidP="00B87A9B">
            <w:pPr>
              <w:jc w:val="right"/>
              <w:rPr>
                <w:rFonts w:ascii="Arial" w:hAnsi="Arial" w:cs="Arial"/>
                <w:sz w:val="20"/>
                <w:szCs w:val="20"/>
                <w:lang w:val="pt-BR"/>
              </w:rPr>
            </w:pPr>
            <w:r w:rsidRPr="008B2EB5">
              <w:rPr>
                <w:rFonts w:ascii="Arial" w:hAnsi="Arial" w:cs="Arial"/>
                <w:sz w:val="20"/>
                <w:szCs w:val="20"/>
                <w:lang w:val="pt-BR"/>
              </w:rPr>
              <w:t>34,8%</w:t>
            </w:r>
          </w:p>
        </w:tc>
        <w:tc>
          <w:tcPr>
            <w:tcW w:w="940" w:type="dxa"/>
            <w:shd w:val="clear" w:color="auto" w:fill="auto"/>
            <w:noWrap/>
            <w:vAlign w:val="center"/>
            <w:hideMark/>
          </w:tcPr>
          <w:p w14:paraId="67F56D54" w14:textId="77777777" w:rsidR="00C46123" w:rsidRPr="008B2EB5" w:rsidRDefault="00C46123" w:rsidP="00B87A9B">
            <w:pPr>
              <w:jc w:val="right"/>
              <w:rPr>
                <w:rFonts w:ascii="Arial" w:hAnsi="Arial" w:cs="Arial"/>
                <w:sz w:val="20"/>
                <w:szCs w:val="20"/>
                <w:lang w:val="pt-BR"/>
              </w:rPr>
            </w:pPr>
            <w:r w:rsidRPr="008B2EB5">
              <w:rPr>
                <w:rFonts w:ascii="Arial" w:hAnsi="Arial" w:cs="Arial"/>
                <w:sz w:val="20"/>
                <w:szCs w:val="20"/>
                <w:lang w:val="pt-BR"/>
              </w:rPr>
              <w:t>7,8%</w:t>
            </w:r>
          </w:p>
        </w:tc>
      </w:tr>
      <w:tr w:rsidR="00C46123" w:rsidRPr="008B2EB5" w14:paraId="2DBAFD02" w14:textId="77777777" w:rsidTr="008B2EB5">
        <w:trPr>
          <w:trHeight w:val="264"/>
        </w:trPr>
        <w:tc>
          <w:tcPr>
            <w:tcW w:w="4422" w:type="dxa"/>
            <w:hideMark/>
          </w:tcPr>
          <w:p w14:paraId="6228CB6E" w14:textId="77777777" w:rsidR="00C46123" w:rsidRPr="00CA2760" w:rsidRDefault="00C46123" w:rsidP="00B87A9B">
            <w:pPr>
              <w:rPr>
                <w:rFonts w:ascii="Arial" w:hAnsi="Arial" w:cs="Arial"/>
                <w:sz w:val="20"/>
                <w:szCs w:val="20"/>
                <w:lang w:val="pt-BR"/>
              </w:rPr>
            </w:pPr>
            <w:r w:rsidRPr="00CA2760">
              <w:rPr>
                <w:rFonts w:ascii="Arial" w:hAnsi="Arial" w:cs="Arial"/>
                <w:sz w:val="20"/>
                <w:szCs w:val="20"/>
                <w:lang w:val="pt-BR"/>
              </w:rPr>
              <w:t>Subtotal (Administração do Fundo)</w:t>
            </w:r>
          </w:p>
        </w:tc>
        <w:tc>
          <w:tcPr>
            <w:tcW w:w="860" w:type="dxa"/>
            <w:noWrap/>
            <w:vAlign w:val="center"/>
            <w:hideMark/>
          </w:tcPr>
          <w:p w14:paraId="5211292E"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10,9</w:t>
            </w:r>
          </w:p>
        </w:tc>
        <w:tc>
          <w:tcPr>
            <w:tcW w:w="860" w:type="dxa"/>
            <w:noWrap/>
            <w:vAlign w:val="center"/>
            <w:hideMark/>
          </w:tcPr>
          <w:p w14:paraId="7765AAF7"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20,3</w:t>
            </w:r>
          </w:p>
        </w:tc>
        <w:tc>
          <w:tcPr>
            <w:tcW w:w="860" w:type="dxa"/>
            <w:noWrap/>
            <w:vAlign w:val="center"/>
            <w:hideMark/>
          </w:tcPr>
          <w:p w14:paraId="125CBD18"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20,2</w:t>
            </w:r>
          </w:p>
        </w:tc>
        <w:tc>
          <w:tcPr>
            <w:tcW w:w="860" w:type="dxa"/>
            <w:noWrap/>
            <w:vAlign w:val="center"/>
            <w:hideMark/>
          </w:tcPr>
          <w:p w14:paraId="0ACF02D6"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35,3</w:t>
            </w:r>
          </w:p>
        </w:tc>
        <w:tc>
          <w:tcPr>
            <w:tcW w:w="860" w:type="dxa"/>
            <w:noWrap/>
            <w:vAlign w:val="center"/>
            <w:hideMark/>
          </w:tcPr>
          <w:p w14:paraId="42AC794C"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19,9</w:t>
            </w:r>
          </w:p>
        </w:tc>
        <w:tc>
          <w:tcPr>
            <w:tcW w:w="860" w:type="dxa"/>
            <w:shd w:val="clear" w:color="auto" w:fill="auto"/>
            <w:noWrap/>
            <w:vAlign w:val="center"/>
            <w:hideMark/>
          </w:tcPr>
          <w:p w14:paraId="6DB6433B" w14:textId="77777777" w:rsidR="00C46123" w:rsidRPr="008B2EB5" w:rsidRDefault="00C46123" w:rsidP="00B87A9B">
            <w:pPr>
              <w:jc w:val="right"/>
              <w:rPr>
                <w:rFonts w:ascii="Arial" w:hAnsi="Arial" w:cs="Arial"/>
                <w:sz w:val="20"/>
                <w:szCs w:val="20"/>
                <w:lang w:val="pt-BR"/>
              </w:rPr>
            </w:pPr>
            <w:r w:rsidRPr="008B2EB5">
              <w:rPr>
                <w:rFonts w:ascii="Arial" w:hAnsi="Arial" w:cs="Arial"/>
                <w:sz w:val="20"/>
                <w:szCs w:val="20"/>
                <w:lang w:val="pt-BR"/>
              </w:rPr>
              <w:t>9,0</w:t>
            </w:r>
          </w:p>
        </w:tc>
        <w:tc>
          <w:tcPr>
            <w:tcW w:w="940" w:type="dxa"/>
            <w:shd w:val="clear" w:color="auto" w:fill="auto"/>
            <w:noWrap/>
            <w:vAlign w:val="center"/>
            <w:hideMark/>
          </w:tcPr>
          <w:p w14:paraId="043E1A7C" w14:textId="33DDE7B8" w:rsidR="00C46123" w:rsidRPr="008B2EB5" w:rsidRDefault="000B3B8D" w:rsidP="00B87A9B">
            <w:pPr>
              <w:jc w:val="right"/>
              <w:rPr>
                <w:rFonts w:ascii="Arial" w:hAnsi="Arial" w:cs="Arial"/>
                <w:sz w:val="20"/>
                <w:szCs w:val="20"/>
                <w:lang w:val="pt-BR"/>
              </w:rPr>
            </w:pPr>
            <w:r>
              <w:rPr>
                <w:rFonts w:ascii="Arial" w:hAnsi="Arial" w:cs="Arial"/>
                <w:sz w:val="20"/>
                <w:szCs w:val="20"/>
                <w:lang w:val="pt-BR"/>
              </w:rPr>
              <w:t>8</w:t>
            </w:r>
            <w:r w:rsidR="003E0150">
              <w:rPr>
                <w:rFonts w:ascii="Arial" w:hAnsi="Arial" w:cs="Arial"/>
                <w:sz w:val="20"/>
                <w:szCs w:val="20"/>
                <w:lang w:val="pt-BR"/>
              </w:rPr>
              <w:t>2</w:t>
            </w:r>
            <w:r>
              <w:rPr>
                <w:rFonts w:ascii="Arial" w:hAnsi="Arial" w:cs="Arial"/>
                <w:sz w:val="20"/>
                <w:szCs w:val="20"/>
                <w:lang w:val="pt-BR"/>
              </w:rPr>
              <w:t>,0%</w:t>
            </w:r>
          </w:p>
        </w:tc>
        <w:tc>
          <w:tcPr>
            <w:tcW w:w="940" w:type="dxa"/>
            <w:shd w:val="clear" w:color="auto" w:fill="auto"/>
            <w:noWrap/>
            <w:vAlign w:val="center"/>
            <w:hideMark/>
          </w:tcPr>
          <w:p w14:paraId="5D8AB7D3" w14:textId="630F5655" w:rsidR="00C46123" w:rsidRPr="008B2EB5" w:rsidRDefault="003E0150" w:rsidP="00B87A9B">
            <w:pPr>
              <w:jc w:val="right"/>
              <w:rPr>
                <w:rFonts w:ascii="Arial" w:hAnsi="Arial" w:cs="Arial"/>
                <w:sz w:val="20"/>
                <w:szCs w:val="20"/>
                <w:lang w:val="pt-BR"/>
              </w:rPr>
            </w:pPr>
            <w:r>
              <w:rPr>
                <w:rFonts w:ascii="Arial" w:hAnsi="Arial" w:cs="Arial"/>
                <w:sz w:val="20"/>
                <w:szCs w:val="20"/>
                <w:lang w:val="pt-BR"/>
              </w:rPr>
              <w:t>16,2</w:t>
            </w:r>
            <w:r w:rsidR="000B3B8D">
              <w:rPr>
                <w:rFonts w:ascii="Arial" w:hAnsi="Arial" w:cs="Arial"/>
                <w:sz w:val="20"/>
                <w:szCs w:val="20"/>
                <w:lang w:val="pt-BR"/>
              </w:rPr>
              <w:t>%</w:t>
            </w:r>
          </w:p>
        </w:tc>
      </w:tr>
      <w:tr w:rsidR="00C46123" w:rsidRPr="008B2EB5" w14:paraId="33194E9F" w14:textId="77777777" w:rsidTr="008B2EB5">
        <w:trPr>
          <w:trHeight w:val="264"/>
        </w:trPr>
        <w:tc>
          <w:tcPr>
            <w:tcW w:w="4422" w:type="dxa"/>
            <w:hideMark/>
          </w:tcPr>
          <w:p w14:paraId="79890A05" w14:textId="77777777" w:rsidR="00C46123" w:rsidRPr="00CA2760" w:rsidRDefault="00C46123" w:rsidP="00B87A9B">
            <w:pPr>
              <w:rPr>
                <w:rFonts w:ascii="Arial" w:hAnsi="Arial" w:cs="Arial"/>
                <w:b/>
                <w:bCs/>
                <w:sz w:val="20"/>
                <w:szCs w:val="20"/>
                <w:lang w:val="pt-BR"/>
              </w:rPr>
            </w:pPr>
            <w:r w:rsidRPr="00CA2760">
              <w:rPr>
                <w:rFonts w:ascii="Arial" w:hAnsi="Arial" w:cs="Arial"/>
                <w:bCs/>
                <w:sz w:val="20"/>
                <w:szCs w:val="20"/>
                <w:lang w:val="pt-BR"/>
              </w:rPr>
              <w:t>2.2 Outras despesas</w:t>
            </w:r>
          </w:p>
        </w:tc>
        <w:tc>
          <w:tcPr>
            <w:tcW w:w="860" w:type="dxa"/>
            <w:noWrap/>
            <w:vAlign w:val="center"/>
            <w:hideMark/>
          </w:tcPr>
          <w:p w14:paraId="195248EC"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14,5</w:t>
            </w:r>
          </w:p>
        </w:tc>
        <w:tc>
          <w:tcPr>
            <w:tcW w:w="860" w:type="dxa"/>
            <w:noWrap/>
            <w:vAlign w:val="center"/>
            <w:hideMark/>
          </w:tcPr>
          <w:p w14:paraId="04C436D1"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8,5</w:t>
            </w:r>
          </w:p>
        </w:tc>
        <w:tc>
          <w:tcPr>
            <w:tcW w:w="860" w:type="dxa"/>
            <w:noWrap/>
            <w:vAlign w:val="center"/>
            <w:hideMark/>
          </w:tcPr>
          <w:p w14:paraId="7677A26D"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12,0</w:t>
            </w:r>
          </w:p>
        </w:tc>
        <w:tc>
          <w:tcPr>
            <w:tcW w:w="860" w:type="dxa"/>
            <w:noWrap/>
            <w:vAlign w:val="center"/>
            <w:hideMark/>
          </w:tcPr>
          <w:p w14:paraId="669F19C5"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11,1</w:t>
            </w:r>
          </w:p>
        </w:tc>
        <w:tc>
          <w:tcPr>
            <w:tcW w:w="860" w:type="dxa"/>
            <w:noWrap/>
            <w:vAlign w:val="center"/>
            <w:hideMark/>
          </w:tcPr>
          <w:p w14:paraId="00AC833F"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8,6</w:t>
            </w:r>
          </w:p>
        </w:tc>
        <w:tc>
          <w:tcPr>
            <w:tcW w:w="860" w:type="dxa"/>
            <w:shd w:val="clear" w:color="auto" w:fill="auto"/>
            <w:noWrap/>
            <w:vAlign w:val="center"/>
            <w:hideMark/>
          </w:tcPr>
          <w:p w14:paraId="7533B1D8" w14:textId="77777777" w:rsidR="00C46123" w:rsidRPr="008B2EB5" w:rsidRDefault="00C46123" w:rsidP="00B87A9B">
            <w:pPr>
              <w:jc w:val="right"/>
              <w:rPr>
                <w:rFonts w:ascii="Arial" w:hAnsi="Arial" w:cs="Arial"/>
                <w:sz w:val="20"/>
                <w:szCs w:val="20"/>
                <w:lang w:val="pt-BR"/>
              </w:rPr>
            </w:pPr>
            <w:r w:rsidRPr="008B2EB5">
              <w:rPr>
                <w:rFonts w:ascii="Arial" w:hAnsi="Arial" w:cs="Arial"/>
                <w:sz w:val="20"/>
                <w:szCs w:val="20"/>
                <w:lang w:val="pt-BR"/>
              </w:rPr>
              <w:t>-5,9</w:t>
            </w:r>
          </w:p>
        </w:tc>
        <w:tc>
          <w:tcPr>
            <w:tcW w:w="940" w:type="dxa"/>
            <w:shd w:val="clear" w:color="auto" w:fill="auto"/>
            <w:noWrap/>
            <w:vAlign w:val="center"/>
            <w:hideMark/>
          </w:tcPr>
          <w:p w14:paraId="5B3AA0E2" w14:textId="77777777" w:rsidR="00C46123" w:rsidRPr="008B2EB5" w:rsidRDefault="00C46123" w:rsidP="00B87A9B">
            <w:pPr>
              <w:jc w:val="right"/>
              <w:rPr>
                <w:rFonts w:ascii="Arial" w:hAnsi="Arial" w:cs="Arial"/>
                <w:sz w:val="20"/>
                <w:szCs w:val="20"/>
                <w:lang w:val="pt-BR"/>
              </w:rPr>
            </w:pPr>
            <w:r w:rsidRPr="008B2EB5">
              <w:rPr>
                <w:rFonts w:ascii="Arial" w:hAnsi="Arial" w:cs="Arial"/>
                <w:sz w:val="20"/>
                <w:szCs w:val="20"/>
                <w:lang w:val="pt-BR"/>
              </w:rPr>
              <w:t>-40,8%</w:t>
            </w:r>
          </w:p>
        </w:tc>
        <w:tc>
          <w:tcPr>
            <w:tcW w:w="940" w:type="dxa"/>
            <w:shd w:val="clear" w:color="auto" w:fill="auto"/>
            <w:noWrap/>
            <w:vAlign w:val="center"/>
            <w:hideMark/>
          </w:tcPr>
          <w:p w14:paraId="733AD564" w14:textId="77777777" w:rsidR="00C46123" w:rsidRPr="008B2EB5" w:rsidRDefault="00C46123" w:rsidP="00B87A9B">
            <w:pPr>
              <w:jc w:val="right"/>
              <w:rPr>
                <w:rFonts w:ascii="Arial" w:hAnsi="Arial" w:cs="Arial"/>
                <w:sz w:val="20"/>
                <w:szCs w:val="20"/>
                <w:lang w:val="pt-BR"/>
              </w:rPr>
            </w:pPr>
            <w:r w:rsidRPr="008B2EB5">
              <w:rPr>
                <w:rFonts w:ascii="Arial" w:hAnsi="Arial" w:cs="Arial"/>
                <w:sz w:val="20"/>
                <w:szCs w:val="20"/>
                <w:lang w:val="pt-BR"/>
              </w:rPr>
              <w:t>-12,3%</w:t>
            </w:r>
          </w:p>
        </w:tc>
      </w:tr>
      <w:tr w:rsidR="00C46123" w:rsidRPr="008B2EB5" w14:paraId="43C7E93E" w14:textId="77777777" w:rsidTr="008B2EB5">
        <w:trPr>
          <w:trHeight w:val="264"/>
        </w:trPr>
        <w:tc>
          <w:tcPr>
            <w:tcW w:w="4422" w:type="dxa"/>
            <w:hideMark/>
          </w:tcPr>
          <w:p w14:paraId="6CE9F5D0"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Total de Despesas</w:t>
            </w:r>
          </w:p>
        </w:tc>
        <w:tc>
          <w:tcPr>
            <w:tcW w:w="860" w:type="dxa"/>
            <w:noWrap/>
            <w:vAlign w:val="center"/>
            <w:hideMark/>
          </w:tcPr>
          <w:p w14:paraId="66881469"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25,4</w:t>
            </w:r>
          </w:p>
        </w:tc>
        <w:tc>
          <w:tcPr>
            <w:tcW w:w="860" w:type="dxa"/>
            <w:noWrap/>
            <w:vAlign w:val="center"/>
            <w:hideMark/>
          </w:tcPr>
          <w:p w14:paraId="0D83F70F"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28,8</w:t>
            </w:r>
          </w:p>
        </w:tc>
        <w:tc>
          <w:tcPr>
            <w:tcW w:w="860" w:type="dxa"/>
            <w:noWrap/>
            <w:vAlign w:val="center"/>
            <w:hideMark/>
          </w:tcPr>
          <w:p w14:paraId="1AA9B80B"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32,3</w:t>
            </w:r>
          </w:p>
        </w:tc>
        <w:tc>
          <w:tcPr>
            <w:tcW w:w="860" w:type="dxa"/>
            <w:noWrap/>
            <w:vAlign w:val="center"/>
            <w:hideMark/>
          </w:tcPr>
          <w:p w14:paraId="7C063D4F"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46,4</w:t>
            </w:r>
          </w:p>
        </w:tc>
        <w:tc>
          <w:tcPr>
            <w:tcW w:w="860" w:type="dxa"/>
            <w:noWrap/>
            <w:vAlign w:val="center"/>
            <w:hideMark/>
          </w:tcPr>
          <w:p w14:paraId="166AEC33"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28,5</w:t>
            </w:r>
          </w:p>
        </w:tc>
        <w:tc>
          <w:tcPr>
            <w:tcW w:w="860" w:type="dxa"/>
            <w:shd w:val="clear" w:color="auto" w:fill="auto"/>
            <w:noWrap/>
            <w:vAlign w:val="center"/>
            <w:hideMark/>
          </w:tcPr>
          <w:p w14:paraId="1EF4149B" w14:textId="77777777" w:rsidR="00C46123" w:rsidRPr="008B2EB5" w:rsidRDefault="00C46123" w:rsidP="00B87A9B">
            <w:pPr>
              <w:jc w:val="right"/>
              <w:rPr>
                <w:rFonts w:ascii="Arial" w:hAnsi="Arial" w:cs="Arial"/>
                <w:b/>
                <w:sz w:val="20"/>
                <w:szCs w:val="20"/>
                <w:lang w:val="pt-BR"/>
              </w:rPr>
            </w:pPr>
            <w:r w:rsidRPr="008B2EB5">
              <w:rPr>
                <w:rFonts w:ascii="Arial" w:hAnsi="Arial" w:cs="Arial"/>
                <w:b/>
                <w:sz w:val="20"/>
                <w:szCs w:val="20"/>
                <w:lang w:val="pt-BR"/>
              </w:rPr>
              <w:t>3,1</w:t>
            </w:r>
          </w:p>
        </w:tc>
        <w:tc>
          <w:tcPr>
            <w:tcW w:w="940" w:type="dxa"/>
            <w:shd w:val="clear" w:color="auto" w:fill="auto"/>
            <w:noWrap/>
            <w:vAlign w:val="center"/>
            <w:hideMark/>
          </w:tcPr>
          <w:p w14:paraId="14C73B01" w14:textId="77777777" w:rsidR="00C46123" w:rsidRPr="008B2EB5" w:rsidRDefault="00C46123" w:rsidP="00B87A9B">
            <w:pPr>
              <w:jc w:val="right"/>
              <w:rPr>
                <w:rFonts w:ascii="Arial" w:hAnsi="Arial" w:cs="Arial"/>
                <w:b/>
                <w:sz w:val="20"/>
                <w:szCs w:val="20"/>
                <w:lang w:val="pt-BR"/>
              </w:rPr>
            </w:pPr>
            <w:r w:rsidRPr="008B2EB5">
              <w:rPr>
                <w:rFonts w:ascii="Arial" w:hAnsi="Arial" w:cs="Arial"/>
                <w:b/>
                <w:sz w:val="20"/>
                <w:szCs w:val="20"/>
                <w:lang w:val="pt-BR"/>
              </w:rPr>
              <w:t>12,1%</w:t>
            </w:r>
          </w:p>
        </w:tc>
        <w:tc>
          <w:tcPr>
            <w:tcW w:w="940" w:type="dxa"/>
            <w:shd w:val="clear" w:color="auto" w:fill="auto"/>
            <w:noWrap/>
            <w:vAlign w:val="center"/>
            <w:hideMark/>
          </w:tcPr>
          <w:p w14:paraId="3A2F4DC9" w14:textId="77777777" w:rsidR="00C46123" w:rsidRPr="008B2EB5" w:rsidRDefault="00C46123" w:rsidP="00B87A9B">
            <w:pPr>
              <w:jc w:val="right"/>
              <w:rPr>
                <w:rFonts w:ascii="Arial" w:hAnsi="Arial" w:cs="Arial"/>
                <w:b/>
                <w:sz w:val="20"/>
                <w:szCs w:val="20"/>
                <w:lang w:val="pt-BR"/>
              </w:rPr>
            </w:pPr>
            <w:bookmarkStart w:id="15" w:name="_Hlk512756669"/>
            <w:r w:rsidRPr="008B2EB5">
              <w:rPr>
                <w:rFonts w:ascii="Arial" w:hAnsi="Arial" w:cs="Arial"/>
                <w:b/>
                <w:sz w:val="20"/>
                <w:szCs w:val="20"/>
                <w:lang w:val="pt-BR"/>
              </w:rPr>
              <w:t>2,9%</w:t>
            </w:r>
            <w:bookmarkEnd w:id="15"/>
          </w:p>
        </w:tc>
      </w:tr>
      <w:tr w:rsidR="00C46123" w:rsidRPr="008B2EB5" w14:paraId="250EC042" w14:textId="77777777" w:rsidTr="008B2EB5">
        <w:trPr>
          <w:trHeight w:val="408"/>
        </w:trPr>
        <w:tc>
          <w:tcPr>
            <w:tcW w:w="4422" w:type="dxa"/>
            <w:hideMark/>
          </w:tcPr>
          <w:p w14:paraId="674BC577" w14:textId="7B78769A"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xml:space="preserve">3. Lucro antes do Juros sobre o Capital Próprio </w:t>
            </w:r>
            <w:r w:rsidR="00067052" w:rsidRPr="00CA2760">
              <w:rPr>
                <w:rFonts w:ascii="Arial" w:hAnsi="Arial" w:cs="Arial"/>
                <w:b/>
                <w:bCs/>
                <w:sz w:val="20"/>
                <w:szCs w:val="20"/>
                <w:lang w:val="pt-BR"/>
              </w:rPr>
              <w:t>(1</w:t>
            </w:r>
            <w:r w:rsidRPr="00CA2760">
              <w:rPr>
                <w:rFonts w:ascii="Arial" w:hAnsi="Arial" w:cs="Arial"/>
                <w:b/>
                <w:bCs/>
                <w:sz w:val="20"/>
                <w:szCs w:val="20"/>
                <w:lang w:val="pt-BR"/>
              </w:rPr>
              <w:t xml:space="preserve"> - </w:t>
            </w:r>
            <w:r w:rsidR="00067052" w:rsidRPr="00CA2760">
              <w:rPr>
                <w:rFonts w:ascii="Arial" w:hAnsi="Arial" w:cs="Arial"/>
                <w:b/>
                <w:bCs/>
                <w:sz w:val="20"/>
                <w:szCs w:val="20"/>
                <w:lang w:val="pt-BR"/>
              </w:rPr>
              <w:t>2)</w:t>
            </w:r>
          </w:p>
        </w:tc>
        <w:tc>
          <w:tcPr>
            <w:tcW w:w="860" w:type="dxa"/>
            <w:noWrap/>
            <w:vAlign w:val="center"/>
            <w:hideMark/>
          </w:tcPr>
          <w:p w14:paraId="60E34D2E"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112,5</w:t>
            </w:r>
          </w:p>
        </w:tc>
        <w:tc>
          <w:tcPr>
            <w:tcW w:w="860" w:type="dxa"/>
            <w:noWrap/>
            <w:vAlign w:val="center"/>
            <w:hideMark/>
          </w:tcPr>
          <w:p w14:paraId="0B14CD95"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105,7</w:t>
            </w:r>
          </w:p>
        </w:tc>
        <w:tc>
          <w:tcPr>
            <w:tcW w:w="860" w:type="dxa"/>
            <w:noWrap/>
            <w:vAlign w:val="center"/>
            <w:hideMark/>
          </w:tcPr>
          <w:p w14:paraId="381F87E0"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119,8</w:t>
            </w:r>
          </w:p>
        </w:tc>
        <w:tc>
          <w:tcPr>
            <w:tcW w:w="860" w:type="dxa"/>
            <w:noWrap/>
            <w:vAlign w:val="center"/>
            <w:hideMark/>
          </w:tcPr>
          <w:p w14:paraId="2CAC5F70"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123,1</w:t>
            </w:r>
          </w:p>
        </w:tc>
        <w:tc>
          <w:tcPr>
            <w:tcW w:w="860" w:type="dxa"/>
            <w:noWrap/>
            <w:vAlign w:val="center"/>
            <w:hideMark/>
          </w:tcPr>
          <w:p w14:paraId="6BD614F7"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115,5</w:t>
            </w:r>
          </w:p>
        </w:tc>
        <w:tc>
          <w:tcPr>
            <w:tcW w:w="860" w:type="dxa"/>
            <w:shd w:val="clear" w:color="auto" w:fill="auto"/>
            <w:noWrap/>
            <w:vAlign w:val="center"/>
            <w:hideMark/>
          </w:tcPr>
          <w:p w14:paraId="0EEF3A4D" w14:textId="77777777" w:rsidR="00C46123" w:rsidRPr="008B2EB5" w:rsidRDefault="00C46123" w:rsidP="00B87A9B">
            <w:pPr>
              <w:jc w:val="right"/>
              <w:rPr>
                <w:rFonts w:ascii="Arial" w:hAnsi="Arial" w:cs="Arial"/>
                <w:b/>
                <w:sz w:val="20"/>
                <w:szCs w:val="20"/>
                <w:lang w:val="pt-BR"/>
              </w:rPr>
            </w:pPr>
            <w:r w:rsidRPr="008B2EB5">
              <w:rPr>
                <w:rFonts w:ascii="Arial" w:hAnsi="Arial" w:cs="Arial"/>
                <w:b/>
                <w:sz w:val="20"/>
                <w:szCs w:val="20"/>
                <w:lang w:val="pt-BR"/>
              </w:rPr>
              <w:t>3,0</w:t>
            </w:r>
          </w:p>
        </w:tc>
        <w:tc>
          <w:tcPr>
            <w:tcW w:w="940" w:type="dxa"/>
            <w:shd w:val="clear" w:color="auto" w:fill="auto"/>
            <w:noWrap/>
            <w:vAlign w:val="center"/>
            <w:hideMark/>
          </w:tcPr>
          <w:p w14:paraId="0A9C451D" w14:textId="77777777" w:rsidR="00C46123" w:rsidRPr="008B2EB5" w:rsidRDefault="00C46123" w:rsidP="00B87A9B">
            <w:pPr>
              <w:jc w:val="right"/>
              <w:rPr>
                <w:rFonts w:ascii="Arial" w:hAnsi="Arial" w:cs="Arial"/>
                <w:b/>
                <w:sz w:val="20"/>
                <w:szCs w:val="20"/>
                <w:lang w:val="pt-BR"/>
              </w:rPr>
            </w:pPr>
            <w:r w:rsidRPr="008B2EB5">
              <w:rPr>
                <w:rFonts w:ascii="Arial" w:hAnsi="Arial" w:cs="Arial"/>
                <w:b/>
                <w:sz w:val="20"/>
                <w:szCs w:val="20"/>
                <w:lang w:val="pt-BR"/>
              </w:rPr>
              <w:t>2,7%</w:t>
            </w:r>
          </w:p>
        </w:tc>
        <w:tc>
          <w:tcPr>
            <w:tcW w:w="940" w:type="dxa"/>
            <w:shd w:val="clear" w:color="auto" w:fill="auto"/>
            <w:noWrap/>
            <w:vAlign w:val="center"/>
            <w:hideMark/>
          </w:tcPr>
          <w:p w14:paraId="2814124C" w14:textId="77777777" w:rsidR="00C46123" w:rsidRPr="008B2EB5" w:rsidRDefault="00C46123" w:rsidP="00B87A9B">
            <w:pPr>
              <w:jc w:val="right"/>
              <w:rPr>
                <w:rFonts w:ascii="Arial" w:hAnsi="Arial" w:cs="Arial"/>
                <w:b/>
                <w:sz w:val="20"/>
                <w:szCs w:val="20"/>
                <w:lang w:val="pt-BR"/>
              </w:rPr>
            </w:pPr>
            <w:r w:rsidRPr="008B2EB5">
              <w:rPr>
                <w:rFonts w:ascii="Arial" w:hAnsi="Arial" w:cs="Arial"/>
                <w:b/>
                <w:sz w:val="20"/>
                <w:szCs w:val="20"/>
                <w:lang w:val="pt-BR"/>
              </w:rPr>
              <w:t>0,7%</w:t>
            </w:r>
          </w:p>
        </w:tc>
      </w:tr>
      <w:tr w:rsidR="00C46123" w:rsidRPr="00CA2760" w14:paraId="050EC14A" w14:textId="77777777" w:rsidTr="00B87A9B">
        <w:trPr>
          <w:trHeight w:val="264"/>
        </w:trPr>
        <w:tc>
          <w:tcPr>
            <w:tcW w:w="4422" w:type="dxa"/>
            <w:hideMark/>
          </w:tcPr>
          <w:p w14:paraId="41F264DD"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4. Juros sobre o Capital Próprio</w:t>
            </w:r>
          </w:p>
        </w:tc>
        <w:tc>
          <w:tcPr>
            <w:tcW w:w="860" w:type="dxa"/>
            <w:noWrap/>
            <w:vAlign w:val="center"/>
            <w:hideMark/>
          </w:tcPr>
          <w:p w14:paraId="0B1457AB"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67,4</w:t>
            </w:r>
          </w:p>
        </w:tc>
        <w:tc>
          <w:tcPr>
            <w:tcW w:w="860" w:type="dxa"/>
            <w:noWrap/>
            <w:vAlign w:val="center"/>
            <w:hideMark/>
          </w:tcPr>
          <w:p w14:paraId="2673E562"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58,2</w:t>
            </w:r>
          </w:p>
        </w:tc>
        <w:tc>
          <w:tcPr>
            <w:tcW w:w="860" w:type="dxa"/>
            <w:noWrap/>
            <w:vAlign w:val="center"/>
            <w:hideMark/>
          </w:tcPr>
          <w:p w14:paraId="4733A529"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54,5</w:t>
            </w:r>
          </w:p>
        </w:tc>
        <w:tc>
          <w:tcPr>
            <w:tcW w:w="860" w:type="dxa"/>
            <w:noWrap/>
            <w:vAlign w:val="center"/>
            <w:hideMark/>
          </w:tcPr>
          <w:p w14:paraId="2353F774"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77,6</w:t>
            </w:r>
          </w:p>
        </w:tc>
        <w:tc>
          <w:tcPr>
            <w:tcW w:w="860" w:type="dxa"/>
            <w:noWrap/>
            <w:vAlign w:val="center"/>
            <w:hideMark/>
          </w:tcPr>
          <w:p w14:paraId="6748E3A5"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78,4</w:t>
            </w:r>
          </w:p>
        </w:tc>
        <w:tc>
          <w:tcPr>
            <w:tcW w:w="860" w:type="dxa"/>
            <w:noWrap/>
            <w:vAlign w:val="center"/>
            <w:hideMark/>
          </w:tcPr>
          <w:p w14:paraId="72522E38" w14:textId="77777777" w:rsidR="00C46123" w:rsidRPr="002E3B7E" w:rsidRDefault="00C46123" w:rsidP="00B87A9B">
            <w:pPr>
              <w:jc w:val="right"/>
              <w:rPr>
                <w:rFonts w:ascii="Arial" w:hAnsi="Arial" w:cs="Arial"/>
                <w:b/>
                <w:sz w:val="20"/>
                <w:szCs w:val="20"/>
                <w:lang w:val="pt-BR"/>
              </w:rPr>
            </w:pPr>
            <w:r w:rsidRPr="002E3B7E">
              <w:rPr>
                <w:rFonts w:ascii="Arial" w:hAnsi="Arial" w:cs="Arial"/>
                <w:b/>
                <w:sz w:val="20"/>
                <w:szCs w:val="20"/>
                <w:lang w:val="pt-BR"/>
              </w:rPr>
              <w:t>11,0</w:t>
            </w:r>
          </w:p>
        </w:tc>
        <w:tc>
          <w:tcPr>
            <w:tcW w:w="940" w:type="dxa"/>
            <w:noWrap/>
            <w:vAlign w:val="center"/>
            <w:hideMark/>
          </w:tcPr>
          <w:p w14:paraId="55C40F28" w14:textId="77777777" w:rsidR="00C46123" w:rsidRPr="002E3B7E" w:rsidRDefault="00C46123" w:rsidP="00B87A9B">
            <w:pPr>
              <w:jc w:val="right"/>
              <w:rPr>
                <w:rFonts w:ascii="Arial" w:hAnsi="Arial" w:cs="Arial"/>
                <w:b/>
                <w:sz w:val="20"/>
                <w:szCs w:val="20"/>
                <w:lang w:val="pt-BR"/>
              </w:rPr>
            </w:pPr>
            <w:r w:rsidRPr="002E3B7E">
              <w:rPr>
                <w:rFonts w:ascii="Arial" w:hAnsi="Arial" w:cs="Arial"/>
                <w:b/>
                <w:sz w:val="20"/>
                <w:szCs w:val="20"/>
                <w:lang w:val="pt-BR"/>
              </w:rPr>
              <w:t>16,2%</w:t>
            </w:r>
          </w:p>
        </w:tc>
        <w:tc>
          <w:tcPr>
            <w:tcW w:w="940" w:type="dxa"/>
            <w:noWrap/>
            <w:vAlign w:val="center"/>
            <w:hideMark/>
          </w:tcPr>
          <w:p w14:paraId="5D865243" w14:textId="77777777" w:rsidR="00C46123" w:rsidRPr="002E3B7E" w:rsidRDefault="00C46123" w:rsidP="00B87A9B">
            <w:pPr>
              <w:jc w:val="right"/>
              <w:rPr>
                <w:rFonts w:ascii="Arial" w:hAnsi="Arial" w:cs="Arial"/>
                <w:b/>
                <w:sz w:val="20"/>
                <w:szCs w:val="20"/>
                <w:lang w:val="pt-BR"/>
              </w:rPr>
            </w:pPr>
            <w:r w:rsidRPr="002E3B7E">
              <w:rPr>
                <w:rFonts w:ascii="Arial" w:hAnsi="Arial" w:cs="Arial"/>
                <w:b/>
                <w:sz w:val="20"/>
                <w:szCs w:val="20"/>
                <w:lang w:val="pt-BR"/>
              </w:rPr>
              <w:t>3,8%</w:t>
            </w:r>
          </w:p>
        </w:tc>
      </w:tr>
      <w:tr w:rsidR="00C46123" w:rsidRPr="00CA2760" w14:paraId="7D85E212" w14:textId="77777777" w:rsidTr="00B87A9B">
        <w:trPr>
          <w:trHeight w:val="408"/>
        </w:trPr>
        <w:tc>
          <w:tcPr>
            <w:tcW w:w="4422" w:type="dxa"/>
            <w:hideMark/>
          </w:tcPr>
          <w:p w14:paraId="2219EB68" w14:textId="727BC0DB"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xml:space="preserve">5. Resultado Pós Juros sobre o Capital Próprio </w:t>
            </w:r>
            <w:r w:rsidR="00067052" w:rsidRPr="00CA2760">
              <w:rPr>
                <w:rFonts w:ascii="Arial" w:hAnsi="Arial" w:cs="Arial"/>
                <w:b/>
                <w:bCs/>
                <w:sz w:val="20"/>
                <w:szCs w:val="20"/>
                <w:lang w:val="pt-BR"/>
              </w:rPr>
              <w:t>(3</w:t>
            </w:r>
            <w:r w:rsidRPr="00CA2760">
              <w:rPr>
                <w:rFonts w:ascii="Arial" w:hAnsi="Arial" w:cs="Arial"/>
                <w:b/>
                <w:bCs/>
                <w:sz w:val="20"/>
                <w:szCs w:val="20"/>
                <w:lang w:val="pt-BR"/>
              </w:rPr>
              <w:t xml:space="preserve"> - </w:t>
            </w:r>
            <w:r w:rsidR="00067052" w:rsidRPr="00CA2760">
              <w:rPr>
                <w:rFonts w:ascii="Arial" w:hAnsi="Arial" w:cs="Arial"/>
                <w:b/>
                <w:bCs/>
                <w:sz w:val="20"/>
                <w:szCs w:val="20"/>
                <w:lang w:val="pt-BR"/>
              </w:rPr>
              <w:t>4)</w:t>
            </w:r>
          </w:p>
        </w:tc>
        <w:tc>
          <w:tcPr>
            <w:tcW w:w="860" w:type="dxa"/>
            <w:noWrap/>
            <w:vAlign w:val="center"/>
            <w:hideMark/>
          </w:tcPr>
          <w:p w14:paraId="5768BF1C"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45,0</w:t>
            </w:r>
          </w:p>
        </w:tc>
        <w:tc>
          <w:tcPr>
            <w:tcW w:w="860" w:type="dxa"/>
            <w:noWrap/>
            <w:vAlign w:val="center"/>
            <w:hideMark/>
          </w:tcPr>
          <w:p w14:paraId="68787634"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47,5</w:t>
            </w:r>
          </w:p>
        </w:tc>
        <w:tc>
          <w:tcPr>
            <w:tcW w:w="860" w:type="dxa"/>
            <w:noWrap/>
            <w:vAlign w:val="center"/>
            <w:hideMark/>
          </w:tcPr>
          <w:p w14:paraId="705B8B58"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65,3</w:t>
            </w:r>
          </w:p>
        </w:tc>
        <w:tc>
          <w:tcPr>
            <w:tcW w:w="860" w:type="dxa"/>
            <w:noWrap/>
            <w:vAlign w:val="center"/>
            <w:hideMark/>
          </w:tcPr>
          <w:p w14:paraId="02FDA2BD"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45,5</w:t>
            </w:r>
          </w:p>
        </w:tc>
        <w:tc>
          <w:tcPr>
            <w:tcW w:w="860" w:type="dxa"/>
            <w:noWrap/>
            <w:vAlign w:val="center"/>
            <w:hideMark/>
          </w:tcPr>
          <w:p w14:paraId="5758D233"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37,1</w:t>
            </w:r>
          </w:p>
        </w:tc>
        <w:tc>
          <w:tcPr>
            <w:tcW w:w="860" w:type="dxa"/>
            <w:noWrap/>
            <w:vAlign w:val="center"/>
            <w:hideMark/>
          </w:tcPr>
          <w:p w14:paraId="0584C873" w14:textId="77777777" w:rsidR="00C46123" w:rsidRPr="002E3B7E" w:rsidRDefault="00C46123" w:rsidP="00B87A9B">
            <w:pPr>
              <w:jc w:val="right"/>
              <w:rPr>
                <w:rFonts w:ascii="Arial" w:hAnsi="Arial" w:cs="Arial"/>
                <w:b/>
                <w:sz w:val="20"/>
                <w:szCs w:val="20"/>
                <w:lang w:val="pt-BR"/>
              </w:rPr>
            </w:pPr>
            <w:r w:rsidRPr="002E3B7E">
              <w:rPr>
                <w:rFonts w:ascii="Arial" w:hAnsi="Arial" w:cs="Arial"/>
                <w:b/>
                <w:sz w:val="20"/>
                <w:szCs w:val="20"/>
                <w:lang w:val="pt-BR"/>
              </w:rPr>
              <w:t>-7,9</w:t>
            </w:r>
          </w:p>
        </w:tc>
        <w:tc>
          <w:tcPr>
            <w:tcW w:w="940" w:type="dxa"/>
            <w:noWrap/>
            <w:vAlign w:val="center"/>
            <w:hideMark/>
          </w:tcPr>
          <w:p w14:paraId="520A86B1" w14:textId="77777777" w:rsidR="00C46123" w:rsidRPr="002E3B7E" w:rsidRDefault="00C46123" w:rsidP="00B87A9B">
            <w:pPr>
              <w:jc w:val="right"/>
              <w:rPr>
                <w:rFonts w:ascii="Arial" w:hAnsi="Arial" w:cs="Arial"/>
                <w:b/>
                <w:sz w:val="20"/>
                <w:szCs w:val="20"/>
                <w:lang w:val="pt-BR"/>
              </w:rPr>
            </w:pPr>
            <w:r w:rsidRPr="002E3B7E">
              <w:rPr>
                <w:rFonts w:ascii="Arial" w:hAnsi="Arial" w:cs="Arial"/>
                <w:b/>
                <w:sz w:val="20"/>
                <w:szCs w:val="20"/>
                <w:lang w:val="pt-BR"/>
              </w:rPr>
              <w:t>-17,6%</w:t>
            </w:r>
          </w:p>
        </w:tc>
        <w:tc>
          <w:tcPr>
            <w:tcW w:w="940" w:type="dxa"/>
            <w:noWrap/>
            <w:vAlign w:val="center"/>
            <w:hideMark/>
          </w:tcPr>
          <w:p w14:paraId="78DE26DD" w14:textId="77777777" w:rsidR="00C46123" w:rsidRPr="002E3B7E" w:rsidRDefault="00C46123" w:rsidP="00B87A9B">
            <w:pPr>
              <w:jc w:val="right"/>
              <w:rPr>
                <w:rFonts w:ascii="Arial" w:hAnsi="Arial" w:cs="Arial"/>
                <w:b/>
                <w:sz w:val="20"/>
                <w:szCs w:val="20"/>
                <w:lang w:val="pt-BR"/>
              </w:rPr>
            </w:pPr>
            <w:r w:rsidRPr="002E3B7E">
              <w:rPr>
                <w:rFonts w:ascii="Arial" w:hAnsi="Arial" w:cs="Arial"/>
                <w:b/>
                <w:sz w:val="20"/>
                <w:szCs w:val="20"/>
                <w:lang w:val="pt-BR"/>
              </w:rPr>
              <w:t>-4,7%</w:t>
            </w:r>
          </w:p>
        </w:tc>
      </w:tr>
      <w:tr w:rsidR="00C46123" w:rsidRPr="00CA2760" w14:paraId="0CBF830E" w14:textId="77777777" w:rsidTr="00B87A9B">
        <w:trPr>
          <w:trHeight w:val="264"/>
        </w:trPr>
        <w:tc>
          <w:tcPr>
            <w:tcW w:w="4422" w:type="dxa"/>
            <w:hideMark/>
          </w:tcPr>
          <w:p w14:paraId="143EBB10"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6. Tributação sobre o Resultado</w:t>
            </w:r>
          </w:p>
        </w:tc>
        <w:tc>
          <w:tcPr>
            <w:tcW w:w="860" w:type="dxa"/>
            <w:noWrap/>
            <w:vAlign w:val="center"/>
            <w:hideMark/>
          </w:tcPr>
          <w:p w14:paraId="459B054B" w14:textId="77777777" w:rsidR="00C46123" w:rsidRPr="00CA2760" w:rsidRDefault="00C46123" w:rsidP="00B87A9B">
            <w:pPr>
              <w:jc w:val="right"/>
              <w:rPr>
                <w:rFonts w:ascii="Arial" w:hAnsi="Arial" w:cs="Arial"/>
                <w:sz w:val="20"/>
                <w:szCs w:val="20"/>
                <w:lang w:val="pt-BR"/>
              </w:rPr>
            </w:pPr>
            <w:r w:rsidRPr="00CA2760">
              <w:rPr>
                <w:rFonts w:ascii="Arial" w:hAnsi="Arial" w:cs="Arial"/>
                <w:b/>
                <w:bCs/>
                <w:sz w:val="20"/>
                <w:szCs w:val="20"/>
                <w:lang w:val="pt-BR"/>
              </w:rPr>
              <w:t>8,0</w:t>
            </w:r>
          </w:p>
        </w:tc>
        <w:tc>
          <w:tcPr>
            <w:tcW w:w="860" w:type="dxa"/>
            <w:noWrap/>
            <w:vAlign w:val="center"/>
            <w:hideMark/>
          </w:tcPr>
          <w:p w14:paraId="6726D5BA" w14:textId="77777777" w:rsidR="00C46123" w:rsidRPr="00CA2760" w:rsidRDefault="00C46123" w:rsidP="00B87A9B">
            <w:pPr>
              <w:jc w:val="right"/>
              <w:rPr>
                <w:rFonts w:ascii="Arial" w:hAnsi="Arial" w:cs="Arial"/>
                <w:sz w:val="20"/>
                <w:szCs w:val="20"/>
                <w:lang w:val="pt-BR"/>
              </w:rPr>
            </w:pPr>
            <w:r w:rsidRPr="00CA2760">
              <w:rPr>
                <w:rFonts w:ascii="Arial" w:hAnsi="Arial" w:cs="Arial"/>
                <w:b/>
                <w:bCs/>
                <w:sz w:val="20"/>
                <w:szCs w:val="20"/>
                <w:lang w:val="pt-BR"/>
              </w:rPr>
              <w:t>8,7</w:t>
            </w:r>
          </w:p>
        </w:tc>
        <w:tc>
          <w:tcPr>
            <w:tcW w:w="860" w:type="dxa"/>
            <w:noWrap/>
            <w:vAlign w:val="center"/>
            <w:hideMark/>
          </w:tcPr>
          <w:p w14:paraId="57E22559" w14:textId="77777777" w:rsidR="00C46123" w:rsidRPr="00CA2760" w:rsidRDefault="00C46123" w:rsidP="00B87A9B">
            <w:pPr>
              <w:jc w:val="right"/>
              <w:rPr>
                <w:rFonts w:ascii="Arial" w:hAnsi="Arial" w:cs="Arial"/>
                <w:sz w:val="20"/>
                <w:szCs w:val="20"/>
                <w:lang w:val="pt-BR"/>
              </w:rPr>
            </w:pPr>
            <w:r w:rsidRPr="00CA2760">
              <w:rPr>
                <w:rFonts w:ascii="Arial" w:hAnsi="Arial" w:cs="Arial"/>
                <w:b/>
                <w:bCs/>
                <w:sz w:val="20"/>
                <w:szCs w:val="20"/>
                <w:lang w:val="pt-BR"/>
              </w:rPr>
              <w:t>24,0</w:t>
            </w:r>
          </w:p>
        </w:tc>
        <w:tc>
          <w:tcPr>
            <w:tcW w:w="860" w:type="dxa"/>
            <w:noWrap/>
            <w:vAlign w:val="center"/>
            <w:hideMark/>
          </w:tcPr>
          <w:p w14:paraId="19BFACF0" w14:textId="77777777" w:rsidR="00C46123" w:rsidRPr="00CA2760" w:rsidRDefault="00C46123" w:rsidP="00B87A9B">
            <w:pPr>
              <w:jc w:val="right"/>
              <w:rPr>
                <w:rFonts w:ascii="Arial" w:hAnsi="Arial" w:cs="Arial"/>
                <w:sz w:val="20"/>
                <w:szCs w:val="20"/>
                <w:lang w:val="pt-BR"/>
              </w:rPr>
            </w:pPr>
            <w:r w:rsidRPr="00CA2760">
              <w:rPr>
                <w:rFonts w:ascii="Arial" w:hAnsi="Arial" w:cs="Arial"/>
                <w:b/>
                <w:bCs/>
                <w:sz w:val="20"/>
                <w:szCs w:val="20"/>
                <w:lang w:val="pt-BR"/>
              </w:rPr>
              <w:t>13,6</w:t>
            </w:r>
          </w:p>
        </w:tc>
        <w:tc>
          <w:tcPr>
            <w:tcW w:w="860" w:type="dxa"/>
            <w:noWrap/>
            <w:vAlign w:val="center"/>
            <w:hideMark/>
          </w:tcPr>
          <w:p w14:paraId="695A325A" w14:textId="77777777" w:rsidR="00C46123" w:rsidRPr="00CA2760" w:rsidRDefault="00C46123" w:rsidP="00B87A9B">
            <w:pPr>
              <w:jc w:val="right"/>
              <w:rPr>
                <w:rFonts w:ascii="Arial" w:hAnsi="Arial" w:cs="Arial"/>
                <w:sz w:val="20"/>
                <w:szCs w:val="20"/>
                <w:lang w:val="pt-BR"/>
              </w:rPr>
            </w:pPr>
            <w:r w:rsidRPr="00CA2760">
              <w:rPr>
                <w:rFonts w:ascii="Arial" w:hAnsi="Arial" w:cs="Arial"/>
                <w:b/>
                <w:bCs/>
                <w:sz w:val="20"/>
                <w:szCs w:val="20"/>
                <w:lang w:val="pt-BR"/>
              </w:rPr>
              <w:t>4,0</w:t>
            </w:r>
          </w:p>
        </w:tc>
        <w:tc>
          <w:tcPr>
            <w:tcW w:w="860" w:type="dxa"/>
            <w:noWrap/>
            <w:vAlign w:val="center"/>
            <w:hideMark/>
          </w:tcPr>
          <w:p w14:paraId="444A8541" w14:textId="77777777" w:rsidR="00C46123" w:rsidRPr="002E3B7E" w:rsidRDefault="00C46123" w:rsidP="00B87A9B">
            <w:pPr>
              <w:jc w:val="right"/>
              <w:rPr>
                <w:rFonts w:ascii="Arial" w:hAnsi="Arial" w:cs="Arial"/>
                <w:b/>
                <w:sz w:val="20"/>
                <w:szCs w:val="20"/>
                <w:lang w:val="pt-BR"/>
              </w:rPr>
            </w:pPr>
            <w:r w:rsidRPr="002E3B7E">
              <w:rPr>
                <w:rFonts w:ascii="Arial" w:hAnsi="Arial" w:cs="Arial"/>
                <w:b/>
                <w:sz w:val="20"/>
                <w:szCs w:val="20"/>
                <w:lang w:val="pt-BR"/>
              </w:rPr>
              <w:t>-4,0</w:t>
            </w:r>
          </w:p>
        </w:tc>
        <w:tc>
          <w:tcPr>
            <w:tcW w:w="940" w:type="dxa"/>
            <w:noWrap/>
            <w:vAlign w:val="center"/>
            <w:hideMark/>
          </w:tcPr>
          <w:p w14:paraId="79E6F14A" w14:textId="77777777" w:rsidR="00C46123" w:rsidRPr="002E3B7E" w:rsidRDefault="00C46123" w:rsidP="00B87A9B">
            <w:pPr>
              <w:jc w:val="right"/>
              <w:rPr>
                <w:rFonts w:ascii="Arial" w:hAnsi="Arial" w:cs="Arial"/>
                <w:b/>
                <w:sz w:val="20"/>
                <w:szCs w:val="20"/>
                <w:lang w:val="pt-BR"/>
              </w:rPr>
            </w:pPr>
            <w:r w:rsidRPr="002E3B7E">
              <w:rPr>
                <w:rFonts w:ascii="Arial" w:hAnsi="Arial" w:cs="Arial"/>
                <w:b/>
                <w:sz w:val="20"/>
                <w:szCs w:val="20"/>
                <w:lang w:val="pt-BR"/>
              </w:rPr>
              <w:t>-49,8%</w:t>
            </w:r>
          </w:p>
        </w:tc>
        <w:tc>
          <w:tcPr>
            <w:tcW w:w="940" w:type="dxa"/>
            <w:noWrap/>
            <w:vAlign w:val="center"/>
            <w:hideMark/>
          </w:tcPr>
          <w:p w14:paraId="2BC3AC8E" w14:textId="77777777" w:rsidR="00C46123" w:rsidRPr="002E3B7E" w:rsidRDefault="00C46123" w:rsidP="00B87A9B">
            <w:pPr>
              <w:jc w:val="right"/>
              <w:rPr>
                <w:rFonts w:ascii="Arial" w:hAnsi="Arial" w:cs="Arial"/>
                <w:b/>
                <w:sz w:val="20"/>
                <w:szCs w:val="20"/>
                <w:lang w:val="pt-BR"/>
              </w:rPr>
            </w:pPr>
            <w:r w:rsidRPr="002E3B7E">
              <w:rPr>
                <w:rFonts w:ascii="Arial" w:hAnsi="Arial" w:cs="Arial"/>
                <w:b/>
                <w:sz w:val="20"/>
                <w:szCs w:val="20"/>
                <w:lang w:val="pt-BR"/>
              </w:rPr>
              <w:t>-15,8%</w:t>
            </w:r>
          </w:p>
        </w:tc>
      </w:tr>
      <w:tr w:rsidR="00C46123" w:rsidRPr="00CA2760" w14:paraId="2773CC5F" w14:textId="77777777" w:rsidTr="00B87A9B">
        <w:trPr>
          <w:trHeight w:val="264"/>
        </w:trPr>
        <w:tc>
          <w:tcPr>
            <w:tcW w:w="4422" w:type="dxa"/>
            <w:hideMark/>
          </w:tcPr>
          <w:p w14:paraId="2A135DCB" w14:textId="1216BC28"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 xml:space="preserve">7. Resultado Líquido </w:t>
            </w:r>
            <w:r w:rsidR="00067052" w:rsidRPr="00CA2760">
              <w:rPr>
                <w:rFonts w:ascii="Arial" w:hAnsi="Arial" w:cs="Arial"/>
                <w:b/>
                <w:bCs/>
                <w:sz w:val="20"/>
                <w:szCs w:val="20"/>
                <w:lang w:val="pt-BR"/>
              </w:rPr>
              <w:t>(5</w:t>
            </w:r>
            <w:r w:rsidRPr="00CA2760">
              <w:rPr>
                <w:rFonts w:ascii="Arial" w:hAnsi="Arial" w:cs="Arial"/>
                <w:b/>
                <w:bCs/>
                <w:sz w:val="20"/>
                <w:szCs w:val="20"/>
                <w:lang w:val="pt-BR"/>
              </w:rPr>
              <w:t xml:space="preserve"> – </w:t>
            </w:r>
            <w:r w:rsidR="00067052" w:rsidRPr="00CA2760">
              <w:rPr>
                <w:rFonts w:ascii="Arial" w:hAnsi="Arial" w:cs="Arial"/>
                <w:b/>
                <w:bCs/>
                <w:sz w:val="20"/>
                <w:szCs w:val="20"/>
                <w:lang w:val="pt-BR"/>
              </w:rPr>
              <w:t>6)</w:t>
            </w:r>
          </w:p>
        </w:tc>
        <w:tc>
          <w:tcPr>
            <w:tcW w:w="860" w:type="dxa"/>
            <w:noWrap/>
            <w:vAlign w:val="center"/>
            <w:hideMark/>
          </w:tcPr>
          <w:p w14:paraId="440206F1"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37,1</w:t>
            </w:r>
          </w:p>
        </w:tc>
        <w:tc>
          <w:tcPr>
            <w:tcW w:w="860" w:type="dxa"/>
            <w:noWrap/>
            <w:vAlign w:val="center"/>
            <w:hideMark/>
          </w:tcPr>
          <w:p w14:paraId="1CD12F5C"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38,8</w:t>
            </w:r>
          </w:p>
        </w:tc>
        <w:tc>
          <w:tcPr>
            <w:tcW w:w="860" w:type="dxa"/>
            <w:noWrap/>
            <w:vAlign w:val="center"/>
            <w:hideMark/>
          </w:tcPr>
          <w:p w14:paraId="20128DCD"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41,3</w:t>
            </w:r>
          </w:p>
        </w:tc>
        <w:tc>
          <w:tcPr>
            <w:tcW w:w="860" w:type="dxa"/>
            <w:noWrap/>
            <w:vAlign w:val="center"/>
            <w:hideMark/>
          </w:tcPr>
          <w:p w14:paraId="02D6BFDA"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31,9</w:t>
            </w:r>
          </w:p>
        </w:tc>
        <w:tc>
          <w:tcPr>
            <w:tcW w:w="860" w:type="dxa"/>
            <w:noWrap/>
            <w:vAlign w:val="center"/>
            <w:hideMark/>
          </w:tcPr>
          <w:p w14:paraId="038AC186"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33,1</w:t>
            </w:r>
          </w:p>
        </w:tc>
        <w:tc>
          <w:tcPr>
            <w:tcW w:w="860" w:type="dxa"/>
            <w:noWrap/>
            <w:vAlign w:val="center"/>
            <w:hideMark/>
          </w:tcPr>
          <w:p w14:paraId="7D2EF56A" w14:textId="77777777" w:rsidR="00C46123" w:rsidRPr="002E3B7E" w:rsidRDefault="00C46123" w:rsidP="00B87A9B">
            <w:pPr>
              <w:jc w:val="right"/>
              <w:rPr>
                <w:rFonts w:ascii="Arial" w:hAnsi="Arial" w:cs="Arial"/>
                <w:b/>
                <w:sz w:val="20"/>
                <w:szCs w:val="20"/>
                <w:lang w:val="pt-BR"/>
              </w:rPr>
            </w:pPr>
            <w:r w:rsidRPr="002E3B7E">
              <w:rPr>
                <w:rFonts w:ascii="Arial" w:hAnsi="Arial" w:cs="Arial"/>
                <w:b/>
                <w:sz w:val="20"/>
                <w:szCs w:val="20"/>
                <w:lang w:val="pt-BR"/>
              </w:rPr>
              <w:t>-4,0</w:t>
            </w:r>
          </w:p>
        </w:tc>
        <w:tc>
          <w:tcPr>
            <w:tcW w:w="940" w:type="dxa"/>
            <w:noWrap/>
            <w:vAlign w:val="center"/>
            <w:hideMark/>
          </w:tcPr>
          <w:p w14:paraId="0D89DC23" w14:textId="77777777" w:rsidR="00C46123" w:rsidRPr="002E3B7E" w:rsidRDefault="00C46123" w:rsidP="00B87A9B">
            <w:pPr>
              <w:jc w:val="right"/>
              <w:rPr>
                <w:rFonts w:ascii="Arial" w:hAnsi="Arial" w:cs="Arial"/>
                <w:b/>
                <w:sz w:val="20"/>
                <w:szCs w:val="20"/>
                <w:lang w:val="pt-BR"/>
              </w:rPr>
            </w:pPr>
            <w:r w:rsidRPr="002E3B7E">
              <w:rPr>
                <w:rFonts w:ascii="Arial" w:hAnsi="Arial" w:cs="Arial"/>
                <w:b/>
                <w:sz w:val="20"/>
                <w:szCs w:val="20"/>
                <w:lang w:val="pt-BR"/>
              </w:rPr>
              <w:t>-10,7%</w:t>
            </w:r>
          </w:p>
        </w:tc>
        <w:tc>
          <w:tcPr>
            <w:tcW w:w="940" w:type="dxa"/>
            <w:noWrap/>
            <w:vAlign w:val="center"/>
            <w:hideMark/>
          </w:tcPr>
          <w:p w14:paraId="7CCEDFFC" w14:textId="77777777" w:rsidR="00C46123" w:rsidRPr="002E3B7E" w:rsidRDefault="00C46123" w:rsidP="00B87A9B">
            <w:pPr>
              <w:jc w:val="right"/>
              <w:rPr>
                <w:rFonts w:ascii="Arial" w:hAnsi="Arial" w:cs="Arial"/>
                <w:b/>
                <w:sz w:val="20"/>
                <w:szCs w:val="20"/>
                <w:lang w:val="pt-BR"/>
              </w:rPr>
            </w:pPr>
            <w:r w:rsidRPr="002E3B7E">
              <w:rPr>
                <w:rFonts w:ascii="Arial" w:hAnsi="Arial" w:cs="Arial"/>
                <w:b/>
                <w:sz w:val="20"/>
                <w:szCs w:val="20"/>
                <w:lang w:val="pt-BR"/>
              </w:rPr>
              <w:t>-2,8%</w:t>
            </w:r>
          </w:p>
        </w:tc>
      </w:tr>
    </w:tbl>
    <w:p w14:paraId="20741BE0" w14:textId="77777777" w:rsidR="00C46123" w:rsidRPr="00CA2760" w:rsidRDefault="00C46123" w:rsidP="00C46123">
      <w:pPr>
        <w:spacing w:after="0"/>
        <w:rPr>
          <w:rFonts w:ascii="Times New Roman" w:hAnsi="Times New Roman" w:cs="Times New Roman"/>
          <w:lang w:val="pt-BR"/>
        </w:rPr>
      </w:pPr>
      <w:r w:rsidRPr="00CA2760">
        <w:rPr>
          <w:rFonts w:ascii="Times New Roman" w:hAnsi="Times New Roman" w:cs="Times New Roman"/>
          <w:lang w:val="pt-BR"/>
        </w:rPr>
        <w:t>Nota (*): Estimado utilizando o IPCA.</w:t>
      </w:r>
    </w:p>
    <w:p w14:paraId="215E1F2B" w14:textId="77777777" w:rsidR="00C46123" w:rsidRPr="00CA2760" w:rsidRDefault="00C46123" w:rsidP="00C46123">
      <w:pPr>
        <w:rPr>
          <w:rFonts w:ascii="Times New Roman" w:hAnsi="Times New Roman" w:cs="Times New Roman"/>
          <w:lang w:val="pt-BR"/>
        </w:rPr>
      </w:pPr>
      <w:bookmarkStart w:id="16" w:name="_Hlk511368996"/>
      <w:r w:rsidRPr="00CA2760">
        <w:rPr>
          <w:rFonts w:ascii="Times New Roman" w:hAnsi="Times New Roman" w:cs="Times New Roman"/>
          <w:lang w:val="pt-BR"/>
        </w:rPr>
        <w:t>Fonte: Cálculos dos autores com os dados do SFM.</w:t>
      </w:r>
    </w:p>
    <w:bookmarkEnd w:id="16"/>
    <w:p w14:paraId="32DE7057" w14:textId="77777777" w:rsidR="00C46123" w:rsidRPr="00CA2760" w:rsidRDefault="00C46123" w:rsidP="00C46123">
      <w:pPr>
        <w:rPr>
          <w:lang w:val="pt-BR"/>
        </w:rPr>
      </w:pPr>
    </w:p>
    <w:p w14:paraId="1A888A88" w14:textId="77777777" w:rsidR="00C46123" w:rsidRPr="00CA2760" w:rsidRDefault="00C46123" w:rsidP="00C46123">
      <w:pPr>
        <w:rPr>
          <w:highlight w:val="cyan"/>
          <w:lang w:val="pt-BR"/>
        </w:rPr>
        <w:sectPr w:rsidR="00C46123" w:rsidRPr="00CA2760" w:rsidSect="00A77E9A">
          <w:pgSz w:w="15840" w:h="12240" w:orient="landscape"/>
          <w:pgMar w:top="1440" w:right="1440" w:bottom="1440" w:left="1440" w:header="720" w:footer="720" w:gutter="0"/>
          <w:cols w:space="720"/>
          <w:docGrid w:linePitch="360"/>
        </w:sectPr>
      </w:pPr>
    </w:p>
    <w:p w14:paraId="03373D7B" w14:textId="7871AC9E" w:rsidR="00C46123" w:rsidRPr="00CA2760" w:rsidRDefault="00C46123" w:rsidP="00C46123">
      <w:pPr>
        <w:shd w:val="clear" w:color="auto" w:fill="FFFFFF"/>
        <w:spacing w:after="0"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lastRenderedPageBreak/>
        <w:t xml:space="preserve">O lucro antes do </w:t>
      </w:r>
      <w:r w:rsidR="004C6B9D">
        <w:rPr>
          <w:rFonts w:ascii="Times New Roman" w:eastAsia="Times New Roman" w:hAnsi="Times New Roman" w:cs="Times New Roman"/>
          <w:sz w:val="24"/>
          <w:szCs w:val="24"/>
          <w:lang w:val="pt-BR" w:eastAsia="pt-BR"/>
        </w:rPr>
        <w:t>JCP</w:t>
      </w:r>
      <w:r w:rsidRPr="00CA2760">
        <w:rPr>
          <w:rFonts w:ascii="Times New Roman" w:eastAsia="Times New Roman" w:hAnsi="Times New Roman" w:cs="Times New Roman"/>
          <w:sz w:val="24"/>
          <w:szCs w:val="24"/>
          <w:lang w:val="pt-BR" w:eastAsia="pt-BR"/>
        </w:rPr>
        <w:t xml:space="preserve"> em 2017 chegou a R$115,5 milhões, um aumento de apenas 2,7% sobre 2013</w:t>
      </w:r>
      <w:r w:rsidRPr="00125E59">
        <w:rPr>
          <w:rFonts w:ascii="Times New Roman" w:eastAsia="Times New Roman" w:hAnsi="Times New Roman" w:cs="Times New Roman"/>
          <w:sz w:val="24"/>
          <w:szCs w:val="24"/>
          <w:lang w:val="pt-BR" w:eastAsia="pt-BR"/>
        </w:rPr>
        <w:t xml:space="preserve">. Conforme mencionado acima, </w:t>
      </w:r>
      <w:r w:rsidR="004C6B9D">
        <w:rPr>
          <w:rFonts w:ascii="Times New Roman" w:eastAsia="Times New Roman" w:hAnsi="Times New Roman" w:cs="Times New Roman"/>
          <w:sz w:val="24"/>
          <w:szCs w:val="24"/>
          <w:lang w:val="pt-BR" w:eastAsia="pt-BR"/>
        </w:rPr>
        <w:t>o JCP fornece</w:t>
      </w:r>
      <w:r w:rsidRPr="00125E59">
        <w:rPr>
          <w:rFonts w:ascii="Times New Roman" w:eastAsia="Times New Roman" w:hAnsi="Times New Roman" w:cs="Times New Roman"/>
          <w:sz w:val="24"/>
          <w:szCs w:val="24"/>
          <w:lang w:val="pt-BR" w:eastAsia="pt-BR"/>
        </w:rPr>
        <w:t xml:space="preserve"> uma dedução fiscal, bem como impulsiona o</w:t>
      </w:r>
      <w:r w:rsidR="00942CD1" w:rsidRPr="00125E59">
        <w:rPr>
          <w:rFonts w:ascii="Times New Roman" w:eastAsia="Times New Roman" w:hAnsi="Times New Roman" w:cs="Times New Roman"/>
          <w:sz w:val="24"/>
          <w:szCs w:val="24"/>
          <w:lang w:val="pt-BR" w:eastAsia="pt-BR"/>
        </w:rPr>
        <w:t xml:space="preserve"> Patrimônio Líquido </w:t>
      </w:r>
      <w:r w:rsidRPr="00125E59">
        <w:rPr>
          <w:rFonts w:ascii="Times New Roman" w:eastAsia="Times New Roman" w:hAnsi="Times New Roman" w:cs="Times New Roman"/>
          <w:sz w:val="24"/>
          <w:szCs w:val="24"/>
          <w:lang w:val="pt-BR" w:eastAsia="pt-BR"/>
        </w:rPr>
        <w:t>quando cap</w:t>
      </w:r>
      <w:r w:rsidR="00125E59" w:rsidRPr="00125E59">
        <w:rPr>
          <w:rFonts w:ascii="Times New Roman" w:eastAsia="Times New Roman" w:hAnsi="Times New Roman" w:cs="Times New Roman"/>
          <w:sz w:val="24"/>
          <w:szCs w:val="24"/>
          <w:lang w:val="pt-BR" w:eastAsia="pt-BR"/>
        </w:rPr>
        <w:t>i</w:t>
      </w:r>
      <w:r w:rsidRPr="00125E59">
        <w:rPr>
          <w:rFonts w:ascii="Times New Roman" w:eastAsia="Times New Roman" w:hAnsi="Times New Roman" w:cs="Times New Roman"/>
          <w:sz w:val="24"/>
          <w:szCs w:val="24"/>
          <w:lang w:val="pt-BR" w:eastAsia="pt-BR"/>
        </w:rPr>
        <w:t>talizado.  O resultado líquido de 2017 foi de R$33,1 milhões, uma queda de 10,7% comparado a 2013.</w:t>
      </w:r>
    </w:p>
    <w:p w14:paraId="793E4264" w14:textId="77777777" w:rsidR="00C46123" w:rsidRPr="00CA2760" w:rsidRDefault="00C46123" w:rsidP="00C46123">
      <w:pPr>
        <w:rPr>
          <w:lang w:val="pt-BR"/>
        </w:rPr>
      </w:pPr>
    </w:p>
    <w:p w14:paraId="6485E4B3" w14:textId="3D8A1D2E" w:rsidR="00C46123" w:rsidRPr="00CA2760" w:rsidRDefault="00C46123" w:rsidP="009E7402">
      <w:pPr>
        <w:shd w:val="clear" w:color="auto" w:fill="FFFFFF"/>
        <w:spacing w:line="360" w:lineRule="auto"/>
        <w:jc w:val="center"/>
        <w:rPr>
          <w:rFonts w:ascii="Times New Roman" w:eastAsia="Times New Roman" w:hAnsi="Times New Roman" w:cs="Times New Roman"/>
          <w:b/>
          <w:sz w:val="24"/>
          <w:szCs w:val="24"/>
          <w:lang w:val="pt-BR" w:eastAsia="pt-BR"/>
        </w:rPr>
      </w:pPr>
      <w:r w:rsidRPr="00CA2760">
        <w:rPr>
          <w:rFonts w:ascii="Times New Roman" w:eastAsia="Times New Roman" w:hAnsi="Times New Roman" w:cs="Times New Roman"/>
          <w:b/>
          <w:sz w:val="24"/>
          <w:szCs w:val="24"/>
          <w:lang w:val="pt-BR" w:eastAsia="pt-BR"/>
        </w:rPr>
        <w:t>O desempenho financeir</w:t>
      </w:r>
      <w:r w:rsidR="001B22E4">
        <w:rPr>
          <w:rFonts w:ascii="Times New Roman" w:eastAsia="Times New Roman" w:hAnsi="Times New Roman" w:cs="Times New Roman"/>
          <w:b/>
          <w:sz w:val="24"/>
          <w:szCs w:val="24"/>
          <w:lang w:val="pt-BR" w:eastAsia="pt-BR"/>
        </w:rPr>
        <w:t>o</w:t>
      </w:r>
      <w:r w:rsidRPr="00CA2760">
        <w:rPr>
          <w:rFonts w:ascii="Times New Roman" w:eastAsia="Times New Roman" w:hAnsi="Times New Roman" w:cs="Times New Roman"/>
          <w:b/>
          <w:sz w:val="24"/>
          <w:szCs w:val="24"/>
          <w:lang w:val="pt-BR" w:eastAsia="pt-BR"/>
        </w:rPr>
        <w:t xml:space="preserve"> da</w:t>
      </w:r>
      <w:r w:rsidRPr="00CA2760">
        <w:rPr>
          <w:rFonts w:ascii="Times New Roman" w:hAnsi="Times New Roman" w:cs="Times New Roman"/>
          <w:b/>
          <w:sz w:val="24"/>
          <w:szCs w:val="24"/>
          <w:lang w:val="pt-BR"/>
        </w:rPr>
        <w:t xml:space="preserve"> Fomento Paraná</w:t>
      </w:r>
      <w:r w:rsidRPr="00CA2760">
        <w:rPr>
          <w:rFonts w:ascii="Times New Roman" w:eastAsia="Times New Roman" w:hAnsi="Times New Roman" w:cs="Times New Roman"/>
          <w:b/>
          <w:sz w:val="24"/>
          <w:szCs w:val="24"/>
          <w:lang w:val="pt-BR" w:eastAsia="pt-BR"/>
        </w:rPr>
        <w:t>: 2013/2017</w:t>
      </w:r>
    </w:p>
    <w:p w14:paraId="7FA386DB" w14:textId="768E4EBD" w:rsidR="00C46123" w:rsidRPr="00CA2760" w:rsidRDefault="00C46123" w:rsidP="00C46123">
      <w:pPr>
        <w:shd w:val="clear" w:color="auto" w:fill="FFFFFF"/>
        <w:spacing w:after="0" w:line="360" w:lineRule="auto"/>
        <w:rPr>
          <w:rFonts w:ascii="Times New Roman" w:eastAsia="Times New Roman" w:hAnsi="Times New Roman" w:cs="Times New Roman"/>
          <w:b/>
          <w:sz w:val="24"/>
          <w:szCs w:val="24"/>
          <w:lang w:val="pt-BR" w:eastAsia="pt-BR"/>
        </w:rPr>
      </w:pPr>
      <w:r w:rsidRPr="00CA2760">
        <w:rPr>
          <w:rFonts w:ascii="Times New Roman" w:eastAsia="Times New Roman" w:hAnsi="Times New Roman" w:cs="Times New Roman"/>
          <w:b/>
          <w:sz w:val="24"/>
          <w:szCs w:val="24"/>
          <w:lang w:val="pt-BR" w:eastAsia="pt-BR"/>
        </w:rPr>
        <w:t>Os balanços e resultados d</w:t>
      </w:r>
      <w:r w:rsidR="001B22E4">
        <w:rPr>
          <w:rFonts w:ascii="Times New Roman" w:eastAsia="Times New Roman" w:hAnsi="Times New Roman" w:cs="Times New Roman"/>
          <w:b/>
          <w:sz w:val="24"/>
          <w:szCs w:val="24"/>
          <w:lang w:val="pt-BR" w:eastAsia="pt-BR"/>
        </w:rPr>
        <w:t>a</w:t>
      </w:r>
      <w:r w:rsidRPr="00CA2760">
        <w:rPr>
          <w:rFonts w:ascii="Times New Roman" w:eastAsia="Times New Roman" w:hAnsi="Times New Roman" w:cs="Times New Roman"/>
          <w:b/>
          <w:sz w:val="24"/>
          <w:szCs w:val="24"/>
          <w:lang w:val="pt-BR" w:eastAsia="pt-BR"/>
        </w:rPr>
        <w:t xml:space="preserve"> Fomento Paraná</w:t>
      </w:r>
    </w:p>
    <w:p w14:paraId="26D2C685" w14:textId="055916BA" w:rsidR="00CB05AB" w:rsidRDefault="00C46123" w:rsidP="00C46123">
      <w:pPr>
        <w:spacing w:line="360" w:lineRule="auto"/>
        <w:rPr>
          <w:rFonts w:ascii="Times New Roman" w:hAnsi="Times New Roman" w:cs="Times New Roman"/>
          <w:sz w:val="24"/>
          <w:szCs w:val="24"/>
          <w:lang w:val="pt-BR"/>
        </w:rPr>
      </w:pPr>
      <w:r w:rsidRPr="00B46CC2">
        <w:rPr>
          <w:rFonts w:ascii="Times New Roman" w:hAnsi="Times New Roman" w:cs="Times New Roman"/>
          <w:sz w:val="24"/>
          <w:szCs w:val="24"/>
          <w:lang w:val="pt-BR"/>
        </w:rPr>
        <w:t xml:space="preserve">A </w:t>
      </w:r>
      <w:r w:rsidRPr="00125E59">
        <w:rPr>
          <w:rFonts w:ascii="Times New Roman" w:hAnsi="Times New Roman" w:cs="Times New Roman"/>
          <w:sz w:val="24"/>
          <w:szCs w:val="24"/>
          <w:lang w:val="pt-BR"/>
        </w:rPr>
        <w:t xml:space="preserve">tabela </w:t>
      </w:r>
      <w:r w:rsidR="00716232">
        <w:rPr>
          <w:rFonts w:ascii="Times New Roman" w:hAnsi="Times New Roman" w:cs="Times New Roman"/>
          <w:sz w:val="24"/>
          <w:szCs w:val="24"/>
          <w:lang w:val="pt-BR"/>
        </w:rPr>
        <w:t>5</w:t>
      </w:r>
      <w:r w:rsidRPr="00CA2760">
        <w:rPr>
          <w:rFonts w:ascii="Times New Roman" w:hAnsi="Times New Roman" w:cs="Times New Roman"/>
          <w:sz w:val="24"/>
          <w:szCs w:val="24"/>
          <w:lang w:val="pt-BR"/>
        </w:rPr>
        <w:t xml:space="preserve"> mostra um aumento significativo no </w:t>
      </w:r>
      <w:r w:rsidR="005C6150">
        <w:rPr>
          <w:rFonts w:ascii="Times New Roman" w:hAnsi="Times New Roman" w:cs="Times New Roman"/>
          <w:sz w:val="24"/>
          <w:szCs w:val="24"/>
          <w:lang w:val="pt-BR"/>
        </w:rPr>
        <w:t>PL</w:t>
      </w:r>
      <w:r w:rsidRPr="00CA2760">
        <w:rPr>
          <w:rFonts w:ascii="Times New Roman" w:hAnsi="Times New Roman" w:cs="Times New Roman"/>
          <w:sz w:val="24"/>
          <w:szCs w:val="24"/>
          <w:lang w:val="pt-BR"/>
        </w:rPr>
        <w:t xml:space="preserve"> da Fomento Paraná em termos nominais durante o período 2013/ 2017, devido a capitalização dos Resultados Líquidos e </w:t>
      </w:r>
      <w:r w:rsidR="003901B4">
        <w:rPr>
          <w:rFonts w:ascii="Times New Roman" w:hAnsi="Times New Roman" w:cs="Times New Roman"/>
          <w:sz w:val="24"/>
          <w:szCs w:val="24"/>
          <w:lang w:val="pt-BR"/>
        </w:rPr>
        <w:t>do JCP</w:t>
      </w:r>
      <w:r w:rsidR="002E3B7E">
        <w:rPr>
          <w:rFonts w:ascii="Times New Roman" w:hAnsi="Times New Roman" w:cs="Times New Roman"/>
          <w:sz w:val="24"/>
          <w:szCs w:val="24"/>
          <w:lang w:val="pt-BR"/>
        </w:rPr>
        <w:t xml:space="preserve"> </w:t>
      </w:r>
      <w:r w:rsidR="00116584">
        <w:rPr>
          <w:rFonts w:ascii="Times New Roman" w:hAnsi="Times New Roman" w:cs="Times New Roman"/>
          <w:sz w:val="24"/>
          <w:szCs w:val="24"/>
          <w:lang w:val="pt-BR"/>
        </w:rPr>
        <w:t xml:space="preserve">como </w:t>
      </w:r>
      <w:r w:rsidR="002E3B7E" w:rsidRPr="002E3B7E">
        <w:rPr>
          <w:rFonts w:ascii="Times New Roman" w:hAnsi="Times New Roman" w:cs="Times New Roman"/>
          <w:sz w:val="24"/>
          <w:szCs w:val="24"/>
          <w:lang w:val="pt-BR"/>
        </w:rPr>
        <w:t>mencionado anteriormente</w:t>
      </w:r>
      <w:r w:rsidRPr="00CA2760">
        <w:rPr>
          <w:rFonts w:ascii="Times New Roman" w:hAnsi="Times New Roman" w:cs="Times New Roman"/>
          <w:sz w:val="24"/>
          <w:szCs w:val="24"/>
          <w:lang w:val="pt-BR"/>
        </w:rPr>
        <w:t xml:space="preserve">. </w:t>
      </w:r>
    </w:p>
    <w:p w14:paraId="3F798BF9" w14:textId="3B5C08A0" w:rsidR="00C46123" w:rsidRPr="008F1E44" w:rsidRDefault="00C46123" w:rsidP="00C46123">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A Fomento Paraná aumentou suas operações de crédito com o setor privado, especialmente nas </w:t>
      </w:r>
      <w:r w:rsidRPr="00CA2760">
        <w:rPr>
          <w:rFonts w:ascii="Times New Roman" w:eastAsia="Times New Roman" w:hAnsi="Times New Roman" w:cs="Times New Roman"/>
          <w:sz w:val="24"/>
          <w:szCs w:val="24"/>
          <w:lang w:val="pt-BR"/>
        </w:rPr>
        <w:t xml:space="preserve">operações com recursos do </w:t>
      </w:r>
      <w:r w:rsidRPr="002E3B7E">
        <w:rPr>
          <w:rFonts w:ascii="Times New Roman" w:hAnsi="Times New Roman" w:cs="Times New Roman"/>
          <w:sz w:val="24"/>
          <w:szCs w:val="24"/>
          <w:lang w:val="pt-BR"/>
        </w:rPr>
        <w:t xml:space="preserve">BNDES e </w:t>
      </w:r>
      <w:r w:rsidR="002E3B7E" w:rsidRPr="002E3B7E">
        <w:rPr>
          <w:rFonts w:ascii="Times New Roman" w:hAnsi="Times New Roman" w:cs="Times New Roman"/>
          <w:sz w:val="24"/>
          <w:szCs w:val="24"/>
          <w:lang w:val="pt-BR"/>
        </w:rPr>
        <w:t>Agência Especial de Financiamento Industria</w:t>
      </w:r>
      <w:r w:rsidR="009C17E9">
        <w:rPr>
          <w:rFonts w:ascii="Times New Roman" w:hAnsi="Times New Roman" w:cs="Times New Roman"/>
          <w:sz w:val="24"/>
          <w:szCs w:val="24"/>
          <w:lang w:val="pt-BR"/>
        </w:rPr>
        <w:t>l</w:t>
      </w:r>
      <w:r w:rsidR="002E3B7E" w:rsidRPr="002E3B7E">
        <w:rPr>
          <w:rFonts w:ascii="Times New Roman" w:hAnsi="Times New Roman" w:cs="Times New Roman"/>
          <w:sz w:val="24"/>
          <w:szCs w:val="24"/>
          <w:lang w:val="pt-BR"/>
        </w:rPr>
        <w:t xml:space="preserve"> (FINAME)</w:t>
      </w:r>
      <w:r w:rsidRPr="002E3B7E">
        <w:rPr>
          <w:rFonts w:ascii="Times New Roman" w:hAnsi="Times New Roman" w:cs="Times New Roman"/>
          <w:sz w:val="24"/>
          <w:szCs w:val="24"/>
          <w:lang w:val="pt-BR"/>
        </w:rPr>
        <w:t>.</w:t>
      </w:r>
      <w:r w:rsidRPr="00CA2760">
        <w:rPr>
          <w:rFonts w:ascii="Times New Roman" w:eastAsia="Times New Roman" w:hAnsi="Times New Roman" w:cs="Times New Roman"/>
          <w:sz w:val="24"/>
          <w:szCs w:val="24"/>
          <w:lang w:val="pt-BR"/>
        </w:rPr>
        <w:t xml:space="preserve"> </w:t>
      </w:r>
      <w:bookmarkStart w:id="17" w:name="_Hlk512580795"/>
      <w:r w:rsidR="00D308FA" w:rsidRPr="00A16219">
        <w:rPr>
          <w:rFonts w:ascii="Times New Roman" w:hAnsi="Times New Roman" w:cs="Times New Roman"/>
          <w:sz w:val="24"/>
          <w:szCs w:val="24"/>
          <w:lang w:val="pt-BR"/>
        </w:rPr>
        <w:t xml:space="preserve">Mesmo assim, apenas </w:t>
      </w:r>
      <w:r w:rsidR="0053040B">
        <w:rPr>
          <w:rFonts w:ascii="Times New Roman" w:hAnsi="Times New Roman" w:cs="Times New Roman"/>
          <w:sz w:val="24"/>
          <w:szCs w:val="24"/>
          <w:lang w:val="pt-BR"/>
        </w:rPr>
        <w:t>2</w:t>
      </w:r>
      <w:r w:rsidR="00D308FA" w:rsidRPr="00A16219">
        <w:rPr>
          <w:rFonts w:ascii="Times New Roman" w:hAnsi="Times New Roman" w:cs="Times New Roman"/>
          <w:sz w:val="24"/>
          <w:szCs w:val="24"/>
          <w:lang w:val="pt-BR"/>
        </w:rPr>
        <w:t>4,</w:t>
      </w:r>
      <w:r w:rsidR="00633BF5">
        <w:rPr>
          <w:rFonts w:ascii="Times New Roman" w:hAnsi="Times New Roman" w:cs="Times New Roman"/>
          <w:sz w:val="24"/>
          <w:szCs w:val="24"/>
          <w:lang w:val="pt-BR"/>
        </w:rPr>
        <w:t>7</w:t>
      </w:r>
      <w:r w:rsidR="00D308FA" w:rsidRPr="00A16219">
        <w:rPr>
          <w:rFonts w:ascii="Times New Roman" w:hAnsi="Times New Roman" w:cs="Times New Roman"/>
          <w:sz w:val="24"/>
          <w:szCs w:val="24"/>
          <w:lang w:val="pt-BR"/>
        </w:rPr>
        <w:t xml:space="preserve">% do seu total de </w:t>
      </w:r>
      <w:r w:rsidR="0053040B" w:rsidRPr="0053040B">
        <w:rPr>
          <w:rFonts w:ascii="Times New Roman" w:hAnsi="Times New Roman" w:cs="Times New Roman"/>
          <w:sz w:val="24"/>
          <w:szCs w:val="24"/>
          <w:lang w:val="pt-BR"/>
        </w:rPr>
        <w:t xml:space="preserve">Operações de </w:t>
      </w:r>
      <w:r w:rsidR="0053040B">
        <w:rPr>
          <w:rFonts w:ascii="Times New Roman" w:hAnsi="Times New Roman" w:cs="Times New Roman"/>
          <w:sz w:val="24"/>
          <w:szCs w:val="24"/>
          <w:lang w:val="pt-BR"/>
        </w:rPr>
        <w:t>C</w:t>
      </w:r>
      <w:r w:rsidR="0053040B" w:rsidRPr="0053040B">
        <w:rPr>
          <w:rFonts w:ascii="Times New Roman" w:hAnsi="Times New Roman" w:cs="Times New Roman"/>
          <w:sz w:val="24"/>
          <w:szCs w:val="24"/>
          <w:lang w:val="pt-BR"/>
        </w:rPr>
        <w:t xml:space="preserve">rédito </w:t>
      </w:r>
      <w:r w:rsidR="00D308FA" w:rsidRPr="00A16219">
        <w:rPr>
          <w:rFonts w:ascii="Times New Roman" w:hAnsi="Times New Roman" w:cs="Times New Roman"/>
          <w:sz w:val="24"/>
          <w:szCs w:val="24"/>
          <w:lang w:val="pt-BR"/>
        </w:rPr>
        <w:t>fo</w:t>
      </w:r>
      <w:r w:rsidR="0053040B">
        <w:rPr>
          <w:rFonts w:ascii="Times New Roman" w:hAnsi="Times New Roman" w:cs="Times New Roman"/>
          <w:sz w:val="24"/>
          <w:szCs w:val="24"/>
          <w:lang w:val="pt-BR"/>
        </w:rPr>
        <w:t>ram</w:t>
      </w:r>
      <w:r w:rsidR="00D308FA" w:rsidRPr="00A16219">
        <w:rPr>
          <w:rFonts w:ascii="Times New Roman" w:hAnsi="Times New Roman" w:cs="Times New Roman"/>
          <w:sz w:val="24"/>
          <w:szCs w:val="24"/>
          <w:lang w:val="pt-BR"/>
        </w:rPr>
        <w:t xml:space="preserve"> para o setor privado, e esses empréstimos representaram apenas </w:t>
      </w:r>
      <w:r w:rsidR="00D308FA" w:rsidRPr="0039449C">
        <w:rPr>
          <w:rFonts w:ascii="Times New Roman" w:hAnsi="Times New Roman" w:cs="Times New Roman"/>
          <w:sz w:val="24"/>
          <w:szCs w:val="24"/>
          <w:lang w:val="pt-BR"/>
        </w:rPr>
        <w:t xml:space="preserve">15,2% </w:t>
      </w:r>
      <w:r w:rsidR="00E32B8C" w:rsidRPr="0039449C">
        <w:rPr>
          <w:rFonts w:ascii="Times New Roman" w:hAnsi="Times New Roman" w:cs="Times New Roman"/>
          <w:sz w:val="24"/>
          <w:szCs w:val="24"/>
          <w:lang w:val="pt-BR"/>
        </w:rPr>
        <w:t>de seu</w:t>
      </w:r>
      <w:r w:rsidR="00D308FA" w:rsidRPr="0039449C">
        <w:rPr>
          <w:rFonts w:ascii="Times New Roman" w:hAnsi="Times New Roman" w:cs="Times New Roman"/>
          <w:sz w:val="24"/>
          <w:szCs w:val="24"/>
          <w:lang w:val="pt-BR"/>
        </w:rPr>
        <w:t xml:space="preserve"> total de ativos</w:t>
      </w:r>
      <w:r w:rsidR="00D308FA" w:rsidRPr="00A16219">
        <w:rPr>
          <w:rFonts w:ascii="Times New Roman" w:hAnsi="Times New Roman" w:cs="Times New Roman"/>
          <w:sz w:val="24"/>
          <w:szCs w:val="24"/>
          <w:lang w:val="pt-BR"/>
        </w:rPr>
        <w:t xml:space="preserve">.  </w:t>
      </w:r>
      <w:bookmarkEnd w:id="17"/>
      <w:r w:rsidRPr="00CA2760">
        <w:rPr>
          <w:rFonts w:ascii="Times New Roman" w:eastAsia="Times New Roman" w:hAnsi="Times New Roman" w:cs="Times New Roman"/>
          <w:sz w:val="24"/>
          <w:szCs w:val="24"/>
          <w:lang w:val="pt-BR"/>
        </w:rPr>
        <w:t xml:space="preserve">Os riscos de crédito nesta carteira aumentaram (sem dúvida devido, em parte, à recessão 2014/2016 e </w:t>
      </w:r>
      <w:r w:rsidR="00BD6DEC">
        <w:rPr>
          <w:rFonts w:ascii="Times New Roman" w:eastAsia="Times New Roman" w:hAnsi="Times New Roman" w:cs="Times New Roman"/>
          <w:sz w:val="24"/>
          <w:szCs w:val="24"/>
          <w:lang w:val="pt-BR"/>
        </w:rPr>
        <w:t xml:space="preserve">posterior </w:t>
      </w:r>
      <w:r w:rsidRPr="00CA2760">
        <w:rPr>
          <w:rFonts w:ascii="Times New Roman" w:eastAsia="Times New Roman" w:hAnsi="Times New Roman" w:cs="Times New Roman"/>
          <w:sz w:val="24"/>
          <w:szCs w:val="24"/>
          <w:lang w:val="pt-BR"/>
        </w:rPr>
        <w:t xml:space="preserve">lenta recuperação), resultando em um aumento das provisões para créditos de liquidação duvidosa.  </w:t>
      </w:r>
      <w:r w:rsidRPr="00B46CC2">
        <w:rPr>
          <w:rFonts w:ascii="Times New Roman" w:eastAsia="Times New Roman" w:hAnsi="Times New Roman" w:cs="Times New Roman"/>
          <w:sz w:val="24"/>
          <w:szCs w:val="24"/>
          <w:lang w:val="pt-BR"/>
        </w:rPr>
        <w:t xml:space="preserve">A </w:t>
      </w:r>
      <w:r w:rsidRPr="00125E59">
        <w:rPr>
          <w:rFonts w:ascii="Times New Roman" w:eastAsia="Times New Roman" w:hAnsi="Times New Roman" w:cs="Times New Roman"/>
          <w:sz w:val="24"/>
          <w:szCs w:val="24"/>
          <w:lang w:val="pt-BR"/>
        </w:rPr>
        <w:t>tabela</w:t>
      </w:r>
      <w:r w:rsidR="00125E59">
        <w:rPr>
          <w:rFonts w:ascii="Times New Roman" w:eastAsia="Times New Roman" w:hAnsi="Times New Roman" w:cs="Times New Roman"/>
          <w:sz w:val="24"/>
          <w:szCs w:val="24"/>
          <w:lang w:val="pt-BR"/>
        </w:rPr>
        <w:t xml:space="preserve"> </w:t>
      </w:r>
      <w:r w:rsidR="00716232">
        <w:rPr>
          <w:rFonts w:ascii="Times New Roman" w:eastAsia="Times New Roman" w:hAnsi="Times New Roman" w:cs="Times New Roman"/>
          <w:sz w:val="24"/>
          <w:szCs w:val="24"/>
          <w:lang w:val="pt-BR"/>
        </w:rPr>
        <w:t>6</w:t>
      </w:r>
      <w:r w:rsidRPr="00CA2760">
        <w:rPr>
          <w:rFonts w:ascii="Times New Roman" w:eastAsia="Times New Roman" w:hAnsi="Times New Roman" w:cs="Times New Roman"/>
          <w:sz w:val="24"/>
          <w:szCs w:val="24"/>
          <w:lang w:val="pt-BR"/>
        </w:rPr>
        <w:t xml:space="preserve"> mostra os resultados do Fomento Paraná para o período.</w:t>
      </w:r>
    </w:p>
    <w:p w14:paraId="34FBB895" w14:textId="77777777" w:rsidR="00C46123" w:rsidRPr="00CA2760" w:rsidRDefault="00C46123" w:rsidP="00C46123">
      <w:pPr>
        <w:rPr>
          <w:rFonts w:ascii="Times New Roman" w:eastAsia="Times New Roman" w:hAnsi="Times New Roman" w:cs="Times New Roman"/>
          <w:bCs/>
          <w:sz w:val="24"/>
          <w:szCs w:val="24"/>
          <w:highlight w:val="cyan"/>
          <w:lang w:val="pt-BR"/>
        </w:rPr>
      </w:pPr>
      <w:r w:rsidRPr="00CA2760">
        <w:rPr>
          <w:rFonts w:ascii="Times New Roman" w:eastAsia="Times New Roman" w:hAnsi="Times New Roman" w:cs="Times New Roman"/>
          <w:bCs/>
          <w:sz w:val="24"/>
          <w:szCs w:val="24"/>
          <w:highlight w:val="cyan"/>
          <w:lang w:val="pt-BR"/>
        </w:rPr>
        <w:br w:type="page"/>
      </w:r>
    </w:p>
    <w:p w14:paraId="37E4FFE6" w14:textId="713DD8D0" w:rsidR="00C46123" w:rsidRPr="00CA2760" w:rsidRDefault="00C46123" w:rsidP="00C46123">
      <w:pPr>
        <w:spacing w:after="0" w:line="240" w:lineRule="auto"/>
        <w:rPr>
          <w:rFonts w:ascii="Times New Roman" w:eastAsia="Times New Roman" w:hAnsi="Times New Roman" w:cs="Times New Roman"/>
          <w:bCs/>
          <w:sz w:val="24"/>
          <w:szCs w:val="24"/>
          <w:lang w:val="pt-BR"/>
        </w:rPr>
      </w:pPr>
      <w:r w:rsidRPr="00125E59">
        <w:rPr>
          <w:rFonts w:ascii="Times New Roman" w:eastAsia="Times New Roman" w:hAnsi="Times New Roman" w:cs="Times New Roman"/>
          <w:bCs/>
          <w:sz w:val="24"/>
          <w:szCs w:val="24"/>
          <w:lang w:val="pt-BR"/>
        </w:rPr>
        <w:lastRenderedPageBreak/>
        <w:t xml:space="preserve">Tabela </w:t>
      </w:r>
      <w:r w:rsidR="00716232">
        <w:rPr>
          <w:rFonts w:ascii="Times New Roman" w:eastAsia="Times New Roman" w:hAnsi="Times New Roman" w:cs="Times New Roman"/>
          <w:bCs/>
          <w:sz w:val="24"/>
          <w:szCs w:val="24"/>
          <w:lang w:val="pt-BR"/>
        </w:rPr>
        <w:t>5</w:t>
      </w:r>
      <w:r w:rsidR="004E766C">
        <w:rPr>
          <w:rFonts w:ascii="Times New Roman" w:eastAsia="Times New Roman" w:hAnsi="Times New Roman" w:cs="Times New Roman"/>
          <w:bCs/>
          <w:sz w:val="24"/>
          <w:szCs w:val="24"/>
          <w:lang w:val="pt-BR"/>
        </w:rPr>
        <w:t>.</w:t>
      </w:r>
      <w:r w:rsidRPr="00B46CC2">
        <w:rPr>
          <w:rFonts w:ascii="Times New Roman" w:eastAsia="Times New Roman" w:hAnsi="Times New Roman" w:cs="Times New Roman"/>
          <w:bCs/>
          <w:sz w:val="24"/>
          <w:szCs w:val="24"/>
          <w:lang w:val="pt-BR"/>
        </w:rPr>
        <w:t xml:space="preserve"> Agência</w:t>
      </w:r>
      <w:r w:rsidRPr="00CA2760">
        <w:rPr>
          <w:rFonts w:ascii="Times New Roman" w:eastAsia="Times New Roman" w:hAnsi="Times New Roman" w:cs="Times New Roman"/>
          <w:bCs/>
          <w:sz w:val="24"/>
          <w:szCs w:val="24"/>
          <w:lang w:val="pt-BR"/>
        </w:rPr>
        <w:t xml:space="preserve"> de Fomento do Paraná: Balanço Patrimonial: Dezembro 2013/ 2017 </w:t>
      </w:r>
    </w:p>
    <w:p w14:paraId="6739F73D" w14:textId="4BFDF9A4" w:rsidR="00C46123" w:rsidRPr="00CA2760" w:rsidRDefault="00C46123" w:rsidP="00C46123">
      <w:pPr>
        <w:spacing w:after="0" w:line="240" w:lineRule="auto"/>
        <w:rPr>
          <w:rFonts w:ascii="Times New Roman" w:eastAsia="Times New Roman" w:hAnsi="Times New Roman" w:cs="Times New Roman"/>
          <w:color w:val="000000"/>
          <w:sz w:val="24"/>
          <w:szCs w:val="24"/>
          <w:lang w:val="pt-BR"/>
        </w:rPr>
      </w:pPr>
      <w:r w:rsidRPr="00CA2760">
        <w:rPr>
          <w:rFonts w:ascii="Times New Roman" w:eastAsia="Times New Roman" w:hAnsi="Times New Roman" w:cs="Times New Roman"/>
          <w:color w:val="000000"/>
          <w:sz w:val="24"/>
          <w:szCs w:val="24"/>
          <w:lang w:val="pt-BR"/>
        </w:rPr>
        <w:t>R$ milhões nominais</w:t>
      </w:r>
    </w:p>
    <w:tbl>
      <w:tblPr>
        <w:tblStyle w:val="TableGridLight"/>
        <w:tblW w:w="9067" w:type="dxa"/>
        <w:tblLook w:val="04A0" w:firstRow="1" w:lastRow="0" w:firstColumn="1" w:lastColumn="0" w:noHBand="0" w:noVBand="1"/>
      </w:tblPr>
      <w:tblGrid>
        <w:gridCol w:w="4673"/>
        <w:gridCol w:w="992"/>
        <w:gridCol w:w="993"/>
        <w:gridCol w:w="1275"/>
        <w:gridCol w:w="1134"/>
      </w:tblGrid>
      <w:tr w:rsidR="00C46123" w:rsidRPr="008B2EB5" w14:paraId="7E5150F3" w14:textId="77777777" w:rsidTr="00B87A9B">
        <w:trPr>
          <w:trHeight w:val="255"/>
        </w:trPr>
        <w:tc>
          <w:tcPr>
            <w:tcW w:w="4673" w:type="dxa"/>
            <w:vMerge w:val="restart"/>
          </w:tcPr>
          <w:p w14:paraId="35CED373" w14:textId="77777777" w:rsidR="00C46123" w:rsidRPr="009E7402" w:rsidRDefault="00C46123" w:rsidP="00B87A9B">
            <w:pPr>
              <w:rPr>
                <w:rFonts w:eastAsia="Times New Roman" w:cs="Arial"/>
                <w:color w:val="000000"/>
                <w:sz w:val="20"/>
                <w:szCs w:val="20"/>
                <w:lang w:val="pt-BR"/>
              </w:rPr>
            </w:pPr>
          </w:p>
        </w:tc>
        <w:tc>
          <w:tcPr>
            <w:tcW w:w="992" w:type="dxa"/>
            <w:vMerge w:val="restart"/>
            <w:vAlign w:val="center"/>
            <w:hideMark/>
          </w:tcPr>
          <w:p w14:paraId="5A92B905" w14:textId="77777777" w:rsidR="00C46123" w:rsidRPr="009E7402" w:rsidRDefault="00C46123" w:rsidP="00B87A9B">
            <w:pPr>
              <w:jc w:val="right"/>
              <w:rPr>
                <w:rFonts w:eastAsia="Times New Roman" w:cs="Arial"/>
                <w:b/>
                <w:bCs/>
                <w:sz w:val="20"/>
                <w:szCs w:val="20"/>
                <w:lang w:val="pt-BR"/>
              </w:rPr>
            </w:pPr>
            <w:r w:rsidRPr="009E7402">
              <w:rPr>
                <w:rFonts w:eastAsia="Times New Roman" w:cs="Arial"/>
                <w:b/>
                <w:bCs/>
                <w:sz w:val="20"/>
                <w:szCs w:val="20"/>
                <w:lang w:val="pt-BR"/>
              </w:rPr>
              <w:t>2013</w:t>
            </w:r>
          </w:p>
        </w:tc>
        <w:tc>
          <w:tcPr>
            <w:tcW w:w="993" w:type="dxa"/>
            <w:vMerge w:val="restart"/>
            <w:vAlign w:val="center"/>
            <w:hideMark/>
          </w:tcPr>
          <w:p w14:paraId="49D0D147" w14:textId="77777777" w:rsidR="00C46123" w:rsidRPr="007D32D9" w:rsidRDefault="00C46123" w:rsidP="00B87A9B">
            <w:pPr>
              <w:jc w:val="right"/>
              <w:rPr>
                <w:rFonts w:eastAsia="Times New Roman" w:cs="Arial"/>
                <w:b/>
                <w:bCs/>
                <w:sz w:val="20"/>
                <w:szCs w:val="20"/>
                <w:lang w:val="pt-BR"/>
              </w:rPr>
            </w:pPr>
            <w:r w:rsidRPr="007D32D9">
              <w:rPr>
                <w:rFonts w:eastAsia="Times New Roman" w:cs="Arial"/>
                <w:b/>
                <w:bCs/>
                <w:sz w:val="20"/>
                <w:szCs w:val="20"/>
                <w:lang w:val="pt-BR"/>
              </w:rPr>
              <w:t>2017</w:t>
            </w:r>
          </w:p>
        </w:tc>
        <w:tc>
          <w:tcPr>
            <w:tcW w:w="2409" w:type="dxa"/>
            <w:gridSpan w:val="2"/>
            <w:hideMark/>
          </w:tcPr>
          <w:p w14:paraId="6AF9702D" w14:textId="77777777" w:rsidR="00C46123" w:rsidRPr="00D63050" w:rsidRDefault="00C46123" w:rsidP="00B87A9B">
            <w:pPr>
              <w:jc w:val="center"/>
              <w:rPr>
                <w:rFonts w:eastAsia="Times New Roman" w:cs="Arial"/>
                <w:color w:val="000000"/>
                <w:sz w:val="20"/>
                <w:szCs w:val="20"/>
                <w:lang w:val="pt-BR"/>
              </w:rPr>
            </w:pPr>
            <w:r w:rsidRPr="00D63050">
              <w:rPr>
                <w:rFonts w:eastAsia="Times New Roman" w:cs="Arial"/>
                <w:b/>
                <w:bCs/>
                <w:sz w:val="20"/>
                <w:szCs w:val="20"/>
                <w:lang w:val="pt-BR"/>
              </w:rPr>
              <w:t>Variação 2013/ 2017</w:t>
            </w:r>
          </w:p>
        </w:tc>
      </w:tr>
      <w:tr w:rsidR="00C46123" w:rsidRPr="008B2EB5" w14:paraId="1476BE60" w14:textId="77777777" w:rsidTr="00B87A9B">
        <w:trPr>
          <w:trHeight w:val="50"/>
        </w:trPr>
        <w:tc>
          <w:tcPr>
            <w:tcW w:w="4673" w:type="dxa"/>
            <w:vMerge/>
            <w:hideMark/>
          </w:tcPr>
          <w:p w14:paraId="109B7BFB" w14:textId="77777777" w:rsidR="00C46123" w:rsidRPr="008B2EB5" w:rsidRDefault="00C46123" w:rsidP="00B87A9B">
            <w:pPr>
              <w:jc w:val="center"/>
              <w:rPr>
                <w:rFonts w:eastAsia="Times New Roman" w:cs="Arial"/>
                <w:color w:val="000000"/>
                <w:sz w:val="20"/>
                <w:szCs w:val="20"/>
                <w:lang w:val="pt-BR"/>
              </w:rPr>
            </w:pPr>
          </w:p>
        </w:tc>
        <w:tc>
          <w:tcPr>
            <w:tcW w:w="992" w:type="dxa"/>
            <w:vMerge/>
            <w:hideMark/>
          </w:tcPr>
          <w:p w14:paraId="37F00FD8" w14:textId="77777777" w:rsidR="00C46123" w:rsidRPr="008B2EB5" w:rsidRDefault="00C46123" w:rsidP="00B87A9B">
            <w:pPr>
              <w:rPr>
                <w:rFonts w:eastAsia="Times New Roman" w:cs="Times New Roman"/>
                <w:sz w:val="20"/>
                <w:szCs w:val="20"/>
                <w:lang w:val="pt-BR"/>
              </w:rPr>
            </w:pPr>
          </w:p>
        </w:tc>
        <w:tc>
          <w:tcPr>
            <w:tcW w:w="993" w:type="dxa"/>
            <w:vMerge/>
            <w:hideMark/>
          </w:tcPr>
          <w:p w14:paraId="0F9CAC23" w14:textId="77777777" w:rsidR="00C46123" w:rsidRPr="008B2EB5" w:rsidRDefault="00C46123" w:rsidP="00B87A9B">
            <w:pPr>
              <w:rPr>
                <w:rFonts w:eastAsia="Times New Roman" w:cs="Times New Roman"/>
                <w:sz w:val="20"/>
                <w:szCs w:val="20"/>
                <w:lang w:val="pt-BR"/>
              </w:rPr>
            </w:pPr>
          </w:p>
        </w:tc>
        <w:tc>
          <w:tcPr>
            <w:tcW w:w="1275" w:type="dxa"/>
            <w:hideMark/>
          </w:tcPr>
          <w:p w14:paraId="088465F4" w14:textId="77777777" w:rsidR="00C46123" w:rsidRPr="008B2EB5" w:rsidRDefault="00C46123" w:rsidP="00B87A9B">
            <w:pPr>
              <w:jc w:val="center"/>
              <w:rPr>
                <w:rFonts w:eastAsia="Times New Roman" w:cs="Arial"/>
                <w:b/>
                <w:bCs/>
                <w:sz w:val="20"/>
                <w:szCs w:val="20"/>
                <w:lang w:val="pt-BR"/>
              </w:rPr>
            </w:pPr>
            <w:r w:rsidRPr="008B2EB5">
              <w:rPr>
                <w:rFonts w:eastAsia="Times New Roman" w:cs="Arial"/>
                <w:b/>
                <w:bCs/>
                <w:sz w:val="20"/>
                <w:szCs w:val="20"/>
                <w:lang w:val="pt-BR"/>
              </w:rPr>
              <w:t xml:space="preserve"> Absoluto </w:t>
            </w:r>
          </w:p>
        </w:tc>
        <w:tc>
          <w:tcPr>
            <w:tcW w:w="1134" w:type="dxa"/>
            <w:hideMark/>
          </w:tcPr>
          <w:p w14:paraId="5A47EDB2" w14:textId="77777777" w:rsidR="00C46123" w:rsidRPr="008B2EB5" w:rsidRDefault="00C46123" w:rsidP="00B87A9B">
            <w:pPr>
              <w:jc w:val="center"/>
              <w:rPr>
                <w:rFonts w:eastAsia="Times New Roman" w:cs="Arial"/>
                <w:sz w:val="20"/>
                <w:szCs w:val="20"/>
                <w:lang w:val="pt-BR"/>
              </w:rPr>
            </w:pPr>
            <w:r w:rsidRPr="008B2EB5">
              <w:rPr>
                <w:rFonts w:eastAsia="Times New Roman" w:cs="Arial"/>
                <w:sz w:val="20"/>
                <w:szCs w:val="20"/>
                <w:lang w:val="pt-BR"/>
              </w:rPr>
              <w:t xml:space="preserve"> % </w:t>
            </w:r>
          </w:p>
        </w:tc>
      </w:tr>
      <w:tr w:rsidR="00C46123" w:rsidRPr="00175897" w14:paraId="4C6BAB7B" w14:textId="77777777" w:rsidTr="00B87A9B">
        <w:trPr>
          <w:trHeight w:val="264"/>
        </w:trPr>
        <w:tc>
          <w:tcPr>
            <w:tcW w:w="4673" w:type="dxa"/>
            <w:hideMark/>
          </w:tcPr>
          <w:p w14:paraId="2A723441" w14:textId="77777777" w:rsidR="00C46123" w:rsidRPr="00175897" w:rsidRDefault="00C46123" w:rsidP="00B87A9B">
            <w:pPr>
              <w:rPr>
                <w:rFonts w:eastAsia="Times New Roman" w:cs="Arial"/>
                <w:b/>
                <w:bCs/>
                <w:color w:val="000000"/>
                <w:sz w:val="20"/>
                <w:szCs w:val="20"/>
                <w:lang w:val="pt-BR"/>
              </w:rPr>
            </w:pPr>
            <w:r w:rsidRPr="00175897">
              <w:rPr>
                <w:rFonts w:eastAsia="Times New Roman" w:cs="Arial"/>
                <w:b/>
                <w:bCs/>
                <w:color w:val="000000"/>
                <w:sz w:val="20"/>
                <w:szCs w:val="20"/>
                <w:lang w:val="pt-BR"/>
              </w:rPr>
              <w:t>ATIVO</w:t>
            </w:r>
          </w:p>
        </w:tc>
        <w:tc>
          <w:tcPr>
            <w:tcW w:w="992" w:type="dxa"/>
            <w:hideMark/>
          </w:tcPr>
          <w:p w14:paraId="7A4B711C" w14:textId="77777777" w:rsidR="00C46123" w:rsidRPr="00175897" w:rsidRDefault="00C46123" w:rsidP="00B87A9B">
            <w:pPr>
              <w:rPr>
                <w:rFonts w:eastAsia="Times New Roman" w:cs="Arial"/>
                <w:color w:val="000000"/>
                <w:sz w:val="20"/>
                <w:szCs w:val="20"/>
                <w:lang w:val="pt-BR"/>
              </w:rPr>
            </w:pPr>
            <w:r w:rsidRPr="00175897">
              <w:rPr>
                <w:rFonts w:eastAsia="Times New Roman" w:cs="Arial"/>
                <w:color w:val="000000"/>
                <w:sz w:val="20"/>
                <w:szCs w:val="20"/>
                <w:lang w:val="pt-BR"/>
              </w:rPr>
              <w:t> </w:t>
            </w:r>
          </w:p>
        </w:tc>
        <w:tc>
          <w:tcPr>
            <w:tcW w:w="993" w:type="dxa"/>
            <w:hideMark/>
          </w:tcPr>
          <w:p w14:paraId="3B3F34A9" w14:textId="77777777" w:rsidR="00C46123" w:rsidRPr="00175897" w:rsidRDefault="00C46123" w:rsidP="00B87A9B">
            <w:pPr>
              <w:rPr>
                <w:rFonts w:eastAsia="Times New Roman" w:cs="Arial"/>
                <w:color w:val="000000"/>
                <w:sz w:val="20"/>
                <w:szCs w:val="20"/>
                <w:lang w:val="pt-BR"/>
              </w:rPr>
            </w:pPr>
            <w:r w:rsidRPr="00175897">
              <w:rPr>
                <w:rFonts w:eastAsia="Times New Roman" w:cs="Arial"/>
                <w:color w:val="000000"/>
                <w:sz w:val="20"/>
                <w:szCs w:val="20"/>
                <w:lang w:val="pt-BR"/>
              </w:rPr>
              <w:t> </w:t>
            </w:r>
          </w:p>
        </w:tc>
        <w:tc>
          <w:tcPr>
            <w:tcW w:w="1275" w:type="dxa"/>
            <w:hideMark/>
          </w:tcPr>
          <w:p w14:paraId="02D40A0B" w14:textId="77777777" w:rsidR="00C46123" w:rsidRPr="00175897" w:rsidRDefault="00C46123" w:rsidP="00B87A9B">
            <w:pPr>
              <w:rPr>
                <w:rFonts w:eastAsia="Times New Roman" w:cs="Arial"/>
                <w:color w:val="000000"/>
                <w:sz w:val="20"/>
                <w:szCs w:val="20"/>
                <w:lang w:val="pt-BR"/>
              </w:rPr>
            </w:pPr>
            <w:r w:rsidRPr="00175897">
              <w:rPr>
                <w:rFonts w:eastAsia="Times New Roman" w:cs="Arial"/>
                <w:color w:val="000000"/>
                <w:sz w:val="20"/>
                <w:szCs w:val="20"/>
                <w:lang w:val="pt-BR"/>
              </w:rPr>
              <w:t> </w:t>
            </w:r>
          </w:p>
        </w:tc>
        <w:tc>
          <w:tcPr>
            <w:tcW w:w="1134" w:type="dxa"/>
            <w:hideMark/>
          </w:tcPr>
          <w:p w14:paraId="1B9208E3" w14:textId="77777777" w:rsidR="00C46123" w:rsidRPr="00175897" w:rsidRDefault="00C46123" w:rsidP="00B87A9B">
            <w:pPr>
              <w:rPr>
                <w:rFonts w:eastAsia="Times New Roman" w:cs="Arial"/>
                <w:color w:val="000000"/>
                <w:sz w:val="20"/>
                <w:szCs w:val="20"/>
                <w:lang w:val="pt-BR"/>
              </w:rPr>
            </w:pPr>
            <w:r w:rsidRPr="00175897">
              <w:rPr>
                <w:rFonts w:eastAsia="Times New Roman" w:cs="Arial"/>
                <w:color w:val="000000"/>
                <w:sz w:val="20"/>
                <w:szCs w:val="20"/>
                <w:lang w:val="pt-BR"/>
              </w:rPr>
              <w:t> </w:t>
            </w:r>
          </w:p>
        </w:tc>
      </w:tr>
      <w:tr w:rsidR="00C46123" w:rsidRPr="009E7402" w14:paraId="159C4AD9" w14:textId="77777777" w:rsidTr="00175897">
        <w:trPr>
          <w:trHeight w:val="264"/>
        </w:trPr>
        <w:tc>
          <w:tcPr>
            <w:tcW w:w="4673" w:type="dxa"/>
            <w:hideMark/>
          </w:tcPr>
          <w:p w14:paraId="599E754F" w14:textId="77777777" w:rsidR="00C46123" w:rsidRPr="009E7402" w:rsidRDefault="00C46123" w:rsidP="00B87A9B">
            <w:pPr>
              <w:rPr>
                <w:rFonts w:eastAsia="Times New Roman" w:cs="Arial"/>
                <w:bCs/>
                <w:sz w:val="20"/>
                <w:szCs w:val="20"/>
                <w:lang w:val="pt-BR"/>
              </w:rPr>
            </w:pPr>
            <w:r w:rsidRPr="009E7402">
              <w:rPr>
                <w:rFonts w:eastAsia="Times New Roman" w:cs="Arial"/>
                <w:bCs/>
                <w:sz w:val="20"/>
                <w:szCs w:val="20"/>
                <w:lang w:val="pt-BR"/>
              </w:rPr>
              <w:t>Circulante</w:t>
            </w:r>
          </w:p>
        </w:tc>
        <w:tc>
          <w:tcPr>
            <w:tcW w:w="992" w:type="dxa"/>
            <w:vAlign w:val="center"/>
            <w:hideMark/>
          </w:tcPr>
          <w:p w14:paraId="2F07398F" w14:textId="4855A678" w:rsidR="00C46123" w:rsidRPr="009E7402" w:rsidRDefault="00C46123" w:rsidP="009E7402">
            <w:pPr>
              <w:jc w:val="right"/>
              <w:rPr>
                <w:rFonts w:eastAsia="Times New Roman" w:cs="Arial"/>
                <w:bCs/>
                <w:sz w:val="20"/>
                <w:szCs w:val="20"/>
                <w:lang w:val="pt-BR"/>
              </w:rPr>
            </w:pPr>
            <w:r w:rsidRPr="009E7402">
              <w:rPr>
                <w:rFonts w:eastAsia="Times New Roman" w:cs="Arial"/>
                <w:bCs/>
                <w:sz w:val="20"/>
                <w:szCs w:val="20"/>
                <w:lang w:val="pt-BR"/>
              </w:rPr>
              <w:t>733</w:t>
            </w:r>
            <w:r w:rsidR="009E7402">
              <w:rPr>
                <w:rFonts w:eastAsia="Times New Roman" w:cs="Arial"/>
                <w:bCs/>
                <w:sz w:val="20"/>
                <w:szCs w:val="20"/>
                <w:lang w:val="pt-BR"/>
              </w:rPr>
              <w:t>,</w:t>
            </w:r>
            <w:r w:rsidRPr="009E7402">
              <w:rPr>
                <w:rFonts w:eastAsia="Times New Roman" w:cs="Arial"/>
                <w:bCs/>
                <w:sz w:val="20"/>
                <w:szCs w:val="20"/>
                <w:lang w:val="pt-BR"/>
              </w:rPr>
              <w:t>8</w:t>
            </w:r>
          </w:p>
        </w:tc>
        <w:tc>
          <w:tcPr>
            <w:tcW w:w="993" w:type="dxa"/>
            <w:vAlign w:val="center"/>
            <w:hideMark/>
          </w:tcPr>
          <w:p w14:paraId="4337DEF8" w14:textId="5E6FE893" w:rsidR="00C46123" w:rsidRPr="009E7402" w:rsidRDefault="00C46123" w:rsidP="00175897">
            <w:pPr>
              <w:jc w:val="right"/>
              <w:rPr>
                <w:rFonts w:eastAsia="Times New Roman" w:cs="Arial"/>
                <w:bCs/>
                <w:sz w:val="20"/>
                <w:szCs w:val="20"/>
                <w:lang w:val="pt-BR"/>
              </w:rPr>
            </w:pPr>
            <w:r w:rsidRPr="009E7402">
              <w:rPr>
                <w:rFonts w:eastAsia="Times New Roman" w:cs="Arial"/>
                <w:bCs/>
                <w:sz w:val="20"/>
                <w:szCs w:val="20"/>
                <w:lang w:val="pt-BR"/>
              </w:rPr>
              <w:t>1</w:t>
            </w:r>
            <w:r w:rsidR="00292B78">
              <w:rPr>
                <w:rFonts w:eastAsia="Times New Roman" w:cs="Arial"/>
                <w:bCs/>
                <w:sz w:val="20"/>
                <w:szCs w:val="20"/>
                <w:lang w:val="pt-BR"/>
              </w:rPr>
              <w:t>.</w:t>
            </w:r>
            <w:r w:rsidRPr="009E7402">
              <w:rPr>
                <w:rFonts w:eastAsia="Times New Roman" w:cs="Arial"/>
                <w:bCs/>
                <w:sz w:val="20"/>
                <w:szCs w:val="20"/>
                <w:lang w:val="pt-BR"/>
              </w:rPr>
              <w:t>042</w:t>
            </w:r>
            <w:r w:rsidR="009E7402">
              <w:rPr>
                <w:rFonts w:eastAsia="Times New Roman" w:cs="Arial"/>
                <w:bCs/>
                <w:sz w:val="20"/>
                <w:szCs w:val="20"/>
                <w:lang w:val="pt-BR"/>
              </w:rPr>
              <w:t>,</w:t>
            </w:r>
            <w:r w:rsidRPr="009E7402">
              <w:rPr>
                <w:rFonts w:eastAsia="Times New Roman" w:cs="Arial"/>
                <w:bCs/>
                <w:sz w:val="20"/>
                <w:szCs w:val="20"/>
                <w:lang w:val="pt-BR"/>
              </w:rPr>
              <w:t>4</w:t>
            </w:r>
          </w:p>
        </w:tc>
        <w:tc>
          <w:tcPr>
            <w:tcW w:w="1275" w:type="dxa"/>
            <w:vAlign w:val="center"/>
            <w:hideMark/>
          </w:tcPr>
          <w:p w14:paraId="51719687" w14:textId="6A3205B1" w:rsidR="00C46123" w:rsidRPr="009E7402" w:rsidRDefault="00C46123" w:rsidP="00175897">
            <w:pPr>
              <w:jc w:val="right"/>
              <w:rPr>
                <w:rFonts w:eastAsia="Times New Roman" w:cs="Arial"/>
                <w:sz w:val="20"/>
                <w:szCs w:val="20"/>
                <w:lang w:val="pt-BR"/>
              </w:rPr>
            </w:pPr>
            <w:r w:rsidRPr="009E7402">
              <w:rPr>
                <w:rFonts w:cs="Arial"/>
                <w:sz w:val="20"/>
                <w:szCs w:val="20"/>
                <w:lang w:val="pt-BR"/>
              </w:rPr>
              <w:t>308</w:t>
            </w:r>
            <w:r w:rsidR="009E7402">
              <w:rPr>
                <w:rFonts w:cs="Arial"/>
                <w:sz w:val="20"/>
                <w:szCs w:val="20"/>
                <w:lang w:val="pt-BR"/>
              </w:rPr>
              <w:t>,</w:t>
            </w:r>
            <w:r w:rsidRPr="009E7402">
              <w:rPr>
                <w:rFonts w:cs="Arial"/>
                <w:sz w:val="20"/>
                <w:szCs w:val="20"/>
                <w:lang w:val="pt-BR"/>
              </w:rPr>
              <w:t>6</w:t>
            </w:r>
          </w:p>
        </w:tc>
        <w:tc>
          <w:tcPr>
            <w:tcW w:w="1134" w:type="dxa"/>
            <w:vAlign w:val="center"/>
            <w:hideMark/>
          </w:tcPr>
          <w:p w14:paraId="0DA888FF" w14:textId="1C11478C" w:rsidR="00C46123" w:rsidRPr="009E7402" w:rsidRDefault="00C46123" w:rsidP="00175897">
            <w:pPr>
              <w:jc w:val="right"/>
              <w:rPr>
                <w:rFonts w:eastAsia="Times New Roman" w:cs="Arial"/>
                <w:color w:val="000000"/>
                <w:sz w:val="20"/>
                <w:szCs w:val="20"/>
                <w:lang w:val="pt-BR"/>
              </w:rPr>
            </w:pPr>
            <w:r w:rsidRPr="009E7402">
              <w:rPr>
                <w:rFonts w:eastAsia="Times New Roman" w:cs="Arial"/>
                <w:color w:val="000000"/>
                <w:sz w:val="20"/>
                <w:szCs w:val="20"/>
                <w:lang w:val="pt-BR"/>
              </w:rPr>
              <w:t>42</w:t>
            </w:r>
            <w:r w:rsidR="009E7402">
              <w:rPr>
                <w:rFonts w:eastAsia="Times New Roman" w:cs="Arial"/>
                <w:color w:val="000000"/>
                <w:sz w:val="20"/>
                <w:szCs w:val="20"/>
                <w:lang w:val="pt-BR"/>
              </w:rPr>
              <w:t>,</w:t>
            </w:r>
            <w:r w:rsidRPr="009E7402">
              <w:rPr>
                <w:rFonts w:eastAsia="Times New Roman" w:cs="Arial"/>
                <w:color w:val="000000"/>
                <w:sz w:val="20"/>
                <w:szCs w:val="20"/>
                <w:lang w:val="pt-BR"/>
              </w:rPr>
              <w:t>1%</w:t>
            </w:r>
          </w:p>
        </w:tc>
      </w:tr>
      <w:tr w:rsidR="00C46123" w:rsidRPr="009E7402" w14:paraId="6D02CE18" w14:textId="77777777" w:rsidTr="00175897">
        <w:trPr>
          <w:trHeight w:val="264"/>
        </w:trPr>
        <w:tc>
          <w:tcPr>
            <w:tcW w:w="4673" w:type="dxa"/>
            <w:hideMark/>
          </w:tcPr>
          <w:p w14:paraId="27F020C1" w14:textId="77777777" w:rsidR="00C46123" w:rsidRPr="009E7402" w:rsidRDefault="00C46123" w:rsidP="00B87A9B">
            <w:pPr>
              <w:rPr>
                <w:rFonts w:eastAsia="Times New Roman" w:cs="Arial"/>
                <w:bCs/>
                <w:sz w:val="20"/>
                <w:szCs w:val="20"/>
                <w:lang w:val="pt-BR"/>
              </w:rPr>
            </w:pPr>
            <w:r w:rsidRPr="009E7402">
              <w:rPr>
                <w:rFonts w:eastAsia="Times New Roman" w:cs="Arial"/>
                <w:bCs/>
                <w:sz w:val="20"/>
                <w:szCs w:val="20"/>
                <w:lang w:val="pt-BR"/>
              </w:rPr>
              <w:t xml:space="preserve">    Títulos e valores mobiliários </w:t>
            </w:r>
          </w:p>
        </w:tc>
        <w:tc>
          <w:tcPr>
            <w:tcW w:w="992" w:type="dxa"/>
            <w:vAlign w:val="center"/>
            <w:hideMark/>
          </w:tcPr>
          <w:p w14:paraId="42254F40" w14:textId="5DF27D14" w:rsidR="00C46123" w:rsidRPr="009E7402" w:rsidRDefault="00C46123" w:rsidP="009E7402">
            <w:pPr>
              <w:jc w:val="right"/>
              <w:rPr>
                <w:rFonts w:eastAsia="Times New Roman" w:cs="Arial"/>
                <w:bCs/>
                <w:sz w:val="20"/>
                <w:szCs w:val="20"/>
                <w:lang w:val="pt-BR"/>
              </w:rPr>
            </w:pPr>
            <w:r w:rsidRPr="009E7402">
              <w:rPr>
                <w:rFonts w:eastAsia="Times New Roman" w:cs="Arial"/>
                <w:bCs/>
                <w:sz w:val="20"/>
                <w:szCs w:val="20"/>
                <w:lang w:val="pt-BR"/>
              </w:rPr>
              <w:t>548</w:t>
            </w:r>
            <w:r w:rsidR="009E7402">
              <w:rPr>
                <w:rFonts w:eastAsia="Times New Roman" w:cs="Arial"/>
                <w:bCs/>
                <w:sz w:val="20"/>
                <w:szCs w:val="20"/>
                <w:lang w:val="pt-BR"/>
              </w:rPr>
              <w:t>,</w:t>
            </w:r>
            <w:r w:rsidRPr="009E7402">
              <w:rPr>
                <w:rFonts w:eastAsia="Times New Roman" w:cs="Arial"/>
                <w:bCs/>
                <w:sz w:val="20"/>
                <w:szCs w:val="20"/>
                <w:lang w:val="pt-BR"/>
              </w:rPr>
              <w:t>2</w:t>
            </w:r>
          </w:p>
        </w:tc>
        <w:tc>
          <w:tcPr>
            <w:tcW w:w="993" w:type="dxa"/>
            <w:vAlign w:val="center"/>
            <w:hideMark/>
          </w:tcPr>
          <w:p w14:paraId="2C5E1A80" w14:textId="3AB56373" w:rsidR="00C46123" w:rsidRPr="009E7402" w:rsidRDefault="00C46123" w:rsidP="00175897">
            <w:pPr>
              <w:jc w:val="right"/>
              <w:rPr>
                <w:rFonts w:eastAsia="Times New Roman" w:cs="Arial"/>
                <w:bCs/>
                <w:sz w:val="20"/>
                <w:szCs w:val="20"/>
                <w:lang w:val="pt-BR"/>
              </w:rPr>
            </w:pPr>
            <w:r w:rsidRPr="009E7402">
              <w:rPr>
                <w:rFonts w:eastAsia="Times New Roman" w:cs="Arial"/>
                <w:bCs/>
                <w:sz w:val="20"/>
                <w:szCs w:val="20"/>
                <w:lang w:val="pt-BR"/>
              </w:rPr>
              <w:t>707</w:t>
            </w:r>
            <w:r w:rsidR="009E7402">
              <w:rPr>
                <w:rFonts w:eastAsia="Times New Roman" w:cs="Arial"/>
                <w:bCs/>
                <w:sz w:val="20"/>
                <w:szCs w:val="20"/>
                <w:lang w:val="pt-BR"/>
              </w:rPr>
              <w:t>,</w:t>
            </w:r>
            <w:r w:rsidRPr="009E7402">
              <w:rPr>
                <w:rFonts w:eastAsia="Times New Roman" w:cs="Arial"/>
                <w:bCs/>
                <w:sz w:val="20"/>
                <w:szCs w:val="20"/>
                <w:lang w:val="pt-BR"/>
              </w:rPr>
              <w:t>8</w:t>
            </w:r>
          </w:p>
        </w:tc>
        <w:tc>
          <w:tcPr>
            <w:tcW w:w="1275" w:type="dxa"/>
            <w:vAlign w:val="center"/>
            <w:hideMark/>
          </w:tcPr>
          <w:p w14:paraId="312B6895" w14:textId="5BB4FDEE" w:rsidR="00C46123" w:rsidRPr="009E7402" w:rsidRDefault="00C46123" w:rsidP="00175897">
            <w:pPr>
              <w:jc w:val="right"/>
              <w:rPr>
                <w:rFonts w:eastAsia="Times New Roman" w:cs="Arial"/>
                <w:sz w:val="20"/>
                <w:szCs w:val="20"/>
                <w:lang w:val="pt-BR"/>
              </w:rPr>
            </w:pPr>
            <w:r w:rsidRPr="009E7402">
              <w:rPr>
                <w:rFonts w:cs="Arial"/>
                <w:sz w:val="20"/>
                <w:szCs w:val="20"/>
                <w:lang w:val="pt-BR"/>
              </w:rPr>
              <w:t>159</w:t>
            </w:r>
            <w:r w:rsidR="009E7402">
              <w:rPr>
                <w:rFonts w:cs="Arial"/>
                <w:sz w:val="20"/>
                <w:szCs w:val="20"/>
                <w:lang w:val="pt-BR"/>
              </w:rPr>
              <w:t>,</w:t>
            </w:r>
            <w:r w:rsidRPr="009E7402">
              <w:rPr>
                <w:rFonts w:cs="Arial"/>
                <w:sz w:val="20"/>
                <w:szCs w:val="20"/>
                <w:lang w:val="pt-BR"/>
              </w:rPr>
              <w:t>6</w:t>
            </w:r>
          </w:p>
        </w:tc>
        <w:tc>
          <w:tcPr>
            <w:tcW w:w="1134" w:type="dxa"/>
            <w:vAlign w:val="center"/>
            <w:hideMark/>
          </w:tcPr>
          <w:p w14:paraId="6957EBED" w14:textId="497E746B" w:rsidR="00C46123" w:rsidRPr="009E7402" w:rsidRDefault="00C46123" w:rsidP="00175897">
            <w:pPr>
              <w:jc w:val="right"/>
              <w:rPr>
                <w:rFonts w:eastAsia="Times New Roman" w:cs="Arial"/>
                <w:color w:val="000000"/>
                <w:sz w:val="20"/>
                <w:szCs w:val="20"/>
                <w:lang w:val="pt-BR"/>
              </w:rPr>
            </w:pPr>
            <w:r w:rsidRPr="009E7402">
              <w:rPr>
                <w:rFonts w:eastAsia="Times New Roman" w:cs="Arial"/>
                <w:color w:val="000000"/>
                <w:sz w:val="20"/>
                <w:szCs w:val="20"/>
                <w:lang w:val="pt-BR"/>
              </w:rPr>
              <w:t>29</w:t>
            </w:r>
            <w:r w:rsidR="009E7402">
              <w:rPr>
                <w:rFonts w:eastAsia="Times New Roman" w:cs="Arial"/>
                <w:color w:val="000000"/>
                <w:sz w:val="20"/>
                <w:szCs w:val="20"/>
                <w:lang w:val="pt-BR"/>
              </w:rPr>
              <w:t>,</w:t>
            </w:r>
            <w:r w:rsidRPr="009E7402">
              <w:rPr>
                <w:rFonts w:eastAsia="Times New Roman" w:cs="Arial"/>
                <w:color w:val="000000"/>
                <w:sz w:val="20"/>
                <w:szCs w:val="20"/>
                <w:lang w:val="pt-BR"/>
              </w:rPr>
              <w:t>1%</w:t>
            </w:r>
          </w:p>
        </w:tc>
      </w:tr>
      <w:tr w:rsidR="00C46123" w:rsidRPr="009E7402" w14:paraId="137B366D" w14:textId="77777777" w:rsidTr="00175897">
        <w:trPr>
          <w:trHeight w:val="264"/>
        </w:trPr>
        <w:tc>
          <w:tcPr>
            <w:tcW w:w="4673" w:type="dxa"/>
            <w:hideMark/>
          </w:tcPr>
          <w:p w14:paraId="1FA9573F" w14:textId="77777777" w:rsidR="00C46123" w:rsidRPr="009E7402" w:rsidRDefault="00C46123" w:rsidP="00B87A9B">
            <w:pPr>
              <w:rPr>
                <w:rFonts w:eastAsia="Times New Roman" w:cs="Arial"/>
                <w:bCs/>
                <w:sz w:val="20"/>
                <w:szCs w:val="20"/>
                <w:lang w:val="pt-BR"/>
              </w:rPr>
            </w:pPr>
            <w:r w:rsidRPr="009E7402">
              <w:rPr>
                <w:rFonts w:eastAsia="Times New Roman" w:cs="Arial"/>
                <w:bCs/>
                <w:sz w:val="20"/>
                <w:szCs w:val="20"/>
                <w:lang w:val="pt-BR"/>
              </w:rPr>
              <w:t xml:space="preserve">    Operações de crédito</w:t>
            </w:r>
          </w:p>
        </w:tc>
        <w:tc>
          <w:tcPr>
            <w:tcW w:w="992" w:type="dxa"/>
            <w:vAlign w:val="center"/>
            <w:hideMark/>
          </w:tcPr>
          <w:p w14:paraId="3E84CE59" w14:textId="1345085D" w:rsidR="00C46123" w:rsidRPr="009E7402" w:rsidRDefault="00C46123" w:rsidP="009E7402">
            <w:pPr>
              <w:jc w:val="right"/>
              <w:rPr>
                <w:rFonts w:eastAsia="Times New Roman" w:cs="Arial"/>
                <w:bCs/>
                <w:sz w:val="20"/>
                <w:szCs w:val="20"/>
                <w:lang w:val="pt-BR"/>
              </w:rPr>
            </w:pPr>
            <w:r w:rsidRPr="009E7402">
              <w:rPr>
                <w:rFonts w:eastAsia="Times New Roman" w:cs="Arial"/>
                <w:bCs/>
                <w:sz w:val="20"/>
                <w:szCs w:val="20"/>
                <w:lang w:val="pt-BR"/>
              </w:rPr>
              <w:t>183</w:t>
            </w:r>
            <w:r w:rsidR="009E7402">
              <w:rPr>
                <w:rFonts w:eastAsia="Times New Roman" w:cs="Arial"/>
                <w:bCs/>
                <w:sz w:val="20"/>
                <w:szCs w:val="20"/>
                <w:lang w:val="pt-BR"/>
              </w:rPr>
              <w:t>,</w:t>
            </w:r>
            <w:r w:rsidRPr="009E7402">
              <w:rPr>
                <w:rFonts w:eastAsia="Times New Roman" w:cs="Arial"/>
                <w:bCs/>
                <w:sz w:val="20"/>
                <w:szCs w:val="20"/>
                <w:lang w:val="pt-BR"/>
              </w:rPr>
              <w:t>5</w:t>
            </w:r>
          </w:p>
        </w:tc>
        <w:tc>
          <w:tcPr>
            <w:tcW w:w="993" w:type="dxa"/>
            <w:vAlign w:val="center"/>
            <w:hideMark/>
          </w:tcPr>
          <w:p w14:paraId="07ED0A98" w14:textId="5A5E82F1" w:rsidR="00C46123" w:rsidRPr="009E7402" w:rsidRDefault="00C46123" w:rsidP="00175897">
            <w:pPr>
              <w:jc w:val="right"/>
              <w:rPr>
                <w:rFonts w:eastAsia="Times New Roman" w:cs="Arial"/>
                <w:bCs/>
                <w:sz w:val="20"/>
                <w:szCs w:val="20"/>
                <w:lang w:val="pt-BR"/>
              </w:rPr>
            </w:pPr>
            <w:r w:rsidRPr="009E7402">
              <w:rPr>
                <w:rFonts w:eastAsia="Times New Roman" w:cs="Arial"/>
                <w:bCs/>
                <w:sz w:val="20"/>
                <w:szCs w:val="20"/>
                <w:lang w:val="pt-BR"/>
              </w:rPr>
              <w:t>329</w:t>
            </w:r>
            <w:r w:rsidR="009E7402">
              <w:rPr>
                <w:rFonts w:eastAsia="Times New Roman" w:cs="Arial"/>
                <w:bCs/>
                <w:sz w:val="20"/>
                <w:szCs w:val="20"/>
                <w:lang w:val="pt-BR"/>
              </w:rPr>
              <w:t>,</w:t>
            </w:r>
            <w:r w:rsidRPr="009E7402">
              <w:rPr>
                <w:rFonts w:eastAsia="Times New Roman" w:cs="Arial"/>
                <w:bCs/>
                <w:sz w:val="20"/>
                <w:szCs w:val="20"/>
                <w:lang w:val="pt-BR"/>
              </w:rPr>
              <w:t>5</w:t>
            </w:r>
          </w:p>
        </w:tc>
        <w:tc>
          <w:tcPr>
            <w:tcW w:w="1275" w:type="dxa"/>
            <w:vAlign w:val="center"/>
            <w:hideMark/>
          </w:tcPr>
          <w:p w14:paraId="2BBC3007" w14:textId="76D2495D" w:rsidR="00C46123" w:rsidRPr="009E7402" w:rsidRDefault="00C46123" w:rsidP="00175897">
            <w:pPr>
              <w:jc w:val="right"/>
              <w:rPr>
                <w:rFonts w:eastAsia="Times New Roman" w:cs="Arial"/>
                <w:sz w:val="20"/>
                <w:szCs w:val="20"/>
                <w:lang w:val="pt-BR"/>
              </w:rPr>
            </w:pPr>
            <w:r w:rsidRPr="009E7402">
              <w:rPr>
                <w:rFonts w:cs="Arial"/>
                <w:sz w:val="20"/>
                <w:szCs w:val="20"/>
                <w:lang w:val="pt-BR"/>
              </w:rPr>
              <w:t>146</w:t>
            </w:r>
            <w:r w:rsidR="009E7402">
              <w:rPr>
                <w:rFonts w:cs="Arial"/>
                <w:sz w:val="20"/>
                <w:szCs w:val="20"/>
                <w:lang w:val="pt-BR"/>
              </w:rPr>
              <w:t>,</w:t>
            </w:r>
            <w:r w:rsidRPr="009E7402">
              <w:rPr>
                <w:rFonts w:cs="Arial"/>
                <w:sz w:val="20"/>
                <w:szCs w:val="20"/>
                <w:lang w:val="pt-BR"/>
              </w:rPr>
              <w:t>0</w:t>
            </w:r>
          </w:p>
        </w:tc>
        <w:tc>
          <w:tcPr>
            <w:tcW w:w="1134" w:type="dxa"/>
            <w:vAlign w:val="center"/>
            <w:hideMark/>
          </w:tcPr>
          <w:p w14:paraId="6D8B48F8" w14:textId="7C55719D" w:rsidR="00C46123" w:rsidRPr="009E7402" w:rsidRDefault="00C46123" w:rsidP="00175897">
            <w:pPr>
              <w:jc w:val="right"/>
              <w:rPr>
                <w:rFonts w:eastAsia="Times New Roman" w:cs="Arial"/>
                <w:color w:val="000000"/>
                <w:sz w:val="20"/>
                <w:szCs w:val="20"/>
                <w:lang w:val="pt-BR"/>
              </w:rPr>
            </w:pPr>
            <w:r w:rsidRPr="009E7402">
              <w:rPr>
                <w:rFonts w:eastAsia="Times New Roman" w:cs="Arial"/>
                <w:color w:val="000000"/>
                <w:sz w:val="20"/>
                <w:szCs w:val="20"/>
                <w:lang w:val="pt-BR"/>
              </w:rPr>
              <w:t>79</w:t>
            </w:r>
            <w:r w:rsidR="009E7402">
              <w:rPr>
                <w:rFonts w:eastAsia="Times New Roman" w:cs="Arial"/>
                <w:color w:val="000000"/>
                <w:sz w:val="20"/>
                <w:szCs w:val="20"/>
                <w:lang w:val="pt-BR"/>
              </w:rPr>
              <w:t>,</w:t>
            </w:r>
            <w:r w:rsidRPr="009E7402">
              <w:rPr>
                <w:rFonts w:eastAsia="Times New Roman" w:cs="Arial"/>
                <w:color w:val="000000"/>
                <w:sz w:val="20"/>
                <w:szCs w:val="20"/>
                <w:lang w:val="pt-BR"/>
              </w:rPr>
              <w:t>6%</w:t>
            </w:r>
          </w:p>
        </w:tc>
      </w:tr>
      <w:tr w:rsidR="00C46123" w:rsidRPr="009E7402" w14:paraId="0C0F7B86" w14:textId="77777777" w:rsidTr="00175897">
        <w:trPr>
          <w:trHeight w:val="264"/>
        </w:trPr>
        <w:tc>
          <w:tcPr>
            <w:tcW w:w="4673" w:type="dxa"/>
            <w:hideMark/>
          </w:tcPr>
          <w:p w14:paraId="78E3AF76" w14:textId="77777777" w:rsidR="00C46123" w:rsidRPr="009E7402" w:rsidRDefault="00C46123" w:rsidP="00B87A9B">
            <w:pPr>
              <w:rPr>
                <w:rFonts w:eastAsia="Times New Roman" w:cs="Arial"/>
                <w:sz w:val="20"/>
                <w:szCs w:val="20"/>
                <w:lang w:val="pt-BR"/>
              </w:rPr>
            </w:pPr>
            <w:r w:rsidRPr="009E7402">
              <w:rPr>
                <w:rFonts w:eastAsia="Times New Roman" w:cs="Arial"/>
                <w:sz w:val="20"/>
                <w:szCs w:val="20"/>
                <w:lang w:val="pt-BR"/>
              </w:rPr>
              <w:t xml:space="preserve">       Operações de crédito</w:t>
            </w:r>
          </w:p>
        </w:tc>
        <w:tc>
          <w:tcPr>
            <w:tcW w:w="992" w:type="dxa"/>
            <w:vAlign w:val="center"/>
            <w:hideMark/>
          </w:tcPr>
          <w:p w14:paraId="51CF4717" w14:textId="74F4858C" w:rsidR="00C46123" w:rsidRPr="009E7402" w:rsidRDefault="00C46123" w:rsidP="009E7402">
            <w:pPr>
              <w:jc w:val="right"/>
              <w:rPr>
                <w:rFonts w:eastAsia="Times New Roman" w:cs="Arial"/>
                <w:sz w:val="20"/>
                <w:szCs w:val="20"/>
                <w:lang w:val="pt-BR"/>
              </w:rPr>
            </w:pPr>
            <w:r w:rsidRPr="009E7402">
              <w:rPr>
                <w:rFonts w:eastAsia="Times New Roman" w:cs="Arial"/>
                <w:sz w:val="20"/>
                <w:szCs w:val="20"/>
                <w:lang w:val="pt-BR"/>
              </w:rPr>
              <w:t>186</w:t>
            </w:r>
            <w:r w:rsidR="009E7402">
              <w:rPr>
                <w:rFonts w:eastAsia="Times New Roman" w:cs="Arial"/>
                <w:sz w:val="20"/>
                <w:szCs w:val="20"/>
                <w:lang w:val="pt-BR"/>
              </w:rPr>
              <w:t>,</w:t>
            </w:r>
            <w:r w:rsidRPr="009E7402">
              <w:rPr>
                <w:rFonts w:eastAsia="Times New Roman" w:cs="Arial"/>
                <w:sz w:val="20"/>
                <w:szCs w:val="20"/>
                <w:lang w:val="pt-BR"/>
              </w:rPr>
              <w:t>1</w:t>
            </w:r>
          </w:p>
        </w:tc>
        <w:tc>
          <w:tcPr>
            <w:tcW w:w="993" w:type="dxa"/>
            <w:vAlign w:val="center"/>
            <w:hideMark/>
          </w:tcPr>
          <w:p w14:paraId="17E715B3" w14:textId="63B45341"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343</w:t>
            </w:r>
            <w:r w:rsidR="009E7402">
              <w:rPr>
                <w:rFonts w:eastAsia="Times New Roman" w:cs="Arial"/>
                <w:sz w:val="20"/>
                <w:szCs w:val="20"/>
                <w:lang w:val="pt-BR"/>
              </w:rPr>
              <w:t>,</w:t>
            </w:r>
            <w:r w:rsidRPr="009E7402">
              <w:rPr>
                <w:rFonts w:eastAsia="Times New Roman" w:cs="Arial"/>
                <w:sz w:val="20"/>
                <w:szCs w:val="20"/>
                <w:lang w:val="pt-BR"/>
              </w:rPr>
              <w:t>9</w:t>
            </w:r>
          </w:p>
        </w:tc>
        <w:tc>
          <w:tcPr>
            <w:tcW w:w="1275" w:type="dxa"/>
            <w:vAlign w:val="center"/>
            <w:hideMark/>
          </w:tcPr>
          <w:p w14:paraId="17382D6D" w14:textId="17EAC726" w:rsidR="00C46123" w:rsidRPr="009E7402" w:rsidRDefault="00C46123" w:rsidP="00175897">
            <w:pPr>
              <w:jc w:val="right"/>
              <w:rPr>
                <w:rFonts w:eastAsia="Times New Roman" w:cs="Arial"/>
                <w:sz w:val="20"/>
                <w:szCs w:val="20"/>
                <w:lang w:val="pt-BR"/>
              </w:rPr>
            </w:pPr>
            <w:r w:rsidRPr="009E7402">
              <w:rPr>
                <w:rFonts w:cs="Arial"/>
                <w:sz w:val="20"/>
                <w:szCs w:val="20"/>
                <w:lang w:val="pt-BR"/>
              </w:rPr>
              <w:t>157</w:t>
            </w:r>
            <w:r w:rsidR="009E7402">
              <w:rPr>
                <w:rFonts w:cs="Arial"/>
                <w:sz w:val="20"/>
                <w:szCs w:val="20"/>
                <w:lang w:val="pt-BR"/>
              </w:rPr>
              <w:t>,</w:t>
            </w:r>
            <w:r w:rsidRPr="009E7402">
              <w:rPr>
                <w:rFonts w:cs="Arial"/>
                <w:sz w:val="20"/>
                <w:szCs w:val="20"/>
                <w:lang w:val="pt-BR"/>
              </w:rPr>
              <w:t>8</w:t>
            </w:r>
          </w:p>
        </w:tc>
        <w:tc>
          <w:tcPr>
            <w:tcW w:w="1134" w:type="dxa"/>
            <w:vAlign w:val="center"/>
            <w:hideMark/>
          </w:tcPr>
          <w:p w14:paraId="61336751" w14:textId="24E6AAD0"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84</w:t>
            </w:r>
            <w:r w:rsidR="009E7402">
              <w:rPr>
                <w:rFonts w:eastAsia="Times New Roman" w:cs="Arial"/>
                <w:sz w:val="20"/>
                <w:szCs w:val="20"/>
                <w:lang w:val="pt-BR"/>
              </w:rPr>
              <w:t>,</w:t>
            </w:r>
            <w:r w:rsidRPr="009E7402">
              <w:rPr>
                <w:rFonts w:eastAsia="Times New Roman" w:cs="Arial"/>
                <w:sz w:val="20"/>
                <w:szCs w:val="20"/>
                <w:lang w:val="pt-BR"/>
              </w:rPr>
              <w:t>8%</w:t>
            </w:r>
          </w:p>
        </w:tc>
      </w:tr>
      <w:tr w:rsidR="00C46123" w:rsidRPr="009E7402" w14:paraId="4AED9AC4" w14:textId="77777777" w:rsidTr="00175897">
        <w:trPr>
          <w:trHeight w:val="264"/>
        </w:trPr>
        <w:tc>
          <w:tcPr>
            <w:tcW w:w="4673" w:type="dxa"/>
            <w:hideMark/>
          </w:tcPr>
          <w:p w14:paraId="49028923" w14:textId="77777777" w:rsidR="00C46123" w:rsidRPr="009E7402" w:rsidRDefault="00C46123" w:rsidP="00B87A9B">
            <w:pPr>
              <w:rPr>
                <w:rFonts w:eastAsia="Times New Roman" w:cs="Arial"/>
                <w:sz w:val="20"/>
                <w:szCs w:val="20"/>
                <w:lang w:val="pt-BR"/>
              </w:rPr>
            </w:pPr>
            <w:r w:rsidRPr="009E7402">
              <w:rPr>
                <w:rFonts w:eastAsia="Times New Roman" w:cs="Arial"/>
                <w:sz w:val="20"/>
                <w:szCs w:val="20"/>
                <w:lang w:val="pt-BR"/>
              </w:rPr>
              <w:t xml:space="preserve">           Setor público</w:t>
            </w:r>
          </w:p>
        </w:tc>
        <w:tc>
          <w:tcPr>
            <w:tcW w:w="992" w:type="dxa"/>
            <w:vAlign w:val="center"/>
            <w:hideMark/>
          </w:tcPr>
          <w:p w14:paraId="0153EC2B" w14:textId="4033B545" w:rsidR="00C46123" w:rsidRPr="009E7402" w:rsidRDefault="00C46123" w:rsidP="009E7402">
            <w:pPr>
              <w:jc w:val="right"/>
              <w:rPr>
                <w:rFonts w:eastAsia="Times New Roman" w:cs="Arial"/>
                <w:sz w:val="20"/>
                <w:szCs w:val="20"/>
                <w:lang w:val="pt-BR"/>
              </w:rPr>
            </w:pPr>
            <w:r w:rsidRPr="009E7402">
              <w:rPr>
                <w:rFonts w:eastAsia="Times New Roman" w:cs="Arial"/>
                <w:sz w:val="20"/>
                <w:szCs w:val="20"/>
                <w:lang w:val="pt-BR"/>
              </w:rPr>
              <w:t>160</w:t>
            </w:r>
            <w:r w:rsidR="009E7402">
              <w:rPr>
                <w:rFonts w:eastAsia="Times New Roman" w:cs="Arial"/>
                <w:sz w:val="20"/>
                <w:szCs w:val="20"/>
                <w:lang w:val="pt-BR"/>
              </w:rPr>
              <w:t>,</w:t>
            </w:r>
            <w:r w:rsidRPr="009E7402">
              <w:rPr>
                <w:rFonts w:eastAsia="Times New Roman" w:cs="Arial"/>
                <w:sz w:val="20"/>
                <w:szCs w:val="20"/>
                <w:lang w:val="pt-BR"/>
              </w:rPr>
              <w:t>8</w:t>
            </w:r>
          </w:p>
        </w:tc>
        <w:tc>
          <w:tcPr>
            <w:tcW w:w="993" w:type="dxa"/>
            <w:vAlign w:val="center"/>
            <w:hideMark/>
          </w:tcPr>
          <w:p w14:paraId="0B97E90B" w14:textId="1ABDEB64"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235</w:t>
            </w:r>
            <w:r w:rsidR="009E7402">
              <w:rPr>
                <w:rFonts w:eastAsia="Times New Roman" w:cs="Arial"/>
                <w:sz w:val="20"/>
                <w:szCs w:val="20"/>
                <w:lang w:val="pt-BR"/>
              </w:rPr>
              <w:t>,</w:t>
            </w:r>
            <w:r w:rsidRPr="009E7402">
              <w:rPr>
                <w:rFonts w:eastAsia="Times New Roman" w:cs="Arial"/>
                <w:sz w:val="20"/>
                <w:szCs w:val="20"/>
                <w:lang w:val="pt-BR"/>
              </w:rPr>
              <w:t>0</w:t>
            </w:r>
          </w:p>
        </w:tc>
        <w:tc>
          <w:tcPr>
            <w:tcW w:w="1275" w:type="dxa"/>
            <w:vAlign w:val="center"/>
            <w:hideMark/>
          </w:tcPr>
          <w:p w14:paraId="5DD4000C" w14:textId="02FC0E35" w:rsidR="00C46123" w:rsidRPr="009E7402" w:rsidRDefault="00C46123" w:rsidP="00175897">
            <w:pPr>
              <w:jc w:val="right"/>
              <w:rPr>
                <w:rFonts w:eastAsia="Times New Roman" w:cs="Arial"/>
                <w:sz w:val="20"/>
                <w:szCs w:val="20"/>
                <w:lang w:val="pt-BR"/>
              </w:rPr>
            </w:pPr>
            <w:r w:rsidRPr="009E7402">
              <w:rPr>
                <w:rFonts w:cs="Arial"/>
                <w:sz w:val="20"/>
                <w:szCs w:val="20"/>
                <w:lang w:val="pt-BR"/>
              </w:rPr>
              <w:t>74</w:t>
            </w:r>
            <w:r w:rsidR="009E7402">
              <w:rPr>
                <w:rFonts w:cs="Arial"/>
                <w:sz w:val="20"/>
                <w:szCs w:val="20"/>
                <w:lang w:val="pt-BR"/>
              </w:rPr>
              <w:t>,</w:t>
            </w:r>
            <w:r w:rsidRPr="009E7402">
              <w:rPr>
                <w:rFonts w:cs="Arial"/>
                <w:sz w:val="20"/>
                <w:szCs w:val="20"/>
                <w:lang w:val="pt-BR"/>
              </w:rPr>
              <w:t>2</w:t>
            </w:r>
          </w:p>
        </w:tc>
        <w:tc>
          <w:tcPr>
            <w:tcW w:w="1134" w:type="dxa"/>
            <w:vAlign w:val="center"/>
            <w:hideMark/>
          </w:tcPr>
          <w:p w14:paraId="2912A26B" w14:textId="1AB9C78C"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46</w:t>
            </w:r>
            <w:r w:rsidR="009E7402">
              <w:rPr>
                <w:rFonts w:eastAsia="Times New Roman" w:cs="Arial"/>
                <w:sz w:val="20"/>
                <w:szCs w:val="20"/>
                <w:lang w:val="pt-BR"/>
              </w:rPr>
              <w:t>,</w:t>
            </w:r>
            <w:r w:rsidRPr="009E7402">
              <w:rPr>
                <w:rFonts w:eastAsia="Times New Roman" w:cs="Arial"/>
                <w:sz w:val="20"/>
                <w:szCs w:val="20"/>
                <w:lang w:val="pt-BR"/>
              </w:rPr>
              <w:t>1%</w:t>
            </w:r>
          </w:p>
        </w:tc>
      </w:tr>
      <w:tr w:rsidR="00C46123" w:rsidRPr="009E7402" w14:paraId="6D34500C" w14:textId="77777777" w:rsidTr="00175897">
        <w:trPr>
          <w:trHeight w:val="264"/>
        </w:trPr>
        <w:tc>
          <w:tcPr>
            <w:tcW w:w="4673" w:type="dxa"/>
            <w:hideMark/>
          </w:tcPr>
          <w:p w14:paraId="18573E60" w14:textId="77777777" w:rsidR="00C46123" w:rsidRPr="009E7402" w:rsidRDefault="00C46123" w:rsidP="00B87A9B">
            <w:pPr>
              <w:rPr>
                <w:rFonts w:eastAsia="Times New Roman" w:cs="Arial"/>
                <w:sz w:val="20"/>
                <w:szCs w:val="20"/>
                <w:lang w:val="pt-BR"/>
              </w:rPr>
            </w:pPr>
            <w:r w:rsidRPr="009E7402">
              <w:rPr>
                <w:rFonts w:eastAsia="Times New Roman" w:cs="Arial"/>
                <w:sz w:val="20"/>
                <w:szCs w:val="20"/>
                <w:lang w:val="pt-BR"/>
              </w:rPr>
              <w:t xml:space="preserve">           Setor privado</w:t>
            </w:r>
          </w:p>
        </w:tc>
        <w:tc>
          <w:tcPr>
            <w:tcW w:w="992" w:type="dxa"/>
            <w:vAlign w:val="center"/>
            <w:hideMark/>
          </w:tcPr>
          <w:p w14:paraId="6600B54D" w14:textId="6428F37E" w:rsidR="00C46123" w:rsidRPr="009E7402" w:rsidRDefault="00C46123" w:rsidP="009E7402">
            <w:pPr>
              <w:jc w:val="right"/>
              <w:rPr>
                <w:rFonts w:eastAsia="Times New Roman" w:cs="Arial"/>
                <w:sz w:val="20"/>
                <w:szCs w:val="20"/>
                <w:lang w:val="pt-BR"/>
              </w:rPr>
            </w:pPr>
            <w:r w:rsidRPr="009E7402">
              <w:rPr>
                <w:rFonts w:eastAsia="Times New Roman" w:cs="Arial"/>
                <w:sz w:val="20"/>
                <w:szCs w:val="20"/>
                <w:lang w:val="pt-BR"/>
              </w:rPr>
              <w:t>25</w:t>
            </w:r>
            <w:r w:rsidR="009E7402">
              <w:rPr>
                <w:rFonts w:eastAsia="Times New Roman" w:cs="Arial"/>
                <w:sz w:val="20"/>
                <w:szCs w:val="20"/>
                <w:lang w:val="pt-BR"/>
              </w:rPr>
              <w:t>,</w:t>
            </w:r>
            <w:r w:rsidRPr="009E7402">
              <w:rPr>
                <w:rFonts w:eastAsia="Times New Roman" w:cs="Arial"/>
                <w:sz w:val="20"/>
                <w:szCs w:val="20"/>
                <w:lang w:val="pt-BR"/>
              </w:rPr>
              <w:t>3</w:t>
            </w:r>
          </w:p>
        </w:tc>
        <w:tc>
          <w:tcPr>
            <w:tcW w:w="993" w:type="dxa"/>
            <w:vAlign w:val="center"/>
            <w:hideMark/>
          </w:tcPr>
          <w:p w14:paraId="44382F4D" w14:textId="12120B02"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108</w:t>
            </w:r>
            <w:r w:rsidR="009E7402">
              <w:rPr>
                <w:rFonts w:eastAsia="Times New Roman" w:cs="Arial"/>
                <w:sz w:val="20"/>
                <w:szCs w:val="20"/>
                <w:lang w:val="pt-BR"/>
              </w:rPr>
              <w:t>,</w:t>
            </w:r>
            <w:r w:rsidRPr="009E7402">
              <w:rPr>
                <w:rFonts w:eastAsia="Times New Roman" w:cs="Arial"/>
                <w:sz w:val="20"/>
                <w:szCs w:val="20"/>
                <w:lang w:val="pt-BR"/>
              </w:rPr>
              <w:t>8</w:t>
            </w:r>
          </w:p>
        </w:tc>
        <w:tc>
          <w:tcPr>
            <w:tcW w:w="1275" w:type="dxa"/>
            <w:vAlign w:val="center"/>
            <w:hideMark/>
          </w:tcPr>
          <w:p w14:paraId="3A7B7F21" w14:textId="593D0439" w:rsidR="00C46123" w:rsidRPr="009E7402" w:rsidRDefault="00C46123" w:rsidP="00175897">
            <w:pPr>
              <w:jc w:val="right"/>
              <w:rPr>
                <w:rFonts w:eastAsia="Times New Roman" w:cs="Arial"/>
                <w:sz w:val="20"/>
                <w:szCs w:val="20"/>
                <w:lang w:val="pt-BR"/>
              </w:rPr>
            </w:pPr>
            <w:r w:rsidRPr="009E7402">
              <w:rPr>
                <w:rFonts w:cs="Arial"/>
                <w:sz w:val="20"/>
                <w:szCs w:val="20"/>
                <w:lang w:val="pt-BR"/>
              </w:rPr>
              <w:t>83</w:t>
            </w:r>
            <w:r w:rsidR="009E7402">
              <w:rPr>
                <w:rFonts w:cs="Arial"/>
                <w:sz w:val="20"/>
                <w:szCs w:val="20"/>
                <w:lang w:val="pt-BR"/>
              </w:rPr>
              <w:t>,</w:t>
            </w:r>
            <w:r w:rsidRPr="009E7402">
              <w:rPr>
                <w:rFonts w:cs="Arial"/>
                <w:sz w:val="20"/>
                <w:szCs w:val="20"/>
                <w:lang w:val="pt-BR"/>
              </w:rPr>
              <w:t>6</w:t>
            </w:r>
          </w:p>
        </w:tc>
        <w:tc>
          <w:tcPr>
            <w:tcW w:w="1134" w:type="dxa"/>
            <w:vAlign w:val="center"/>
            <w:hideMark/>
          </w:tcPr>
          <w:p w14:paraId="2EC8ECE1" w14:textId="14D7D6E7"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330</w:t>
            </w:r>
            <w:r w:rsidR="009E7402">
              <w:rPr>
                <w:rFonts w:eastAsia="Times New Roman" w:cs="Arial"/>
                <w:sz w:val="20"/>
                <w:szCs w:val="20"/>
                <w:lang w:val="pt-BR"/>
              </w:rPr>
              <w:t>,</w:t>
            </w:r>
            <w:r w:rsidRPr="009E7402">
              <w:rPr>
                <w:rFonts w:eastAsia="Times New Roman" w:cs="Arial"/>
                <w:sz w:val="20"/>
                <w:szCs w:val="20"/>
                <w:lang w:val="pt-BR"/>
              </w:rPr>
              <w:t>9%</w:t>
            </w:r>
          </w:p>
        </w:tc>
      </w:tr>
      <w:tr w:rsidR="00C46123" w:rsidRPr="009E7402" w14:paraId="77287829" w14:textId="77777777" w:rsidTr="00175897">
        <w:trPr>
          <w:trHeight w:val="271"/>
        </w:trPr>
        <w:tc>
          <w:tcPr>
            <w:tcW w:w="4673" w:type="dxa"/>
            <w:hideMark/>
          </w:tcPr>
          <w:p w14:paraId="0AEFD42C" w14:textId="77777777" w:rsidR="00C46123" w:rsidRPr="002D4F04" w:rsidRDefault="00C46123" w:rsidP="00B87A9B">
            <w:pPr>
              <w:ind w:left="599" w:hanging="709"/>
              <w:rPr>
                <w:rFonts w:eastAsia="Times New Roman" w:cs="Arial"/>
                <w:sz w:val="20"/>
                <w:szCs w:val="20"/>
                <w:lang w:val="pt-BR"/>
              </w:rPr>
            </w:pPr>
            <w:r w:rsidRPr="002D4F04">
              <w:rPr>
                <w:rFonts w:eastAsia="Times New Roman" w:cs="Arial"/>
                <w:sz w:val="20"/>
                <w:szCs w:val="20"/>
                <w:lang w:val="pt-BR"/>
              </w:rPr>
              <w:t xml:space="preserve">       ( - ) Provisão para créditos de liquidação duvidosa </w:t>
            </w:r>
          </w:p>
        </w:tc>
        <w:tc>
          <w:tcPr>
            <w:tcW w:w="992" w:type="dxa"/>
            <w:vAlign w:val="center"/>
            <w:hideMark/>
          </w:tcPr>
          <w:p w14:paraId="2DAB608C" w14:textId="375C0761" w:rsidR="00C46123" w:rsidRPr="009E7402" w:rsidRDefault="00C46123" w:rsidP="009E7402">
            <w:pPr>
              <w:jc w:val="right"/>
              <w:rPr>
                <w:rFonts w:cs="Arial"/>
                <w:sz w:val="20"/>
                <w:szCs w:val="20"/>
                <w:lang w:val="pt-BR"/>
              </w:rPr>
            </w:pPr>
            <w:r w:rsidRPr="009E7402">
              <w:rPr>
                <w:rFonts w:cs="Arial"/>
                <w:sz w:val="20"/>
                <w:szCs w:val="20"/>
                <w:lang w:val="pt-BR"/>
              </w:rPr>
              <w:t>-2</w:t>
            </w:r>
            <w:r w:rsidR="009E7402">
              <w:rPr>
                <w:rFonts w:cs="Arial"/>
                <w:sz w:val="20"/>
                <w:szCs w:val="20"/>
                <w:lang w:val="pt-BR"/>
              </w:rPr>
              <w:t>,</w:t>
            </w:r>
            <w:r w:rsidRPr="009E7402">
              <w:rPr>
                <w:rFonts w:cs="Arial"/>
                <w:sz w:val="20"/>
                <w:szCs w:val="20"/>
                <w:lang w:val="pt-BR"/>
              </w:rPr>
              <w:t>6</w:t>
            </w:r>
          </w:p>
        </w:tc>
        <w:tc>
          <w:tcPr>
            <w:tcW w:w="993" w:type="dxa"/>
            <w:vAlign w:val="center"/>
            <w:hideMark/>
          </w:tcPr>
          <w:p w14:paraId="22A3960E" w14:textId="6093D533" w:rsidR="00C46123" w:rsidRPr="009E7402" w:rsidRDefault="00C46123" w:rsidP="00175897">
            <w:pPr>
              <w:jc w:val="right"/>
              <w:rPr>
                <w:rFonts w:cs="Arial"/>
                <w:sz w:val="20"/>
                <w:szCs w:val="20"/>
                <w:lang w:val="pt-BR"/>
              </w:rPr>
            </w:pPr>
            <w:r w:rsidRPr="009E7402">
              <w:rPr>
                <w:rFonts w:cs="Arial"/>
                <w:sz w:val="20"/>
                <w:szCs w:val="20"/>
                <w:lang w:val="pt-BR"/>
              </w:rPr>
              <w:t>-14</w:t>
            </w:r>
            <w:r w:rsidR="009E7402">
              <w:rPr>
                <w:rFonts w:cs="Arial"/>
                <w:sz w:val="20"/>
                <w:szCs w:val="20"/>
                <w:lang w:val="pt-BR"/>
              </w:rPr>
              <w:t>,</w:t>
            </w:r>
            <w:r w:rsidRPr="009E7402">
              <w:rPr>
                <w:rFonts w:cs="Arial"/>
                <w:sz w:val="20"/>
                <w:szCs w:val="20"/>
                <w:lang w:val="pt-BR"/>
              </w:rPr>
              <w:t>3</w:t>
            </w:r>
          </w:p>
        </w:tc>
        <w:tc>
          <w:tcPr>
            <w:tcW w:w="1275" w:type="dxa"/>
            <w:vAlign w:val="center"/>
            <w:hideMark/>
          </w:tcPr>
          <w:p w14:paraId="78C05D97" w14:textId="2266F1E0" w:rsidR="00C46123" w:rsidRPr="009E7402" w:rsidRDefault="00C46123" w:rsidP="00175897">
            <w:pPr>
              <w:jc w:val="right"/>
              <w:rPr>
                <w:rFonts w:cs="Arial"/>
                <w:sz w:val="20"/>
                <w:szCs w:val="20"/>
                <w:lang w:val="pt-BR"/>
              </w:rPr>
            </w:pPr>
            <w:r w:rsidRPr="002D4F04">
              <w:rPr>
                <w:rFonts w:cs="Arial"/>
                <w:sz w:val="20"/>
                <w:szCs w:val="20"/>
                <w:lang w:val="pt-BR"/>
              </w:rPr>
              <w:t>-11</w:t>
            </w:r>
            <w:r w:rsidR="009E7402" w:rsidRPr="002D4F04">
              <w:rPr>
                <w:rFonts w:cs="Arial"/>
                <w:sz w:val="20"/>
                <w:szCs w:val="20"/>
                <w:lang w:val="pt-BR"/>
              </w:rPr>
              <w:t>,</w:t>
            </w:r>
            <w:r w:rsidRPr="002D4F04">
              <w:rPr>
                <w:rFonts w:cs="Arial"/>
                <w:sz w:val="20"/>
                <w:szCs w:val="20"/>
                <w:lang w:val="pt-BR"/>
              </w:rPr>
              <w:t>7</w:t>
            </w:r>
            <w:r w:rsidRPr="009E7402">
              <w:rPr>
                <w:rFonts w:cs="Arial"/>
                <w:sz w:val="20"/>
                <w:szCs w:val="20"/>
                <w:lang w:val="pt-BR"/>
              </w:rPr>
              <w:t xml:space="preserve"> </w:t>
            </w:r>
          </w:p>
        </w:tc>
        <w:tc>
          <w:tcPr>
            <w:tcW w:w="1134" w:type="dxa"/>
            <w:vAlign w:val="center"/>
            <w:hideMark/>
          </w:tcPr>
          <w:p w14:paraId="06D36724" w14:textId="699054E5"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453</w:t>
            </w:r>
            <w:r w:rsidR="009E7402">
              <w:rPr>
                <w:rFonts w:eastAsia="Times New Roman" w:cs="Arial"/>
                <w:sz w:val="20"/>
                <w:szCs w:val="20"/>
                <w:lang w:val="pt-BR"/>
              </w:rPr>
              <w:t>,</w:t>
            </w:r>
            <w:r w:rsidRPr="009E7402">
              <w:rPr>
                <w:rFonts w:eastAsia="Times New Roman" w:cs="Arial"/>
                <w:sz w:val="20"/>
                <w:szCs w:val="20"/>
                <w:lang w:val="pt-BR"/>
              </w:rPr>
              <w:t>6%</w:t>
            </w:r>
          </w:p>
        </w:tc>
      </w:tr>
      <w:tr w:rsidR="00C46123" w:rsidRPr="009E7402" w14:paraId="3363B83F" w14:textId="77777777" w:rsidTr="00175897">
        <w:trPr>
          <w:trHeight w:val="264"/>
        </w:trPr>
        <w:tc>
          <w:tcPr>
            <w:tcW w:w="4673" w:type="dxa"/>
            <w:hideMark/>
          </w:tcPr>
          <w:p w14:paraId="6696C3EA" w14:textId="77777777" w:rsidR="00C46123" w:rsidRPr="009E7402" w:rsidRDefault="00C46123" w:rsidP="00B87A9B">
            <w:pPr>
              <w:rPr>
                <w:rFonts w:eastAsia="Times New Roman" w:cs="Arial"/>
                <w:bCs/>
                <w:sz w:val="20"/>
                <w:szCs w:val="20"/>
                <w:lang w:val="pt-BR"/>
              </w:rPr>
            </w:pPr>
            <w:r w:rsidRPr="009E7402">
              <w:rPr>
                <w:rFonts w:eastAsia="Times New Roman" w:cs="Arial"/>
                <w:bCs/>
                <w:sz w:val="20"/>
                <w:szCs w:val="20"/>
                <w:lang w:val="pt-BR"/>
              </w:rPr>
              <w:t xml:space="preserve">    Outros créditos </w:t>
            </w:r>
          </w:p>
        </w:tc>
        <w:tc>
          <w:tcPr>
            <w:tcW w:w="992" w:type="dxa"/>
            <w:vAlign w:val="center"/>
            <w:hideMark/>
          </w:tcPr>
          <w:p w14:paraId="40E6CE23" w14:textId="2E947EAC" w:rsidR="00C46123" w:rsidRPr="009E7402" w:rsidRDefault="00C46123" w:rsidP="009E7402">
            <w:pPr>
              <w:jc w:val="right"/>
              <w:rPr>
                <w:rFonts w:eastAsia="Times New Roman" w:cs="Arial"/>
                <w:bCs/>
                <w:sz w:val="20"/>
                <w:szCs w:val="20"/>
                <w:lang w:val="pt-BR"/>
              </w:rPr>
            </w:pPr>
            <w:r w:rsidRPr="009E7402">
              <w:rPr>
                <w:rFonts w:eastAsia="Times New Roman" w:cs="Arial"/>
                <w:bCs/>
                <w:sz w:val="20"/>
                <w:szCs w:val="20"/>
                <w:lang w:val="pt-BR"/>
              </w:rPr>
              <w:t>1</w:t>
            </w:r>
            <w:r w:rsidR="009E7402">
              <w:rPr>
                <w:rFonts w:eastAsia="Times New Roman" w:cs="Arial"/>
                <w:bCs/>
                <w:sz w:val="20"/>
                <w:szCs w:val="20"/>
                <w:lang w:val="pt-BR"/>
              </w:rPr>
              <w:t>,</w:t>
            </w:r>
            <w:r w:rsidRPr="009E7402">
              <w:rPr>
                <w:rFonts w:eastAsia="Times New Roman" w:cs="Arial"/>
                <w:bCs/>
                <w:sz w:val="20"/>
                <w:szCs w:val="20"/>
                <w:lang w:val="pt-BR"/>
              </w:rPr>
              <w:t>9</w:t>
            </w:r>
          </w:p>
        </w:tc>
        <w:tc>
          <w:tcPr>
            <w:tcW w:w="993" w:type="dxa"/>
            <w:vAlign w:val="center"/>
            <w:hideMark/>
          </w:tcPr>
          <w:p w14:paraId="717EDE4B" w14:textId="11CC6A86" w:rsidR="00C46123" w:rsidRPr="009E7402" w:rsidRDefault="00C46123" w:rsidP="00175897">
            <w:pPr>
              <w:jc w:val="right"/>
              <w:rPr>
                <w:rFonts w:eastAsia="Times New Roman" w:cs="Arial"/>
                <w:bCs/>
                <w:sz w:val="20"/>
                <w:szCs w:val="20"/>
                <w:lang w:val="pt-BR"/>
              </w:rPr>
            </w:pPr>
            <w:r w:rsidRPr="009E7402">
              <w:rPr>
                <w:rFonts w:eastAsia="Times New Roman" w:cs="Arial"/>
                <w:bCs/>
                <w:sz w:val="20"/>
                <w:szCs w:val="20"/>
                <w:lang w:val="pt-BR"/>
              </w:rPr>
              <w:t>4</w:t>
            </w:r>
            <w:r w:rsidR="009E7402">
              <w:rPr>
                <w:rFonts w:eastAsia="Times New Roman" w:cs="Arial"/>
                <w:bCs/>
                <w:sz w:val="20"/>
                <w:szCs w:val="20"/>
                <w:lang w:val="pt-BR"/>
              </w:rPr>
              <w:t>,</w:t>
            </w:r>
            <w:r w:rsidRPr="009E7402">
              <w:rPr>
                <w:rFonts w:eastAsia="Times New Roman" w:cs="Arial"/>
                <w:bCs/>
                <w:sz w:val="20"/>
                <w:szCs w:val="20"/>
                <w:lang w:val="pt-BR"/>
              </w:rPr>
              <w:t>7</w:t>
            </w:r>
          </w:p>
        </w:tc>
        <w:tc>
          <w:tcPr>
            <w:tcW w:w="1275" w:type="dxa"/>
            <w:vAlign w:val="center"/>
            <w:hideMark/>
          </w:tcPr>
          <w:p w14:paraId="2B22CB53" w14:textId="6A1F4894" w:rsidR="00C46123" w:rsidRPr="009E7402" w:rsidRDefault="00C46123" w:rsidP="00175897">
            <w:pPr>
              <w:jc w:val="right"/>
              <w:rPr>
                <w:rFonts w:eastAsia="Times New Roman" w:cs="Arial"/>
                <w:sz w:val="20"/>
                <w:szCs w:val="20"/>
                <w:lang w:val="pt-BR"/>
              </w:rPr>
            </w:pPr>
            <w:r w:rsidRPr="009E7402">
              <w:rPr>
                <w:rFonts w:cs="Arial"/>
                <w:sz w:val="20"/>
                <w:szCs w:val="20"/>
                <w:lang w:val="pt-BR"/>
              </w:rPr>
              <w:t>2</w:t>
            </w:r>
            <w:r w:rsidR="009E7402">
              <w:rPr>
                <w:rFonts w:cs="Arial"/>
                <w:sz w:val="20"/>
                <w:szCs w:val="20"/>
                <w:lang w:val="pt-BR"/>
              </w:rPr>
              <w:t>,</w:t>
            </w:r>
            <w:r w:rsidRPr="009E7402">
              <w:rPr>
                <w:rFonts w:cs="Arial"/>
                <w:sz w:val="20"/>
                <w:szCs w:val="20"/>
                <w:lang w:val="pt-BR"/>
              </w:rPr>
              <w:t>8</w:t>
            </w:r>
          </w:p>
        </w:tc>
        <w:tc>
          <w:tcPr>
            <w:tcW w:w="1134" w:type="dxa"/>
            <w:vAlign w:val="center"/>
            <w:hideMark/>
          </w:tcPr>
          <w:p w14:paraId="70DEEE2A" w14:textId="4D3054EB"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145</w:t>
            </w:r>
            <w:r w:rsidR="009E7402">
              <w:rPr>
                <w:rFonts w:eastAsia="Times New Roman" w:cs="Arial"/>
                <w:sz w:val="20"/>
                <w:szCs w:val="20"/>
                <w:lang w:val="pt-BR"/>
              </w:rPr>
              <w:t>,</w:t>
            </w:r>
            <w:r w:rsidRPr="009E7402">
              <w:rPr>
                <w:rFonts w:eastAsia="Times New Roman" w:cs="Arial"/>
                <w:sz w:val="20"/>
                <w:szCs w:val="20"/>
                <w:lang w:val="pt-BR"/>
              </w:rPr>
              <w:t>9%</w:t>
            </w:r>
          </w:p>
        </w:tc>
      </w:tr>
      <w:tr w:rsidR="00C46123" w:rsidRPr="009E7402" w14:paraId="135CE3AB" w14:textId="77777777" w:rsidTr="00175897">
        <w:trPr>
          <w:trHeight w:val="264"/>
        </w:trPr>
        <w:tc>
          <w:tcPr>
            <w:tcW w:w="4673" w:type="dxa"/>
            <w:hideMark/>
          </w:tcPr>
          <w:p w14:paraId="13A00D73" w14:textId="77777777" w:rsidR="00C46123" w:rsidRPr="009E7402" w:rsidRDefault="00C46123" w:rsidP="00B87A9B">
            <w:pPr>
              <w:rPr>
                <w:rFonts w:eastAsia="Times New Roman" w:cs="Arial"/>
                <w:bCs/>
                <w:sz w:val="20"/>
                <w:szCs w:val="20"/>
                <w:lang w:val="pt-BR"/>
              </w:rPr>
            </w:pPr>
            <w:r w:rsidRPr="009E7402">
              <w:rPr>
                <w:rFonts w:eastAsia="Times New Roman" w:cs="Arial"/>
                <w:bCs/>
                <w:sz w:val="20"/>
                <w:szCs w:val="20"/>
                <w:lang w:val="pt-BR"/>
              </w:rPr>
              <w:t xml:space="preserve">    Outros valores e bens </w:t>
            </w:r>
          </w:p>
        </w:tc>
        <w:tc>
          <w:tcPr>
            <w:tcW w:w="992" w:type="dxa"/>
            <w:vAlign w:val="center"/>
            <w:hideMark/>
          </w:tcPr>
          <w:p w14:paraId="7E30AFF8" w14:textId="52369E93" w:rsidR="00C46123" w:rsidRPr="009E7402" w:rsidRDefault="00C46123" w:rsidP="009E7402">
            <w:pPr>
              <w:jc w:val="right"/>
              <w:rPr>
                <w:rFonts w:eastAsia="Times New Roman" w:cs="Arial"/>
                <w:bCs/>
                <w:sz w:val="20"/>
                <w:szCs w:val="20"/>
                <w:lang w:val="pt-BR"/>
              </w:rPr>
            </w:pPr>
            <w:r w:rsidRPr="009E7402">
              <w:rPr>
                <w:rFonts w:eastAsia="Times New Roman" w:cs="Arial"/>
                <w:bCs/>
                <w:sz w:val="20"/>
                <w:szCs w:val="20"/>
                <w:lang w:val="pt-BR"/>
              </w:rPr>
              <w:t>0</w:t>
            </w:r>
            <w:r w:rsidR="009E7402">
              <w:rPr>
                <w:rFonts w:eastAsia="Times New Roman" w:cs="Arial"/>
                <w:bCs/>
                <w:sz w:val="20"/>
                <w:szCs w:val="20"/>
                <w:lang w:val="pt-BR"/>
              </w:rPr>
              <w:t>,</w:t>
            </w:r>
            <w:r w:rsidRPr="009E7402">
              <w:rPr>
                <w:rFonts w:eastAsia="Times New Roman" w:cs="Arial"/>
                <w:bCs/>
                <w:sz w:val="20"/>
                <w:szCs w:val="20"/>
                <w:lang w:val="pt-BR"/>
              </w:rPr>
              <w:t>1</w:t>
            </w:r>
          </w:p>
        </w:tc>
        <w:tc>
          <w:tcPr>
            <w:tcW w:w="993" w:type="dxa"/>
            <w:vAlign w:val="center"/>
            <w:hideMark/>
          </w:tcPr>
          <w:p w14:paraId="2CDBA9F7" w14:textId="146E5A20" w:rsidR="00C46123" w:rsidRPr="009E7402" w:rsidRDefault="00C46123" w:rsidP="00175897">
            <w:pPr>
              <w:jc w:val="right"/>
              <w:rPr>
                <w:rFonts w:eastAsia="Times New Roman" w:cs="Arial"/>
                <w:bCs/>
                <w:sz w:val="20"/>
                <w:szCs w:val="20"/>
                <w:lang w:val="pt-BR"/>
              </w:rPr>
            </w:pPr>
            <w:r w:rsidRPr="009E7402">
              <w:rPr>
                <w:rFonts w:eastAsia="Times New Roman" w:cs="Arial"/>
                <w:bCs/>
                <w:sz w:val="20"/>
                <w:szCs w:val="20"/>
                <w:lang w:val="pt-BR"/>
              </w:rPr>
              <w:t>0</w:t>
            </w:r>
            <w:r w:rsidR="009E7402">
              <w:rPr>
                <w:rFonts w:eastAsia="Times New Roman" w:cs="Arial"/>
                <w:bCs/>
                <w:sz w:val="20"/>
                <w:szCs w:val="20"/>
                <w:lang w:val="pt-BR"/>
              </w:rPr>
              <w:t>,</w:t>
            </w:r>
            <w:r w:rsidRPr="009E7402">
              <w:rPr>
                <w:rFonts w:eastAsia="Times New Roman" w:cs="Arial"/>
                <w:bCs/>
                <w:sz w:val="20"/>
                <w:szCs w:val="20"/>
                <w:lang w:val="pt-BR"/>
              </w:rPr>
              <w:t>1</w:t>
            </w:r>
          </w:p>
        </w:tc>
        <w:tc>
          <w:tcPr>
            <w:tcW w:w="1275" w:type="dxa"/>
            <w:vAlign w:val="center"/>
            <w:hideMark/>
          </w:tcPr>
          <w:p w14:paraId="02143FBA" w14:textId="6884469A" w:rsidR="00C46123" w:rsidRPr="009E7402" w:rsidRDefault="00C46123" w:rsidP="00175897">
            <w:pPr>
              <w:jc w:val="right"/>
              <w:rPr>
                <w:rFonts w:eastAsia="Times New Roman" w:cs="Arial"/>
                <w:sz w:val="20"/>
                <w:szCs w:val="20"/>
                <w:lang w:val="pt-BR"/>
              </w:rPr>
            </w:pPr>
            <w:r w:rsidRPr="009E7402">
              <w:rPr>
                <w:rFonts w:cs="Arial"/>
                <w:sz w:val="20"/>
                <w:szCs w:val="20"/>
                <w:lang w:val="pt-BR"/>
              </w:rPr>
              <w:t>0</w:t>
            </w:r>
            <w:r w:rsidR="009E7402">
              <w:rPr>
                <w:rFonts w:cs="Arial"/>
                <w:sz w:val="20"/>
                <w:szCs w:val="20"/>
                <w:lang w:val="pt-BR"/>
              </w:rPr>
              <w:t>,</w:t>
            </w:r>
            <w:r w:rsidRPr="009E7402">
              <w:rPr>
                <w:rFonts w:cs="Arial"/>
                <w:sz w:val="20"/>
                <w:szCs w:val="20"/>
                <w:lang w:val="pt-BR"/>
              </w:rPr>
              <w:t>0</w:t>
            </w:r>
          </w:p>
        </w:tc>
        <w:tc>
          <w:tcPr>
            <w:tcW w:w="1134" w:type="dxa"/>
            <w:vAlign w:val="center"/>
            <w:hideMark/>
          </w:tcPr>
          <w:p w14:paraId="5DDD71A0" w14:textId="35957F00"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52</w:t>
            </w:r>
            <w:r w:rsidR="009E7402">
              <w:rPr>
                <w:rFonts w:eastAsia="Times New Roman" w:cs="Arial"/>
                <w:sz w:val="20"/>
                <w:szCs w:val="20"/>
                <w:lang w:val="pt-BR"/>
              </w:rPr>
              <w:t>,</w:t>
            </w:r>
            <w:r w:rsidRPr="009E7402">
              <w:rPr>
                <w:rFonts w:eastAsia="Times New Roman" w:cs="Arial"/>
                <w:sz w:val="20"/>
                <w:szCs w:val="20"/>
                <w:lang w:val="pt-BR"/>
              </w:rPr>
              <w:t>8%</w:t>
            </w:r>
          </w:p>
        </w:tc>
      </w:tr>
      <w:tr w:rsidR="00C46123" w:rsidRPr="009E7402" w14:paraId="5C93B205" w14:textId="77777777" w:rsidTr="00175897">
        <w:trPr>
          <w:trHeight w:val="264"/>
        </w:trPr>
        <w:tc>
          <w:tcPr>
            <w:tcW w:w="4673" w:type="dxa"/>
            <w:hideMark/>
          </w:tcPr>
          <w:p w14:paraId="6D96C7BF" w14:textId="77777777" w:rsidR="00C46123" w:rsidRPr="009E7402" w:rsidRDefault="00C46123" w:rsidP="00B87A9B">
            <w:pPr>
              <w:rPr>
                <w:rFonts w:eastAsia="Times New Roman" w:cs="Arial"/>
                <w:bCs/>
                <w:sz w:val="20"/>
                <w:szCs w:val="20"/>
                <w:lang w:val="pt-BR"/>
              </w:rPr>
            </w:pPr>
            <w:r w:rsidRPr="009E7402">
              <w:rPr>
                <w:rFonts w:eastAsia="Times New Roman" w:cs="Arial"/>
                <w:bCs/>
                <w:sz w:val="20"/>
                <w:szCs w:val="20"/>
                <w:lang w:val="pt-BR"/>
              </w:rPr>
              <w:t>Realizável a longo prazo</w:t>
            </w:r>
          </w:p>
        </w:tc>
        <w:tc>
          <w:tcPr>
            <w:tcW w:w="992" w:type="dxa"/>
            <w:vAlign w:val="center"/>
            <w:hideMark/>
          </w:tcPr>
          <w:p w14:paraId="4C79E62B" w14:textId="433602E9" w:rsidR="00C46123" w:rsidRPr="009E7402" w:rsidRDefault="00C46123" w:rsidP="009E7402">
            <w:pPr>
              <w:jc w:val="right"/>
              <w:rPr>
                <w:rFonts w:eastAsia="Times New Roman" w:cs="Arial"/>
                <w:bCs/>
                <w:sz w:val="20"/>
                <w:szCs w:val="20"/>
                <w:lang w:val="pt-BR"/>
              </w:rPr>
            </w:pPr>
            <w:r w:rsidRPr="009E7402">
              <w:rPr>
                <w:rFonts w:eastAsia="Times New Roman" w:cs="Arial"/>
                <w:bCs/>
                <w:sz w:val="20"/>
                <w:szCs w:val="20"/>
                <w:lang w:val="pt-BR"/>
              </w:rPr>
              <w:t>513</w:t>
            </w:r>
            <w:r w:rsidR="009E7402">
              <w:rPr>
                <w:rFonts w:eastAsia="Times New Roman" w:cs="Arial"/>
                <w:bCs/>
                <w:sz w:val="20"/>
                <w:szCs w:val="20"/>
                <w:lang w:val="pt-BR"/>
              </w:rPr>
              <w:t>,</w:t>
            </w:r>
            <w:r w:rsidRPr="009E7402">
              <w:rPr>
                <w:rFonts w:eastAsia="Times New Roman" w:cs="Arial"/>
                <w:bCs/>
                <w:sz w:val="20"/>
                <w:szCs w:val="20"/>
                <w:lang w:val="pt-BR"/>
              </w:rPr>
              <w:t>7</w:t>
            </w:r>
          </w:p>
        </w:tc>
        <w:tc>
          <w:tcPr>
            <w:tcW w:w="993" w:type="dxa"/>
            <w:vAlign w:val="center"/>
            <w:hideMark/>
          </w:tcPr>
          <w:p w14:paraId="7B7FDC27" w14:textId="0A1A6B4E" w:rsidR="00C46123" w:rsidRPr="009E7402" w:rsidRDefault="00C46123" w:rsidP="00175897">
            <w:pPr>
              <w:jc w:val="right"/>
              <w:rPr>
                <w:rFonts w:eastAsia="Times New Roman" w:cs="Arial"/>
                <w:bCs/>
                <w:sz w:val="20"/>
                <w:szCs w:val="20"/>
                <w:lang w:val="pt-BR"/>
              </w:rPr>
            </w:pPr>
            <w:r w:rsidRPr="009E7402">
              <w:rPr>
                <w:rFonts w:eastAsia="Times New Roman" w:cs="Arial"/>
                <w:bCs/>
                <w:sz w:val="20"/>
                <w:szCs w:val="20"/>
                <w:lang w:val="pt-BR"/>
              </w:rPr>
              <w:t>841</w:t>
            </w:r>
            <w:r w:rsidR="009E7402">
              <w:rPr>
                <w:rFonts w:eastAsia="Times New Roman" w:cs="Arial"/>
                <w:bCs/>
                <w:sz w:val="20"/>
                <w:szCs w:val="20"/>
                <w:lang w:val="pt-BR"/>
              </w:rPr>
              <w:t>,</w:t>
            </w:r>
            <w:r w:rsidRPr="009E7402">
              <w:rPr>
                <w:rFonts w:eastAsia="Times New Roman" w:cs="Arial"/>
                <w:bCs/>
                <w:sz w:val="20"/>
                <w:szCs w:val="20"/>
                <w:lang w:val="pt-BR"/>
              </w:rPr>
              <w:t>2</w:t>
            </w:r>
          </w:p>
        </w:tc>
        <w:tc>
          <w:tcPr>
            <w:tcW w:w="1275" w:type="dxa"/>
            <w:vAlign w:val="center"/>
            <w:hideMark/>
          </w:tcPr>
          <w:p w14:paraId="732DD0E1" w14:textId="32934DD4" w:rsidR="00C46123" w:rsidRPr="009E7402" w:rsidRDefault="00C46123" w:rsidP="00175897">
            <w:pPr>
              <w:jc w:val="right"/>
              <w:rPr>
                <w:rFonts w:eastAsia="Times New Roman" w:cs="Arial"/>
                <w:sz w:val="20"/>
                <w:szCs w:val="20"/>
                <w:lang w:val="pt-BR"/>
              </w:rPr>
            </w:pPr>
            <w:r w:rsidRPr="009E7402">
              <w:rPr>
                <w:rFonts w:cs="Arial"/>
                <w:sz w:val="20"/>
                <w:szCs w:val="20"/>
                <w:lang w:val="pt-BR"/>
              </w:rPr>
              <w:t>327</w:t>
            </w:r>
            <w:r w:rsidR="009E7402">
              <w:rPr>
                <w:rFonts w:cs="Arial"/>
                <w:sz w:val="20"/>
                <w:szCs w:val="20"/>
                <w:lang w:val="pt-BR"/>
              </w:rPr>
              <w:t>,</w:t>
            </w:r>
            <w:r w:rsidRPr="009E7402">
              <w:rPr>
                <w:rFonts w:cs="Arial"/>
                <w:sz w:val="20"/>
                <w:szCs w:val="20"/>
                <w:lang w:val="pt-BR"/>
              </w:rPr>
              <w:t>5</w:t>
            </w:r>
          </w:p>
        </w:tc>
        <w:tc>
          <w:tcPr>
            <w:tcW w:w="1134" w:type="dxa"/>
            <w:vAlign w:val="center"/>
            <w:hideMark/>
          </w:tcPr>
          <w:p w14:paraId="3FB34CBD" w14:textId="581D8439"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63</w:t>
            </w:r>
            <w:r w:rsidR="009E7402">
              <w:rPr>
                <w:rFonts w:eastAsia="Times New Roman" w:cs="Arial"/>
                <w:sz w:val="20"/>
                <w:szCs w:val="20"/>
                <w:lang w:val="pt-BR"/>
              </w:rPr>
              <w:t>,</w:t>
            </w:r>
            <w:r w:rsidRPr="009E7402">
              <w:rPr>
                <w:rFonts w:eastAsia="Times New Roman" w:cs="Arial"/>
                <w:sz w:val="20"/>
                <w:szCs w:val="20"/>
                <w:lang w:val="pt-BR"/>
              </w:rPr>
              <w:t>8%</w:t>
            </w:r>
          </w:p>
        </w:tc>
      </w:tr>
      <w:tr w:rsidR="00C46123" w:rsidRPr="009E7402" w14:paraId="375B4E48" w14:textId="77777777" w:rsidTr="00175897">
        <w:trPr>
          <w:trHeight w:val="264"/>
        </w:trPr>
        <w:tc>
          <w:tcPr>
            <w:tcW w:w="4673" w:type="dxa"/>
            <w:hideMark/>
          </w:tcPr>
          <w:p w14:paraId="29214EF9" w14:textId="77777777" w:rsidR="00C46123" w:rsidRPr="009E7402" w:rsidRDefault="00C46123" w:rsidP="00B87A9B">
            <w:pPr>
              <w:rPr>
                <w:rFonts w:eastAsia="Times New Roman" w:cs="Arial"/>
                <w:bCs/>
                <w:sz w:val="20"/>
                <w:szCs w:val="20"/>
                <w:lang w:val="pt-BR"/>
              </w:rPr>
            </w:pPr>
            <w:r w:rsidRPr="009E7402">
              <w:rPr>
                <w:rFonts w:eastAsia="Times New Roman" w:cs="Arial"/>
                <w:bCs/>
                <w:sz w:val="20"/>
                <w:szCs w:val="20"/>
                <w:lang w:val="pt-BR"/>
              </w:rPr>
              <w:t xml:space="preserve">    Títulos e valores mobiliários </w:t>
            </w:r>
          </w:p>
        </w:tc>
        <w:tc>
          <w:tcPr>
            <w:tcW w:w="992" w:type="dxa"/>
            <w:vAlign w:val="center"/>
            <w:hideMark/>
          </w:tcPr>
          <w:p w14:paraId="7DDF622C" w14:textId="7F66601C" w:rsidR="00C46123" w:rsidRPr="009E7402" w:rsidRDefault="00C46123" w:rsidP="009E7402">
            <w:pPr>
              <w:jc w:val="right"/>
              <w:rPr>
                <w:rFonts w:eastAsia="Times New Roman" w:cs="Arial"/>
                <w:bCs/>
                <w:sz w:val="20"/>
                <w:szCs w:val="20"/>
                <w:lang w:val="pt-BR"/>
              </w:rPr>
            </w:pPr>
            <w:r w:rsidRPr="009E7402">
              <w:rPr>
                <w:rFonts w:eastAsia="Times New Roman" w:cs="Arial"/>
                <w:bCs/>
                <w:sz w:val="20"/>
                <w:szCs w:val="20"/>
                <w:lang w:val="pt-BR"/>
              </w:rPr>
              <w:t>23</w:t>
            </w:r>
            <w:r w:rsidR="009E7402">
              <w:rPr>
                <w:rFonts w:eastAsia="Times New Roman" w:cs="Arial"/>
                <w:bCs/>
                <w:sz w:val="20"/>
                <w:szCs w:val="20"/>
                <w:lang w:val="pt-BR"/>
              </w:rPr>
              <w:t>,</w:t>
            </w:r>
            <w:r w:rsidRPr="009E7402">
              <w:rPr>
                <w:rFonts w:eastAsia="Times New Roman" w:cs="Arial"/>
                <w:bCs/>
                <w:sz w:val="20"/>
                <w:szCs w:val="20"/>
                <w:lang w:val="pt-BR"/>
              </w:rPr>
              <w:t>2</w:t>
            </w:r>
          </w:p>
        </w:tc>
        <w:tc>
          <w:tcPr>
            <w:tcW w:w="993" w:type="dxa"/>
            <w:vAlign w:val="center"/>
            <w:hideMark/>
          </w:tcPr>
          <w:p w14:paraId="7DC62944" w14:textId="15821779" w:rsidR="00C46123" w:rsidRPr="009E7402" w:rsidRDefault="00C46123" w:rsidP="00175897">
            <w:pPr>
              <w:jc w:val="right"/>
              <w:rPr>
                <w:rFonts w:eastAsia="Times New Roman" w:cs="Arial"/>
                <w:bCs/>
                <w:sz w:val="20"/>
                <w:szCs w:val="20"/>
                <w:lang w:val="pt-BR"/>
              </w:rPr>
            </w:pPr>
            <w:r w:rsidRPr="009E7402">
              <w:rPr>
                <w:rFonts w:eastAsia="Times New Roman" w:cs="Arial"/>
                <w:bCs/>
                <w:sz w:val="20"/>
                <w:szCs w:val="20"/>
                <w:lang w:val="pt-BR"/>
              </w:rPr>
              <w:t>8</w:t>
            </w:r>
            <w:r w:rsidR="009E7402">
              <w:rPr>
                <w:rFonts w:eastAsia="Times New Roman" w:cs="Arial"/>
                <w:bCs/>
                <w:sz w:val="20"/>
                <w:szCs w:val="20"/>
                <w:lang w:val="pt-BR"/>
              </w:rPr>
              <w:t>,</w:t>
            </w:r>
            <w:r w:rsidRPr="009E7402">
              <w:rPr>
                <w:rFonts w:eastAsia="Times New Roman" w:cs="Arial"/>
                <w:bCs/>
                <w:sz w:val="20"/>
                <w:szCs w:val="20"/>
                <w:lang w:val="pt-BR"/>
              </w:rPr>
              <w:t>4</w:t>
            </w:r>
          </w:p>
        </w:tc>
        <w:tc>
          <w:tcPr>
            <w:tcW w:w="1275" w:type="dxa"/>
            <w:vAlign w:val="center"/>
            <w:hideMark/>
          </w:tcPr>
          <w:p w14:paraId="362A1C80" w14:textId="3ACB35D4" w:rsidR="00C46123" w:rsidRPr="009E7402" w:rsidRDefault="00C46123" w:rsidP="00175897">
            <w:pPr>
              <w:jc w:val="right"/>
              <w:rPr>
                <w:rFonts w:eastAsia="Times New Roman" w:cs="Arial"/>
                <w:sz w:val="20"/>
                <w:szCs w:val="20"/>
                <w:lang w:val="pt-BR"/>
              </w:rPr>
            </w:pPr>
            <w:r w:rsidRPr="009E7402">
              <w:rPr>
                <w:rFonts w:cs="Arial"/>
                <w:sz w:val="20"/>
                <w:szCs w:val="20"/>
                <w:lang w:val="pt-BR"/>
              </w:rPr>
              <w:t>-14</w:t>
            </w:r>
            <w:r w:rsidR="009E7402">
              <w:rPr>
                <w:rFonts w:cs="Arial"/>
                <w:sz w:val="20"/>
                <w:szCs w:val="20"/>
                <w:lang w:val="pt-BR"/>
              </w:rPr>
              <w:t>,</w:t>
            </w:r>
            <w:r w:rsidRPr="009E7402">
              <w:rPr>
                <w:rFonts w:cs="Arial"/>
                <w:sz w:val="20"/>
                <w:szCs w:val="20"/>
                <w:lang w:val="pt-BR"/>
              </w:rPr>
              <w:t xml:space="preserve">9 </w:t>
            </w:r>
          </w:p>
        </w:tc>
        <w:tc>
          <w:tcPr>
            <w:tcW w:w="1134" w:type="dxa"/>
            <w:vAlign w:val="center"/>
            <w:hideMark/>
          </w:tcPr>
          <w:p w14:paraId="08942BA7" w14:textId="20DCDAB0"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-64</w:t>
            </w:r>
            <w:r w:rsidR="009E7402">
              <w:rPr>
                <w:rFonts w:eastAsia="Times New Roman" w:cs="Arial"/>
                <w:sz w:val="20"/>
                <w:szCs w:val="20"/>
                <w:lang w:val="pt-BR"/>
              </w:rPr>
              <w:t>,</w:t>
            </w:r>
            <w:r w:rsidRPr="009E7402">
              <w:rPr>
                <w:rFonts w:eastAsia="Times New Roman" w:cs="Arial"/>
                <w:sz w:val="20"/>
                <w:szCs w:val="20"/>
                <w:lang w:val="pt-BR"/>
              </w:rPr>
              <w:t>0%</w:t>
            </w:r>
          </w:p>
        </w:tc>
      </w:tr>
      <w:tr w:rsidR="00C46123" w:rsidRPr="009E7402" w14:paraId="65176EC2" w14:textId="77777777" w:rsidTr="00175897">
        <w:trPr>
          <w:trHeight w:val="264"/>
        </w:trPr>
        <w:tc>
          <w:tcPr>
            <w:tcW w:w="4673" w:type="dxa"/>
            <w:hideMark/>
          </w:tcPr>
          <w:p w14:paraId="44D6E4DE" w14:textId="77777777" w:rsidR="00C46123" w:rsidRPr="009E7402" w:rsidRDefault="00C46123" w:rsidP="00B87A9B">
            <w:pPr>
              <w:rPr>
                <w:rFonts w:eastAsia="Times New Roman" w:cs="Arial"/>
                <w:bCs/>
                <w:sz w:val="20"/>
                <w:szCs w:val="20"/>
                <w:lang w:val="pt-BR"/>
              </w:rPr>
            </w:pPr>
            <w:r w:rsidRPr="009E7402">
              <w:rPr>
                <w:rFonts w:eastAsia="Times New Roman" w:cs="Arial"/>
                <w:bCs/>
                <w:sz w:val="20"/>
                <w:szCs w:val="20"/>
                <w:lang w:val="pt-BR"/>
              </w:rPr>
              <w:t xml:space="preserve">    Operações de crédito </w:t>
            </w:r>
          </w:p>
        </w:tc>
        <w:tc>
          <w:tcPr>
            <w:tcW w:w="992" w:type="dxa"/>
            <w:vAlign w:val="center"/>
            <w:hideMark/>
          </w:tcPr>
          <w:p w14:paraId="0316E1C8" w14:textId="53BE4F27" w:rsidR="00C46123" w:rsidRPr="009E7402" w:rsidRDefault="00C46123" w:rsidP="009E7402">
            <w:pPr>
              <w:jc w:val="right"/>
              <w:rPr>
                <w:rFonts w:eastAsia="Times New Roman" w:cs="Arial"/>
                <w:bCs/>
                <w:sz w:val="20"/>
                <w:szCs w:val="20"/>
                <w:lang w:val="pt-BR"/>
              </w:rPr>
            </w:pPr>
            <w:r w:rsidRPr="009E7402">
              <w:rPr>
                <w:rFonts w:eastAsia="Times New Roman" w:cs="Arial"/>
                <w:bCs/>
                <w:sz w:val="20"/>
                <w:szCs w:val="20"/>
                <w:lang w:val="pt-BR"/>
              </w:rPr>
              <w:t>484</w:t>
            </w:r>
            <w:r w:rsidR="009E7402">
              <w:rPr>
                <w:rFonts w:eastAsia="Times New Roman" w:cs="Arial"/>
                <w:bCs/>
                <w:sz w:val="20"/>
                <w:szCs w:val="20"/>
                <w:lang w:val="pt-BR"/>
              </w:rPr>
              <w:t>,</w:t>
            </w:r>
            <w:r w:rsidRPr="009E7402">
              <w:rPr>
                <w:rFonts w:eastAsia="Times New Roman" w:cs="Arial"/>
                <w:bCs/>
                <w:sz w:val="20"/>
                <w:szCs w:val="20"/>
                <w:lang w:val="pt-BR"/>
              </w:rPr>
              <w:t>4</w:t>
            </w:r>
          </w:p>
        </w:tc>
        <w:tc>
          <w:tcPr>
            <w:tcW w:w="993" w:type="dxa"/>
            <w:vAlign w:val="center"/>
            <w:hideMark/>
          </w:tcPr>
          <w:p w14:paraId="1FE073ED" w14:textId="46EF745E" w:rsidR="00C46123" w:rsidRPr="009E7402" w:rsidRDefault="00C46123" w:rsidP="00175897">
            <w:pPr>
              <w:jc w:val="right"/>
              <w:rPr>
                <w:rFonts w:eastAsia="Times New Roman" w:cs="Arial"/>
                <w:bCs/>
                <w:sz w:val="20"/>
                <w:szCs w:val="20"/>
                <w:lang w:val="pt-BR"/>
              </w:rPr>
            </w:pPr>
            <w:r w:rsidRPr="009E7402">
              <w:rPr>
                <w:rFonts w:eastAsia="Times New Roman" w:cs="Arial"/>
                <w:bCs/>
                <w:sz w:val="20"/>
                <w:szCs w:val="20"/>
                <w:lang w:val="pt-BR"/>
              </w:rPr>
              <w:t>818</w:t>
            </w:r>
            <w:r w:rsidR="009E7402">
              <w:rPr>
                <w:rFonts w:eastAsia="Times New Roman" w:cs="Arial"/>
                <w:bCs/>
                <w:sz w:val="20"/>
                <w:szCs w:val="20"/>
                <w:lang w:val="pt-BR"/>
              </w:rPr>
              <w:t>,</w:t>
            </w:r>
            <w:r w:rsidRPr="009E7402">
              <w:rPr>
                <w:rFonts w:eastAsia="Times New Roman" w:cs="Arial"/>
                <w:bCs/>
                <w:sz w:val="20"/>
                <w:szCs w:val="20"/>
                <w:lang w:val="pt-BR"/>
              </w:rPr>
              <w:t>6</w:t>
            </w:r>
          </w:p>
        </w:tc>
        <w:tc>
          <w:tcPr>
            <w:tcW w:w="1275" w:type="dxa"/>
            <w:vAlign w:val="center"/>
            <w:hideMark/>
          </w:tcPr>
          <w:p w14:paraId="00CBFC68" w14:textId="6B5014E2" w:rsidR="00C46123" w:rsidRPr="009E7402" w:rsidRDefault="00C46123" w:rsidP="00175897">
            <w:pPr>
              <w:jc w:val="right"/>
              <w:rPr>
                <w:rFonts w:eastAsia="Times New Roman" w:cs="Arial"/>
                <w:sz w:val="20"/>
                <w:szCs w:val="20"/>
                <w:lang w:val="pt-BR"/>
              </w:rPr>
            </w:pPr>
            <w:r w:rsidRPr="009E7402">
              <w:rPr>
                <w:rFonts w:cs="Arial"/>
                <w:sz w:val="20"/>
                <w:szCs w:val="20"/>
                <w:lang w:val="pt-BR"/>
              </w:rPr>
              <w:t>334</w:t>
            </w:r>
            <w:r w:rsidR="009E7402">
              <w:rPr>
                <w:rFonts w:cs="Arial"/>
                <w:sz w:val="20"/>
                <w:szCs w:val="20"/>
                <w:lang w:val="pt-BR"/>
              </w:rPr>
              <w:t>,</w:t>
            </w:r>
            <w:r w:rsidRPr="009E7402">
              <w:rPr>
                <w:rFonts w:cs="Arial"/>
                <w:sz w:val="20"/>
                <w:szCs w:val="20"/>
                <w:lang w:val="pt-BR"/>
              </w:rPr>
              <w:t>3</w:t>
            </w:r>
          </w:p>
        </w:tc>
        <w:tc>
          <w:tcPr>
            <w:tcW w:w="1134" w:type="dxa"/>
            <w:vAlign w:val="center"/>
            <w:hideMark/>
          </w:tcPr>
          <w:p w14:paraId="2C9ED9D4" w14:textId="7A3E2107"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69</w:t>
            </w:r>
            <w:r w:rsidR="009E7402">
              <w:rPr>
                <w:rFonts w:eastAsia="Times New Roman" w:cs="Arial"/>
                <w:sz w:val="20"/>
                <w:szCs w:val="20"/>
                <w:lang w:val="pt-BR"/>
              </w:rPr>
              <w:t>,</w:t>
            </w:r>
            <w:r w:rsidRPr="009E7402">
              <w:rPr>
                <w:rFonts w:eastAsia="Times New Roman" w:cs="Arial"/>
                <w:sz w:val="20"/>
                <w:szCs w:val="20"/>
                <w:lang w:val="pt-BR"/>
              </w:rPr>
              <w:t>0%</w:t>
            </w:r>
          </w:p>
        </w:tc>
      </w:tr>
      <w:tr w:rsidR="00C46123" w:rsidRPr="009E7402" w14:paraId="70CA5A79" w14:textId="77777777" w:rsidTr="00175897">
        <w:trPr>
          <w:trHeight w:val="264"/>
        </w:trPr>
        <w:tc>
          <w:tcPr>
            <w:tcW w:w="4673" w:type="dxa"/>
            <w:hideMark/>
          </w:tcPr>
          <w:p w14:paraId="4F00FE87" w14:textId="77777777" w:rsidR="00C46123" w:rsidRPr="009E7402" w:rsidRDefault="00C46123" w:rsidP="00B87A9B">
            <w:pPr>
              <w:rPr>
                <w:rFonts w:eastAsia="Times New Roman" w:cs="Arial"/>
                <w:sz w:val="20"/>
                <w:szCs w:val="20"/>
                <w:lang w:val="pt-BR"/>
              </w:rPr>
            </w:pPr>
            <w:r w:rsidRPr="009E7402">
              <w:rPr>
                <w:rFonts w:eastAsia="Times New Roman" w:cs="Arial"/>
                <w:sz w:val="20"/>
                <w:szCs w:val="20"/>
                <w:lang w:val="pt-BR"/>
              </w:rPr>
              <w:t xml:space="preserve">       Operações de crédito</w:t>
            </w:r>
          </w:p>
        </w:tc>
        <w:tc>
          <w:tcPr>
            <w:tcW w:w="992" w:type="dxa"/>
            <w:vAlign w:val="center"/>
            <w:hideMark/>
          </w:tcPr>
          <w:p w14:paraId="74314E5E" w14:textId="3C85FE5B" w:rsidR="00C46123" w:rsidRPr="009E7402" w:rsidRDefault="00C46123" w:rsidP="009E7402">
            <w:pPr>
              <w:jc w:val="right"/>
              <w:rPr>
                <w:rFonts w:eastAsia="Times New Roman" w:cs="Arial"/>
                <w:sz w:val="20"/>
                <w:szCs w:val="20"/>
                <w:lang w:val="pt-BR"/>
              </w:rPr>
            </w:pPr>
            <w:r w:rsidRPr="009E7402">
              <w:rPr>
                <w:rFonts w:eastAsia="Times New Roman" w:cs="Arial"/>
                <w:sz w:val="20"/>
                <w:szCs w:val="20"/>
                <w:lang w:val="pt-BR"/>
              </w:rPr>
              <w:t>487</w:t>
            </w:r>
            <w:r w:rsidR="009E7402">
              <w:rPr>
                <w:rFonts w:eastAsia="Times New Roman" w:cs="Arial"/>
                <w:sz w:val="20"/>
                <w:szCs w:val="20"/>
                <w:lang w:val="pt-BR"/>
              </w:rPr>
              <w:t>,</w:t>
            </w:r>
            <w:r w:rsidRPr="009E7402">
              <w:rPr>
                <w:rFonts w:eastAsia="Times New Roman" w:cs="Arial"/>
                <w:sz w:val="20"/>
                <w:szCs w:val="20"/>
                <w:lang w:val="pt-BR"/>
              </w:rPr>
              <w:t>7</w:t>
            </w:r>
          </w:p>
        </w:tc>
        <w:tc>
          <w:tcPr>
            <w:tcW w:w="993" w:type="dxa"/>
            <w:vAlign w:val="center"/>
            <w:hideMark/>
          </w:tcPr>
          <w:p w14:paraId="2298575F" w14:textId="7B7BC9CA"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834</w:t>
            </w:r>
            <w:r w:rsidR="009E7402">
              <w:rPr>
                <w:rFonts w:eastAsia="Times New Roman" w:cs="Arial"/>
                <w:sz w:val="20"/>
                <w:szCs w:val="20"/>
                <w:lang w:val="pt-BR"/>
              </w:rPr>
              <w:t>,</w:t>
            </w:r>
            <w:r w:rsidRPr="009E7402">
              <w:rPr>
                <w:rFonts w:eastAsia="Times New Roman" w:cs="Arial"/>
                <w:sz w:val="20"/>
                <w:szCs w:val="20"/>
                <w:lang w:val="pt-BR"/>
              </w:rPr>
              <w:t>1</w:t>
            </w:r>
          </w:p>
        </w:tc>
        <w:tc>
          <w:tcPr>
            <w:tcW w:w="1275" w:type="dxa"/>
            <w:vAlign w:val="center"/>
            <w:hideMark/>
          </w:tcPr>
          <w:p w14:paraId="495CAEA7" w14:textId="56F93754" w:rsidR="00C46123" w:rsidRPr="009E7402" w:rsidRDefault="00C46123" w:rsidP="00175897">
            <w:pPr>
              <w:jc w:val="right"/>
              <w:rPr>
                <w:rFonts w:eastAsia="Times New Roman" w:cs="Arial"/>
                <w:sz w:val="20"/>
                <w:szCs w:val="20"/>
                <w:lang w:val="pt-BR"/>
              </w:rPr>
            </w:pPr>
            <w:r w:rsidRPr="009E7402">
              <w:rPr>
                <w:rFonts w:cs="Arial"/>
                <w:sz w:val="20"/>
                <w:szCs w:val="20"/>
                <w:lang w:val="pt-BR"/>
              </w:rPr>
              <w:t>346</w:t>
            </w:r>
            <w:r w:rsidR="009E7402">
              <w:rPr>
                <w:rFonts w:cs="Arial"/>
                <w:sz w:val="20"/>
                <w:szCs w:val="20"/>
                <w:lang w:val="pt-BR"/>
              </w:rPr>
              <w:t>,</w:t>
            </w:r>
            <w:r w:rsidRPr="009E7402">
              <w:rPr>
                <w:rFonts w:cs="Arial"/>
                <w:sz w:val="20"/>
                <w:szCs w:val="20"/>
                <w:lang w:val="pt-BR"/>
              </w:rPr>
              <w:t>5</w:t>
            </w:r>
          </w:p>
        </w:tc>
        <w:tc>
          <w:tcPr>
            <w:tcW w:w="1134" w:type="dxa"/>
            <w:vAlign w:val="center"/>
            <w:hideMark/>
          </w:tcPr>
          <w:p w14:paraId="03A52007" w14:textId="31CC6F8D"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71</w:t>
            </w:r>
            <w:r w:rsidR="009E7402">
              <w:rPr>
                <w:rFonts w:eastAsia="Times New Roman" w:cs="Arial"/>
                <w:sz w:val="20"/>
                <w:szCs w:val="20"/>
                <w:lang w:val="pt-BR"/>
              </w:rPr>
              <w:t>,</w:t>
            </w:r>
            <w:r w:rsidRPr="009E7402">
              <w:rPr>
                <w:rFonts w:eastAsia="Times New Roman" w:cs="Arial"/>
                <w:sz w:val="20"/>
                <w:szCs w:val="20"/>
                <w:lang w:val="pt-BR"/>
              </w:rPr>
              <w:t>0%</w:t>
            </w:r>
          </w:p>
        </w:tc>
      </w:tr>
      <w:tr w:rsidR="00C46123" w:rsidRPr="009E7402" w14:paraId="6833ED4D" w14:textId="77777777" w:rsidTr="00175897">
        <w:trPr>
          <w:trHeight w:val="264"/>
        </w:trPr>
        <w:tc>
          <w:tcPr>
            <w:tcW w:w="4673" w:type="dxa"/>
            <w:hideMark/>
          </w:tcPr>
          <w:p w14:paraId="1DFDBB10" w14:textId="77777777" w:rsidR="00C46123" w:rsidRPr="009E7402" w:rsidRDefault="00C46123" w:rsidP="00B87A9B">
            <w:pPr>
              <w:rPr>
                <w:rFonts w:eastAsia="Times New Roman" w:cs="Arial"/>
                <w:sz w:val="20"/>
                <w:szCs w:val="20"/>
                <w:lang w:val="pt-BR"/>
              </w:rPr>
            </w:pPr>
            <w:r w:rsidRPr="009E7402">
              <w:rPr>
                <w:rFonts w:eastAsia="Times New Roman" w:cs="Arial"/>
                <w:sz w:val="20"/>
                <w:szCs w:val="20"/>
                <w:lang w:val="pt-BR"/>
              </w:rPr>
              <w:t xml:space="preserve">           Setor público </w:t>
            </w:r>
          </w:p>
        </w:tc>
        <w:tc>
          <w:tcPr>
            <w:tcW w:w="992" w:type="dxa"/>
            <w:vAlign w:val="center"/>
            <w:hideMark/>
          </w:tcPr>
          <w:p w14:paraId="29FE05E4" w14:textId="0AE04C7E" w:rsidR="00C46123" w:rsidRPr="009E7402" w:rsidRDefault="00C46123" w:rsidP="009E7402">
            <w:pPr>
              <w:jc w:val="right"/>
              <w:rPr>
                <w:rFonts w:eastAsia="Times New Roman" w:cs="Arial"/>
                <w:sz w:val="20"/>
                <w:szCs w:val="20"/>
                <w:lang w:val="pt-BR"/>
              </w:rPr>
            </w:pPr>
            <w:r w:rsidRPr="009E7402">
              <w:rPr>
                <w:rFonts w:eastAsia="Times New Roman" w:cs="Arial"/>
                <w:sz w:val="20"/>
                <w:szCs w:val="20"/>
                <w:lang w:val="pt-BR"/>
              </w:rPr>
              <w:t>443</w:t>
            </w:r>
            <w:r w:rsidR="009E7402">
              <w:rPr>
                <w:rFonts w:eastAsia="Times New Roman" w:cs="Arial"/>
                <w:sz w:val="20"/>
                <w:szCs w:val="20"/>
                <w:lang w:val="pt-BR"/>
              </w:rPr>
              <w:t>,</w:t>
            </w:r>
            <w:r w:rsidRPr="009E7402">
              <w:rPr>
                <w:rFonts w:eastAsia="Times New Roman" w:cs="Arial"/>
                <w:sz w:val="20"/>
                <w:szCs w:val="20"/>
                <w:lang w:val="pt-BR"/>
              </w:rPr>
              <w:t>4</w:t>
            </w:r>
          </w:p>
        </w:tc>
        <w:tc>
          <w:tcPr>
            <w:tcW w:w="993" w:type="dxa"/>
            <w:vAlign w:val="center"/>
            <w:hideMark/>
          </w:tcPr>
          <w:p w14:paraId="1134D4B2" w14:textId="59E33033"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655</w:t>
            </w:r>
            <w:r w:rsidR="009E7402">
              <w:rPr>
                <w:rFonts w:eastAsia="Times New Roman" w:cs="Arial"/>
                <w:sz w:val="20"/>
                <w:szCs w:val="20"/>
                <w:lang w:val="pt-BR"/>
              </w:rPr>
              <w:t>,</w:t>
            </w:r>
            <w:r w:rsidRPr="009E7402">
              <w:rPr>
                <w:rFonts w:eastAsia="Times New Roman" w:cs="Arial"/>
                <w:sz w:val="20"/>
                <w:szCs w:val="20"/>
                <w:lang w:val="pt-BR"/>
              </w:rPr>
              <w:t>8</w:t>
            </w:r>
          </w:p>
        </w:tc>
        <w:tc>
          <w:tcPr>
            <w:tcW w:w="1275" w:type="dxa"/>
            <w:vAlign w:val="center"/>
            <w:hideMark/>
          </w:tcPr>
          <w:p w14:paraId="32D0747A" w14:textId="7BBCF7BB" w:rsidR="00C46123" w:rsidRPr="009E7402" w:rsidRDefault="00C46123" w:rsidP="00175897">
            <w:pPr>
              <w:jc w:val="right"/>
              <w:rPr>
                <w:rFonts w:eastAsia="Times New Roman" w:cs="Arial"/>
                <w:sz w:val="20"/>
                <w:szCs w:val="20"/>
                <w:lang w:val="pt-BR"/>
              </w:rPr>
            </w:pPr>
            <w:r w:rsidRPr="009E7402">
              <w:rPr>
                <w:rFonts w:cs="Arial"/>
                <w:sz w:val="20"/>
                <w:szCs w:val="20"/>
                <w:lang w:val="pt-BR"/>
              </w:rPr>
              <w:t>212</w:t>
            </w:r>
            <w:r w:rsidR="009E7402">
              <w:rPr>
                <w:rFonts w:cs="Arial"/>
                <w:sz w:val="20"/>
                <w:szCs w:val="20"/>
                <w:lang w:val="pt-BR"/>
              </w:rPr>
              <w:t>,</w:t>
            </w:r>
            <w:r w:rsidRPr="009E7402">
              <w:rPr>
                <w:rFonts w:cs="Arial"/>
                <w:sz w:val="20"/>
                <w:szCs w:val="20"/>
                <w:lang w:val="pt-BR"/>
              </w:rPr>
              <w:t>4</w:t>
            </w:r>
          </w:p>
        </w:tc>
        <w:tc>
          <w:tcPr>
            <w:tcW w:w="1134" w:type="dxa"/>
            <w:vAlign w:val="center"/>
            <w:hideMark/>
          </w:tcPr>
          <w:p w14:paraId="02112E90" w14:textId="1B78ADA8"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47</w:t>
            </w:r>
            <w:r w:rsidR="009E7402">
              <w:rPr>
                <w:rFonts w:eastAsia="Times New Roman" w:cs="Arial"/>
                <w:sz w:val="20"/>
                <w:szCs w:val="20"/>
                <w:lang w:val="pt-BR"/>
              </w:rPr>
              <w:t>,</w:t>
            </w:r>
            <w:r w:rsidRPr="009E7402">
              <w:rPr>
                <w:rFonts w:eastAsia="Times New Roman" w:cs="Arial"/>
                <w:sz w:val="20"/>
                <w:szCs w:val="20"/>
                <w:lang w:val="pt-BR"/>
              </w:rPr>
              <w:t>9%</w:t>
            </w:r>
          </w:p>
        </w:tc>
      </w:tr>
      <w:tr w:rsidR="00C46123" w:rsidRPr="009E7402" w14:paraId="161A1547" w14:textId="77777777" w:rsidTr="00175897">
        <w:trPr>
          <w:trHeight w:val="264"/>
        </w:trPr>
        <w:tc>
          <w:tcPr>
            <w:tcW w:w="4673" w:type="dxa"/>
            <w:hideMark/>
          </w:tcPr>
          <w:p w14:paraId="2B239C83" w14:textId="77777777" w:rsidR="00C46123" w:rsidRPr="009E7402" w:rsidRDefault="00C46123" w:rsidP="00B87A9B">
            <w:pPr>
              <w:rPr>
                <w:rFonts w:eastAsia="Times New Roman" w:cs="Arial"/>
                <w:sz w:val="20"/>
                <w:szCs w:val="20"/>
                <w:lang w:val="pt-BR"/>
              </w:rPr>
            </w:pPr>
            <w:r w:rsidRPr="009E7402">
              <w:rPr>
                <w:rFonts w:eastAsia="Times New Roman" w:cs="Arial"/>
                <w:sz w:val="20"/>
                <w:szCs w:val="20"/>
                <w:lang w:val="pt-BR"/>
              </w:rPr>
              <w:t xml:space="preserve">           Setor privado </w:t>
            </w:r>
          </w:p>
        </w:tc>
        <w:tc>
          <w:tcPr>
            <w:tcW w:w="992" w:type="dxa"/>
            <w:vAlign w:val="center"/>
            <w:hideMark/>
          </w:tcPr>
          <w:p w14:paraId="10380989" w14:textId="7FAACF15" w:rsidR="00C46123" w:rsidRPr="009E7402" w:rsidRDefault="00C46123" w:rsidP="009E7402">
            <w:pPr>
              <w:jc w:val="right"/>
              <w:rPr>
                <w:rFonts w:eastAsia="Times New Roman" w:cs="Arial"/>
                <w:sz w:val="20"/>
                <w:szCs w:val="20"/>
                <w:lang w:val="pt-BR"/>
              </w:rPr>
            </w:pPr>
            <w:r w:rsidRPr="009E7402">
              <w:rPr>
                <w:rFonts w:eastAsia="Times New Roman" w:cs="Arial"/>
                <w:sz w:val="20"/>
                <w:szCs w:val="20"/>
                <w:lang w:val="pt-BR"/>
              </w:rPr>
              <w:t>44</w:t>
            </w:r>
            <w:r w:rsidR="009E7402">
              <w:rPr>
                <w:rFonts w:eastAsia="Times New Roman" w:cs="Arial"/>
                <w:sz w:val="20"/>
                <w:szCs w:val="20"/>
                <w:lang w:val="pt-BR"/>
              </w:rPr>
              <w:t>,</w:t>
            </w:r>
            <w:r w:rsidRPr="009E7402">
              <w:rPr>
                <w:rFonts w:eastAsia="Times New Roman" w:cs="Arial"/>
                <w:sz w:val="20"/>
                <w:szCs w:val="20"/>
                <w:lang w:val="pt-BR"/>
              </w:rPr>
              <w:t>3</w:t>
            </w:r>
          </w:p>
        </w:tc>
        <w:tc>
          <w:tcPr>
            <w:tcW w:w="993" w:type="dxa"/>
            <w:vAlign w:val="center"/>
            <w:hideMark/>
          </w:tcPr>
          <w:p w14:paraId="50D28C3C" w14:textId="56D75CA7"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178</w:t>
            </w:r>
            <w:r w:rsidR="009E7402">
              <w:rPr>
                <w:rFonts w:eastAsia="Times New Roman" w:cs="Arial"/>
                <w:sz w:val="20"/>
                <w:szCs w:val="20"/>
                <w:lang w:val="pt-BR"/>
              </w:rPr>
              <w:t>,</w:t>
            </w:r>
            <w:r w:rsidRPr="009E7402">
              <w:rPr>
                <w:rFonts w:eastAsia="Times New Roman" w:cs="Arial"/>
                <w:sz w:val="20"/>
                <w:szCs w:val="20"/>
                <w:lang w:val="pt-BR"/>
              </w:rPr>
              <w:t>4</w:t>
            </w:r>
          </w:p>
        </w:tc>
        <w:tc>
          <w:tcPr>
            <w:tcW w:w="1275" w:type="dxa"/>
            <w:vAlign w:val="center"/>
            <w:hideMark/>
          </w:tcPr>
          <w:p w14:paraId="385AADDE" w14:textId="1F0A4E9B" w:rsidR="00C46123" w:rsidRPr="009E7402" w:rsidRDefault="00C46123" w:rsidP="00175897">
            <w:pPr>
              <w:jc w:val="right"/>
              <w:rPr>
                <w:rFonts w:eastAsia="Times New Roman" w:cs="Arial"/>
                <w:sz w:val="20"/>
                <w:szCs w:val="20"/>
                <w:lang w:val="pt-BR"/>
              </w:rPr>
            </w:pPr>
            <w:r w:rsidRPr="009E7402">
              <w:rPr>
                <w:rFonts w:cs="Arial"/>
                <w:sz w:val="20"/>
                <w:szCs w:val="20"/>
                <w:lang w:val="pt-BR"/>
              </w:rPr>
              <w:t>134</w:t>
            </w:r>
            <w:r w:rsidR="009E7402">
              <w:rPr>
                <w:rFonts w:cs="Arial"/>
                <w:sz w:val="20"/>
                <w:szCs w:val="20"/>
                <w:lang w:val="pt-BR"/>
              </w:rPr>
              <w:t>,</w:t>
            </w:r>
            <w:r w:rsidRPr="009E7402">
              <w:rPr>
                <w:rFonts w:cs="Arial"/>
                <w:sz w:val="20"/>
                <w:szCs w:val="20"/>
                <w:lang w:val="pt-BR"/>
              </w:rPr>
              <w:t>0</w:t>
            </w:r>
          </w:p>
        </w:tc>
        <w:tc>
          <w:tcPr>
            <w:tcW w:w="1134" w:type="dxa"/>
            <w:vAlign w:val="center"/>
            <w:hideMark/>
          </w:tcPr>
          <w:p w14:paraId="09CCEFD9" w14:textId="69766546"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302</w:t>
            </w:r>
            <w:r w:rsidR="009E7402">
              <w:rPr>
                <w:rFonts w:eastAsia="Times New Roman" w:cs="Arial"/>
                <w:sz w:val="20"/>
                <w:szCs w:val="20"/>
                <w:lang w:val="pt-BR"/>
              </w:rPr>
              <w:t>,</w:t>
            </w:r>
            <w:r w:rsidRPr="009E7402">
              <w:rPr>
                <w:rFonts w:eastAsia="Times New Roman" w:cs="Arial"/>
                <w:sz w:val="20"/>
                <w:szCs w:val="20"/>
                <w:lang w:val="pt-BR"/>
              </w:rPr>
              <w:t>5%</w:t>
            </w:r>
          </w:p>
        </w:tc>
      </w:tr>
      <w:tr w:rsidR="00C46123" w:rsidRPr="009E7402" w14:paraId="01D223F1" w14:textId="77777777" w:rsidTr="002D4F04">
        <w:trPr>
          <w:trHeight w:val="221"/>
        </w:trPr>
        <w:tc>
          <w:tcPr>
            <w:tcW w:w="4673" w:type="dxa"/>
            <w:hideMark/>
          </w:tcPr>
          <w:p w14:paraId="01AEF62D" w14:textId="77777777" w:rsidR="00C46123" w:rsidRPr="002D4F04" w:rsidRDefault="00C46123" w:rsidP="00B87A9B">
            <w:pPr>
              <w:ind w:left="599" w:hanging="709"/>
              <w:rPr>
                <w:rFonts w:eastAsia="Times New Roman" w:cs="Arial"/>
                <w:sz w:val="20"/>
                <w:szCs w:val="20"/>
                <w:lang w:val="pt-BR"/>
              </w:rPr>
            </w:pPr>
            <w:r w:rsidRPr="002D4F04">
              <w:rPr>
                <w:rFonts w:eastAsia="Times New Roman" w:cs="Arial"/>
                <w:sz w:val="20"/>
                <w:szCs w:val="20"/>
                <w:lang w:val="pt-BR"/>
              </w:rPr>
              <w:t xml:space="preserve">       ( - ) Provisão para créditos de liquidação duvidosa</w:t>
            </w:r>
          </w:p>
        </w:tc>
        <w:tc>
          <w:tcPr>
            <w:tcW w:w="992" w:type="dxa"/>
            <w:vAlign w:val="center"/>
            <w:hideMark/>
          </w:tcPr>
          <w:p w14:paraId="3026C45C" w14:textId="7E182DE1" w:rsidR="00C46123" w:rsidRPr="002D4F04" w:rsidRDefault="00C46123" w:rsidP="009E7402">
            <w:pPr>
              <w:jc w:val="right"/>
              <w:rPr>
                <w:rFonts w:cs="Arial"/>
                <w:sz w:val="20"/>
                <w:szCs w:val="20"/>
                <w:lang w:val="pt-BR"/>
              </w:rPr>
            </w:pPr>
            <w:r w:rsidRPr="002D4F04">
              <w:rPr>
                <w:rFonts w:cs="Arial"/>
                <w:sz w:val="20"/>
                <w:szCs w:val="20"/>
                <w:lang w:val="pt-BR"/>
              </w:rPr>
              <w:t>-3</w:t>
            </w:r>
            <w:r w:rsidR="009E7402" w:rsidRPr="002D4F04">
              <w:rPr>
                <w:rFonts w:cs="Arial"/>
                <w:sz w:val="20"/>
                <w:szCs w:val="20"/>
                <w:lang w:val="pt-BR"/>
              </w:rPr>
              <w:t>,</w:t>
            </w:r>
            <w:r w:rsidRPr="002D4F04">
              <w:rPr>
                <w:rFonts w:cs="Arial"/>
                <w:sz w:val="20"/>
                <w:szCs w:val="20"/>
                <w:lang w:val="pt-BR"/>
              </w:rPr>
              <w:t>3</w:t>
            </w:r>
          </w:p>
        </w:tc>
        <w:tc>
          <w:tcPr>
            <w:tcW w:w="993" w:type="dxa"/>
            <w:vAlign w:val="center"/>
            <w:hideMark/>
          </w:tcPr>
          <w:p w14:paraId="5A47D71D" w14:textId="00A50FD2" w:rsidR="00C46123" w:rsidRPr="002D4F04" w:rsidRDefault="00C46123" w:rsidP="00175897">
            <w:pPr>
              <w:jc w:val="right"/>
              <w:rPr>
                <w:rFonts w:cs="Arial"/>
                <w:sz w:val="20"/>
                <w:szCs w:val="20"/>
                <w:lang w:val="pt-BR"/>
              </w:rPr>
            </w:pPr>
            <w:r w:rsidRPr="002D4F04">
              <w:rPr>
                <w:rFonts w:cs="Arial"/>
                <w:sz w:val="20"/>
                <w:szCs w:val="20"/>
                <w:lang w:val="pt-BR"/>
              </w:rPr>
              <w:t>-15</w:t>
            </w:r>
            <w:r w:rsidR="009E7402" w:rsidRPr="002D4F04">
              <w:rPr>
                <w:rFonts w:cs="Arial"/>
                <w:sz w:val="20"/>
                <w:szCs w:val="20"/>
                <w:lang w:val="pt-BR"/>
              </w:rPr>
              <w:t>,</w:t>
            </w:r>
            <w:r w:rsidRPr="002D4F04">
              <w:rPr>
                <w:rFonts w:cs="Arial"/>
                <w:sz w:val="20"/>
                <w:szCs w:val="20"/>
                <w:lang w:val="pt-BR"/>
              </w:rPr>
              <w:t>5</w:t>
            </w:r>
          </w:p>
        </w:tc>
        <w:tc>
          <w:tcPr>
            <w:tcW w:w="1275" w:type="dxa"/>
            <w:vAlign w:val="center"/>
            <w:hideMark/>
          </w:tcPr>
          <w:p w14:paraId="11144E47" w14:textId="575CA129" w:rsidR="00C46123" w:rsidRPr="002D4F04" w:rsidRDefault="00C46123" w:rsidP="00175897">
            <w:pPr>
              <w:jc w:val="right"/>
              <w:rPr>
                <w:rFonts w:eastAsia="Times New Roman" w:cs="Arial"/>
                <w:sz w:val="20"/>
                <w:szCs w:val="20"/>
                <w:lang w:val="pt-BR"/>
              </w:rPr>
            </w:pPr>
            <w:r w:rsidRPr="002D4F04">
              <w:rPr>
                <w:rFonts w:cs="Arial"/>
                <w:sz w:val="20"/>
                <w:szCs w:val="20"/>
                <w:lang w:val="pt-BR"/>
              </w:rPr>
              <w:t>-12</w:t>
            </w:r>
            <w:r w:rsidR="009E7402" w:rsidRPr="002D4F04">
              <w:rPr>
                <w:rFonts w:cs="Arial"/>
                <w:sz w:val="20"/>
                <w:szCs w:val="20"/>
                <w:lang w:val="pt-BR"/>
              </w:rPr>
              <w:t>,</w:t>
            </w:r>
            <w:r w:rsidRPr="002D4F04">
              <w:rPr>
                <w:rFonts w:cs="Arial"/>
                <w:sz w:val="20"/>
                <w:szCs w:val="20"/>
                <w:lang w:val="pt-BR"/>
              </w:rPr>
              <w:t xml:space="preserve">2 </w:t>
            </w:r>
          </w:p>
        </w:tc>
        <w:tc>
          <w:tcPr>
            <w:tcW w:w="1134" w:type="dxa"/>
            <w:vAlign w:val="center"/>
          </w:tcPr>
          <w:p w14:paraId="530BABFE" w14:textId="3718025D" w:rsidR="00C46123" w:rsidRPr="002D4F04" w:rsidRDefault="00C46123" w:rsidP="00175897">
            <w:pPr>
              <w:jc w:val="right"/>
              <w:rPr>
                <w:rFonts w:eastAsia="Times New Roman" w:cs="Arial"/>
                <w:sz w:val="20"/>
                <w:szCs w:val="20"/>
                <w:lang w:val="pt-BR"/>
              </w:rPr>
            </w:pPr>
            <w:r w:rsidRPr="002D4F04">
              <w:rPr>
                <w:rFonts w:eastAsia="Times New Roman" w:cs="Arial"/>
                <w:sz w:val="20"/>
                <w:szCs w:val="20"/>
                <w:lang w:val="pt-BR"/>
              </w:rPr>
              <w:t>369</w:t>
            </w:r>
            <w:r w:rsidR="009E7402" w:rsidRPr="002D4F04">
              <w:rPr>
                <w:rFonts w:eastAsia="Times New Roman" w:cs="Arial"/>
                <w:sz w:val="20"/>
                <w:szCs w:val="20"/>
                <w:lang w:val="pt-BR"/>
              </w:rPr>
              <w:t>,</w:t>
            </w:r>
            <w:r w:rsidRPr="002D4F04">
              <w:rPr>
                <w:rFonts w:eastAsia="Times New Roman" w:cs="Arial"/>
                <w:sz w:val="20"/>
                <w:szCs w:val="20"/>
                <w:lang w:val="pt-BR"/>
              </w:rPr>
              <w:t>1%</w:t>
            </w:r>
          </w:p>
        </w:tc>
      </w:tr>
      <w:tr w:rsidR="00C46123" w:rsidRPr="009E7402" w14:paraId="6C57619F" w14:textId="77777777" w:rsidTr="00175897">
        <w:trPr>
          <w:trHeight w:val="85"/>
        </w:trPr>
        <w:tc>
          <w:tcPr>
            <w:tcW w:w="4673" w:type="dxa"/>
            <w:hideMark/>
          </w:tcPr>
          <w:p w14:paraId="75B980E8" w14:textId="77777777" w:rsidR="00C46123" w:rsidRPr="009E7402" w:rsidRDefault="00C46123" w:rsidP="00B87A9B">
            <w:pPr>
              <w:rPr>
                <w:rFonts w:eastAsia="Times New Roman" w:cs="Arial"/>
                <w:bCs/>
                <w:sz w:val="20"/>
                <w:szCs w:val="20"/>
                <w:lang w:val="pt-BR"/>
              </w:rPr>
            </w:pPr>
            <w:r w:rsidRPr="009E7402">
              <w:rPr>
                <w:rFonts w:eastAsia="Times New Roman" w:cs="Arial"/>
                <w:bCs/>
                <w:sz w:val="20"/>
                <w:szCs w:val="20"/>
                <w:lang w:val="pt-BR"/>
              </w:rPr>
              <w:t xml:space="preserve">    Outros créditos</w:t>
            </w:r>
          </w:p>
        </w:tc>
        <w:tc>
          <w:tcPr>
            <w:tcW w:w="992" w:type="dxa"/>
            <w:vAlign w:val="center"/>
            <w:hideMark/>
          </w:tcPr>
          <w:p w14:paraId="68933280" w14:textId="5FCD30BA" w:rsidR="00C46123" w:rsidRPr="009E7402" w:rsidRDefault="00C46123" w:rsidP="009E7402">
            <w:pPr>
              <w:jc w:val="right"/>
              <w:rPr>
                <w:rFonts w:eastAsia="Times New Roman" w:cs="Arial"/>
                <w:bCs/>
                <w:sz w:val="20"/>
                <w:szCs w:val="20"/>
                <w:lang w:val="pt-BR"/>
              </w:rPr>
            </w:pPr>
            <w:r w:rsidRPr="009E7402">
              <w:rPr>
                <w:rFonts w:eastAsia="Times New Roman" w:cs="Arial"/>
                <w:bCs/>
                <w:sz w:val="20"/>
                <w:szCs w:val="20"/>
                <w:lang w:val="pt-BR"/>
              </w:rPr>
              <w:t>6</w:t>
            </w:r>
            <w:r w:rsidR="009E7402">
              <w:rPr>
                <w:rFonts w:eastAsia="Times New Roman" w:cs="Arial"/>
                <w:bCs/>
                <w:sz w:val="20"/>
                <w:szCs w:val="20"/>
                <w:lang w:val="pt-BR"/>
              </w:rPr>
              <w:t>,</w:t>
            </w:r>
            <w:r w:rsidRPr="009E7402">
              <w:rPr>
                <w:rFonts w:eastAsia="Times New Roman" w:cs="Arial"/>
                <w:bCs/>
                <w:sz w:val="20"/>
                <w:szCs w:val="20"/>
                <w:lang w:val="pt-BR"/>
              </w:rPr>
              <w:t>1</w:t>
            </w:r>
          </w:p>
        </w:tc>
        <w:tc>
          <w:tcPr>
            <w:tcW w:w="993" w:type="dxa"/>
            <w:vAlign w:val="center"/>
            <w:hideMark/>
          </w:tcPr>
          <w:p w14:paraId="720550C2" w14:textId="5DD34821" w:rsidR="00C46123" w:rsidRPr="009E7402" w:rsidRDefault="00C46123" w:rsidP="00175897">
            <w:pPr>
              <w:jc w:val="right"/>
              <w:rPr>
                <w:rFonts w:eastAsia="Times New Roman" w:cs="Arial"/>
                <w:bCs/>
                <w:sz w:val="20"/>
                <w:szCs w:val="20"/>
                <w:lang w:val="pt-BR"/>
              </w:rPr>
            </w:pPr>
            <w:r w:rsidRPr="009E7402">
              <w:rPr>
                <w:rFonts w:eastAsia="Times New Roman" w:cs="Arial"/>
                <w:bCs/>
                <w:sz w:val="20"/>
                <w:szCs w:val="20"/>
                <w:lang w:val="pt-BR"/>
              </w:rPr>
              <w:t>14</w:t>
            </w:r>
            <w:r w:rsidR="009E7402">
              <w:rPr>
                <w:rFonts w:eastAsia="Times New Roman" w:cs="Arial"/>
                <w:bCs/>
                <w:sz w:val="20"/>
                <w:szCs w:val="20"/>
                <w:lang w:val="pt-BR"/>
              </w:rPr>
              <w:t>,</w:t>
            </w:r>
            <w:r w:rsidRPr="009E7402">
              <w:rPr>
                <w:rFonts w:eastAsia="Times New Roman" w:cs="Arial"/>
                <w:bCs/>
                <w:sz w:val="20"/>
                <w:szCs w:val="20"/>
                <w:lang w:val="pt-BR"/>
              </w:rPr>
              <w:t>2</w:t>
            </w:r>
          </w:p>
        </w:tc>
        <w:tc>
          <w:tcPr>
            <w:tcW w:w="1275" w:type="dxa"/>
            <w:vAlign w:val="center"/>
            <w:hideMark/>
          </w:tcPr>
          <w:p w14:paraId="50F810C5" w14:textId="0D82FDCC" w:rsidR="00C46123" w:rsidRPr="009E7402" w:rsidRDefault="00C46123" w:rsidP="00175897">
            <w:pPr>
              <w:jc w:val="right"/>
              <w:rPr>
                <w:rFonts w:eastAsia="Times New Roman" w:cs="Arial"/>
                <w:sz w:val="20"/>
                <w:szCs w:val="20"/>
                <w:lang w:val="pt-BR"/>
              </w:rPr>
            </w:pPr>
            <w:r w:rsidRPr="009E7402">
              <w:rPr>
                <w:rFonts w:cs="Arial"/>
                <w:sz w:val="20"/>
                <w:szCs w:val="20"/>
                <w:lang w:val="pt-BR"/>
              </w:rPr>
              <w:t>8</w:t>
            </w:r>
            <w:r w:rsidR="009E7402">
              <w:rPr>
                <w:rFonts w:cs="Arial"/>
                <w:sz w:val="20"/>
                <w:szCs w:val="20"/>
                <w:lang w:val="pt-BR"/>
              </w:rPr>
              <w:t>,</w:t>
            </w:r>
            <w:r w:rsidRPr="009E7402">
              <w:rPr>
                <w:rFonts w:cs="Arial"/>
                <w:sz w:val="20"/>
                <w:szCs w:val="20"/>
                <w:lang w:val="pt-BR"/>
              </w:rPr>
              <w:t>1</w:t>
            </w:r>
          </w:p>
        </w:tc>
        <w:tc>
          <w:tcPr>
            <w:tcW w:w="1134" w:type="dxa"/>
            <w:vAlign w:val="center"/>
            <w:hideMark/>
          </w:tcPr>
          <w:p w14:paraId="57A83DCA" w14:textId="754F2C7C"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133</w:t>
            </w:r>
            <w:r w:rsidR="009E7402">
              <w:rPr>
                <w:rFonts w:eastAsia="Times New Roman" w:cs="Arial"/>
                <w:sz w:val="20"/>
                <w:szCs w:val="20"/>
                <w:lang w:val="pt-BR"/>
              </w:rPr>
              <w:t>,</w:t>
            </w:r>
            <w:r w:rsidRPr="009E7402">
              <w:rPr>
                <w:rFonts w:eastAsia="Times New Roman" w:cs="Arial"/>
                <w:sz w:val="20"/>
                <w:szCs w:val="20"/>
                <w:lang w:val="pt-BR"/>
              </w:rPr>
              <w:t>0%</w:t>
            </w:r>
          </w:p>
        </w:tc>
      </w:tr>
      <w:tr w:rsidR="00C46123" w:rsidRPr="009E7402" w14:paraId="230C01BF" w14:textId="77777777" w:rsidTr="00175897">
        <w:trPr>
          <w:trHeight w:val="264"/>
        </w:trPr>
        <w:tc>
          <w:tcPr>
            <w:tcW w:w="4673" w:type="dxa"/>
            <w:hideMark/>
          </w:tcPr>
          <w:p w14:paraId="6F48F889" w14:textId="77777777" w:rsidR="00C46123" w:rsidRPr="009E7402" w:rsidRDefault="00C46123" w:rsidP="00B87A9B">
            <w:pPr>
              <w:rPr>
                <w:rFonts w:eastAsia="Times New Roman" w:cs="Arial"/>
                <w:bCs/>
                <w:sz w:val="20"/>
                <w:szCs w:val="20"/>
                <w:lang w:val="pt-BR"/>
              </w:rPr>
            </w:pPr>
            <w:r w:rsidRPr="009E7402">
              <w:rPr>
                <w:rFonts w:eastAsia="Times New Roman" w:cs="Arial"/>
                <w:bCs/>
                <w:sz w:val="20"/>
                <w:szCs w:val="20"/>
                <w:lang w:val="pt-BR"/>
              </w:rPr>
              <w:t xml:space="preserve">Permanente </w:t>
            </w:r>
          </w:p>
        </w:tc>
        <w:tc>
          <w:tcPr>
            <w:tcW w:w="992" w:type="dxa"/>
            <w:vAlign w:val="center"/>
            <w:hideMark/>
          </w:tcPr>
          <w:p w14:paraId="5D738FA3" w14:textId="796A85C8" w:rsidR="00C46123" w:rsidRPr="009E7402" w:rsidRDefault="00C46123" w:rsidP="009E7402">
            <w:pPr>
              <w:jc w:val="right"/>
              <w:rPr>
                <w:rFonts w:eastAsia="Times New Roman" w:cs="Arial"/>
                <w:bCs/>
                <w:sz w:val="20"/>
                <w:szCs w:val="20"/>
                <w:lang w:val="pt-BR"/>
              </w:rPr>
            </w:pPr>
            <w:r w:rsidRPr="009E7402">
              <w:rPr>
                <w:rFonts w:eastAsia="Times New Roman" w:cs="Arial"/>
                <w:bCs/>
                <w:sz w:val="20"/>
                <w:szCs w:val="20"/>
                <w:lang w:val="pt-BR"/>
              </w:rPr>
              <w:t>1</w:t>
            </w:r>
            <w:r w:rsidR="009E7402">
              <w:rPr>
                <w:rFonts w:eastAsia="Times New Roman" w:cs="Arial"/>
                <w:bCs/>
                <w:sz w:val="20"/>
                <w:szCs w:val="20"/>
                <w:lang w:val="pt-BR"/>
              </w:rPr>
              <w:t>,</w:t>
            </w:r>
            <w:r w:rsidRPr="009E7402">
              <w:rPr>
                <w:rFonts w:eastAsia="Times New Roman" w:cs="Arial"/>
                <w:bCs/>
                <w:sz w:val="20"/>
                <w:szCs w:val="20"/>
                <w:lang w:val="pt-BR"/>
              </w:rPr>
              <w:t>2</w:t>
            </w:r>
          </w:p>
        </w:tc>
        <w:tc>
          <w:tcPr>
            <w:tcW w:w="993" w:type="dxa"/>
            <w:vAlign w:val="center"/>
            <w:hideMark/>
          </w:tcPr>
          <w:p w14:paraId="355A4166" w14:textId="069B49DD" w:rsidR="00C46123" w:rsidRPr="009E7402" w:rsidRDefault="00C46123" w:rsidP="00175897">
            <w:pPr>
              <w:jc w:val="right"/>
              <w:rPr>
                <w:rFonts w:eastAsia="Times New Roman" w:cs="Arial"/>
                <w:bCs/>
                <w:sz w:val="20"/>
                <w:szCs w:val="20"/>
                <w:lang w:val="pt-BR"/>
              </w:rPr>
            </w:pPr>
            <w:r w:rsidRPr="009E7402">
              <w:rPr>
                <w:rFonts w:eastAsia="Times New Roman" w:cs="Arial"/>
                <w:bCs/>
                <w:sz w:val="20"/>
                <w:szCs w:val="20"/>
                <w:lang w:val="pt-BR"/>
              </w:rPr>
              <w:t>1</w:t>
            </w:r>
            <w:r w:rsidR="009E7402">
              <w:rPr>
                <w:rFonts w:eastAsia="Times New Roman" w:cs="Arial"/>
                <w:bCs/>
                <w:sz w:val="20"/>
                <w:szCs w:val="20"/>
                <w:lang w:val="pt-BR"/>
              </w:rPr>
              <w:t>,</w:t>
            </w:r>
            <w:r w:rsidRPr="009E7402">
              <w:rPr>
                <w:rFonts w:eastAsia="Times New Roman" w:cs="Arial"/>
                <w:bCs/>
                <w:sz w:val="20"/>
                <w:szCs w:val="20"/>
                <w:lang w:val="pt-BR"/>
              </w:rPr>
              <w:t>0</w:t>
            </w:r>
          </w:p>
        </w:tc>
        <w:tc>
          <w:tcPr>
            <w:tcW w:w="1275" w:type="dxa"/>
            <w:vAlign w:val="center"/>
            <w:hideMark/>
          </w:tcPr>
          <w:p w14:paraId="628BB015" w14:textId="0E6D4EAC" w:rsidR="00C46123" w:rsidRPr="009E7402" w:rsidRDefault="00C46123" w:rsidP="00175897">
            <w:pPr>
              <w:jc w:val="right"/>
              <w:rPr>
                <w:rFonts w:eastAsia="Times New Roman" w:cs="Arial"/>
                <w:sz w:val="20"/>
                <w:szCs w:val="20"/>
                <w:lang w:val="pt-BR"/>
              </w:rPr>
            </w:pPr>
            <w:r w:rsidRPr="009E7402">
              <w:rPr>
                <w:rFonts w:cs="Arial"/>
                <w:sz w:val="20"/>
                <w:szCs w:val="20"/>
                <w:lang w:val="pt-BR"/>
              </w:rPr>
              <w:t>-0</w:t>
            </w:r>
            <w:r w:rsidR="009E7402">
              <w:rPr>
                <w:rFonts w:cs="Arial"/>
                <w:sz w:val="20"/>
                <w:szCs w:val="20"/>
                <w:lang w:val="pt-BR"/>
              </w:rPr>
              <w:t>,</w:t>
            </w:r>
            <w:r w:rsidRPr="009E7402">
              <w:rPr>
                <w:rFonts w:cs="Arial"/>
                <w:sz w:val="20"/>
                <w:szCs w:val="20"/>
                <w:lang w:val="pt-BR"/>
              </w:rPr>
              <w:t xml:space="preserve">2 </w:t>
            </w:r>
          </w:p>
        </w:tc>
        <w:tc>
          <w:tcPr>
            <w:tcW w:w="1134" w:type="dxa"/>
            <w:vAlign w:val="center"/>
            <w:hideMark/>
          </w:tcPr>
          <w:p w14:paraId="23EF0127" w14:textId="6A3328ED"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w:t>
            </w:r>
            <w:r w:rsidR="002D4F04">
              <w:rPr>
                <w:rFonts w:eastAsia="Times New Roman" w:cs="Arial"/>
                <w:sz w:val="20"/>
                <w:szCs w:val="20"/>
                <w:lang w:val="pt-BR"/>
              </w:rPr>
              <w:t>16,7</w:t>
            </w:r>
            <w:r w:rsidRPr="009E7402">
              <w:rPr>
                <w:rFonts w:eastAsia="Times New Roman" w:cs="Arial"/>
                <w:sz w:val="20"/>
                <w:szCs w:val="20"/>
                <w:lang w:val="pt-BR"/>
              </w:rPr>
              <w:t>%</w:t>
            </w:r>
          </w:p>
        </w:tc>
      </w:tr>
      <w:tr w:rsidR="00C46123" w:rsidRPr="009E7402" w14:paraId="2EE3441A" w14:textId="77777777" w:rsidTr="00175897">
        <w:trPr>
          <w:trHeight w:val="276"/>
        </w:trPr>
        <w:tc>
          <w:tcPr>
            <w:tcW w:w="4673" w:type="dxa"/>
            <w:hideMark/>
          </w:tcPr>
          <w:p w14:paraId="1EABC84B" w14:textId="77777777" w:rsidR="00C46123" w:rsidRPr="00175897" w:rsidRDefault="00C46123" w:rsidP="00B87A9B">
            <w:pPr>
              <w:rPr>
                <w:rFonts w:eastAsia="Times New Roman" w:cs="Arial"/>
                <w:b/>
                <w:bCs/>
                <w:sz w:val="20"/>
                <w:szCs w:val="20"/>
                <w:lang w:val="pt-BR"/>
              </w:rPr>
            </w:pPr>
            <w:r w:rsidRPr="00175897">
              <w:rPr>
                <w:rFonts w:eastAsia="Times New Roman" w:cs="Arial"/>
                <w:b/>
                <w:bCs/>
                <w:sz w:val="20"/>
                <w:szCs w:val="20"/>
                <w:lang w:val="pt-BR"/>
              </w:rPr>
              <w:t xml:space="preserve">Total do ativo </w:t>
            </w:r>
          </w:p>
        </w:tc>
        <w:tc>
          <w:tcPr>
            <w:tcW w:w="992" w:type="dxa"/>
            <w:vAlign w:val="center"/>
            <w:hideMark/>
          </w:tcPr>
          <w:p w14:paraId="3F2F98CC" w14:textId="39D3F4C5" w:rsidR="00C46123" w:rsidRPr="00175897" w:rsidRDefault="00C46123" w:rsidP="009E7402">
            <w:pPr>
              <w:jc w:val="right"/>
              <w:rPr>
                <w:rFonts w:eastAsia="Times New Roman" w:cs="Arial"/>
                <w:b/>
                <w:bCs/>
                <w:sz w:val="20"/>
                <w:szCs w:val="20"/>
                <w:lang w:val="pt-BR"/>
              </w:rPr>
            </w:pPr>
            <w:r w:rsidRPr="00175897">
              <w:rPr>
                <w:rFonts w:eastAsia="Times New Roman" w:cs="Arial"/>
                <w:b/>
                <w:bCs/>
                <w:sz w:val="20"/>
                <w:szCs w:val="20"/>
                <w:lang w:val="pt-BR"/>
              </w:rPr>
              <w:t>1</w:t>
            </w:r>
            <w:r w:rsidR="009E7402" w:rsidRPr="00175897">
              <w:rPr>
                <w:rFonts w:eastAsia="Times New Roman" w:cs="Arial"/>
                <w:b/>
                <w:bCs/>
                <w:sz w:val="20"/>
                <w:szCs w:val="20"/>
                <w:lang w:val="pt-BR"/>
              </w:rPr>
              <w:t>.</w:t>
            </w:r>
            <w:r w:rsidRPr="00175897">
              <w:rPr>
                <w:rFonts w:eastAsia="Times New Roman" w:cs="Arial"/>
                <w:b/>
                <w:bCs/>
                <w:sz w:val="20"/>
                <w:szCs w:val="20"/>
                <w:lang w:val="pt-BR"/>
              </w:rPr>
              <w:t>248</w:t>
            </w:r>
            <w:r w:rsidR="009E7402" w:rsidRPr="00175897">
              <w:rPr>
                <w:rFonts w:eastAsia="Times New Roman" w:cs="Arial"/>
                <w:b/>
                <w:bCs/>
                <w:sz w:val="20"/>
                <w:szCs w:val="20"/>
                <w:lang w:val="pt-BR"/>
              </w:rPr>
              <w:t>,</w:t>
            </w:r>
            <w:r w:rsidRPr="00175897">
              <w:rPr>
                <w:rFonts w:eastAsia="Times New Roman" w:cs="Arial"/>
                <w:b/>
                <w:bCs/>
                <w:sz w:val="20"/>
                <w:szCs w:val="20"/>
                <w:lang w:val="pt-BR"/>
              </w:rPr>
              <w:t>6</w:t>
            </w:r>
          </w:p>
        </w:tc>
        <w:tc>
          <w:tcPr>
            <w:tcW w:w="993" w:type="dxa"/>
            <w:vAlign w:val="center"/>
            <w:hideMark/>
          </w:tcPr>
          <w:p w14:paraId="2005A2C0" w14:textId="1361EF2E" w:rsidR="00C46123" w:rsidRPr="00175897" w:rsidRDefault="00C46123" w:rsidP="00175897">
            <w:pPr>
              <w:jc w:val="right"/>
              <w:rPr>
                <w:rFonts w:eastAsia="Times New Roman" w:cs="Arial"/>
                <w:b/>
                <w:bCs/>
                <w:sz w:val="20"/>
                <w:szCs w:val="20"/>
                <w:lang w:val="pt-BR"/>
              </w:rPr>
            </w:pPr>
            <w:r w:rsidRPr="00175897">
              <w:rPr>
                <w:rFonts w:eastAsia="Times New Roman" w:cs="Arial"/>
                <w:b/>
                <w:bCs/>
                <w:sz w:val="20"/>
                <w:szCs w:val="20"/>
                <w:lang w:val="pt-BR"/>
              </w:rPr>
              <w:t>1</w:t>
            </w:r>
            <w:r w:rsidR="009E7402" w:rsidRPr="00175897">
              <w:rPr>
                <w:rFonts w:eastAsia="Times New Roman" w:cs="Arial"/>
                <w:b/>
                <w:bCs/>
                <w:sz w:val="20"/>
                <w:szCs w:val="20"/>
                <w:lang w:val="pt-BR"/>
              </w:rPr>
              <w:t>.</w:t>
            </w:r>
            <w:r w:rsidRPr="00175897">
              <w:rPr>
                <w:rFonts w:eastAsia="Times New Roman" w:cs="Arial"/>
                <w:b/>
                <w:bCs/>
                <w:sz w:val="20"/>
                <w:szCs w:val="20"/>
                <w:lang w:val="pt-BR"/>
              </w:rPr>
              <w:t>884</w:t>
            </w:r>
            <w:r w:rsidR="009E7402" w:rsidRPr="00175897">
              <w:rPr>
                <w:rFonts w:eastAsia="Times New Roman" w:cs="Arial"/>
                <w:b/>
                <w:bCs/>
                <w:sz w:val="20"/>
                <w:szCs w:val="20"/>
                <w:lang w:val="pt-BR"/>
              </w:rPr>
              <w:t>,</w:t>
            </w:r>
            <w:r w:rsidRPr="00175897">
              <w:rPr>
                <w:rFonts w:eastAsia="Times New Roman" w:cs="Arial"/>
                <w:b/>
                <w:bCs/>
                <w:sz w:val="20"/>
                <w:szCs w:val="20"/>
                <w:lang w:val="pt-BR"/>
              </w:rPr>
              <w:t>6</w:t>
            </w:r>
          </w:p>
        </w:tc>
        <w:tc>
          <w:tcPr>
            <w:tcW w:w="1275" w:type="dxa"/>
            <w:vAlign w:val="center"/>
            <w:hideMark/>
          </w:tcPr>
          <w:p w14:paraId="13417505" w14:textId="1B85BD0C" w:rsidR="00C46123" w:rsidRPr="00175897" w:rsidRDefault="00C46123" w:rsidP="00175897">
            <w:pPr>
              <w:jc w:val="right"/>
              <w:rPr>
                <w:rFonts w:eastAsia="Times New Roman" w:cs="Arial"/>
                <w:b/>
                <w:sz w:val="20"/>
                <w:szCs w:val="20"/>
                <w:lang w:val="pt-BR"/>
              </w:rPr>
            </w:pPr>
            <w:r w:rsidRPr="00175897">
              <w:rPr>
                <w:rFonts w:cs="Arial"/>
                <w:b/>
                <w:sz w:val="20"/>
                <w:szCs w:val="20"/>
                <w:lang w:val="pt-BR"/>
              </w:rPr>
              <w:t>636</w:t>
            </w:r>
            <w:r w:rsidR="009E7402" w:rsidRPr="00175897">
              <w:rPr>
                <w:rFonts w:cs="Arial"/>
                <w:b/>
                <w:sz w:val="20"/>
                <w:szCs w:val="20"/>
                <w:lang w:val="pt-BR"/>
              </w:rPr>
              <w:t>,</w:t>
            </w:r>
            <w:r w:rsidRPr="00175897">
              <w:rPr>
                <w:rFonts w:cs="Arial"/>
                <w:b/>
                <w:sz w:val="20"/>
                <w:szCs w:val="20"/>
                <w:lang w:val="pt-BR"/>
              </w:rPr>
              <w:t>0</w:t>
            </w:r>
          </w:p>
        </w:tc>
        <w:tc>
          <w:tcPr>
            <w:tcW w:w="1134" w:type="dxa"/>
            <w:vAlign w:val="center"/>
            <w:hideMark/>
          </w:tcPr>
          <w:p w14:paraId="51330F6A" w14:textId="74B241A2" w:rsidR="00C46123" w:rsidRPr="00175897" w:rsidRDefault="00C46123" w:rsidP="00175897">
            <w:pPr>
              <w:jc w:val="right"/>
              <w:rPr>
                <w:rFonts w:eastAsia="Times New Roman" w:cs="Arial"/>
                <w:b/>
                <w:sz w:val="20"/>
                <w:szCs w:val="20"/>
                <w:lang w:val="pt-BR"/>
              </w:rPr>
            </w:pPr>
            <w:r w:rsidRPr="00175897">
              <w:rPr>
                <w:rFonts w:eastAsia="Times New Roman" w:cs="Arial"/>
                <w:b/>
                <w:sz w:val="20"/>
                <w:szCs w:val="20"/>
                <w:lang w:val="pt-BR"/>
              </w:rPr>
              <w:t>50</w:t>
            </w:r>
            <w:r w:rsidR="009E7402" w:rsidRPr="00175897">
              <w:rPr>
                <w:rFonts w:eastAsia="Times New Roman" w:cs="Arial"/>
                <w:b/>
                <w:sz w:val="20"/>
                <w:szCs w:val="20"/>
                <w:lang w:val="pt-BR"/>
              </w:rPr>
              <w:t>,</w:t>
            </w:r>
            <w:r w:rsidRPr="00175897">
              <w:rPr>
                <w:rFonts w:eastAsia="Times New Roman" w:cs="Arial"/>
                <w:b/>
                <w:sz w:val="20"/>
                <w:szCs w:val="20"/>
                <w:lang w:val="pt-BR"/>
              </w:rPr>
              <w:t>9%</w:t>
            </w:r>
          </w:p>
        </w:tc>
      </w:tr>
      <w:tr w:rsidR="00C46123" w:rsidRPr="009E7402" w14:paraId="092BEE57" w14:textId="77777777" w:rsidTr="00175897">
        <w:trPr>
          <w:trHeight w:val="264"/>
        </w:trPr>
        <w:tc>
          <w:tcPr>
            <w:tcW w:w="4673" w:type="dxa"/>
            <w:hideMark/>
          </w:tcPr>
          <w:p w14:paraId="5FB8772E" w14:textId="77777777" w:rsidR="00C46123" w:rsidRPr="009E7402" w:rsidRDefault="00C46123" w:rsidP="00B87A9B">
            <w:pPr>
              <w:rPr>
                <w:rFonts w:eastAsia="Times New Roman" w:cs="Arial"/>
                <w:b/>
                <w:bCs/>
                <w:sz w:val="20"/>
                <w:szCs w:val="20"/>
                <w:lang w:val="pt-BR"/>
              </w:rPr>
            </w:pPr>
            <w:r w:rsidRPr="009E7402">
              <w:rPr>
                <w:rFonts w:eastAsia="Times New Roman" w:cs="Arial"/>
                <w:b/>
                <w:bCs/>
                <w:sz w:val="20"/>
                <w:szCs w:val="20"/>
                <w:lang w:val="pt-BR"/>
              </w:rPr>
              <w:t xml:space="preserve">PASSIVO </w:t>
            </w:r>
          </w:p>
        </w:tc>
        <w:tc>
          <w:tcPr>
            <w:tcW w:w="992" w:type="dxa"/>
            <w:vAlign w:val="center"/>
            <w:hideMark/>
          </w:tcPr>
          <w:p w14:paraId="42C10277" w14:textId="77777777" w:rsidR="00C46123" w:rsidRPr="009E7402" w:rsidRDefault="00C46123" w:rsidP="00175897">
            <w:pPr>
              <w:jc w:val="right"/>
              <w:rPr>
                <w:rFonts w:eastAsia="Times New Roman" w:cs="Arial"/>
                <w:bCs/>
                <w:sz w:val="20"/>
                <w:szCs w:val="20"/>
                <w:lang w:val="pt-BR"/>
              </w:rPr>
            </w:pPr>
            <w:r w:rsidRPr="009E7402">
              <w:rPr>
                <w:rFonts w:eastAsia="Times New Roman" w:cs="Arial"/>
                <w:bCs/>
                <w:sz w:val="20"/>
                <w:szCs w:val="20"/>
                <w:lang w:val="pt-BR"/>
              </w:rPr>
              <w:t> </w:t>
            </w:r>
          </w:p>
        </w:tc>
        <w:tc>
          <w:tcPr>
            <w:tcW w:w="993" w:type="dxa"/>
            <w:vAlign w:val="center"/>
            <w:hideMark/>
          </w:tcPr>
          <w:p w14:paraId="01887882" w14:textId="77777777" w:rsidR="00C46123" w:rsidRPr="009E7402" w:rsidRDefault="00C46123" w:rsidP="00175897">
            <w:pPr>
              <w:jc w:val="right"/>
              <w:rPr>
                <w:rFonts w:eastAsia="Times New Roman" w:cs="Arial"/>
                <w:bCs/>
                <w:sz w:val="20"/>
                <w:szCs w:val="20"/>
                <w:lang w:val="pt-BR"/>
              </w:rPr>
            </w:pPr>
            <w:r w:rsidRPr="009E7402">
              <w:rPr>
                <w:rFonts w:eastAsia="Times New Roman" w:cs="Arial"/>
                <w:bCs/>
                <w:sz w:val="20"/>
                <w:szCs w:val="20"/>
                <w:lang w:val="pt-BR"/>
              </w:rPr>
              <w:t> </w:t>
            </w:r>
          </w:p>
        </w:tc>
        <w:tc>
          <w:tcPr>
            <w:tcW w:w="1275" w:type="dxa"/>
            <w:vAlign w:val="center"/>
            <w:hideMark/>
          </w:tcPr>
          <w:p w14:paraId="6B83CE91" w14:textId="77777777" w:rsidR="00C46123" w:rsidRPr="009E7402" w:rsidRDefault="00C46123" w:rsidP="00175897">
            <w:pPr>
              <w:jc w:val="right"/>
              <w:rPr>
                <w:rFonts w:eastAsia="Times New Roman" w:cs="Arial"/>
                <w:sz w:val="20"/>
                <w:szCs w:val="20"/>
                <w:lang w:val="pt-BR"/>
              </w:rPr>
            </w:pPr>
            <w:r w:rsidRPr="009E7402">
              <w:rPr>
                <w:rFonts w:eastAsia="Times New Roman" w:cs="Arial"/>
                <w:sz w:val="20"/>
                <w:szCs w:val="20"/>
                <w:lang w:val="pt-BR"/>
              </w:rPr>
              <w:t> </w:t>
            </w:r>
          </w:p>
        </w:tc>
        <w:tc>
          <w:tcPr>
            <w:tcW w:w="1134" w:type="dxa"/>
            <w:vAlign w:val="center"/>
            <w:hideMark/>
          </w:tcPr>
          <w:p w14:paraId="3A988B7C" w14:textId="77777777" w:rsidR="00C46123" w:rsidRPr="009E7402" w:rsidRDefault="00C46123" w:rsidP="00175897">
            <w:pPr>
              <w:jc w:val="right"/>
              <w:rPr>
                <w:rFonts w:eastAsia="Times New Roman" w:cs="Arial"/>
                <w:color w:val="000000"/>
                <w:sz w:val="20"/>
                <w:szCs w:val="20"/>
                <w:lang w:val="pt-BR"/>
              </w:rPr>
            </w:pPr>
            <w:r w:rsidRPr="009E7402">
              <w:rPr>
                <w:rFonts w:eastAsia="Times New Roman" w:cs="Arial"/>
                <w:color w:val="000000"/>
                <w:sz w:val="20"/>
                <w:szCs w:val="20"/>
                <w:lang w:val="pt-BR"/>
              </w:rPr>
              <w:t> </w:t>
            </w:r>
          </w:p>
        </w:tc>
      </w:tr>
      <w:tr w:rsidR="008F1E44" w:rsidRPr="009E7402" w14:paraId="1163EE70" w14:textId="77777777" w:rsidTr="00175897">
        <w:trPr>
          <w:trHeight w:val="264"/>
        </w:trPr>
        <w:tc>
          <w:tcPr>
            <w:tcW w:w="4673" w:type="dxa"/>
            <w:hideMark/>
          </w:tcPr>
          <w:p w14:paraId="75632E5C" w14:textId="77777777" w:rsidR="008F1E44" w:rsidRPr="009E7402" w:rsidRDefault="008F1E44" w:rsidP="008F1E44">
            <w:pPr>
              <w:rPr>
                <w:rFonts w:eastAsia="Times New Roman" w:cs="Arial"/>
                <w:bCs/>
                <w:sz w:val="20"/>
                <w:szCs w:val="20"/>
                <w:lang w:val="pt-BR"/>
              </w:rPr>
            </w:pPr>
            <w:r w:rsidRPr="009E7402">
              <w:rPr>
                <w:rFonts w:eastAsia="Times New Roman" w:cs="Arial"/>
                <w:bCs/>
                <w:sz w:val="20"/>
                <w:szCs w:val="20"/>
                <w:lang w:val="pt-BR"/>
              </w:rPr>
              <w:t>Circulante</w:t>
            </w:r>
          </w:p>
        </w:tc>
        <w:tc>
          <w:tcPr>
            <w:tcW w:w="992" w:type="dxa"/>
            <w:vAlign w:val="center"/>
            <w:hideMark/>
          </w:tcPr>
          <w:p w14:paraId="78F66672" w14:textId="758CE09B" w:rsidR="008F1E44" w:rsidRPr="009E7402" w:rsidRDefault="008F1E44" w:rsidP="009E7402">
            <w:pPr>
              <w:jc w:val="right"/>
              <w:rPr>
                <w:rFonts w:eastAsia="Times New Roman" w:cs="Arial"/>
                <w:bCs/>
                <w:sz w:val="20"/>
                <w:szCs w:val="20"/>
                <w:lang w:val="pt-BR"/>
              </w:rPr>
            </w:pPr>
            <w:r w:rsidRPr="009E7402">
              <w:rPr>
                <w:rFonts w:eastAsia="Times New Roman" w:cs="Arial"/>
                <w:bCs/>
                <w:sz w:val="20"/>
                <w:szCs w:val="20"/>
                <w:lang w:val="pt-BR"/>
              </w:rPr>
              <w:t>10</w:t>
            </w:r>
            <w:r w:rsidR="009E7402">
              <w:rPr>
                <w:rFonts w:eastAsia="Times New Roman" w:cs="Arial"/>
                <w:bCs/>
                <w:sz w:val="20"/>
                <w:szCs w:val="20"/>
                <w:lang w:val="pt-BR"/>
              </w:rPr>
              <w:t>,</w:t>
            </w:r>
            <w:r w:rsidRPr="009E7402">
              <w:rPr>
                <w:rFonts w:eastAsia="Times New Roman" w:cs="Arial"/>
                <w:bCs/>
                <w:sz w:val="20"/>
                <w:szCs w:val="20"/>
                <w:lang w:val="pt-BR"/>
              </w:rPr>
              <w:t>7</w:t>
            </w:r>
          </w:p>
        </w:tc>
        <w:tc>
          <w:tcPr>
            <w:tcW w:w="993" w:type="dxa"/>
            <w:vAlign w:val="center"/>
            <w:hideMark/>
          </w:tcPr>
          <w:p w14:paraId="1FC51A54" w14:textId="389184C8" w:rsidR="008F1E44" w:rsidRPr="009E7402" w:rsidRDefault="008F1E44" w:rsidP="00175897">
            <w:pPr>
              <w:jc w:val="right"/>
              <w:rPr>
                <w:rFonts w:eastAsia="Times New Roman" w:cs="Arial"/>
                <w:bCs/>
                <w:sz w:val="20"/>
                <w:szCs w:val="20"/>
                <w:lang w:val="pt-BR"/>
              </w:rPr>
            </w:pPr>
            <w:r w:rsidRPr="009E7402">
              <w:rPr>
                <w:rFonts w:eastAsia="Times New Roman" w:cs="Arial"/>
                <w:bCs/>
                <w:sz w:val="20"/>
                <w:szCs w:val="20"/>
                <w:lang w:val="pt-BR"/>
              </w:rPr>
              <w:t>136</w:t>
            </w:r>
            <w:r w:rsidR="009E7402">
              <w:rPr>
                <w:rFonts w:eastAsia="Times New Roman" w:cs="Arial"/>
                <w:bCs/>
                <w:sz w:val="20"/>
                <w:szCs w:val="20"/>
                <w:lang w:val="pt-BR"/>
              </w:rPr>
              <w:t>,</w:t>
            </w:r>
            <w:r w:rsidRPr="009E7402">
              <w:rPr>
                <w:rFonts w:eastAsia="Times New Roman" w:cs="Arial"/>
                <w:bCs/>
                <w:sz w:val="20"/>
                <w:szCs w:val="20"/>
                <w:lang w:val="pt-BR"/>
              </w:rPr>
              <w:t>4</w:t>
            </w:r>
          </w:p>
        </w:tc>
        <w:tc>
          <w:tcPr>
            <w:tcW w:w="1275" w:type="dxa"/>
            <w:vAlign w:val="center"/>
            <w:hideMark/>
          </w:tcPr>
          <w:p w14:paraId="678FC62E" w14:textId="02AEECB7" w:rsidR="008F1E44" w:rsidRPr="009E7402" w:rsidRDefault="008F1E44" w:rsidP="00175897">
            <w:pPr>
              <w:jc w:val="right"/>
              <w:rPr>
                <w:rFonts w:eastAsia="Times New Roman" w:cs="Arial"/>
                <w:sz w:val="20"/>
                <w:szCs w:val="20"/>
                <w:lang w:val="pt-BR"/>
              </w:rPr>
            </w:pPr>
            <w:r w:rsidRPr="009E7402">
              <w:rPr>
                <w:rFonts w:ascii="Calibri" w:hAnsi="Calibri" w:cs="Calibri"/>
                <w:color w:val="000000"/>
                <w:sz w:val="20"/>
                <w:szCs w:val="20"/>
                <w:lang w:val="pt-BR"/>
              </w:rPr>
              <w:t>126,0</w:t>
            </w:r>
          </w:p>
        </w:tc>
        <w:tc>
          <w:tcPr>
            <w:tcW w:w="1134" w:type="dxa"/>
            <w:vAlign w:val="center"/>
            <w:hideMark/>
          </w:tcPr>
          <w:p w14:paraId="11B2BF5C" w14:textId="0B1A06E0" w:rsidR="008F1E44" w:rsidRPr="009E7402" w:rsidRDefault="008F1E44" w:rsidP="00175897">
            <w:pPr>
              <w:jc w:val="right"/>
              <w:rPr>
                <w:rFonts w:eastAsia="Times New Roman" w:cs="Arial"/>
                <w:color w:val="000000"/>
                <w:sz w:val="20"/>
                <w:szCs w:val="20"/>
                <w:lang w:val="pt-BR"/>
              </w:rPr>
            </w:pPr>
            <w:r w:rsidRPr="009E7402">
              <w:rPr>
                <w:rFonts w:eastAsia="Times New Roman" w:cs="Arial"/>
                <w:color w:val="000000"/>
                <w:sz w:val="20"/>
                <w:szCs w:val="20"/>
                <w:lang w:val="pt-BR"/>
              </w:rPr>
              <w:t>1</w:t>
            </w:r>
            <w:r w:rsidR="002D4F04">
              <w:rPr>
                <w:rFonts w:eastAsia="Times New Roman" w:cs="Arial"/>
                <w:color w:val="000000"/>
                <w:sz w:val="20"/>
                <w:szCs w:val="20"/>
                <w:lang w:val="pt-BR"/>
              </w:rPr>
              <w:t>.</w:t>
            </w:r>
            <w:r w:rsidRPr="009E7402">
              <w:rPr>
                <w:rFonts w:eastAsia="Times New Roman" w:cs="Arial"/>
                <w:color w:val="000000"/>
                <w:sz w:val="20"/>
                <w:szCs w:val="20"/>
                <w:lang w:val="pt-BR"/>
              </w:rPr>
              <w:t>180</w:t>
            </w:r>
            <w:r w:rsidR="009E7402">
              <w:rPr>
                <w:rFonts w:eastAsia="Times New Roman" w:cs="Arial"/>
                <w:color w:val="000000"/>
                <w:sz w:val="20"/>
                <w:szCs w:val="20"/>
                <w:lang w:val="pt-BR"/>
              </w:rPr>
              <w:t>,</w:t>
            </w:r>
            <w:r w:rsidRPr="009E7402">
              <w:rPr>
                <w:rFonts w:eastAsia="Times New Roman" w:cs="Arial"/>
                <w:color w:val="000000"/>
                <w:sz w:val="20"/>
                <w:szCs w:val="20"/>
                <w:lang w:val="pt-BR"/>
              </w:rPr>
              <w:t>1%</w:t>
            </w:r>
          </w:p>
        </w:tc>
      </w:tr>
      <w:tr w:rsidR="008F1E44" w:rsidRPr="009E7402" w14:paraId="64B663AB" w14:textId="77777777" w:rsidTr="00175897">
        <w:trPr>
          <w:trHeight w:val="503"/>
        </w:trPr>
        <w:tc>
          <w:tcPr>
            <w:tcW w:w="4673" w:type="dxa"/>
            <w:hideMark/>
          </w:tcPr>
          <w:p w14:paraId="41BEF323" w14:textId="77777777" w:rsidR="008F1E44" w:rsidRPr="009E7402" w:rsidRDefault="008F1E44" w:rsidP="008F1E44">
            <w:pPr>
              <w:ind w:left="316"/>
              <w:rPr>
                <w:rFonts w:eastAsia="Times New Roman" w:cs="Arial"/>
                <w:bCs/>
                <w:sz w:val="20"/>
                <w:szCs w:val="20"/>
                <w:lang w:val="pt-BR"/>
              </w:rPr>
            </w:pPr>
            <w:r w:rsidRPr="009E7402">
              <w:rPr>
                <w:rFonts w:eastAsia="Times New Roman" w:cs="Arial"/>
                <w:bCs/>
                <w:sz w:val="20"/>
                <w:szCs w:val="20"/>
                <w:lang w:val="pt-BR"/>
              </w:rPr>
              <w:t>Obrigações</w:t>
            </w:r>
            <w:r w:rsidRPr="009E7402">
              <w:rPr>
                <w:rFonts w:eastAsia="Times New Roman" w:cs="Arial"/>
                <w:bCs/>
                <w:sz w:val="20"/>
                <w:szCs w:val="20"/>
                <w:lang w:val="pt-BR"/>
              </w:rPr>
              <w:t> </w:t>
            </w:r>
            <w:r w:rsidRPr="009E7402">
              <w:rPr>
                <w:rFonts w:eastAsia="Times New Roman" w:cs="Arial"/>
                <w:bCs/>
                <w:sz w:val="20"/>
                <w:szCs w:val="20"/>
                <w:lang w:val="pt-BR"/>
              </w:rPr>
              <w:t>por</w:t>
            </w:r>
            <w:r w:rsidRPr="009E7402">
              <w:rPr>
                <w:rFonts w:eastAsia="Times New Roman" w:cs="Arial"/>
                <w:bCs/>
                <w:sz w:val="20"/>
                <w:szCs w:val="20"/>
                <w:lang w:val="pt-BR"/>
              </w:rPr>
              <w:t> </w:t>
            </w:r>
            <w:r w:rsidRPr="009E7402">
              <w:rPr>
                <w:rFonts w:eastAsia="Times New Roman" w:cs="Arial"/>
                <w:bCs/>
                <w:sz w:val="20"/>
                <w:szCs w:val="20"/>
                <w:lang w:val="pt-BR"/>
              </w:rPr>
              <w:t>repasses</w:t>
            </w:r>
            <w:r w:rsidRPr="009E7402">
              <w:rPr>
                <w:rFonts w:eastAsia="Times New Roman" w:cs="Arial"/>
                <w:bCs/>
                <w:sz w:val="20"/>
                <w:szCs w:val="20"/>
                <w:lang w:val="pt-BR"/>
              </w:rPr>
              <w:t> </w:t>
            </w:r>
            <w:r w:rsidRPr="009E7402">
              <w:rPr>
                <w:rFonts w:eastAsia="Times New Roman" w:cs="Arial"/>
                <w:bCs/>
                <w:sz w:val="20"/>
                <w:szCs w:val="20"/>
                <w:lang w:val="pt-BR"/>
              </w:rPr>
              <w:t>do</w:t>
            </w:r>
            <w:r w:rsidRPr="009E7402">
              <w:rPr>
                <w:rFonts w:eastAsia="Times New Roman" w:cs="Arial"/>
                <w:bCs/>
                <w:sz w:val="20"/>
                <w:szCs w:val="20"/>
                <w:lang w:val="pt-BR"/>
              </w:rPr>
              <w:t> </w:t>
            </w:r>
            <w:r w:rsidRPr="009E7402">
              <w:rPr>
                <w:rFonts w:eastAsia="Times New Roman" w:cs="Arial"/>
                <w:bCs/>
                <w:sz w:val="20"/>
                <w:szCs w:val="20"/>
                <w:lang w:val="pt-BR"/>
              </w:rPr>
              <w:t>país: Instituições</w:t>
            </w:r>
            <w:r w:rsidRPr="009E7402">
              <w:rPr>
                <w:rFonts w:eastAsia="Times New Roman" w:cs="Arial"/>
                <w:bCs/>
                <w:sz w:val="20"/>
                <w:szCs w:val="20"/>
                <w:lang w:val="pt-BR"/>
              </w:rPr>
              <w:t> </w:t>
            </w:r>
            <w:r w:rsidRPr="009E7402">
              <w:rPr>
                <w:rFonts w:eastAsia="Times New Roman" w:cs="Arial"/>
                <w:bCs/>
                <w:sz w:val="20"/>
                <w:szCs w:val="20"/>
                <w:lang w:val="pt-BR"/>
              </w:rPr>
              <w:t>oficiais (BNDES, FINAME e CEF)</w:t>
            </w:r>
          </w:p>
        </w:tc>
        <w:tc>
          <w:tcPr>
            <w:tcW w:w="992" w:type="dxa"/>
            <w:vAlign w:val="center"/>
            <w:hideMark/>
          </w:tcPr>
          <w:p w14:paraId="5582653F" w14:textId="2A35804F" w:rsidR="008F1E44" w:rsidRPr="009E7402" w:rsidRDefault="008F1E44" w:rsidP="009E7402">
            <w:pPr>
              <w:jc w:val="right"/>
              <w:rPr>
                <w:rFonts w:eastAsia="Times New Roman" w:cs="Arial"/>
                <w:bCs/>
                <w:sz w:val="20"/>
                <w:szCs w:val="20"/>
                <w:lang w:val="pt-BR"/>
              </w:rPr>
            </w:pPr>
            <w:r w:rsidRPr="009E7402">
              <w:rPr>
                <w:rFonts w:eastAsia="Times New Roman" w:cs="Arial"/>
                <w:bCs/>
                <w:sz w:val="20"/>
                <w:szCs w:val="20"/>
                <w:lang w:val="pt-BR"/>
              </w:rPr>
              <w:t>2</w:t>
            </w:r>
            <w:r w:rsidR="009E7402">
              <w:rPr>
                <w:rFonts w:eastAsia="Times New Roman" w:cs="Arial"/>
                <w:bCs/>
                <w:sz w:val="20"/>
                <w:szCs w:val="20"/>
                <w:lang w:val="pt-BR"/>
              </w:rPr>
              <w:t>,</w:t>
            </w:r>
            <w:r w:rsidRPr="009E7402">
              <w:rPr>
                <w:rFonts w:eastAsia="Times New Roman" w:cs="Arial"/>
                <w:bCs/>
                <w:sz w:val="20"/>
                <w:szCs w:val="20"/>
                <w:lang w:val="pt-BR"/>
              </w:rPr>
              <w:t>5</w:t>
            </w:r>
          </w:p>
        </w:tc>
        <w:tc>
          <w:tcPr>
            <w:tcW w:w="993" w:type="dxa"/>
            <w:vAlign w:val="center"/>
            <w:hideMark/>
          </w:tcPr>
          <w:p w14:paraId="0673126F" w14:textId="6188273F" w:rsidR="008F1E44" w:rsidRPr="009E7402" w:rsidRDefault="008F1E44" w:rsidP="00175897">
            <w:pPr>
              <w:jc w:val="right"/>
              <w:rPr>
                <w:rFonts w:eastAsia="Times New Roman" w:cs="Arial"/>
                <w:bCs/>
                <w:sz w:val="20"/>
                <w:szCs w:val="20"/>
                <w:lang w:val="pt-BR"/>
              </w:rPr>
            </w:pPr>
            <w:r w:rsidRPr="009E7402">
              <w:rPr>
                <w:rFonts w:eastAsia="Times New Roman" w:cs="Arial"/>
                <w:bCs/>
                <w:sz w:val="20"/>
                <w:szCs w:val="20"/>
                <w:lang w:val="pt-BR"/>
              </w:rPr>
              <w:t>48</w:t>
            </w:r>
            <w:r w:rsidR="009E7402">
              <w:rPr>
                <w:rFonts w:eastAsia="Times New Roman" w:cs="Arial"/>
                <w:bCs/>
                <w:sz w:val="20"/>
                <w:szCs w:val="20"/>
                <w:lang w:val="pt-BR"/>
              </w:rPr>
              <w:t>,</w:t>
            </w:r>
            <w:r w:rsidRPr="009E7402">
              <w:rPr>
                <w:rFonts w:eastAsia="Times New Roman" w:cs="Arial"/>
                <w:bCs/>
                <w:sz w:val="20"/>
                <w:szCs w:val="20"/>
                <w:lang w:val="pt-BR"/>
              </w:rPr>
              <w:t>5</w:t>
            </w:r>
          </w:p>
        </w:tc>
        <w:tc>
          <w:tcPr>
            <w:tcW w:w="1275" w:type="dxa"/>
            <w:vAlign w:val="center"/>
            <w:hideMark/>
          </w:tcPr>
          <w:p w14:paraId="0796D90F" w14:textId="3FBBA5A5" w:rsidR="008F1E44" w:rsidRPr="009E7402" w:rsidRDefault="008F1E44" w:rsidP="00175897">
            <w:pPr>
              <w:jc w:val="right"/>
              <w:rPr>
                <w:rFonts w:eastAsia="Times New Roman" w:cs="Arial"/>
                <w:sz w:val="20"/>
                <w:szCs w:val="20"/>
                <w:lang w:val="pt-BR"/>
              </w:rPr>
            </w:pPr>
            <w:r w:rsidRPr="009E7402">
              <w:rPr>
                <w:rFonts w:ascii="Calibri" w:hAnsi="Calibri" w:cs="Calibri"/>
                <w:color w:val="000000"/>
                <w:sz w:val="20"/>
                <w:szCs w:val="20"/>
                <w:lang w:val="pt-BR"/>
              </w:rPr>
              <w:t>46,0</w:t>
            </w:r>
          </w:p>
        </w:tc>
        <w:tc>
          <w:tcPr>
            <w:tcW w:w="1134" w:type="dxa"/>
            <w:vAlign w:val="center"/>
            <w:hideMark/>
          </w:tcPr>
          <w:p w14:paraId="4111D8C9" w14:textId="00866405" w:rsidR="008F1E44" w:rsidRPr="009E7402" w:rsidRDefault="008F1E44" w:rsidP="00175897">
            <w:pPr>
              <w:jc w:val="right"/>
              <w:rPr>
                <w:rFonts w:eastAsia="Times New Roman" w:cs="Arial"/>
                <w:color w:val="000000"/>
                <w:sz w:val="20"/>
                <w:szCs w:val="20"/>
                <w:lang w:val="pt-BR"/>
              </w:rPr>
            </w:pPr>
            <w:r w:rsidRPr="009E7402">
              <w:rPr>
                <w:rFonts w:eastAsia="Times New Roman" w:cs="Arial"/>
                <w:color w:val="000000"/>
                <w:sz w:val="20"/>
                <w:szCs w:val="20"/>
                <w:lang w:val="pt-BR"/>
              </w:rPr>
              <w:t>1</w:t>
            </w:r>
            <w:r w:rsidR="002D4F04">
              <w:rPr>
                <w:rFonts w:eastAsia="Times New Roman" w:cs="Arial"/>
                <w:color w:val="000000"/>
                <w:sz w:val="20"/>
                <w:szCs w:val="20"/>
                <w:lang w:val="pt-BR"/>
              </w:rPr>
              <w:t>.</w:t>
            </w:r>
            <w:r w:rsidRPr="009E7402">
              <w:rPr>
                <w:rFonts w:eastAsia="Times New Roman" w:cs="Arial"/>
                <w:color w:val="000000"/>
                <w:sz w:val="20"/>
                <w:szCs w:val="20"/>
                <w:lang w:val="pt-BR"/>
              </w:rPr>
              <w:t>873</w:t>
            </w:r>
            <w:r w:rsidR="009E7402">
              <w:rPr>
                <w:rFonts w:eastAsia="Times New Roman" w:cs="Arial"/>
                <w:color w:val="000000"/>
                <w:sz w:val="20"/>
                <w:szCs w:val="20"/>
                <w:lang w:val="pt-BR"/>
              </w:rPr>
              <w:t>,</w:t>
            </w:r>
            <w:r w:rsidRPr="009E7402">
              <w:rPr>
                <w:rFonts w:eastAsia="Times New Roman" w:cs="Arial"/>
                <w:color w:val="000000"/>
                <w:sz w:val="20"/>
                <w:szCs w:val="20"/>
                <w:lang w:val="pt-BR"/>
              </w:rPr>
              <w:t>9%</w:t>
            </w:r>
          </w:p>
        </w:tc>
      </w:tr>
      <w:tr w:rsidR="008F1E44" w:rsidRPr="009E7402" w14:paraId="115EB28C" w14:textId="77777777" w:rsidTr="00175897">
        <w:trPr>
          <w:trHeight w:val="264"/>
        </w:trPr>
        <w:tc>
          <w:tcPr>
            <w:tcW w:w="4673" w:type="dxa"/>
            <w:hideMark/>
          </w:tcPr>
          <w:p w14:paraId="441A905B" w14:textId="77777777" w:rsidR="008F1E44" w:rsidRPr="009E7402" w:rsidRDefault="008F1E44" w:rsidP="008F1E44">
            <w:pPr>
              <w:ind w:left="316"/>
              <w:rPr>
                <w:rFonts w:eastAsia="Times New Roman" w:cs="Arial"/>
                <w:bCs/>
                <w:sz w:val="20"/>
                <w:szCs w:val="20"/>
                <w:lang w:val="pt-BR"/>
              </w:rPr>
            </w:pPr>
            <w:r w:rsidRPr="009E7402">
              <w:rPr>
                <w:rFonts w:eastAsia="Times New Roman" w:cs="Arial"/>
                <w:bCs/>
                <w:sz w:val="20"/>
                <w:szCs w:val="20"/>
                <w:lang w:val="pt-BR"/>
              </w:rPr>
              <w:t>Outras obrigações</w:t>
            </w:r>
          </w:p>
        </w:tc>
        <w:tc>
          <w:tcPr>
            <w:tcW w:w="992" w:type="dxa"/>
            <w:vAlign w:val="center"/>
            <w:hideMark/>
          </w:tcPr>
          <w:p w14:paraId="4A20C8DA" w14:textId="747340C8" w:rsidR="008F1E44" w:rsidRPr="009E7402" w:rsidRDefault="008F1E44" w:rsidP="009E7402">
            <w:pPr>
              <w:jc w:val="right"/>
              <w:rPr>
                <w:rFonts w:eastAsia="Times New Roman" w:cs="Arial"/>
                <w:bCs/>
                <w:sz w:val="20"/>
                <w:szCs w:val="20"/>
                <w:lang w:val="pt-BR"/>
              </w:rPr>
            </w:pPr>
            <w:r w:rsidRPr="009E7402">
              <w:rPr>
                <w:rFonts w:eastAsia="Times New Roman" w:cs="Arial"/>
                <w:bCs/>
                <w:sz w:val="20"/>
                <w:szCs w:val="20"/>
                <w:lang w:val="pt-BR"/>
              </w:rPr>
              <w:t>8</w:t>
            </w:r>
            <w:r w:rsidR="009E7402">
              <w:rPr>
                <w:rFonts w:eastAsia="Times New Roman" w:cs="Arial"/>
                <w:bCs/>
                <w:sz w:val="20"/>
                <w:szCs w:val="20"/>
                <w:lang w:val="pt-BR"/>
              </w:rPr>
              <w:t>,</w:t>
            </w:r>
            <w:r w:rsidRPr="009E7402">
              <w:rPr>
                <w:rFonts w:eastAsia="Times New Roman" w:cs="Arial"/>
                <w:bCs/>
                <w:sz w:val="20"/>
                <w:szCs w:val="20"/>
                <w:lang w:val="pt-BR"/>
              </w:rPr>
              <w:t>2</w:t>
            </w:r>
          </w:p>
        </w:tc>
        <w:tc>
          <w:tcPr>
            <w:tcW w:w="993" w:type="dxa"/>
            <w:vAlign w:val="center"/>
            <w:hideMark/>
          </w:tcPr>
          <w:p w14:paraId="66C62C35" w14:textId="04892528" w:rsidR="008F1E44" w:rsidRPr="009E7402" w:rsidRDefault="008F1E44" w:rsidP="00175897">
            <w:pPr>
              <w:jc w:val="right"/>
              <w:rPr>
                <w:rFonts w:eastAsia="Times New Roman" w:cs="Arial"/>
                <w:bCs/>
                <w:sz w:val="20"/>
                <w:szCs w:val="20"/>
                <w:lang w:val="pt-BR"/>
              </w:rPr>
            </w:pPr>
            <w:r w:rsidRPr="009E7402">
              <w:rPr>
                <w:rFonts w:eastAsia="Times New Roman" w:cs="Arial"/>
                <w:bCs/>
                <w:sz w:val="20"/>
                <w:szCs w:val="20"/>
                <w:lang w:val="pt-BR"/>
              </w:rPr>
              <w:t>87</w:t>
            </w:r>
            <w:r w:rsidR="009E7402">
              <w:rPr>
                <w:rFonts w:eastAsia="Times New Roman" w:cs="Arial"/>
                <w:bCs/>
                <w:sz w:val="20"/>
                <w:szCs w:val="20"/>
                <w:lang w:val="pt-BR"/>
              </w:rPr>
              <w:t>,</w:t>
            </w:r>
            <w:r w:rsidRPr="009E7402">
              <w:rPr>
                <w:rFonts w:eastAsia="Times New Roman" w:cs="Arial"/>
                <w:bCs/>
                <w:sz w:val="20"/>
                <w:szCs w:val="20"/>
                <w:lang w:val="pt-BR"/>
              </w:rPr>
              <w:t>9</w:t>
            </w:r>
          </w:p>
        </w:tc>
        <w:tc>
          <w:tcPr>
            <w:tcW w:w="1275" w:type="dxa"/>
            <w:vAlign w:val="center"/>
            <w:hideMark/>
          </w:tcPr>
          <w:p w14:paraId="5B9AE55D" w14:textId="3ADF35C6" w:rsidR="008F1E44" w:rsidRPr="009E7402" w:rsidRDefault="008F1E44" w:rsidP="00175897">
            <w:pPr>
              <w:jc w:val="right"/>
              <w:rPr>
                <w:rFonts w:eastAsia="Times New Roman" w:cs="Arial"/>
                <w:sz w:val="20"/>
                <w:szCs w:val="20"/>
                <w:lang w:val="pt-BR"/>
              </w:rPr>
            </w:pPr>
            <w:r w:rsidRPr="009E7402">
              <w:rPr>
                <w:rFonts w:ascii="Calibri" w:hAnsi="Calibri" w:cs="Calibri"/>
                <w:color w:val="000000"/>
                <w:sz w:val="20"/>
                <w:szCs w:val="20"/>
                <w:lang w:val="pt-BR"/>
              </w:rPr>
              <w:t>80,0</w:t>
            </w:r>
          </w:p>
        </w:tc>
        <w:tc>
          <w:tcPr>
            <w:tcW w:w="1134" w:type="dxa"/>
            <w:vAlign w:val="center"/>
            <w:hideMark/>
          </w:tcPr>
          <w:p w14:paraId="605E0124" w14:textId="1C63239C" w:rsidR="008F1E44" w:rsidRPr="009E7402" w:rsidRDefault="008F1E44" w:rsidP="00175897">
            <w:pPr>
              <w:jc w:val="right"/>
              <w:rPr>
                <w:rFonts w:eastAsia="Times New Roman" w:cs="Arial"/>
                <w:color w:val="000000"/>
                <w:sz w:val="20"/>
                <w:szCs w:val="20"/>
                <w:lang w:val="pt-BR"/>
              </w:rPr>
            </w:pPr>
            <w:r w:rsidRPr="009E7402">
              <w:rPr>
                <w:rFonts w:eastAsia="Times New Roman" w:cs="Arial"/>
                <w:color w:val="000000"/>
                <w:sz w:val="20"/>
                <w:szCs w:val="20"/>
                <w:lang w:val="pt-BR"/>
              </w:rPr>
              <w:t>972</w:t>
            </w:r>
            <w:r w:rsidR="009E7402">
              <w:rPr>
                <w:rFonts w:eastAsia="Times New Roman" w:cs="Arial"/>
                <w:color w:val="000000"/>
                <w:sz w:val="20"/>
                <w:szCs w:val="20"/>
                <w:lang w:val="pt-BR"/>
              </w:rPr>
              <w:t>,</w:t>
            </w:r>
            <w:r w:rsidRPr="009E7402">
              <w:rPr>
                <w:rFonts w:eastAsia="Times New Roman" w:cs="Arial"/>
                <w:color w:val="000000"/>
                <w:sz w:val="20"/>
                <w:szCs w:val="20"/>
                <w:lang w:val="pt-BR"/>
              </w:rPr>
              <w:t>1%</w:t>
            </w:r>
          </w:p>
        </w:tc>
      </w:tr>
      <w:tr w:rsidR="008F1E44" w:rsidRPr="009E7402" w14:paraId="379D3C8C" w14:textId="77777777" w:rsidTr="00175897">
        <w:trPr>
          <w:trHeight w:val="264"/>
        </w:trPr>
        <w:tc>
          <w:tcPr>
            <w:tcW w:w="4673" w:type="dxa"/>
            <w:hideMark/>
          </w:tcPr>
          <w:p w14:paraId="78F470FC" w14:textId="77777777" w:rsidR="008F1E44" w:rsidRPr="009E7402" w:rsidRDefault="008F1E44" w:rsidP="008F1E44">
            <w:pPr>
              <w:rPr>
                <w:rFonts w:eastAsia="Times New Roman" w:cs="Arial"/>
                <w:bCs/>
                <w:sz w:val="20"/>
                <w:szCs w:val="20"/>
                <w:lang w:val="pt-BR"/>
              </w:rPr>
            </w:pPr>
            <w:r w:rsidRPr="009E7402">
              <w:rPr>
                <w:rFonts w:eastAsia="Times New Roman" w:cs="Arial"/>
                <w:bCs/>
                <w:sz w:val="20"/>
                <w:szCs w:val="20"/>
                <w:lang w:val="pt-BR"/>
              </w:rPr>
              <w:t xml:space="preserve">Exigível a longo prazo   </w:t>
            </w:r>
          </w:p>
        </w:tc>
        <w:tc>
          <w:tcPr>
            <w:tcW w:w="992" w:type="dxa"/>
            <w:vAlign w:val="center"/>
            <w:hideMark/>
          </w:tcPr>
          <w:p w14:paraId="549F625D" w14:textId="2259D45E" w:rsidR="008F1E44" w:rsidRPr="009E7402" w:rsidRDefault="008F1E44" w:rsidP="009E7402">
            <w:pPr>
              <w:jc w:val="right"/>
              <w:rPr>
                <w:rFonts w:eastAsia="Times New Roman" w:cs="Arial"/>
                <w:bCs/>
                <w:sz w:val="20"/>
                <w:szCs w:val="20"/>
                <w:lang w:val="pt-BR"/>
              </w:rPr>
            </w:pPr>
            <w:r w:rsidRPr="009E7402">
              <w:rPr>
                <w:rFonts w:eastAsia="Times New Roman" w:cs="Arial"/>
                <w:bCs/>
                <w:sz w:val="20"/>
                <w:szCs w:val="20"/>
                <w:lang w:val="pt-BR"/>
              </w:rPr>
              <w:t>52</w:t>
            </w:r>
            <w:r w:rsidR="009E7402">
              <w:rPr>
                <w:rFonts w:eastAsia="Times New Roman" w:cs="Arial"/>
                <w:bCs/>
                <w:sz w:val="20"/>
                <w:szCs w:val="20"/>
                <w:lang w:val="pt-BR"/>
              </w:rPr>
              <w:t>,</w:t>
            </w:r>
            <w:r w:rsidRPr="009E7402">
              <w:rPr>
                <w:rFonts w:eastAsia="Times New Roman" w:cs="Arial"/>
                <w:bCs/>
                <w:sz w:val="20"/>
                <w:szCs w:val="20"/>
                <w:lang w:val="pt-BR"/>
              </w:rPr>
              <w:t>3</w:t>
            </w:r>
          </w:p>
        </w:tc>
        <w:tc>
          <w:tcPr>
            <w:tcW w:w="993" w:type="dxa"/>
            <w:vAlign w:val="center"/>
            <w:hideMark/>
          </w:tcPr>
          <w:p w14:paraId="018D7C81" w14:textId="6B34D291" w:rsidR="008F1E44" w:rsidRPr="009E7402" w:rsidRDefault="008F1E44" w:rsidP="00175897">
            <w:pPr>
              <w:jc w:val="right"/>
              <w:rPr>
                <w:rFonts w:eastAsia="Times New Roman" w:cs="Arial"/>
                <w:bCs/>
                <w:sz w:val="20"/>
                <w:szCs w:val="20"/>
                <w:lang w:val="pt-BR"/>
              </w:rPr>
            </w:pPr>
            <w:r w:rsidRPr="009E7402">
              <w:rPr>
                <w:rFonts w:eastAsia="Times New Roman" w:cs="Arial"/>
                <w:bCs/>
                <w:sz w:val="20"/>
                <w:szCs w:val="20"/>
                <w:lang w:val="pt-BR"/>
              </w:rPr>
              <w:t>187</w:t>
            </w:r>
            <w:r w:rsidR="009E7402">
              <w:rPr>
                <w:rFonts w:eastAsia="Times New Roman" w:cs="Arial"/>
                <w:bCs/>
                <w:sz w:val="20"/>
                <w:szCs w:val="20"/>
                <w:lang w:val="pt-BR"/>
              </w:rPr>
              <w:t>,</w:t>
            </w:r>
            <w:r w:rsidRPr="009E7402">
              <w:rPr>
                <w:rFonts w:eastAsia="Times New Roman" w:cs="Arial"/>
                <w:bCs/>
                <w:sz w:val="20"/>
                <w:szCs w:val="20"/>
                <w:lang w:val="pt-BR"/>
              </w:rPr>
              <w:t>7</w:t>
            </w:r>
          </w:p>
        </w:tc>
        <w:tc>
          <w:tcPr>
            <w:tcW w:w="1275" w:type="dxa"/>
            <w:vAlign w:val="center"/>
            <w:hideMark/>
          </w:tcPr>
          <w:p w14:paraId="2BEE17DD" w14:textId="54F08570" w:rsidR="008F1E44" w:rsidRPr="009E7402" w:rsidRDefault="008F1E44" w:rsidP="00175897">
            <w:pPr>
              <w:jc w:val="right"/>
              <w:rPr>
                <w:rFonts w:eastAsia="Times New Roman" w:cs="Arial"/>
                <w:sz w:val="20"/>
                <w:szCs w:val="20"/>
                <w:lang w:val="pt-BR"/>
              </w:rPr>
            </w:pPr>
            <w:r w:rsidRPr="009E7402">
              <w:rPr>
                <w:rFonts w:ascii="Calibri" w:hAnsi="Calibri" w:cs="Calibri"/>
                <w:color w:val="000000"/>
                <w:sz w:val="20"/>
                <w:szCs w:val="20"/>
                <w:lang w:val="pt-BR"/>
              </w:rPr>
              <w:t>135,0</w:t>
            </w:r>
          </w:p>
        </w:tc>
        <w:tc>
          <w:tcPr>
            <w:tcW w:w="1134" w:type="dxa"/>
            <w:vAlign w:val="center"/>
            <w:hideMark/>
          </w:tcPr>
          <w:p w14:paraId="68163933" w14:textId="647EFC42" w:rsidR="008F1E44" w:rsidRPr="009E7402" w:rsidRDefault="008F1E44" w:rsidP="00175897">
            <w:pPr>
              <w:jc w:val="right"/>
              <w:rPr>
                <w:rFonts w:eastAsia="Times New Roman" w:cs="Arial"/>
                <w:color w:val="000000"/>
                <w:sz w:val="20"/>
                <w:szCs w:val="20"/>
                <w:lang w:val="pt-BR"/>
              </w:rPr>
            </w:pPr>
            <w:r w:rsidRPr="009E7402">
              <w:rPr>
                <w:rFonts w:eastAsia="Times New Roman" w:cs="Arial"/>
                <w:color w:val="000000"/>
                <w:sz w:val="20"/>
                <w:szCs w:val="20"/>
                <w:lang w:val="pt-BR"/>
              </w:rPr>
              <w:t>259</w:t>
            </w:r>
            <w:r w:rsidR="009E7402">
              <w:rPr>
                <w:rFonts w:eastAsia="Times New Roman" w:cs="Arial"/>
                <w:color w:val="000000"/>
                <w:sz w:val="20"/>
                <w:szCs w:val="20"/>
                <w:lang w:val="pt-BR"/>
              </w:rPr>
              <w:t>,</w:t>
            </w:r>
            <w:r w:rsidRPr="009E7402">
              <w:rPr>
                <w:rFonts w:eastAsia="Times New Roman" w:cs="Arial"/>
                <w:color w:val="000000"/>
                <w:sz w:val="20"/>
                <w:szCs w:val="20"/>
                <w:lang w:val="pt-BR"/>
              </w:rPr>
              <w:t>0%</w:t>
            </w:r>
          </w:p>
        </w:tc>
      </w:tr>
      <w:tr w:rsidR="008F1E44" w:rsidRPr="009E7402" w14:paraId="2CFA3DE5" w14:textId="77777777" w:rsidTr="00175897">
        <w:trPr>
          <w:trHeight w:val="528"/>
        </w:trPr>
        <w:tc>
          <w:tcPr>
            <w:tcW w:w="4673" w:type="dxa"/>
            <w:hideMark/>
          </w:tcPr>
          <w:p w14:paraId="26288EF1" w14:textId="77777777" w:rsidR="008F1E44" w:rsidRPr="009E7402" w:rsidRDefault="008F1E44" w:rsidP="008F1E44">
            <w:pPr>
              <w:ind w:left="316"/>
              <w:rPr>
                <w:rFonts w:eastAsia="Times New Roman" w:cs="Arial"/>
                <w:bCs/>
                <w:sz w:val="20"/>
                <w:szCs w:val="20"/>
                <w:lang w:val="pt-BR"/>
              </w:rPr>
            </w:pPr>
            <w:r w:rsidRPr="009E7402">
              <w:rPr>
                <w:rFonts w:eastAsia="Times New Roman" w:cs="Arial"/>
                <w:bCs/>
                <w:sz w:val="20"/>
                <w:szCs w:val="20"/>
                <w:lang w:val="pt-BR"/>
              </w:rPr>
              <w:t>Obrigações</w:t>
            </w:r>
            <w:r w:rsidRPr="009E7402">
              <w:rPr>
                <w:rFonts w:eastAsia="Times New Roman" w:cs="Arial"/>
                <w:bCs/>
                <w:sz w:val="20"/>
                <w:szCs w:val="20"/>
                <w:lang w:val="pt-BR"/>
              </w:rPr>
              <w:t> </w:t>
            </w:r>
            <w:r w:rsidRPr="009E7402">
              <w:rPr>
                <w:rFonts w:eastAsia="Times New Roman" w:cs="Arial"/>
                <w:bCs/>
                <w:sz w:val="20"/>
                <w:szCs w:val="20"/>
                <w:lang w:val="pt-BR"/>
              </w:rPr>
              <w:t>por</w:t>
            </w:r>
            <w:r w:rsidRPr="009E7402">
              <w:rPr>
                <w:rFonts w:eastAsia="Times New Roman" w:cs="Arial"/>
                <w:bCs/>
                <w:sz w:val="20"/>
                <w:szCs w:val="20"/>
                <w:lang w:val="pt-BR"/>
              </w:rPr>
              <w:t> </w:t>
            </w:r>
            <w:r w:rsidRPr="009E7402">
              <w:rPr>
                <w:rFonts w:eastAsia="Times New Roman" w:cs="Arial"/>
                <w:bCs/>
                <w:sz w:val="20"/>
                <w:szCs w:val="20"/>
                <w:lang w:val="pt-BR"/>
              </w:rPr>
              <w:t>repasses</w:t>
            </w:r>
            <w:r w:rsidRPr="009E7402">
              <w:rPr>
                <w:rFonts w:eastAsia="Times New Roman" w:cs="Arial"/>
                <w:bCs/>
                <w:sz w:val="20"/>
                <w:szCs w:val="20"/>
                <w:lang w:val="pt-BR"/>
              </w:rPr>
              <w:t> </w:t>
            </w:r>
            <w:r w:rsidRPr="009E7402">
              <w:rPr>
                <w:rFonts w:eastAsia="Times New Roman" w:cs="Arial"/>
                <w:bCs/>
                <w:sz w:val="20"/>
                <w:szCs w:val="20"/>
                <w:lang w:val="pt-BR"/>
              </w:rPr>
              <w:t>do</w:t>
            </w:r>
            <w:r w:rsidRPr="009E7402">
              <w:rPr>
                <w:rFonts w:eastAsia="Times New Roman" w:cs="Arial"/>
                <w:bCs/>
                <w:sz w:val="20"/>
                <w:szCs w:val="20"/>
                <w:lang w:val="pt-BR"/>
              </w:rPr>
              <w:t> </w:t>
            </w:r>
            <w:r w:rsidRPr="009E7402">
              <w:rPr>
                <w:rFonts w:eastAsia="Times New Roman" w:cs="Arial"/>
                <w:bCs/>
                <w:sz w:val="20"/>
                <w:szCs w:val="20"/>
                <w:lang w:val="pt-BR"/>
              </w:rPr>
              <w:t>país: Instituições</w:t>
            </w:r>
            <w:r w:rsidRPr="009E7402">
              <w:rPr>
                <w:rFonts w:eastAsia="Times New Roman" w:cs="Arial"/>
                <w:bCs/>
                <w:sz w:val="20"/>
                <w:szCs w:val="20"/>
                <w:lang w:val="pt-BR"/>
              </w:rPr>
              <w:t> </w:t>
            </w:r>
            <w:r w:rsidRPr="009E7402">
              <w:rPr>
                <w:rFonts w:eastAsia="Times New Roman" w:cs="Arial"/>
                <w:bCs/>
                <w:sz w:val="20"/>
                <w:szCs w:val="20"/>
                <w:lang w:val="pt-BR"/>
              </w:rPr>
              <w:t>oficiais (BNDES, FINAME e CEF)</w:t>
            </w:r>
          </w:p>
        </w:tc>
        <w:tc>
          <w:tcPr>
            <w:tcW w:w="992" w:type="dxa"/>
            <w:vAlign w:val="center"/>
            <w:hideMark/>
          </w:tcPr>
          <w:p w14:paraId="7D008359" w14:textId="76A06C48" w:rsidR="008F1E44" w:rsidRPr="009E7402" w:rsidRDefault="008F1E44" w:rsidP="009E7402">
            <w:pPr>
              <w:jc w:val="right"/>
              <w:rPr>
                <w:rFonts w:eastAsia="Times New Roman" w:cs="Arial"/>
                <w:bCs/>
                <w:sz w:val="20"/>
                <w:szCs w:val="20"/>
                <w:lang w:val="pt-BR"/>
              </w:rPr>
            </w:pPr>
            <w:r w:rsidRPr="009E7402">
              <w:rPr>
                <w:rFonts w:eastAsia="Times New Roman" w:cs="Arial"/>
                <w:bCs/>
                <w:sz w:val="20"/>
                <w:szCs w:val="20"/>
                <w:lang w:val="pt-BR"/>
              </w:rPr>
              <w:t>31</w:t>
            </w:r>
            <w:r w:rsidR="009E7402">
              <w:rPr>
                <w:rFonts w:eastAsia="Times New Roman" w:cs="Arial"/>
                <w:bCs/>
                <w:sz w:val="20"/>
                <w:szCs w:val="20"/>
                <w:lang w:val="pt-BR"/>
              </w:rPr>
              <w:t>,</w:t>
            </w:r>
            <w:r w:rsidRPr="009E7402">
              <w:rPr>
                <w:rFonts w:eastAsia="Times New Roman" w:cs="Arial"/>
                <w:bCs/>
                <w:sz w:val="20"/>
                <w:szCs w:val="20"/>
                <w:lang w:val="pt-BR"/>
              </w:rPr>
              <w:t>6</w:t>
            </w:r>
          </w:p>
        </w:tc>
        <w:tc>
          <w:tcPr>
            <w:tcW w:w="993" w:type="dxa"/>
            <w:vAlign w:val="center"/>
            <w:hideMark/>
          </w:tcPr>
          <w:p w14:paraId="17BBD855" w14:textId="0366ED1D" w:rsidR="008F1E44" w:rsidRPr="009E7402" w:rsidRDefault="008F1E44" w:rsidP="00175897">
            <w:pPr>
              <w:jc w:val="right"/>
              <w:rPr>
                <w:rFonts w:eastAsia="Times New Roman" w:cs="Arial"/>
                <w:bCs/>
                <w:sz w:val="20"/>
                <w:szCs w:val="20"/>
                <w:lang w:val="pt-BR"/>
              </w:rPr>
            </w:pPr>
            <w:r w:rsidRPr="009E7402">
              <w:rPr>
                <w:rFonts w:eastAsia="Times New Roman" w:cs="Arial"/>
                <w:bCs/>
                <w:sz w:val="20"/>
                <w:szCs w:val="20"/>
                <w:lang w:val="pt-BR"/>
              </w:rPr>
              <w:t>163</w:t>
            </w:r>
            <w:r w:rsidR="009E7402">
              <w:rPr>
                <w:rFonts w:eastAsia="Times New Roman" w:cs="Arial"/>
                <w:bCs/>
                <w:sz w:val="20"/>
                <w:szCs w:val="20"/>
                <w:lang w:val="pt-BR"/>
              </w:rPr>
              <w:t>,</w:t>
            </w:r>
            <w:r w:rsidRPr="009E7402">
              <w:rPr>
                <w:rFonts w:eastAsia="Times New Roman" w:cs="Arial"/>
                <w:bCs/>
                <w:sz w:val="20"/>
                <w:szCs w:val="20"/>
                <w:lang w:val="pt-BR"/>
              </w:rPr>
              <w:t>3</w:t>
            </w:r>
          </w:p>
        </w:tc>
        <w:tc>
          <w:tcPr>
            <w:tcW w:w="1275" w:type="dxa"/>
            <w:vAlign w:val="center"/>
            <w:hideMark/>
          </w:tcPr>
          <w:p w14:paraId="1C66F70B" w14:textId="5D3602F5" w:rsidR="008F1E44" w:rsidRPr="009E7402" w:rsidRDefault="008F1E44" w:rsidP="00175897">
            <w:pPr>
              <w:jc w:val="right"/>
              <w:rPr>
                <w:rFonts w:eastAsia="Times New Roman" w:cs="Arial"/>
                <w:sz w:val="20"/>
                <w:szCs w:val="20"/>
                <w:lang w:val="pt-BR"/>
              </w:rPr>
            </w:pPr>
            <w:r w:rsidRPr="009E7402">
              <w:rPr>
                <w:rFonts w:ascii="Calibri" w:hAnsi="Calibri" w:cs="Calibri"/>
                <w:color w:val="000000"/>
                <w:sz w:val="20"/>
                <w:szCs w:val="20"/>
                <w:lang w:val="pt-BR"/>
              </w:rPr>
              <w:t>132,0</w:t>
            </w:r>
          </w:p>
        </w:tc>
        <w:tc>
          <w:tcPr>
            <w:tcW w:w="1134" w:type="dxa"/>
            <w:vAlign w:val="center"/>
            <w:hideMark/>
          </w:tcPr>
          <w:p w14:paraId="35202362" w14:textId="1EA314D4" w:rsidR="008F1E44" w:rsidRPr="009E7402" w:rsidRDefault="008F1E44" w:rsidP="00175897">
            <w:pPr>
              <w:jc w:val="right"/>
              <w:rPr>
                <w:rFonts w:eastAsia="Times New Roman" w:cs="Arial"/>
                <w:color w:val="000000"/>
                <w:sz w:val="20"/>
                <w:szCs w:val="20"/>
                <w:lang w:val="pt-BR"/>
              </w:rPr>
            </w:pPr>
            <w:r w:rsidRPr="009E7402">
              <w:rPr>
                <w:rFonts w:eastAsia="Times New Roman" w:cs="Arial"/>
                <w:color w:val="000000"/>
                <w:sz w:val="20"/>
                <w:szCs w:val="20"/>
                <w:lang w:val="pt-BR"/>
              </w:rPr>
              <w:t>416</w:t>
            </w:r>
            <w:r w:rsidR="009E7402">
              <w:rPr>
                <w:rFonts w:eastAsia="Times New Roman" w:cs="Arial"/>
                <w:color w:val="000000"/>
                <w:sz w:val="20"/>
                <w:szCs w:val="20"/>
                <w:lang w:val="pt-BR"/>
              </w:rPr>
              <w:t>,</w:t>
            </w:r>
            <w:r w:rsidRPr="009E7402">
              <w:rPr>
                <w:rFonts w:eastAsia="Times New Roman" w:cs="Arial"/>
                <w:color w:val="000000"/>
                <w:sz w:val="20"/>
                <w:szCs w:val="20"/>
                <w:lang w:val="pt-BR"/>
              </w:rPr>
              <w:t>1%</w:t>
            </w:r>
          </w:p>
        </w:tc>
      </w:tr>
      <w:tr w:rsidR="008F1E44" w:rsidRPr="009E7402" w14:paraId="12929E08" w14:textId="77777777" w:rsidTr="00175897">
        <w:trPr>
          <w:trHeight w:val="264"/>
        </w:trPr>
        <w:tc>
          <w:tcPr>
            <w:tcW w:w="4673" w:type="dxa"/>
            <w:hideMark/>
          </w:tcPr>
          <w:p w14:paraId="1725451F" w14:textId="77777777" w:rsidR="008F1E44" w:rsidRPr="009E7402" w:rsidRDefault="008F1E44" w:rsidP="008F1E44">
            <w:pPr>
              <w:ind w:left="457"/>
              <w:rPr>
                <w:rFonts w:eastAsia="Times New Roman" w:cs="Arial"/>
                <w:bCs/>
                <w:color w:val="000000"/>
                <w:sz w:val="20"/>
                <w:szCs w:val="20"/>
                <w:lang w:val="pt-BR"/>
              </w:rPr>
            </w:pPr>
            <w:r w:rsidRPr="009E7402">
              <w:rPr>
                <w:rFonts w:eastAsia="Times New Roman" w:cs="Arial"/>
                <w:bCs/>
                <w:color w:val="000000"/>
                <w:sz w:val="20"/>
                <w:szCs w:val="20"/>
                <w:lang w:val="pt-BR"/>
              </w:rPr>
              <w:t xml:space="preserve">Outras obrigações     </w:t>
            </w:r>
          </w:p>
        </w:tc>
        <w:tc>
          <w:tcPr>
            <w:tcW w:w="992" w:type="dxa"/>
            <w:vAlign w:val="center"/>
            <w:hideMark/>
          </w:tcPr>
          <w:p w14:paraId="0BD98251" w14:textId="7162D1B2" w:rsidR="008F1E44" w:rsidRPr="009E7402" w:rsidRDefault="008F1E44" w:rsidP="009E7402">
            <w:pPr>
              <w:jc w:val="right"/>
              <w:rPr>
                <w:rFonts w:eastAsia="Times New Roman" w:cs="Arial"/>
                <w:bCs/>
                <w:color w:val="000000"/>
                <w:sz w:val="20"/>
                <w:szCs w:val="20"/>
                <w:lang w:val="pt-BR"/>
              </w:rPr>
            </w:pPr>
            <w:r w:rsidRPr="009E7402">
              <w:rPr>
                <w:rFonts w:eastAsia="Times New Roman" w:cs="Arial"/>
                <w:bCs/>
                <w:color w:val="000000"/>
                <w:sz w:val="20"/>
                <w:szCs w:val="20"/>
                <w:lang w:val="pt-BR"/>
              </w:rPr>
              <w:t>20</w:t>
            </w:r>
            <w:r w:rsidR="009E7402">
              <w:rPr>
                <w:rFonts w:eastAsia="Times New Roman" w:cs="Arial"/>
                <w:bCs/>
                <w:color w:val="000000"/>
                <w:sz w:val="20"/>
                <w:szCs w:val="20"/>
                <w:lang w:val="pt-BR"/>
              </w:rPr>
              <w:t>,</w:t>
            </w:r>
            <w:r w:rsidRPr="009E7402">
              <w:rPr>
                <w:rFonts w:eastAsia="Times New Roman" w:cs="Arial"/>
                <w:bCs/>
                <w:color w:val="000000"/>
                <w:sz w:val="20"/>
                <w:szCs w:val="20"/>
                <w:lang w:val="pt-BR"/>
              </w:rPr>
              <w:t>6</w:t>
            </w:r>
          </w:p>
        </w:tc>
        <w:tc>
          <w:tcPr>
            <w:tcW w:w="993" w:type="dxa"/>
            <w:vAlign w:val="center"/>
            <w:hideMark/>
          </w:tcPr>
          <w:p w14:paraId="32691EEA" w14:textId="77137AD8" w:rsidR="008F1E44" w:rsidRPr="009E7402" w:rsidRDefault="008F1E44" w:rsidP="00175897">
            <w:pPr>
              <w:jc w:val="right"/>
              <w:rPr>
                <w:rFonts w:eastAsia="Times New Roman" w:cs="Arial"/>
                <w:bCs/>
                <w:color w:val="000000"/>
                <w:sz w:val="20"/>
                <w:szCs w:val="20"/>
                <w:lang w:val="pt-BR"/>
              </w:rPr>
            </w:pPr>
            <w:r w:rsidRPr="009E7402">
              <w:rPr>
                <w:rFonts w:eastAsia="Times New Roman" w:cs="Arial"/>
                <w:bCs/>
                <w:color w:val="000000"/>
                <w:sz w:val="20"/>
                <w:szCs w:val="20"/>
                <w:lang w:val="pt-BR"/>
              </w:rPr>
              <w:t>24</w:t>
            </w:r>
            <w:r w:rsidR="009E7402">
              <w:rPr>
                <w:rFonts w:eastAsia="Times New Roman" w:cs="Arial"/>
                <w:bCs/>
                <w:color w:val="000000"/>
                <w:sz w:val="20"/>
                <w:szCs w:val="20"/>
                <w:lang w:val="pt-BR"/>
              </w:rPr>
              <w:t>,</w:t>
            </w:r>
            <w:r w:rsidRPr="009E7402">
              <w:rPr>
                <w:rFonts w:eastAsia="Times New Roman" w:cs="Arial"/>
                <w:bCs/>
                <w:color w:val="000000"/>
                <w:sz w:val="20"/>
                <w:szCs w:val="20"/>
                <w:lang w:val="pt-BR"/>
              </w:rPr>
              <w:t>4</w:t>
            </w:r>
          </w:p>
        </w:tc>
        <w:tc>
          <w:tcPr>
            <w:tcW w:w="1275" w:type="dxa"/>
            <w:vAlign w:val="center"/>
            <w:hideMark/>
          </w:tcPr>
          <w:p w14:paraId="05D3C769" w14:textId="674191AD" w:rsidR="008F1E44" w:rsidRPr="009E7402" w:rsidRDefault="008F1E44" w:rsidP="00175897">
            <w:pPr>
              <w:jc w:val="right"/>
              <w:rPr>
                <w:rFonts w:eastAsia="Times New Roman" w:cs="Arial"/>
                <w:color w:val="000000"/>
                <w:sz w:val="20"/>
                <w:szCs w:val="20"/>
                <w:lang w:val="pt-BR"/>
              </w:rPr>
            </w:pPr>
            <w:r w:rsidRPr="009E7402">
              <w:rPr>
                <w:rFonts w:ascii="Calibri" w:hAnsi="Calibri" w:cs="Calibri"/>
                <w:color w:val="000000"/>
                <w:sz w:val="20"/>
                <w:szCs w:val="20"/>
                <w:lang w:val="pt-BR"/>
              </w:rPr>
              <w:t>4,0</w:t>
            </w:r>
          </w:p>
        </w:tc>
        <w:tc>
          <w:tcPr>
            <w:tcW w:w="1134" w:type="dxa"/>
            <w:vAlign w:val="center"/>
            <w:hideMark/>
          </w:tcPr>
          <w:p w14:paraId="2895B6CD" w14:textId="415CA0F0" w:rsidR="008F1E44" w:rsidRPr="009E7402" w:rsidRDefault="008F1E44" w:rsidP="00175897">
            <w:pPr>
              <w:jc w:val="right"/>
              <w:rPr>
                <w:rFonts w:eastAsia="Times New Roman" w:cs="Arial"/>
                <w:color w:val="000000"/>
                <w:sz w:val="20"/>
                <w:szCs w:val="20"/>
                <w:lang w:val="pt-BR"/>
              </w:rPr>
            </w:pPr>
            <w:r w:rsidRPr="009E7402">
              <w:rPr>
                <w:rFonts w:eastAsia="Times New Roman" w:cs="Arial"/>
                <w:color w:val="000000"/>
                <w:sz w:val="20"/>
                <w:szCs w:val="20"/>
                <w:lang w:val="pt-BR"/>
              </w:rPr>
              <w:t>18</w:t>
            </w:r>
            <w:r w:rsidR="009E7402">
              <w:rPr>
                <w:rFonts w:eastAsia="Times New Roman" w:cs="Arial"/>
                <w:color w:val="000000"/>
                <w:sz w:val="20"/>
                <w:szCs w:val="20"/>
                <w:lang w:val="pt-BR"/>
              </w:rPr>
              <w:t>,</w:t>
            </w:r>
            <w:r w:rsidRPr="009E7402">
              <w:rPr>
                <w:rFonts w:eastAsia="Times New Roman" w:cs="Arial"/>
                <w:color w:val="000000"/>
                <w:sz w:val="20"/>
                <w:szCs w:val="20"/>
                <w:lang w:val="pt-BR"/>
              </w:rPr>
              <w:t>3%</w:t>
            </w:r>
          </w:p>
        </w:tc>
      </w:tr>
      <w:tr w:rsidR="008F1E44" w:rsidRPr="009E7402" w14:paraId="35301A5F" w14:textId="77777777" w:rsidTr="00175897">
        <w:trPr>
          <w:trHeight w:val="264"/>
        </w:trPr>
        <w:tc>
          <w:tcPr>
            <w:tcW w:w="4673" w:type="dxa"/>
            <w:hideMark/>
          </w:tcPr>
          <w:p w14:paraId="1DC55E4B" w14:textId="77777777" w:rsidR="008F1E44" w:rsidRPr="009E7402" w:rsidRDefault="008F1E44" w:rsidP="008F1E44">
            <w:pPr>
              <w:rPr>
                <w:rFonts w:eastAsia="Times New Roman" w:cs="Arial"/>
                <w:b/>
                <w:bCs/>
                <w:color w:val="000000"/>
                <w:sz w:val="20"/>
                <w:szCs w:val="20"/>
                <w:lang w:val="pt-BR"/>
              </w:rPr>
            </w:pPr>
            <w:r w:rsidRPr="009E7402">
              <w:rPr>
                <w:rFonts w:eastAsia="Times New Roman" w:cs="Arial"/>
                <w:b/>
                <w:bCs/>
                <w:color w:val="000000"/>
                <w:sz w:val="20"/>
                <w:szCs w:val="20"/>
                <w:lang w:val="pt-BR"/>
              </w:rPr>
              <w:t xml:space="preserve"> Patrimônio líquido </w:t>
            </w:r>
          </w:p>
        </w:tc>
        <w:tc>
          <w:tcPr>
            <w:tcW w:w="992" w:type="dxa"/>
            <w:vAlign w:val="center"/>
            <w:hideMark/>
          </w:tcPr>
          <w:p w14:paraId="37BF1E5E" w14:textId="2F21615F" w:rsidR="008F1E44" w:rsidRPr="009E7402" w:rsidRDefault="008F1E44" w:rsidP="009E7402">
            <w:pPr>
              <w:jc w:val="right"/>
              <w:rPr>
                <w:rFonts w:eastAsia="Times New Roman" w:cs="Arial"/>
                <w:b/>
                <w:bCs/>
                <w:color w:val="000000"/>
                <w:sz w:val="20"/>
                <w:szCs w:val="20"/>
                <w:lang w:val="pt-BR"/>
              </w:rPr>
            </w:pPr>
            <w:r w:rsidRPr="009E7402">
              <w:rPr>
                <w:rFonts w:eastAsia="Times New Roman" w:cs="Arial"/>
                <w:b/>
                <w:bCs/>
                <w:color w:val="000000"/>
                <w:sz w:val="20"/>
                <w:szCs w:val="20"/>
                <w:lang w:val="pt-BR"/>
              </w:rPr>
              <w:t>1</w:t>
            </w:r>
            <w:r w:rsidR="009E7402">
              <w:rPr>
                <w:rFonts w:eastAsia="Times New Roman" w:cs="Arial"/>
                <w:b/>
                <w:bCs/>
                <w:color w:val="000000"/>
                <w:sz w:val="20"/>
                <w:szCs w:val="20"/>
                <w:lang w:val="pt-BR"/>
              </w:rPr>
              <w:t>.</w:t>
            </w:r>
            <w:r w:rsidRPr="009E7402">
              <w:rPr>
                <w:rFonts w:eastAsia="Times New Roman" w:cs="Arial"/>
                <w:b/>
                <w:bCs/>
                <w:color w:val="000000"/>
                <w:sz w:val="20"/>
                <w:szCs w:val="20"/>
                <w:lang w:val="pt-BR"/>
              </w:rPr>
              <w:t>185</w:t>
            </w:r>
            <w:r w:rsidR="009E7402">
              <w:rPr>
                <w:rFonts w:eastAsia="Times New Roman" w:cs="Arial"/>
                <w:b/>
                <w:bCs/>
                <w:color w:val="000000"/>
                <w:sz w:val="20"/>
                <w:szCs w:val="20"/>
                <w:lang w:val="pt-BR"/>
              </w:rPr>
              <w:t>,</w:t>
            </w:r>
            <w:r w:rsidRPr="009E7402">
              <w:rPr>
                <w:rFonts w:eastAsia="Times New Roman" w:cs="Arial"/>
                <w:b/>
                <w:bCs/>
                <w:color w:val="000000"/>
                <w:sz w:val="20"/>
                <w:szCs w:val="20"/>
                <w:lang w:val="pt-BR"/>
              </w:rPr>
              <w:t>7</w:t>
            </w:r>
          </w:p>
        </w:tc>
        <w:tc>
          <w:tcPr>
            <w:tcW w:w="993" w:type="dxa"/>
            <w:vAlign w:val="center"/>
            <w:hideMark/>
          </w:tcPr>
          <w:p w14:paraId="39FCBBB0" w14:textId="2EA1530D" w:rsidR="008F1E44" w:rsidRPr="009E7402" w:rsidRDefault="008F1E44" w:rsidP="00175897">
            <w:pPr>
              <w:jc w:val="right"/>
              <w:rPr>
                <w:rFonts w:eastAsia="Times New Roman" w:cs="Arial"/>
                <w:b/>
                <w:bCs/>
                <w:color w:val="000000"/>
                <w:sz w:val="20"/>
                <w:szCs w:val="20"/>
                <w:lang w:val="pt-BR"/>
              </w:rPr>
            </w:pPr>
            <w:r w:rsidRPr="009E7402">
              <w:rPr>
                <w:rFonts w:eastAsia="Times New Roman" w:cs="Arial"/>
                <w:b/>
                <w:bCs/>
                <w:color w:val="000000"/>
                <w:sz w:val="20"/>
                <w:szCs w:val="20"/>
                <w:lang w:val="pt-BR"/>
              </w:rPr>
              <w:t>1</w:t>
            </w:r>
            <w:r w:rsidR="009E7402">
              <w:rPr>
                <w:rFonts w:eastAsia="Times New Roman" w:cs="Arial"/>
                <w:b/>
                <w:bCs/>
                <w:color w:val="000000"/>
                <w:sz w:val="20"/>
                <w:szCs w:val="20"/>
                <w:lang w:val="pt-BR"/>
              </w:rPr>
              <w:t>.</w:t>
            </w:r>
            <w:r w:rsidRPr="009E7402">
              <w:rPr>
                <w:rFonts w:eastAsia="Times New Roman" w:cs="Arial"/>
                <w:b/>
                <w:bCs/>
                <w:color w:val="000000"/>
                <w:sz w:val="20"/>
                <w:szCs w:val="20"/>
                <w:lang w:val="pt-BR"/>
              </w:rPr>
              <w:t>560</w:t>
            </w:r>
            <w:r w:rsidR="009E7402">
              <w:rPr>
                <w:rFonts w:eastAsia="Times New Roman" w:cs="Arial"/>
                <w:b/>
                <w:bCs/>
                <w:color w:val="000000"/>
                <w:sz w:val="20"/>
                <w:szCs w:val="20"/>
                <w:lang w:val="pt-BR"/>
              </w:rPr>
              <w:t>,</w:t>
            </w:r>
            <w:r w:rsidRPr="009E7402">
              <w:rPr>
                <w:rFonts w:eastAsia="Times New Roman" w:cs="Arial"/>
                <w:b/>
                <w:bCs/>
                <w:color w:val="000000"/>
                <w:sz w:val="20"/>
                <w:szCs w:val="20"/>
                <w:lang w:val="pt-BR"/>
              </w:rPr>
              <w:t>5</w:t>
            </w:r>
          </w:p>
        </w:tc>
        <w:tc>
          <w:tcPr>
            <w:tcW w:w="1275" w:type="dxa"/>
            <w:vAlign w:val="center"/>
            <w:hideMark/>
          </w:tcPr>
          <w:p w14:paraId="2FB929FA" w14:textId="6910F495" w:rsidR="008F1E44" w:rsidRPr="009E7402" w:rsidRDefault="008F1E44" w:rsidP="00175897">
            <w:pPr>
              <w:jc w:val="right"/>
              <w:rPr>
                <w:rFonts w:eastAsia="Times New Roman" w:cs="Arial"/>
                <w:b/>
                <w:color w:val="000000"/>
                <w:sz w:val="20"/>
                <w:szCs w:val="20"/>
                <w:lang w:val="pt-BR"/>
              </w:rPr>
            </w:pPr>
            <w:r w:rsidRPr="009E7402">
              <w:rPr>
                <w:rFonts w:ascii="Calibri" w:hAnsi="Calibri" w:cs="Calibri"/>
                <w:b/>
                <w:color w:val="000000"/>
                <w:sz w:val="20"/>
                <w:szCs w:val="20"/>
                <w:lang w:val="pt-BR"/>
              </w:rPr>
              <w:t>375,0</w:t>
            </w:r>
          </w:p>
        </w:tc>
        <w:tc>
          <w:tcPr>
            <w:tcW w:w="1134" w:type="dxa"/>
            <w:vAlign w:val="center"/>
            <w:hideMark/>
          </w:tcPr>
          <w:p w14:paraId="6D8C29E5" w14:textId="6E73AE44" w:rsidR="008F1E44" w:rsidRPr="009E7402" w:rsidRDefault="008F1E44" w:rsidP="00175897">
            <w:pPr>
              <w:jc w:val="right"/>
              <w:rPr>
                <w:rFonts w:eastAsia="Times New Roman" w:cs="Arial"/>
                <w:b/>
                <w:color w:val="000000"/>
                <w:sz w:val="20"/>
                <w:szCs w:val="20"/>
                <w:lang w:val="pt-BR"/>
              </w:rPr>
            </w:pPr>
            <w:bookmarkStart w:id="18" w:name="_Hlk512581255"/>
            <w:r w:rsidRPr="009E7402">
              <w:rPr>
                <w:rFonts w:eastAsia="Times New Roman" w:cs="Arial"/>
                <w:b/>
                <w:color w:val="000000"/>
                <w:sz w:val="20"/>
                <w:szCs w:val="20"/>
                <w:lang w:val="pt-BR"/>
              </w:rPr>
              <w:t>31</w:t>
            </w:r>
            <w:r w:rsidR="009E7402" w:rsidRPr="009E7402">
              <w:rPr>
                <w:rFonts w:eastAsia="Times New Roman" w:cs="Arial"/>
                <w:b/>
                <w:color w:val="000000"/>
                <w:sz w:val="20"/>
                <w:szCs w:val="20"/>
                <w:lang w:val="pt-BR"/>
              </w:rPr>
              <w:t>,</w:t>
            </w:r>
            <w:r w:rsidRPr="009E7402">
              <w:rPr>
                <w:rFonts w:eastAsia="Times New Roman" w:cs="Arial"/>
                <w:b/>
                <w:color w:val="000000"/>
                <w:sz w:val="20"/>
                <w:szCs w:val="20"/>
                <w:lang w:val="pt-BR"/>
              </w:rPr>
              <w:t>6</w:t>
            </w:r>
            <w:bookmarkEnd w:id="18"/>
            <w:r w:rsidRPr="009E7402">
              <w:rPr>
                <w:rFonts w:eastAsia="Times New Roman" w:cs="Arial"/>
                <w:b/>
                <w:color w:val="000000"/>
                <w:sz w:val="20"/>
                <w:szCs w:val="20"/>
                <w:lang w:val="pt-BR"/>
              </w:rPr>
              <w:t>%</w:t>
            </w:r>
          </w:p>
        </w:tc>
      </w:tr>
      <w:tr w:rsidR="008F1E44" w:rsidRPr="009E7402" w14:paraId="4048F140" w14:textId="77777777" w:rsidTr="00175897">
        <w:trPr>
          <w:trHeight w:val="276"/>
        </w:trPr>
        <w:tc>
          <w:tcPr>
            <w:tcW w:w="4673" w:type="dxa"/>
            <w:hideMark/>
          </w:tcPr>
          <w:p w14:paraId="117082CF" w14:textId="77777777" w:rsidR="008F1E44" w:rsidRPr="009E7402" w:rsidRDefault="008F1E44" w:rsidP="008F1E44">
            <w:pPr>
              <w:rPr>
                <w:rFonts w:eastAsia="Times New Roman" w:cs="Arial"/>
                <w:b/>
                <w:bCs/>
                <w:color w:val="000000"/>
                <w:sz w:val="20"/>
                <w:szCs w:val="20"/>
                <w:lang w:val="pt-BR"/>
              </w:rPr>
            </w:pPr>
            <w:r w:rsidRPr="009E7402">
              <w:rPr>
                <w:rFonts w:eastAsia="Times New Roman" w:cs="Arial"/>
                <w:b/>
                <w:bCs/>
                <w:color w:val="000000"/>
                <w:sz w:val="20"/>
                <w:szCs w:val="20"/>
                <w:lang w:val="pt-BR"/>
              </w:rPr>
              <w:t xml:space="preserve">Total do passivo </w:t>
            </w:r>
          </w:p>
        </w:tc>
        <w:tc>
          <w:tcPr>
            <w:tcW w:w="992" w:type="dxa"/>
            <w:vAlign w:val="center"/>
            <w:hideMark/>
          </w:tcPr>
          <w:p w14:paraId="2456FFF0" w14:textId="4FC59597" w:rsidR="008F1E44" w:rsidRPr="009E7402" w:rsidRDefault="008F1E44" w:rsidP="009E7402">
            <w:pPr>
              <w:jc w:val="right"/>
              <w:rPr>
                <w:rFonts w:eastAsia="Times New Roman" w:cs="Arial"/>
                <w:b/>
                <w:bCs/>
                <w:color w:val="000000"/>
                <w:sz w:val="20"/>
                <w:szCs w:val="20"/>
                <w:lang w:val="pt-BR"/>
              </w:rPr>
            </w:pPr>
            <w:r w:rsidRPr="009E7402">
              <w:rPr>
                <w:rFonts w:eastAsia="Times New Roman" w:cs="Arial"/>
                <w:b/>
                <w:bCs/>
                <w:color w:val="000000"/>
                <w:sz w:val="20"/>
                <w:szCs w:val="20"/>
                <w:lang w:val="pt-BR"/>
              </w:rPr>
              <w:t>1</w:t>
            </w:r>
            <w:r w:rsidR="009E7402">
              <w:rPr>
                <w:rFonts w:eastAsia="Times New Roman" w:cs="Arial"/>
                <w:b/>
                <w:bCs/>
                <w:color w:val="000000"/>
                <w:sz w:val="20"/>
                <w:szCs w:val="20"/>
                <w:lang w:val="pt-BR"/>
              </w:rPr>
              <w:t>.</w:t>
            </w:r>
            <w:r w:rsidRPr="009E7402">
              <w:rPr>
                <w:rFonts w:eastAsia="Times New Roman" w:cs="Arial"/>
                <w:b/>
                <w:bCs/>
                <w:color w:val="000000"/>
                <w:sz w:val="20"/>
                <w:szCs w:val="20"/>
                <w:lang w:val="pt-BR"/>
              </w:rPr>
              <w:t>248</w:t>
            </w:r>
            <w:r w:rsidR="009E7402">
              <w:rPr>
                <w:rFonts w:eastAsia="Times New Roman" w:cs="Arial"/>
                <w:b/>
                <w:bCs/>
                <w:color w:val="000000"/>
                <w:sz w:val="20"/>
                <w:szCs w:val="20"/>
                <w:lang w:val="pt-BR"/>
              </w:rPr>
              <w:t>,</w:t>
            </w:r>
            <w:r w:rsidRPr="009E7402">
              <w:rPr>
                <w:rFonts w:eastAsia="Times New Roman" w:cs="Arial"/>
                <w:b/>
                <w:bCs/>
                <w:color w:val="000000"/>
                <w:sz w:val="20"/>
                <w:szCs w:val="20"/>
                <w:lang w:val="pt-BR"/>
              </w:rPr>
              <w:t>6</w:t>
            </w:r>
          </w:p>
        </w:tc>
        <w:tc>
          <w:tcPr>
            <w:tcW w:w="993" w:type="dxa"/>
            <w:vAlign w:val="center"/>
            <w:hideMark/>
          </w:tcPr>
          <w:p w14:paraId="38A571A1" w14:textId="6A089B9E" w:rsidR="008F1E44" w:rsidRPr="009E7402" w:rsidRDefault="008F1E44" w:rsidP="00175897">
            <w:pPr>
              <w:jc w:val="right"/>
              <w:rPr>
                <w:rFonts w:eastAsia="Times New Roman" w:cs="Arial"/>
                <w:b/>
                <w:bCs/>
                <w:color w:val="000000"/>
                <w:sz w:val="20"/>
                <w:szCs w:val="20"/>
                <w:lang w:val="pt-BR"/>
              </w:rPr>
            </w:pPr>
            <w:r w:rsidRPr="009E7402">
              <w:rPr>
                <w:rFonts w:eastAsia="Times New Roman" w:cs="Arial"/>
                <w:b/>
                <w:bCs/>
                <w:color w:val="000000"/>
                <w:sz w:val="20"/>
                <w:szCs w:val="20"/>
                <w:lang w:val="pt-BR"/>
              </w:rPr>
              <w:t>1</w:t>
            </w:r>
            <w:r w:rsidR="009E7402">
              <w:rPr>
                <w:rFonts w:eastAsia="Times New Roman" w:cs="Arial"/>
                <w:b/>
                <w:bCs/>
                <w:color w:val="000000"/>
                <w:sz w:val="20"/>
                <w:szCs w:val="20"/>
                <w:lang w:val="pt-BR"/>
              </w:rPr>
              <w:t>.</w:t>
            </w:r>
            <w:r w:rsidRPr="009E7402">
              <w:rPr>
                <w:rFonts w:eastAsia="Times New Roman" w:cs="Arial"/>
                <w:b/>
                <w:bCs/>
                <w:color w:val="000000"/>
                <w:sz w:val="20"/>
                <w:szCs w:val="20"/>
                <w:lang w:val="pt-BR"/>
              </w:rPr>
              <w:t>884</w:t>
            </w:r>
            <w:r w:rsidR="009E7402">
              <w:rPr>
                <w:rFonts w:eastAsia="Times New Roman" w:cs="Arial"/>
                <w:b/>
                <w:bCs/>
                <w:color w:val="000000"/>
                <w:sz w:val="20"/>
                <w:szCs w:val="20"/>
                <w:lang w:val="pt-BR"/>
              </w:rPr>
              <w:t>,</w:t>
            </w:r>
            <w:r w:rsidRPr="009E7402">
              <w:rPr>
                <w:rFonts w:eastAsia="Times New Roman" w:cs="Arial"/>
                <w:b/>
                <w:bCs/>
                <w:color w:val="000000"/>
                <w:sz w:val="20"/>
                <w:szCs w:val="20"/>
                <w:lang w:val="pt-BR"/>
              </w:rPr>
              <w:t>6</w:t>
            </w:r>
          </w:p>
        </w:tc>
        <w:tc>
          <w:tcPr>
            <w:tcW w:w="1275" w:type="dxa"/>
            <w:vAlign w:val="center"/>
            <w:hideMark/>
          </w:tcPr>
          <w:p w14:paraId="3E05065B" w14:textId="40E3C8B1" w:rsidR="008F1E44" w:rsidRPr="009E7402" w:rsidRDefault="008F1E44" w:rsidP="00175897">
            <w:pPr>
              <w:jc w:val="right"/>
              <w:rPr>
                <w:rFonts w:eastAsia="Times New Roman" w:cs="Arial"/>
                <w:b/>
                <w:bCs/>
                <w:color w:val="000000"/>
                <w:sz w:val="20"/>
                <w:szCs w:val="20"/>
                <w:lang w:val="pt-BR"/>
              </w:rPr>
            </w:pPr>
            <w:r w:rsidRPr="009E7402">
              <w:rPr>
                <w:rFonts w:ascii="Calibri" w:hAnsi="Calibri" w:cs="Calibri"/>
                <w:b/>
                <w:bCs/>
                <w:color w:val="000000"/>
                <w:sz w:val="20"/>
                <w:szCs w:val="20"/>
                <w:lang w:val="pt-BR"/>
              </w:rPr>
              <w:t>636,0</w:t>
            </w:r>
          </w:p>
        </w:tc>
        <w:tc>
          <w:tcPr>
            <w:tcW w:w="1134" w:type="dxa"/>
            <w:vAlign w:val="center"/>
            <w:hideMark/>
          </w:tcPr>
          <w:p w14:paraId="61D194DE" w14:textId="0E045463" w:rsidR="008F1E44" w:rsidRPr="009E7402" w:rsidRDefault="008F1E44" w:rsidP="00175897">
            <w:pPr>
              <w:jc w:val="right"/>
              <w:rPr>
                <w:rFonts w:eastAsia="Times New Roman" w:cs="Arial"/>
                <w:b/>
                <w:color w:val="000000"/>
                <w:sz w:val="20"/>
                <w:szCs w:val="20"/>
                <w:lang w:val="pt-BR"/>
              </w:rPr>
            </w:pPr>
            <w:r w:rsidRPr="009E7402">
              <w:rPr>
                <w:rFonts w:eastAsia="Times New Roman" w:cs="Arial"/>
                <w:b/>
                <w:color w:val="000000"/>
                <w:sz w:val="20"/>
                <w:szCs w:val="20"/>
                <w:lang w:val="pt-BR"/>
              </w:rPr>
              <w:t>50</w:t>
            </w:r>
            <w:r w:rsidR="009E7402" w:rsidRPr="009E7402">
              <w:rPr>
                <w:rFonts w:eastAsia="Times New Roman" w:cs="Arial"/>
                <w:b/>
                <w:color w:val="000000"/>
                <w:sz w:val="20"/>
                <w:szCs w:val="20"/>
                <w:lang w:val="pt-BR"/>
              </w:rPr>
              <w:t>,</w:t>
            </w:r>
            <w:r w:rsidRPr="009E7402">
              <w:rPr>
                <w:rFonts w:eastAsia="Times New Roman" w:cs="Arial"/>
                <w:b/>
                <w:color w:val="000000"/>
                <w:sz w:val="20"/>
                <w:szCs w:val="20"/>
                <w:lang w:val="pt-BR"/>
              </w:rPr>
              <w:t>9%</w:t>
            </w:r>
          </w:p>
        </w:tc>
      </w:tr>
    </w:tbl>
    <w:p w14:paraId="495BED9B" w14:textId="77777777" w:rsidR="00C46123" w:rsidRPr="009E7402" w:rsidRDefault="00C46123" w:rsidP="00C46123">
      <w:pPr>
        <w:tabs>
          <w:tab w:val="left" w:pos="4219"/>
          <w:tab w:val="left" w:pos="5388"/>
          <w:tab w:val="left" w:pos="6558"/>
          <w:tab w:val="left" w:pos="7727"/>
        </w:tabs>
        <w:ind w:left="113"/>
        <w:rPr>
          <w:rFonts w:ascii="Times New Roman" w:eastAsia="Times New Roman" w:hAnsi="Times New Roman" w:cs="Times New Roman"/>
          <w:bCs/>
          <w:sz w:val="24"/>
          <w:szCs w:val="24"/>
          <w:lang w:val="pt-BR"/>
        </w:rPr>
      </w:pPr>
      <w:r w:rsidRPr="009E7402">
        <w:rPr>
          <w:rFonts w:ascii="Times New Roman" w:eastAsia="Times New Roman" w:hAnsi="Times New Roman" w:cs="Times New Roman"/>
          <w:color w:val="000000"/>
          <w:lang w:val="pt-BR"/>
        </w:rPr>
        <w:t>Fonte:  Fomento Paraná.  Balanços de 2013 e 2017</w:t>
      </w:r>
    </w:p>
    <w:p w14:paraId="66B7267A" w14:textId="1AEB0AB8" w:rsidR="00C46123" w:rsidRPr="00CA2760" w:rsidRDefault="00C46123" w:rsidP="00C46123">
      <w:pPr>
        <w:spacing w:after="0" w:line="240" w:lineRule="auto"/>
        <w:rPr>
          <w:rFonts w:ascii="Times New Roman" w:eastAsia="Times New Roman" w:hAnsi="Times New Roman" w:cs="Times New Roman"/>
          <w:bCs/>
          <w:sz w:val="24"/>
          <w:szCs w:val="24"/>
          <w:lang w:val="pt-BR"/>
        </w:rPr>
      </w:pPr>
    </w:p>
    <w:p w14:paraId="1B4C07FD" w14:textId="77777777" w:rsidR="00C46123" w:rsidRPr="00CA2760" w:rsidRDefault="00C46123" w:rsidP="00C46123">
      <w:pPr>
        <w:spacing w:after="0" w:line="240" w:lineRule="auto"/>
        <w:rPr>
          <w:rFonts w:ascii="Times New Roman" w:eastAsia="Times New Roman" w:hAnsi="Times New Roman" w:cs="Times New Roman"/>
          <w:bCs/>
          <w:sz w:val="24"/>
          <w:szCs w:val="24"/>
          <w:lang w:val="pt-BR"/>
        </w:rPr>
      </w:pPr>
    </w:p>
    <w:p w14:paraId="4EDB3D71" w14:textId="77777777" w:rsidR="00C46123" w:rsidRPr="00CA2760" w:rsidRDefault="00C46123" w:rsidP="00C46123">
      <w:pPr>
        <w:spacing w:after="0" w:line="240" w:lineRule="auto"/>
        <w:rPr>
          <w:rFonts w:ascii="Times New Roman" w:eastAsia="Times New Roman" w:hAnsi="Times New Roman" w:cs="Times New Roman"/>
          <w:bCs/>
          <w:sz w:val="24"/>
          <w:szCs w:val="24"/>
          <w:lang w:val="pt-BR"/>
        </w:rPr>
      </w:pPr>
    </w:p>
    <w:p w14:paraId="4BD0EB4C" w14:textId="77777777" w:rsidR="00C46123" w:rsidRPr="00CA2760" w:rsidRDefault="00C46123" w:rsidP="00C46123">
      <w:pPr>
        <w:rPr>
          <w:rFonts w:ascii="Times New Roman" w:eastAsia="Times New Roman" w:hAnsi="Times New Roman" w:cs="Times New Roman"/>
          <w:bCs/>
          <w:sz w:val="24"/>
          <w:szCs w:val="24"/>
          <w:lang w:val="pt-BR"/>
        </w:rPr>
      </w:pPr>
      <w:r w:rsidRPr="00CA2760">
        <w:rPr>
          <w:rFonts w:ascii="Times New Roman" w:eastAsia="Times New Roman" w:hAnsi="Times New Roman" w:cs="Times New Roman"/>
          <w:bCs/>
          <w:sz w:val="24"/>
          <w:szCs w:val="24"/>
          <w:lang w:val="pt-BR"/>
        </w:rPr>
        <w:br w:type="page"/>
      </w:r>
    </w:p>
    <w:p w14:paraId="28DF94E2" w14:textId="6CB39693" w:rsidR="00C46123" w:rsidRPr="007D32D9" w:rsidRDefault="00C46123" w:rsidP="00C46123">
      <w:pPr>
        <w:spacing w:after="0" w:line="240" w:lineRule="auto"/>
        <w:rPr>
          <w:rFonts w:ascii="Times New Roman" w:eastAsia="Times New Roman" w:hAnsi="Times New Roman" w:cs="Times New Roman"/>
          <w:color w:val="000000"/>
          <w:sz w:val="24"/>
          <w:szCs w:val="24"/>
          <w:lang w:val="pt-BR"/>
        </w:rPr>
      </w:pPr>
      <w:r w:rsidRPr="00175897">
        <w:rPr>
          <w:rFonts w:ascii="Times New Roman" w:eastAsia="Times New Roman" w:hAnsi="Times New Roman" w:cs="Times New Roman"/>
          <w:bCs/>
          <w:sz w:val="24"/>
          <w:szCs w:val="24"/>
          <w:lang w:val="pt-BR"/>
        </w:rPr>
        <w:lastRenderedPageBreak/>
        <w:t xml:space="preserve">Tabela </w:t>
      </w:r>
      <w:r w:rsidR="00716232" w:rsidRPr="00175897">
        <w:rPr>
          <w:rFonts w:ascii="Times New Roman" w:eastAsia="Times New Roman" w:hAnsi="Times New Roman" w:cs="Times New Roman"/>
          <w:bCs/>
          <w:sz w:val="24"/>
          <w:szCs w:val="24"/>
          <w:lang w:val="pt-BR"/>
        </w:rPr>
        <w:t>6</w:t>
      </w:r>
      <w:r w:rsidR="004E766C">
        <w:rPr>
          <w:rFonts w:ascii="Times New Roman" w:eastAsia="Times New Roman" w:hAnsi="Times New Roman" w:cs="Times New Roman"/>
          <w:bCs/>
          <w:sz w:val="24"/>
          <w:szCs w:val="24"/>
          <w:lang w:val="pt-BR"/>
        </w:rPr>
        <w:t>.</w:t>
      </w:r>
      <w:r w:rsidRPr="00175897">
        <w:rPr>
          <w:rFonts w:ascii="Times New Roman" w:eastAsia="Times New Roman" w:hAnsi="Times New Roman" w:cs="Times New Roman"/>
          <w:bCs/>
          <w:sz w:val="24"/>
          <w:szCs w:val="24"/>
          <w:lang w:val="pt-BR"/>
        </w:rPr>
        <w:t xml:space="preserve"> Agência de Fomento do Paraná: Demonstração dos Resultados do Exercícios, 31 de dezembro: 2013/ 2017 (</w:t>
      </w:r>
      <w:r w:rsidRPr="00175897">
        <w:rPr>
          <w:rFonts w:ascii="Times New Roman" w:eastAsia="Times New Roman" w:hAnsi="Times New Roman" w:cs="Times New Roman"/>
          <w:color w:val="000000"/>
          <w:sz w:val="24"/>
          <w:szCs w:val="24"/>
          <w:lang w:val="pt-BR"/>
        </w:rPr>
        <w:t>R$ milhões nominais)</w:t>
      </w:r>
    </w:p>
    <w:tbl>
      <w:tblPr>
        <w:tblStyle w:val="TableGrid"/>
        <w:tblW w:w="0" w:type="auto"/>
        <w:tblLook w:val="04A0" w:firstRow="1" w:lastRow="0" w:firstColumn="1" w:lastColumn="0" w:noHBand="0" w:noVBand="1"/>
      </w:tblPr>
      <w:tblGrid>
        <w:gridCol w:w="4636"/>
        <w:gridCol w:w="904"/>
        <w:gridCol w:w="905"/>
        <w:gridCol w:w="1169"/>
        <w:gridCol w:w="1170"/>
      </w:tblGrid>
      <w:tr w:rsidR="00C46123" w:rsidRPr="00175897" w14:paraId="6418B9CA" w14:textId="77777777" w:rsidTr="007D32D9">
        <w:trPr>
          <w:trHeight w:val="315"/>
        </w:trPr>
        <w:tc>
          <w:tcPr>
            <w:tcW w:w="4636" w:type="dxa"/>
            <w:vMerge w:val="restart"/>
            <w:shd w:val="clear" w:color="auto" w:fill="auto"/>
          </w:tcPr>
          <w:p w14:paraId="245F6683" w14:textId="77777777" w:rsidR="00C46123" w:rsidRPr="00175897" w:rsidRDefault="00C46123" w:rsidP="00B87A9B">
            <w:pPr>
              <w:rPr>
                <w:rFonts w:ascii="Arial" w:eastAsia="Times New Roman" w:hAnsi="Arial" w:cs="Arial"/>
                <w:b/>
                <w:bCs/>
                <w:color w:val="000000"/>
                <w:sz w:val="20"/>
                <w:szCs w:val="20"/>
                <w:lang w:val="pt-BR"/>
              </w:rPr>
            </w:pPr>
          </w:p>
        </w:tc>
        <w:tc>
          <w:tcPr>
            <w:tcW w:w="904" w:type="dxa"/>
            <w:vMerge w:val="restart"/>
            <w:shd w:val="clear" w:color="auto" w:fill="auto"/>
            <w:vAlign w:val="center"/>
          </w:tcPr>
          <w:p w14:paraId="7AEC8335" w14:textId="77777777" w:rsidR="00C46123" w:rsidRPr="00175897" w:rsidRDefault="00C46123" w:rsidP="00B87A9B">
            <w:pPr>
              <w:jc w:val="right"/>
              <w:rPr>
                <w:rFonts w:ascii="Arial" w:eastAsia="Times New Roman" w:hAnsi="Arial" w:cs="Arial"/>
                <w:b/>
                <w:bCs/>
                <w:color w:val="000000"/>
                <w:sz w:val="20"/>
                <w:szCs w:val="20"/>
                <w:lang w:val="pt-BR"/>
              </w:rPr>
            </w:pPr>
            <w:r w:rsidRPr="00175897">
              <w:rPr>
                <w:rFonts w:ascii="Arial" w:eastAsia="Times New Roman" w:hAnsi="Arial" w:cs="Arial"/>
                <w:b/>
                <w:bCs/>
                <w:color w:val="000000"/>
                <w:sz w:val="20"/>
                <w:szCs w:val="20"/>
                <w:lang w:val="pt-BR"/>
              </w:rPr>
              <w:t>2013</w:t>
            </w:r>
          </w:p>
        </w:tc>
        <w:tc>
          <w:tcPr>
            <w:tcW w:w="905" w:type="dxa"/>
            <w:vMerge w:val="restart"/>
            <w:shd w:val="clear" w:color="auto" w:fill="auto"/>
            <w:vAlign w:val="center"/>
          </w:tcPr>
          <w:p w14:paraId="5E727D5E" w14:textId="77777777" w:rsidR="00C46123" w:rsidRPr="00175897" w:rsidRDefault="00C46123" w:rsidP="00B87A9B">
            <w:pPr>
              <w:jc w:val="right"/>
              <w:rPr>
                <w:rFonts w:ascii="Arial" w:eastAsia="Times New Roman" w:hAnsi="Arial" w:cs="Arial"/>
                <w:b/>
                <w:bCs/>
                <w:color w:val="000000"/>
                <w:sz w:val="20"/>
                <w:szCs w:val="20"/>
                <w:lang w:val="pt-BR"/>
              </w:rPr>
            </w:pPr>
            <w:r w:rsidRPr="00175897">
              <w:rPr>
                <w:rFonts w:ascii="Arial" w:eastAsia="Times New Roman" w:hAnsi="Arial" w:cs="Arial"/>
                <w:b/>
                <w:bCs/>
                <w:color w:val="000000"/>
                <w:sz w:val="20"/>
                <w:szCs w:val="20"/>
                <w:lang w:val="pt-BR"/>
              </w:rPr>
              <w:t>2017</w:t>
            </w:r>
          </w:p>
        </w:tc>
        <w:tc>
          <w:tcPr>
            <w:tcW w:w="2339" w:type="dxa"/>
            <w:gridSpan w:val="2"/>
            <w:shd w:val="clear" w:color="auto" w:fill="auto"/>
            <w:vAlign w:val="center"/>
          </w:tcPr>
          <w:p w14:paraId="69405564" w14:textId="77777777" w:rsidR="00C46123" w:rsidRPr="00175897" w:rsidRDefault="00C46123" w:rsidP="00B87A9B">
            <w:pPr>
              <w:jc w:val="right"/>
              <w:rPr>
                <w:rFonts w:ascii="Arial" w:hAnsi="Arial" w:cs="Arial"/>
                <w:color w:val="000000"/>
                <w:sz w:val="20"/>
                <w:szCs w:val="20"/>
                <w:lang w:val="pt-BR"/>
              </w:rPr>
            </w:pPr>
            <w:r w:rsidRPr="00175897">
              <w:rPr>
                <w:rFonts w:ascii="Arial" w:eastAsia="Times New Roman" w:hAnsi="Arial" w:cs="Arial"/>
                <w:b/>
                <w:bCs/>
                <w:color w:val="000000"/>
                <w:sz w:val="20"/>
                <w:szCs w:val="20"/>
                <w:lang w:val="pt-BR"/>
              </w:rPr>
              <w:t>Variação: 2013/ 2017</w:t>
            </w:r>
          </w:p>
        </w:tc>
      </w:tr>
      <w:tr w:rsidR="00C46123" w:rsidRPr="00175897" w14:paraId="483D20DA" w14:textId="77777777" w:rsidTr="007D32D9">
        <w:trPr>
          <w:trHeight w:val="315"/>
        </w:trPr>
        <w:tc>
          <w:tcPr>
            <w:tcW w:w="4636" w:type="dxa"/>
            <w:vMerge/>
            <w:shd w:val="clear" w:color="auto" w:fill="auto"/>
          </w:tcPr>
          <w:p w14:paraId="239C59C5" w14:textId="77777777" w:rsidR="00C46123" w:rsidRPr="00175897" w:rsidRDefault="00C46123" w:rsidP="00B87A9B">
            <w:pPr>
              <w:rPr>
                <w:rFonts w:ascii="Arial" w:eastAsia="Times New Roman" w:hAnsi="Arial" w:cs="Arial"/>
                <w:b/>
                <w:bCs/>
                <w:color w:val="000000"/>
                <w:sz w:val="20"/>
                <w:szCs w:val="20"/>
                <w:lang w:val="pt-BR"/>
              </w:rPr>
            </w:pPr>
          </w:p>
        </w:tc>
        <w:tc>
          <w:tcPr>
            <w:tcW w:w="904" w:type="dxa"/>
            <w:vMerge/>
            <w:shd w:val="clear" w:color="auto" w:fill="auto"/>
            <w:vAlign w:val="center"/>
          </w:tcPr>
          <w:p w14:paraId="402C96CF" w14:textId="77777777" w:rsidR="00C46123" w:rsidRPr="00175897" w:rsidRDefault="00C46123" w:rsidP="00B87A9B">
            <w:pPr>
              <w:jc w:val="right"/>
              <w:rPr>
                <w:rFonts w:ascii="Arial" w:eastAsia="Times New Roman" w:hAnsi="Arial" w:cs="Arial"/>
                <w:b/>
                <w:bCs/>
                <w:color w:val="000000"/>
                <w:sz w:val="20"/>
                <w:szCs w:val="20"/>
                <w:lang w:val="pt-BR"/>
              </w:rPr>
            </w:pPr>
          </w:p>
        </w:tc>
        <w:tc>
          <w:tcPr>
            <w:tcW w:w="905" w:type="dxa"/>
            <w:vMerge/>
            <w:shd w:val="clear" w:color="auto" w:fill="auto"/>
            <w:vAlign w:val="center"/>
          </w:tcPr>
          <w:p w14:paraId="09A25E8A" w14:textId="77777777" w:rsidR="00C46123" w:rsidRPr="00175897" w:rsidRDefault="00C46123" w:rsidP="00B87A9B">
            <w:pPr>
              <w:jc w:val="right"/>
              <w:rPr>
                <w:rFonts w:ascii="Arial" w:eastAsia="Times New Roman" w:hAnsi="Arial" w:cs="Arial"/>
                <w:b/>
                <w:bCs/>
                <w:color w:val="000000"/>
                <w:sz w:val="20"/>
                <w:szCs w:val="20"/>
                <w:lang w:val="pt-BR"/>
              </w:rPr>
            </w:pPr>
          </w:p>
        </w:tc>
        <w:tc>
          <w:tcPr>
            <w:tcW w:w="1169" w:type="dxa"/>
            <w:shd w:val="clear" w:color="auto" w:fill="auto"/>
            <w:vAlign w:val="center"/>
          </w:tcPr>
          <w:p w14:paraId="351197B8" w14:textId="77777777" w:rsidR="00C46123" w:rsidRPr="00175897" w:rsidRDefault="00C46123" w:rsidP="00B87A9B">
            <w:pPr>
              <w:jc w:val="right"/>
              <w:rPr>
                <w:rFonts w:ascii="Arial" w:eastAsia="Times New Roman" w:hAnsi="Arial" w:cs="Arial"/>
                <w:b/>
                <w:bCs/>
                <w:color w:val="000000"/>
                <w:sz w:val="20"/>
                <w:szCs w:val="20"/>
                <w:lang w:val="pt-BR"/>
              </w:rPr>
            </w:pPr>
            <w:r w:rsidRPr="00175897">
              <w:rPr>
                <w:rFonts w:ascii="Arial" w:eastAsia="Times New Roman" w:hAnsi="Arial" w:cs="Arial"/>
                <w:b/>
                <w:bCs/>
                <w:color w:val="000000"/>
                <w:sz w:val="20"/>
                <w:szCs w:val="20"/>
                <w:lang w:val="pt-BR"/>
              </w:rPr>
              <w:t>Absoluto</w:t>
            </w:r>
          </w:p>
        </w:tc>
        <w:tc>
          <w:tcPr>
            <w:tcW w:w="1170" w:type="dxa"/>
            <w:shd w:val="clear" w:color="auto" w:fill="auto"/>
            <w:vAlign w:val="center"/>
          </w:tcPr>
          <w:p w14:paraId="7EF64189" w14:textId="77777777" w:rsidR="00C46123" w:rsidRPr="00175897" w:rsidRDefault="00C46123" w:rsidP="00B87A9B">
            <w:pPr>
              <w:jc w:val="center"/>
              <w:rPr>
                <w:rFonts w:ascii="Arial" w:hAnsi="Arial" w:cs="Arial"/>
                <w:color w:val="000000"/>
                <w:sz w:val="20"/>
                <w:szCs w:val="20"/>
                <w:lang w:val="pt-BR"/>
              </w:rPr>
            </w:pPr>
            <w:r w:rsidRPr="00175897">
              <w:rPr>
                <w:rFonts w:ascii="Arial" w:hAnsi="Arial" w:cs="Arial"/>
                <w:color w:val="000000"/>
                <w:sz w:val="20"/>
                <w:szCs w:val="20"/>
                <w:lang w:val="pt-BR"/>
              </w:rPr>
              <w:t>%</w:t>
            </w:r>
          </w:p>
        </w:tc>
      </w:tr>
      <w:tr w:rsidR="00C46123" w:rsidRPr="00175897" w14:paraId="0C9F963D" w14:textId="77777777" w:rsidTr="007D32D9">
        <w:trPr>
          <w:trHeight w:val="315"/>
        </w:trPr>
        <w:tc>
          <w:tcPr>
            <w:tcW w:w="4636" w:type="dxa"/>
            <w:shd w:val="clear" w:color="auto" w:fill="auto"/>
            <w:hideMark/>
          </w:tcPr>
          <w:p w14:paraId="6C221D3D" w14:textId="77777777" w:rsidR="00C46123" w:rsidRPr="00175897" w:rsidRDefault="00C46123" w:rsidP="00B87A9B">
            <w:pPr>
              <w:rPr>
                <w:rFonts w:ascii="Arial" w:eastAsia="Times New Roman" w:hAnsi="Arial" w:cs="Arial"/>
                <w:b/>
                <w:bCs/>
                <w:color w:val="000000"/>
                <w:sz w:val="20"/>
                <w:szCs w:val="20"/>
                <w:lang w:val="pt-BR"/>
              </w:rPr>
            </w:pPr>
            <w:r w:rsidRPr="00175897">
              <w:rPr>
                <w:rFonts w:ascii="Arial" w:eastAsia="Times New Roman" w:hAnsi="Arial" w:cs="Arial"/>
                <w:b/>
                <w:bCs/>
                <w:color w:val="000000"/>
                <w:sz w:val="20"/>
                <w:szCs w:val="20"/>
                <w:lang w:val="pt-BR"/>
              </w:rPr>
              <w:t xml:space="preserve">Receita da intermediação financeira </w:t>
            </w:r>
          </w:p>
        </w:tc>
        <w:tc>
          <w:tcPr>
            <w:tcW w:w="904" w:type="dxa"/>
            <w:shd w:val="clear" w:color="auto" w:fill="auto"/>
            <w:vAlign w:val="center"/>
            <w:hideMark/>
          </w:tcPr>
          <w:p w14:paraId="73C8A963" w14:textId="5DA557C9"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129</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7 </w:t>
            </w:r>
          </w:p>
        </w:tc>
        <w:tc>
          <w:tcPr>
            <w:tcW w:w="905" w:type="dxa"/>
            <w:shd w:val="clear" w:color="auto" w:fill="auto"/>
            <w:vAlign w:val="center"/>
            <w:hideMark/>
          </w:tcPr>
          <w:p w14:paraId="74174175" w14:textId="2B259702"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195</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9 </w:t>
            </w:r>
          </w:p>
        </w:tc>
        <w:tc>
          <w:tcPr>
            <w:tcW w:w="1169" w:type="dxa"/>
            <w:shd w:val="clear" w:color="auto" w:fill="auto"/>
            <w:vAlign w:val="center"/>
            <w:hideMark/>
          </w:tcPr>
          <w:p w14:paraId="3B372781" w14:textId="5C1EEB29"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66</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2 </w:t>
            </w:r>
          </w:p>
        </w:tc>
        <w:tc>
          <w:tcPr>
            <w:tcW w:w="1170" w:type="dxa"/>
            <w:shd w:val="clear" w:color="auto" w:fill="auto"/>
            <w:vAlign w:val="center"/>
          </w:tcPr>
          <w:p w14:paraId="4DF35F65" w14:textId="29307005" w:rsidR="00C46123" w:rsidRPr="00175897" w:rsidRDefault="00C46123" w:rsidP="00B87A9B">
            <w:pPr>
              <w:jc w:val="right"/>
              <w:rPr>
                <w:rFonts w:ascii="Arial" w:eastAsia="Times New Roman" w:hAnsi="Arial" w:cs="Arial"/>
                <w:bCs/>
                <w:color w:val="000000"/>
                <w:sz w:val="20"/>
                <w:szCs w:val="20"/>
                <w:lang w:val="pt-BR"/>
              </w:rPr>
            </w:pPr>
            <w:r w:rsidRPr="00175897">
              <w:rPr>
                <w:rFonts w:ascii="Arial" w:hAnsi="Arial" w:cs="Arial"/>
                <w:color w:val="000000"/>
                <w:sz w:val="20"/>
                <w:szCs w:val="20"/>
                <w:lang w:val="pt-BR"/>
              </w:rPr>
              <w:t>51</w:t>
            </w:r>
            <w:r w:rsidR="007D32D9">
              <w:rPr>
                <w:rFonts w:ascii="Arial" w:hAnsi="Arial" w:cs="Arial"/>
                <w:color w:val="000000"/>
                <w:sz w:val="20"/>
                <w:szCs w:val="20"/>
                <w:lang w:val="pt-BR"/>
              </w:rPr>
              <w:t>,</w:t>
            </w:r>
            <w:r w:rsidRPr="00175897">
              <w:rPr>
                <w:rFonts w:ascii="Arial" w:hAnsi="Arial" w:cs="Arial"/>
                <w:color w:val="000000"/>
                <w:sz w:val="20"/>
                <w:szCs w:val="20"/>
                <w:lang w:val="pt-BR"/>
              </w:rPr>
              <w:t>0%</w:t>
            </w:r>
          </w:p>
        </w:tc>
      </w:tr>
      <w:tr w:rsidR="00C46123" w:rsidRPr="00175897" w14:paraId="4E3C6B54" w14:textId="77777777" w:rsidTr="007D32D9">
        <w:trPr>
          <w:trHeight w:val="264"/>
        </w:trPr>
        <w:tc>
          <w:tcPr>
            <w:tcW w:w="4636" w:type="dxa"/>
            <w:shd w:val="clear" w:color="auto" w:fill="auto"/>
            <w:hideMark/>
          </w:tcPr>
          <w:p w14:paraId="61534EE4" w14:textId="77777777" w:rsidR="00C46123" w:rsidRPr="00175897" w:rsidRDefault="00C46123" w:rsidP="00B87A9B">
            <w:pPr>
              <w:rPr>
                <w:rFonts w:ascii="Arial" w:eastAsia="Times New Roman" w:hAnsi="Arial" w:cs="Arial"/>
                <w:color w:val="000000"/>
                <w:sz w:val="20"/>
                <w:szCs w:val="20"/>
                <w:lang w:val="pt-BR"/>
              </w:rPr>
            </w:pPr>
            <w:r w:rsidRPr="00175897">
              <w:rPr>
                <w:rFonts w:ascii="Arial" w:eastAsia="Times New Roman" w:hAnsi="Arial" w:cs="Arial"/>
                <w:color w:val="000000"/>
                <w:sz w:val="20"/>
                <w:szCs w:val="20"/>
                <w:lang w:val="pt-BR"/>
              </w:rPr>
              <w:t xml:space="preserve">     Operações de crédito </w:t>
            </w:r>
          </w:p>
        </w:tc>
        <w:tc>
          <w:tcPr>
            <w:tcW w:w="904" w:type="dxa"/>
            <w:shd w:val="clear" w:color="auto" w:fill="auto"/>
            <w:vAlign w:val="center"/>
            <w:hideMark/>
          </w:tcPr>
          <w:p w14:paraId="54066B86" w14:textId="4246276A" w:rsidR="00C46123" w:rsidRPr="00175897" w:rsidRDefault="00C46123" w:rsidP="00B87A9B">
            <w:pPr>
              <w:jc w:val="right"/>
              <w:rPr>
                <w:rFonts w:ascii="Arial" w:eastAsia="Times New Roman" w:hAnsi="Arial" w:cs="Arial"/>
                <w:color w:val="000000"/>
                <w:sz w:val="20"/>
                <w:szCs w:val="20"/>
                <w:lang w:val="pt-BR"/>
              </w:rPr>
            </w:pPr>
            <w:r w:rsidRPr="00175897">
              <w:rPr>
                <w:rFonts w:ascii="Arial" w:eastAsia="Times New Roman" w:hAnsi="Arial" w:cs="Arial"/>
                <w:color w:val="000000"/>
                <w:sz w:val="20"/>
                <w:szCs w:val="20"/>
                <w:lang w:val="pt-BR"/>
              </w:rPr>
              <w:t>73</w:t>
            </w:r>
            <w:r w:rsidR="007D32D9">
              <w:rPr>
                <w:rFonts w:ascii="Arial" w:eastAsia="Times New Roman" w:hAnsi="Arial" w:cs="Arial"/>
                <w:color w:val="000000"/>
                <w:sz w:val="20"/>
                <w:szCs w:val="20"/>
                <w:lang w:val="pt-BR"/>
              </w:rPr>
              <w:t>,</w:t>
            </w:r>
            <w:r w:rsidRPr="00175897">
              <w:rPr>
                <w:rFonts w:ascii="Arial" w:eastAsia="Times New Roman" w:hAnsi="Arial" w:cs="Arial"/>
                <w:color w:val="000000"/>
                <w:sz w:val="20"/>
                <w:szCs w:val="20"/>
                <w:lang w:val="pt-BR"/>
              </w:rPr>
              <w:t xml:space="preserve">0 </w:t>
            </w:r>
          </w:p>
        </w:tc>
        <w:tc>
          <w:tcPr>
            <w:tcW w:w="905" w:type="dxa"/>
            <w:shd w:val="clear" w:color="auto" w:fill="auto"/>
            <w:vAlign w:val="center"/>
            <w:hideMark/>
          </w:tcPr>
          <w:p w14:paraId="1557E6B3" w14:textId="1862DECF" w:rsidR="00C46123" w:rsidRPr="00175897" w:rsidRDefault="00C46123" w:rsidP="00B87A9B">
            <w:pPr>
              <w:jc w:val="right"/>
              <w:rPr>
                <w:rFonts w:ascii="Arial" w:eastAsia="Times New Roman" w:hAnsi="Arial" w:cs="Arial"/>
                <w:color w:val="000000"/>
                <w:sz w:val="20"/>
                <w:szCs w:val="20"/>
                <w:lang w:val="pt-BR"/>
              </w:rPr>
            </w:pPr>
            <w:r w:rsidRPr="00175897">
              <w:rPr>
                <w:rFonts w:ascii="Arial" w:eastAsia="Times New Roman" w:hAnsi="Arial" w:cs="Arial"/>
                <w:color w:val="000000"/>
                <w:sz w:val="20"/>
                <w:szCs w:val="20"/>
                <w:lang w:val="pt-BR"/>
              </w:rPr>
              <w:t>136</w:t>
            </w:r>
            <w:r w:rsidR="007D32D9">
              <w:rPr>
                <w:rFonts w:ascii="Arial" w:eastAsia="Times New Roman" w:hAnsi="Arial" w:cs="Arial"/>
                <w:color w:val="000000"/>
                <w:sz w:val="20"/>
                <w:szCs w:val="20"/>
                <w:lang w:val="pt-BR"/>
              </w:rPr>
              <w:t>,</w:t>
            </w:r>
            <w:r w:rsidRPr="00175897">
              <w:rPr>
                <w:rFonts w:ascii="Arial" w:eastAsia="Times New Roman" w:hAnsi="Arial" w:cs="Arial"/>
                <w:color w:val="000000"/>
                <w:sz w:val="20"/>
                <w:szCs w:val="20"/>
                <w:lang w:val="pt-BR"/>
              </w:rPr>
              <w:t xml:space="preserve">0 </w:t>
            </w:r>
          </w:p>
        </w:tc>
        <w:tc>
          <w:tcPr>
            <w:tcW w:w="1169" w:type="dxa"/>
            <w:shd w:val="clear" w:color="auto" w:fill="auto"/>
            <w:vAlign w:val="center"/>
            <w:hideMark/>
          </w:tcPr>
          <w:p w14:paraId="683A0D88" w14:textId="240A61C0" w:rsidR="00C46123" w:rsidRPr="00175897" w:rsidRDefault="00C46123" w:rsidP="00B87A9B">
            <w:pPr>
              <w:jc w:val="right"/>
              <w:rPr>
                <w:rFonts w:ascii="Arial" w:eastAsia="Times New Roman" w:hAnsi="Arial" w:cs="Arial"/>
                <w:color w:val="000000"/>
                <w:sz w:val="20"/>
                <w:szCs w:val="20"/>
                <w:lang w:val="pt-BR"/>
              </w:rPr>
            </w:pPr>
            <w:r w:rsidRPr="00175897">
              <w:rPr>
                <w:rFonts w:ascii="Arial" w:eastAsia="Times New Roman" w:hAnsi="Arial" w:cs="Arial"/>
                <w:color w:val="000000"/>
                <w:sz w:val="20"/>
                <w:szCs w:val="20"/>
                <w:lang w:val="pt-BR"/>
              </w:rPr>
              <w:t>63</w:t>
            </w:r>
            <w:r w:rsidR="007D32D9">
              <w:rPr>
                <w:rFonts w:ascii="Arial" w:eastAsia="Times New Roman" w:hAnsi="Arial" w:cs="Arial"/>
                <w:color w:val="000000"/>
                <w:sz w:val="20"/>
                <w:szCs w:val="20"/>
                <w:lang w:val="pt-BR"/>
              </w:rPr>
              <w:t>,</w:t>
            </w:r>
            <w:r w:rsidRPr="00175897">
              <w:rPr>
                <w:rFonts w:ascii="Arial" w:eastAsia="Times New Roman" w:hAnsi="Arial" w:cs="Arial"/>
                <w:color w:val="000000"/>
                <w:sz w:val="20"/>
                <w:szCs w:val="20"/>
                <w:lang w:val="pt-BR"/>
              </w:rPr>
              <w:t xml:space="preserve">0 </w:t>
            </w:r>
          </w:p>
        </w:tc>
        <w:tc>
          <w:tcPr>
            <w:tcW w:w="1170" w:type="dxa"/>
            <w:shd w:val="clear" w:color="auto" w:fill="auto"/>
            <w:vAlign w:val="center"/>
          </w:tcPr>
          <w:p w14:paraId="16261691" w14:textId="3D54BF38" w:rsidR="00C46123" w:rsidRPr="00175897" w:rsidRDefault="00C46123" w:rsidP="00B87A9B">
            <w:pPr>
              <w:jc w:val="right"/>
              <w:rPr>
                <w:rFonts w:ascii="Arial" w:eastAsia="Times New Roman" w:hAnsi="Arial" w:cs="Arial"/>
                <w:color w:val="000000"/>
                <w:sz w:val="20"/>
                <w:szCs w:val="20"/>
                <w:lang w:val="pt-BR"/>
              </w:rPr>
            </w:pPr>
            <w:r w:rsidRPr="00175897">
              <w:rPr>
                <w:rFonts w:ascii="Arial" w:hAnsi="Arial" w:cs="Arial"/>
                <w:color w:val="000000"/>
                <w:sz w:val="20"/>
                <w:szCs w:val="20"/>
                <w:lang w:val="pt-BR"/>
              </w:rPr>
              <w:t>86</w:t>
            </w:r>
            <w:r w:rsidR="007D32D9">
              <w:rPr>
                <w:rFonts w:ascii="Arial" w:hAnsi="Arial" w:cs="Arial"/>
                <w:color w:val="000000"/>
                <w:sz w:val="20"/>
                <w:szCs w:val="20"/>
                <w:lang w:val="pt-BR"/>
              </w:rPr>
              <w:t>,</w:t>
            </w:r>
            <w:r w:rsidRPr="00175897">
              <w:rPr>
                <w:rFonts w:ascii="Arial" w:hAnsi="Arial" w:cs="Arial"/>
                <w:color w:val="000000"/>
                <w:sz w:val="20"/>
                <w:szCs w:val="20"/>
                <w:lang w:val="pt-BR"/>
              </w:rPr>
              <w:t>4%</w:t>
            </w:r>
          </w:p>
        </w:tc>
      </w:tr>
      <w:tr w:rsidR="00C46123" w:rsidRPr="00175897" w14:paraId="6890A6C2" w14:textId="77777777" w:rsidTr="007D32D9">
        <w:trPr>
          <w:trHeight w:val="422"/>
        </w:trPr>
        <w:tc>
          <w:tcPr>
            <w:tcW w:w="4636" w:type="dxa"/>
            <w:shd w:val="clear" w:color="auto" w:fill="auto"/>
            <w:hideMark/>
          </w:tcPr>
          <w:p w14:paraId="7EEE4742" w14:textId="77777777" w:rsidR="00C46123" w:rsidRPr="00175897" w:rsidRDefault="00C46123" w:rsidP="00B87A9B">
            <w:pPr>
              <w:ind w:left="316" w:hanging="284"/>
              <w:rPr>
                <w:rFonts w:ascii="Arial" w:eastAsia="Times New Roman" w:hAnsi="Arial" w:cs="Arial"/>
                <w:color w:val="000000"/>
                <w:sz w:val="20"/>
                <w:szCs w:val="20"/>
                <w:lang w:val="pt-BR"/>
              </w:rPr>
            </w:pPr>
            <w:r w:rsidRPr="00175897">
              <w:rPr>
                <w:rFonts w:ascii="Arial" w:eastAsia="Times New Roman" w:hAnsi="Arial" w:cs="Arial"/>
                <w:color w:val="000000"/>
                <w:sz w:val="20"/>
                <w:szCs w:val="20"/>
                <w:lang w:val="pt-BR"/>
              </w:rPr>
              <w:t xml:space="preserve">     Resultado de operações com títulos e valores mobiliários </w:t>
            </w:r>
          </w:p>
        </w:tc>
        <w:tc>
          <w:tcPr>
            <w:tcW w:w="904" w:type="dxa"/>
            <w:shd w:val="clear" w:color="auto" w:fill="auto"/>
            <w:vAlign w:val="center"/>
            <w:hideMark/>
          </w:tcPr>
          <w:p w14:paraId="1630B5B3" w14:textId="77389138" w:rsidR="00C46123" w:rsidRPr="00175897" w:rsidRDefault="00C46123" w:rsidP="00B87A9B">
            <w:pPr>
              <w:jc w:val="right"/>
              <w:rPr>
                <w:rFonts w:ascii="Arial" w:eastAsia="Times New Roman" w:hAnsi="Arial" w:cs="Arial"/>
                <w:color w:val="000000"/>
                <w:sz w:val="20"/>
                <w:szCs w:val="20"/>
                <w:lang w:val="pt-BR"/>
              </w:rPr>
            </w:pPr>
            <w:r w:rsidRPr="00175897">
              <w:rPr>
                <w:rFonts w:ascii="Arial" w:eastAsia="Times New Roman" w:hAnsi="Arial" w:cs="Arial"/>
                <w:color w:val="000000"/>
                <w:sz w:val="20"/>
                <w:szCs w:val="20"/>
                <w:lang w:val="pt-BR"/>
              </w:rPr>
              <w:t>56</w:t>
            </w:r>
            <w:r w:rsidR="007D32D9">
              <w:rPr>
                <w:rFonts w:ascii="Arial" w:eastAsia="Times New Roman" w:hAnsi="Arial" w:cs="Arial"/>
                <w:color w:val="000000"/>
                <w:sz w:val="20"/>
                <w:szCs w:val="20"/>
                <w:lang w:val="pt-BR"/>
              </w:rPr>
              <w:t>,</w:t>
            </w:r>
            <w:r w:rsidRPr="00175897">
              <w:rPr>
                <w:rFonts w:ascii="Arial" w:eastAsia="Times New Roman" w:hAnsi="Arial" w:cs="Arial"/>
                <w:color w:val="000000"/>
                <w:sz w:val="20"/>
                <w:szCs w:val="20"/>
                <w:lang w:val="pt-BR"/>
              </w:rPr>
              <w:t xml:space="preserve">7 </w:t>
            </w:r>
          </w:p>
        </w:tc>
        <w:tc>
          <w:tcPr>
            <w:tcW w:w="905" w:type="dxa"/>
            <w:shd w:val="clear" w:color="auto" w:fill="auto"/>
            <w:vAlign w:val="center"/>
            <w:hideMark/>
          </w:tcPr>
          <w:p w14:paraId="65B75E48" w14:textId="5028154B" w:rsidR="00C46123" w:rsidRPr="00175897" w:rsidRDefault="00C46123" w:rsidP="00B87A9B">
            <w:pPr>
              <w:jc w:val="right"/>
              <w:rPr>
                <w:rFonts w:ascii="Arial" w:eastAsia="Times New Roman" w:hAnsi="Arial" w:cs="Arial"/>
                <w:color w:val="000000"/>
                <w:sz w:val="20"/>
                <w:szCs w:val="20"/>
                <w:lang w:val="pt-BR"/>
              </w:rPr>
            </w:pPr>
            <w:r w:rsidRPr="00175897">
              <w:rPr>
                <w:rFonts w:ascii="Arial" w:eastAsia="Times New Roman" w:hAnsi="Arial" w:cs="Arial"/>
                <w:color w:val="000000"/>
                <w:sz w:val="20"/>
                <w:szCs w:val="20"/>
                <w:lang w:val="pt-BR"/>
              </w:rPr>
              <w:t>59</w:t>
            </w:r>
            <w:r w:rsidR="007D32D9">
              <w:rPr>
                <w:rFonts w:ascii="Arial" w:eastAsia="Times New Roman" w:hAnsi="Arial" w:cs="Arial"/>
                <w:color w:val="000000"/>
                <w:sz w:val="20"/>
                <w:szCs w:val="20"/>
                <w:lang w:val="pt-BR"/>
              </w:rPr>
              <w:t>,</w:t>
            </w:r>
            <w:r w:rsidRPr="00175897">
              <w:rPr>
                <w:rFonts w:ascii="Arial" w:eastAsia="Times New Roman" w:hAnsi="Arial" w:cs="Arial"/>
                <w:color w:val="000000"/>
                <w:sz w:val="20"/>
                <w:szCs w:val="20"/>
                <w:lang w:val="pt-BR"/>
              </w:rPr>
              <w:t xml:space="preserve">9 </w:t>
            </w:r>
          </w:p>
        </w:tc>
        <w:tc>
          <w:tcPr>
            <w:tcW w:w="1169" w:type="dxa"/>
            <w:shd w:val="clear" w:color="auto" w:fill="auto"/>
            <w:vAlign w:val="center"/>
            <w:hideMark/>
          </w:tcPr>
          <w:p w14:paraId="46A8CA38" w14:textId="2CC5B324" w:rsidR="00C46123" w:rsidRPr="00175897" w:rsidRDefault="00C46123" w:rsidP="00B87A9B">
            <w:pPr>
              <w:jc w:val="right"/>
              <w:rPr>
                <w:rFonts w:ascii="Arial" w:eastAsia="Times New Roman" w:hAnsi="Arial" w:cs="Arial"/>
                <w:color w:val="000000"/>
                <w:sz w:val="20"/>
                <w:szCs w:val="20"/>
                <w:lang w:val="pt-BR"/>
              </w:rPr>
            </w:pPr>
            <w:r w:rsidRPr="00175897">
              <w:rPr>
                <w:rFonts w:ascii="Arial" w:eastAsia="Times New Roman" w:hAnsi="Arial" w:cs="Arial"/>
                <w:color w:val="000000"/>
                <w:sz w:val="20"/>
                <w:szCs w:val="20"/>
                <w:lang w:val="pt-BR"/>
              </w:rPr>
              <w:t>3</w:t>
            </w:r>
            <w:r w:rsidR="007D32D9">
              <w:rPr>
                <w:rFonts w:ascii="Arial" w:eastAsia="Times New Roman" w:hAnsi="Arial" w:cs="Arial"/>
                <w:color w:val="000000"/>
                <w:sz w:val="20"/>
                <w:szCs w:val="20"/>
                <w:lang w:val="pt-BR"/>
              </w:rPr>
              <w:t>,</w:t>
            </w:r>
            <w:r w:rsidRPr="00175897">
              <w:rPr>
                <w:rFonts w:ascii="Arial" w:eastAsia="Times New Roman" w:hAnsi="Arial" w:cs="Arial"/>
                <w:color w:val="000000"/>
                <w:sz w:val="20"/>
                <w:szCs w:val="20"/>
                <w:lang w:val="pt-BR"/>
              </w:rPr>
              <w:t xml:space="preserve">2 </w:t>
            </w:r>
          </w:p>
        </w:tc>
        <w:tc>
          <w:tcPr>
            <w:tcW w:w="1170" w:type="dxa"/>
            <w:shd w:val="clear" w:color="auto" w:fill="auto"/>
            <w:vAlign w:val="center"/>
          </w:tcPr>
          <w:p w14:paraId="5462ACEB" w14:textId="37763E33" w:rsidR="00C46123" w:rsidRPr="00175897" w:rsidRDefault="00C46123" w:rsidP="00B87A9B">
            <w:pPr>
              <w:jc w:val="right"/>
              <w:rPr>
                <w:rFonts w:ascii="Arial" w:eastAsia="Times New Roman" w:hAnsi="Arial" w:cs="Arial"/>
                <w:color w:val="000000"/>
                <w:sz w:val="20"/>
                <w:szCs w:val="20"/>
                <w:lang w:val="pt-BR"/>
              </w:rPr>
            </w:pPr>
            <w:r w:rsidRPr="00175897">
              <w:rPr>
                <w:rFonts w:ascii="Arial" w:hAnsi="Arial" w:cs="Arial"/>
                <w:color w:val="000000"/>
                <w:sz w:val="20"/>
                <w:szCs w:val="20"/>
                <w:lang w:val="pt-BR"/>
              </w:rPr>
              <w:t>5</w:t>
            </w:r>
            <w:r w:rsidR="007D32D9">
              <w:rPr>
                <w:rFonts w:ascii="Arial" w:hAnsi="Arial" w:cs="Arial"/>
                <w:color w:val="000000"/>
                <w:sz w:val="20"/>
                <w:szCs w:val="20"/>
                <w:lang w:val="pt-BR"/>
              </w:rPr>
              <w:t>,</w:t>
            </w:r>
            <w:r w:rsidRPr="00175897">
              <w:rPr>
                <w:rFonts w:ascii="Arial" w:hAnsi="Arial" w:cs="Arial"/>
                <w:color w:val="000000"/>
                <w:sz w:val="20"/>
                <w:szCs w:val="20"/>
                <w:lang w:val="pt-BR"/>
              </w:rPr>
              <w:t>6%</w:t>
            </w:r>
          </w:p>
        </w:tc>
      </w:tr>
      <w:tr w:rsidR="00C46123" w:rsidRPr="00175897" w14:paraId="1AA51115" w14:textId="77777777" w:rsidTr="007D32D9">
        <w:trPr>
          <w:trHeight w:val="287"/>
        </w:trPr>
        <w:tc>
          <w:tcPr>
            <w:tcW w:w="4636" w:type="dxa"/>
            <w:shd w:val="clear" w:color="auto" w:fill="auto"/>
            <w:hideMark/>
          </w:tcPr>
          <w:p w14:paraId="105A5631" w14:textId="77777777" w:rsidR="00C46123" w:rsidRPr="00F5768B" w:rsidRDefault="00C46123" w:rsidP="00B87A9B">
            <w:pPr>
              <w:rPr>
                <w:rFonts w:ascii="Arial" w:eastAsia="Times New Roman" w:hAnsi="Arial" w:cs="Arial"/>
                <w:b/>
                <w:bCs/>
                <w:sz w:val="20"/>
                <w:szCs w:val="20"/>
                <w:lang w:val="pt-BR"/>
              </w:rPr>
            </w:pPr>
            <w:r w:rsidRPr="00F5768B">
              <w:rPr>
                <w:rFonts w:ascii="Arial" w:eastAsia="Times New Roman" w:hAnsi="Arial" w:cs="Arial"/>
                <w:b/>
                <w:bCs/>
                <w:sz w:val="20"/>
                <w:szCs w:val="20"/>
                <w:lang w:val="pt-BR"/>
              </w:rPr>
              <w:t xml:space="preserve">Despesas da intermediação financeira </w:t>
            </w:r>
          </w:p>
        </w:tc>
        <w:tc>
          <w:tcPr>
            <w:tcW w:w="904" w:type="dxa"/>
            <w:shd w:val="clear" w:color="auto" w:fill="auto"/>
            <w:vAlign w:val="center"/>
            <w:hideMark/>
          </w:tcPr>
          <w:p w14:paraId="74A956FC" w14:textId="4E3D075D" w:rsidR="00C46123" w:rsidRPr="00F5768B" w:rsidRDefault="00C46123" w:rsidP="00B87A9B">
            <w:pPr>
              <w:jc w:val="right"/>
              <w:rPr>
                <w:rFonts w:ascii="Arial" w:eastAsia="Times New Roman" w:hAnsi="Arial" w:cs="Arial"/>
                <w:bCs/>
                <w:sz w:val="20"/>
                <w:szCs w:val="20"/>
                <w:lang w:val="pt-BR"/>
              </w:rPr>
            </w:pPr>
            <w:r w:rsidRPr="00F5768B">
              <w:rPr>
                <w:rFonts w:ascii="Arial" w:eastAsia="Times New Roman" w:hAnsi="Arial" w:cs="Arial"/>
                <w:bCs/>
                <w:sz w:val="20"/>
                <w:szCs w:val="20"/>
                <w:lang w:val="pt-BR"/>
              </w:rPr>
              <w:t>-4</w:t>
            </w:r>
            <w:r w:rsidR="007D32D9" w:rsidRPr="00F5768B">
              <w:rPr>
                <w:rFonts w:ascii="Arial" w:eastAsia="Times New Roman" w:hAnsi="Arial" w:cs="Arial"/>
                <w:bCs/>
                <w:sz w:val="20"/>
                <w:szCs w:val="20"/>
                <w:lang w:val="pt-BR"/>
              </w:rPr>
              <w:t>,</w:t>
            </w:r>
            <w:r w:rsidRPr="00F5768B">
              <w:rPr>
                <w:rFonts w:ascii="Arial" w:eastAsia="Times New Roman" w:hAnsi="Arial" w:cs="Arial"/>
                <w:bCs/>
                <w:sz w:val="20"/>
                <w:szCs w:val="20"/>
                <w:lang w:val="pt-BR"/>
              </w:rPr>
              <w:t xml:space="preserve">2 </w:t>
            </w:r>
          </w:p>
        </w:tc>
        <w:tc>
          <w:tcPr>
            <w:tcW w:w="905" w:type="dxa"/>
            <w:shd w:val="clear" w:color="auto" w:fill="auto"/>
            <w:vAlign w:val="center"/>
            <w:hideMark/>
          </w:tcPr>
          <w:p w14:paraId="1F7B02CD" w14:textId="165056A6" w:rsidR="00C46123" w:rsidRPr="00F5768B" w:rsidRDefault="00C46123" w:rsidP="00B87A9B">
            <w:pPr>
              <w:jc w:val="right"/>
              <w:rPr>
                <w:rFonts w:ascii="Arial" w:eastAsia="Times New Roman" w:hAnsi="Arial" w:cs="Arial"/>
                <w:bCs/>
                <w:sz w:val="20"/>
                <w:szCs w:val="20"/>
                <w:lang w:val="pt-BR"/>
              </w:rPr>
            </w:pPr>
            <w:r w:rsidRPr="00F5768B">
              <w:rPr>
                <w:rFonts w:ascii="Arial" w:eastAsia="Times New Roman" w:hAnsi="Arial" w:cs="Arial"/>
                <w:bCs/>
                <w:sz w:val="20"/>
                <w:szCs w:val="20"/>
                <w:lang w:val="pt-BR"/>
              </w:rPr>
              <w:t>-31</w:t>
            </w:r>
            <w:r w:rsidR="007D32D9" w:rsidRPr="00F5768B">
              <w:rPr>
                <w:rFonts w:ascii="Arial" w:eastAsia="Times New Roman" w:hAnsi="Arial" w:cs="Arial"/>
                <w:bCs/>
                <w:sz w:val="20"/>
                <w:szCs w:val="20"/>
                <w:lang w:val="pt-BR"/>
              </w:rPr>
              <w:t>,</w:t>
            </w:r>
            <w:r w:rsidRPr="00F5768B">
              <w:rPr>
                <w:rFonts w:ascii="Arial" w:eastAsia="Times New Roman" w:hAnsi="Arial" w:cs="Arial"/>
                <w:bCs/>
                <w:sz w:val="20"/>
                <w:szCs w:val="20"/>
                <w:lang w:val="pt-BR"/>
              </w:rPr>
              <w:t xml:space="preserve">5 </w:t>
            </w:r>
          </w:p>
        </w:tc>
        <w:tc>
          <w:tcPr>
            <w:tcW w:w="1169" w:type="dxa"/>
            <w:shd w:val="clear" w:color="auto" w:fill="auto"/>
            <w:vAlign w:val="center"/>
            <w:hideMark/>
          </w:tcPr>
          <w:p w14:paraId="4D2732B0" w14:textId="2318EC4F" w:rsidR="00C46123" w:rsidRPr="00F5768B" w:rsidRDefault="00C46123" w:rsidP="00B87A9B">
            <w:pPr>
              <w:jc w:val="right"/>
              <w:rPr>
                <w:rFonts w:ascii="Arial" w:eastAsia="Times New Roman" w:hAnsi="Arial" w:cs="Arial"/>
                <w:bCs/>
                <w:sz w:val="20"/>
                <w:szCs w:val="20"/>
                <w:lang w:val="pt-BR"/>
              </w:rPr>
            </w:pPr>
            <w:r w:rsidRPr="00F5768B">
              <w:rPr>
                <w:rFonts w:ascii="Arial" w:eastAsia="Times New Roman" w:hAnsi="Arial" w:cs="Arial"/>
                <w:bCs/>
                <w:sz w:val="20"/>
                <w:szCs w:val="20"/>
                <w:lang w:val="pt-BR"/>
              </w:rPr>
              <w:t>-27</w:t>
            </w:r>
            <w:r w:rsidR="007D32D9" w:rsidRPr="00F5768B">
              <w:rPr>
                <w:rFonts w:ascii="Arial" w:eastAsia="Times New Roman" w:hAnsi="Arial" w:cs="Arial"/>
                <w:bCs/>
                <w:sz w:val="20"/>
                <w:szCs w:val="20"/>
                <w:lang w:val="pt-BR"/>
              </w:rPr>
              <w:t>,</w:t>
            </w:r>
            <w:r w:rsidRPr="00F5768B">
              <w:rPr>
                <w:rFonts w:ascii="Arial" w:eastAsia="Times New Roman" w:hAnsi="Arial" w:cs="Arial"/>
                <w:bCs/>
                <w:sz w:val="20"/>
                <w:szCs w:val="20"/>
                <w:lang w:val="pt-BR"/>
              </w:rPr>
              <w:t xml:space="preserve">4 </w:t>
            </w:r>
          </w:p>
        </w:tc>
        <w:tc>
          <w:tcPr>
            <w:tcW w:w="1170" w:type="dxa"/>
            <w:shd w:val="clear" w:color="auto" w:fill="auto"/>
            <w:vAlign w:val="center"/>
          </w:tcPr>
          <w:p w14:paraId="73D056F6" w14:textId="46B8694A" w:rsidR="00C46123" w:rsidRPr="00F5768B" w:rsidRDefault="00C46123" w:rsidP="00B87A9B">
            <w:pPr>
              <w:jc w:val="right"/>
              <w:rPr>
                <w:rFonts w:ascii="Arial" w:eastAsia="Times New Roman" w:hAnsi="Arial" w:cs="Arial"/>
                <w:bCs/>
                <w:sz w:val="20"/>
                <w:szCs w:val="20"/>
                <w:lang w:val="pt-BR"/>
              </w:rPr>
            </w:pPr>
            <w:r w:rsidRPr="00F5768B">
              <w:rPr>
                <w:rFonts w:ascii="Arial" w:hAnsi="Arial" w:cs="Arial"/>
                <w:sz w:val="20"/>
                <w:szCs w:val="20"/>
                <w:lang w:val="pt-BR"/>
              </w:rPr>
              <w:t>659</w:t>
            </w:r>
            <w:r w:rsidR="007D32D9" w:rsidRPr="00F5768B">
              <w:rPr>
                <w:rFonts w:ascii="Arial" w:hAnsi="Arial" w:cs="Arial"/>
                <w:sz w:val="20"/>
                <w:szCs w:val="20"/>
                <w:lang w:val="pt-BR"/>
              </w:rPr>
              <w:t>,</w:t>
            </w:r>
            <w:r w:rsidRPr="00F5768B">
              <w:rPr>
                <w:rFonts w:ascii="Arial" w:hAnsi="Arial" w:cs="Arial"/>
                <w:sz w:val="20"/>
                <w:szCs w:val="20"/>
                <w:lang w:val="pt-BR"/>
              </w:rPr>
              <w:t>8%</w:t>
            </w:r>
          </w:p>
        </w:tc>
      </w:tr>
      <w:tr w:rsidR="00C46123" w:rsidRPr="00175897" w14:paraId="104086CA" w14:textId="77777777" w:rsidTr="007D32D9">
        <w:trPr>
          <w:trHeight w:val="287"/>
        </w:trPr>
        <w:tc>
          <w:tcPr>
            <w:tcW w:w="4636" w:type="dxa"/>
            <w:shd w:val="clear" w:color="auto" w:fill="auto"/>
            <w:vAlign w:val="center"/>
            <w:hideMark/>
          </w:tcPr>
          <w:p w14:paraId="498D13E4" w14:textId="77777777" w:rsidR="00C46123" w:rsidRPr="00F5768B" w:rsidRDefault="00C46123" w:rsidP="00B87A9B">
            <w:pPr>
              <w:rPr>
                <w:rFonts w:ascii="Arial" w:eastAsia="Times New Roman" w:hAnsi="Arial" w:cs="Arial"/>
                <w:sz w:val="20"/>
                <w:szCs w:val="20"/>
                <w:lang w:val="pt-BR"/>
              </w:rPr>
            </w:pPr>
            <w:r w:rsidRPr="00F5768B">
              <w:rPr>
                <w:rFonts w:ascii="Arial" w:eastAsia="Times New Roman" w:hAnsi="Arial" w:cs="Arial"/>
                <w:sz w:val="20"/>
                <w:szCs w:val="20"/>
                <w:lang w:val="pt-BR"/>
              </w:rPr>
              <w:t xml:space="preserve">     Operações de empréstimos e repasses </w:t>
            </w:r>
          </w:p>
        </w:tc>
        <w:tc>
          <w:tcPr>
            <w:tcW w:w="904" w:type="dxa"/>
            <w:shd w:val="clear" w:color="auto" w:fill="auto"/>
            <w:vAlign w:val="center"/>
            <w:hideMark/>
          </w:tcPr>
          <w:p w14:paraId="4440F3AF" w14:textId="20C85834" w:rsidR="00C46123" w:rsidRPr="00F5768B" w:rsidRDefault="00C46123" w:rsidP="00B87A9B">
            <w:pPr>
              <w:jc w:val="right"/>
              <w:rPr>
                <w:rFonts w:ascii="Arial" w:eastAsia="Times New Roman" w:hAnsi="Arial" w:cs="Arial"/>
                <w:sz w:val="20"/>
                <w:szCs w:val="20"/>
                <w:lang w:val="pt-BR"/>
              </w:rPr>
            </w:pPr>
            <w:r w:rsidRPr="00F5768B">
              <w:rPr>
                <w:rFonts w:ascii="Arial" w:eastAsia="Times New Roman" w:hAnsi="Arial" w:cs="Arial"/>
                <w:sz w:val="20"/>
                <w:szCs w:val="20"/>
                <w:lang w:val="pt-BR"/>
              </w:rPr>
              <w:t>-1</w:t>
            </w:r>
            <w:r w:rsidR="007D32D9" w:rsidRPr="00F5768B">
              <w:rPr>
                <w:rFonts w:ascii="Arial" w:eastAsia="Times New Roman" w:hAnsi="Arial" w:cs="Arial"/>
                <w:sz w:val="20"/>
                <w:szCs w:val="20"/>
                <w:lang w:val="pt-BR"/>
              </w:rPr>
              <w:t>,</w:t>
            </w:r>
            <w:r w:rsidRPr="00F5768B">
              <w:rPr>
                <w:rFonts w:ascii="Arial" w:eastAsia="Times New Roman" w:hAnsi="Arial" w:cs="Arial"/>
                <w:sz w:val="20"/>
                <w:szCs w:val="20"/>
                <w:lang w:val="pt-BR"/>
              </w:rPr>
              <w:t xml:space="preserve">8 </w:t>
            </w:r>
          </w:p>
        </w:tc>
        <w:tc>
          <w:tcPr>
            <w:tcW w:w="905" w:type="dxa"/>
            <w:shd w:val="clear" w:color="auto" w:fill="auto"/>
            <w:vAlign w:val="center"/>
            <w:hideMark/>
          </w:tcPr>
          <w:p w14:paraId="0AD162F5" w14:textId="40EC7C49" w:rsidR="00C46123" w:rsidRPr="00F5768B" w:rsidRDefault="00C46123" w:rsidP="00B87A9B">
            <w:pPr>
              <w:jc w:val="right"/>
              <w:rPr>
                <w:rFonts w:ascii="Arial" w:eastAsia="Times New Roman" w:hAnsi="Arial" w:cs="Arial"/>
                <w:sz w:val="20"/>
                <w:szCs w:val="20"/>
                <w:lang w:val="pt-BR"/>
              </w:rPr>
            </w:pPr>
            <w:r w:rsidRPr="00F5768B">
              <w:rPr>
                <w:rFonts w:ascii="Arial" w:eastAsia="Times New Roman" w:hAnsi="Arial" w:cs="Arial"/>
                <w:sz w:val="20"/>
                <w:szCs w:val="20"/>
                <w:lang w:val="pt-BR"/>
              </w:rPr>
              <w:t>-14</w:t>
            </w:r>
            <w:r w:rsidR="007D32D9" w:rsidRPr="00F5768B">
              <w:rPr>
                <w:rFonts w:ascii="Arial" w:eastAsia="Times New Roman" w:hAnsi="Arial" w:cs="Arial"/>
                <w:sz w:val="20"/>
                <w:szCs w:val="20"/>
                <w:lang w:val="pt-BR"/>
              </w:rPr>
              <w:t>,</w:t>
            </w:r>
            <w:r w:rsidRPr="00F5768B">
              <w:rPr>
                <w:rFonts w:ascii="Arial" w:eastAsia="Times New Roman" w:hAnsi="Arial" w:cs="Arial"/>
                <w:sz w:val="20"/>
                <w:szCs w:val="20"/>
                <w:lang w:val="pt-BR"/>
              </w:rPr>
              <w:t xml:space="preserve">1 </w:t>
            </w:r>
          </w:p>
        </w:tc>
        <w:tc>
          <w:tcPr>
            <w:tcW w:w="1169" w:type="dxa"/>
            <w:shd w:val="clear" w:color="auto" w:fill="auto"/>
            <w:vAlign w:val="center"/>
            <w:hideMark/>
          </w:tcPr>
          <w:p w14:paraId="1DCE1770" w14:textId="4B68DB9A" w:rsidR="00C46123" w:rsidRPr="00F5768B" w:rsidRDefault="00C46123" w:rsidP="00B87A9B">
            <w:pPr>
              <w:jc w:val="right"/>
              <w:rPr>
                <w:rFonts w:ascii="Arial" w:eastAsia="Times New Roman" w:hAnsi="Arial" w:cs="Arial"/>
                <w:sz w:val="20"/>
                <w:szCs w:val="20"/>
                <w:lang w:val="pt-BR"/>
              </w:rPr>
            </w:pPr>
            <w:r w:rsidRPr="00F5768B">
              <w:rPr>
                <w:rFonts w:ascii="Arial" w:eastAsia="Times New Roman" w:hAnsi="Arial" w:cs="Arial"/>
                <w:sz w:val="20"/>
                <w:szCs w:val="20"/>
                <w:lang w:val="pt-BR"/>
              </w:rPr>
              <w:t>-12</w:t>
            </w:r>
            <w:r w:rsidR="007D32D9" w:rsidRPr="00F5768B">
              <w:rPr>
                <w:rFonts w:ascii="Arial" w:eastAsia="Times New Roman" w:hAnsi="Arial" w:cs="Arial"/>
                <w:sz w:val="20"/>
                <w:szCs w:val="20"/>
                <w:lang w:val="pt-BR"/>
              </w:rPr>
              <w:t>,</w:t>
            </w:r>
            <w:r w:rsidRPr="00F5768B">
              <w:rPr>
                <w:rFonts w:ascii="Arial" w:eastAsia="Times New Roman" w:hAnsi="Arial" w:cs="Arial"/>
                <w:sz w:val="20"/>
                <w:szCs w:val="20"/>
                <w:lang w:val="pt-BR"/>
              </w:rPr>
              <w:t xml:space="preserve">3 </w:t>
            </w:r>
          </w:p>
        </w:tc>
        <w:tc>
          <w:tcPr>
            <w:tcW w:w="1170" w:type="dxa"/>
            <w:shd w:val="clear" w:color="auto" w:fill="auto"/>
            <w:vAlign w:val="center"/>
          </w:tcPr>
          <w:p w14:paraId="0665F3A4" w14:textId="006588A0" w:rsidR="00C46123" w:rsidRPr="00F5768B" w:rsidRDefault="00C46123" w:rsidP="00B87A9B">
            <w:pPr>
              <w:jc w:val="right"/>
              <w:rPr>
                <w:rFonts w:ascii="Arial" w:eastAsia="Times New Roman" w:hAnsi="Arial" w:cs="Arial"/>
                <w:sz w:val="20"/>
                <w:szCs w:val="20"/>
                <w:lang w:val="pt-BR"/>
              </w:rPr>
            </w:pPr>
            <w:r w:rsidRPr="00F5768B">
              <w:rPr>
                <w:rFonts w:ascii="Arial" w:hAnsi="Arial" w:cs="Arial"/>
                <w:sz w:val="20"/>
                <w:szCs w:val="20"/>
                <w:lang w:val="pt-BR"/>
              </w:rPr>
              <w:t>678</w:t>
            </w:r>
            <w:r w:rsidR="007D32D9" w:rsidRPr="00F5768B">
              <w:rPr>
                <w:rFonts w:ascii="Arial" w:hAnsi="Arial" w:cs="Arial"/>
                <w:sz w:val="20"/>
                <w:szCs w:val="20"/>
                <w:lang w:val="pt-BR"/>
              </w:rPr>
              <w:t>,</w:t>
            </w:r>
            <w:r w:rsidRPr="00F5768B">
              <w:rPr>
                <w:rFonts w:ascii="Arial" w:hAnsi="Arial" w:cs="Arial"/>
                <w:sz w:val="20"/>
                <w:szCs w:val="20"/>
                <w:lang w:val="pt-BR"/>
              </w:rPr>
              <w:t>9%</w:t>
            </w:r>
          </w:p>
        </w:tc>
      </w:tr>
      <w:tr w:rsidR="00C46123" w:rsidRPr="00175897" w14:paraId="07F578B6" w14:textId="77777777" w:rsidTr="007D32D9">
        <w:trPr>
          <w:trHeight w:val="287"/>
        </w:trPr>
        <w:tc>
          <w:tcPr>
            <w:tcW w:w="4636" w:type="dxa"/>
            <w:shd w:val="clear" w:color="auto" w:fill="auto"/>
            <w:vAlign w:val="center"/>
            <w:hideMark/>
          </w:tcPr>
          <w:p w14:paraId="167FAD4E" w14:textId="77777777" w:rsidR="00C46123" w:rsidRPr="00F5768B" w:rsidRDefault="00C46123" w:rsidP="00B87A9B">
            <w:pPr>
              <w:ind w:left="316" w:hanging="284"/>
              <w:rPr>
                <w:rFonts w:ascii="Arial" w:eastAsia="Times New Roman" w:hAnsi="Arial" w:cs="Arial"/>
                <w:sz w:val="20"/>
                <w:szCs w:val="20"/>
                <w:lang w:val="pt-BR"/>
              </w:rPr>
            </w:pPr>
            <w:r w:rsidRPr="00F5768B">
              <w:rPr>
                <w:rFonts w:ascii="Arial" w:eastAsia="Times New Roman" w:hAnsi="Arial" w:cs="Arial"/>
                <w:sz w:val="20"/>
                <w:szCs w:val="20"/>
                <w:lang w:val="pt-BR"/>
              </w:rPr>
              <w:t xml:space="preserve">     </w:t>
            </w:r>
            <w:r w:rsidRPr="00F5768B">
              <w:rPr>
                <w:rFonts w:ascii="Arial" w:eastAsia="Times New Roman" w:hAnsi="Arial" w:cs="Arial"/>
                <w:color w:val="000000"/>
                <w:sz w:val="20"/>
                <w:szCs w:val="20"/>
                <w:lang w:val="pt-BR"/>
              </w:rPr>
              <w:t>Provisão para créditos de liquidação duvidosa</w:t>
            </w:r>
            <w:r w:rsidRPr="00F5768B">
              <w:rPr>
                <w:rFonts w:ascii="Arial" w:eastAsia="Times New Roman" w:hAnsi="Arial" w:cs="Arial"/>
                <w:sz w:val="20"/>
                <w:szCs w:val="20"/>
                <w:lang w:val="pt-BR"/>
              </w:rPr>
              <w:t xml:space="preserve"> </w:t>
            </w:r>
          </w:p>
        </w:tc>
        <w:tc>
          <w:tcPr>
            <w:tcW w:w="904" w:type="dxa"/>
            <w:shd w:val="clear" w:color="auto" w:fill="auto"/>
            <w:vAlign w:val="center"/>
            <w:hideMark/>
          </w:tcPr>
          <w:p w14:paraId="3B284C79" w14:textId="534BBB74" w:rsidR="00C46123" w:rsidRPr="00F5768B" w:rsidRDefault="00C46123" w:rsidP="00B87A9B">
            <w:pPr>
              <w:jc w:val="right"/>
              <w:rPr>
                <w:rFonts w:ascii="Arial" w:eastAsia="Times New Roman" w:hAnsi="Arial" w:cs="Arial"/>
                <w:sz w:val="20"/>
                <w:szCs w:val="20"/>
                <w:lang w:val="pt-BR"/>
              </w:rPr>
            </w:pPr>
            <w:r w:rsidRPr="00F5768B">
              <w:rPr>
                <w:rFonts w:ascii="Arial" w:eastAsia="Times New Roman" w:hAnsi="Arial" w:cs="Arial"/>
                <w:sz w:val="20"/>
                <w:szCs w:val="20"/>
                <w:lang w:val="pt-BR"/>
              </w:rPr>
              <w:t>-2</w:t>
            </w:r>
            <w:r w:rsidR="007D32D9" w:rsidRPr="00F5768B">
              <w:rPr>
                <w:rFonts w:ascii="Arial" w:eastAsia="Times New Roman" w:hAnsi="Arial" w:cs="Arial"/>
                <w:sz w:val="20"/>
                <w:szCs w:val="20"/>
                <w:lang w:val="pt-BR"/>
              </w:rPr>
              <w:t>,</w:t>
            </w:r>
            <w:r w:rsidRPr="00F5768B">
              <w:rPr>
                <w:rFonts w:ascii="Arial" w:eastAsia="Times New Roman" w:hAnsi="Arial" w:cs="Arial"/>
                <w:sz w:val="20"/>
                <w:szCs w:val="20"/>
                <w:lang w:val="pt-BR"/>
              </w:rPr>
              <w:t xml:space="preserve">3 </w:t>
            </w:r>
          </w:p>
        </w:tc>
        <w:tc>
          <w:tcPr>
            <w:tcW w:w="905" w:type="dxa"/>
            <w:shd w:val="clear" w:color="auto" w:fill="auto"/>
            <w:vAlign w:val="center"/>
            <w:hideMark/>
          </w:tcPr>
          <w:p w14:paraId="140A8E35" w14:textId="1B633998" w:rsidR="00C46123" w:rsidRPr="00F5768B" w:rsidRDefault="00C46123" w:rsidP="00B87A9B">
            <w:pPr>
              <w:jc w:val="right"/>
              <w:rPr>
                <w:rFonts w:ascii="Arial" w:eastAsia="Times New Roman" w:hAnsi="Arial" w:cs="Arial"/>
                <w:sz w:val="20"/>
                <w:szCs w:val="20"/>
                <w:lang w:val="pt-BR"/>
              </w:rPr>
            </w:pPr>
            <w:r w:rsidRPr="00F5768B">
              <w:rPr>
                <w:rFonts w:ascii="Arial" w:eastAsia="Times New Roman" w:hAnsi="Arial" w:cs="Arial"/>
                <w:sz w:val="20"/>
                <w:szCs w:val="20"/>
                <w:lang w:val="pt-BR"/>
              </w:rPr>
              <w:t>-17</w:t>
            </w:r>
            <w:r w:rsidR="007D32D9" w:rsidRPr="00F5768B">
              <w:rPr>
                <w:rFonts w:ascii="Arial" w:eastAsia="Times New Roman" w:hAnsi="Arial" w:cs="Arial"/>
                <w:sz w:val="20"/>
                <w:szCs w:val="20"/>
                <w:lang w:val="pt-BR"/>
              </w:rPr>
              <w:t>,</w:t>
            </w:r>
            <w:r w:rsidRPr="00F5768B">
              <w:rPr>
                <w:rFonts w:ascii="Arial" w:eastAsia="Times New Roman" w:hAnsi="Arial" w:cs="Arial"/>
                <w:sz w:val="20"/>
                <w:szCs w:val="20"/>
                <w:lang w:val="pt-BR"/>
              </w:rPr>
              <w:t xml:space="preserve">4 </w:t>
            </w:r>
          </w:p>
        </w:tc>
        <w:tc>
          <w:tcPr>
            <w:tcW w:w="1169" w:type="dxa"/>
            <w:shd w:val="clear" w:color="auto" w:fill="auto"/>
            <w:vAlign w:val="center"/>
            <w:hideMark/>
          </w:tcPr>
          <w:p w14:paraId="73FE4F55" w14:textId="48A537A3" w:rsidR="00C46123" w:rsidRPr="00F5768B" w:rsidRDefault="00C46123" w:rsidP="00B87A9B">
            <w:pPr>
              <w:jc w:val="right"/>
              <w:rPr>
                <w:rFonts w:ascii="Arial" w:eastAsia="Times New Roman" w:hAnsi="Arial" w:cs="Arial"/>
                <w:sz w:val="20"/>
                <w:szCs w:val="20"/>
                <w:lang w:val="pt-BR"/>
              </w:rPr>
            </w:pPr>
            <w:r w:rsidRPr="00F5768B">
              <w:rPr>
                <w:rFonts w:ascii="Arial" w:eastAsia="Times New Roman" w:hAnsi="Arial" w:cs="Arial"/>
                <w:sz w:val="20"/>
                <w:szCs w:val="20"/>
                <w:lang w:val="pt-BR"/>
              </w:rPr>
              <w:t>-15</w:t>
            </w:r>
            <w:r w:rsidR="007D32D9" w:rsidRPr="00F5768B">
              <w:rPr>
                <w:rFonts w:ascii="Arial" w:eastAsia="Times New Roman" w:hAnsi="Arial" w:cs="Arial"/>
                <w:sz w:val="20"/>
                <w:szCs w:val="20"/>
                <w:lang w:val="pt-BR"/>
              </w:rPr>
              <w:t>,</w:t>
            </w:r>
            <w:r w:rsidRPr="00F5768B">
              <w:rPr>
                <w:rFonts w:ascii="Arial" w:eastAsia="Times New Roman" w:hAnsi="Arial" w:cs="Arial"/>
                <w:sz w:val="20"/>
                <w:szCs w:val="20"/>
                <w:lang w:val="pt-BR"/>
              </w:rPr>
              <w:t xml:space="preserve">1 </w:t>
            </w:r>
          </w:p>
        </w:tc>
        <w:tc>
          <w:tcPr>
            <w:tcW w:w="1170" w:type="dxa"/>
            <w:shd w:val="clear" w:color="auto" w:fill="auto"/>
            <w:vAlign w:val="center"/>
          </w:tcPr>
          <w:p w14:paraId="7E36660A" w14:textId="109C8A44" w:rsidR="00C46123" w:rsidRPr="00F5768B" w:rsidRDefault="00C46123" w:rsidP="00B87A9B">
            <w:pPr>
              <w:jc w:val="right"/>
              <w:rPr>
                <w:rFonts w:ascii="Arial" w:eastAsia="Times New Roman" w:hAnsi="Arial" w:cs="Arial"/>
                <w:sz w:val="20"/>
                <w:szCs w:val="20"/>
                <w:lang w:val="pt-BR"/>
              </w:rPr>
            </w:pPr>
            <w:r w:rsidRPr="00F5768B">
              <w:rPr>
                <w:rFonts w:ascii="Arial" w:hAnsi="Arial" w:cs="Arial"/>
                <w:sz w:val="20"/>
                <w:szCs w:val="20"/>
                <w:lang w:val="pt-BR"/>
              </w:rPr>
              <w:t>645</w:t>
            </w:r>
            <w:r w:rsidR="007D32D9" w:rsidRPr="00F5768B">
              <w:rPr>
                <w:rFonts w:ascii="Arial" w:hAnsi="Arial" w:cs="Arial"/>
                <w:sz w:val="20"/>
                <w:szCs w:val="20"/>
                <w:lang w:val="pt-BR"/>
              </w:rPr>
              <w:t>,</w:t>
            </w:r>
            <w:r w:rsidRPr="00F5768B">
              <w:rPr>
                <w:rFonts w:ascii="Arial" w:hAnsi="Arial" w:cs="Arial"/>
                <w:sz w:val="20"/>
                <w:szCs w:val="20"/>
                <w:lang w:val="pt-BR"/>
              </w:rPr>
              <w:t>0%</w:t>
            </w:r>
          </w:p>
        </w:tc>
      </w:tr>
      <w:tr w:rsidR="00C46123" w:rsidRPr="00175897" w14:paraId="61C4597E" w14:textId="77777777" w:rsidTr="007D32D9">
        <w:trPr>
          <w:trHeight w:val="287"/>
        </w:trPr>
        <w:tc>
          <w:tcPr>
            <w:tcW w:w="4636" w:type="dxa"/>
            <w:shd w:val="clear" w:color="auto" w:fill="auto"/>
            <w:hideMark/>
          </w:tcPr>
          <w:p w14:paraId="6F2480F5" w14:textId="77777777" w:rsidR="00C46123" w:rsidRPr="00175897" w:rsidRDefault="00C46123" w:rsidP="00B87A9B">
            <w:pPr>
              <w:rPr>
                <w:rFonts w:ascii="Arial" w:eastAsia="Times New Roman" w:hAnsi="Arial" w:cs="Arial"/>
                <w:b/>
                <w:bCs/>
                <w:sz w:val="20"/>
                <w:szCs w:val="20"/>
                <w:lang w:val="pt-BR"/>
              </w:rPr>
            </w:pPr>
            <w:r w:rsidRPr="00175897">
              <w:rPr>
                <w:rFonts w:ascii="Arial" w:eastAsia="Times New Roman" w:hAnsi="Arial" w:cs="Arial"/>
                <w:b/>
                <w:bCs/>
                <w:sz w:val="20"/>
                <w:szCs w:val="20"/>
                <w:lang w:val="pt-BR"/>
              </w:rPr>
              <w:t>Resultado bruto da intermediação financeira</w:t>
            </w:r>
          </w:p>
        </w:tc>
        <w:tc>
          <w:tcPr>
            <w:tcW w:w="904" w:type="dxa"/>
            <w:shd w:val="clear" w:color="auto" w:fill="auto"/>
            <w:vAlign w:val="center"/>
            <w:hideMark/>
          </w:tcPr>
          <w:p w14:paraId="66742299" w14:textId="0CB3420C" w:rsidR="00C46123" w:rsidRPr="00175897" w:rsidRDefault="00C46123" w:rsidP="00B87A9B">
            <w:pPr>
              <w:jc w:val="right"/>
              <w:rPr>
                <w:rFonts w:ascii="Arial" w:eastAsia="Times New Roman" w:hAnsi="Arial" w:cs="Arial"/>
                <w:bCs/>
                <w:sz w:val="20"/>
                <w:szCs w:val="20"/>
                <w:lang w:val="pt-BR"/>
              </w:rPr>
            </w:pPr>
            <w:r w:rsidRPr="00175897">
              <w:rPr>
                <w:rFonts w:ascii="Arial" w:eastAsia="Times New Roman" w:hAnsi="Arial" w:cs="Arial"/>
                <w:bCs/>
                <w:sz w:val="20"/>
                <w:szCs w:val="20"/>
                <w:lang w:val="pt-BR"/>
              </w:rPr>
              <w:t>125</w:t>
            </w:r>
            <w:r w:rsidR="007D32D9">
              <w:rPr>
                <w:rFonts w:ascii="Arial" w:eastAsia="Times New Roman" w:hAnsi="Arial" w:cs="Arial"/>
                <w:bCs/>
                <w:sz w:val="20"/>
                <w:szCs w:val="20"/>
                <w:lang w:val="pt-BR"/>
              </w:rPr>
              <w:t>,</w:t>
            </w:r>
            <w:r w:rsidRPr="00175897">
              <w:rPr>
                <w:rFonts w:ascii="Arial" w:eastAsia="Times New Roman" w:hAnsi="Arial" w:cs="Arial"/>
                <w:bCs/>
                <w:sz w:val="20"/>
                <w:szCs w:val="20"/>
                <w:lang w:val="pt-BR"/>
              </w:rPr>
              <w:t xml:space="preserve">5 </w:t>
            </w:r>
          </w:p>
        </w:tc>
        <w:tc>
          <w:tcPr>
            <w:tcW w:w="905" w:type="dxa"/>
            <w:shd w:val="clear" w:color="auto" w:fill="auto"/>
            <w:vAlign w:val="center"/>
            <w:hideMark/>
          </w:tcPr>
          <w:p w14:paraId="1060417E" w14:textId="53F96F92" w:rsidR="00C46123" w:rsidRPr="00175897" w:rsidRDefault="00C46123" w:rsidP="00B87A9B">
            <w:pPr>
              <w:jc w:val="right"/>
              <w:rPr>
                <w:rFonts w:ascii="Arial" w:eastAsia="Times New Roman" w:hAnsi="Arial" w:cs="Arial"/>
                <w:bCs/>
                <w:sz w:val="20"/>
                <w:szCs w:val="20"/>
                <w:lang w:val="pt-BR"/>
              </w:rPr>
            </w:pPr>
            <w:r w:rsidRPr="00175897">
              <w:rPr>
                <w:rFonts w:ascii="Arial" w:eastAsia="Times New Roman" w:hAnsi="Arial" w:cs="Arial"/>
                <w:bCs/>
                <w:sz w:val="20"/>
                <w:szCs w:val="20"/>
                <w:lang w:val="pt-BR"/>
              </w:rPr>
              <w:t>164</w:t>
            </w:r>
            <w:r w:rsidR="007D32D9">
              <w:rPr>
                <w:rFonts w:ascii="Arial" w:eastAsia="Times New Roman" w:hAnsi="Arial" w:cs="Arial"/>
                <w:bCs/>
                <w:sz w:val="20"/>
                <w:szCs w:val="20"/>
                <w:lang w:val="pt-BR"/>
              </w:rPr>
              <w:t>,</w:t>
            </w:r>
            <w:r w:rsidRPr="00175897">
              <w:rPr>
                <w:rFonts w:ascii="Arial" w:eastAsia="Times New Roman" w:hAnsi="Arial" w:cs="Arial"/>
                <w:bCs/>
                <w:sz w:val="20"/>
                <w:szCs w:val="20"/>
                <w:lang w:val="pt-BR"/>
              </w:rPr>
              <w:t xml:space="preserve">3 </w:t>
            </w:r>
          </w:p>
        </w:tc>
        <w:tc>
          <w:tcPr>
            <w:tcW w:w="1169" w:type="dxa"/>
            <w:shd w:val="clear" w:color="auto" w:fill="auto"/>
            <w:vAlign w:val="center"/>
            <w:hideMark/>
          </w:tcPr>
          <w:p w14:paraId="57BD468E" w14:textId="233A0A22" w:rsidR="00C46123" w:rsidRPr="00175897" w:rsidRDefault="00C46123" w:rsidP="00B87A9B">
            <w:pPr>
              <w:jc w:val="right"/>
              <w:rPr>
                <w:rFonts w:ascii="Arial" w:eastAsia="Times New Roman" w:hAnsi="Arial" w:cs="Arial"/>
                <w:bCs/>
                <w:sz w:val="20"/>
                <w:szCs w:val="20"/>
                <w:lang w:val="pt-BR"/>
              </w:rPr>
            </w:pPr>
            <w:r w:rsidRPr="00175897">
              <w:rPr>
                <w:rFonts w:ascii="Arial" w:eastAsia="Times New Roman" w:hAnsi="Arial" w:cs="Arial"/>
                <w:bCs/>
                <w:sz w:val="20"/>
                <w:szCs w:val="20"/>
                <w:lang w:val="pt-BR"/>
              </w:rPr>
              <w:t>38</w:t>
            </w:r>
            <w:r w:rsidR="007D32D9">
              <w:rPr>
                <w:rFonts w:ascii="Arial" w:eastAsia="Times New Roman" w:hAnsi="Arial" w:cs="Arial"/>
                <w:bCs/>
                <w:sz w:val="20"/>
                <w:szCs w:val="20"/>
                <w:lang w:val="pt-BR"/>
              </w:rPr>
              <w:t>,</w:t>
            </w:r>
            <w:r w:rsidRPr="00175897">
              <w:rPr>
                <w:rFonts w:ascii="Arial" w:eastAsia="Times New Roman" w:hAnsi="Arial" w:cs="Arial"/>
                <w:bCs/>
                <w:sz w:val="20"/>
                <w:szCs w:val="20"/>
                <w:lang w:val="pt-BR"/>
              </w:rPr>
              <w:t xml:space="preserve">8 </w:t>
            </w:r>
          </w:p>
        </w:tc>
        <w:tc>
          <w:tcPr>
            <w:tcW w:w="1170" w:type="dxa"/>
            <w:shd w:val="clear" w:color="auto" w:fill="auto"/>
            <w:vAlign w:val="center"/>
          </w:tcPr>
          <w:p w14:paraId="13488FE1" w14:textId="04A388E1" w:rsidR="00C46123" w:rsidRPr="00175897" w:rsidRDefault="00C46123" w:rsidP="00B87A9B">
            <w:pPr>
              <w:jc w:val="right"/>
              <w:rPr>
                <w:rFonts w:ascii="Arial" w:eastAsia="Times New Roman" w:hAnsi="Arial" w:cs="Arial"/>
                <w:bCs/>
                <w:sz w:val="20"/>
                <w:szCs w:val="20"/>
                <w:lang w:val="pt-BR"/>
              </w:rPr>
            </w:pPr>
            <w:r w:rsidRPr="00175897">
              <w:rPr>
                <w:rFonts w:ascii="Arial" w:hAnsi="Arial" w:cs="Arial"/>
                <w:sz w:val="20"/>
                <w:szCs w:val="20"/>
                <w:lang w:val="pt-BR"/>
              </w:rPr>
              <w:t>30</w:t>
            </w:r>
            <w:r w:rsidR="007D32D9">
              <w:rPr>
                <w:rFonts w:ascii="Arial" w:hAnsi="Arial" w:cs="Arial"/>
                <w:sz w:val="20"/>
                <w:szCs w:val="20"/>
                <w:lang w:val="pt-BR"/>
              </w:rPr>
              <w:t>,</w:t>
            </w:r>
            <w:r w:rsidRPr="00175897">
              <w:rPr>
                <w:rFonts w:ascii="Arial" w:hAnsi="Arial" w:cs="Arial"/>
                <w:sz w:val="20"/>
                <w:szCs w:val="20"/>
                <w:lang w:val="pt-BR"/>
              </w:rPr>
              <w:t>9%</w:t>
            </w:r>
          </w:p>
        </w:tc>
      </w:tr>
      <w:tr w:rsidR="00C46123" w:rsidRPr="00175897" w14:paraId="4104A1E3" w14:textId="77777777" w:rsidTr="007D32D9">
        <w:trPr>
          <w:trHeight w:val="287"/>
        </w:trPr>
        <w:tc>
          <w:tcPr>
            <w:tcW w:w="4636" w:type="dxa"/>
            <w:shd w:val="clear" w:color="auto" w:fill="auto"/>
            <w:hideMark/>
          </w:tcPr>
          <w:p w14:paraId="44AA1DCD" w14:textId="77777777" w:rsidR="00C46123" w:rsidRPr="00F5768B" w:rsidRDefault="00C46123" w:rsidP="00B87A9B">
            <w:pPr>
              <w:rPr>
                <w:rFonts w:ascii="Arial" w:eastAsia="Times New Roman" w:hAnsi="Arial" w:cs="Arial"/>
                <w:bCs/>
                <w:color w:val="000000"/>
                <w:sz w:val="20"/>
                <w:szCs w:val="20"/>
                <w:lang w:val="pt-BR"/>
              </w:rPr>
            </w:pPr>
            <w:r w:rsidRPr="00F5768B">
              <w:rPr>
                <w:rFonts w:ascii="Arial" w:eastAsia="Times New Roman" w:hAnsi="Arial" w:cs="Arial"/>
                <w:bCs/>
                <w:color w:val="000000"/>
                <w:sz w:val="20"/>
                <w:szCs w:val="20"/>
                <w:lang w:val="pt-BR"/>
              </w:rPr>
              <w:t xml:space="preserve">Outras receitas/despesas operacionais </w:t>
            </w:r>
          </w:p>
        </w:tc>
        <w:tc>
          <w:tcPr>
            <w:tcW w:w="904" w:type="dxa"/>
            <w:shd w:val="clear" w:color="auto" w:fill="auto"/>
            <w:vAlign w:val="center"/>
            <w:hideMark/>
          </w:tcPr>
          <w:p w14:paraId="4D4611F2" w14:textId="10C6E101" w:rsidR="00C46123" w:rsidRPr="00F5768B" w:rsidRDefault="00C46123" w:rsidP="00B87A9B">
            <w:pPr>
              <w:jc w:val="right"/>
              <w:rPr>
                <w:rFonts w:ascii="Arial" w:eastAsia="Times New Roman" w:hAnsi="Arial" w:cs="Arial"/>
                <w:bCs/>
                <w:color w:val="000000"/>
                <w:sz w:val="20"/>
                <w:szCs w:val="20"/>
                <w:lang w:val="pt-BR"/>
              </w:rPr>
            </w:pPr>
            <w:r w:rsidRPr="00F5768B">
              <w:rPr>
                <w:rFonts w:ascii="Arial" w:eastAsia="Times New Roman" w:hAnsi="Arial" w:cs="Arial"/>
                <w:bCs/>
                <w:color w:val="000000"/>
                <w:sz w:val="20"/>
                <w:szCs w:val="20"/>
                <w:lang w:val="pt-BR"/>
              </w:rPr>
              <w:t>-43</w:t>
            </w:r>
            <w:r w:rsidR="007D32D9" w:rsidRPr="00F5768B">
              <w:rPr>
                <w:rFonts w:ascii="Arial" w:eastAsia="Times New Roman" w:hAnsi="Arial" w:cs="Arial"/>
                <w:bCs/>
                <w:color w:val="000000"/>
                <w:sz w:val="20"/>
                <w:szCs w:val="20"/>
                <w:lang w:val="pt-BR"/>
              </w:rPr>
              <w:t>,</w:t>
            </w:r>
            <w:r w:rsidRPr="00F5768B">
              <w:rPr>
                <w:rFonts w:ascii="Arial" w:eastAsia="Times New Roman" w:hAnsi="Arial" w:cs="Arial"/>
                <w:bCs/>
                <w:color w:val="000000"/>
                <w:sz w:val="20"/>
                <w:szCs w:val="20"/>
                <w:lang w:val="pt-BR"/>
              </w:rPr>
              <w:t xml:space="preserve">8 </w:t>
            </w:r>
          </w:p>
        </w:tc>
        <w:tc>
          <w:tcPr>
            <w:tcW w:w="905" w:type="dxa"/>
            <w:shd w:val="clear" w:color="auto" w:fill="auto"/>
            <w:vAlign w:val="center"/>
            <w:hideMark/>
          </w:tcPr>
          <w:p w14:paraId="142B4DE7" w14:textId="38B29EDB" w:rsidR="00C46123" w:rsidRPr="00F5768B" w:rsidRDefault="00C46123" w:rsidP="00B87A9B">
            <w:pPr>
              <w:jc w:val="right"/>
              <w:rPr>
                <w:rFonts w:ascii="Arial" w:eastAsia="Times New Roman" w:hAnsi="Arial" w:cs="Arial"/>
                <w:bCs/>
                <w:color w:val="000000"/>
                <w:sz w:val="20"/>
                <w:szCs w:val="20"/>
                <w:lang w:val="pt-BR"/>
              </w:rPr>
            </w:pPr>
            <w:r w:rsidRPr="00F5768B">
              <w:rPr>
                <w:rFonts w:ascii="Arial" w:eastAsia="Times New Roman" w:hAnsi="Arial" w:cs="Arial"/>
                <w:bCs/>
                <w:color w:val="000000"/>
                <w:sz w:val="20"/>
                <w:szCs w:val="20"/>
                <w:lang w:val="pt-BR"/>
              </w:rPr>
              <w:t>-51</w:t>
            </w:r>
            <w:r w:rsidR="007D32D9" w:rsidRPr="00F5768B">
              <w:rPr>
                <w:rFonts w:ascii="Arial" w:eastAsia="Times New Roman" w:hAnsi="Arial" w:cs="Arial"/>
                <w:bCs/>
                <w:color w:val="000000"/>
                <w:sz w:val="20"/>
                <w:szCs w:val="20"/>
                <w:lang w:val="pt-BR"/>
              </w:rPr>
              <w:t>,</w:t>
            </w:r>
            <w:r w:rsidRPr="00F5768B">
              <w:rPr>
                <w:rFonts w:ascii="Arial" w:eastAsia="Times New Roman" w:hAnsi="Arial" w:cs="Arial"/>
                <w:bCs/>
                <w:color w:val="000000"/>
                <w:sz w:val="20"/>
                <w:szCs w:val="20"/>
                <w:lang w:val="pt-BR"/>
              </w:rPr>
              <w:t xml:space="preserve">5 </w:t>
            </w:r>
          </w:p>
        </w:tc>
        <w:tc>
          <w:tcPr>
            <w:tcW w:w="1169" w:type="dxa"/>
            <w:shd w:val="clear" w:color="auto" w:fill="auto"/>
            <w:vAlign w:val="center"/>
            <w:hideMark/>
          </w:tcPr>
          <w:p w14:paraId="5C585A5A" w14:textId="378519F1" w:rsidR="00C46123" w:rsidRPr="00F5768B" w:rsidRDefault="00C46123" w:rsidP="00B87A9B">
            <w:pPr>
              <w:jc w:val="right"/>
              <w:rPr>
                <w:rFonts w:ascii="Arial" w:eastAsia="Times New Roman" w:hAnsi="Arial" w:cs="Arial"/>
                <w:bCs/>
                <w:color w:val="000000"/>
                <w:sz w:val="20"/>
                <w:szCs w:val="20"/>
                <w:lang w:val="pt-BR"/>
              </w:rPr>
            </w:pPr>
            <w:r w:rsidRPr="00F5768B">
              <w:rPr>
                <w:rFonts w:ascii="Arial" w:eastAsia="Times New Roman" w:hAnsi="Arial" w:cs="Arial"/>
                <w:bCs/>
                <w:color w:val="000000"/>
                <w:sz w:val="20"/>
                <w:szCs w:val="20"/>
                <w:lang w:val="pt-BR"/>
              </w:rPr>
              <w:t>-7</w:t>
            </w:r>
            <w:r w:rsidR="007D32D9" w:rsidRPr="00F5768B">
              <w:rPr>
                <w:rFonts w:ascii="Arial" w:eastAsia="Times New Roman" w:hAnsi="Arial" w:cs="Arial"/>
                <w:bCs/>
                <w:color w:val="000000"/>
                <w:sz w:val="20"/>
                <w:szCs w:val="20"/>
                <w:lang w:val="pt-BR"/>
              </w:rPr>
              <w:t>,</w:t>
            </w:r>
            <w:r w:rsidRPr="00F5768B">
              <w:rPr>
                <w:rFonts w:ascii="Arial" w:eastAsia="Times New Roman" w:hAnsi="Arial" w:cs="Arial"/>
                <w:bCs/>
                <w:color w:val="000000"/>
                <w:sz w:val="20"/>
                <w:szCs w:val="20"/>
                <w:lang w:val="pt-BR"/>
              </w:rPr>
              <w:t xml:space="preserve">7 </w:t>
            </w:r>
          </w:p>
        </w:tc>
        <w:tc>
          <w:tcPr>
            <w:tcW w:w="1170" w:type="dxa"/>
            <w:shd w:val="clear" w:color="auto" w:fill="auto"/>
            <w:vAlign w:val="center"/>
          </w:tcPr>
          <w:p w14:paraId="448F1AD1" w14:textId="7E8777C1" w:rsidR="00C46123" w:rsidRPr="00F5768B" w:rsidRDefault="00C46123" w:rsidP="00B87A9B">
            <w:pPr>
              <w:jc w:val="right"/>
              <w:rPr>
                <w:rFonts w:ascii="Arial" w:eastAsia="Times New Roman" w:hAnsi="Arial" w:cs="Arial"/>
                <w:bCs/>
                <w:color w:val="000000"/>
                <w:sz w:val="20"/>
                <w:szCs w:val="20"/>
                <w:lang w:val="pt-BR"/>
              </w:rPr>
            </w:pPr>
            <w:r w:rsidRPr="00F5768B">
              <w:rPr>
                <w:rFonts w:ascii="Arial" w:hAnsi="Arial" w:cs="Arial"/>
                <w:color w:val="000000"/>
                <w:sz w:val="20"/>
                <w:szCs w:val="20"/>
                <w:lang w:val="pt-BR"/>
              </w:rPr>
              <w:t>17</w:t>
            </w:r>
            <w:r w:rsidR="007D32D9" w:rsidRPr="00F5768B">
              <w:rPr>
                <w:rFonts w:ascii="Arial" w:hAnsi="Arial" w:cs="Arial"/>
                <w:color w:val="000000"/>
                <w:sz w:val="20"/>
                <w:szCs w:val="20"/>
                <w:lang w:val="pt-BR"/>
              </w:rPr>
              <w:t>,</w:t>
            </w:r>
            <w:r w:rsidRPr="00F5768B">
              <w:rPr>
                <w:rFonts w:ascii="Arial" w:hAnsi="Arial" w:cs="Arial"/>
                <w:color w:val="000000"/>
                <w:sz w:val="20"/>
                <w:szCs w:val="20"/>
                <w:lang w:val="pt-BR"/>
              </w:rPr>
              <w:t>5%</w:t>
            </w:r>
          </w:p>
        </w:tc>
      </w:tr>
      <w:tr w:rsidR="00C46123" w:rsidRPr="00175897" w14:paraId="5DBEF8F4" w14:textId="77777777" w:rsidTr="007D32D9">
        <w:trPr>
          <w:trHeight w:val="287"/>
        </w:trPr>
        <w:tc>
          <w:tcPr>
            <w:tcW w:w="4636" w:type="dxa"/>
            <w:shd w:val="clear" w:color="auto" w:fill="auto"/>
            <w:hideMark/>
          </w:tcPr>
          <w:p w14:paraId="69C352C3" w14:textId="77777777" w:rsidR="00C46123" w:rsidRPr="00175897" w:rsidRDefault="00C46123" w:rsidP="00B87A9B">
            <w:pPr>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 xml:space="preserve">Resultado operacional </w:t>
            </w:r>
          </w:p>
        </w:tc>
        <w:tc>
          <w:tcPr>
            <w:tcW w:w="904" w:type="dxa"/>
            <w:shd w:val="clear" w:color="auto" w:fill="auto"/>
            <w:vAlign w:val="center"/>
            <w:hideMark/>
          </w:tcPr>
          <w:p w14:paraId="054ADFC1" w14:textId="3F9CAB7F"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81</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7 </w:t>
            </w:r>
          </w:p>
        </w:tc>
        <w:tc>
          <w:tcPr>
            <w:tcW w:w="905" w:type="dxa"/>
            <w:shd w:val="clear" w:color="auto" w:fill="auto"/>
            <w:vAlign w:val="center"/>
            <w:hideMark/>
          </w:tcPr>
          <w:p w14:paraId="2476AB95" w14:textId="786BF9B4"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112</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9 </w:t>
            </w:r>
          </w:p>
        </w:tc>
        <w:tc>
          <w:tcPr>
            <w:tcW w:w="1169" w:type="dxa"/>
            <w:shd w:val="clear" w:color="auto" w:fill="auto"/>
            <w:vAlign w:val="center"/>
            <w:hideMark/>
          </w:tcPr>
          <w:p w14:paraId="77A13D01" w14:textId="61577509"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31</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2 </w:t>
            </w:r>
          </w:p>
        </w:tc>
        <w:tc>
          <w:tcPr>
            <w:tcW w:w="1170" w:type="dxa"/>
            <w:shd w:val="clear" w:color="auto" w:fill="auto"/>
            <w:vAlign w:val="center"/>
          </w:tcPr>
          <w:p w14:paraId="7FAE534F" w14:textId="7331C3D7" w:rsidR="00C46123" w:rsidRPr="00175897" w:rsidRDefault="00C46123" w:rsidP="00B87A9B">
            <w:pPr>
              <w:jc w:val="right"/>
              <w:rPr>
                <w:rFonts w:ascii="Arial" w:eastAsia="Times New Roman" w:hAnsi="Arial" w:cs="Arial"/>
                <w:bCs/>
                <w:color w:val="000000"/>
                <w:sz w:val="20"/>
                <w:szCs w:val="20"/>
                <w:lang w:val="pt-BR"/>
              </w:rPr>
            </w:pPr>
            <w:r w:rsidRPr="00175897">
              <w:rPr>
                <w:rFonts w:ascii="Arial" w:hAnsi="Arial" w:cs="Arial"/>
                <w:color w:val="000000"/>
                <w:sz w:val="20"/>
                <w:szCs w:val="20"/>
                <w:lang w:val="pt-BR"/>
              </w:rPr>
              <w:t>38</w:t>
            </w:r>
            <w:r w:rsidR="007D32D9">
              <w:rPr>
                <w:rFonts w:ascii="Arial" w:hAnsi="Arial" w:cs="Arial"/>
                <w:color w:val="000000"/>
                <w:sz w:val="20"/>
                <w:szCs w:val="20"/>
                <w:lang w:val="pt-BR"/>
              </w:rPr>
              <w:t>,</w:t>
            </w:r>
            <w:r w:rsidRPr="00175897">
              <w:rPr>
                <w:rFonts w:ascii="Arial" w:hAnsi="Arial" w:cs="Arial"/>
                <w:color w:val="000000"/>
                <w:sz w:val="20"/>
                <w:szCs w:val="20"/>
                <w:lang w:val="pt-BR"/>
              </w:rPr>
              <w:t>1%</w:t>
            </w:r>
          </w:p>
        </w:tc>
      </w:tr>
      <w:tr w:rsidR="00C46123" w:rsidRPr="00175897" w14:paraId="4A4638F3" w14:textId="77777777" w:rsidTr="007D32D9">
        <w:trPr>
          <w:trHeight w:val="287"/>
        </w:trPr>
        <w:tc>
          <w:tcPr>
            <w:tcW w:w="4636" w:type="dxa"/>
            <w:shd w:val="clear" w:color="auto" w:fill="auto"/>
            <w:hideMark/>
          </w:tcPr>
          <w:p w14:paraId="0261A134" w14:textId="77777777" w:rsidR="00C46123" w:rsidRPr="00175897" w:rsidRDefault="00C46123" w:rsidP="00B87A9B">
            <w:pPr>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Resultado não operacional</w:t>
            </w:r>
          </w:p>
        </w:tc>
        <w:tc>
          <w:tcPr>
            <w:tcW w:w="904" w:type="dxa"/>
            <w:shd w:val="clear" w:color="auto" w:fill="auto"/>
            <w:vAlign w:val="center"/>
            <w:hideMark/>
          </w:tcPr>
          <w:p w14:paraId="76720554" w14:textId="77777777" w:rsidR="00C46123" w:rsidRPr="00175897" w:rsidRDefault="00C46123" w:rsidP="00B87A9B">
            <w:pPr>
              <w:jc w:val="right"/>
              <w:rPr>
                <w:rFonts w:ascii="Arial" w:eastAsia="Times New Roman" w:hAnsi="Arial" w:cs="Arial"/>
                <w:color w:val="000000"/>
                <w:sz w:val="20"/>
                <w:szCs w:val="20"/>
                <w:lang w:val="pt-BR"/>
              </w:rPr>
            </w:pPr>
            <w:r w:rsidRPr="00175897">
              <w:rPr>
                <w:rFonts w:ascii="Arial" w:eastAsia="Times New Roman" w:hAnsi="Arial" w:cs="Arial"/>
                <w:color w:val="000000"/>
                <w:sz w:val="20"/>
                <w:szCs w:val="20"/>
                <w:lang w:val="pt-BR"/>
              </w:rPr>
              <w:t> </w:t>
            </w:r>
          </w:p>
        </w:tc>
        <w:tc>
          <w:tcPr>
            <w:tcW w:w="905" w:type="dxa"/>
            <w:shd w:val="clear" w:color="auto" w:fill="auto"/>
            <w:vAlign w:val="center"/>
            <w:hideMark/>
          </w:tcPr>
          <w:p w14:paraId="0F4365A0" w14:textId="57330CAF" w:rsidR="00C46123" w:rsidRPr="00175897" w:rsidRDefault="00C46123" w:rsidP="00B87A9B">
            <w:pPr>
              <w:jc w:val="right"/>
              <w:rPr>
                <w:rFonts w:ascii="Arial" w:eastAsia="Times New Roman" w:hAnsi="Arial" w:cs="Arial"/>
                <w:color w:val="000000"/>
                <w:sz w:val="20"/>
                <w:szCs w:val="20"/>
                <w:lang w:val="pt-BR"/>
              </w:rPr>
            </w:pPr>
            <w:r w:rsidRPr="00175897">
              <w:rPr>
                <w:rFonts w:ascii="Arial" w:eastAsia="Times New Roman" w:hAnsi="Arial" w:cs="Arial"/>
                <w:color w:val="000000"/>
                <w:sz w:val="20"/>
                <w:szCs w:val="20"/>
                <w:lang w:val="pt-BR"/>
              </w:rPr>
              <w:t>-0</w:t>
            </w:r>
            <w:r w:rsidR="007D32D9">
              <w:rPr>
                <w:rFonts w:ascii="Arial" w:eastAsia="Times New Roman" w:hAnsi="Arial" w:cs="Arial"/>
                <w:color w:val="000000"/>
                <w:sz w:val="20"/>
                <w:szCs w:val="20"/>
                <w:lang w:val="pt-BR"/>
              </w:rPr>
              <w:t>,</w:t>
            </w:r>
            <w:r w:rsidRPr="00175897">
              <w:rPr>
                <w:rFonts w:ascii="Arial" w:eastAsia="Times New Roman" w:hAnsi="Arial" w:cs="Arial"/>
                <w:color w:val="000000"/>
                <w:sz w:val="20"/>
                <w:szCs w:val="20"/>
                <w:lang w:val="pt-BR"/>
              </w:rPr>
              <w:t xml:space="preserve">0 </w:t>
            </w:r>
          </w:p>
        </w:tc>
        <w:tc>
          <w:tcPr>
            <w:tcW w:w="1169" w:type="dxa"/>
            <w:shd w:val="clear" w:color="auto" w:fill="auto"/>
            <w:vAlign w:val="center"/>
            <w:hideMark/>
          </w:tcPr>
          <w:p w14:paraId="279E6A24" w14:textId="5C7A7FE5" w:rsidR="00C46123" w:rsidRPr="00175897" w:rsidRDefault="00C46123" w:rsidP="00B87A9B">
            <w:pPr>
              <w:jc w:val="right"/>
              <w:rPr>
                <w:rFonts w:ascii="Arial" w:eastAsia="Times New Roman" w:hAnsi="Arial" w:cs="Arial"/>
                <w:color w:val="000000"/>
                <w:sz w:val="20"/>
                <w:szCs w:val="20"/>
                <w:lang w:val="pt-BR"/>
              </w:rPr>
            </w:pPr>
            <w:r w:rsidRPr="00175897">
              <w:rPr>
                <w:rFonts w:ascii="Arial" w:eastAsia="Times New Roman" w:hAnsi="Arial" w:cs="Arial"/>
                <w:color w:val="000000"/>
                <w:sz w:val="20"/>
                <w:szCs w:val="20"/>
                <w:lang w:val="pt-BR"/>
              </w:rPr>
              <w:t>-0</w:t>
            </w:r>
            <w:r w:rsidR="007D32D9">
              <w:rPr>
                <w:rFonts w:ascii="Arial" w:eastAsia="Times New Roman" w:hAnsi="Arial" w:cs="Arial"/>
                <w:color w:val="000000"/>
                <w:sz w:val="20"/>
                <w:szCs w:val="20"/>
                <w:lang w:val="pt-BR"/>
              </w:rPr>
              <w:t>,</w:t>
            </w:r>
            <w:r w:rsidRPr="00175897">
              <w:rPr>
                <w:rFonts w:ascii="Arial" w:eastAsia="Times New Roman" w:hAnsi="Arial" w:cs="Arial"/>
                <w:color w:val="000000"/>
                <w:sz w:val="20"/>
                <w:szCs w:val="20"/>
                <w:lang w:val="pt-BR"/>
              </w:rPr>
              <w:t xml:space="preserve">0 </w:t>
            </w:r>
          </w:p>
        </w:tc>
        <w:tc>
          <w:tcPr>
            <w:tcW w:w="1170" w:type="dxa"/>
            <w:shd w:val="clear" w:color="auto" w:fill="auto"/>
            <w:vAlign w:val="center"/>
          </w:tcPr>
          <w:p w14:paraId="035AB7B4" w14:textId="7908F3C9" w:rsidR="00C46123" w:rsidRPr="00175897" w:rsidRDefault="00C46123" w:rsidP="00B87A9B">
            <w:pPr>
              <w:jc w:val="right"/>
              <w:rPr>
                <w:rFonts w:ascii="Arial" w:eastAsia="Times New Roman" w:hAnsi="Arial" w:cs="Arial"/>
                <w:color w:val="000000"/>
                <w:sz w:val="20"/>
                <w:szCs w:val="20"/>
                <w:lang w:val="pt-BR"/>
              </w:rPr>
            </w:pPr>
            <w:r w:rsidRPr="00175897">
              <w:rPr>
                <w:rFonts w:ascii="Arial" w:hAnsi="Arial" w:cs="Arial"/>
                <w:color w:val="000000"/>
                <w:sz w:val="20"/>
                <w:szCs w:val="20"/>
                <w:lang w:val="pt-BR"/>
              </w:rPr>
              <w:t> </w:t>
            </w:r>
          </w:p>
        </w:tc>
      </w:tr>
      <w:tr w:rsidR="00C46123" w:rsidRPr="00175897" w14:paraId="68536C93" w14:textId="77777777" w:rsidTr="007D32D9">
        <w:trPr>
          <w:trHeight w:val="287"/>
        </w:trPr>
        <w:tc>
          <w:tcPr>
            <w:tcW w:w="4636" w:type="dxa"/>
            <w:shd w:val="clear" w:color="auto" w:fill="auto"/>
            <w:hideMark/>
          </w:tcPr>
          <w:p w14:paraId="0303A3D7" w14:textId="77777777" w:rsidR="00C46123" w:rsidRPr="00175897" w:rsidRDefault="00C46123" w:rsidP="00B87A9B">
            <w:pPr>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 xml:space="preserve">Resultado antes da tributação sobre o lucro </w:t>
            </w:r>
          </w:p>
        </w:tc>
        <w:tc>
          <w:tcPr>
            <w:tcW w:w="904" w:type="dxa"/>
            <w:shd w:val="clear" w:color="auto" w:fill="auto"/>
            <w:vAlign w:val="center"/>
            <w:hideMark/>
          </w:tcPr>
          <w:p w14:paraId="3DB10F40" w14:textId="62896ABA"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81</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7 </w:t>
            </w:r>
          </w:p>
        </w:tc>
        <w:tc>
          <w:tcPr>
            <w:tcW w:w="905" w:type="dxa"/>
            <w:shd w:val="clear" w:color="auto" w:fill="auto"/>
            <w:vAlign w:val="center"/>
            <w:hideMark/>
          </w:tcPr>
          <w:p w14:paraId="4CA2E12B" w14:textId="4CD0490C"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112</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9 </w:t>
            </w:r>
          </w:p>
        </w:tc>
        <w:tc>
          <w:tcPr>
            <w:tcW w:w="1169" w:type="dxa"/>
            <w:shd w:val="clear" w:color="auto" w:fill="auto"/>
            <w:vAlign w:val="center"/>
            <w:hideMark/>
          </w:tcPr>
          <w:p w14:paraId="1FA51414" w14:textId="6D8F2547"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31</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2 </w:t>
            </w:r>
          </w:p>
        </w:tc>
        <w:tc>
          <w:tcPr>
            <w:tcW w:w="1170" w:type="dxa"/>
            <w:shd w:val="clear" w:color="auto" w:fill="auto"/>
            <w:vAlign w:val="center"/>
          </w:tcPr>
          <w:p w14:paraId="1AFFF47F" w14:textId="2795FF6B" w:rsidR="00C46123" w:rsidRPr="00175897" w:rsidRDefault="00C46123" w:rsidP="00B87A9B">
            <w:pPr>
              <w:jc w:val="right"/>
              <w:rPr>
                <w:rFonts w:ascii="Arial" w:eastAsia="Times New Roman" w:hAnsi="Arial" w:cs="Arial"/>
                <w:bCs/>
                <w:color w:val="000000"/>
                <w:sz w:val="20"/>
                <w:szCs w:val="20"/>
                <w:lang w:val="pt-BR"/>
              </w:rPr>
            </w:pPr>
            <w:r w:rsidRPr="00175897">
              <w:rPr>
                <w:rFonts w:ascii="Arial" w:hAnsi="Arial" w:cs="Arial"/>
                <w:color w:val="000000"/>
                <w:sz w:val="20"/>
                <w:szCs w:val="20"/>
                <w:lang w:val="pt-BR"/>
              </w:rPr>
              <w:t>38</w:t>
            </w:r>
            <w:r w:rsidR="007D32D9">
              <w:rPr>
                <w:rFonts w:ascii="Arial" w:hAnsi="Arial" w:cs="Arial"/>
                <w:color w:val="000000"/>
                <w:sz w:val="20"/>
                <w:szCs w:val="20"/>
                <w:lang w:val="pt-BR"/>
              </w:rPr>
              <w:t>,</w:t>
            </w:r>
            <w:r w:rsidRPr="00175897">
              <w:rPr>
                <w:rFonts w:ascii="Arial" w:hAnsi="Arial" w:cs="Arial"/>
                <w:color w:val="000000"/>
                <w:sz w:val="20"/>
                <w:szCs w:val="20"/>
                <w:lang w:val="pt-BR"/>
              </w:rPr>
              <w:t>1%</w:t>
            </w:r>
          </w:p>
        </w:tc>
      </w:tr>
      <w:tr w:rsidR="00C46123" w:rsidRPr="00175897" w14:paraId="0F3DC94D" w14:textId="77777777" w:rsidTr="007D32D9">
        <w:trPr>
          <w:trHeight w:val="287"/>
        </w:trPr>
        <w:tc>
          <w:tcPr>
            <w:tcW w:w="4636" w:type="dxa"/>
            <w:shd w:val="clear" w:color="auto" w:fill="auto"/>
            <w:hideMark/>
          </w:tcPr>
          <w:p w14:paraId="63792555" w14:textId="77777777" w:rsidR="00C46123" w:rsidRPr="00F5768B" w:rsidRDefault="00C46123" w:rsidP="00B87A9B">
            <w:pPr>
              <w:rPr>
                <w:rFonts w:ascii="Arial" w:eastAsia="Times New Roman" w:hAnsi="Arial" w:cs="Arial"/>
                <w:bCs/>
                <w:color w:val="000000"/>
                <w:sz w:val="20"/>
                <w:szCs w:val="20"/>
                <w:lang w:val="pt-BR"/>
              </w:rPr>
            </w:pPr>
            <w:r w:rsidRPr="00F5768B">
              <w:rPr>
                <w:rFonts w:ascii="Arial" w:eastAsia="Times New Roman" w:hAnsi="Arial" w:cs="Arial"/>
                <w:bCs/>
                <w:color w:val="000000"/>
                <w:sz w:val="20"/>
                <w:szCs w:val="20"/>
                <w:lang w:val="pt-BR"/>
              </w:rPr>
              <w:t xml:space="preserve">Imposto de renda e contribuição social </w:t>
            </w:r>
          </w:p>
        </w:tc>
        <w:tc>
          <w:tcPr>
            <w:tcW w:w="904" w:type="dxa"/>
            <w:shd w:val="clear" w:color="auto" w:fill="auto"/>
            <w:vAlign w:val="center"/>
            <w:hideMark/>
          </w:tcPr>
          <w:p w14:paraId="399A173B" w14:textId="407471A1" w:rsidR="00C46123" w:rsidRPr="00F5768B" w:rsidRDefault="00C46123" w:rsidP="00B87A9B">
            <w:pPr>
              <w:jc w:val="right"/>
              <w:rPr>
                <w:rFonts w:ascii="Arial" w:eastAsia="Times New Roman" w:hAnsi="Arial" w:cs="Arial"/>
                <w:bCs/>
                <w:color w:val="000000"/>
                <w:sz w:val="20"/>
                <w:szCs w:val="20"/>
                <w:lang w:val="pt-BR"/>
              </w:rPr>
            </w:pPr>
            <w:r w:rsidRPr="00F5768B">
              <w:rPr>
                <w:rFonts w:ascii="Arial" w:eastAsia="Times New Roman" w:hAnsi="Arial" w:cs="Arial"/>
                <w:bCs/>
                <w:color w:val="000000"/>
                <w:sz w:val="20"/>
                <w:szCs w:val="20"/>
                <w:lang w:val="pt-BR"/>
              </w:rPr>
              <w:t>-7</w:t>
            </w:r>
            <w:r w:rsidR="007D32D9" w:rsidRPr="00F5768B">
              <w:rPr>
                <w:rFonts w:ascii="Arial" w:eastAsia="Times New Roman" w:hAnsi="Arial" w:cs="Arial"/>
                <w:bCs/>
                <w:color w:val="000000"/>
                <w:sz w:val="20"/>
                <w:szCs w:val="20"/>
                <w:lang w:val="pt-BR"/>
              </w:rPr>
              <w:t>,</w:t>
            </w:r>
            <w:r w:rsidRPr="00F5768B">
              <w:rPr>
                <w:rFonts w:ascii="Arial" w:eastAsia="Times New Roman" w:hAnsi="Arial" w:cs="Arial"/>
                <w:bCs/>
                <w:color w:val="000000"/>
                <w:sz w:val="20"/>
                <w:szCs w:val="20"/>
                <w:lang w:val="pt-BR"/>
              </w:rPr>
              <w:t xml:space="preserve">9 </w:t>
            </w:r>
          </w:p>
        </w:tc>
        <w:tc>
          <w:tcPr>
            <w:tcW w:w="905" w:type="dxa"/>
            <w:shd w:val="clear" w:color="auto" w:fill="auto"/>
            <w:vAlign w:val="center"/>
            <w:hideMark/>
          </w:tcPr>
          <w:p w14:paraId="6779F4BE" w14:textId="4E380B73" w:rsidR="00C46123" w:rsidRPr="00F5768B" w:rsidRDefault="00C46123" w:rsidP="00B87A9B">
            <w:pPr>
              <w:jc w:val="right"/>
              <w:rPr>
                <w:rFonts w:ascii="Arial" w:eastAsia="Times New Roman" w:hAnsi="Arial" w:cs="Arial"/>
                <w:bCs/>
                <w:color w:val="000000"/>
                <w:sz w:val="20"/>
                <w:szCs w:val="20"/>
                <w:lang w:val="pt-BR"/>
              </w:rPr>
            </w:pPr>
            <w:r w:rsidRPr="00F5768B">
              <w:rPr>
                <w:rFonts w:ascii="Arial" w:eastAsia="Times New Roman" w:hAnsi="Arial" w:cs="Arial"/>
                <w:bCs/>
                <w:color w:val="000000"/>
                <w:sz w:val="20"/>
                <w:szCs w:val="20"/>
                <w:lang w:val="pt-BR"/>
              </w:rPr>
              <w:t>-4</w:t>
            </w:r>
            <w:r w:rsidR="007D32D9" w:rsidRPr="00F5768B">
              <w:rPr>
                <w:rFonts w:ascii="Arial" w:eastAsia="Times New Roman" w:hAnsi="Arial" w:cs="Arial"/>
                <w:bCs/>
                <w:color w:val="000000"/>
                <w:sz w:val="20"/>
                <w:szCs w:val="20"/>
                <w:lang w:val="pt-BR"/>
              </w:rPr>
              <w:t>,</w:t>
            </w:r>
            <w:r w:rsidRPr="00F5768B">
              <w:rPr>
                <w:rFonts w:ascii="Arial" w:eastAsia="Times New Roman" w:hAnsi="Arial" w:cs="Arial"/>
                <w:bCs/>
                <w:color w:val="000000"/>
                <w:sz w:val="20"/>
                <w:szCs w:val="20"/>
                <w:lang w:val="pt-BR"/>
              </w:rPr>
              <w:t xml:space="preserve">0 </w:t>
            </w:r>
          </w:p>
        </w:tc>
        <w:tc>
          <w:tcPr>
            <w:tcW w:w="1169" w:type="dxa"/>
            <w:shd w:val="clear" w:color="auto" w:fill="auto"/>
            <w:vAlign w:val="center"/>
            <w:hideMark/>
          </w:tcPr>
          <w:p w14:paraId="4CAF13B6" w14:textId="571C0C13" w:rsidR="00C46123" w:rsidRPr="00F5768B" w:rsidRDefault="00C46123" w:rsidP="00B87A9B">
            <w:pPr>
              <w:jc w:val="right"/>
              <w:rPr>
                <w:rFonts w:ascii="Arial" w:eastAsia="Times New Roman" w:hAnsi="Arial" w:cs="Arial"/>
                <w:bCs/>
                <w:color w:val="000000"/>
                <w:sz w:val="20"/>
                <w:szCs w:val="20"/>
                <w:lang w:val="pt-BR"/>
              </w:rPr>
            </w:pPr>
            <w:r w:rsidRPr="00F5768B">
              <w:rPr>
                <w:rFonts w:ascii="Arial" w:eastAsia="Times New Roman" w:hAnsi="Arial" w:cs="Arial"/>
                <w:bCs/>
                <w:color w:val="000000"/>
                <w:sz w:val="20"/>
                <w:szCs w:val="20"/>
                <w:lang w:val="pt-BR"/>
              </w:rPr>
              <w:t>3</w:t>
            </w:r>
            <w:r w:rsidR="007D32D9" w:rsidRPr="00F5768B">
              <w:rPr>
                <w:rFonts w:ascii="Arial" w:eastAsia="Times New Roman" w:hAnsi="Arial" w:cs="Arial"/>
                <w:bCs/>
                <w:color w:val="000000"/>
                <w:sz w:val="20"/>
                <w:szCs w:val="20"/>
                <w:lang w:val="pt-BR"/>
              </w:rPr>
              <w:t>,</w:t>
            </w:r>
            <w:r w:rsidRPr="00F5768B">
              <w:rPr>
                <w:rFonts w:ascii="Arial" w:eastAsia="Times New Roman" w:hAnsi="Arial" w:cs="Arial"/>
                <w:bCs/>
                <w:color w:val="000000"/>
                <w:sz w:val="20"/>
                <w:szCs w:val="20"/>
                <w:lang w:val="pt-BR"/>
              </w:rPr>
              <w:t xml:space="preserve">9 </w:t>
            </w:r>
          </w:p>
        </w:tc>
        <w:tc>
          <w:tcPr>
            <w:tcW w:w="1170" w:type="dxa"/>
            <w:shd w:val="clear" w:color="auto" w:fill="auto"/>
            <w:vAlign w:val="center"/>
          </w:tcPr>
          <w:p w14:paraId="7393FC2A" w14:textId="4221475C" w:rsidR="00C46123" w:rsidRPr="00F5768B" w:rsidRDefault="00C46123" w:rsidP="00B87A9B">
            <w:pPr>
              <w:jc w:val="right"/>
              <w:rPr>
                <w:rFonts w:ascii="Arial" w:eastAsia="Times New Roman" w:hAnsi="Arial" w:cs="Arial"/>
                <w:bCs/>
                <w:color w:val="000000"/>
                <w:sz w:val="20"/>
                <w:szCs w:val="20"/>
                <w:lang w:val="pt-BR"/>
              </w:rPr>
            </w:pPr>
            <w:r w:rsidRPr="00F5768B">
              <w:rPr>
                <w:rFonts w:ascii="Arial" w:hAnsi="Arial" w:cs="Arial"/>
                <w:color w:val="000000"/>
                <w:sz w:val="20"/>
                <w:szCs w:val="20"/>
                <w:lang w:val="pt-BR"/>
              </w:rPr>
              <w:t>-49</w:t>
            </w:r>
            <w:r w:rsidR="007D32D9" w:rsidRPr="00F5768B">
              <w:rPr>
                <w:rFonts w:ascii="Arial" w:hAnsi="Arial" w:cs="Arial"/>
                <w:color w:val="000000"/>
                <w:sz w:val="20"/>
                <w:szCs w:val="20"/>
                <w:lang w:val="pt-BR"/>
              </w:rPr>
              <w:t>,</w:t>
            </w:r>
            <w:r w:rsidRPr="00F5768B">
              <w:rPr>
                <w:rFonts w:ascii="Arial" w:hAnsi="Arial" w:cs="Arial"/>
                <w:color w:val="000000"/>
                <w:sz w:val="20"/>
                <w:szCs w:val="20"/>
                <w:lang w:val="pt-BR"/>
              </w:rPr>
              <w:t>6%</w:t>
            </w:r>
          </w:p>
        </w:tc>
      </w:tr>
      <w:tr w:rsidR="00C46123" w:rsidRPr="00175897" w14:paraId="12B59B65" w14:textId="77777777" w:rsidTr="007D32D9">
        <w:trPr>
          <w:trHeight w:val="287"/>
        </w:trPr>
        <w:tc>
          <w:tcPr>
            <w:tcW w:w="4636" w:type="dxa"/>
            <w:shd w:val="clear" w:color="auto" w:fill="auto"/>
            <w:hideMark/>
          </w:tcPr>
          <w:p w14:paraId="50605421" w14:textId="77777777" w:rsidR="00C46123" w:rsidRPr="00F5768B" w:rsidRDefault="00C46123" w:rsidP="00B87A9B">
            <w:pPr>
              <w:rPr>
                <w:rFonts w:ascii="Arial" w:eastAsia="Times New Roman" w:hAnsi="Arial" w:cs="Arial"/>
                <w:bCs/>
                <w:color w:val="000000"/>
                <w:sz w:val="20"/>
                <w:szCs w:val="20"/>
                <w:lang w:val="pt-BR"/>
              </w:rPr>
            </w:pPr>
            <w:r w:rsidRPr="00F5768B">
              <w:rPr>
                <w:rFonts w:ascii="Arial" w:eastAsia="Times New Roman" w:hAnsi="Arial" w:cs="Arial"/>
                <w:bCs/>
                <w:color w:val="000000"/>
                <w:sz w:val="20"/>
                <w:szCs w:val="20"/>
                <w:lang w:val="pt-BR"/>
              </w:rPr>
              <w:t xml:space="preserve">Participações estatutárias no lucro </w:t>
            </w:r>
          </w:p>
        </w:tc>
        <w:tc>
          <w:tcPr>
            <w:tcW w:w="904" w:type="dxa"/>
            <w:shd w:val="clear" w:color="auto" w:fill="auto"/>
            <w:vAlign w:val="center"/>
            <w:hideMark/>
          </w:tcPr>
          <w:p w14:paraId="1A8868EE" w14:textId="52A03B64" w:rsidR="00C46123" w:rsidRPr="00F5768B" w:rsidRDefault="00C46123" w:rsidP="00B87A9B">
            <w:pPr>
              <w:jc w:val="right"/>
              <w:rPr>
                <w:rFonts w:ascii="Arial" w:eastAsia="Times New Roman" w:hAnsi="Arial" w:cs="Arial"/>
                <w:bCs/>
                <w:color w:val="000000"/>
                <w:sz w:val="20"/>
                <w:szCs w:val="20"/>
                <w:lang w:val="pt-BR"/>
              </w:rPr>
            </w:pPr>
            <w:r w:rsidRPr="00F5768B">
              <w:rPr>
                <w:rFonts w:ascii="Arial" w:eastAsia="Times New Roman" w:hAnsi="Arial" w:cs="Arial"/>
                <w:bCs/>
                <w:color w:val="000000"/>
                <w:sz w:val="20"/>
                <w:szCs w:val="20"/>
                <w:lang w:val="pt-BR"/>
              </w:rPr>
              <w:t>-1</w:t>
            </w:r>
            <w:r w:rsidR="007D32D9" w:rsidRPr="00F5768B">
              <w:rPr>
                <w:rFonts w:ascii="Arial" w:eastAsia="Times New Roman" w:hAnsi="Arial" w:cs="Arial"/>
                <w:bCs/>
                <w:color w:val="000000"/>
                <w:sz w:val="20"/>
                <w:szCs w:val="20"/>
                <w:lang w:val="pt-BR"/>
              </w:rPr>
              <w:t>,</w:t>
            </w:r>
            <w:r w:rsidRPr="00F5768B">
              <w:rPr>
                <w:rFonts w:ascii="Arial" w:eastAsia="Times New Roman" w:hAnsi="Arial" w:cs="Arial"/>
                <w:bCs/>
                <w:color w:val="000000"/>
                <w:sz w:val="20"/>
                <w:szCs w:val="20"/>
                <w:lang w:val="pt-BR"/>
              </w:rPr>
              <w:t xml:space="preserve">3 </w:t>
            </w:r>
          </w:p>
        </w:tc>
        <w:tc>
          <w:tcPr>
            <w:tcW w:w="905" w:type="dxa"/>
            <w:shd w:val="clear" w:color="auto" w:fill="auto"/>
            <w:vAlign w:val="center"/>
            <w:hideMark/>
          </w:tcPr>
          <w:p w14:paraId="7E2E3E5C" w14:textId="68135B92" w:rsidR="00C46123" w:rsidRPr="00F5768B" w:rsidRDefault="00C46123" w:rsidP="00B87A9B">
            <w:pPr>
              <w:jc w:val="right"/>
              <w:rPr>
                <w:rFonts w:ascii="Arial" w:eastAsia="Times New Roman" w:hAnsi="Arial" w:cs="Arial"/>
                <w:bCs/>
                <w:color w:val="000000"/>
                <w:sz w:val="20"/>
                <w:szCs w:val="20"/>
                <w:lang w:val="pt-BR"/>
              </w:rPr>
            </w:pPr>
            <w:r w:rsidRPr="00F5768B">
              <w:rPr>
                <w:rFonts w:ascii="Arial" w:eastAsia="Times New Roman" w:hAnsi="Arial" w:cs="Arial"/>
                <w:bCs/>
                <w:color w:val="000000"/>
                <w:sz w:val="20"/>
                <w:szCs w:val="20"/>
                <w:lang w:val="pt-BR"/>
              </w:rPr>
              <w:t>-2</w:t>
            </w:r>
            <w:r w:rsidR="007D32D9" w:rsidRPr="00F5768B">
              <w:rPr>
                <w:rFonts w:ascii="Arial" w:eastAsia="Times New Roman" w:hAnsi="Arial" w:cs="Arial"/>
                <w:bCs/>
                <w:color w:val="000000"/>
                <w:sz w:val="20"/>
                <w:szCs w:val="20"/>
                <w:lang w:val="pt-BR"/>
              </w:rPr>
              <w:t>,</w:t>
            </w:r>
            <w:r w:rsidRPr="00F5768B">
              <w:rPr>
                <w:rFonts w:ascii="Arial" w:eastAsia="Times New Roman" w:hAnsi="Arial" w:cs="Arial"/>
                <w:bCs/>
                <w:color w:val="000000"/>
                <w:sz w:val="20"/>
                <w:szCs w:val="20"/>
                <w:lang w:val="pt-BR"/>
              </w:rPr>
              <w:t xml:space="preserve">6 </w:t>
            </w:r>
          </w:p>
        </w:tc>
        <w:tc>
          <w:tcPr>
            <w:tcW w:w="1169" w:type="dxa"/>
            <w:shd w:val="clear" w:color="auto" w:fill="auto"/>
            <w:vAlign w:val="center"/>
            <w:hideMark/>
          </w:tcPr>
          <w:p w14:paraId="4F1B4FB3" w14:textId="49ACCDA0" w:rsidR="00C46123" w:rsidRPr="00F5768B" w:rsidRDefault="00C46123" w:rsidP="00B87A9B">
            <w:pPr>
              <w:jc w:val="right"/>
              <w:rPr>
                <w:rFonts w:ascii="Arial" w:eastAsia="Times New Roman" w:hAnsi="Arial" w:cs="Arial"/>
                <w:bCs/>
                <w:color w:val="000000"/>
                <w:sz w:val="20"/>
                <w:szCs w:val="20"/>
                <w:lang w:val="pt-BR"/>
              </w:rPr>
            </w:pPr>
            <w:r w:rsidRPr="00F5768B">
              <w:rPr>
                <w:rFonts w:ascii="Arial" w:eastAsia="Times New Roman" w:hAnsi="Arial" w:cs="Arial"/>
                <w:bCs/>
                <w:color w:val="000000"/>
                <w:sz w:val="20"/>
                <w:szCs w:val="20"/>
                <w:lang w:val="pt-BR"/>
              </w:rPr>
              <w:t>-1</w:t>
            </w:r>
            <w:r w:rsidR="007D32D9" w:rsidRPr="00F5768B">
              <w:rPr>
                <w:rFonts w:ascii="Arial" w:eastAsia="Times New Roman" w:hAnsi="Arial" w:cs="Arial"/>
                <w:bCs/>
                <w:color w:val="000000"/>
                <w:sz w:val="20"/>
                <w:szCs w:val="20"/>
                <w:lang w:val="pt-BR"/>
              </w:rPr>
              <w:t>,</w:t>
            </w:r>
            <w:r w:rsidRPr="00F5768B">
              <w:rPr>
                <w:rFonts w:ascii="Arial" w:eastAsia="Times New Roman" w:hAnsi="Arial" w:cs="Arial"/>
                <w:bCs/>
                <w:color w:val="000000"/>
                <w:sz w:val="20"/>
                <w:szCs w:val="20"/>
                <w:lang w:val="pt-BR"/>
              </w:rPr>
              <w:t xml:space="preserve">3 </w:t>
            </w:r>
          </w:p>
        </w:tc>
        <w:tc>
          <w:tcPr>
            <w:tcW w:w="1170" w:type="dxa"/>
            <w:shd w:val="clear" w:color="auto" w:fill="auto"/>
            <w:vAlign w:val="center"/>
          </w:tcPr>
          <w:p w14:paraId="65CD5EAA" w14:textId="055947F3" w:rsidR="00C46123" w:rsidRPr="00F5768B" w:rsidRDefault="00C46123" w:rsidP="00B87A9B">
            <w:pPr>
              <w:jc w:val="right"/>
              <w:rPr>
                <w:rFonts w:ascii="Arial" w:eastAsia="Times New Roman" w:hAnsi="Arial" w:cs="Arial"/>
                <w:bCs/>
                <w:color w:val="000000"/>
                <w:sz w:val="20"/>
                <w:szCs w:val="20"/>
                <w:lang w:val="pt-BR"/>
              </w:rPr>
            </w:pPr>
            <w:r w:rsidRPr="00F5768B">
              <w:rPr>
                <w:rFonts w:ascii="Arial" w:hAnsi="Arial" w:cs="Arial"/>
                <w:color w:val="000000"/>
                <w:sz w:val="20"/>
                <w:szCs w:val="20"/>
                <w:lang w:val="pt-BR"/>
              </w:rPr>
              <w:t>103</w:t>
            </w:r>
            <w:r w:rsidR="007D32D9" w:rsidRPr="00F5768B">
              <w:rPr>
                <w:rFonts w:ascii="Arial" w:hAnsi="Arial" w:cs="Arial"/>
                <w:color w:val="000000"/>
                <w:sz w:val="20"/>
                <w:szCs w:val="20"/>
                <w:lang w:val="pt-BR"/>
              </w:rPr>
              <w:t>,</w:t>
            </w:r>
            <w:r w:rsidRPr="00F5768B">
              <w:rPr>
                <w:rFonts w:ascii="Arial" w:hAnsi="Arial" w:cs="Arial"/>
                <w:color w:val="000000"/>
                <w:sz w:val="20"/>
                <w:szCs w:val="20"/>
                <w:lang w:val="pt-BR"/>
              </w:rPr>
              <w:t>7%</w:t>
            </w:r>
          </w:p>
        </w:tc>
      </w:tr>
      <w:tr w:rsidR="00C46123" w:rsidRPr="00175897" w14:paraId="4EAA27E3" w14:textId="77777777" w:rsidTr="007D32D9">
        <w:trPr>
          <w:trHeight w:val="287"/>
        </w:trPr>
        <w:tc>
          <w:tcPr>
            <w:tcW w:w="4636" w:type="dxa"/>
            <w:shd w:val="clear" w:color="auto" w:fill="auto"/>
            <w:hideMark/>
          </w:tcPr>
          <w:p w14:paraId="5C1719ED" w14:textId="77777777" w:rsidR="00C46123" w:rsidRPr="00175897" w:rsidRDefault="00C46123" w:rsidP="00B87A9B">
            <w:pPr>
              <w:rPr>
                <w:rFonts w:ascii="Arial" w:eastAsia="Times New Roman" w:hAnsi="Arial" w:cs="Arial"/>
                <w:b/>
                <w:bCs/>
                <w:color w:val="000000"/>
                <w:sz w:val="20"/>
                <w:szCs w:val="20"/>
                <w:lang w:val="pt-BR"/>
              </w:rPr>
            </w:pPr>
            <w:r w:rsidRPr="00175897">
              <w:rPr>
                <w:rFonts w:ascii="Arial" w:eastAsia="Times New Roman" w:hAnsi="Arial" w:cs="Arial"/>
                <w:b/>
                <w:bCs/>
                <w:color w:val="000000"/>
                <w:sz w:val="20"/>
                <w:szCs w:val="20"/>
                <w:lang w:val="pt-BR"/>
              </w:rPr>
              <w:t xml:space="preserve">Lucro líquido </w:t>
            </w:r>
          </w:p>
        </w:tc>
        <w:tc>
          <w:tcPr>
            <w:tcW w:w="904" w:type="dxa"/>
            <w:shd w:val="clear" w:color="auto" w:fill="auto"/>
            <w:vAlign w:val="center"/>
            <w:hideMark/>
          </w:tcPr>
          <w:p w14:paraId="7D4A87B0" w14:textId="4D29DA11"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72</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5 </w:t>
            </w:r>
          </w:p>
        </w:tc>
        <w:tc>
          <w:tcPr>
            <w:tcW w:w="905" w:type="dxa"/>
            <w:shd w:val="clear" w:color="auto" w:fill="auto"/>
            <w:vAlign w:val="center"/>
            <w:hideMark/>
          </w:tcPr>
          <w:p w14:paraId="2F446F0A" w14:textId="599F9F22"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106</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3 </w:t>
            </w:r>
          </w:p>
        </w:tc>
        <w:tc>
          <w:tcPr>
            <w:tcW w:w="1169" w:type="dxa"/>
            <w:shd w:val="clear" w:color="auto" w:fill="auto"/>
            <w:vAlign w:val="center"/>
            <w:hideMark/>
          </w:tcPr>
          <w:p w14:paraId="6F648F19" w14:textId="5BA8B6D6"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33</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8 </w:t>
            </w:r>
          </w:p>
        </w:tc>
        <w:tc>
          <w:tcPr>
            <w:tcW w:w="1170" w:type="dxa"/>
            <w:shd w:val="clear" w:color="auto" w:fill="auto"/>
            <w:vAlign w:val="center"/>
          </w:tcPr>
          <w:p w14:paraId="7FD2A252" w14:textId="727B27A0" w:rsidR="00C46123" w:rsidRPr="00175897" w:rsidRDefault="00C46123" w:rsidP="00B87A9B">
            <w:pPr>
              <w:jc w:val="right"/>
              <w:rPr>
                <w:rFonts w:ascii="Arial" w:eastAsia="Times New Roman" w:hAnsi="Arial" w:cs="Arial"/>
                <w:bCs/>
                <w:color w:val="000000"/>
                <w:sz w:val="20"/>
                <w:szCs w:val="20"/>
                <w:lang w:val="pt-BR"/>
              </w:rPr>
            </w:pPr>
            <w:r w:rsidRPr="00175897">
              <w:rPr>
                <w:rFonts w:ascii="Arial" w:hAnsi="Arial" w:cs="Arial"/>
                <w:color w:val="000000"/>
                <w:sz w:val="20"/>
                <w:szCs w:val="20"/>
                <w:lang w:val="pt-BR"/>
              </w:rPr>
              <w:t>46</w:t>
            </w:r>
            <w:r w:rsidR="007D32D9">
              <w:rPr>
                <w:rFonts w:ascii="Arial" w:hAnsi="Arial" w:cs="Arial"/>
                <w:color w:val="000000"/>
                <w:sz w:val="20"/>
                <w:szCs w:val="20"/>
                <w:lang w:val="pt-BR"/>
              </w:rPr>
              <w:t>,</w:t>
            </w:r>
            <w:r w:rsidRPr="00175897">
              <w:rPr>
                <w:rFonts w:ascii="Arial" w:hAnsi="Arial" w:cs="Arial"/>
                <w:color w:val="000000"/>
                <w:sz w:val="20"/>
                <w:szCs w:val="20"/>
                <w:lang w:val="pt-BR"/>
              </w:rPr>
              <w:t>5%</w:t>
            </w:r>
          </w:p>
        </w:tc>
      </w:tr>
      <w:tr w:rsidR="00C46123" w:rsidRPr="00175897" w14:paraId="7024213A" w14:textId="77777777" w:rsidTr="007D32D9">
        <w:trPr>
          <w:trHeight w:val="287"/>
        </w:trPr>
        <w:tc>
          <w:tcPr>
            <w:tcW w:w="4636" w:type="dxa"/>
            <w:shd w:val="clear" w:color="auto" w:fill="auto"/>
            <w:hideMark/>
          </w:tcPr>
          <w:p w14:paraId="70C9124B" w14:textId="77777777" w:rsidR="00C46123" w:rsidRPr="00F5768B" w:rsidRDefault="00C46123" w:rsidP="00B87A9B">
            <w:pPr>
              <w:rPr>
                <w:rFonts w:ascii="Arial" w:eastAsia="Times New Roman" w:hAnsi="Arial" w:cs="Arial"/>
                <w:bCs/>
                <w:color w:val="000000"/>
                <w:sz w:val="20"/>
                <w:szCs w:val="20"/>
                <w:lang w:val="pt-BR"/>
              </w:rPr>
            </w:pPr>
            <w:r w:rsidRPr="00F5768B">
              <w:rPr>
                <w:rFonts w:ascii="Arial" w:eastAsia="Times New Roman" w:hAnsi="Arial" w:cs="Arial"/>
                <w:bCs/>
                <w:color w:val="000000"/>
                <w:sz w:val="20"/>
                <w:szCs w:val="20"/>
                <w:lang w:val="pt-BR"/>
              </w:rPr>
              <w:t xml:space="preserve">Juros sobre o capital próprio </w:t>
            </w:r>
          </w:p>
        </w:tc>
        <w:tc>
          <w:tcPr>
            <w:tcW w:w="904" w:type="dxa"/>
            <w:shd w:val="clear" w:color="auto" w:fill="auto"/>
            <w:vAlign w:val="center"/>
            <w:hideMark/>
          </w:tcPr>
          <w:p w14:paraId="6CCFB77C" w14:textId="79AC16F0" w:rsidR="00C46123" w:rsidRPr="00F5768B" w:rsidRDefault="00C46123" w:rsidP="00B87A9B">
            <w:pPr>
              <w:jc w:val="right"/>
              <w:rPr>
                <w:rFonts w:ascii="Arial" w:eastAsia="Times New Roman" w:hAnsi="Arial" w:cs="Arial"/>
                <w:bCs/>
                <w:color w:val="000000"/>
                <w:sz w:val="20"/>
                <w:szCs w:val="20"/>
                <w:lang w:val="pt-BR"/>
              </w:rPr>
            </w:pPr>
            <w:r w:rsidRPr="00F5768B">
              <w:rPr>
                <w:rFonts w:ascii="Arial" w:eastAsia="Times New Roman" w:hAnsi="Arial" w:cs="Arial"/>
                <w:bCs/>
                <w:color w:val="000000"/>
                <w:sz w:val="20"/>
                <w:szCs w:val="20"/>
                <w:lang w:val="pt-BR"/>
              </w:rPr>
              <w:t>-64</w:t>
            </w:r>
            <w:r w:rsidR="007D32D9" w:rsidRPr="00F5768B">
              <w:rPr>
                <w:rFonts w:ascii="Arial" w:eastAsia="Times New Roman" w:hAnsi="Arial" w:cs="Arial"/>
                <w:bCs/>
                <w:color w:val="000000"/>
                <w:sz w:val="20"/>
                <w:szCs w:val="20"/>
                <w:lang w:val="pt-BR"/>
              </w:rPr>
              <w:t>,</w:t>
            </w:r>
            <w:r w:rsidRPr="00F5768B">
              <w:rPr>
                <w:rFonts w:ascii="Arial" w:eastAsia="Times New Roman" w:hAnsi="Arial" w:cs="Arial"/>
                <w:bCs/>
                <w:color w:val="000000"/>
                <w:sz w:val="20"/>
                <w:szCs w:val="20"/>
                <w:lang w:val="pt-BR"/>
              </w:rPr>
              <w:t xml:space="preserve">9 </w:t>
            </w:r>
          </w:p>
        </w:tc>
        <w:tc>
          <w:tcPr>
            <w:tcW w:w="905" w:type="dxa"/>
            <w:shd w:val="clear" w:color="auto" w:fill="auto"/>
            <w:vAlign w:val="center"/>
            <w:hideMark/>
          </w:tcPr>
          <w:p w14:paraId="77BF1424" w14:textId="59F8F217" w:rsidR="00C46123" w:rsidRPr="00F5768B" w:rsidRDefault="00C46123" w:rsidP="00B87A9B">
            <w:pPr>
              <w:jc w:val="right"/>
              <w:rPr>
                <w:rFonts w:ascii="Arial" w:eastAsia="Times New Roman" w:hAnsi="Arial" w:cs="Arial"/>
                <w:bCs/>
                <w:color w:val="000000"/>
                <w:sz w:val="20"/>
                <w:szCs w:val="20"/>
                <w:lang w:val="pt-BR"/>
              </w:rPr>
            </w:pPr>
            <w:r w:rsidRPr="00F5768B">
              <w:rPr>
                <w:rFonts w:ascii="Arial" w:eastAsia="Times New Roman" w:hAnsi="Arial" w:cs="Arial"/>
                <w:bCs/>
                <w:color w:val="000000"/>
                <w:sz w:val="20"/>
                <w:szCs w:val="20"/>
                <w:lang w:val="pt-BR"/>
              </w:rPr>
              <w:t>-88</w:t>
            </w:r>
            <w:r w:rsidR="007D32D9" w:rsidRPr="00F5768B">
              <w:rPr>
                <w:rFonts w:ascii="Arial" w:eastAsia="Times New Roman" w:hAnsi="Arial" w:cs="Arial"/>
                <w:bCs/>
                <w:color w:val="000000"/>
                <w:sz w:val="20"/>
                <w:szCs w:val="20"/>
                <w:lang w:val="pt-BR"/>
              </w:rPr>
              <w:t>,</w:t>
            </w:r>
            <w:r w:rsidRPr="00F5768B">
              <w:rPr>
                <w:rFonts w:ascii="Arial" w:eastAsia="Times New Roman" w:hAnsi="Arial" w:cs="Arial"/>
                <w:bCs/>
                <w:color w:val="000000"/>
                <w:sz w:val="20"/>
                <w:szCs w:val="20"/>
                <w:lang w:val="pt-BR"/>
              </w:rPr>
              <w:t xml:space="preserve">7 </w:t>
            </w:r>
          </w:p>
        </w:tc>
        <w:tc>
          <w:tcPr>
            <w:tcW w:w="1169" w:type="dxa"/>
            <w:shd w:val="clear" w:color="auto" w:fill="auto"/>
            <w:vAlign w:val="center"/>
            <w:hideMark/>
          </w:tcPr>
          <w:p w14:paraId="7874B245" w14:textId="3E6C54C4" w:rsidR="00C46123" w:rsidRPr="00F5768B" w:rsidRDefault="00C46123" w:rsidP="00B87A9B">
            <w:pPr>
              <w:jc w:val="right"/>
              <w:rPr>
                <w:rFonts w:ascii="Arial" w:eastAsia="Times New Roman" w:hAnsi="Arial" w:cs="Arial"/>
                <w:bCs/>
                <w:color w:val="000000"/>
                <w:sz w:val="20"/>
                <w:szCs w:val="20"/>
                <w:lang w:val="pt-BR"/>
              </w:rPr>
            </w:pPr>
            <w:r w:rsidRPr="00F5768B">
              <w:rPr>
                <w:rFonts w:ascii="Arial" w:eastAsia="Times New Roman" w:hAnsi="Arial" w:cs="Arial"/>
                <w:bCs/>
                <w:color w:val="000000"/>
                <w:sz w:val="20"/>
                <w:szCs w:val="20"/>
                <w:lang w:val="pt-BR"/>
              </w:rPr>
              <w:t>-23</w:t>
            </w:r>
            <w:r w:rsidR="007D32D9" w:rsidRPr="00F5768B">
              <w:rPr>
                <w:rFonts w:ascii="Arial" w:eastAsia="Times New Roman" w:hAnsi="Arial" w:cs="Arial"/>
                <w:bCs/>
                <w:color w:val="000000"/>
                <w:sz w:val="20"/>
                <w:szCs w:val="20"/>
                <w:lang w:val="pt-BR"/>
              </w:rPr>
              <w:t>,</w:t>
            </w:r>
            <w:r w:rsidRPr="00F5768B">
              <w:rPr>
                <w:rFonts w:ascii="Arial" w:eastAsia="Times New Roman" w:hAnsi="Arial" w:cs="Arial"/>
                <w:bCs/>
                <w:color w:val="000000"/>
                <w:sz w:val="20"/>
                <w:szCs w:val="20"/>
                <w:lang w:val="pt-BR"/>
              </w:rPr>
              <w:t xml:space="preserve">8 </w:t>
            </w:r>
          </w:p>
        </w:tc>
        <w:tc>
          <w:tcPr>
            <w:tcW w:w="1170" w:type="dxa"/>
            <w:shd w:val="clear" w:color="auto" w:fill="auto"/>
            <w:vAlign w:val="center"/>
          </w:tcPr>
          <w:p w14:paraId="2FE7F163" w14:textId="52A1B619" w:rsidR="00C46123" w:rsidRPr="00F5768B" w:rsidRDefault="00C46123" w:rsidP="00B87A9B">
            <w:pPr>
              <w:jc w:val="right"/>
              <w:rPr>
                <w:rFonts w:ascii="Arial" w:eastAsia="Times New Roman" w:hAnsi="Arial" w:cs="Arial"/>
                <w:bCs/>
                <w:color w:val="000000"/>
                <w:sz w:val="20"/>
                <w:szCs w:val="20"/>
                <w:lang w:val="pt-BR"/>
              </w:rPr>
            </w:pPr>
            <w:r w:rsidRPr="00F5768B">
              <w:rPr>
                <w:rFonts w:ascii="Arial" w:hAnsi="Arial" w:cs="Arial"/>
                <w:color w:val="000000"/>
                <w:sz w:val="20"/>
                <w:szCs w:val="20"/>
                <w:lang w:val="pt-BR"/>
              </w:rPr>
              <w:t>36</w:t>
            </w:r>
            <w:r w:rsidR="007D32D9" w:rsidRPr="00F5768B">
              <w:rPr>
                <w:rFonts w:ascii="Arial" w:hAnsi="Arial" w:cs="Arial"/>
                <w:color w:val="000000"/>
                <w:sz w:val="20"/>
                <w:szCs w:val="20"/>
                <w:lang w:val="pt-BR"/>
              </w:rPr>
              <w:t>,</w:t>
            </w:r>
            <w:r w:rsidRPr="00F5768B">
              <w:rPr>
                <w:rFonts w:ascii="Arial" w:hAnsi="Arial" w:cs="Arial"/>
                <w:color w:val="000000"/>
                <w:sz w:val="20"/>
                <w:szCs w:val="20"/>
                <w:lang w:val="pt-BR"/>
              </w:rPr>
              <w:t>7%</w:t>
            </w:r>
          </w:p>
        </w:tc>
      </w:tr>
      <w:tr w:rsidR="00C46123" w:rsidRPr="00175897" w14:paraId="70EF9A79" w14:textId="77777777" w:rsidTr="007D32D9">
        <w:trPr>
          <w:trHeight w:val="287"/>
        </w:trPr>
        <w:tc>
          <w:tcPr>
            <w:tcW w:w="4636" w:type="dxa"/>
            <w:shd w:val="clear" w:color="auto" w:fill="auto"/>
            <w:hideMark/>
          </w:tcPr>
          <w:p w14:paraId="351BAC1A" w14:textId="77777777" w:rsidR="00C46123" w:rsidRPr="00175897" w:rsidRDefault="00C46123" w:rsidP="00B87A9B">
            <w:pPr>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 xml:space="preserve">Número de ações </w:t>
            </w:r>
          </w:p>
        </w:tc>
        <w:tc>
          <w:tcPr>
            <w:tcW w:w="904" w:type="dxa"/>
            <w:shd w:val="clear" w:color="auto" w:fill="auto"/>
            <w:vAlign w:val="center"/>
            <w:hideMark/>
          </w:tcPr>
          <w:p w14:paraId="01A62902" w14:textId="3AA476D5"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1</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011</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7 </w:t>
            </w:r>
          </w:p>
        </w:tc>
        <w:tc>
          <w:tcPr>
            <w:tcW w:w="905" w:type="dxa"/>
            <w:shd w:val="clear" w:color="auto" w:fill="auto"/>
            <w:vAlign w:val="center"/>
            <w:hideMark/>
          </w:tcPr>
          <w:p w14:paraId="5E7FD0BF" w14:textId="526F9009"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1</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344</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8 </w:t>
            </w:r>
          </w:p>
        </w:tc>
        <w:tc>
          <w:tcPr>
            <w:tcW w:w="1169" w:type="dxa"/>
            <w:shd w:val="clear" w:color="auto" w:fill="auto"/>
            <w:vAlign w:val="center"/>
            <w:hideMark/>
          </w:tcPr>
          <w:p w14:paraId="687810DE" w14:textId="59793225"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333</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1 </w:t>
            </w:r>
          </w:p>
        </w:tc>
        <w:tc>
          <w:tcPr>
            <w:tcW w:w="1170" w:type="dxa"/>
            <w:shd w:val="clear" w:color="auto" w:fill="auto"/>
            <w:vAlign w:val="center"/>
          </w:tcPr>
          <w:p w14:paraId="612C0603" w14:textId="1985A623" w:rsidR="00C46123" w:rsidRPr="00175897" w:rsidRDefault="00C46123" w:rsidP="00B87A9B">
            <w:pPr>
              <w:jc w:val="right"/>
              <w:rPr>
                <w:rFonts w:ascii="Arial" w:eastAsia="Times New Roman" w:hAnsi="Arial" w:cs="Arial"/>
                <w:bCs/>
                <w:color w:val="000000"/>
                <w:sz w:val="20"/>
                <w:szCs w:val="20"/>
                <w:lang w:val="pt-BR"/>
              </w:rPr>
            </w:pPr>
            <w:r w:rsidRPr="00175897">
              <w:rPr>
                <w:rFonts w:ascii="Arial" w:hAnsi="Arial" w:cs="Arial"/>
                <w:color w:val="000000"/>
                <w:sz w:val="20"/>
                <w:szCs w:val="20"/>
                <w:lang w:val="pt-BR"/>
              </w:rPr>
              <w:t>32</w:t>
            </w:r>
            <w:r w:rsidR="007D32D9">
              <w:rPr>
                <w:rFonts w:ascii="Arial" w:hAnsi="Arial" w:cs="Arial"/>
                <w:color w:val="000000"/>
                <w:sz w:val="20"/>
                <w:szCs w:val="20"/>
                <w:lang w:val="pt-BR"/>
              </w:rPr>
              <w:t>,</w:t>
            </w:r>
            <w:r w:rsidRPr="00175897">
              <w:rPr>
                <w:rFonts w:ascii="Arial" w:hAnsi="Arial" w:cs="Arial"/>
                <w:color w:val="000000"/>
                <w:sz w:val="20"/>
                <w:szCs w:val="20"/>
                <w:lang w:val="pt-BR"/>
              </w:rPr>
              <w:t>9%</w:t>
            </w:r>
          </w:p>
        </w:tc>
      </w:tr>
      <w:tr w:rsidR="00C46123" w:rsidRPr="00175897" w14:paraId="3C7E41E2" w14:textId="77777777" w:rsidTr="007D32D9">
        <w:trPr>
          <w:trHeight w:val="287"/>
        </w:trPr>
        <w:tc>
          <w:tcPr>
            <w:tcW w:w="4636" w:type="dxa"/>
            <w:shd w:val="clear" w:color="auto" w:fill="auto"/>
            <w:hideMark/>
          </w:tcPr>
          <w:p w14:paraId="3305F7B0" w14:textId="77777777" w:rsidR="00C46123" w:rsidRPr="00175897" w:rsidRDefault="00C46123" w:rsidP="00B87A9B">
            <w:pPr>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Lucro líquido por ação do capital social (em R$)</w:t>
            </w:r>
          </w:p>
        </w:tc>
        <w:tc>
          <w:tcPr>
            <w:tcW w:w="904" w:type="dxa"/>
            <w:shd w:val="clear" w:color="auto" w:fill="auto"/>
            <w:vAlign w:val="center"/>
            <w:hideMark/>
          </w:tcPr>
          <w:p w14:paraId="06FBEBCA" w14:textId="37434762"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71</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7 </w:t>
            </w:r>
          </w:p>
        </w:tc>
        <w:tc>
          <w:tcPr>
            <w:tcW w:w="905" w:type="dxa"/>
            <w:shd w:val="clear" w:color="auto" w:fill="auto"/>
            <w:vAlign w:val="center"/>
            <w:hideMark/>
          </w:tcPr>
          <w:p w14:paraId="0991577D" w14:textId="2B165D0F"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79</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1 </w:t>
            </w:r>
          </w:p>
        </w:tc>
        <w:tc>
          <w:tcPr>
            <w:tcW w:w="1169" w:type="dxa"/>
            <w:shd w:val="clear" w:color="auto" w:fill="auto"/>
            <w:vAlign w:val="center"/>
            <w:hideMark/>
          </w:tcPr>
          <w:p w14:paraId="27D6053E" w14:textId="13FCD5DA" w:rsidR="00C46123" w:rsidRPr="00175897" w:rsidRDefault="00C46123" w:rsidP="00B87A9B">
            <w:pPr>
              <w:jc w:val="right"/>
              <w:rPr>
                <w:rFonts w:ascii="Arial" w:eastAsia="Times New Roman" w:hAnsi="Arial" w:cs="Arial"/>
                <w:bCs/>
                <w:color w:val="000000"/>
                <w:sz w:val="20"/>
                <w:szCs w:val="20"/>
                <w:lang w:val="pt-BR"/>
              </w:rPr>
            </w:pPr>
            <w:r w:rsidRPr="00175897">
              <w:rPr>
                <w:rFonts w:ascii="Arial" w:eastAsia="Times New Roman" w:hAnsi="Arial" w:cs="Arial"/>
                <w:bCs/>
                <w:color w:val="000000"/>
                <w:sz w:val="20"/>
                <w:szCs w:val="20"/>
                <w:lang w:val="pt-BR"/>
              </w:rPr>
              <w:t>7</w:t>
            </w:r>
            <w:r w:rsidR="007D32D9">
              <w:rPr>
                <w:rFonts w:ascii="Arial" w:eastAsia="Times New Roman" w:hAnsi="Arial" w:cs="Arial"/>
                <w:bCs/>
                <w:color w:val="000000"/>
                <w:sz w:val="20"/>
                <w:szCs w:val="20"/>
                <w:lang w:val="pt-BR"/>
              </w:rPr>
              <w:t>,</w:t>
            </w:r>
            <w:r w:rsidRPr="00175897">
              <w:rPr>
                <w:rFonts w:ascii="Arial" w:eastAsia="Times New Roman" w:hAnsi="Arial" w:cs="Arial"/>
                <w:bCs/>
                <w:color w:val="000000"/>
                <w:sz w:val="20"/>
                <w:szCs w:val="20"/>
                <w:lang w:val="pt-BR"/>
              </w:rPr>
              <w:t xml:space="preserve">3 </w:t>
            </w:r>
          </w:p>
        </w:tc>
        <w:tc>
          <w:tcPr>
            <w:tcW w:w="1170" w:type="dxa"/>
            <w:shd w:val="clear" w:color="auto" w:fill="auto"/>
            <w:vAlign w:val="center"/>
          </w:tcPr>
          <w:p w14:paraId="5893E327" w14:textId="65A4D805" w:rsidR="00C46123" w:rsidRPr="00175897" w:rsidRDefault="00C46123" w:rsidP="00B87A9B">
            <w:pPr>
              <w:jc w:val="right"/>
              <w:rPr>
                <w:rFonts w:ascii="Arial" w:eastAsia="Times New Roman" w:hAnsi="Arial" w:cs="Arial"/>
                <w:bCs/>
                <w:color w:val="000000"/>
                <w:sz w:val="20"/>
                <w:szCs w:val="20"/>
                <w:lang w:val="pt-BR"/>
              </w:rPr>
            </w:pPr>
            <w:r w:rsidRPr="00175897">
              <w:rPr>
                <w:rFonts w:ascii="Arial" w:hAnsi="Arial" w:cs="Arial"/>
                <w:color w:val="000000"/>
                <w:sz w:val="20"/>
                <w:szCs w:val="20"/>
                <w:lang w:val="pt-BR"/>
              </w:rPr>
              <w:t>10</w:t>
            </w:r>
            <w:r w:rsidR="007D32D9">
              <w:rPr>
                <w:rFonts w:ascii="Arial" w:hAnsi="Arial" w:cs="Arial"/>
                <w:color w:val="000000"/>
                <w:sz w:val="20"/>
                <w:szCs w:val="20"/>
                <w:lang w:val="pt-BR"/>
              </w:rPr>
              <w:t>,</w:t>
            </w:r>
            <w:r w:rsidRPr="00175897">
              <w:rPr>
                <w:rFonts w:ascii="Arial" w:hAnsi="Arial" w:cs="Arial"/>
                <w:color w:val="000000"/>
                <w:sz w:val="20"/>
                <w:szCs w:val="20"/>
                <w:lang w:val="pt-BR"/>
              </w:rPr>
              <w:t>2%</w:t>
            </w:r>
          </w:p>
        </w:tc>
      </w:tr>
    </w:tbl>
    <w:p w14:paraId="52B25876" w14:textId="77777777" w:rsidR="00C46123" w:rsidRPr="00CA2760" w:rsidRDefault="00C46123" w:rsidP="00C46123">
      <w:pPr>
        <w:tabs>
          <w:tab w:val="left" w:pos="4219"/>
          <w:tab w:val="left" w:pos="5388"/>
          <w:tab w:val="left" w:pos="6558"/>
          <w:tab w:val="left" w:pos="7727"/>
        </w:tabs>
        <w:rPr>
          <w:rFonts w:ascii="Times New Roman" w:eastAsia="Times New Roman" w:hAnsi="Times New Roman" w:cs="Times New Roman"/>
          <w:color w:val="000000"/>
          <w:lang w:val="pt-BR"/>
        </w:rPr>
      </w:pPr>
      <w:r w:rsidRPr="007D32D9">
        <w:rPr>
          <w:rFonts w:ascii="Times New Roman" w:eastAsia="Times New Roman" w:hAnsi="Times New Roman" w:cs="Times New Roman"/>
          <w:color w:val="000000"/>
          <w:lang w:val="pt-BR"/>
        </w:rPr>
        <w:t xml:space="preserve">Fonte:  Fomento Paraná.  </w:t>
      </w:r>
      <w:r w:rsidRPr="007D32D9">
        <w:rPr>
          <w:rFonts w:ascii="Times New Roman" w:eastAsia="Times New Roman" w:hAnsi="Times New Roman" w:cs="Times New Roman"/>
          <w:bCs/>
          <w:sz w:val="24"/>
          <w:szCs w:val="24"/>
          <w:lang w:val="pt-BR"/>
        </w:rPr>
        <w:t xml:space="preserve">Demonstração dos Resultados </w:t>
      </w:r>
      <w:r w:rsidRPr="007D32D9">
        <w:rPr>
          <w:rFonts w:ascii="Times New Roman" w:eastAsia="Times New Roman" w:hAnsi="Times New Roman" w:cs="Times New Roman"/>
          <w:color w:val="000000"/>
          <w:lang w:val="pt-BR"/>
        </w:rPr>
        <w:t>de 2013 e 2017</w:t>
      </w:r>
    </w:p>
    <w:p w14:paraId="4E1FDA03" w14:textId="77777777" w:rsidR="00163A51" w:rsidRDefault="00163A51" w:rsidP="00C46123">
      <w:pPr>
        <w:spacing w:line="360" w:lineRule="auto"/>
        <w:rPr>
          <w:rFonts w:ascii="Times New Roman" w:hAnsi="Times New Roman" w:cs="Times New Roman"/>
          <w:b/>
          <w:sz w:val="24"/>
          <w:szCs w:val="24"/>
          <w:lang w:val="pt-BR"/>
        </w:rPr>
      </w:pPr>
      <w:bookmarkStart w:id="19" w:name="_Hlk511720097"/>
      <w:bookmarkStart w:id="20" w:name="_Hlk511720410"/>
    </w:p>
    <w:p w14:paraId="1EF88D26" w14:textId="2926BCA5" w:rsidR="00C46123" w:rsidRPr="00CA2760" w:rsidRDefault="001B22E4" w:rsidP="00C46123">
      <w:pPr>
        <w:spacing w:line="360" w:lineRule="auto"/>
        <w:rPr>
          <w:rFonts w:ascii="Times New Roman" w:hAnsi="Times New Roman" w:cs="Times New Roman"/>
          <w:b/>
          <w:sz w:val="24"/>
          <w:szCs w:val="24"/>
          <w:lang w:val="pt-BR"/>
        </w:rPr>
      </w:pPr>
      <w:r>
        <w:rPr>
          <w:rFonts w:ascii="Times New Roman" w:hAnsi="Times New Roman" w:cs="Times New Roman"/>
          <w:b/>
          <w:sz w:val="24"/>
          <w:szCs w:val="24"/>
          <w:lang w:val="pt-BR"/>
        </w:rPr>
        <w:t>A a</w:t>
      </w:r>
      <w:r w:rsidR="00C46123" w:rsidRPr="00CA2760">
        <w:rPr>
          <w:rFonts w:ascii="Times New Roman" w:hAnsi="Times New Roman" w:cs="Times New Roman"/>
          <w:b/>
          <w:sz w:val="24"/>
          <w:szCs w:val="24"/>
          <w:lang w:val="pt-BR"/>
        </w:rPr>
        <w:t>nálise da sustentabilidade da Fomento Paraná</w:t>
      </w:r>
    </w:p>
    <w:bookmarkEnd w:id="19"/>
    <w:p w14:paraId="3D23072B" w14:textId="1CF58E20" w:rsidR="00740E4F" w:rsidRPr="00740E4F" w:rsidRDefault="00740E4F" w:rsidP="00740E4F">
      <w:pPr>
        <w:shd w:val="clear" w:color="auto" w:fill="FFFFFF"/>
        <w:spacing w:after="120" w:line="360" w:lineRule="auto"/>
        <w:rPr>
          <w:rFonts w:ascii="Times New Roman" w:eastAsia="Times New Roman" w:hAnsi="Times New Roman" w:cs="Times New Roman"/>
          <w:sz w:val="24"/>
          <w:szCs w:val="24"/>
          <w:lang w:val="pt-PT" w:eastAsia="pt-BR"/>
        </w:rPr>
      </w:pPr>
      <w:r w:rsidRPr="00740E4F">
        <w:rPr>
          <w:rFonts w:ascii="Times New Roman" w:hAnsi="Times New Roman" w:cs="Times New Roman"/>
          <w:sz w:val="24"/>
          <w:szCs w:val="24"/>
          <w:lang w:val="pt-PT"/>
        </w:rPr>
        <w:t xml:space="preserve">Em nossa análise de sustentabilidade </w:t>
      </w:r>
      <w:r w:rsidR="004F5E49">
        <w:rPr>
          <w:rFonts w:ascii="Times New Roman" w:hAnsi="Times New Roman" w:cs="Times New Roman"/>
          <w:sz w:val="24"/>
          <w:szCs w:val="24"/>
          <w:lang w:val="pt-PT"/>
        </w:rPr>
        <w:t>da Fomento Paraná</w:t>
      </w:r>
      <w:r w:rsidRPr="00740E4F">
        <w:rPr>
          <w:rFonts w:ascii="Times New Roman" w:hAnsi="Times New Roman" w:cs="Times New Roman"/>
          <w:sz w:val="24"/>
          <w:szCs w:val="24"/>
          <w:lang w:val="pt-PT"/>
        </w:rPr>
        <w:t>, analisamos três indicadores-chave: a</w:t>
      </w:r>
      <w:r w:rsidRPr="00740E4F">
        <w:rPr>
          <w:rFonts w:ascii="Times New Roman" w:eastAsia="Times New Roman" w:hAnsi="Times New Roman" w:cs="Times New Roman"/>
          <w:sz w:val="24"/>
          <w:szCs w:val="24"/>
          <w:lang w:val="pt-PT" w:eastAsia="pt-BR"/>
        </w:rPr>
        <w:t xml:space="preserve">s provas de estresse da carteira de crédito, os indicadores anuais de risco e os </w:t>
      </w:r>
      <w:r w:rsidRPr="00740E4F">
        <w:rPr>
          <w:rFonts w:ascii="Times New Roman" w:eastAsia="Times New Roman" w:hAnsi="Times New Roman" w:cs="Times New Roman"/>
          <w:i/>
          <w:sz w:val="24"/>
          <w:szCs w:val="24"/>
          <w:lang w:val="pt-PT" w:eastAsia="pt-BR"/>
        </w:rPr>
        <w:t xml:space="preserve">ratings </w:t>
      </w:r>
      <w:r w:rsidRPr="00740E4F">
        <w:rPr>
          <w:rFonts w:ascii="Times New Roman" w:eastAsia="Times New Roman" w:hAnsi="Times New Roman" w:cs="Times New Roman"/>
          <w:sz w:val="24"/>
          <w:szCs w:val="24"/>
          <w:lang w:val="pt-PT" w:eastAsia="pt-BR"/>
        </w:rPr>
        <w:t>das agências Fitch e Moody’s</w:t>
      </w:r>
      <w:r>
        <w:rPr>
          <w:rFonts w:ascii="Times New Roman" w:eastAsia="Times New Roman" w:hAnsi="Times New Roman" w:cs="Times New Roman"/>
          <w:sz w:val="24"/>
          <w:szCs w:val="24"/>
          <w:lang w:val="pt-PT" w:eastAsia="pt-BR"/>
        </w:rPr>
        <w:t>.</w:t>
      </w:r>
    </w:p>
    <w:p w14:paraId="404B9BF5" w14:textId="5FB44E5B" w:rsidR="00C46123" w:rsidRPr="00CA2760" w:rsidRDefault="001B22E4" w:rsidP="00C46123">
      <w:pPr>
        <w:shd w:val="clear" w:color="auto" w:fill="FFFFFF"/>
        <w:spacing w:line="360" w:lineRule="auto"/>
        <w:rPr>
          <w:rFonts w:ascii="Times New Roman" w:eastAsia="Times New Roman" w:hAnsi="Times New Roman" w:cs="Times New Roman"/>
          <w:sz w:val="24"/>
          <w:szCs w:val="24"/>
          <w:u w:val="single"/>
          <w:lang w:val="pt-BR" w:eastAsia="pt-BR"/>
        </w:rPr>
      </w:pPr>
      <w:r>
        <w:rPr>
          <w:rFonts w:ascii="Times New Roman" w:eastAsia="Times New Roman" w:hAnsi="Times New Roman" w:cs="Times New Roman"/>
          <w:sz w:val="24"/>
          <w:szCs w:val="24"/>
          <w:u w:val="single"/>
          <w:lang w:val="pt-BR" w:eastAsia="pt-BR"/>
        </w:rPr>
        <w:t>As p</w:t>
      </w:r>
      <w:r w:rsidR="00C46123" w:rsidRPr="00CA2760">
        <w:rPr>
          <w:rFonts w:ascii="Times New Roman" w:eastAsia="Times New Roman" w:hAnsi="Times New Roman" w:cs="Times New Roman"/>
          <w:sz w:val="24"/>
          <w:szCs w:val="24"/>
          <w:u w:val="single"/>
          <w:lang w:val="pt-BR" w:eastAsia="pt-BR"/>
        </w:rPr>
        <w:t xml:space="preserve">rovas de estresse da carteira de crédito </w:t>
      </w:r>
    </w:p>
    <w:p w14:paraId="438C42BE" w14:textId="77777777" w:rsidR="00763A49" w:rsidRPr="006D184B" w:rsidRDefault="00763A49" w:rsidP="00763A49">
      <w:pPr>
        <w:shd w:val="clear" w:color="auto" w:fill="FFFFFF"/>
        <w:spacing w:line="360" w:lineRule="auto"/>
        <w:rPr>
          <w:rFonts w:ascii="Times New Roman" w:eastAsia="Calibri" w:hAnsi="Times New Roman" w:cs="Times New Roman"/>
          <w:spacing w:val="1"/>
          <w:sz w:val="24"/>
          <w:szCs w:val="24"/>
          <w:lang w:val="pt-BR"/>
        </w:rPr>
      </w:pPr>
      <w:bookmarkStart w:id="21" w:name="_Hlk512492968"/>
      <w:r w:rsidRPr="00716232">
        <w:rPr>
          <w:rFonts w:ascii="Times New Roman" w:eastAsia="Calibri" w:hAnsi="Times New Roman" w:cs="Times New Roman"/>
          <w:spacing w:val="1"/>
          <w:sz w:val="24"/>
          <w:szCs w:val="24"/>
          <w:lang w:val="pt-BR"/>
        </w:rPr>
        <w:t>P</w:t>
      </w:r>
      <w:r w:rsidRPr="00716232">
        <w:rPr>
          <w:rFonts w:ascii="Times New Roman" w:eastAsia="Calibri" w:hAnsi="Times New Roman" w:cs="Times New Roman"/>
          <w:sz w:val="24"/>
          <w:szCs w:val="24"/>
          <w:lang w:val="pt-BR"/>
        </w:rPr>
        <w:t>ara</w:t>
      </w:r>
      <w:r w:rsidRPr="00716232">
        <w:rPr>
          <w:rFonts w:ascii="Times New Roman" w:eastAsia="Calibri" w:hAnsi="Times New Roman" w:cs="Times New Roman"/>
          <w:spacing w:val="2"/>
          <w:sz w:val="24"/>
          <w:szCs w:val="24"/>
          <w:lang w:val="pt-BR"/>
        </w:rPr>
        <w:t xml:space="preserve"> </w:t>
      </w:r>
      <w:r w:rsidRPr="00716232">
        <w:rPr>
          <w:rFonts w:ascii="Times New Roman" w:eastAsia="Calibri" w:hAnsi="Times New Roman" w:cs="Times New Roman"/>
          <w:sz w:val="24"/>
          <w:szCs w:val="24"/>
          <w:lang w:val="pt-BR"/>
        </w:rPr>
        <w:t>e</w:t>
      </w:r>
      <w:r w:rsidRPr="00716232">
        <w:rPr>
          <w:rFonts w:ascii="Times New Roman" w:eastAsia="Calibri" w:hAnsi="Times New Roman" w:cs="Times New Roman"/>
          <w:spacing w:val="-2"/>
          <w:sz w:val="24"/>
          <w:szCs w:val="24"/>
          <w:lang w:val="pt-BR"/>
        </w:rPr>
        <w:t>f</w:t>
      </w:r>
      <w:r w:rsidRPr="00716232">
        <w:rPr>
          <w:rFonts w:ascii="Times New Roman" w:eastAsia="Calibri" w:hAnsi="Times New Roman" w:cs="Times New Roman"/>
          <w:sz w:val="24"/>
          <w:szCs w:val="24"/>
          <w:lang w:val="pt-BR"/>
        </w:rPr>
        <w:t>eito</w:t>
      </w:r>
      <w:r w:rsidRPr="00716232">
        <w:rPr>
          <w:rFonts w:ascii="Times New Roman" w:eastAsia="Calibri" w:hAnsi="Times New Roman" w:cs="Times New Roman"/>
          <w:spacing w:val="4"/>
          <w:sz w:val="24"/>
          <w:szCs w:val="24"/>
          <w:lang w:val="pt-BR"/>
        </w:rPr>
        <w:t xml:space="preserve"> </w:t>
      </w:r>
      <w:r w:rsidRPr="00716232">
        <w:rPr>
          <w:rFonts w:ascii="Times New Roman" w:eastAsia="Calibri" w:hAnsi="Times New Roman" w:cs="Times New Roman"/>
          <w:sz w:val="24"/>
          <w:szCs w:val="24"/>
          <w:lang w:val="pt-BR"/>
        </w:rPr>
        <w:t>d</w:t>
      </w:r>
      <w:r>
        <w:rPr>
          <w:rFonts w:ascii="Times New Roman" w:eastAsia="Calibri" w:hAnsi="Times New Roman" w:cs="Times New Roman"/>
          <w:sz w:val="24"/>
          <w:szCs w:val="24"/>
          <w:lang w:val="pt-BR"/>
        </w:rPr>
        <w:t>a</w:t>
      </w:r>
      <w:r w:rsidRPr="00716232">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lang w:val="pt-BR"/>
        </w:rPr>
        <w:t>prova</w:t>
      </w:r>
      <w:r w:rsidRPr="00716232">
        <w:rPr>
          <w:rFonts w:ascii="Times New Roman" w:eastAsia="Calibri" w:hAnsi="Times New Roman" w:cs="Times New Roman"/>
          <w:sz w:val="24"/>
          <w:szCs w:val="24"/>
          <w:lang w:val="pt-BR"/>
        </w:rPr>
        <w:t xml:space="preserve"> de estresse</w:t>
      </w:r>
      <w:r w:rsidRPr="00716232">
        <w:rPr>
          <w:rFonts w:ascii="Times New Roman" w:eastAsia="Calibri" w:hAnsi="Times New Roman" w:cs="Times New Roman"/>
          <w:spacing w:val="3"/>
          <w:sz w:val="24"/>
          <w:szCs w:val="24"/>
          <w:lang w:val="pt-BR"/>
        </w:rPr>
        <w:t xml:space="preserve"> </w:t>
      </w:r>
      <w:r w:rsidRPr="00716232">
        <w:rPr>
          <w:rFonts w:ascii="Times New Roman" w:eastAsia="Calibri" w:hAnsi="Times New Roman" w:cs="Times New Roman"/>
          <w:spacing w:val="-1"/>
          <w:sz w:val="24"/>
          <w:szCs w:val="24"/>
          <w:lang w:val="pt-BR"/>
        </w:rPr>
        <w:t>d</w:t>
      </w:r>
      <w:r w:rsidRPr="00716232">
        <w:rPr>
          <w:rFonts w:ascii="Times New Roman" w:eastAsia="Calibri" w:hAnsi="Times New Roman" w:cs="Times New Roman"/>
          <w:sz w:val="24"/>
          <w:szCs w:val="24"/>
          <w:lang w:val="pt-BR"/>
        </w:rPr>
        <w:t>e</w:t>
      </w:r>
      <w:r w:rsidRPr="00716232">
        <w:rPr>
          <w:rFonts w:ascii="Times New Roman" w:eastAsia="Calibri" w:hAnsi="Times New Roman" w:cs="Times New Roman"/>
          <w:spacing w:val="3"/>
          <w:sz w:val="24"/>
          <w:szCs w:val="24"/>
          <w:lang w:val="pt-BR"/>
        </w:rPr>
        <w:t xml:space="preserve"> </w:t>
      </w:r>
      <w:r w:rsidRPr="00716232">
        <w:rPr>
          <w:rFonts w:ascii="Times New Roman" w:eastAsia="Calibri" w:hAnsi="Times New Roman" w:cs="Times New Roman"/>
          <w:sz w:val="24"/>
          <w:szCs w:val="24"/>
          <w:lang w:val="pt-BR"/>
        </w:rPr>
        <w:t>risco</w:t>
      </w:r>
      <w:r w:rsidRPr="00716232">
        <w:rPr>
          <w:rFonts w:ascii="Times New Roman" w:eastAsia="Calibri" w:hAnsi="Times New Roman" w:cs="Times New Roman"/>
          <w:spacing w:val="4"/>
          <w:sz w:val="24"/>
          <w:szCs w:val="24"/>
          <w:lang w:val="pt-BR"/>
        </w:rPr>
        <w:t xml:space="preserve"> </w:t>
      </w:r>
      <w:r w:rsidRPr="00AF6A1F">
        <w:rPr>
          <w:rFonts w:ascii="Times New Roman" w:eastAsia="Calibri" w:hAnsi="Times New Roman" w:cs="Times New Roman"/>
          <w:spacing w:val="-1"/>
          <w:sz w:val="24"/>
          <w:szCs w:val="24"/>
          <w:lang w:val="pt-BR"/>
        </w:rPr>
        <w:t>d</w:t>
      </w:r>
      <w:r w:rsidRPr="00AF6A1F">
        <w:rPr>
          <w:rFonts w:ascii="Times New Roman" w:eastAsia="Calibri" w:hAnsi="Times New Roman" w:cs="Times New Roman"/>
          <w:sz w:val="24"/>
          <w:szCs w:val="24"/>
          <w:lang w:val="pt-BR"/>
        </w:rPr>
        <w:t>e</w:t>
      </w:r>
      <w:r w:rsidRPr="00AF6A1F">
        <w:rPr>
          <w:rFonts w:ascii="Times New Roman" w:eastAsia="Calibri" w:hAnsi="Times New Roman" w:cs="Times New Roman"/>
          <w:spacing w:val="1"/>
          <w:sz w:val="24"/>
          <w:szCs w:val="24"/>
          <w:lang w:val="pt-BR"/>
        </w:rPr>
        <w:t xml:space="preserve"> </w:t>
      </w:r>
      <w:r w:rsidRPr="00AF6A1F">
        <w:rPr>
          <w:rFonts w:ascii="Times New Roman" w:eastAsia="Calibri" w:hAnsi="Times New Roman" w:cs="Times New Roman"/>
          <w:sz w:val="24"/>
          <w:szCs w:val="24"/>
          <w:lang w:val="pt-BR"/>
        </w:rPr>
        <w:t>crédi</w:t>
      </w:r>
      <w:r w:rsidRPr="00AF6A1F">
        <w:rPr>
          <w:rFonts w:ascii="Times New Roman" w:eastAsia="Calibri" w:hAnsi="Times New Roman" w:cs="Times New Roman"/>
          <w:spacing w:val="-2"/>
          <w:sz w:val="24"/>
          <w:szCs w:val="24"/>
          <w:lang w:val="pt-BR"/>
        </w:rPr>
        <w:t>t</w:t>
      </w:r>
      <w:r w:rsidRPr="00AF6A1F">
        <w:rPr>
          <w:rFonts w:ascii="Times New Roman" w:eastAsia="Calibri" w:hAnsi="Times New Roman" w:cs="Times New Roman"/>
          <w:spacing w:val="1"/>
          <w:sz w:val="24"/>
          <w:szCs w:val="24"/>
          <w:lang w:val="pt-BR"/>
        </w:rPr>
        <w:t>o</w:t>
      </w:r>
      <w:r w:rsidRPr="00AF6A1F">
        <w:rPr>
          <w:rFonts w:ascii="Times New Roman" w:eastAsia="Calibri" w:hAnsi="Times New Roman" w:cs="Times New Roman"/>
          <w:sz w:val="24"/>
          <w:szCs w:val="24"/>
          <w:lang w:val="pt-BR"/>
        </w:rPr>
        <w:t>,</w:t>
      </w:r>
      <w:r w:rsidRPr="00AF6A1F">
        <w:rPr>
          <w:rFonts w:ascii="Times New Roman" w:eastAsia="Calibri" w:hAnsi="Times New Roman" w:cs="Times New Roman"/>
          <w:spacing w:val="3"/>
          <w:sz w:val="24"/>
          <w:szCs w:val="24"/>
          <w:lang w:val="pt-BR"/>
        </w:rPr>
        <w:t xml:space="preserve"> </w:t>
      </w:r>
      <w:r w:rsidRPr="00AF6A1F">
        <w:rPr>
          <w:rFonts w:ascii="Times New Roman" w:eastAsia="Calibri" w:hAnsi="Times New Roman" w:cs="Times New Roman"/>
          <w:spacing w:val="-2"/>
          <w:sz w:val="24"/>
          <w:szCs w:val="24"/>
          <w:lang w:val="pt-BR"/>
        </w:rPr>
        <w:t>t</w:t>
      </w:r>
      <w:r w:rsidRPr="00AF6A1F">
        <w:rPr>
          <w:rFonts w:ascii="Times New Roman" w:eastAsia="Calibri" w:hAnsi="Times New Roman" w:cs="Times New Roman"/>
          <w:spacing w:val="1"/>
          <w:sz w:val="24"/>
          <w:szCs w:val="24"/>
          <w:lang w:val="pt-BR"/>
        </w:rPr>
        <w:t>o</w:t>
      </w:r>
      <w:r w:rsidRPr="00AF6A1F">
        <w:rPr>
          <w:rFonts w:ascii="Times New Roman" w:eastAsia="Calibri" w:hAnsi="Times New Roman" w:cs="Times New Roman"/>
          <w:spacing w:val="-1"/>
          <w:sz w:val="24"/>
          <w:szCs w:val="24"/>
          <w:lang w:val="pt-BR"/>
        </w:rPr>
        <w:t>d</w:t>
      </w:r>
      <w:r w:rsidRPr="00AF6A1F">
        <w:rPr>
          <w:rFonts w:ascii="Times New Roman" w:eastAsia="Calibri" w:hAnsi="Times New Roman" w:cs="Times New Roman"/>
          <w:spacing w:val="1"/>
          <w:sz w:val="24"/>
          <w:szCs w:val="24"/>
          <w:lang w:val="pt-BR"/>
        </w:rPr>
        <w:t>o</w:t>
      </w:r>
      <w:r w:rsidRPr="00AF6A1F">
        <w:rPr>
          <w:rFonts w:ascii="Times New Roman" w:eastAsia="Calibri" w:hAnsi="Times New Roman" w:cs="Times New Roman"/>
          <w:sz w:val="24"/>
          <w:szCs w:val="24"/>
          <w:lang w:val="pt-BR"/>
        </w:rPr>
        <w:t xml:space="preserve">s </w:t>
      </w:r>
      <w:r w:rsidRPr="00AF6A1F">
        <w:rPr>
          <w:rFonts w:ascii="Times New Roman" w:eastAsia="Calibri" w:hAnsi="Times New Roman" w:cs="Times New Roman"/>
          <w:spacing w:val="1"/>
          <w:sz w:val="24"/>
          <w:szCs w:val="24"/>
          <w:lang w:val="pt-BR"/>
        </w:rPr>
        <w:t>o</w:t>
      </w:r>
      <w:r w:rsidRPr="00AF6A1F">
        <w:rPr>
          <w:rFonts w:ascii="Times New Roman" w:eastAsia="Calibri" w:hAnsi="Times New Roman" w:cs="Times New Roman"/>
          <w:sz w:val="24"/>
          <w:szCs w:val="24"/>
          <w:lang w:val="pt-BR"/>
        </w:rPr>
        <w:t>s</w:t>
      </w:r>
      <w:r w:rsidRPr="00AF6A1F">
        <w:rPr>
          <w:rFonts w:ascii="Times New Roman" w:eastAsia="Calibri" w:hAnsi="Times New Roman" w:cs="Times New Roman"/>
          <w:spacing w:val="3"/>
          <w:sz w:val="24"/>
          <w:szCs w:val="24"/>
          <w:lang w:val="pt-BR"/>
        </w:rPr>
        <w:t xml:space="preserve"> </w:t>
      </w:r>
      <w:r w:rsidRPr="00AF6A1F">
        <w:rPr>
          <w:rFonts w:ascii="Times New Roman" w:eastAsia="Calibri" w:hAnsi="Times New Roman" w:cs="Times New Roman"/>
          <w:sz w:val="24"/>
          <w:szCs w:val="24"/>
          <w:lang w:val="pt-BR"/>
        </w:rPr>
        <w:t>clie</w:t>
      </w:r>
      <w:r w:rsidRPr="00AF6A1F">
        <w:rPr>
          <w:rFonts w:ascii="Times New Roman" w:eastAsia="Calibri" w:hAnsi="Times New Roman" w:cs="Times New Roman"/>
          <w:spacing w:val="-1"/>
          <w:sz w:val="24"/>
          <w:szCs w:val="24"/>
          <w:lang w:val="pt-BR"/>
        </w:rPr>
        <w:t>n</w:t>
      </w:r>
      <w:r w:rsidRPr="00AF6A1F">
        <w:rPr>
          <w:rFonts w:ascii="Times New Roman" w:eastAsia="Calibri" w:hAnsi="Times New Roman" w:cs="Times New Roman"/>
          <w:spacing w:val="-2"/>
          <w:sz w:val="24"/>
          <w:szCs w:val="24"/>
          <w:lang w:val="pt-BR"/>
        </w:rPr>
        <w:t>t</w:t>
      </w:r>
      <w:r w:rsidRPr="00AF6A1F">
        <w:rPr>
          <w:rFonts w:ascii="Times New Roman" w:eastAsia="Calibri" w:hAnsi="Times New Roman" w:cs="Times New Roman"/>
          <w:sz w:val="24"/>
          <w:szCs w:val="24"/>
          <w:lang w:val="pt-BR"/>
        </w:rPr>
        <w:t>es</w:t>
      </w:r>
      <w:r w:rsidRPr="00AF6A1F">
        <w:rPr>
          <w:rFonts w:ascii="Times New Roman" w:eastAsia="Calibri" w:hAnsi="Times New Roman" w:cs="Times New Roman"/>
          <w:spacing w:val="3"/>
          <w:sz w:val="24"/>
          <w:szCs w:val="24"/>
          <w:lang w:val="pt-BR"/>
        </w:rPr>
        <w:t xml:space="preserve"> </w:t>
      </w:r>
      <w:r w:rsidRPr="00AF6A1F">
        <w:rPr>
          <w:rFonts w:ascii="Times New Roman" w:eastAsia="Calibri" w:hAnsi="Times New Roman" w:cs="Times New Roman"/>
          <w:spacing w:val="-1"/>
          <w:sz w:val="24"/>
          <w:szCs w:val="24"/>
          <w:lang w:val="pt-BR"/>
        </w:rPr>
        <w:t>d</w:t>
      </w:r>
      <w:r w:rsidRPr="00AF6A1F">
        <w:rPr>
          <w:rFonts w:ascii="Times New Roman" w:eastAsia="Calibri" w:hAnsi="Times New Roman" w:cs="Times New Roman"/>
          <w:sz w:val="24"/>
          <w:szCs w:val="24"/>
          <w:lang w:val="pt-BR"/>
        </w:rPr>
        <w:t>o</w:t>
      </w:r>
      <w:r w:rsidRPr="00AF6A1F">
        <w:rPr>
          <w:rFonts w:ascii="Times New Roman" w:eastAsia="Calibri" w:hAnsi="Times New Roman" w:cs="Times New Roman"/>
          <w:spacing w:val="4"/>
          <w:sz w:val="24"/>
          <w:szCs w:val="24"/>
          <w:lang w:val="pt-BR"/>
        </w:rPr>
        <w:t xml:space="preserve"> </w:t>
      </w:r>
      <w:r w:rsidRPr="00AF6A1F">
        <w:rPr>
          <w:rFonts w:ascii="Times New Roman" w:eastAsia="Calibri" w:hAnsi="Times New Roman" w:cs="Times New Roman"/>
          <w:sz w:val="24"/>
          <w:szCs w:val="24"/>
          <w:lang w:val="pt-BR"/>
        </w:rPr>
        <w:t>s</w:t>
      </w:r>
      <w:r w:rsidRPr="00AF6A1F">
        <w:rPr>
          <w:rFonts w:ascii="Times New Roman" w:eastAsia="Calibri" w:hAnsi="Times New Roman" w:cs="Times New Roman"/>
          <w:spacing w:val="-2"/>
          <w:sz w:val="24"/>
          <w:szCs w:val="24"/>
          <w:lang w:val="pt-BR"/>
        </w:rPr>
        <w:t>e</w:t>
      </w:r>
      <w:r w:rsidRPr="00AF6A1F">
        <w:rPr>
          <w:rFonts w:ascii="Times New Roman" w:eastAsia="Calibri" w:hAnsi="Times New Roman" w:cs="Times New Roman"/>
          <w:sz w:val="24"/>
          <w:szCs w:val="24"/>
          <w:lang w:val="pt-BR"/>
        </w:rPr>
        <w:t>t</w:t>
      </w:r>
      <w:r w:rsidRPr="00AF6A1F">
        <w:rPr>
          <w:rFonts w:ascii="Times New Roman" w:eastAsia="Calibri" w:hAnsi="Times New Roman" w:cs="Times New Roman"/>
          <w:spacing w:val="1"/>
          <w:sz w:val="24"/>
          <w:szCs w:val="24"/>
          <w:lang w:val="pt-BR"/>
        </w:rPr>
        <w:t>o</w:t>
      </w:r>
      <w:r w:rsidRPr="00AF6A1F">
        <w:rPr>
          <w:rFonts w:ascii="Times New Roman" w:eastAsia="Calibri" w:hAnsi="Times New Roman" w:cs="Times New Roman"/>
          <w:sz w:val="24"/>
          <w:szCs w:val="24"/>
          <w:lang w:val="pt-BR"/>
        </w:rPr>
        <w:t>r</w:t>
      </w:r>
      <w:r>
        <w:rPr>
          <w:rFonts w:ascii="Times New Roman" w:eastAsia="Calibri" w:hAnsi="Times New Roman" w:cs="Times New Roman"/>
          <w:sz w:val="24"/>
          <w:szCs w:val="24"/>
          <w:lang w:val="pt-BR"/>
        </w:rPr>
        <w:t xml:space="preserve"> </w:t>
      </w:r>
      <w:r w:rsidRPr="00AF6A1F">
        <w:rPr>
          <w:rFonts w:ascii="Times New Roman" w:eastAsia="Calibri" w:hAnsi="Times New Roman" w:cs="Times New Roman"/>
          <w:spacing w:val="1"/>
          <w:sz w:val="24"/>
          <w:szCs w:val="24"/>
          <w:lang w:val="pt-BR"/>
        </w:rPr>
        <w:t>p</w:t>
      </w:r>
      <w:r w:rsidRPr="00AF6A1F">
        <w:rPr>
          <w:rFonts w:ascii="Times New Roman" w:eastAsia="Calibri" w:hAnsi="Times New Roman" w:cs="Times New Roman"/>
          <w:spacing w:val="-3"/>
          <w:sz w:val="24"/>
          <w:szCs w:val="24"/>
          <w:lang w:val="pt-BR"/>
        </w:rPr>
        <w:t>ú</w:t>
      </w:r>
      <w:r w:rsidRPr="00AF6A1F">
        <w:rPr>
          <w:rFonts w:ascii="Times New Roman" w:eastAsia="Calibri" w:hAnsi="Times New Roman" w:cs="Times New Roman"/>
          <w:spacing w:val="-1"/>
          <w:sz w:val="24"/>
          <w:szCs w:val="24"/>
          <w:lang w:val="pt-BR"/>
        </w:rPr>
        <w:t>b</w:t>
      </w:r>
      <w:r w:rsidRPr="00AF6A1F">
        <w:rPr>
          <w:rFonts w:ascii="Times New Roman" w:eastAsia="Calibri" w:hAnsi="Times New Roman" w:cs="Times New Roman"/>
          <w:sz w:val="24"/>
          <w:szCs w:val="24"/>
          <w:lang w:val="pt-BR"/>
        </w:rPr>
        <w:t>lico</w:t>
      </w:r>
      <w:r w:rsidRPr="00AF6A1F">
        <w:rPr>
          <w:rFonts w:ascii="Times New Roman" w:eastAsia="Calibri" w:hAnsi="Times New Roman" w:cs="Times New Roman"/>
          <w:spacing w:val="4"/>
          <w:sz w:val="24"/>
          <w:szCs w:val="24"/>
          <w:lang w:val="pt-BR"/>
        </w:rPr>
        <w:t xml:space="preserve"> </w:t>
      </w:r>
      <w:r w:rsidRPr="00AF6A1F">
        <w:rPr>
          <w:rFonts w:ascii="Times New Roman" w:eastAsia="Calibri" w:hAnsi="Times New Roman" w:cs="Times New Roman"/>
          <w:sz w:val="24"/>
          <w:szCs w:val="24"/>
          <w:lang w:val="pt-BR"/>
        </w:rPr>
        <w:t>e</w:t>
      </w:r>
      <w:r w:rsidRPr="00AF6A1F">
        <w:rPr>
          <w:rFonts w:ascii="Times New Roman" w:eastAsia="Calibri" w:hAnsi="Times New Roman" w:cs="Times New Roman"/>
          <w:spacing w:val="3"/>
          <w:sz w:val="24"/>
          <w:szCs w:val="24"/>
          <w:lang w:val="pt-BR"/>
        </w:rPr>
        <w:t xml:space="preserve"> </w:t>
      </w:r>
      <w:r w:rsidRPr="00AF6A1F">
        <w:rPr>
          <w:rFonts w:ascii="Times New Roman" w:eastAsia="Calibri" w:hAnsi="Times New Roman" w:cs="Times New Roman"/>
          <w:spacing w:val="1"/>
          <w:sz w:val="24"/>
          <w:szCs w:val="24"/>
          <w:lang w:val="pt-BR"/>
        </w:rPr>
        <w:t>p</w:t>
      </w:r>
      <w:r w:rsidRPr="00AF6A1F">
        <w:rPr>
          <w:rFonts w:ascii="Times New Roman" w:eastAsia="Calibri" w:hAnsi="Times New Roman" w:cs="Times New Roman"/>
          <w:sz w:val="24"/>
          <w:szCs w:val="24"/>
          <w:lang w:val="pt-BR"/>
        </w:rPr>
        <w:t>r</w:t>
      </w:r>
      <w:r w:rsidRPr="00AF6A1F">
        <w:rPr>
          <w:rFonts w:ascii="Times New Roman" w:eastAsia="Calibri" w:hAnsi="Times New Roman" w:cs="Times New Roman"/>
          <w:spacing w:val="-3"/>
          <w:sz w:val="24"/>
          <w:szCs w:val="24"/>
          <w:lang w:val="pt-BR"/>
        </w:rPr>
        <w:t>i</w:t>
      </w:r>
      <w:r w:rsidRPr="00AF6A1F">
        <w:rPr>
          <w:rFonts w:ascii="Times New Roman" w:eastAsia="Calibri" w:hAnsi="Times New Roman" w:cs="Times New Roman"/>
          <w:spacing w:val="1"/>
          <w:sz w:val="24"/>
          <w:szCs w:val="24"/>
          <w:lang w:val="pt-BR"/>
        </w:rPr>
        <w:t>v</w:t>
      </w:r>
      <w:r w:rsidRPr="00AF6A1F">
        <w:rPr>
          <w:rFonts w:ascii="Times New Roman" w:eastAsia="Calibri" w:hAnsi="Times New Roman" w:cs="Times New Roman"/>
          <w:sz w:val="24"/>
          <w:szCs w:val="24"/>
          <w:lang w:val="pt-BR"/>
        </w:rPr>
        <w:t>a</w:t>
      </w:r>
      <w:r w:rsidRPr="00AF6A1F">
        <w:rPr>
          <w:rFonts w:ascii="Times New Roman" w:eastAsia="Calibri" w:hAnsi="Times New Roman" w:cs="Times New Roman"/>
          <w:spacing w:val="-3"/>
          <w:sz w:val="24"/>
          <w:szCs w:val="24"/>
          <w:lang w:val="pt-BR"/>
        </w:rPr>
        <w:t>d</w:t>
      </w:r>
      <w:r w:rsidRPr="00AF6A1F">
        <w:rPr>
          <w:rFonts w:ascii="Times New Roman" w:eastAsia="Calibri" w:hAnsi="Times New Roman" w:cs="Times New Roman"/>
          <w:sz w:val="24"/>
          <w:szCs w:val="24"/>
          <w:lang w:val="pt-BR"/>
        </w:rPr>
        <w:t>o</w:t>
      </w:r>
      <w:r w:rsidRPr="00AF6A1F">
        <w:rPr>
          <w:rFonts w:ascii="Times New Roman" w:eastAsia="Calibri" w:hAnsi="Times New Roman" w:cs="Times New Roman"/>
          <w:spacing w:val="4"/>
          <w:sz w:val="24"/>
          <w:szCs w:val="24"/>
          <w:lang w:val="pt-BR"/>
        </w:rPr>
        <w:t xml:space="preserve"> </w:t>
      </w:r>
      <w:r w:rsidRPr="006D184B">
        <w:rPr>
          <w:rFonts w:ascii="Times New Roman" w:eastAsia="Calibri" w:hAnsi="Times New Roman" w:cs="Times New Roman"/>
          <w:spacing w:val="1"/>
          <w:sz w:val="24"/>
          <w:szCs w:val="24"/>
          <w:lang w:val="pt-BR"/>
        </w:rPr>
        <w:t>têm suas classificaç</w:t>
      </w:r>
      <w:r w:rsidRPr="00AF6A1F">
        <w:rPr>
          <w:rFonts w:ascii="Times New Roman" w:eastAsia="Calibri" w:hAnsi="Times New Roman" w:cs="Times New Roman"/>
          <w:spacing w:val="1"/>
          <w:sz w:val="24"/>
          <w:szCs w:val="24"/>
          <w:lang w:val="pt-BR"/>
        </w:rPr>
        <w:t>õ</w:t>
      </w:r>
      <w:r w:rsidRPr="006D184B">
        <w:rPr>
          <w:rFonts w:ascii="Times New Roman" w:eastAsia="Calibri" w:hAnsi="Times New Roman" w:cs="Times New Roman"/>
          <w:spacing w:val="1"/>
          <w:sz w:val="24"/>
          <w:szCs w:val="24"/>
          <w:lang w:val="pt-BR"/>
        </w:rPr>
        <w:t>es</w:t>
      </w:r>
      <w:r w:rsidRPr="00AF6A1F">
        <w:rPr>
          <w:rFonts w:ascii="Times New Roman" w:eastAsia="Calibri" w:hAnsi="Times New Roman" w:cs="Times New Roman"/>
          <w:spacing w:val="1"/>
          <w:sz w:val="24"/>
          <w:szCs w:val="24"/>
          <w:lang w:val="pt-BR"/>
        </w:rPr>
        <w:t xml:space="preserve"> </w:t>
      </w:r>
      <w:r w:rsidRPr="006D184B">
        <w:rPr>
          <w:rFonts w:ascii="Times New Roman" w:eastAsia="Calibri" w:hAnsi="Times New Roman" w:cs="Times New Roman"/>
          <w:spacing w:val="1"/>
          <w:sz w:val="24"/>
          <w:szCs w:val="24"/>
          <w:lang w:val="pt-BR"/>
        </w:rPr>
        <w:t>de risco rebaixadas em d</w:t>
      </w:r>
      <w:r w:rsidRPr="00AF6A1F">
        <w:rPr>
          <w:rFonts w:ascii="Times New Roman" w:eastAsia="Calibri" w:hAnsi="Times New Roman" w:cs="Times New Roman"/>
          <w:spacing w:val="1"/>
          <w:sz w:val="24"/>
          <w:szCs w:val="24"/>
          <w:lang w:val="pt-BR"/>
        </w:rPr>
        <w:t>o</w:t>
      </w:r>
      <w:r w:rsidRPr="006D184B">
        <w:rPr>
          <w:rFonts w:ascii="Times New Roman" w:eastAsia="Calibri" w:hAnsi="Times New Roman" w:cs="Times New Roman"/>
          <w:spacing w:val="1"/>
          <w:sz w:val="24"/>
          <w:szCs w:val="24"/>
          <w:lang w:val="pt-BR"/>
        </w:rPr>
        <w:t>is níveis (Prova de estresse 1) e quatro níveis (Prova de estresse 2) e, em seguida, as provisões são recalculadas com os níveis rebaixados.</w:t>
      </w:r>
      <w:bookmarkEnd w:id="21"/>
      <w:r w:rsidRPr="006D184B">
        <w:rPr>
          <w:rFonts w:ascii="Times New Roman" w:eastAsia="Calibri" w:hAnsi="Times New Roman" w:cs="Times New Roman"/>
          <w:spacing w:val="1"/>
          <w:sz w:val="24"/>
          <w:szCs w:val="24"/>
          <w:lang w:val="pt-BR"/>
        </w:rPr>
        <w:t xml:space="preserve"> </w:t>
      </w:r>
    </w:p>
    <w:p w14:paraId="76E94DE9" w14:textId="7A4CB8F3" w:rsidR="00763A49" w:rsidRPr="00AF6A1F" w:rsidRDefault="00763A49" w:rsidP="00763A49">
      <w:pPr>
        <w:shd w:val="clear" w:color="auto" w:fill="FFFFFF"/>
        <w:spacing w:line="360" w:lineRule="auto"/>
        <w:rPr>
          <w:rFonts w:ascii="Times New Roman" w:eastAsia="Times New Roman" w:hAnsi="Times New Roman" w:cs="Times New Roman"/>
          <w:sz w:val="24"/>
          <w:szCs w:val="24"/>
          <w:lang w:val="pt-BR" w:eastAsia="pt-BR"/>
        </w:rPr>
      </w:pPr>
      <w:r w:rsidRPr="00763A49">
        <w:rPr>
          <w:rFonts w:ascii="Times New Roman" w:eastAsia="Times New Roman" w:hAnsi="Times New Roman" w:cs="Times New Roman"/>
          <w:sz w:val="24"/>
          <w:szCs w:val="24"/>
          <w:lang w:val="pt-BR" w:eastAsia="pt-BR"/>
        </w:rPr>
        <w:t>Na Tabela 7, colu</w:t>
      </w:r>
      <w:r w:rsidRPr="00FE7BE5">
        <w:rPr>
          <w:rFonts w:ascii="Times New Roman" w:eastAsia="Times New Roman" w:hAnsi="Times New Roman" w:cs="Times New Roman"/>
          <w:sz w:val="24"/>
          <w:szCs w:val="24"/>
          <w:lang w:val="pt-BR" w:eastAsia="pt-BR"/>
        </w:rPr>
        <w:t xml:space="preserve">nas I e II mostram os níveis de classificação de risco de crédito e </w:t>
      </w:r>
      <w:r w:rsidR="004F5E49">
        <w:rPr>
          <w:rFonts w:ascii="Times New Roman" w:eastAsia="Times New Roman" w:hAnsi="Times New Roman" w:cs="Times New Roman"/>
          <w:sz w:val="24"/>
          <w:szCs w:val="24"/>
          <w:lang w:val="pt-BR" w:eastAsia="pt-BR"/>
        </w:rPr>
        <w:t>suas respectivas</w:t>
      </w:r>
      <w:r w:rsidRPr="00FE7BE5">
        <w:rPr>
          <w:rFonts w:ascii="Times New Roman" w:eastAsia="Times New Roman" w:hAnsi="Times New Roman" w:cs="Times New Roman"/>
          <w:sz w:val="24"/>
          <w:szCs w:val="24"/>
          <w:lang w:val="pt-BR" w:eastAsia="pt-BR"/>
        </w:rPr>
        <w:t xml:space="preserve"> </w:t>
      </w:r>
      <w:r w:rsidR="00D307F4">
        <w:rPr>
          <w:rFonts w:ascii="Times New Roman" w:eastAsia="Times New Roman" w:hAnsi="Times New Roman" w:cs="Times New Roman"/>
          <w:sz w:val="24"/>
          <w:szCs w:val="24"/>
          <w:lang w:val="pt-BR" w:eastAsia="pt-BR"/>
        </w:rPr>
        <w:t>porcentagens de provisão</w:t>
      </w:r>
      <w:r w:rsidRPr="00FE7BE5">
        <w:rPr>
          <w:rFonts w:ascii="Times New Roman" w:eastAsia="Times New Roman" w:hAnsi="Times New Roman" w:cs="Times New Roman"/>
          <w:sz w:val="24"/>
          <w:szCs w:val="24"/>
          <w:lang w:val="pt-BR" w:eastAsia="pt-BR"/>
        </w:rPr>
        <w:t xml:space="preserve"> de acordo com a Resolução nº 2.682/99 do Banco Central e </w:t>
      </w:r>
      <w:r w:rsidR="00D307F4">
        <w:rPr>
          <w:rFonts w:ascii="Times New Roman" w:eastAsia="Times New Roman" w:hAnsi="Times New Roman" w:cs="Times New Roman"/>
          <w:sz w:val="24"/>
          <w:szCs w:val="24"/>
          <w:lang w:val="pt-BR" w:eastAsia="pt-BR"/>
        </w:rPr>
        <w:t xml:space="preserve">com </w:t>
      </w:r>
      <w:r w:rsidRPr="00FE7BE5">
        <w:rPr>
          <w:rFonts w:ascii="Times New Roman" w:eastAsia="Times New Roman" w:hAnsi="Times New Roman" w:cs="Times New Roman"/>
          <w:sz w:val="24"/>
          <w:szCs w:val="24"/>
          <w:lang w:val="pt-BR" w:eastAsia="pt-BR"/>
        </w:rPr>
        <w:t>o</w:t>
      </w:r>
      <w:r w:rsidRPr="001D5D49">
        <w:rPr>
          <w:rFonts w:ascii="Times New Roman" w:eastAsia="Times New Roman" w:hAnsi="Times New Roman" w:cs="Times New Roman"/>
          <w:sz w:val="24"/>
          <w:szCs w:val="24"/>
          <w:lang w:val="pt-BR" w:eastAsia="pt-BR"/>
        </w:rPr>
        <w:t xml:space="preserve">s normativos internos. A coluna III fornece a distribuição da carteira da </w:t>
      </w:r>
      <w:r w:rsidR="004F5E49">
        <w:rPr>
          <w:rFonts w:ascii="Times New Roman" w:eastAsia="Times New Roman" w:hAnsi="Times New Roman" w:cs="Times New Roman"/>
          <w:sz w:val="24"/>
          <w:szCs w:val="24"/>
          <w:lang w:val="pt-BR" w:eastAsia="pt-BR"/>
        </w:rPr>
        <w:t xml:space="preserve">Fomento Paraná </w:t>
      </w:r>
      <w:r w:rsidRPr="001D5D49">
        <w:rPr>
          <w:rFonts w:ascii="Times New Roman" w:eastAsia="Times New Roman" w:hAnsi="Times New Roman" w:cs="Times New Roman"/>
          <w:sz w:val="24"/>
          <w:szCs w:val="24"/>
          <w:lang w:val="pt-BR" w:eastAsia="pt-BR"/>
        </w:rPr>
        <w:t xml:space="preserve">de </w:t>
      </w:r>
      <w:r w:rsidRPr="001D5D49">
        <w:rPr>
          <w:rFonts w:ascii="Times New Roman" w:eastAsia="Times New Roman" w:hAnsi="Times New Roman" w:cs="Times New Roman"/>
          <w:sz w:val="24"/>
          <w:szCs w:val="24"/>
          <w:lang w:val="pt-BR" w:eastAsia="pt-BR"/>
        </w:rPr>
        <w:lastRenderedPageBreak/>
        <w:t>acordo com sua classi</w:t>
      </w:r>
      <w:r w:rsidRPr="00D639F1">
        <w:rPr>
          <w:rFonts w:ascii="Times New Roman" w:eastAsia="Times New Roman" w:hAnsi="Times New Roman" w:cs="Times New Roman"/>
          <w:sz w:val="24"/>
          <w:szCs w:val="24"/>
          <w:lang w:val="pt-BR" w:eastAsia="pt-BR"/>
        </w:rPr>
        <w:t>ficação atual</w:t>
      </w:r>
      <w:r w:rsidR="00D307F4">
        <w:rPr>
          <w:rFonts w:ascii="Times New Roman" w:eastAsia="Times New Roman" w:hAnsi="Times New Roman" w:cs="Times New Roman"/>
          <w:sz w:val="24"/>
          <w:szCs w:val="24"/>
          <w:lang w:val="pt-BR" w:eastAsia="pt-BR"/>
        </w:rPr>
        <w:t xml:space="preserve"> de risco</w:t>
      </w:r>
      <w:r w:rsidRPr="00F53AA8">
        <w:rPr>
          <w:rFonts w:ascii="Times New Roman" w:eastAsia="Times New Roman" w:hAnsi="Times New Roman" w:cs="Times New Roman"/>
          <w:sz w:val="24"/>
          <w:szCs w:val="24"/>
          <w:lang w:val="pt-BR" w:eastAsia="pt-BR"/>
        </w:rPr>
        <w:t>.  A coluna IV fornece as quantias provisionadas atualmente para cada uma das classificações que são c</w:t>
      </w:r>
      <w:r w:rsidRPr="00763A49">
        <w:rPr>
          <w:rFonts w:ascii="Times New Roman" w:eastAsia="Times New Roman" w:hAnsi="Times New Roman" w:cs="Times New Roman"/>
          <w:sz w:val="24"/>
          <w:szCs w:val="24"/>
          <w:lang w:val="pt-BR" w:eastAsia="pt-BR"/>
        </w:rPr>
        <w:t xml:space="preserve">alculadas </w:t>
      </w:r>
      <w:r w:rsidR="00D307F4">
        <w:rPr>
          <w:rFonts w:ascii="Times New Roman" w:eastAsia="Times New Roman" w:hAnsi="Times New Roman" w:cs="Times New Roman"/>
          <w:sz w:val="24"/>
          <w:szCs w:val="24"/>
          <w:lang w:val="pt-BR" w:eastAsia="pt-BR"/>
        </w:rPr>
        <w:t xml:space="preserve">multiplicando </w:t>
      </w:r>
      <w:r w:rsidR="004F5E49">
        <w:rPr>
          <w:rFonts w:ascii="Times New Roman" w:eastAsia="Times New Roman" w:hAnsi="Times New Roman" w:cs="Times New Roman"/>
          <w:sz w:val="24"/>
          <w:szCs w:val="24"/>
          <w:lang w:val="pt-BR" w:eastAsia="pt-BR"/>
        </w:rPr>
        <w:t xml:space="preserve">as </w:t>
      </w:r>
      <w:r w:rsidR="00D307F4">
        <w:rPr>
          <w:rFonts w:ascii="Times New Roman" w:eastAsia="Times New Roman" w:hAnsi="Times New Roman" w:cs="Times New Roman"/>
          <w:sz w:val="24"/>
          <w:szCs w:val="24"/>
          <w:lang w:val="pt-BR" w:eastAsia="pt-BR"/>
        </w:rPr>
        <w:t xml:space="preserve">porcentagens na coluna II pelo valor da carteira na coluna III.  </w:t>
      </w:r>
      <w:r w:rsidR="001D5D49" w:rsidRPr="00B462D3">
        <w:rPr>
          <w:rFonts w:ascii="Times New Roman" w:eastAsia="Times New Roman" w:hAnsi="Times New Roman" w:cs="Times New Roman"/>
          <w:sz w:val="24"/>
          <w:szCs w:val="24"/>
          <w:lang w:val="pt-BR" w:eastAsia="pt-BR"/>
        </w:rPr>
        <w:t xml:space="preserve">A provisão total </w:t>
      </w:r>
      <w:r w:rsidR="001D5D49">
        <w:rPr>
          <w:rFonts w:ascii="Times New Roman" w:eastAsia="Times New Roman" w:hAnsi="Times New Roman" w:cs="Times New Roman"/>
          <w:sz w:val="24"/>
          <w:szCs w:val="24"/>
          <w:lang w:val="pt-BR" w:eastAsia="pt-BR"/>
        </w:rPr>
        <w:t xml:space="preserve">da carteira </w:t>
      </w:r>
      <w:r w:rsidR="001D5D49" w:rsidRPr="00B462D3">
        <w:rPr>
          <w:rFonts w:ascii="Times New Roman" w:eastAsia="Times New Roman" w:hAnsi="Times New Roman" w:cs="Times New Roman"/>
          <w:sz w:val="24"/>
          <w:szCs w:val="24"/>
          <w:lang w:val="pt-BR" w:eastAsia="pt-BR"/>
        </w:rPr>
        <w:t>atual</w:t>
      </w:r>
      <w:r w:rsidR="001D5D49">
        <w:rPr>
          <w:rFonts w:ascii="Times New Roman" w:eastAsia="Times New Roman" w:hAnsi="Times New Roman" w:cs="Times New Roman"/>
          <w:sz w:val="24"/>
          <w:szCs w:val="24"/>
          <w:lang w:val="pt-BR" w:eastAsia="pt-BR"/>
        </w:rPr>
        <w:t xml:space="preserve"> sem rebaixamento</w:t>
      </w:r>
      <w:r w:rsidR="001D5D49" w:rsidRPr="00B462D3">
        <w:rPr>
          <w:rFonts w:ascii="Times New Roman" w:eastAsia="Times New Roman" w:hAnsi="Times New Roman" w:cs="Times New Roman"/>
          <w:sz w:val="24"/>
          <w:szCs w:val="24"/>
          <w:lang w:val="pt-BR" w:eastAsia="pt-BR"/>
        </w:rPr>
        <w:t xml:space="preserve"> </w:t>
      </w:r>
      <w:r w:rsidRPr="00740E4F">
        <w:rPr>
          <w:rFonts w:ascii="Times New Roman" w:eastAsia="Times New Roman" w:hAnsi="Times New Roman" w:cs="Times New Roman"/>
          <w:sz w:val="24"/>
          <w:szCs w:val="24"/>
          <w:lang w:val="pt-BR" w:eastAsia="pt-BR"/>
        </w:rPr>
        <w:t>é de R$29,8 milhões o que representa 2,5% do valor total da carteira,</w:t>
      </w:r>
      <w:r w:rsidRPr="00763A49">
        <w:rPr>
          <w:rFonts w:ascii="Times New Roman" w:eastAsia="Times New Roman" w:hAnsi="Times New Roman" w:cs="Times New Roman"/>
          <w:sz w:val="24"/>
          <w:szCs w:val="24"/>
          <w:lang w:val="pt-BR" w:eastAsia="pt-BR"/>
        </w:rPr>
        <w:t xml:space="preserve"> como demonstra</w:t>
      </w:r>
      <w:r w:rsidRPr="00FE7BE5">
        <w:rPr>
          <w:rFonts w:ascii="Times New Roman" w:eastAsia="Times New Roman" w:hAnsi="Times New Roman" w:cs="Times New Roman"/>
          <w:sz w:val="24"/>
          <w:szCs w:val="24"/>
          <w:lang w:val="pt-BR" w:eastAsia="pt-BR"/>
        </w:rPr>
        <w:t xml:space="preserve"> a última linha da coluna II</w:t>
      </w:r>
      <w:r w:rsidRPr="001D5D49">
        <w:rPr>
          <w:rFonts w:ascii="Times New Roman" w:eastAsia="Times New Roman" w:hAnsi="Times New Roman" w:cs="Times New Roman"/>
          <w:sz w:val="24"/>
          <w:szCs w:val="24"/>
          <w:lang w:val="pt-BR" w:eastAsia="pt-BR"/>
        </w:rPr>
        <w:t xml:space="preserve"> da Tabela 7 (Coluna IV/ Coluna III nesta linha)</w:t>
      </w:r>
      <w:r w:rsidRPr="00345EAC">
        <w:rPr>
          <w:rFonts w:ascii="Times New Roman" w:eastAsia="Times New Roman" w:hAnsi="Times New Roman" w:cs="Times New Roman"/>
          <w:sz w:val="24"/>
          <w:szCs w:val="24"/>
          <w:lang w:val="pt-BR" w:eastAsia="pt-BR"/>
        </w:rPr>
        <w:t>.</w:t>
      </w:r>
      <w:r w:rsidR="008F1E44">
        <w:rPr>
          <w:rFonts w:ascii="Times New Roman" w:eastAsia="Times New Roman" w:hAnsi="Times New Roman" w:cs="Times New Roman"/>
          <w:sz w:val="24"/>
          <w:szCs w:val="24"/>
          <w:lang w:val="pt-BR" w:eastAsia="pt-BR"/>
        </w:rPr>
        <w:t xml:space="preserve"> </w:t>
      </w:r>
      <w:r w:rsidR="00A87432" w:rsidRPr="00A87432">
        <w:rPr>
          <w:rFonts w:ascii="Times New Roman" w:eastAsia="Times New Roman" w:hAnsi="Times New Roman" w:cs="Times New Roman"/>
          <w:sz w:val="24"/>
          <w:szCs w:val="24"/>
          <w:lang w:val="pt-BR" w:eastAsia="pt-BR"/>
        </w:rPr>
        <w:t>Note-se que esta análise é de empréstimos do setor público e privado.</w:t>
      </w:r>
    </w:p>
    <w:p w14:paraId="1A69DCB9" w14:textId="390516BC" w:rsidR="00C46123" w:rsidRPr="00AF6A1F" w:rsidRDefault="00C46123" w:rsidP="00C46123">
      <w:pPr>
        <w:spacing w:after="0" w:line="240" w:lineRule="auto"/>
        <w:ind w:right="4"/>
        <w:jc w:val="both"/>
        <w:rPr>
          <w:rFonts w:ascii="Times New Roman" w:eastAsia="Calibri" w:hAnsi="Times New Roman" w:cs="Times New Roman"/>
          <w:sz w:val="24"/>
          <w:szCs w:val="24"/>
          <w:lang w:val="pt-BR"/>
        </w:rPr>
      </w:pPr>
      <w:r w:rsidRPr="00125E59">
        <w:rPr>
          <w:rFonts w:ascii="Times New Roman" w:eastAsia="Calibri" w:hAnsi="Times New Roman" w:cs="Times New Roman"/>
          <w:sz w:val="24"/>
          <w:szCs w:val="24"/>
          <w:lang w:val="pt-BR"/>
        </w:rPr>
        <w:t xml:space="preserve">Tabela </w:t>
      </w:r>
      <w:r w:rsidR="00716232">
        <w:rPr>
          <w:rFonts w:ascii="Times New Roman" w:eastAsia="Calibri" w:hAnsi="Times New Roman" w:cs="Times New Roman"/>
          <w:sz w:val="24"/>
          <w:szCs w:val="24"/>
          <w:lang w:val="pt-BR"/>
        </w:rPr>
        <w:t>7</w:t>
      </w:r>
      <w:r w:rsidRPr="00AF6A1F">
        <w:rPr>
          <w:rFonts w:ascii="Times New Roman" w:eastAsia="Calibri" w:hAnsi="Times New Roman" w:cs="Times New Roman"/>
          <w:sz w:val="24"/>
          <w:szCs w:val="24"/>
          <w:lang w:val="pt-BR"/>
        </w:rPr>
        <w:t>. Fomento Paraná: Provas de e</w:t>
      </w:r>
      <w:r w:rsidRPr="00AF6A1F">
        <w:rPr>
          <w:rFonts w:ascii="Times New Roman" w:eastAsia="Calibri" w:hAnsi="Times New Roman" w:cs="Times New Roman"/>
          <w:spacing w:val="1"/>
          <w:sz w:val="24"/>
          <w:szCs w:val="24"/>
          <w:lang w:val="pt-BR"/>
        </w:rPr>
        <w:t>s</w:t>
      </w:r>
      <w:r w:rsidRPr="00AF6A1F">
        <w:rPr>
          <w:rFonts w:ascii="Times New Roman" w:eastAsia="Calibri" w:hAnsi="Times New Roman" w:cs="Times New Roman"/>
          <w:sz w:val="24"/>
          <w:szCs w:val="24"/>
          <w:lang w:val="pt-BR"/>
        </w:rPr>
        <w:t>t</w:t>
      </w:r>
      <w:r w:rsidRPr="00AF6A1F">
        <w:rPr>
          <w:rFonts w:ascii="Times New Roman" w:eastAsia="Calibri" w:hAnsi="Times New Roman" w:cs="Times New Roman"/>
          <w:spacing w:val="2"/>
          <w:sz w:val="24"/>
          <w:szCs w:val="24"/>
          <w:lang w:val="pt-BR"/>
        </w:rPr>
        <w:t>r</w:t>
      </w:r>
      <w:r w:rsidRPr="00AF6A1F">
        <w:rPr>
          <w:rFonts w:ascii="Times New Roman" w:eastAsia="Calibri" w:hAnsi="Times New Roman" w:cs="Times New Roman"/>
          <w:spacing w:val="-1"/>
          <w:sz w:val="24"/>
          <w:szCs w:val="24"/>
          <w:lang w:val="pt-BR"/>
        </w:rPr>
        <w:t>e</w:t>
      </w:r>
      <w:r w:rsidRPr="00AF6A1F">
        <w:rPr>
          <w:rFonts w:ascii="Times New Roman" w:eastAsia="Calibri" w:hAnsi="Times New Roman" w:cs="Times New Roman"/>
          <w:sz w:val="24"/>
          <w:szCs w:val="24"/>
          <w:lang w:val="pt-BR"/>
        </w:rPr>
        <w:t xml:space="preserve">sse </w:t>
      </w:r>
      <w:r w:rsidRPr="00AF6A1F">
        <w:rPr>
          <w:rFonts w:ascii="Times New Roman" w:eastAsia="Calibri" w:hAnsi="Times New Roman" w:cs="Times New Roman"/>
          <w:spacing w:val="1"/>
          <w:sz w:val="24"/>
          <w:szCs w:val="24"/>
          <w:lang w:val="pt-BR"/>
        </w:rPr>
        <w:t>d</w:t>
      </w:r>
      <w:r w:rsidRPr="00AF6A1F">
        <w:rPr>
          <w:rFonts w:ascii="Times New Roman" w:eastAsia="Calibri" w:hAnsi="Times New Roman" w:cs="Times New Roman"/>
          <w:sz w:val="24"/>
          <w:szCs w:val="24"/>
          <w:lang w:val="pt-BR"/>
        </w:rPr>
        <w:t>a c</w:t>
      </w:r>
      <w:r w:rsidRPr="00AF6A1F">
        <w:rPr>
          <w:rFonts w:ascii="Times New Roman" w:eastAsia="Calibri" w:hAnsi="Times New Roman" w:cs="Times New Roman"/>
          <w:spacing w:val="-3"/>
          <w:sz w:val="24"/>
          <w:szCs w:val="24"/>
          <w:lang w:val="pt-BR"/>
        </w:rPr>
        <w:t>a</w:t>
      </w:r>
      <w:r w:rsidRPr="00AF6A1F">
        <w:rPr>
          <w:rFonts w:ascii="Times New Roman" w:eastAsia="Calibri" w:hAnsi="Times New Roman" w:cs="Times New Roman"/>
          <w:spacing w:val="1"/>
          <w:sz w:val="24"/>
          <w:szCs w:val="24"/>
          <w:lang w:val="pt-BR"/>
        </w:rPr>
        <w:t>r</w:t>
      </w:r>
      <w:r w:rsidRPr="00AF6A1F">
        <w:rPr>
          <w:rFonts w:ascii="Times New Roman" w:eastAsia="Calibri" w:hAnsi="Times New Roman" w:cs="Times New Roman"/>
          <w:sz w:val="24"/>
          <w:szCs w:val="24"/>
          <w:lang w:val="pt-BR"/>
        </w:rPr>
        <w:t>te</w:t>
      </w:r>
      <w:r w:rsidRPr="00AF6A1F">
        <w:rPr>
          <w:rFonts w:ascii="Times New Roman" w:eastAsia="Calibri" w:hAnsi="Times New Roman" w:cs="Times New Roman"/>
          <w:spacing w:val="1"/>
          <w:sz w:val="24"/>
          <w:szCs w:val="24"/>
          <w:lang w:val="pt-BR"/>
        </w:rPr>
        <w:t>ir</w:t>
      </w:r>
      <w:r w:rsidRPr="00AF6A1F">
        <w:rPr>
          <w:rFonts w:ascii="Times New Roman" w:eastAsia="Calibri" w:hAnsi="Times New Roman" w:cs="Times New Roman"/>
          <w:sz w:val="24"/>
          <w:szCs w:val="24"/>
          <w:lang w:val="pt-BR"/>
        </w:rPr>
        <w:t>a</w:t>
      </w:r>
      <w:r w:rsidRPr="00AF6A1F">
        <w:rPr>
          <w:rFonts w:ascii="Times New Roman" w:eastAsia="Calibri" w:hAnsi="Times New Roman" w:cs="Times New Roman"/>
          <w:spacing w:val="-2"/>
          <w:sz w:val="24"/>
          <w:szCs w:val="24"/>
          <w:lang w:val="pt-BR"/>
        </w:rPr>
        <w:t xml:space="preserve"> </w:t>
      </w:r>
      <w:r w:rsidRPr="00AF6A1F">
        <w:rPr>
          <w:rFonts w:ascii="Times New Roman" w:eastAsia="Calibri" w:hAnsi="Times New Roman" w:cs="Times New Roman"/>
          <w:spacing w:val="1"/>
          <w:sz w:val="24"/>
          <w:szCs w:val="24"/>
          <w:lang w:val="pt-BR"/>
        </w:rPr>
        <w:t>d</w:t>
      </w:r>
      <w:r w:rsidRPr="00AF6A1F">
        <w:rPr>
          <w:rFonts w:ascii="Times New Roman" w:eastAsia="Calibri" w:hAnsi="Times New Roman" w:cs="Times New Roman"/>
          <w:sz w:val="24"/>
          <w:szCs w:val="24"/>
          <w:lang w:val="pt-BR"/>
        </w:rPr>
        <w:t xml:space="preserve">e </w:t>
      </w:r>
      <w:r w:rsidRPr="00AF6A1F">
        <w:rPr>
          <w:rFonts w:ascii="Times New Roman" w:eastAsia="Calibri" w:hAnsi="Times New Roman" w:cs="Times New Roman"/>
          <w:spacing w:val="-2"/>
          <w:sz w:val="24"/>
          <w:szCs w:val="24"/>
          <w:lang w:val="pt-BR"/>
        </w:rPr>
        <w:t>c</w:t>
      </w:r>
      <w:r w:rsidRPr="00AF6A1F">
        <w:rPr>
          <w:rFonts w:ascii="Times New Roman" w:eastAsia="Calibri" w:hAnsi="Times New Roman" w:cs="Times New Roman"/>
          <w:spacing w:val="1"/>
          <w:sz w:val="24"/>
          <w:szCs w:val="24"/>
          <w:lang w:val="pt-BR"/>
        </w:rPr>
        <w:t>r</w:t>
      </w:r>
      <w:r w:rsidRPr="00AF6A1F">
        <w:rPr>
          <w:rFonts w:ascii="Times New Roman" w:eastAsia="Calibri" w:hAnsi="Times New Roman" w:cs="Times New Roman"/>
          <w:spacing w:val="-1"/>
          <w:sz w:val="24"/>
          <w:szCs w:val="24"/>
          <w:lang w:val="pt-BR"/>
        </w:rPr>
        <w:t>é</w:t>
      </w:r>
      <w:r w:rsidRPr="00AF6A1F">
        <w:rPr>
          <w:rFonts w:ascii="Times New Roman" w:eastAsia="Calibri" w:hAnsi="Times New Roman" w:cs="Times New Roman"/>
          <w:spacing w:val="1"/>
          <w:sz w:val="24"/>
          <w:szCs w:val="24"/>
          <w:lang w:val="pt-BR"/>
        </w:rPr>
        <w:t>di</w:t>
      </w:r>
      <w:r w:rsidRPr="00AF6A1F">
        <w:rPr>
          <w:rFonts w:ascii="Times New Roman" w:eastAsia="Calibri" w:hAnsi="Times New Roman" w:cs="Times New Roman"/>
          <w:sz w:val="24"/>
          <w:szCs w:val="24"/>
          <w:lang w:val="pt-BR"/>
        </w:rPr>
        <w:t>to: 2017</w:t>
      </w:r>
    </w:p>
    <w:p w14:paraId="6A456B0A" w14:textId="77777777" w:rsidR="00C46123" w:rsidRPr="00CA2760" w:rsidRDefault="00C46123" w:rsidP="00C46123">
      <w:pPr>
        <w:spacing w:after="0" w:line="240" w:lineRule="auto"/>
        <w:ind w:right="4"/>
        <w:jc w:val="both"/>
        <w:rPr>
          <w:rFonts w:ascii="Times New Roman" w:eastAsia="Calibri" w:hAnsi="Times New Roman" w:cs="Times New Roman"/>
          <w:sz w:val="24"/>
          <w:szCs w:val="24"/>
          <w:lang w:val="pt-BR"/>
        </w:rPr>
      </w:pPr>
      <w:r w:rsidRPr="00EB209E">
        <w:rPr>
          <w:rFonts w:ascii="Times New Roman" w:eastAsia="Calibri" w:hAnsi="Times New Roman" w:cs="Times New Roman"/>
          <w:sz w:val="24"/>
          <w:szCs w:val="24"/>
          <w:lang w:val="pt-BR"/>
        </w:rPr>
        <w:t>R$ nominais</w:t>
      </w:r>
    </w:p>
    <w:tbl>
      <w:tblPr>
        <w:tblStyle w:val="TableGrid"/>
        <w:tblW w:w="0" w:type="auto"/>
        <w:tblLayout w:type="fixed"/>
        <w:tblLook w:val="04A0" w:firstRow="1" w:lastRow="0" w:firstColumn="1" w:lastColumn="0" w:noHBand="0" w:noVBand="1"/>
      </w:tblPr>
      <w:tblGrid>
        <w:gridCol w:w="917"/>
        <w:gridCol w:w="236"/>
        <w:gridCol w:w="1172"/>
        <w:gridCol w:w="1368"/>
        <w:gridCol w:w="1136"/>
        <w:gridCol w:w="1142"/>
        <w:gridCol w:w="1146"/>
        <w:gridCol w:w="990"/>
        <w:gridCol w:w="1257"/>
      </w:tblGrid>
      <w:tr w:rsidR="0053040B" w:rsidRPr="00CA2760" w14:paraId="11EFCD7E" w14:textId="77777777" w:rsidTr="0053040B">
        <w:trPr>
          <w:trHeight w:val="368"/>
        </w:trPr>
        <w:tc>
          <w:tcPr>
            <w:tcW w:w="917" w:type="dxa"/>
            <w:vAlign w:val="center"/>
          </w:tcPr>
          <w:p w14:paraId="04284391" w14:textId="77777777" w:rsidR="00C46123" w:rsidRPr="00CA2760" w:rsidRDefault="00C46123" w:rsidP="00B87A9B">
            <w:pPr>
              <w:spacing w:line="200" w:lineRule="exact"/>
              <w:jc w:val="center"/>
              <w:rPr>
                <w:rFonts w:ascii="Arial" w:hAnsi="Arial" w:cs="Arial"/>
                <w:b/>
                <w:bCs/>
                <w:sz w:val="18"/>
                <w:szCs w:val="18"/>
                <w:lang w:val="pt-BR"/>
              </w:rPr>
            </w:pPr>
            <w:r w:rsidRPr="00CA2760">
              <w:rPr>
                <w:rFonts w:ascii="Arial" w:hAnsi="Arial" w:cs="Arial"/>
                <w:b/>
                <w:bCs/>
                <w:sz w:val="18"/>
                <w:szCs w:val="18"/>
                <w:lang w:val="pt-BR"/>
              </w:rPr>
              <w:t>I</w:t>
            </w:r>
          </w:p>
        </w:tc>
        <w:tc>
          <w:tcPr>
            <w:tcW w:w="222" w:type="dxa"/>
          </w:tcPr>
          <w:p w14:paraId="17B4B87E" w14:textId="77777777" w:rsidR="00C46123" w:rsidRPr="00CA2760" w:rsidRDefault="00C46123" w:rsidP="00B87A9B">
            <w:pPr>
              <w:spacing w:line="200" w:lineRule="exact"/>
              <w:jc w:val="center"/>
              <w:rPr>
                <w:rFonts w:ascii="Arial" w:hAnsi="Arial" w:cs="Arial"/>
                <w:b/>
                <w:bCs/>
                <w:sz w:val="20"/>
                <w:szCs w:val="18"/>
                <w:lang w:val="pt-BR"/>
              </w:rPr>
            </w:pPr>
          </w:p>
        </w:tc>
        <w:tc>
          <w:tcPr>
            <w:tcW w:w="1172" w:type="dxa"/>
            <w:vAlign w:val="center"/>
          </w:tcPr>
          <w:p w14:paraId="0B1670B3" w14:textId="77777777" w:rsidR="00C46123" w:rsidRPr="00CA2760" w:rsidRDefault="00C46123" w:rsidP="00B87A9B">
            <w:pPr>
              <w:spacing w:line="200" w:lineRule="exact"/>
              <w:jc w:val="center"/>
              <w:rPr>
                <w:rFonts w:ascii="Arial" w:hAnsi="Arial" w:cs="Arial"/>
                <w:b/>
                <w:bCs/>
                <w:sz w:val="20"/>
                <w:szCs w:val="18"/>
                <w:lang w:val="pt-BR"/>
              </w:rPr>
            </w:pPr>
            <w:r w:rsidRPr="00CA2760">
              <w:rPr>
                <w:rFonts w:ascii="Arial" w:hAnsi="Arial" w:cs="Arial"/>
                <w:b/>
                <w:bCs/>
                <w:sz w:val="20"/>
                <w:szCs w:val="18"/>
                <w:lang w:val="pt-BR"/>
              </w:rPr>
              <w:t>II</w:t>
            </w:r>
          </w:p>
        </w:tc>
        <w:tc>
          <w:tcPr>
            <w:tcW w:w="1368" w:type="dxa"/>
            <w:vAlign w:val="center"/>
          </w:tcPr>
          <w:p w14:paraId="76EE3BF8" w14:textId="77777777" w:rsidR="00C46123" w:rsidRPr="00CA2760" w:rsidRDefault="00C46123" w:rsidP="00B87A9B">
            <w:pPr>
              <w:spacing w:line="200" w:lineRule="exact"/>
              <w:jc w:val="center"/>
              <w:rPr>
                <w:rFonts w:ascii="Arial" w:hAnsi="Arial" w:cs="Arial"/>
                <w:b/>
                <w:bCs/>
                <w:sz w:val="18"/>
                <w:szCs w:val="18"/>
                <w:lang w:val="pt-BR"/>
              </w:rPr>
            </w:pPr>
            <w:r w:rsidRPr="00CA2760">
              <w:rPr>
                <w:rFonts w:ascii="Arial" w:hAnsi="Arial" w:cs="Arial"/>
                <w:b/>
                <w:bCs/>
                <w:sz w:val="18"/>
                <w:szCs w:val="18"/>
                <w:lang w:val="pt-BR"/>
              </w:rPr>
              <w:t>III</w:t>
            </w:r>
          </w:p>
        </w:tc>
        <w:tc>
          <w:tcPr>
            <w:tcW w:w="1136" w:type="dxa"/>
            <w:vAlign w:val="center"/>
          </w:tcPr>
          <w:p w14:paraId="2C7F9B19" w14:textId="77777777" w:rsidR="00C46123" w:rsidRPr="00CA2760" w:rsidRDefault="00C46123" w:rsidP="00B87A9B">
            <w:pPr>
              <w:spacing w:line="200" w:lineRule="exact"/>
              <w:jc w:val="center"/>
              <w:rPr>
                <w:rFonts w:ascii="Arial" w:hAnsi="Arial" w:cs="Arial"/>
                <w:b/>
                <w:bCs/>
                <w:sz w:val="18"/>
                <w:szCs w:val="18"/>
                <w:lang w:val="pt-BR"/>
              </w:rPr>
            </w:pPr>
            <w:r w:rsidRPr="00CA2760">
              <w:rPr>
                <w:rFonts w:ascii="Arial" w:hAnsi="Arial" w:cs="Arial"/>
                <w:b/>
                <w:bCs/>
                <w:sz w:val="18"/>
                <w:szCs w:val="18"/>
                <w:lang w:val="pt-BR"/>
              </w:rPr>
              <w:t>IV = II * III</w:t>
            </w:r>
          </w:p>
        </w:tc>
        <w:tc>
          <w:tcPr>
            <w:tcW w:w="1142" w:type="dxa"/>
            <w:vAlign w:val="center"/>
          </w:tcPr>
          <w:p w14:paraId="366DC741" w14:textId="77777777" w:rsidR="00C46123" w:rsidRPr="00CA2760" w:rsidRDefault="00C46123" w:rsidP="00B87A9B">
            <w:pPr>
              <w:spacing w:line="200" w:lineRule="exact"/>
              <w:jc w:val="center"/>
              <w:rPr>
                <w:rFonts w:ascii="Arial" w:hAnsi="Arial" w:cs="Arial"/>
                <w:b/>
                <w:bCs/>
                <w:sz w:val="18"/>
                <w:szCs w:val="18"/>
                <w:lang w:val="pt-BR"/>
              </w:rPr>
            </w:pPr>
            <w:r w:rsidRPr="00CA2760">
              <w:rPr>
                <w:rFonts w:ascii="Arial" w:hAnsi="Arial" w:cs="Arial"/>
                <w:b/>
                <w:bCs/>
                <w:sz w:val="18"/>
                <w:szCs w:val="18"/>
                <w:lang w:val="pt-BR"/>
              </w:rPr>
              <w:t>V</w:t>
            </w:r>
          </w:p>
        </w:tc>
        <w:tc>
          <w:tcPr>
            <w:tcW w:w="1146" w:type="dxa"/>
            <w:vAlign w:val="center"/>
          </w:tcPr>
          <w:p w14:paraId="2C81D2CB" w14:textId="77777777" w:rsidR="00C46123" w:rsidRPr="00CA2760" w:rsidRDefault="00C46123" w:rsidP="00B87A9B">
            <w:pPr>
              <w:spacing w:line="200" w:lineRule="exact"/>
              <w:jc w:val="center"/>
              <w:rPr>
                <w:rFonts w:ascii="Arial" w:hAnsi="Arial" w:cs="Arial"/>
                <w:b/>
                <w:bCs/>
                <w:sz w:val="18"/>
                <w:szCs w:val="18"/>
                <w:lang w:val="pt-BR"/>
              </w:rPr>
            </w:pPr>
            <w:r w:rsidRPr="00CA2760">
              <w:rPr>
                <w:rFonts w:ascii="Arial" w:hAnsi="Arial" w:cs="Arial"/>
                <w:b/>
                <w:bCs/>
                <w:sz w:val="18"/>
                <w:szCs w:val="18"/>
                <w:lang w:val="pt-BR"/>
              </w:rPr>
              <w:t>VI = III * V</w:t>
            </w:r>
          </w:p>
        </w:tc>
        <w:tc>
          <w:tcPr>
            <w:tcW w:w="990" w:type="dxa"/>
            <w:vAlign w:val="center"/>
          </w:tcPr>
          <w:p w14:paraId="0B8088D8" w14:textId="77777777" w:rsidR="00C46123" w:rsidRPr="00CA2760" w:rsidRDefault="00C46123" w:rsidP="00B87A9B">
            <w:pPr>
              <w:spacing w:line="200" w:lineRule="exact"/>
              <w:jc w:val="center"/>
              <w:rPr>
                <w:rFonts w:ascii="Arial" w:hAnsi="Arial" w:cs="Arial"/>
                <w:b/>
                <w:bCs/>
                <w:sz w:val="18"/>
                <w:szCs w:val="18"/>
                <w:lang w:val="pt-BR"/>
              </w:rPr>
            </w:pPr>
            <w:r w:rsidRPr="00CA2760">
              <w:rPr>
                <w:rFonts w:ascii="Arial" w:hAnsi="Arial" w:cs="Arial"/>
                <w:b/>
                <w:bCs/>
                <w:sz w:val="18"/>
                <w:szCs w:val="18"/>
                <w:lang w:val="pt-BR"/>
              </w:rPr>
              <w:t>VII</w:t>
            </w:r>
          </w:p>
        </w:tc>
        <w:tc>
          <w:tcPr>
            <w:tcW w:w="1257" w:type="dxa"/>
            <w:vAlign w:val="center"/>
          </w:tcPr>
          <w:p w14:paraId="5D0E8ACD" w14:textId="77777777" w:rsidR="00C46123" w:rsidRPr="00CA2760" w:rsidRDefault="00C46123" w:rsidP="00B87A9B">
            <w:pPr>
              <w:spacing w:line="200" w:lineRule="exact"/>
              <w:jc w:val="center"/>
              <w:rPr>
                <w:rFonts w:ascii="Arial" w:hAnsi="Arial" w:cs="Arial"/>
                <w:b/>
                <w:bCs/>
                <w:sz w:val="18"/>
                <w:szCs w:val="18"/>
                <w:lang w:val="pt-BR"/>
              </w:rPr>
            </w:pPr>
            <w:r w:rsidRPr="00CA2760">
              <w:rPr>
                <w:rFonts w:ascii="Arial" w:hAnsi="Arial" w:cs="Arial"/>
                <w:b/>
                <w:bCs/>
                <w:sz w:val="18"/>
                <w:szCs w:val="18"/>
                <w:lang w:val="pt-BR"/>
              </w:rPr>
              <w:t>VIII = III * VII</w:t>
            </w:r>
          </w:p>
        </w:tc>
      </w:tr>
      <w:tr w:rsidR="0053040B" w:rsidRPr="00CA2760" w14:paraId="730101B6" w14:textId="77777777" w:rsidTr="0053040B">
        <w:trPr>
          <w:trHeight w:val="540"/>
        </w:trPr>
        <w:tc>
          <w:tcPr>
            <w:tcW w:w="917" w:type="dxa"/>
            <w:vAlign w:val="center"/>
            <w:hideMark/>
          </w:tcPr>
          <w:p w14:paraId="37AB0748" w14:textId="77777777" w:rsidR="00C46123" w:rsidRPr="00CA2760" w:rsidRDefault="00C46123" w:rsidP="00B87A9B">
            <w:pPr>
              <w:spacing w:line="200" w:lineRule="exact"/>
              <w:jc w:val="center"/>
              <w:rPr>
                <w:rFonts w:ascii="Arial" w:hAnsi="Arial" w:cs="Arial"/>
                <w:b/>
                <w:bCs/>
                <w:sz w:val="18"/>
                <w:szCs w:val="18"/>
                <w:lang w:val="pt-BR"/>
              </w:rPr>
            </w:pPr>
            <w:r w:rsidRPr="00CA2760">
              <w:rPr>
                <w:rFonts w:ascii="Arial" w:hAnsi="Arial" w:cs="Arial"/>
                <w:b/>
                <w:bCs/>
                <w:sz w:val="18"/>
                <w:szCs w:val="18"/>
                <w:lang w:val="pt-BR"/>
              </w:rPr>
              <w:t>Classifi-cação</w:t>
            </w:r>
          </w:p>
        </w:tc>
        <w:tc>
          <w:tcPr>
            <w:tcW w:w="222" w:type="dxa"/>
          </w:tcPr>
          <w:p w14:paraId="37432AF3" w14:textId="77777777" w:rsidR="00C46123" w:rsidRPr="00CA2760" w:rsidRDefault="00C46123" w:rsidP="00B87A9B">
            <w:pPr>
              <w:spacing w:line="200" w:lineRule="exact"/>
              <w:jc w:val="right"/>
              <w:rPr>
                <w:rFonts w:ascii="Arial" w:eastAsia="Times New Roman" w:hAnsi="Arial" w:cs="Arial"/>
                <w:b/>
                <w:bCs/>
                <w:sz w:val="18"/>
                <w:szCs w:val="18"/>
                <w:lang w:val="pt-BR"/>
              </w:rPr>
            </w:pPr>
          </w:p>
        </w:tc>
        <w:tc>
          <w:tcPr>
            <w:tcW w:w="1172" w:type="dxa"/>
            <w:vAlign w:val="center"/>
          </w:tcPr>
          <w:p w14:paraId="26D3854B" w14:textId="77777777" w:rsidR="00C46123" w:rsidRPr="00CA2760" w:rsidRDefault="00C46123" w:rsidP="00B87A9B">
            <w:pPr>
              <w:spacing w:line="200" w:lineRule="exact"/>
              <w:jc w:val="right"/>
              <w:rPr>
                <w:rFonts w:ascii="Arial" w:hAnsi="Arial" w:cs="Arial"/>
                <w:b/>
                <w:bCs/>
                <w:sz w:val="20"/>
                <w:szCs w:val="18"/>
                <w:lang w:val="pt-BR"/>
              </w:rPr>
            </w:pPr>
            <w:r w:rsidRPr="00CA2760">
              <w:rPr>
                <w:rFonts w:ascii="Arial" w:eastAsia="Times New Roman" w:hAnsi="Arial" w:cs="Arial"/>
                <w:b/>
                <w:bCs/>
                <w:sz w:val="18"/>
                <w:szCs w:val="18"/>
                <w:lang w:val="pt-BR"/>
              </w:rPr>
              <w:t>% Res</w:t>
            </w:r>
            <w:r w:rsidRPr="00CA2760">
              <w:rPr>
                <w:rFonts w:ascii="Arial" w:hAnsi="Arial" w:cs="Arial"/>
                <w:b/>
                <w:bCs/>
                <w:sz w:val="18"/>
                <w:szCs w:val="18"/>
                <w:lang w:val="pt-BR"/>
              </w:rPr>
              <w:t>olução</w:t>
            </w:r>
            <w:r w:rsidRPr="00CA2760">
              <w:rPr>
                <w:rFonts w:ascii="Arial" w:eastAsia="Times New Roman" w:hAnsi="Arial" w:cs="Arial"/>
                <w:b/>
                <w:bCs/>
                <w:sz w:val="18"/>
                <w:szCs w:val="18"/>
                <w:lang w:val="pt-BR"/>
              </w:rPr>
              <w:t xml:space="preserve"> 2.682</w:t>
            </w:r>
          </w:p>
        </w:tc>
        <w:tc>
          <w:tcPr>
            <w:tcW w:w="1368" w:type="dxa"/>
            <w:vAlign w:val="center"/>
            <w:hideMark/>
          </w:tcPr>
          <w:p w14:paraId="1BAD5FFF" w14:textId="77777777" w:rsidR="00C46123" w:rsidRPr="00CA2760" w:rsidRDefault="00C46123" w:rsidP="00B87A9B">
            <w:pPr>
              <w:spacing w:line="200" w:lineRule="exact"/>
              <w:jc w:val="right"/>
              <w:rPr>
                <w:rFonts w:ascii="Arial" w:hAnsi="Arial" w:cs="Arial"/>
                <w:b/>
                <w:bCs/>
                <w:sz w:val="18"/>
                <w:szCs w:val="18"/>
                <w:lang w:val="pt-BR"/>
              </w:rPr>
            </w:pPr>
            <w:r w:rsidRPr="00CA2760">
              <w:rPr>
                <w:rFonts w:ascii="Arial" w:hAnsi="Arial" w:cs="Arial"/>
                <w:b/>
                <w:bCs/>
                <w:sz w:val="18"/>
                <w:szCs w:val="18"/>
                <w:lang w:val="pt-BR"/>
              </w:rPr>
              <w:t>Valor na Carteira</w:t>
            </w:r>
          </w:p>
        </w:tc>
        <w:tc>
          <w:tcPr>
            <w:tcW w:w="1136" w:type="dxa"/>
            <w:vAlign w:val="center"/>
            <w:hideMark/>
          </w:tcPr>
          <w:p w14:paraId="654873A1" w14:textId="77777777" w:rsidR="00C46123" w:rsidRPr="00CA2760" w:rsidRDefault="00C46123" w:rsidP="00B87A9B">
            <w:pPr>
              <w:spacing w:line="200" w:lineRule="exact"/>
              <w:jc w:val="right"/>
              <w:rPr>
                <w:rFonts w:ascii="Arial" w:hAnsi="Arial" w:cs="Arial"/>
                <w:b/>
                <w:bCs/>
                <w:sz w:val="18"/>
                <w:szCs w:val="18"/>
                <w:lang w:val="pt-BR"/>
              </w:rPr>
            </w:pPr>
            <w:r w:rsidRPr="00CA2760">
              <w:rPr>
                <w:rFonts w:ascii="Arial" w:hAnsi="Arial" w:cs="Arial"/>
                <w:b/>
                <w:bCs/>
                <w:sz w:val="18"/>
                <w:szCs w:val="18"/>
                <w:lang w:val="pt-BR"/>
              </w:rPr>
              <w:t>Provisão Atual*</w:t>
            </w:r>
          </w:p>
        </w:tc>
        <w:tc>
          <w:tcPr>
            <w:tcW w:w="1142" w:type="dxa"/>
            <w:vAlign w:val="center"/>
            <w:hideMark/>
          </w:tcPr>
          <w:p w14:paraId="2788D7F5" w14:textId="73641E5C" w:rsidR="00C46123" w:rsidRPr="00CA2760" w:rsidRDefault="0053040B" w:rsidP="00B87A9B">
            <w:pPr>
              <w:spacing w:line="200" w:lineRule="exact"/>
              <w:jc w:val="right"/>
              <w:rPr>
                <w:rFonts w:ascii="Arial" w:hAnsi="Arial" w:cs="Arial"/>
                <w:b/>
                <w:bCs/>
                <w:sz w:val="18"/>
                <w:szCs w:val="18"/>
                <w:lang w:val="pt-BR"/>
              </w:rPr>
            </w:pPr>
            <w:r>
              <w:rPr>
                <w:rFonts w:ascii="Arial" w:hAnsi="Arial" w:cs="Arial"/>
                <w:b/>
                <w:bCs/>
                <w:sz w:val="18"/>
                <w:szCs w:val="18"/>
                <w:lang w:val="pt-BR"/>
              </w:rPr>
              <w:t xml:space="preserve">Prova de </w:t>
            </w:r>
            <w:r w:rsidR="00C46123" w:rsidRPr="00CA2760">
              <w:rPr>
                <w:rFonts w:ascii="Arial" w:hAnsi="Arial" w:cs="Arial"/>
                <w:b/>
                <w:bCs/>
                <w:sz w:val="18"/>
                <w:szCs w:val="18"/>
                <w:lang w:val="pt-BR"/>
              </w:rPr>
              <w:t xml:space="preserve">Estresse 1 </w:t>
            </w:r>
          </w:p>
        </w:tc>
        <w:tc>
          <w:tcPr>
            <w:tcW w:w="1146" w:type="dxa"/>
            <w:vAlign w:val="center"/>
            <w:hideMark/>
          </w:tcPr>
          <w:p w14:paraId="47D19E22" w14:textId="33FEE0DC" w:rsidR="00C46123" w:rsidRPr="00CA2760" w:rsidRDefault="0084383C" w:rsidP="00B87A9B">
            <w:pPr>
              <w:spacing w:line="200" w:lineRule="exact"/>
              <w:jc w:val="right"/>
              <w:rPr>
                <w:rFonts w:ascii="Arial" w:hAnsi="Arial" w:cs="Arial"/>
                <w:b/>
                <w:bCs/>
                <w:sz w:val="18"/>
                <w:szCs w:val="18"/>
                <w:lang w:val="pt-BR"/>
              </w:rPr>
            </w:pPr>
            <w:r w:rsidRPr="00CA2760">
              <w:rPr>
                <w:rFonts w:ascii="Arial" w:hAnsi="Arial" w:cs="Arial"/>
                <w:b/>
                <w:bCs/>
                <w:sz w:val="18"/>
                <w:szCs w:val="18"/>
                <w:lang w:val="pt-BR"/>
              </w:rPr>
              <w:t>Provisão estresse</w:t>
            </w:r>
            <w:r w:rsidR="00C46123" w:rsidRPr="00CA2760">
              <w:rPr>
                <w:rFonts w:ascii="Arial" w:hAnsi="Arial" w:cs="Arial"/>
                <w:b/>
                <w:bCs/>
                <w:sz w:val="18"/>
                <w:szCs w:val="18"/>
                <w:lang w:val="pt-BR"/>
              </w:rPr>
              <w:t xml:space="preserve"> 1</w:t>
            </w:r>
          </w:p>
        </w:tc>
        <w:tc>
          <w:tcPr>
            <w:tcW w:w="990" w:type="dxa"/>
            <w:vAlign w:val="center"/>
            <w:hideMark/>
          </w:tcPr>
          <w:p w14:paraId="4FAC46CE" w14:textId="0DDB9C9D" w:rsidR="00C46123" w:rsidRPr="00CA2760" w:rsidRDefault="0053040B" w:rsidP="00B87A9B">
            <w:pPr>
              <w:spacing w:line="200" w:lineRule="exact"/>
              <w:jc w:val="right"/>
              <w:rPr>
                <w:rFonts w:ascii="Arial" w:hAnsi="Arial" w:cs="Arial"/>
                <w:b/>
                <w:bCs/>
                <w:sz w:val="18"/>
                <w:szCs w:val="18"/>
                <w:lang w:val="pt-BR"/>
              </w:rPr>
            </w:pPr>
            <w:r>
              <w:rPr>
                <w:rFonts w:ascii="Arial" w:hAnsi="Arial" w:cs="Arial"/>
                <w:b/>
                <w:bCs/>
                <w:sz w:val="18"/>
                <w:szCs w:val="18"/>
                <w:lang w:val="pt-BR"/>
              </w:rPr>
              <w:t xml:space="preserve">Prova de </w:t>
            </w:r>
            <w:r w:rsidR="00C46123" w:rsidRPr="00CA2760">
              <w:rPr>
                <w:rFonts w:ascii="Arial" w:hAnsi="Arial" w:cs="Arial"/>
                <w:b/>
                <w:bCs/>
                <w:sz w:val="18"/>
                <w:szCs w:val="18"/>
                <w:lang w:val="pt-BR"/>
              </w:rPr>
              <w:t xml:space="preserve">Estresse 2 </w:t>
            </w:r>
          </w:p>
        </w:tc>
        <w:tc>
          <w:tcPr>
            <w:tcW w:w="1257" w:type="dxa"/>
            <w:vAlign w:val="center"/>
            <w:hideMark/>
          </w:tcPr>
          <w:p w14:paraId="1F253F7B" w14:textId="54051B6E" w:rsidR="00C46123" w:rsidRPr="00CA2760" w:rsidRDefault="0084383C" w:rsidP="00B87A9B">
            <w:pPr>
              <w:spacing w:line="200" w:lineRule="exact"/>
              <w:jc w:val="right"/>
              <w:rPr>
                <w:rFonts w:ascii="Arial" w:hAnsi="Arial" w:cs="Arial"/>
                <w:b/>
                <w:bCs/>
                <w:sz w:val="18"/>
                <w:szCs w:val="18"/>
                <w:lang w:val="pt-BR"/>
              </w:rPr>
            </w:pPr>
            <w:r w:rsidRPr="00CA2760">
              <w:rPr>
                <w:rFonts w:ascii="Arial" w:hAnsi="Arial" w:cs="Arial"/>
                <w:b/>
                <w:bCs/>
                <w:sz w:val="18"/>
                <w:szCs w:val="18"/>
                <w:lang w:val="pt-BR"/>
              </w:rPr>
              <w:t>Provisão estresse</w:t>
            </w:r>
            <w:r w:rsidR="00C46123" w:rsidRPr="00CA2760">
              <w:rPr>
                <w:rFonts w:ascii="Arial" w:hAnsi="Arial" w:cs="Arial"/>
                <w:b/>
                <w:bCs/>
                <w:sz w:val="18"/>
                <w:szCs w:val="18"/>
                <w:lang w:val="pt-BR"/>
              </w:rPr>
              <w:t xml:space="preserve"> 2</w:t>
            </w:r>
          </w:p>
        </w:tc>
      </w:tr>
      <w:tr w:rsidR="0053040B" w:rsidRPr="00CA2760" w14:paraId="0ABF022C" w14:textId="77777777" w:rsidTr="0053040B">
        <w:trPr>
          <w:trHeight w:hRule="exact" w:val="276"/>
        </w:trPr>
        <w:tc>
          <w:tcPr>
            <w:tcW w:w="917" w:type="dxa"/>
            <w:vAlign w:val="center"/>
            <w:hideMark/>
          </w:tcPr>
          <w:p w14:paraId="08AB8D85" w14:textId="77777777" w:rsidR="00C46123" w:rsidRPr="00CA2760" w:rsidRDefault="00C46123" w:rsidP="00B87A9B">
            <w:pPr>
              <w:spacing w:line="200" w:lineRule="exact"/>
              <w:jc w:val="center"/>
              <w:rPr>
                <w:rFonts w:ascii="Arial" w:hAnsi="Arial" w:cs="Arial"/>
                <w:sz w:val="18"/>
                <w:szCs w:val="18"/>
                <w:lang w:val="pt-BR"/>
              </w:rPr>
            </w:pPr>
            <w:r w:rsidRPr="00CA2760">
              <w:rPr>
                <w:rFonts w:ascii="Arial" w:hAnsi="Arial" w:cs="Arial"/>
                <w:sz w:val="18"/>
                <w:szCs w:val="18"/>
                <w:lang w:val="pt-BR"/>
              </w:rPr>
              <w:t>AA</w:t>
            </w:r>
          </w:p>
        </w:tc>
        <w:tc>
          <w:tcPr>
            <w:tcW w:w="222" w:type="dxa"/>
          </w:tcPr>
          <w:p w14:paraId="3860D818" w14:textId="77777777" w:rsidR="00C46123" w:rsidRPr="00CA2760" w:rsidRDefault="00C46123" w:rsidP="00B87A9B">
            <w:pPr>
              <w:spacing w:line="200" w:lineRule="exact"/>
              <w:jc w:val="right"/>
              <w:rPr>
                <w:rFonts w:ascii="Arial" w:eastAsia="Times New Roman" w:hAnsi="Arial" w:cs="Arial"/>
                <w:sz w:val="18"/>
                <w:szCs w:val="18"/>
                <w:lang w:val="pt-BR"/>
              </w:rPr>
            </w:pPr>
          </w:p>
        </w:tc>
        <w:tc>
          <w:tcPr>
            <w:tcW w:w="1172" w:type="dxa"/>
            <w:vAlign w:val="center"/>
          </w:tcPr>
          <w:p w14:paraId="764EF412" w14:textId="77777777" w:rsidR="00C46123" w:rsidRPr="00CA2760" w:rsidRDefault="00C46123" w:rsidP="00B87A9B">
            <w:pPr>
              <w:spacing w:line="200" w:lineRule="exact"/>
              <w:jc w:val="right"/>
              <w:rPr>
                <w:rFonts w:ascii="Arial" w:eastAsia="Times New Roman" w:hAnsi="Arial" w:cs="Arial"/>
                <w:sz w:val="20"/>
                <w:szCs w:val="18"/>
                <w:lang w:val="pt-BR"/>
              </w:rPr>
            </w:pPr>
            <w:r w:rsidRPr="00CA2760">
              <w:rPr>
                <w:rFonts w:ascii="Arial" w:eastAsia="Times New Roman" w:hAnsi="Arial" w:cs="Arial"/>
                <w:sz w:val="18"/>
                <w:szCs w:val="18"/>
                <w:lang w:val="pt-BR"/>
              </w:rPr>
              <w:t>0,00%</w:t>
            </w:r>
          </w:p>
        </w:tc>
        <w:tc>
          <w:tcPr>
            <w:tcW w:w="1368" w:type="dxa"/>
            <w:vAlign w:val="center"/>
            <w:hideMark/>
          </w:tcPr>
          <w:p w14:paraId="4DF65132"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267.164.583</w:t>
            </w:r>
          </w:p>
        </w:tc>
        <w:tc>
          <w:tcPr>
            <w:tcW w:w="1136" w:type="dxa"/>
            <w:vAlign w:val="center"/>
            <w:hideMark/>
          </w:tcPr>
          <w:p w14:paraId="7D95D256"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0</w:t>
            </w:r>
          </w:p>
        </w:tc>
        <w:tc>
          <w:tcPr>
            <w:tcW w:w="1142" w:type="dxa"/>
            <w:vAlign w:val="center"/>
            <w:hideMark/>
          </w:tcPr>
          <w:p w14:paraId="77B33203"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1,00%</w:t>
            </w:r>
          </w:p>
        </w:tc>
        <w:tc>
          <w:tcPr>
            <w:tcW w:w="1146" w:type="dxa"/>
            <w:vAlign w:val="center"/>
            <w:hideMark/>
          </w:tcPr>
          <w:p w14:paraId="30929833"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2.671.646</w:t>
            </w:r>
          </w:p>
        </w:tc>
        <w:tc>
          <w:tcPr>
            <w:tcW w:w="990" w:type="dxa"/>
            <w:vAlign w:val="center"/>
            <w:hideMark/>
          </w:tcPr>
          <w:p w14:paraId="02E5A0CB"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3,00%</w:t>
            </w:r>
          </w:p>
        </w:tc>
        <w:tc>
          <w:tcPr>
            <w:tcW w:w="1257" w:type="dxa"/>
            <w:vAlign w:val="center"/>
            <w:hideMark/>
          </w:tcPr>
          <w:p w14:paraId="3E562B11"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8.014.937</w:t>
            </w:r>
          </w:p>
        </w:tc>
      </w:tr>
      <w:tr w:rsidR="0053040B" w:rsidRPr="00CA2760" w14:paraId="1C162546" w14:textId="77777777" w:rsidTr="0053040B">
        <w:trPr>
          <w:trHeight w:hRule="exact" w:val="276"/>
        </w:trPr>
        <w:tc>
          <w:tcPr>
            <w:tcW w:w="917" w:type="dxa"/>
            <w:vAlign w:val="center"/>
            <w:hideMark/>
          </w:tcPr>
          <w:p w14:paraId="5CC3180A" w14:textId="77777777" w:rsidR="00C46123" w:rsidRPr="00CA2760" w:rsidRDefault="00C46123" w:rsidP="00B87A9B">
            <w:pPr>
              <w:spacing w:line="200" w:lineRule="exact"/>
              <w:jc w:val="center"/>
              <w:rPr>
                <w:rFonts w:ascii="Arial" w:hAnsi="Arial" w:cs="Arial"/>
                <w:sz w:val="18"/>
                <w:szCs w:val="18"/>
                <w:lang w:val="pt-BR"/>
              </w:rPr>
            </w:pPr>
            <w:r w:rsidRPr="00CA2760">
              <w:rPr>
                <w:rFonts w:ascii="Arial" w:hAnsi="Arial" w:cs="Arial"/>
                <w:sz w:val="18"/>
                <w:szCs w:val="18"/>
                <w:lang w:val="pt-BR"/>
              </w:rPr>
              <w:t>A</w:t>
            </w:r>
          </w:p>
        </w:tc>
        <w:tc>
          <w:tcPr>
            <w:tcW w:w="222" w:type="dxa"/>
          </w:tcPr>
          <w:p w14:paraId="437E3177" w14:textId="77777777" w:rsidR="00C46123" w:rsidRPr="00CA2760" w:rsidRDefault="00C46123" w:rsidP="00B87A9B">
            <w:pPr>
              <w:spacing w:line="200" w:lineRule="exact"/>
              <w:jc w:val="right"/>
              <w:rPr>
                <w:rFonts w:ascii="Arial" w:hAnsi="Arial" w:cs="Arial"/>
                <w:sz w:val="18"/>
                <w:szCs w:val="18"/>
                <w:lang w:val="pt-BR"/>
              </w:rPr>
            </w:pPr>
          </w:p>
        </w:tc>
        <w:tc>
          <w:tcPr>
            <w:tcW w:w="1172" w:type="dxa"/>
            <w:vAlign w:val="center"/>
          </w:tcPr>
          <w:p w14:paraId="5B3C8968" w14:textId="77777777" w:rsidR="00C46123" w:rsidRPr="00CA2760" w:rsidRDefault="00C46123" w:rsidP="00B87A9B">
            <w:pPr>
              <w:spacing w:line="200" w:lineRule="exact"/>
              <w:jc w:val="right"/>
              <w:rPr>
                <w:rFonts w:ascii="Arial" w:hAnsi="Arial" w:cs="Arial"/>
                <w:sz w:val="20"/>
                <w:szCs w:val="18"/>
                <w:lang w:val="pt-BR"/>
              </w:rPr>
            </w:pPr>
            <w:r w:rsidRPr="00CA2760">
              <w:rPr>
                <w:rFonts w:ascii="Arial" w:hAnsi="Arial" w:cs="Arial"/>
                <w:sz w:val="18"/>
                <w:szCs w:val="18"/>
                <w:lang w:val="pt-BR"/>
              </w:rPr>
              <w:t>0,50%</w:t>
            </w:r>
          </w:p>
        </w:tc>
        <w:tc>
          <w:tcPr>
            <w:tcW w:w="1368" w:type="dxa"/>
            <w:vAlign w:val="center"/>
            <w:hideMark/>
          </w:tcPr>
          <w:p w14:paraId="3C703931"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709.042.840</w:t>
            </w:r>
          </w:p>
        </w:tc>
        <w:tc>
          <w:tcPr>
            <w:tcW w:w="1136" w:type="dxa"/>
            <w:vAlign w:val="center"/>
            <w:hideMark/>
          </w:tcPr>
          <w:p w14:paraId="384EE18C"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3.545.214</w:t>
            </w:r>
          </w:p>
        </w:tc>
        <w:tc>
          <w:tcPr>
            <w:tcW w:w="1142" w:type="dxa"/>
            <w:vAlign w:val="center"/>
            <w:hideMark/>
          </w:tcPr>
          <w:p w14:paraId="452F7C0B"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3,00%</w:t>
            </w:r>
          </w:p>
        </w:tc>
        <w:tc>
          <w:tcPr>
            <w:tcW w:w="1146" w:type="dxa"/>
            <w:vAlign w:val="center"/>
            <w:hideMark/>
          </w:tcPr>
          <w:p w14:paraId="49B69713"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21.271.285</w:t>
            </w:r>
          </w:p>
        </w:tc>
        <w:tc>
          <w:tcPr>
            <w:tcW w:w="990" w:type="dxa"/>
            <w:vAlign w:val="center"/>
            <w:hideMark/>
          </w:tcPr>
          <w:p w14:paraId="7CCE8F03"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10,00%</w:t>
            </w:r>
          </w:p>
        </w:tc>
        <w:tc>
          <w:tcPr>
            <w:tcW w:w="1257" w:type="dxa"/>
            <w:vAlign w:val="center"/>
            <w:hideMark/>
          </w:tcPr>
          <w:p w14:paraId="1B516180"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70.904.284</w:t>
            </w:r>
          </w:p>
        </w:tc>
      </w:tr>
      <w:tr w:rsidR="0053040B" w:rsidRPr="00CA2760" w14:paraId="276D9C2B" w14:textId="77777777" w:rsidTr="0053040B">
        <w:trPr>
          <w:trHeight w:hRule="exact" w:val="276"/>
        </w:trPr>
        <w:tc>
          <w:tcPr>
            <w:tcW w:w="917" w:type="dxa"/>
            <w:vAlign w:val="center"/>
            <w:hideMark/>
          </w:tcPr>
          <w:p w14:paraId="18A0A3A2" w14:textId="77777777" w:rsidR="00C46123" w:rsidRPr="00CA2760" w:rsidRDefault="00C46123" w:rsidP="00B87A9B">
            <w:pPr>
              <w:spacing w:line="200" w:lineRule="exact"/>
              <w:jc w:val="center"/>
              <w:rPr>
                <w:rFonts w:ascii="Arial" w:hAnsi="Arial" w:cs="Arial"/>
                <w:sz w:val="18"/>
                <w:szCs w:val="18"/>
                <w:lang w:val="pt-BR"/>
              </w:rPr>
            </w:pPr>
            <w:r w:rsidRPr="00CA2760">
              <w:rPr>
                <w:rFonts w:ascii="Arial" w:hAnsi="Arial" w:cs="Arial"/>
                <w:sz w:val="18"/>
                <w:szCs w:val="18"/>
                <w:lang w:val="pt-BR"/>
              </w:rPr>
              <w:t>B</w:t>
            </w:r>
          </w:p>
        </w:tc>
        <w:tc>
          <w:tcPr>
            <w:tcW w:w="222" w:type="dxa"/>
          </w:tcPr>
          <w:p w14:paraId="65B22FFA" w14:textId="77777777" w:rsidR="00C46123" w:rsidRPr="00CA2760" w:rsidRDefault="00C46123" w:rsidP="00B87A9B">
            <w:pPr>
              <w:spacing w:line="200" w:lineRule="exact"/>
              <w:jc w:val="right"/>
              <w:rPr>
                <w:rFonts w:ascii="Arial" w:eastAsia="Times New Roman" w:hAnsi="Arial" w:cs="Arial"/>
                <w:sz w:val="18"/>
                <w:szCs w:val="18"/>
                <w:lang w:val="pt-BR"/>
              </w:rPr>
            </w:pPr>
          </w:p>
        </w:tc>
        <w:tc>
          <w:tcPr>
            <w:tcW w:w="1172" w:type="dxa"/>
            <w:vAlign w:val="center"/>
          </w:tcPr>
          <w:p w14:paraId="7FE77783" w14:textId="77777777" w:rsidR="00C46123" w:rsidRPr="00CA2760" w:rsidRDefault="00C46123" w:rsidP="00B87A9B">
            <w:pPr>
              <w:spacing w:line="200" w:lineRule="exact"/>
              <w:jc w:val="right"/>
              <w:rPr>
                <w:rFonts w:ascii="Arial" w:eastAsia="Times New Roman" w:hAnsi="Arial" w:cs="Arial"/>
                <w:sz w:val="20"/>
                <w:szCs w:val="18"/>
                <w:lang w:val="pt-BR"/>
              </w:rPr>
            </w:pPr>
            <w:r w:rsidRPr="00CA2760">
              <w:rPr>
                <w:rFonts w:ascii="Arial" w:eastAsia="Times New Roman" w:hAnsi="Arial" w:cs="Arial"/>
                <w:sz w:val="18"/>
                <w:szCs w:val="18"/>
                <w:lang w:val="pt-BR"/>
              </w:rPr>
              <w:t>1,00%</w:t>
            </w:r>
          </w:p>
        </w:tc>
        <w:tc>
          <w:tcPr>
            <w:tcW w:w="1368" w:type="dxa"/>
            <w:vAlign w:val="center"/>
            <w:hideMark/>
          </w:tcPr>
          <w:p w14:paraId="6DE0D9CB"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105.893.522</w:t>
            </w:r>
          </w:p>
        </w:tc>
        <w:tc>
          <w:tcPr>
            <w:tcW w:w="1136" w:type="dxa"/>
            <w:vAlign w:val="center"/>
            <w:hideMark/>
          </w:tcPr>
          <w:p w14:paraId="66102EAA"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1.058.935</w:t>
            </w:r>
          </w:p>
        </w:tc>
        <w:tc>
          <w:tcPr>
            <w:tcW w:w="1142" w:type="dxa"/>
            <w:vAlign w:val="center"/>
            <w:hideMark/>
          </w:tcPr>
          <w:p w14:paraId="15DB1B95"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10,00%</w:t>
            </w:r>
          </w:p>
        </w:tc>
        <w:tc>
          <w:tcPr>
            <w:tcW w:w="1146" w:type="dxa"/>
            <w:vAlign w:val="center"/>
            <w:hideMark/>
          </w:tcPr>
          <w:p w14:paraId="11BDE538"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10.589.352</w:t>
            </w:r>
          </w:p>
        </w:tc>
        <w:tc>
          <w:tcPr>
            <w:tcW w:w="990" w:type="dxa"/>
            <w:vAlign w:val="center"/>
            <w:hideMark/>
          </w:tcPr>
          <w:p w14:paraId="3D0F50C3"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30,00%</w:t>
            </w:r>
          </w:p>
        </w:tc>
        <w:tc>
          <w:tcPr>
            <w:tcW w:w="1257" w:type="dxa"/>
            <w:vAlign w:val="center"/>
            <w:hideMark/>
          </w:tcPr>
          <w:p w14:paraId="0F9A2441"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31.768.057</w:t>
            </w:r>
          </w:p>
        </w:tc>
      </w:tr>
      <w:tr w:rsidR="0053040B" w:rsidRPr="00CA2760" w14:paraId="1E55AC1C" w14:textId="77777777" w:rsidTr="0053040B">
        <w:trPr>
          <w:trHeight w:hRule="exact" w:val="276"/>
        </w:trPr>
        <w:tc>
          <w:tcPr>
            <w:tcW w:w="917" w:type="dxa"/>
            <w:vAlign w:val="center"/>
            <w:hideMark/>
          </w:tcPr>
          <w:p w14:paraId="330CED32" w14:textId="77777777" w:rsidR="00C46123" w:rsidRPr="00CA2760" w:rsidRDefault="00C46123" w:rsidP="00B87A9B">
            <w:pPr>
              <w:spacing w:line="200" w:lineRule="exact"/>
              <w:jc w:val="center"/>
              <w:rPr>
                <w:rFonts w:ascii="Arial" w:hAnsi="Arial" w:cs="Arial"/>
                <w:sz w:val="18"/>
                <w:szCs w:val="18"/>
                <w:lang w:val="pt-BR"/>
              </w:rPr>
            </w:pPr>
            <w:r w:rsidRPr="00CA2760">
              <w:rPr>
                <w:rFonts w:ascii="Arial" w:hAnsi="Arial" w:cs="Arial"/>
                <w:sz w:val="18"/>
                <w:szCs w:val="18"/>
                <w:lang w:val="pt-BR"/>
              </w:rPr>
              <w:t>C</w:t>
            </w:r>
          </w:p>
        </w:tc>
        <w:tc>
          <w:tcPr>
            <w:tcW w:w="222" w:type="dxa"/>
          </w:tcPr>
          <w:p w14:paraId="11F46D43" w14:textId="77777777" w:rsidR="00C46123" w:rsidRPr="00CA2760" w:rsidRDefault="00C46123" w:rsidP="00B87A9B">
            <w:pPr>
              <w:spacing w:line="200" w:lineRule="exact"/>
              <w:jc w:val="right"/>
              <w:rPr>
                <w:rFonts w:ascii="Arial" w:hAnsi="Arial" w:cs="Arial"/>
                <w:sz w:val="18"/>
                <w:szCs w:val="18"/>
                <w:lang w:val="pt-BR"/>
              </w:rPr>
            </w:pPr>
          </w:p>
        </w:tc>
        <w:tc>
          <w:tcPr>
            <w:tcW w:w="1172" w:type="dxa"/>
            <w:vAlign w:val="center"/>
          </w:tcPr>
          <w:p w14:paraId="69104B80" w14:textId="77777777" w:rsidR="00C46123" w:rsidRPr="00CA2760" w:rsidRDefault="00C46123" w:rsidP="00B87A9B">
            <w:pPr>
              <w:spacing w:line="200" w:lineRule="exact"/>
              <w:jc w:val="right"/>
              <w:rPr>
                <w:rFonts w:ascii="Arial" w:hAnsi="Arial" w:cs="Arial"/>
                <w:sz w:val="20"/>
                <w:szCs w:val="18"/>
                <w:lang w:val="pt-BR"/>
              </w:rPr>
            </w:pPr>
            <w:r w:rsidRPr="00CA2760">
              <w:rPr>
                <w:rFonts w:ascii="Arial" w:hAnsi="Arial" w:cs="Arial"/>
                <w:sz w:val="18"/>
                <w:szCs w:val="18"/>
                <w:lang w:val="pt-BR"/>
              </w:rPr>
              <w:t>3,00%</w:t>
            </w:r>
          </w:p>
        </w:tc>
        <w:tc>
          <w:tcPr>
            <w:tcW w:w="1368" w:type="dxa"/>
            <w:vAlign w:val="center"/>
            <w:hideMark/>
          </w:tcPr>
          <w:p w14:paraId="312D5521"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52.254.073</w:t>
            </w:r>
          </w:p>
        </w:tc>
        <w:tc>
          <w:tcPr>
            <w:tcW w:w="1136" w:type="dxa"/>
            <w:vAlign w:val="center"/>
            <w:hideMark/>
          </w:tcPr>
          <w:p w14:paraId="33278E7C"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1.567.622</w:t>
            </w:r>
          </w:p>
        </w:tc>
        <w:tc>
          <w:tcPr>
            <w:tcW w:w="1142" w:type="dxa"/>
            <w:vAlign w:val="center"/>
            <w:hideMark/>
          </w:tcPr>
          <w:p w14:paraId="0F91E711"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30,00%</w:t>
            </w:r>
          </w:p>
        </w:tc>
        <w:tc>
          <w:tcPr>
            <w:tcW w:w="1146" w:type="dxa"/>
            <w:vAlign w:val="center"/>
            <w:hideMark/>
          </w:tcPr>
          <w:p w14:paraId="6B5A3D9B"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15.676.222</w:t>
            </w:r>
          </w:p>
        </w:tc>
        <w:tc>
          <w:tcPr>
            <w:tcW w:w="990" w:type="dxa"/>
            <w:vAlign w:val="center"/>
            <w:hideMark/>
          </w:tcPr>
          <w:p w14:paraId="7FFA599E"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50,00%</w:t>
            </w:r>
          </w:p>
        </w:tc>
        <w:tc>
          <w:tcPr>
            <w:tcW w:w="1257" w:type="dxa"/>
            <w:vAlign w:val="center"/>
            <w:hideMark/>
          </w:tcPr>
          <w:p w14:paraId="424CFB68"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26.127.036</w:t>
            </w:r>
          </w:p>
        </w:tc>
      </w:tr>
      <w:tr w:rsidR="0053040B" w:rsidRPr="00CA2760" w14:paraId="7AD4DC27" w14:textId="77777777" w:rsidTr="0053040B">
        <w:trPr>
          <w:trHeight w:hRule="exact" w:val="276"/>
        </w:trPr>
        <w:tc>
          <w:tcPr>
            <w:tcW w:w="917" w:type="dxa"/>
            <w:vAlign w:val="center"/>
            <w:hideMark/>
          </w:tcPr>
          <w:p w14:paraId="57B87427" w14:textId="77777777" w:rsidR="00C46123" w:rsidRPr="00CA2760" w:rsidRDefault="00C46123" w:rsidP="00B87A9B">
            <w:pPr>
              <w:spacing w:line="200" w:lineRule="exact"/>
              <w:jc w:val="center"/>
              <w:rPr>
                <w:rFonts w:ascii="Arial" w:hAnsi="Arial" w:cs="Arial"/>
                <w:sz w:val="18"/>
                <w:szCs w:val="18"/>
                <w:lang w:val="pt-BR"/>
              </w:rPr>
            </w:pPr>
            <w:r w:rsidRPr="00CA2760">
              <w:rPr>
                <w:rFonts w:ascii="Arial" w:hAnsi="Arial" w:cs="Arial"/>
                <w:sz w:val="18"/>
                <w:szCs w:val="18"/>
                <w:lang w:val="pt-BR"/>
              </w:rPr>
              <w:t>D</w:t>
            </w:r>
          </w:p>
        </w:tc>
        <w:tc>
          <w:tcPr>
            <w:tcW w:w="222" w:type="dxa"/>
          </w:tcPr>
          <w:p w14:paraId="5A4CEF08" w14:textId="77777777" w:rsidR="00C46123" w:rsidRPr="00CA2760" w:rsidRDefault="00C46123" w:rsidP="00B87A9B">
            <w:pPr>
              <w:spacing w:line="200" w:lineRule="exact"/>
              <w:jc w:val="right"/>
              <w:rPr>
                <w:rFonts w:ascii="Arial" w:eastAsia="Times New Roman" w:hAnsi="Arial" w:cs="Arial"/>
                <w:sz w:val="18"/>
                <w:szCs w:val="18"/>
                <w:lang w:val="pt-BR"/>
              </w:rPr>
            </w:pPr>
          </w:p>
        </w:tc>
        <w:tc>
          <w:tcPr>
            <w:tcW w:w="1172" w:type="dxa"/>
            <w:vAlign w:val="center"/>
          </w:tcPr>
          <w:p w14:paraId="547AF134" w14:textId="77777777" w:rsidR="00C46123" w:rsidRPr="00CA2760" w:rsidRDefault="00C46123" w:rsidP="00B87A9B">
            <w:pPr>
              <w:spacing w:line="200" w:lineRule="exact"/>
              <w:jc w:val="right"/>
              <w:rPr>
                <w:rFonts w:ascii="Arial" w:eastAsia="Times New Roman" w:hAnsi="Arial" w:cs="Arial"/>
                <w:sz w:val="20"/>
                <w:szCs w:val="18"/>
                <w:lang w:val="pt-BR"/>
              </w:rPr>
            </w:pPr>
            <w:r w:rsidRPr="00CA2760">
              <w:rPr>
                <w:rFonts w:ascii="Arial" w:eastAsia="Times New Roman" w:hAnsi="Arial" w:cs="Arial"/>
                <w:sz w:val="18"/>
                <w:szCs w:val="18"/>
                <w:lang w:val="pt-BR"/>
              </w:rPr>
              <w:t>10,00%</w:t>
            </w:r>
          </w:p>
        </w:tc>
        <w:tc>
          <w:tcPr>
            <w:tcW w:w="1368" w:type="dxa"/>
            <w:vAlign w:val="center"/>
            <w:hideMark/>
          </w:tcPr>
          <w:p w14:paraId="0B8435EE"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13.524.741</w:t>
            </w:r>
          </w:p>
        </w:tc>
        <w:tc>
          <w:tcPr>
            <w:tcW w:w="1136" w:type="dxa"/>
            <w:vAlign w:val="center"/>
            <w:hideMark/>
          </w:tcPr>
          <w:p w14:paraId="6A159D5C"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1.352.474</w:t>
            </w:r>
          </w:p>
        </w:tc>
        <w:tc>
          <w:tcPr>
            <w:tcW w:w="1142" w:type="dxa"/>
            <w:vAlign w:val="center"/>
            <w:hideMark/>
          </w:tcPr>
          <w:p w14:paraId="5A42D193"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50,00%</w:t>
            </w:r>
          </w:p>
        </w:tc>
        <w:tc>
          <w:tcPr>
            <w:tcW w:w="1146" w:type="dxa"/>
            <w:vAlign w:val="center"/>
            <w:hideMark/>
          </w:tcPr>
          <w:p w14:paraId="506ED79B"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6.762.371</w:t>
            </w:r>
          </w:p>
        </w:tc>
        <w:tc>
          <w:tcPr>
            <w:tcW w:w="990" w:type="dxa"/>
            <w:vAlign w:val="center"/>
            <w:hideMark/>
          </w:tcPr>
          <w:p w14:paraId="47524208" w14:textId="77777777" w:rsidR="00C46123" w:rsidRPr="00615EB6" w:rsidRDefault="00C46123" w:rsidP="00B87A9B">
            <w:pPr>
              <w:spacing w:line="200" w:lineRule="exact"/>
              <w:jc w:val="right"/>
              <w:rPr>
                <w:rFonts w:ascii="Arial" w:hAnsi="Arial" w:cs="Arial"/>
                <w:sz w:val="18"/>
                <w:szCs w:val="18"/>
                <w:lang w:val="pt-BR"/>
              </w:rPr>
            </w:pPr>
            <w:r w:rsidRPr="00615EB6">
              <w:rPr>
                <w:rFonts w:ascii="Arial" w:eastAsia="Times New Roman" w:hAnsi="Arial" w:cs="Arial"/>
                <w:sz w:val="18"/>
                <w:szCs w:val="18"/>
                <w:lang w:val="pt-BR"/>
              </w:rPr>
              <w:t>70,00%</w:t>
            </w:r>
          </w:p>
        </w:tc>
        <w:tc>
          <w:tcPr>
            <w:tcW w:w="1257" w:type="dxa"/>
            <w:vAlign w:val="center"/>
            <w:hideMark/>
          </w:tcPr>
          <w:p w14:paraId="39BBF5E3" w14:textId="77777777" w:rsidR="00C46123" w:rsidRPr="00615EB6" w:rsidRDefault="00C46123" w:rsidP="00B87A9B">
            <w:pPr>
              <w:spacing w:line="200" w:lineRule="exact"/>
              <w:jc w:val="right"/>
              <w:rPr>
                <w:rFonts w:ascii="Arial" w:hAnsi="Arial" w:cs="Arial"/>
                <w:sz w:val="18"/>
                <w:szCs w:val="18"/>
                <w:lang w:val="pt-BR"/>
              </w:rPr>
            </w:pPr>
            <w:r w:rsidRPr="00615EB6">
              <w:rPr>
                <w:rFonts w:ascii="Arial" w:eastAsia="Times New Roman" w:hAnsi="Arial" w:cs="Arial"/>
                <w:sz w:val="18"/>
                <w:szCs w:val="18"/>
                <w:lang w:val="pt-BR"/>
              </w:rPr>
              <w:t>9.467.319</w:t>
            </w:r>
          </w:p>
        </w:tc>
      </w:tr>
      <w:tr w:rsidR="0053040B" w:rsidRPr="00CA2760" w14:paraId="2DF9B1D4" w14:textId="77777777" w:rsidTr="0053040B">
        <w:trPr>
          <w:trHeight w:hRule="exact" w:val="276"/>
        </w:trPr>
        <w:tc>
          <w:tcPr>
            <w:tcW w:w="917" w:type="dxa"/>
            <w:vAlign w:val="center"/>
            <w:hideMark/>
          </w:tcPr>
          <w:p w14:paraId="530ECA70" w14:textId="77777777" w:rsidR="00C46123" w:rsidRPr="00CA2760" w:rsidRDefault="00C46123" w:rsidP="00B87A9B">
            <w:pPr>
              <w:spacing w:line="200" w:lineRule="exact"/>
              <w:jc w:val="center"/>
              <w:rPr>
                <w:rFonts w:ascii="Arial" w:hAnsi="Arial" w:cs="Arial"/>
                <w:sz w:val="18"/>
                <w:szCs w:val="18"/>
                <w:lang w:val="pt-BR"/>
              </w:rPr>
            </w:pPr>
            <w:r w:rsidRPr="00CA2760">
              <w:rPr>
                <w:rFonts w:ascii="Arial" w:hAnsi="Arial" w:cs="Arial"/>
                <w:sz w:val="18"/>
                <w:szCs w:val="18"/>
                <w:lang w:val="pt-BR"/>
              </w:rPr>
              <w:t>E</w:t>
            </w:r>
          </w:p>
        </w:tc>
        <w:tc>
          <w:tcPr>
            <w:tcW w:w="222" w:type="dxa"/>
          </w:tcPr>
          <w:p w14:paraId="797917B4" w14:textId="77777777" w:rsidR="00C46123" w:rsidRPr="00CA2760" w:rsidRDefault="00C46123" w:rsidP="00B87A9B">
            <w:pPr>
              <w:spacing w:line="200" w:lineRule="exact"/>
              <w:jc w:val="right"/>
              <w:rPr>
                <w:rFonts w:ascii="Arial" w:hAnsi="Arial" w:cs="Arial"/>
                <w:sz w:val="18"/>
                <w:szCs w:val="18"/>
                <w:lang w:val="pt-BR"/>
              </w:rPr>
            </w:pPr>
          </w:p>
        </w:tc>
        <w:tc>
          <w:tcPr>
            <w:tcW w:w="1172" w:type="dxa"/>
            <w:vAlign w:val="center"/>
          </w:tcPr>
          <w:p w14:paraId="358F5F9C" w14:textId="77777777" w:rsidR="00C46123" w:rsidRPr="00CA2760" w:rsidRDefault="00C46123" w:rsidP="00B87A9B">
            <w:pPr>
              <w:spacing w:line="200" w:lineRule="exact"/>
              <w:jc w:val="right"/>
              <w:rPr>
                <w:rFonts w:ascii="Arial" w:hAnsi="Arial" w:cs="Arial"/>
                <w:sz w:val="20"/>
                <w:szCs w:val="18"/>
                <w:lang w:val="pt-BR"/>
              </w:rPr>
            </w:pPr>
            <w:r w:rsidRPr="00CA2760">
              <w:rPr>
                <w:rFonts w:ascii="Arial" w:hAnsi="Arial" w:cs="Arial"/>
                <w:sz w:val="18"/>
                <w:szCs w:val="18"/>
                <w:lang w:val="pt-BR"/>
              </w:rPr>
              <w:t>30,00%</w:t>
            </w:r>
          </w:p>
        </w:tc>
        <w:tc>
          <w:tcPr>
            <w:tcW w:w="1368" w:type="dxa"/>
            <w:vAlign w:val="center"/>
            <w:hideMark/>
          </w:tcPr>
          <w:p w14:paraId="5853AA07"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7.860.053</w:t>
            </w:r>
          </w:p>
        </w:tc>
        <w:tc>
          <w:tcPr>
            <w:tcW w:w="1136" w:type="dxa"/>
            <w:vAlign w:val="center"/>
            <w:hideMark/>
          </w:tcPr>
          <w:p w14:paraId="1CAEBDE4"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2.358.016</w:t>
            </w:r>
          </w:p>
        </w:tc>
        <w:tc>
          <w:tcPr>
            <w:tcW w:w="1142" w:type="dxa"/>
            <w:vAlign w:val="center"/>
            <w:hideMark/>
          </w:tcPr>
          <w:p w14:paraId="76B78427"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70,00%</w:t>
            </w:r>
          </w:p>
        </w:tc>
        <w:tc>
          <w:tcPr>
            <w:tcW w:w="1146" w:type="dxa"/>
            <w:vAlign w:val="center"/>
            <w:hideMark/>
          </w:tcPr>
          <w:p w14:paraId="7955D270"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5.502.037</w:t>
            </w:r>
          </w:p>
        </w:tc>
        <w:tc>
          <w:tcPr>
            <w:tcW w:w="990" w:type="dxa"/>
            <w:vAlign w:val="center"/>
            <w:hideMark/>
          </w:tcPr>
          <w:p w14:paraId="6C76FFB5" w14:textId="77777777" w:rsidR="00C46123" w:rsidRPr="00615EB6" w:rsidRDefault="00C46123" w:rsidP="00B87A9B">
            <w:pPr>
              <w:spacing w:line="200" w:lineRule="exact"/>
              <w:jc w:val="right"/>
              <w:rPr>
                <w:rFonts w:ascii="Arial" w:hAnsi="Arial" w:cs="Arial"/>
                <w:sz w:val="18"/>
                <w:szCs w:val="18"/>
                <w:lang w:val="pt-BR"/>
              </w:rPr>
            </w:pPr>
            <w:r w:rsidRPr="00615EB6">
              <w:rPr>
                <w:rFonts w:ascii="Arial" w:hAnsi="Arial" w:cs="Arial"/>
                <w:sz w:val="18"/>
                <w:szCs w:val="18"/>
                <w:lang w:val="pt-BR"/>
              </w:rPr>
              <w:t>100,00%</w:t>
            </w:r>
          </w:p>
        </w:tc>
        <w:tc>
          <w:tcPr>
            <w:tcW w:w="1257" w:type="dxa"/>
            <w:vAlign w:val="center"/>
            <w:hideMark/>
          </w:tcPr>
          <w:p w14:paraId="2C3CA7AF" w14:textId="77777777" w:rsidR="00C46123" w:rsidRPr="00615EB6" w:rsidRDefault="00C46123" w:rsidP="00B87A9B">
            <w:pPr>
              <w:spacing w:line="200" w:lineRule="exact"/>
              <w:jc w:val="right"/>
              <w:rPr>
                <w:rFonts w:ascii="Arial" w:hAnsi="Arial" w:cs="Arial"/>
                <w:sz w:val="18"/>
                <w:szCs w:val="18"/>
                <w:lang w:val="pt-BR"/>
              </w:rPr>
            </w:pPr>
            <w:r w:rsidRPr="00615EB6">
              <w:rPr>
                <w:rFonts w:ascii="Arial" w:hAnsi="Arial" w:cs="Arial"/>
                <w:sz w:val="18"/>
                <w:szCs w:val="18"/>
                <w:lang w:val="pt-BR"/>
              </w:rPr>
              <w:t>7.860.053</w:t>
            </w:r>
          </w:p>
        </w:tc>
      </w:tr>
      <w:tr w:rsidR="0053040B" w:rsidRPr="00CA2760" w14:paraId="630E9948" w14:textId="77777777" w:rsidTr="0053040B">
        <w:trPr>
          <w:trHeight w:hRule="exact" w:val="276"/>
        </w:trPr>
        <w:tc>
          <w:tcPr>
            <w:tcW w:w="917" w:type="dxa"/>
            <w:vAlign w:val="center"/>
            <w:hideMark/>
          </w:tcPr>
          <w:p w14:paraId="5F27CFE8" w14:textId="77777777" w:rsidR="00C46123" w:rsidRPr="00CA2760" w:rsidRDefault="00C46123" w:rsidP="00B87A9B">
            <w:pPr>
              <w:spacing w:line="200" w:lineRule="exact"/>
              <w:jc w:val="center"/>
              <w:rPr>
                <w:rFonts w:ascii="Arial" w:hAnsi="Arial" w:cs="Arial"/>
                <w:sz w:val="18"/>
                <w:szCs w:val="18"/>
                <w:lang w:val="pt-BR"/>
              </w:rPr>
            </w:pPr>
            <w:r w:rsidRPr="00CA2760">
              <w:rPr>
                <w:rFonts w:ascii="Arial" w:hAnsi="Arial" w:cs="Arial"/>
                <w:sz w:val="18"/>
                <w:szCs w:val="18"/>
                <w:lang w:val="pt-BR"/>
              </w:rPr>
              <w:t>F</w:t>
            </w:r>
          </w:p>
        </w:tc>
        <w:tc>
          <w:tcPr>
            <w:tcW w:w="222" w:type="dxa"/>
          </w:tcPr>
          <w:p w14:paraId="155FD279" w14:textId="77777777" w:rsidR="00C46123" w:rsidRPr="00CA2760" w:rsidRDefault="00C46123" w:rsidP="00B87A9B">
            <w:pPr>
              <w:spacing w:line="200" w:lineRule="exact"/>
              <w:jc w:val="right"/>
              <w:rPr>
                <w:rFonts w:ascii="Arial" w:eastAsia="Times New Roman" w:hAnsi="Arial" w:cs="Arial"/>
                <w:sz w:val="18"/>
                <w:szCs w:val="18"/>
                <w:lang w:val="pt-BR"/>
              </w:rPr>
            </w:pPr>
          </w:p>
        </w:tc>
        <w:tc>
          <w:tcPr>
            <w:tcW w:w="1172" w:type="dxa"/>
            <w:vAlign w:val="center"/>
          </w:tcPr>
          <w:p w14:paraId="181A219C" w14:textId="77777777" w:rsidR="00C46123" w:rsidRPr="00CA2760" w:rsidRDefault="00C46123" w:rsidP="00B87A9B">
            <w:pPr>
              <w:spacing w:line="200" w:lineRule="exact"/>
              <w:jc w:val="right"/>
              <w:rPr>
                <w:rFonts w:ascii="Arial" w:eastAsia="Times New Roman" w:hAnsi="Arial" w:cs="Arial"/>
                <w:sz w:val="20"/>
                <w:szCs w:val="18"/>
                <w:lang w:val="pt-BR"/>
              </w:rPr>
            </w:pPr>
            <w:r w:rsidRPr="00CA2760">
              <w:rPr>
                <w:rFonts w:ascii="Arial" w:eastAsia="Times New Roman" w:hAnsi="Arial" w:cs="Arial"/>
                <w:sz w:val="18"/>
                <w:szCs w:val="18"/>
                <w:lang w:val="pt-BR"/>
              </w:rPr>
              <w:t>50,00%</w:t>
            </w:r>
          </w:p>
        </w:tc>
        <w:tc>
          <w:tcPr>
            <w:tcW w:w="1368" w:type="dxa"/>
            <w:vAlign w:val="center"/>
            <w:hideMark/>
          </w:tcPr>
          <w:p w14:paraId="3D88133F"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2.946.036</w:t>
            </w:r>
          </w:p>
        </w:tc>
        <w:tc>
          <w:tcPr>
            <w:tcW w:w="1136" w:type="dxa"/>
            <w:vAlign w:val="center"/>
            <w:hideMark/>
          </w:tcPr>
          <w:p w14:paraId="28572CDB"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1.473.018</w:t>
            </w:r>
          </w:p>
        </w:tc>
        <w:tc>
          <w:tcPr>
            <w:tcW w:w="1142" w:type="dxa"/>
            <w:vAlign w:val="center"/>
            <w:hideMark/>
          </w:tcPr>
          <w:p w14:paraId="3360A6A6"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100,00%</w:t>
            </w:r>
          </w:p>
        </w:tc>
        <w:tc>
          <w:tcPr>
            <w:tcW w:w="1146" w:type="dxa"/>
            <w:vAlign w:val="center"/>
            <w:hideMark/>
          </w:tcPr>
          <w:p w14:paraId="1DE60706"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eastAsia="Times New Roman" w:hAnsi="Arial" w:cs="Arial"/>
                <w:sz w:val="18"/>
                <w:szCs w:val="18"/>
                <w:lang w:val="pt-BR"/>
              </w:rPr>
              <w:t>2.946.036</w:t>
            </w:r>
          </w:p>
        </w:tc>
        <w:tc>
          <w:tcPr>
            <w:tcW w:w="990" w:type="dxa"/>
            <w:vAlign w:val="center"/>
            <w:hideMark/>
          </w:tcPr>
          <w:p w14:paraId="1CA8270E" w14:textId="77777777" w:rsidR="00C46123" w:rsidRPr="00615EB6" w:rsidRDefault="00C46123" w:rsidP="00B87A9B">
            <w:pPr>
              <w:spacing w:line="200" w:lineRule="exact"/>
              <w:jc w:val="right"/>
              <w:rPr>
                <w:rFonts w:ascii="Arial" w:hAnsi="Arial" w:cs="Arial"/>
                <w:sz w:val="18"/>
                <w:szCs w:val="18"/>
                <w:lang w:val="pt-BR"/>
              </w:rPr>
            </w:pPr>
            <w:r w:rsidRPr="00615EB6">
              <w:rPr>
                <w:rFonts w:ascii="Arial" w:eastAsia="Times New Roman" w:hAnsi="Arial" w:cs="Arial"/>
                <w:sz w:val="18"/>
                <w:szCs w:val="18"/>
                <w:lang w:val="pt-BR"/>
              </w:rPr>
              <w:t>100,00%</w:t>
            </w:r>
          </w:p>
        </w:tc>
        <w:tc>
          <w:tcPr>
            <w:tcW w:w="1257" w:type="dxa"/>
            <w:vAlign w:val="center"/>
            <w:hideMark/>
          </w:tcPr>
          <w:p w14:paraId="79EF0E90" w14:textId="77777777" w:rsidR="00C46123" w:rsidRPr="00615EB6" w:rsidRDefault="00C46123" w:rsidP="00B87A9B">
            <w:pPr>
              <w:spacing w:line="200" w:lineRule="exact"/>
              <w:jc w:val="right"/>
              <w:rPr>
                <w:rFonts w:ascii="Arial" w:hAnsi="Arial" w:cs="Arial"/>
                <w:sz w:val="18"/>
                <w:szCs w:val="18"/>
                <w:lang w:val="pt-BR"/>
              </w:rPr>
            </w:pPr>
            <w:r w:rsidRPr="00615EB6">
              <w:rPr>
                <w:rFonts w:ascii="Arial" w:eastAsia="Times New Roman" w:hAnsi="Arial" w:cs="Arial"/>
                <w:sz w:val="18"/>
                <w:szCs w:val="18"/>
                <w:lang w:val="pt-BR"/>
              </w:rPr>
              <w:t>2.946.036</w:t>
            </w:r>
          </w:p>
        </w:tc>
      </w:tr>
      <w:tr w:rsidR="0053040B" w:rsidRPr="00CA2760" w14:paraId="0068E1DB" w14:textId="77777777" w:rsidTr="0053040B">
        <w:trPr>
          <w:trHeight w:hRule="exact" w:val="276"/>
        </w:trPr>
        <w:tc>
          <w:tcPr>
            <w:tcW w:w="917" w:type="dxa"/>
            <w:vAlign w:val="center"/>
            <w:hideMark/>
          </w:tcPr>
          <w:p w14:paraId="421B3972" w14:textId="77777777" w:rsidR="00C46123" w:rsidRPr="00CA2760" w:rsidRDefault="00C46123" w:rsidP="00B87A9B">
            <w:pPr>
              <w:spacing w:line="200" w:lineRule="exact"/>
              <w:jc w:val="center"/>
              <w:rPr>
                <w:rFonts w:ascii="Arial" w:hAnsi="Arial" w:cs="Arial"/>
                <w:sz w:val="18"/>
                <w:szCs w:val="18"/>
                <w:lang w:val="pt-BR"/>
              </w:rPr>
            </w:pPr>
            <w:r w:rsidRPr="00CA2760">
              <w:rPr>
                <w:rFonts w:ascii="Arial" w:hAnsi="Arial" w:cs="Arial"/>
                <w:sz w:val="18"/>
                <w:szCs w:val="18"/>
                <w:lang w:val="pt-BR"/>
              </w:rPr>
              <w:t>G</w:t>
            </w:r>
          </w:p>
        </w:tc>
        <w:tc>
          <w:tcPr>
            <w:tcW w:w="222" w:type="dxa"/>
          </w:tcPr>
          <w:p w14:paraId="29779F89" w14:textId="77777777" w:rsidR="00C46123" w:rsidRPr="00CA2760" w:rsidRDefault="00C46123" w:rsidP="00B87A9B">
            <w:pPr>
              <w:spacing w:line="200" w:lineRule="exact"/>
              <w:jc w:val="right"/>
              <w:rPr>
                <w:rFonts w:ascii="Arial" w:hAnsi="Arial" w:cs="Arial"/>
                <w:sz w:val="18"/>
                <w:szCs w:val="18"/>
                <w:lang w:val="pt-BR"/>
              </w:rPr>
            </w:pPr>
          </w:p>
        </w:tc>
        <w:tc>
          <w:tcPr>
            <w:tcW w:w="1172" w:type="dxa"/>
            <w:vAlign w:val="center"/>
          </w:tcPr>
          <w:p w14:paraId="6D300B6E" w14:textId="77777777" w:rsidR="00C46123" w:rsidRPr="00CA2760" w:rsidRDefault="00C46123" w:rsidP="00B87A9B">
            <w:pPr>
              <w:spacing w:line="200" w:lineRule="exact"/>
              <w:jc w:val="right"/>
              <w:rPr>
                <w:rFonts w:ascii="Arial" w:hAnsi="Arial" w:cs="Arial"/>
                <w:sz w:val="20"/>
                <w:szCs w:val="18"/>
                <w:lang w:val="pt-BR"/>
              </w:rPr>
            </w:pPr>
            <w:r w:rsidRPr="00CA2760">
              <w:rPr>
                <w:rFonts w:ascii="Arial" w:hAnsi="Arial" w:cs="Arial"/>
                <w:sz w:val="18"/>
                <w:szCs w:val="18"/>
                <w:lang w:val="pt-BR"/>
              </w:rPr>
              <w:t>70,00%</w:t>
            </w:r>
          </w:p>
        </w:tc>
        <w:tc>
          <w:tcPr>
            <w:tcW w:w="1368" w:type="dxa"/>
            <w:vAlign w:val="center"/>
            <w:hideMark/>
          </w:tcPr>
          <w:p w14:paraId="673371CC"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2.728.800</w:t>
            </w:r>
          </w:p>
        </w:tc>
        <w:tc>
          <w:tcPr>
            <w:tcW w:w="1136" w:type="dxa"/>
            <w:vAlign w:val="center"/>
            <w:hideMark/>
          </w:tcPr>
          <w:p w14:paraId="3BA17C3F"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1.910.160</w:t>
            </w:r>
          </w:p>
        </w:tc>
        <w:tc>
          <w:tcPr>
            <w:tcW w:w="1142" w:type="dxa"/>
            <w:vAlign w:val="center"/>
            <w:hideMark/>
          </w:tcPr>
          <w:p w14:paraId="3D284E42"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100,00%</w:t>
            </w:r>
          </w:p>
        </w:tc>
        <w:tc>
          <w:tcPr>
            <w:tcW w:w="1146" w:type="dxa"/>
            <w:vAlign w:val="center"/>
            <w:hideMark/>
          </w:tcPr>
          <w:p w14:paraId="4E4F1DDB"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2.728.800</w:t>
            </w:r>
          </w:p>
        </w:tc>
        <w:tc>
          <w:tcPr>
            <w:tcW w:w="990" w:type="dxa"/>
            <w:vAlign w:val="center"/>
            <w:hideMark/>
          </w:tcPr>
          <w:p w14:paraId="4C393944" w14:textId="77777777" w:rsidR="00C46123" w:rsidRPr="00615EB6" w:rsidRDefault="00C46123" w:rsidP="00B87A9B">
            <w:pPr>
              <w:spacing w:line="200" w:lineRule="exact"/>
              <w:jc w:val="right"/>
              <w:rPr>
                <w:rFonts w:ascii="Arial" w:hAnsi="Arial" w:cs="Arial"/>
                <w:sz w:val="18"/>
                <w:szCs w:val="18"/>
                <w:lang w:val="pt-BR"/>
              </w:rPr>
            </w:pPr>
            <w:r w:rsidRPr="00615EB6">
              <w:rPr>
                <w:rFonts w:ascii="Arial" w:hAnsi="Arial" w:cs="Arial"/>
                <w:sz w:val="18"/>
                <w:szCs w:val="18"/>
                <w:lang w:val="pt-BR"/>
              </w:rPr>
              <w:t>100,00%</w:t>
            </w:r>
          </w:p>
        </w:tc>
        <w:tc>
          <w:tcPr>
            <w:tcW w:w="1257" w:type="dxa"/>
            <w:vAlign w:val="center"/>
            <w:hideMark/>
          </w:tcPr>
          <w:p w14:paraId="4A56D652" w14:textId="77777777" w:rsidR="00C46123" w:rsidRPr="00615EB6" w:rsidRDefault="00C46123" w:rsidP="00B87A9B">
            <w:pPr>
              <w:spacing w:line="200" w:lineRule="exact"/>
              <w:jc w:val="right"/>
              <w:rPr>
                <w:rFonts w:ascii="Arial" w:hAnsi="Arial" w:cs="Arial"/>
                <w:sz w:val="18"/>
                <w:szCs w:val="18"/>
                <w:lang w:val="pt-BR"/>
              </w:rPr>
            </w:pPr>
            <w:r w:rsidRPr="00615EB6">
              <w:rPr>
                <w:rFonts w:ascii="Arial" w:hAnsi="Arial" w:cs="Arial"/>
                <w:sz w:val="18"/>
                <w:szCs w:val="18"/>
                <w:lang w:val="pt-BR"/>
              </w:rPr>
              <w:t>2.728.800</w:t>
            </w:r>
          </w:p>
        </w:tc>
      </w:tr>
      <w:tr w:rsidR="0053040B" w:rsidRPr="00CA2760" w14:paraId="65C76520" w14:textId="77777777" w:rsidTr="0053040B">
        <w:trPr>
          <w:trHeight w:hRule="exact" w:val="276"/>
        </w:trPr>
        <w:tc>
          <w:tcPr>
            <w:tcW w:w="917" w:type="dxa"/>
            <w:vAlign w:val="center"/>
            <w:hideMark/>
          </w:tcPr>
          <w:p w14:paraId="52AD4EC5" w14:textId="77777777" w:rsidR="00C46123" w:rsidRPr="00CA2760" w:rsidRDefault="00C46123" w:rsidP="00B87A9B">
            <w:pPr>
              <w:spacing w:line="200" w:lineRule="exact"/>
              <w:jc w:val="center"/>
              <w:rPr>
                <w:rFonts w:ascii="Arial" w:hAnsi="Arial" w:cs="Arial"/>
                <w:sz w:val="18"/>
                <w:szCs w:val="18"/>
                <w:lang w:val="pt-BR"/>
              </w:rPr>
            </w:pPr>
            <w:r w:rsidRPr="00CA2760">
              <w:rPr>
                <w:rFonts w:ascii="Arial" w:hAnsi="Arial" w:cs="Arial"/>
                <w:sz w:val="18"/>
                <w:szCs w:val="18"/>
                <w:lang w:val="pt-BR"/>
              </w:rPr>
              <w:t>H</w:t>
            </w:r>
          </w:p>
        </w:tc>
        <w:tc>
          <w:tcPr>
            <w:tcW w:w="222" w:type="dxa"/>
          </w:tcPr>
          <w:p w14:paraId="5DB3CEF5" w14:textId="77777777" w:rsidR="00C46123" w:rsidRPr="00CA2760" w:rsidRDefault="00C46123" w:rsidP="00B87A9B">
            <w:pPr>
              <w:spacing w:line="200" w:lineRule="exact"/>
              <w:jc w:val="right"/>
              <w:rPr>
                <w:rFonts w:ascii="Arial" w:hAnsi="Arial" w:cs="Arial"/>
                <w:sz w:val="18"/>
                <w:szCs w:val="18"/>
                <w:lang w:val="pt-BR"/>
              </w:rPr>
            </w:pPr>
          </w:p>
        </w:tc>
        <w:tc>
          <w:tcPr>
            <w:tcW w:w="1172" w:type="dxa"/>
            <w:vAlign w:val="center"/>
          </w:tcPr>
          <w:p w14:paraId="56176ABD" w14:textId="77777777" w:rsidR="00C46123" w:rsidRPr="00CA2760" w:rsidRDefault="00C46123" w:rsidP="00B87A9B">
            <w:pPr>
              <w:spacing w:line="200" w:lineRule="exact"/>
              <w:jc w:val="right"/>
              <w:rPr>
                <w:rFonts w:ascii="Arial" w:hAnsi="Arial" w:cs="Arial"/>
                <w:sz w:val="20"/>
                <w:szCs w:val="18"/>
                <w:lang w:val="pt-BR"/>
              </w:rPr>
            </w:pPr>
            <w:r w:rsidRPr="00CA2760">
              <w:rPr>
                <w:rFonts w:ascii="Arial" w:hAnsi="Arial" w:cs="Arial"/>
                <w:sz w:val="18"/>
                <w:szCs w:val="18"/>
                <w:lang w:val="pt-BR"/>
              </w:rPr>
              <w:t>100,00%</w:t>
            </w:r>
          </w:p>
        </w:tc>
        <w:tc>
          <w:tcPr>
            <w:tcW w:w="1368" w:type="dxa"/>
            <w:vAlign w:val="center"/>
            <w:hideMark/>
          </w:tcPr>
          <w:p w14:paraId="5B66B76A" w14:textId="77777777" w:rsidR="00C46123" w:rsidRPr="00615EB6" w:rsidRDefault="00C46123" w:rsidP="00B87A9B">
            <w:pPr>
              <w:spacing w:line="200" w:lineRule="exact"/>
              <w:jc w:val="right"/>
              <w:rPr>
                <w:rFonts w:ascii="Arial" w:hAnsi="Arial" w:cs="Arial"/>
                <w:sz w:val="18"/>
                <w:szCs w:val="18"/>
                <w:lang w:val="pt-BR"/>
              </w:rPr>
            </w:pPr>
            <w:r w:rsidRPr="00615EB6">
              <w:rPr>
                <w:rFonts w:ascii="Arial" w:hAnsi="Arial" w:cs="Arial"/>
                <w:sz w:val="18"/>
                <w:szCs w:val="18"/>
                <w:lang w:val="pt-BR"/>
              </w:rPr>
              <w:t>16.578.787</w:t>
            </w:r>
          </w:p>
        </w:tc>
        <w:tc>
          <w:tcPr>
            <w:tcW w:w="1136" w:type="dxa"/>
            <w:vAlign w:val="center"/>
            <w:hideMark/>
          </w:tcPr>
          <w:p w14:paraId="0E9746C9" w14:textId="77777777" w:rsidR="00C46123" w:rsidRPr="00615EB6" w:rsidRDefault="00C46123" w:rsidP="00B87A9B">
            <w:pPr>
              <w:spacing w:line="200" w:lineRule="exact"/>
              <w:jc w:val="right"/>
              <w:rPr>
                <w:rFonts w:ascii="Arial" w:hAnsi="Arial" w:cs="Arial"/>
                <w:sz w:val="18"/>
                <w:szCs w:val="18"/>
                <w:lang w:val="pt-BR"/>
              </w:rPr>
            </w:pPr>
            <w:r w:rsidRPr="00615EB6">
              <w:rPr>
                <w:rFonts w:ascii="Arial" w:hAnsi="Arial" w:cs="Arial"/>
                <w:sz w:val="18"/>
                <w:szCs w:val="18"/>
                <w:lang w:val="pt-BR"/>
              </w:rPr>
              <w:t>16.578.787</w:t>
            </w:r>
          </w:p>
        </w:tc>
        <w:tc>
          <w:tcPr>
            <w:tcW w:w="1142" w:type="dxa"/>
            <w:vAlign w:val="center"/>
            <w:hideMark/>
          </w:tcPr>
          <w:p w14:paraId="5C83485C"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100,00%</w:t>
            </w:r>
          </w:p>
        </w:tc>
        <w:tc>
          <w:tcPr>
            <w:tcW w:w="1146" w:type="dxa"/>
            <w:vAlign w:val="center"/>
            <w:hideMark/>
          </w:tcPr>
          <w:p w14:paraId="337BEC3B" w14:textId="77777777" w:rsidR="00C46123" w:rsidRPr="00CA2760" w:rsidRDefault="00C46123" w:rsidP="00B87A9B">
            <w:pPr>
              <w:spacing w:line="200" w:lineRule="exact"/>
              <w:jc w:val="right"/>
              <w:rPr>
                <w:rFonts w:ascii="Arial" w:hAnsi="Arial" w:cs="Arial"/>
                <w:sz w:val="18"/>
                <w:szCs w:val="18"/>
                <w:lang w:val="pt-BR"/>
              </w:rPr>
            </w:pPr>
            <w:r w:rsidRPr="00CA2760">
              <w:rPr>
                <w:rFonts w:ascii="Arial" w:hAnsi="Arial" w:cs="Arial"/>
                <w:sz w:val="18"/>
                <w:szCs w:val="18"/>
                <w:lang w:val="pt-BR"/>
              </w:rPr>
              <w:t>16.578.787</w:t>
            </w:r>
          </w:p>
        </w:tc>
        <w:tc>
          <w:tcPr>
            <w:tcW w:w="990" w:type="dxa"/>
            <w:vAlign w:val="center"/>
            <w:hideMark/>
          </w:tcPr>
          <w:p w14:paraId="3422621C" w14:textId="77777777" w:rsidR="00C46123" w:rsidRPr="00615EB6" w:rsidRDefault="00C46123" w:rsidP="00B87A9B">
            <w:pPr>
              <w:spacing w:line="200" w:lineRule="exact"/>
              <w:jc w:val="right"/>
              <w:rPr>
                <w:rFonts w:ascii="Arial" w:hAnsi="Arial" w:cs="Arial"/>
                <w:sz w:val="18"/>
                <w:szCs w:val="18"/>
                <w:lang w:val="pt-BR"/>
              </w:rPr>
            </w:pPr>
            <w:r w:rsidRPr="00615EB6">
              <w:rPr>
                <w:rFonts w:ascii="Arial" w:hAnsi="Arial" w:cs="Arial"/>
                <w:sz w:val="18"/>
                <w:szCs w:val="18"/>
                <w:lang w:val="pt-BR"/>
              </w:rPr>
              <w:t>100,00%</w:t>
            </w:r>
          </w:p>
        </w:tc>
        <w:tc>
          <w:tcPr>
            <w:tcW w:w="1257" w:type="dxa"/>
            <w:vAlign w:val="center"/>
            <w:hideMark/>
          </w:tcPr>
          <w:p w14:paraId="261A9B5F" w14:textId="77777777" w:rsidR="00C46123" w:rsidRPr="00615EB6" w:rsidRDefault="00C46123" w:rsidP="00B87A9B">
            <w:pPr>
              <w:spacing w:line="200" w:lineRule="exact"/>
              <w:jc w:val="right"/>
              <w:rPr>
                <w:rFonts w:ascii="Arial" w:hAnsi="Arial" w:cs="Arial"/>
                <w:sz w:val="18"/>
                <w:szCs w:val="18"/>
                <w:lang w:val="pt-BR"/>
              </w:rPr>
            </w:pPr>
            <w:r w:rsidRPr="00615EB6">
              <w:rPr>
                <w:rFonts w:ascii="Arial" w:hAnsi="Arial" w:cs="Arial"/>
                <w:sz w:val="18"/>
                <w:szCs w:val="18"/>
                <w:lang w:val="pt-BR"/>
              </w:rPr>
              <w:t>16.578.787</w:t>
            </w:r>
          </w:p>
        </w:tc>
      </w:tr>
      <w:tr w:rsidR="0053040B" w:rsidRPr="00CA2760" w14:paraId="6E763FBB" w14:textId="77777777" w:rsidTr="0053040B">
        <w:trPr>
          <w:trHeight w:val="264"/>
        </w:trPr>
        <w:tc>
          <w:tcPr>
            <w:tcW w:w="917" w:type="dxa"/>
            <w:noWrap/>
            <w:vAlign w:val="center"/>
            <w:hideMark/>
          </w:tcPr>
          <w:p w14:paraId="2D7F5FC2" w14:textId="77777777" w:rsidR="00C46123" w:rsidRPr="00CA2760" w:rsidRDefault="00C46123" w:rsidP="00B87A9B">
            <w:pPr>
              <w:spacing w:line="200" w:lineRule="exact"/>
              <w:jc w:val="center"/>
              <w:rPr>
                <w:rFonts w:ascii="Arial" w:hAnsi="Arial" w:cs="Arial"/>
                <w:b/>
                <w:bCs/>
                <w:sz w:val="18"/>
                <w:szCs w:val="18"/>
                <w:lang w:val="pt-BR"/>
              </w:rPr>
            </w:pPr>
            <w:r w:rsidRPr="00CA2760">
              <w:rPr>
                <w:rFonts w:ascii="Arial" w:hAnsi="Arial" w:cs="Arial"/>
                <w:b/>
                <w:bCs/>
                <w:sz w:val="18"/>
                <w:szCs w:val="18"/>
                <w:lang w:val="pt-BR"/>
              </w:rPr>
              <w:t>Total</w:t>
            </w:r>
          </w:p>
        </w:tc>
        <w:tc>
          <w:tcPr>
            <w:tcW w:w="222" w:type="dxa"/>
          </w:tcPr>
          <w:p w14:paraId="0A8954DF" w14:textId="77777777" w:rsidR="00C46123" w:rsidRPr="00CA2760" w:rsidRDefault="00C46123" w:rsidP="00B87A9B">
            <w:pPr>
              <w:spacing w:line="200" w:lineRule="exact"/>
              <w:jc w:val="right"/>
              <w:rPr>
                <w:rFonts w:ascii="Arial" w:hAnsi="Arial" w:cs="Arial"/>
                <w:b/>
                <w:bCs/>
                <w:sz w:val="18"/>
                <w:szCs w:val="18"/>
                <w:lang w:val="pt-BR"/>
              </w:rPr>
            </w:pPr>
          </w:p>
        </w:tc>
        <w:tc>
          <w:tcPr>
            <w:tcW w:w="1172" w:type="dxa"/>
            <w:vAlign w:val="center"/>
          </w:tcPr>
          <w:p w14:paraId="518995C0" w14:textId="77777777" w:rsidR="00C46123" w:rsidRPr="00CA2760" w:rsidRDefault="00C46123" w:rsidP="00B87A9B">
            <w:pPr>
              <w:spacing w:line="200" w:lineRule="exact"/>
              <w:jc w:val="right"/>
              <w:rPr>
                <w:rFonts w:ascii="Arial" w:hAnsi="Arial" w:cs="Arial"/>
                <w:b/>
                <w:bCs/>
                <w:sz w:val="20"/>
                <w:szCs w:val="18"/>
                <w:lang w:val="pt-BR"/>
              </w:rPr>
            </w:pPr>
            <w:r w:rsidRPr="00CA2760">
              <w:rPr>
                <w:rFonts w:ascii="Arial" w:hAnsi="Arial" w:cs="Arial"/>
                <w:b/>
                <w:bCs/>
                <w:sz w:val="18"/>
                <w:szCs w:val="18"/>
                <w:lang w:val="pt-BR"/>
              </w:rPr>
              <w:t>2,5%</w:t>
            </w:r>
          </w:p>
        </w:tc>
        <w:tc>
          <w:tcPr>
            <w:tcW w:w="1368" w:type="dxa"/>
            <w:noWrap/>
            <w:vAlign w:val="center"/>
            <w:hideMark/>
          </w:tcPr>
          <w:p w14:paraId="2642BD12" w14:textId="77777777" w:rsidR="00C46123" w:rsidRPr="00CA2760" w:rsidRDefault="00C46123" w:rsidP="00B87A9B">
            <w:pPr>
              <w:spacing w:line="200" w:lineRule="exact"/>
              <w:jc w:val="right"/>
              <w:rPr>
                <w:rFonts w:ascii="Arial" w:hAnsi="Arial" w:cs="Arial"/>
                <w:b/>
                <w:bCs/>
                <w:sz w:val="18"/>
                <w:szCs w:val="18"/>
                <w:lang w:val="pt-BR"/>
              </w:rPr>
            </w:pPr>
            <w:r w:rsidRPr="00CA2760">
              <w:rPr>
                <w:rFonts w:ascii="Arial" w:hAnsi="Arial" w:cs="Arial"/>
                <w:b/>
                <w:bCs/>
                <w:sz w:val="18"/>
                <w:szCs w:val="18"/>
                <w:lang w:val="pt-BR"/>
              </w:rPr>
              <w:t>1.177.993.435</w:t>
            </w:r>
          </w:p>
        </w:tc>
        <w:tc>
          <w:tcPr>
            <w:tcW w:w="1136" w:type="dxa"/>
            <w:noWrap/>
            <w:vAlign w:val="center"/>
            <w:hideMark/>
          </w:tcPr>
          <w:p w14:paraId="695C189A" w14:textId="77777777" w:rsidR="00C46123" w:rsidRPr="00CA2760" w:rsidRDefault="00C46123" w:rsidP="00B87A9B">
            <w:pPr>
              <w:spacing w:line="200" w:lineRule="exact"/>
              <w:jc w:val="right"/>
              <w:rPr>
                <w:rFonts w:ascii="Arial" w:hAnsi="Arial" w:cs="Arial"/>
                <w:b/>
                <w:bCs/>
                <w:sz w:val="18"/>
                <w:szCs w:val="18"/>
                <w:lang w:val="pt-BR"/>
              </w:rPr>
            </w:pPr>
            <w:r w:rsidRPr="00CA2760">
              <w:rPr>
                <w:rFonts w:ascii="Arial" w:hAnsi="Arial" w:cs="Arial"/>
                <w:b/>
                <w:bCs/>
                <w:sz w:val="18"/>
                <w:szCs w:val="18"/>
                <w:lang w:val="pt-BR"/>
              </w:rPr>
              <w:t>29.844.226</w:t>
            </w:r>
          </w:p>
        </w:tc>
        <w:tc>
          <w:tcPr>
            <w:tcW w:w="1142" w:type="dxa"/>
            <w:noWrap/>
            <w:vAlign w:val="center"/>
            <w:hideMark/>
          </w:tcPr>
          <w:p w14:paraId="0D28CD93" w14:textId="77777777" w:rsidR="00C46123" w:rsidRPr="00CA2760" w:rsidRDefault="00C46123" w:rsidP="00B87A9B">
            <w:pPr>
              <w:spacing w:line="200" w:lineRule="exact"/>
              <w:jc w:val="right"/>
              <w:rPr>
                <w:rFonts w:ascii="Arial" w:hAnsi="Arial" w:cs="Arial"/>
                <w:b/>
                <w:bCs/>
                <w:sz w:val="18"/>
                <w:szCs w:val="18"/>
                <w:lang w:val="pt-BR"/>
              </w:rPr>
            </w:pPr>
            <w:r w:rsidRPr="00CA2760">
              <w:rPr>
                <w:rFonts w:ascii="Arial" w:hAnsi="Arial" w:cs="Arial"/>
                <w:b/>
                <w:bCs/>
                <w:sz w:val="18"/>
                <w:szCs w:val="18"/>
                <w:lang w:val="pt-BR"/>
              </w:rPr>
              <w:t>7,2%</w:t>
            </w:r>
          </w:p>
        </w:tc>
        <w:tc>
          <w:tcPr>
            <w:tcW w:w="1146" w:type="dxa"/>
            <w:noWrap/>
            <w:vAlign w:val="center"/>
            <w:hideMark/>
          </w:tcPr>
          <w:p w14:paraId="71633D04" w14:textId="77777777" w:rsidR="00C46123" w:rsidRPr="00CA2760" w:rsidRDefault="00C46123" w:rsidP="00B87A9B">
            <w:pPr>
              <w:spacing w:line="200" w:lineRule="exact"/>
              <w:jc w:val="right"/>
              <w:rPr>
                <w:rFonts w:ascii="Arial" w:hAnsi="Arial" w:cs="Arial"/>
                <w:b/>
                <w:bCs/>
                <w:sz w:val="18"/>
                <w:szCs w:val="18"/>
                <w:lang w:val="pt-BR"/>
              </w:rPr>
            </w:pPr>
            <w:r w:rsidRPr="00CA2760">
              <w:rPr>
                <w:rFonts w:ascii="Arial" w:hAnsi="Arial" w:cs="Arial"/>
                <w:b/>
                <w:bCs/>
                <w:sz w:val="18"/>
                <w:szCs w:val="18"/>
                <w:lang w:val="pt-BR"/>
              </w:rPr>
              <w:t>84.726.536</w:t>
            </w:r>
          </w:p>
        </w:tc>
        <w:tc>
          <w:tcPr>
            <w:tcW w:w="990" w:type="dxa"/>
            <w:noWrap/>
            <w:vAlign w:val="center"/>
            <w:hideMark/>
          </w:tcPr>
          <w:p w14:paraId="0728C0A3" w14:textId="77777777" w:rsidR="00C46123" w:rsidRPr="00CA2760" w:rsidRDefault="00C46123" w:rsidP="00B87A9B">
            <w:pPr>
              <w:spacing w:line="200" w:lineRule="exact"/>
              <w:jc w:val="right"/>
              <w:rPr>
                <w:rFonts w:ascii="Arial" w:hAnsi="Arial" w:cs="Arial"/>
                <w:b/>
                <w:bCs/>
                <w:sz w:val="18"/>
                <w:szCs w:val="18"/>
                <w:lang w:val="pt-BR"/>
              </w:rPr>
            </w:pPr>
            <w:r w:rsidRPr="00CA2760">
              <w:rPr>
                <w:rFonts w:ascii="Arial" w:hAnsi="Arial" w:cs="Arial"/>
                <w:b/>
                <w:bCs/>
                <w:sz w:val="18"/>
                <w:szCs w:val="18"/>
                <w:lang w:val="pt-BR"/>
              </w:rPr>
              <w:t>15,0%</w:t>
            </w:r>
          </w:p>
        </w:tc>
        <w:tc>
          <w:tcPr>
            <w:tcW w:w="1257" w:type="dxa"/>
            <w:noWrap/>
            <w:vAlign w:val="center"/>
            <w:hideMark/>
          </w:tcPr>
          <w:p w14:paraId="4172DC32" w14:textId="77777777" w:rsidR="00C46123" w:rsidRPr="00CA2760" w:rsidRDefault="00C46123" w:rsidP="00B87A9B">
            <w:pPr>
              <w:spacing w:line="200" w:lineRule="exact"/>
              <w:jc w:val="right"/>
              <w:rPr>
                <w:rFonts w:ascii="Arial" w:hAnsi="Arial" w:cs="Arial"/>
                <w:b/>
                <w:bCs/>
                <w:sz w:val="18"/>
                <w:szCs w:val="18"/>
                <w:lang w:val="pt-BR"/>
              </w:rPr>
            </w:pPr>
            <w:r w:rsidRPr="00CA2760">
              <w:rPr>
                <w:rFonts w:ascii="Arial" w:hAnsi="Arial" w:cs="Arial"/>
                <w:b/>
                <w:bCs/>
                <w:sz w:val="18"/>
                <w:szCs w:val="18"/>
                <w:lang w:val="pt-BR"/>
              </w:rPr>
              <w:t>176.395.309</w:t>
            </w:r>
          </w:p>
        </w:tc>
      </w:tr>
    </w:tbl>
    <w:p w14:paraId="3B0E9927" w14:textId="448CC414" w:rsidR="00F74ED8" w:rsidRPr="00F74ED8" w:rsidRDefault="00C46123" w:rsidP="00F74ED8">
      <w:pPr>
        <w:spacing w:line="240" w:lineRule="auto"/>
        <w:ind w:left="113"/>
        <w:rPr>
          <w:rFonts w:ascii="Times New Roman" w:hAnsi="Times New Roman" w:cs="Times New Roman"/>
          <w:color w:val="000000"/>
          <w:lang w:val="pt-BR"/>
        </w:rPr>
      </w:pPr>
      <w:r w:rsidRPr="00CA2760">
        <w:rPr>
          <w:rFonts w:ascii="Times New Roman" w:hAnsi="Times New Roman" w:cs="Times New Roman"/>
          <w:color w:val="000000"/>
          <w:lang w:val="pt-BR"/>
        </w:rPr>
        <w:t>Fonte: Fomento Paraná:  Relatório Gerencial de Riscos, 2017.</w:t>
      </w:r>
    </w:p>
    <w:p w14:paraId="6CE95C83" w14:textId="5F2BBC86" w:rsidR="00F74ED8" w:rsidRPr="00CA2760" w:rsidRDefault="00F74ED8" w:rsidP="00F74ED8">
      <w:pPr>
        <w:spacing w:before="240" w:after="240" w:line="360" w:lineRule="auto"/>
        <w:ind w:right="68"/>
        <w:jc w:val="both"/>
        <w:rPr>
          <w:rFonts w:ascii="Times New Roman" w:eastAsia="Calibri" w:hAnsi="Times New Roman" w:cs="Times New Roman"/>
          <w:spacing w:val="-2"/>
          <w:sz w:val="24"/>
          <w:szCs w:val="24"/>
          <w:lang w:val="pt-BR"/>
        </w:rPr>
      </w:pPr>
      <w:r w:rsidRPr="00716232">
        <w:rPr>
          <w:rFonts w:ascii="Times New Roman" w:eastAsia="Calibri" w:hAnsi="Times New Roman" w:cs="Times New Roman"/>
          <w:spacing w:val="1"/>
          <w:sz w:val="24"/>
          <w:szCs w:val="24"/>
          <w:lang w:val="pt-BR"/>
        </w:rPr>
        <w:t>P</w:t>
      </w:r>
      <w:r w:rsidRPr="00716232">
        <w:rPr>
          <w:rFonts w:ascii="Times New Roman" w:eastAsia="Calibri" w:hAnsi="Times New Roman" w:cs="Times New Roman"/>
          <w:sz w:val="24"/>
          <w:szCs w:val="24"/>
          <w:lang w:val="pt-BR"/>
        </w:rPr>
        <w:t>ara</w:t>
      </w:r>
      <w:r w:rsidRPr="00716232">
        <w:rPr>
          <w:rFonts w:ascii="Times New Roman" w:eastAsia="Calibri" w:hAnsi="Times New Roman" w:cs="Times New Roman"/>
          <w:spacing w:val="2"/>
          <w:sz w:val="24"/>
          <w:szCs w:val="24"/>
          <w:lang w:val="pt-BR"/>
        </w:rPr>
        <w:t xml:space="preserve"> </w:t>
      </w:r>
      <w:r w:rsidRPr="00716232">
        <w:rPr>
          <w:rFonts w:ascii="Times New Roman" w:eastAsia="Calibri" w:hAnsi="Times New Roman" w:cs="Times New Roman"/>
          <w:sz w:val="24"/>
          <w:szCs w:val="24"/>
          <w:lang w:val="pt-BR"/>
        </w:rPr>
        <w:t>e</w:t>
      </w:r>
      <w:r w:rsidRPr="00716232">
        <w:rPr>
          <w:rFonts w:ascii="Times New Roman" w:eastAsia="Calibri" w:hAnsi="Times New Roman" w:cs="Times New Roman"/>
          <w:spacing w:val="-2"/>
          <w:sz w:val="24"/>
          <w:szCs w:val="24"/>
          <w:lang w:val="pt-BR"/>
        </w:rPr>
        <w:t>f</w:t>
      </w:r>
      <w:r w:rsidRPr="00716232">
        <w:rPr>
          <w:rFonts w:ascii="Times New Roman" w:eastAsia="Calibri" w:hAnsi="Times New Roman" w:cs="Times New Roman"/>
          <w:sz w:val="24"/>
          <w:szCs w:val="24"/>
          <w:lang w:val="pt-BR"/>
        </w:rPr>
        <w:t>eito</w:t>
      </w:r>
      <w:r w:rsidRPr="00716232">
        <w:rPr>
          <w:rFonts w:ascii="Times New Roman" w:eastAsia="Calibri" w:hAnsi="Times New Roman" w:cs="Times New Roman"/>
          <w:spacing w:val="4"/>
          <w:sz w:val="24"/>
          <w:szCs w:val="24"/>
          <w:lang w:val="pt-BR"/>
        </w:rPr>
        <w:t xml:space="preserve"> </w:t>
      </w:r>
      <w:r w:rsidRPr="00716232">
        <w:rPr>
          <w:rFonts w:ascii="Times New Roman" w:eastAsia="Calibri" w:hAnsi="Times New Roman" w:cs="Times New Roman"/>
          <w:sz w:val="24"/>
          <w:szCs w:val="24"/>
          <w:lang w:val="pt-BR"/>
        </w:rPr>
        <w:t>d</w:t>
      </w:r>
      <w:r>
        <w:rPr>
          <w:rFonts w:ascii="Times New Roman" w:eastAsia="Calibri" w:hAnsi="Times New Roman" w:cs="Times New Roman"/>
          <w:sz w:val="24"/>
          <w:szCs w:val="24"/>
          <w:lang w:val="pt-BR"/>
        </w:rPr>
        <w:t>a primeira prova</w:t>
      </w:r>
      <w:r w:rsidRPr="00716232">
        <w:rPr>
          <w:rFonts w:ascii="Times New Roman" w:eastAsia="Calibri" w:hAnsi="Times New Roman" w:cs="Times New Roman"/>
          <w:sz w:val="24"/>
          <w:szCs w:val="24"/>
          <w:lang w:val="pt-BR"/>
        </w:rPr>
        <w:t xml:space="preserve"> de estresse</w:t>
      </w:r>
      <w:r w:rsidRPr="00716232">
        <w:rPr>
          <w:rFonts w:ascii="Times New Roman" w:eastAsia="Calibri" w:hAnsi="Times New Roman" w:cs="Times New Roman"/>
          <w:spacing w:val="3"/>
          <w:sz w:val="24"/>
          <w:szCs w:val="24"/>
          <w:lang w:val="pt-BR"/>
        </w:rPr>
        <w:t xml:space="preserve"> </w:t>
      </w:r>
      <w:r w:rsidRPr="00716232">
        <w:rPr>
          <w:rFonts w:ascii="Times New Roman" w:eastAsia="Calibri" w:hAnsi="Times New Roman" w:cs="Times New Roman"/>
          <w:spacing w:val="-1"/>
          <w:sz w:val="24"/>
          <w:szCs w:val="24"/>
          <w:lang w:val="pt-BR"/>
        </w:rPr>
        <w:t>d</w:t>
      </w:r>
      <w:r w:rsidRPr="00716232">
        <w:rPr>
          <w:rFonts w:ascii="Times New Roman" w:eastAsia="Calibri" w:hAnsi="Times New Roman" w:cs="Times New Roman"/>
          <w:sz w:val="24"/>
          <w:szCs w:val="24"/>
          <w:lang w:val="pt-BR"/>
        </w:rPr>
        <w:t>e</w:t>
      </w:r>
      <w:r w:rsidRPr="00716232">
        <w:rPr>
          <w:rFonts w:ascii="Times New Roman" w:eastAsia="Calibri" w:hAnsi="Times New Roman" w:cs="Times New Roman"/>
          <w:spacing w:val="3"/>
          <w:sz w:val="24"/>
          <w:szCs w:val="24"/>
          <w:lang w:val="pt-BR"/>
        </w:rPr>
        <w:t xml:space="preserve"> </w:t>
      </w:r>
      <w:r w:rsidRPr="00716232">
        <w:rPr>
          <w:rFonts w:ascii="Times New Roman" w:eastAsia="Calibri" w:hAnsi="Times New Roman" w:cs="Times New Roman"/>
          <w:sz w:val="24"/>
          <w:szCs w:val="24"/>
          <w:lang w:val="pt-BR"/>
        </w:rPr>
        <w:t>risco</w:t>
      </w:r>
      <w:r w:rsidRPr="00716232">
        <w:rPr>
          <w:rFonts w:ascii="Times New Roman" w:eastAsia="Calibri" w:hAnsi="Times New Roman" w:cs="Times New Roman"/>
          <w:spacing w:val="4"/>
          <w:sz w:val="24"/>
          <w:szCs w:val="24"/>
          <w:lang w:val="pt-BR"/>
        </w:rPr>
        <w:t xml:space="preserve"> </w:t>
      </w:r>
      <w:r w:rsidRPr="00AF6A1F">
        <w:rPr>
          <w:rFonts w:ascii="Times New Roman" w:eastAsia="Calibri" w:hAnsi="Times New Roman" w:cs="Times New Roman"/>
          <w:spacing w:val="-1"/>
          <w:sz w:val="24"/>
          <w:szCs w:val="24"/>
          <w:lang w:val="pt-BR"/>
        </w:rPr>
        <w:t>d</w:t>
      </w:r>
      <w:r w:rsidRPr="00AF6A1F">
        <w:rPr>
          <w:rFonts w:ascii="Times New Roman" w:eastAsia="Calibri" w:hAnsi="Times New Roman" w:cs="Times New Roman"/>
          <w:sz w:val="24"/>
          <w:szCs w:val="24"/>
          <w:lang w:val="pt-BR"/>
        </w:rPr>
        <w:t>e</w:t>
      </w:r>
      <w:r w:rsidRPr="00AF6A1F">
        <w:rPr>
          <w:rFonts w:ascii="Times New Roman" w:eastAsia="Calibri" w:hAnsi="Times New Roman" w:cs="Times New Roman"/>
          <w:spacing w:val="1"/>
          <w:sz w:val="24"/>
          <w:szCs w:val="24"/>
          <w:lang w:val="pt-BR"/>
        </w:rPr>
        <w:t xml:space="preserve"> </w:t>
      </w:r>
      <w:r w:rsidRPr="00AF6A1F">
        <w:rPr>
          <w:rFonts w:ascii="Times New Roman" w:eastAsia="Calibri" w:hAnsi="Times New Roman" w:cs="Times New Roman"/>
          <w:sz w:val="24"/>
          <w:szCs w:val="24"/>
          <w:lang w:val="pt-BR"/>
        </w:rPr>
        <w:t>crédi</w:t>
      </w:r>
      <w:r w:rsidRPr="00AF6A1F">
        <w:rPr>
          <w:rFonts w:ascii="Times New Roman" w:eastAsia="Calibri" w:hAnsi="Times New Roman" w:cs="Times New Roman"/>
          <w:spacing w:val="-2"/>
          <w:sz w:val="24"/>
          <w:szCs w:val="24"/>
          <w:lang w:val="pt-BR"/>
        </w:rPr>
        <w:t>t</w:t>
      </w:r>
      <w:r w:rsidRPr="00AF6A1F">
        <w:rPr>
          <w:rFonts w:ascii="Times New Roman" w:eastAsia="Calibri" w:hAnsi="Times New Roman" w:cs="Times New Roman"/>
          <w:spacing w:val="1"/>
          <w:sz w:val="24"/>
          <w:szCs w:val="24"/>
          <w:lang w:val="pt-BR"/>
        </w:rPr>
        <w:t>o</w:t>
      </w:r>
      <w:r w:rsidRPr="00AF6A1F">
        <w:rPr>
          <w:rFonts w:ascii="Times New Roman" w:eastAsia="Calibri" w:hAnsi="Times New Roman" w:cs="Times New Roman"/>
          <w:sz w:val="24"/>
          <w:szCs w:val="24"/>
          <w:lang w:val="pt-BR"/>
        </w:rPr>
        <w:t>,</w:t>
      </w:r>
      <w:r w:rsidRPr="00AF6A1F">
        <w:rPr>
          <w:rFonts w:ascii="Times New Roman" w:eastAsia="Calibri" w:hAnsi="Times New Roman" w:cs="Times New Roman"/>
          <w:spacing w:val="3"/>
          <w:sz w:val="24"/>
          <w:szCs w:val="24"/>
          <w:lang w:val="pt-BR"/>
        </w:rPr>
        <w:t xml:space="preserve"> </w:t>
      </w:r>
      <w:r w:rsidRPr="00AF6A1F">
        <w:rPr>
          <w:rFonts w:ascii="Times New Roman" w:eastAsia="Calibri" w:hAnsi="Times New Roman" w:cs="Times New Roman"/>
          <w:spacing w:val="-2"/>
          <w:sz w:val="24"/>
          <w:szCs w:val="24"/>
          <w:lang w:val="pt-BR"/>
        </w:rPr>
        <w:t>t</w:t>
      </w:r>
      <w:r w:rsidRPr="00AF6A1F">
        <w:rPr>
          <w:rFonts w:ascii="Times New Roman" w:eastAsia="Calibri" w:hAnsi="Times New Roman" w:cs="Times New Roman"/>
          <w:spacing w:val="1"/>
          <w:sz w:val="24"/>
          <w:szCs w:val="24"/>
          <w:lang w:val="pt-BR"/>
        </w:rPr>
        <w:t>o</w:t>
      </w:r>
      <w:r w:rsidRPr="00AF6A1F">
        <w:rPr>
          <w:rFonts w:ascii="Times New Roman" w:eastAsia="Calibri" w:hAnsi="Times New Roman" w:cs="Times New Roman"/>
          <w:spacing w:val="-1"/>
          <w:sz w:val="24"/>
          <w:szCs w:val="24"/>
          <w:lang w:val="pt-BR"/>
        </w:rPr>
        <w:t>d</w:t>
      </w:r>
      <w:r w:rsidRPr="00AF6A1F">
        <w:rPr>
          <w:rFonts w:ascii="Times New Roman" w:eastAsia="Calibri" w:hAnsi="Times New Roman" w:cs="Times New Roman"/>
          <w:spacing w:val="1"/>
          <w:sz w:val="24"/>
          <w:szCs w:val="24"/>
          <w:lang w:val="pt-BR"/>
        </w:rPr>
        <w:t>o</w:t>
      </w:r>
      <w:r w:rsidRPr="00AF6A1F">
        <w:rPr>
          <w:rFonts w:ascii="Times New Roman" w:eastAsia="Calibri" w:hAnsi="Times New Roman" w:cs="Times New Roman"/>
          <w:sz w:val="24"/>
          <w:szCs w:val="24"/>
          <w:lang w:val="pt-BR"/>
        </w:rPr>
        <w:t xml:space="preserve">s </w:t>
      </w:r>
      <w:r w:rsidRPr="00AF6A1F">
        <w:rPr>
          <w:rFonts w:ascii="Times New Roman" w:eastAsia="Calibri" w:hAnsi="Times New Roman" w:cs="Times New Roman"/>
          <w:spacing w:val="1"/>
          <w:sz w:val="24"/>
          <w:szCs w:val="24"/>
          <w:lang w:val="pt-BR"/>
        </w:rPr>
        <w:t>o</w:t>
      </w:r>
      <w:r w:rsidRPr="00AF6A1F">
        <w:rPr>
          <w:rFonts w:ascii="Times New Roman" w:eastAsia="Calibri" w:hAnsi="Times New Roman" w:cs="Times New Roman"/>
          <w:sz w:val="24"/>
          <w:szCs w:val="24"/>
          <w:lang w:val="pt-BR"/>
        </w:rPr>
        <w:t>s</w:t>
      </w:r>
      <w:r w:rsidRPr="00AF6A1F">
        <w:rPr>
          <w:rFonts w:ascii="Times New Roman" w:eastAsia="Calibri" w:hAnsi="Times New Roman" w:cs="Times New Roman"/>
          <w:spacing w:val="3"/>
          <w:sz w:val="24"/>
          <w:szCs w:val="24"/>
          <w:lang w:val="pt-BR"/>
        </w:rPr>
        <w:t xml:space="preserve"> </w:t>
      </w:r>
      <w:r w:rsidRPr="00AF6A1F">
        <w:rPr>
          <w:rFonts w:ascii="Times New Roman" w:eastAsia="Calibri" w:hAnsi="Times New Roman" w:cs="Times New Roman"/>
          <w:sz w:val="24"/>
          <w:szCs w:val="24"/>
          <w:lang w:val="pt-BR"/>
        </w:rPr>
        <w:t>clie</w:t>
      </w:r>
      <w:r w:rsidRPr="00AF6A1F">
        <w:rPr>
          <w:rFonts w:ascii="Times New Roman" w:eastAsia="Calibri" w:hAnsi="Times New Roman" w:cs="Times New Roman"/>
          <w:spacing w:val="-1"/>
          <w:sz w:val="24"/>
          <w:szCs w:val="24"/>
          <w:lang w:val="pt-BR"/>
        </w:rPr>
        <w:t>n</w:t>
      </w:r>
      <w:r w:rsidRPr="00AF6A1F">
        <w:rPr>
          <w:rFonts w:ascii="Times New Roman" w:eastAsia="Calibri" w:hAnsi="Times New Roman" w:cs="Times New Roman"/>
          <w:spacing w:val="-2"/>
          <w:sz w:val="24"/>
          <w:szCs w:val="24"/>
          <w:lang w:val="pt-BR"/>
        </w:rPr>
        <w:t>t</w:t>
      </w:r>
      <w:r w:rsidRPr="00AF6A1F">
        <w:rPr>
          <w:rFonts w:ascii="Times New Roman" w:eastAsia="Calibri" w:hAnsi="Times New Roman" w:cs="Times New Roman"/>
          <w:sz w:val="24"/>
          <w:szCs w:val="24"/>
          <w:lang w:val="pt-BR"/>
        </w:rPr>
        <w:t>es</w:t>
      </w:r>
      <w:r w:rsidRPr="00AF6A1F">
        <w:rPr>
          <w:rFonts w:ascii="Times New Roman" w:eastAsia="Calibri" w:hAnsi="Times New Roman" w:cs="Times New Roman"/>
          <w:spacing w:val="3"/>
          <w:sz w:val="24"/>
          <w:szCs w:val="24"/>
          <w:lang w:val="pt-BR"/>
        </w:rPr>
        <w:t xml:space="preserve"> </w:t>
      </w:r>
      <w:r w:rsidRPr="00AF6A1F">
        <w:rPr>
          <w:rFonts w:ascii="Times New Roman" w:eastAsia="Calibri" w:hAnsi="Times New Roman" w:cs="Times New Roman"/>
          <w:spacing w:val="-1"/>
          <w:sz w:val="24"/>
          <w:szCs w:val="24"/>
          <w:lang w:val="pt-BR"/>
        </w:rPr>
        <w:t>d</w:t>
      </w:r>
      <w:r w:rsidRPr="00AF6A1F">
        <w:rPr>
          <w:rFonts w:ascii="Times New Roman" w:eastAsia="Calibri" w:hAnsi="Times New Roman" w:cs="Times New Roman"/>
          <w:sz w:val="24"/>
          <w:szCs w:val="24"/>
          <w:lang w:val="pt-BR"/>
        </w:rPr>
        <w:t>o</w:t>
      </w:r>
      <w:r w:rsidRPr="00AF6A1F">
        <w:rPr>
          <w:rFonts w:ascii="Times New Roman" w:eastAsia="Calibri" w:hAnsi="Times New Roman" w:cs="Times New Roman"/>
          <w:spacing w:val="4"/>
          <w:sz w:val="24"/>
          <w:szCs w:val="24"/>
          <w:lang w:val="pt-BR"/>
        </w:rPr>
        <w:t xml:space="preserve"> </w:t>
      </w:r>
      <w:r w:rsidRPr="00AF6A1F">
        <w:rPr>
          <w:rFonts w:ascii="Times New Roman" w:eastAsia="Calibri" w:hAnsi="Times New Roman" w:cs="Times New Roman"/>
          <w:sz w:val="24"/>
          <w:szCs w:val="24"/>
          <w:lang w:val="pt-BR"/>
        </w:rPr>
        <w:t>s</w:t>
      </w:r>
      <w:r w:rsidRPr="00AF6A1F">
        <w:rPr>
          <w:rFonts w:ascii="Times New Roman" w:eastAsia="Calibri" w:hAnsi="Times New Roman" w:cs="Times New Roman"/>
          <w:spacing w:val="-2"/>
          <w:sz w:val="24"/>
          <w:szCs w:val="24"/>
          <w:lang w:val="pt-BR"/>
        </w:rPr>
        <w:t>e</w:t>
      </w:r>
      <w:r w:rsidRPr="00AF6A1F">
        <w:rPr>
          <w:rFonts w:ascii="Times New Roman" w:eastAsia="Calibri" w:hAnsi="Times New Roman" w:cs="Times New Roman"/>
          <w:sz w:val="24"/>
          <w:szCs w:val="24"/>
          <w:lang w:val="pt-BR"/>
        </w:rPr>
        <w:t>t</w:t>
      </w:r>
      <w:r w:rsidRPr="00AF6A1F">
        <w:rPr>
          <w:rFonts w:ascii="Times New Roman" w:eastAsia="Calibri" w:hAnsi="Times New Roman" w:cs="Times New Roman"/>
          <w:spacing w:val="1"/>
          <w:sz w:val="24"/>
          <w:szCs w:val="24"/>
          <w:lang w:val="pt-BR"/>
        </w:rPr>
        <w:t>o</w:t>
      </w:r>
      <w:r w:rsidRPr="00AF6A1F">
        <w:rPr>
          <w:rFonts w:ascii="Times New Roman" w:eastAsia="Calibri" w:hAnsi="Times New Roman" w:cs="Times New Roman"/>
          <w:sz w:val="24"/>
          <w:szCs w:val="24"/>
          <w:lang w:val="pt-BR"/>
        </w:rPr>
        <w:t xml:space="preserve">r </w:t>
      </w:r>
      <w:r w:rsidRPr="00AF6A1F">
        <w:rPr>
          <w:rFonts w:ascii="Times New Roman" w:eastAsia="Calibri" w:hAnsi="Times New Roman" w:cs="Times New Roman"/>
          <w:spacing w:val="1"/>
          <w:sz w:val="24"/>
          <w:szCs w:val="24"/>
          <w:lang w:val="pt-BR"/>
        </w:rPr>
        <w:t>p</w:t>
      </w:r>
      <w:r w:rsidRPr="00AF6A1F">
        <w:rPr>
          <w:rFonts w:ascii="Times New Roman" w:eastAsia="Calibri" w:hAnsi="Times New Roman" w:cs="Times New Roman"/>
          <w:spacing w:val="-3"/>
          <w:sz w:val="24"/>
          <w:szCs w:val="24"/>
          <w:lang w:val="pt-BR"/>
        </w:rPr>
        <w:t>ú</w:t>
      </w:r>
      <w:r w:rsidRPr="00AF6A1F">
        <w:rPr>
          <w:rFonts w:ascii="Times New Roman" w:eastAsia="Calibri" w:hAnsi="Times New Roman" w:cs="Times New Roman"/>
          <w:spacing w:val="-1"/>
          <w:sz w:val="24"/>
          <w:szCs w:val="24"/>
          <w:lang w:val="pt-BR"/>
        </w:rPr>
        <w:t>b</w:t>
      </w:r>
      <w:r w:rsidRPr="00AF6A1F">
        <w:rPr>
          <w:rFonts w:ascii="Times New Roman" w:eastAsia="Calibri" w:hAnsi="Times New Roman" w:cs="Times New Roman"/>
          <w:sz w:val="24"/>
          <w:szCs w:val="24"/>
          <w:lang w:val="pt-BR"/>
        </w:rPr>
        <w:t>lico</w:t>
      </w:r>
      <w:r w:rsidRPr="00AF6A1F">
        <w:rPr>
          <w:rFonts w:ascii="Times New Roman" w:eastAsia="Calibri" w:hAnsi="Times New Roman" w:cs="Times New Roman"/>
          <w:spacing w:val="4"/>
          <w:sz w:val="24"/>
          <w:szCs w:val="24"/>
          <w:lang w:val="pt-BR"/>
        </w:rPr>
        <w:t xml:space="preserve"> </w:t>
      </w:r>
      <w:r w:rsidRPr="00AF6A1F">
        <w:rPr>
          <w:rFonts w:ascii="Times New Roman" w:eastAsia="Calibri" w:hAnsi="Times New Roman" w:cs="Times New Roman"/>
          <w:sz w:val="24"/>
          <w:szCs w:val="24"/>
          <w:lang w:val="pt-BR"/>
        </w:rPr>
        <w:t>e</w:t>
      </w:r>
      <w:r w:rsidRPr="00AF6A1F">
        <w:rPr>
          <w:rFonts w:ascii="Times New Roman" w:eastAsia="Calibri" w:hAnsi="Times New Roman" w:cs="Times New Roman"/>
          <w:spacing w:val="3"/>
          <w:sz w:val="24"/>
          <w:szCs w:val="24"/>
          <w:lang w:val="pt-BR"/>
        </w:rPr>
        <w:t xml:space="preserve"> </w:t>
      </w:r>
      <w:r w:rsidRPr="00AF6A1F">
        <w:rPr>
          <w:rFonts w:ascii="Times New Roman" w:eastAsia="Calibri" w:hAnsi="Times New Roman" w:cs="Times New Roman"/>
          <w:spacing w:val="1"/>
          <w:sz w:val="24"/>
          <w:szCs w:val="24"/>
          <w:lang w:val="pt-BR"/>
        </w:rPr>
        <w:t>p</w:t>
      </w:r>
      <w:r w:rsidRPr="00AF6A1F">
        <w:rPr>
          <w:rFonts w:ascii="Times New Roman" w:eastAsia="Calibri" w:hAnsi="Times New Roman" w:cs="Times New Roman"/>
          <w:sz w:val="24"/>
          <w:szCs w:val="24"/>
          <w:lang w:val="pt-BR"/>
        </w:rPr>
        <w:t>r</w:t>
      </w:r>
      <w:r w:rsidRPr="00AF6A1F">
        <w:rPr>
          <w:rFonts w:ascii="Times New Roman" w:eastAsia="Calibri" w:hAnsi="Times New Roman" w:cs="Times New Roman"/>
          <w:spacing w:val="-3"/>
          <w:sz w:val="24"/>
          <w:szCs w:val="24"/>
          <w:lang w:val="pt-BR"/>
        </w:rPr>
        <w:t>i</w:t>
      </w:r>
      <w:r w:rsidRPr="00AF6A1F">
        <w:rPr>
          <w:rFonts w:ascii="Times New Roman" w:eastAsia="Calibri" w:hAnsi="Times New Roman" w:cs="Times New Roman"/>
          <w:spacing w:val="1"/>
          <w:sz w:val="24"/>
          <w:szCs w:val="24"/>
          <w:lang w:val="pt-BR"/>
        </w:rPr>
        <w:t>v</w:t>
      </w:r>
      <w:r w:rsidRPr="00AF6A1F">
        <w:rPr>
          <w:rFonts w:ascii="Times New Roman" w:eastAsia="Calibri" w:hAnsi="Times New Roman" w:cs="Times New Roman"/>
          <w:sz w:val="24"/>
          <w:szCs w:val="24"/>
          <w:lang w:val="pt-BR"/>
        </w:rPr>
        <w:t>a</w:t>
      </w:r>
      <w:r w:rsidRPr="00AF6A1F">
        <w:rPr>
          <w:rFonts w:ascii="Times New Roman" w:eastAsia="Calibri" w:hAnsi="Times New Roman" w:cs="Times New Roman"/>
          <w:spacing w:val="-3"/>
          <w:sz w:val="24"/>
          <w:szCs w:val="24"/>
          <w:lang w:val="pt-BR"/>
        </w:rPr>
        <w:t>d</w:t>
      </w:r>
      <w:r w:rsidRPr="00AF6A1F">
        <w:rPr>
          <w:rFonts w:ascii="Times New Roman" w:eastAsia="Calibri" w:hAnsi="Times New Roman" w:cs="Times New Roman"/>
          <w:sz w:val="24"/>
          <w:szCs w:val="24"/>
          <w:lang w:val="pt-BR"/>
        </w:rPr>
        <w:t>o</w:t>
      </w:r>
      <w:r w:rsidRPr="00AF6A1F">
        <w:rPr>
          <w:rFonts w:ascii="Times New Roman" w:eastAsia="Calibri" w:hAnsi="Times New Roman" w:cs="Times New Roman"/>
          <w:spacing w:val="4"/>
          <w:sz w:val="24"/>
          <w:szCs w:val="24"/>
          <w:lang w:val="pt-BR"/>
        </w:rPr>
        <w:t xml:space="preserve"> </w:t>
      </w:r>
      <w:r w:rsidRPr="00AF6A1F">
        <w:rPr>
          <w:rFonts w:ascii="Times New Roman" w:eastAsia="Calibri" w:hAnsi="Times New Roman" w:cs="Times New Roman"/>
          <w:sz w:val="24"/>
          <w:szCs w:val="24"/>
          <w:lang w:val="pt-BR"/>
        </w:rPr>
        <w:t>t</w:t>
      </w:r>
      <w:r w:rsidRPr="00AF6A1F">
        <w:rPr>
          <w:rFonts w:ascii="Times New Roman" w:eastAsia="Calibri" w:hAnsi="Times New Roman" w:cs="Times New Roman"/>
          <w:spacing w:val="-1"/>
          <w:sz w:val="24"/>
          <w:szCs w:val="24"/>
          <w:lang w:val="pt-BR"/>
        </w:rPr>
        <w:t>ê</w:t>
      </w:r>
      <w:r w:rsidRPr="00AF6A1F">
        <w:rPr>
          <w:rFonts w:ascii="Times New Roman" w:eastAsia="Calibri" w:hAnsi="Times New Roman" w:cs="Times New Roman"/>
          <w:sz w:val="24"/>
          <w:szCs w:val="24"/>
          <w:lang w:val="pt-BR"/>
        </w:rPr>
        <w:t>m</w:t>
      </w:r>
      <w:r w:rsidRPr="00AF6A1F">
        <w:rPr>
          <w:rFonts w:ascii="Times New Roman" w:eastAsia="Calibri" w:hAnsi="Times New Roman" w:cs="Times New Roman"/>
          <w:spacing w:val="4"/>
          <w:sz w:val="24"/>
          <w:szCs w:val="24"/>
          <w:lang w:val="pt-BR"/>
        </w:rPr>
        <w:t xml:space="preserve"> </w:t>
      </w:r>
      <w:r w:rsidRPr="00AF6A1F">
        <w:rPr>
          <w:rFonts w:ascii="Times New Roman" w:eastAsia="Calibri" w:hAnsi="Times New Roman" w:cs="Times New Roman"/>
          <w:sz w:val="24"/>
          <w:szCs w:val="24"/>
          <w:lang w:val="pt-BR"/>
        </w:rPr>
        <w:t>su</w:t>
      </w:r>
      <w:r w:rsidRPr="00AF6A1F">
        <w:rPr>
          <w:rFonts w:ascii="Times New Roman" w:eastAsia="Calibri" w:hAnsi="Times New Roman" w:cs="Times New Roman"/>
          <w:spacing w:val="-3"/>
          <w:sz w:val="24"/>
          <w:szCs w:val="24"/>
          <w:lang w:val="pt-BR"/>
        </w:rPr>
        <w:t>a</w:t>
      </w:r>
      <w:r w:rsidRPr="00AF6A1F">
        <w:rPr>
          <w:rFonts w:ascii="Times New Roman" w:eastAsia="Calibri" w:hAnsi="Times New Roman" w:cs="Times New Roman"/>
          <w:sz w:val="24"/>
          <w:szCs w:val="24"/>
          <w:lang w:val="pt-BR"/>
        </w:rPr>
        <w:t>s classifica</w:t>
      </w:r>
      <w:r w:rsidRPr="00AF6A1F">
        <w:rPr>
          <w:rFonts w:ascii="Times New Roman" w:eastAsia="Calibri" w:hAnsi="Times New Roman" w:cs="Times New Roman"/>
          <w:spacing w:val="-2"/>
          <w:sz w:val="24"/>
          <w:szCs w:val="24"/>
          <w:lang w:val="pt-BR"/>
        </w:rPr>
        <w:t>ç</w:t>
      </w:r>
      <w:r w:rsidRPr="00AF6A1F">
        <w:rPr>
          <w:rFonts w:ascii="Times New Roman" w:eastAsia="Calibri" w:hAnsi="Times New Roman" w:cs="Times New Roman"/>
          <w:spacing w:val="1"/>
          <w:sz w:val="24"/>
          <w:szCs w:val="24"/>
          <w:lang w:val="pt-BR"/>
        </w:rPr>
        <w:t>õ</w:t>
      </w:r>
      <w:r w:rsidRPr="00AF6A1F">
        <w:rPr>
          <w:rFonts w:ascii="Times New Roman" w:eastAsia="Calibri" w:hAnsi="Times New Roman" w:cs="Times New Roman"/>
          <w:sz w:val="24"/>
          <w:szCs w:val="24"/>
          <w:lang w:val="pt-BR"/>
        </w:rPr>
        <w:t>es</w:t>
      </w:r>
      <w:r w:rsidRPr="00AF6A1F">
        <w:rPr>
          <w:rFonts w:ascii="Times New Roman" w:eastAsia="Calibri" w:hAnsi="Times New Roman" w:cs="Times New Roman"/>
          <w:spacing w:val="1"/>
          <w:sz w:val="24"/>
          <w:szCs w:val="24"/>
          <w:lang w:val="pt-BR"/>
        </w:rPr>
        <w:t xml:space="preserve"> </w:t>
      </w:r>
      <w:r w:rsidRPr="00AF6A1F">
        <w:rPr>
          <w:rFonts w:ascii="Times New Roman" w:eastAsia="Calibri" w:hAnsi="Times New Roman" w:cs="Times New Roman"/>
          <w:spacing w:val="-1"/>
          <w:sz w:val="24"/>
          <w:szCs w:val="24"/>
          <w:lang w:val="pt-BR"/>
        </w:rPr>
        <w:t>d</w:t>
      </w:r>
      <w:r w:rsidRPr="00AF6A1F">
        <w:rPr>
          <w:rFonts w:ascii="Times New Roman" w:eastAsia="Calibri" w:hAnsi="Times New Roman" w:cs="Times New Roman"/>
          <w:sz w:val="24"/>
          <w:szCs w:val="24"/>
          <w:lang w:val="pt-BR"/>
        </w:rPr>
        <w:t>e</w:t>
      </w:r>
      <w:r w:rsidRPr="00AF6A1F">
        <w:rPr>
          <w:rFonts w:ascii="Times New Roman" w:eastAsia="Calibri" w:hAnsi="Times New Roman" w:cs="Times New Roman"/>
          <w:spacing w:val="4"/>
          <w:sz w:val="24"/>
          <w:szCs w:val="24"/>
          <w:lang w:val="pt-BR"/>
        </w:rPr>
        <w:t xml:space="preserve"> </w:t>
      </w:r>
      <w:r w:rsidRPr="00AF6A1F">
        <w:rPr>
          <w:rFonts w:ascii="Times New Roman" w:eastAsia="Calibri" w:hAnsi="Times New Roman" w:cs="Times New Roman"/>
          <w:sz w:val="24"/>
          <w:szCs w:val="24"/>
          <w:lang w:val="pt-BR"/>
        </w:rPr>
        <w:t>ri</w:t>
      </w:r>
      <w:r w:rsidRPr="00AF6A1F">
        <w:rPr>
          <w:rFonts w:ascii="Times New Roman" w:eastAsia="Calibri" w:hAnsi="Times New Roman" w:cs="Times New Roman"/>
          <w:spacing w:val="-3"/>
          <w:sz w:val="24"/>
          <w:szCs w:val="24"/>
          <w:lang w:val="pt-BR"/>
        </w:rPr>
        <w:t>s</w:t>
      </w:r>
      <w:r w:rsidRPr="00AF6A1F">
        <w:rPr>
          <w:rFonts w:ascii="Times New Roman" w:eastAsia="Calibri" w:hAnsi="Times New Roman" w:cs="Times New Roman"/>
          <w:sz w:val="24"/>
          <w:szCs w:val="24"/>
          <w:lang w:val="pt-BR"/>
        </w:rPr>
        <w:t>co</w:t>
      </w:r>
      <w:r w:rsidRPr="00AF6A1F">
        <w:rPr>
          <w:rFonts w:ascii="Times New Roman" w:eastAsia="Calibri" w:hAnsi="Times New Roman" w:cs="Times New Roman"/>
          <w:spacing w:val="2"/>
          <w:sz w:val="24"/>
          <w:szCs w:val="24"/>
          <w:lang w:val="pt-BR"/>
        </w:rPr>
        <w:t xml:space="preserve"> </w:t>
      </w:r>
      <w:r w:rsidRPr="00AF6A1F">
        <w:rPr>
          <w:rFonts w:ascii="Times New Roman" w:eastAsia="Calibri" w:hAnsi="Times New Roman" w:cs="Times New Roman"/>
          <w:sz w:val="24"/>
          <w:szCs w:val="24"/>
          <w:lang w:val="pt-BR"/>
        </w:rPr>
        <w:t>reb</w:t>
      </w:r>
      <w:r w:rsidRPr="00AF6A1F">
        <w:rPr>
          <w:rFonts w:ascii="Times New Roman" w:eastAsia="Calibri" w:hAnsi="Times New Roman" w:cs="Times New Roman"/>
          <w:spacing w:val="-3"/>
          <w:sz w:val="24"/>
          <w:szCs w:val="24"/>
          <w:lang w:val="pt-BR"/>
        </w:rPr>
        <w:t>a</w:t>
      </w:r>
      <w:r w:rsidRPr="00AF6A1F">
        <w:rPr>
          <w:rFonts w:ascii="Times New Roman" w:eastAsia="Calibri" w:hAnsi="Times New Roman" w:cs="Times New Roman"/>
          <w:sz w:val="24"/>
          <w:szCs w:val="24"/>
          <w:lang w:val="pt-BR"/>
        </w:rPr>
        <w:t>ixa</w:t>
      </w:r>
      <w:r w:rsidRPr="00AF6A1F">
        <w:rPr>
          <w:rFonts w:ascii="Times New Roman" w:eastAsia="Calibri" w:hAnsi="Times New Roman" w:cs="Times New Roman"/>
          <w:spacing w:val="-1"/>
          <w:sz w:val="24"/>
          <w:szCs w:val="24"/>
          <w:lang w:val="pt-BR"/>
        </w:rPr>
        <w:t>d</w:t>
      </w:r>
      <w:r w:rsidRPr="00AF6A1F">
        <w:rPr>
          <w:rFonts w:ascii="Times New Roman" w:eastAsia="Calibri" w:hAnsi="Times New Roman" w:cs="Times New Roman"/>
          <w:sz w:val="24"/>
          <w:szCs w:val="24"/>
          <w:lang w:val="pt-BR"/>
        </w:rPr>
        <w:t>as</w:t>
      </w:r>
      <w:r w:rsidRPr="00AF6A1F">
        <w:rPr>
          <w:rFonts w:ascii="Times New Roman" w:eastAsia="Calibri" w:hAnsi="Times New Roman" w:cs="Times New Roman"/>
          <w:spacing w:val="3"/>
          <w:sz w:val="24"/>
          <w:szCs w:val="24"/>
          <w:lang w:val="pt-BR"/>
        </w:rPr>
        <w:t xml:space="preserve"> </w:t>
      </w:r>
      <w:r w:rsidRPr="00AF6A1F">
        <w:rPr>
          <w:rFonts w:ascii="Times New Roman" w:eastAsia="Calibri" w:hAnsi="Times New Roman" w:cs="Times New Roman"/>
          <w:spacing w:val="-2"/>
          <w:sz w:val="24"/>
          <w:szCs w:val="24"/>
          <w:lang w:val="pt-BR"/>
        </w:rPr>
        <w:t>e</w:t>
      </w:r>
      <w:r w:rsidRPr="00AF6A1F">
        <w:rPr>
          <w:rFonts w:ascii="Times New Roman" w:eastAsia="Calibri" w:hAnsi="Times New Roman" w:cs="Times New Roman"/>
          <w:sz w:val="24"/>
          <w:szCs w:val="24"/>
          <w:lang w:val="pt-BR"/>
        </w:rPr>
        <w:t>m</w:t>
      </w:r>
      <w:r w:rsidRPr="00AF6A1F">
        <w:rPr>
          <w:rFonts w:ascii="Times New Roman" w:eastAsia="Calibri" w:hAnsi="Times New Roman" w:cs="Times New Roman"/>
          <w:spacing w:val="4"/>
          <w:sz w:val="24"/>
          <w:szCs w:val="24"/>
          <w:lang w:val="pt-BR"/>
        </w:rPr>
        <w:t xml:space="preserve"> </w:t>
      </w:r>
      <w:r w:rsidRPr="00AF6A1F">
        <w:rPr>
          <w:rFonts w:ascii="Times New Roman" w:eastAsia="Calibri" w:hAnsi="Times New Roman" w:cs="Times New Roman"/>
          <w:spacing w:val="-3"/>
          <w:sz w:val="24"/>
          <w:szCs w:val="24"/>
          <w:lang w:val="pt-BR"/>
        </w:rPr>
        <w:t>d</w:t>
      </w:r>
      <w:r w:rsidRPr="00AF6A1F">
        <w:rPr>
          <w:rFonts w:ascii="Times New Roman" w:eastAsia="Calibri" w:hAnsi="Times New Roman" w:cs="Times New Roman"/>
          <w:spacing w:val="1"/>
          <w:sz w:val="24"/>
          <w:szCs w:val="24"/>
          <w:lang w:val="pt-BR"/>
        </w:rPr>
        <w:t>o</w:t>
      </w:r>
      <w:r w:rsidRPr="00AF6A1F">
        <w:rPr>
          <w:rFonts w:ascii="Times New Roman" w:eastAsia="Calibri" w:hAnsi="Times New Roman" w:cs="Times New Roman"/>
          <w:sz w:val="24"/>
          <w:szCs w:val="24"/>
          <w:lang w:val="pt-BR"/>
        </w:rPr>
        <w:t>is</w:t>
      </w:r>
      <w:r w:rsidRPr="00AF6A1F">
        <w:rPr>
          <w:rFonts w:ascii="Times New Roman" w:eastAsia="Calibri" w:hAnsi="Times New Roman" w:cs="Times New Roman"/>
          <w:spacing w:val="3"/>
          <w:sz w:val="24"/>
          <w:szCs w:val="24"/>
          <w:lang w:val="pt-BR"/>
        </w:rPr>
        <w:t xml:space="preserve"> </w:t>
      </w:r>
      <w:r w:rsidRPr="00AF6A1F">
        <w:rPr>
          <w:rFonts w:ascii="Times New Roman" w:eastAsia="Calibri" w:hAnsi="Times New Roman" w:cs="Times New Roman"/>
          <w:spacing w:val="-2"/>
          <w:sz w:val="24"/>
          <w:szCs w:val="24"/>
          <w:lang w:val="pt-BR"/>
        </w:rPr>
        <w:t>níveis (</w:t>
      </w:r>
      <w:r>
        <w:rPr>
          <w:rFonts w:ascii="Times New Roman" w:eastAsia="Calibri" w:hAnsi="Times New Roman" w:cs="Times New Roman"/>
          <w:spacing w:val="-2"/>
          <w:sz w:val="24"/>
          <w:szCs w:val="24"/>
          <w:lang w:val="pt-BR"/>
        </w:rPr>
        <w:t xml:space="preserve">Prova de </w:t>
      </w:r>
      <w:r w:rsidRPr="00AF6A1F">
        <w:rPr>
          <w:rFonts w:ascii="Times New Roman" w:eastAsia="Calibri" w:hAnsi="Times New Roman" w:cs="Times New Roman"/>
          <w:spacing w:val="-2"/>
          <w:sz w:val="24"/>
          <w:szCs w:val="24"/>
          <w:lang w:val="pt-BR"/>
        </w:rPr>
        <w:t>estresse 1, na tabela</w:t>
      </w:r>
      <w:r>
        <w:rPr>
          <w:rFonts w:ascii="Times New Roman" w:eastAsia="Calibri" w:hAnsi="Times New Roman" w:cs="Times New Roman"/>
          <w:spacing w:val="-2"/>
          <w:sz w:val="24"/>
          <w:szCs w:val="24"/>
          <w:lang w:val="pt-BR"/>
        </w:rPr>
        <w:t xml:space="preserve"> 7</w:t>
      </w:r>
      <w:r w:rsidRPr="00CA2760">
        <w:rPr>
          <w:rFonts w:ascii="Times New Roman" w:eastAsia="Calibri" w:hAnsi="Times New Roman" w:cs="Times New Roman"/>
          <w:spacing w:val="-2"/>
          <w:sz w:val="24"/>
          <w:szCs w:val="24"/>
          <w:lang w:val="pt-BR"/>
        </w:rPr>
        <w:t xml:space="preserve">) e aloca-se o novo valor de provisão com o nível rebaixado.  Ou seja, o nível de classificação B com provisão de 1,0% na coluna II se transforma em </w:t>
      </w:r>
      <w:r>
        <w:rPr>
          <w:rFonts w:ascii="Times New Roman" w:eastAsia="Calibri" w:hAnsi="Times New Roman" w:cs="Times New Roman"/>
          <w:spacing w:val="-2"/>
          <w:sz w:val="24"/>
          <w:szCs w:val="24"/>
          <w:lang w:val="pt-BR"/>
        </w:rPr>
        <w:t xml:space="preserve">classificação </w:t>
      </w:r>
      <w:r w:rsidRPr="00CA2760">
        <w:rPr>
          <w:rFonts w:ascii="Times New Roman" w:eastAsia="Calibri" w:hAnsi="Times New Roman" w:cs="Times New Roman"/>
          <w:spacing w:val="-2"/>
          <w:sz w:val="24"/>
          <w:szCs w:val="24"/>
          <w:lang w:val="pt-BR"/>
        </w:rPr>
        <w:t xml:space="preserve">D com provisão de 10,0% na coluna V, e assim por diante.  Com </w:t>
      </w:r>
      <w:r>
        <w:rPr>
          <w:rFonts w:ascii="Times New Roman" w:eastAsia="Calibri" w:hAnsi="Times New Roman" w:cs="Times New Roman"/>
          <w:spacing w:val="-2"/>
          <w:sz w:val="24"/>
          <w:szCs w:val="24"/>
          <w:lang w:val="pt-BR"/>
        </w:rPr>
        <w:t xml:space="preserve">a prova </w:t>
      </w:r>
      <w:r w:rsidRPr="00CA2760">
        <w:rPr>
          <w:rFonts w:ascii="Times New Roman" w:eastAsia="Calibri" w:hAnsi="Times New Roman" w:cs="Times New Roman"/>
          <w:spacing w:val="-2"/>
          <w:sz w:val="24"/>
          <w:szCs w:val="24"/>
          <w:lang w:val="pt-BR"/>
        </w:rPr>
        <w:t xml:space="preserve">de estresse 1, o índice provisionado da carteira sobe para 7,2% (R$84,7 milhões).  </w:t>
      </w:r>
    </w:p>
    <w:p w14:paraId="7457DABE" w14:textId="3DDB5F69" w:rsidR="00763A49" w:rsidRPr="00CA2760" w:rsidRDefault="00763A49" w:rsidP="00763A49">
      <w:pPr>
        <w:shd w:val="clear" w:color="auto" w:fill="FFFFFF"/>
        <w:spacing w:before="240" w:line="360" w:lineRule="auto"/>
        <w:rPr>
          <w:rFonts w:ascii="Times New Roman" w:eastAsia="Times New Roman" w:hAnsi="Times New Roman" w:cs="Times New Roman"/>
          <w:sz w:val="24"/>
          <w:szCs w:val="24"/>
          <w:lang w:val="pt-BR" w:eastAsia="pt-BR"/>
        </w:rPr>
      </w:pPr>
      <w:r w:rsidRPr="00740E4F">
        <w:rPr>
          <w:rFonts w:ascii="Times New Roman" w:eastAsia="Times New Roman" w:hAnsi="Times New Roman" w:cs="Times New Roman"/>
          <w:sz w:val="24"/>
          <w:szCs w:val="24"/>
          <w:lang w:val="pt-BR" w:eastAsia="pt-BR"/>
        </w:rPr>
        <w:t>Na prova de estresse 2, os níveis de classificação de crédito são rebaixados em dois níveis mais uma vez (Coluna VII).</w:t>
      </w:r>
      <w:r w:rsidRPr="00763A49">
        <w:rPr>
          <w:rFonts w:ascii="Times New Roman" w:eastAsia="Times New Roman" w:hAnsi="Times New Roman" w:cs="Times New Roman"/>
          <w:sz w:val="24"/>
          <w:szCs w:val="24"/>
          <w:lang w:val="pt-BR" w:eastAsia="pt-BR"/>
        </w:rPr>
        <w:t xml:space="preserve">  Assim sendo, a classificação atual de AA se transforma em C com provisão de 3% e assim por diante</w:t>
      </w:r>
      <w:r w:rsidR="00F74ED8">
        <w:rPr>
          <w:rFonts w:ascii="Times New Roman" w:eastAsia="Times New Roman" w:hAnsi="Times New Roman" w:cs="Times New Roman"/>
          <w:sz w:val="24"/>
          <w:szCs w:val="24"/>
          <w:lang w:val="pt-BR" w:eastAsia="pt-BR"/>
        </w:rPr>
        <w:t xml:space="preserve"> na Coluna VII</w:t>
      </w:r>
      <w:r w:rsidRPr="00763A49">
        <w:rPr>
          <w:rFonts w:ascii="Times New Roman" w:eastAsia="Times New Roman" w:hAnsi="Times New Roman" w:cs="Times New Roman"/>
          <w:sz w:val="24"/>
          <w:szCs w:val="24"/>
          <w:lang w:val="pt-BR" w:eastAsia="pt-BR"/>
        </w:rPr>
        <w:t xml:space="preserve">. </w:t>
      </w:r>
      <w:r w:rsidRPr="00740E4F">
        <w:rPr>
          <w:rFonts w:ascii="Times New Roman" w:eastAsia="Times New Roman" w:hAnsi="Times New Roman" w:cs="Times New Roman"/>
          <w:sz w:val="24"/>
          <w:szCs w:val="24"/>
          <w:lang w:val="pt-BR" w:eastAsia="pt-BR"/>
        </w:rPr>
        <w:t>Recalculando proporcionalmente as possíveis perdas nesta nova classificação de risco da Fomento Paraná (Coluna VII), “chega-se a uma perda esperada de aproximadamente 15%</w:t>
      </w:r>
      <w:r w:rsidRPr="00763A49">
        <w:rPr>
          <w:rFonts w:ascii="Times New Roman" w:eastAsia="Times New Roman" w:hAnsi="Times New Roman" w:cs="Times New Roman"/>
          <w:sz w:val="24"/>
          <w:szCs w:val="24"/>
          <w:lang w:val="pt-BR" w:eastAsia="pt-BR"/>
        </w:rPr>
        <w:t xml:space="preserve"> da carteira</w:t>
      </w:r>
      <w:r w:rsidRPr="00CA2760">
        <w:rPr>
          <w:rFonts w:ascii="Times New Roman" w:eastAsia="Times New Roman" w:hAnsi="Times New Roman" w:cs="Times New Roman"/>
          <w:sz w:val="24"/>
          <w:szCs w:val="24"/>
          <w:lang w:val="pt-BR" w:eastAsia="pt-BR"/>
        </w:rPr>
        <w:t xml:space="preserve">, indicando uma necessidade de provisão de R$176 milhões. Mesmo neste cenário a Fomento permaneceria enquadrada dentro dos limites </w:t>
      </w:r>
      <w:r w:rsidRPr="00CA2760">
        <w:rPr>
          <w:rFonts w:ascii="Times New Roman" w:eastAsia="Times New Roman" w:hAnsi="Times New Roman" w:cs="Times New Roman"/>
          <w:sz w:val="24"/>
          <w:szCs w:val="24"/>
          <w:lang w:val="pt-BR" w:eastAsia="pt-BR"/>
        </w:rPr>
        <w:lastRenderedPageBreak/>
        <w:t xml:space="preserve">regulamentares, com um </w:t>
      </w:r>
      <w:r w:rsidR="002728DC">
        <w:rPr>
          <w:rFonts w:ascii="Times New Roman" w:eastAsia="Times New Roman" w:hAnsi="Times New Roman" w:cs="Times New Roman"/>
          <w:sz w:val="24"/>
          <w:szCs w:val="24"/>
          <w:lang w:val="pt-BR" w:eastAsia="pt-BR"/>
        </w:rPr>
        <w:t>Í</w:t>
      </w:r>
      <w:r w:rsidRPr="00CA2760">
        <w:rPr>
          <w:rFonts w:ascii="Times New Roman" w:eastAsia="Times New Roman" w:hAnsi="Times New Roman" w:cs="Times New Roman"/>
          <w:sz w:val="24"/>
          <w:szCs w:val="24"/>
          <w:lang w:val="pt-BR" w:eastAsia="pt-BR"/>
        </w:rPr>
        <w:t>ndice de Basil</w:t>
      </w:r>
      <w:r w:rsidR="002728DC">
        <w:rPr>
          <w:rFonts w:ascii="Times New Roman" w:eastAsia="Times New Roman" w:hAnsi="Times New Roman" w:cs="Times New Roman"/>
          <w:sz w:val="24"/>
          <w:szCs w:val="24"/>
          <w:lang w:val="pt-BR" w:eastAsia="pt-BR"/>
        </w:rPr>
        <w:t>é</w:t>
      </w:r>
      <w:r w:rsidRPr="00CA2760">
        <w:rPr>
          <w:rFonts w:ascii="Times New Roman" w:eastAsia="Times New Roman" w:hAnsi="Times New Roman" w:cs="Times New Roman"/>
          <w:sz w:val="24"/>
          <w:szCs w:val="24"/>
          <w:lang w:val="pt-BR" w:eastAsia="pt-BR"/>
        </w:rPr>
        <w:t xml:space="preserve">ia de 13,33%.” (Fomento Paraná, 2017).  O limite mínimo do Índice Basiléia estabelecido pelo Banco Central é 11,0%, enquanto que o limite prudencial da Fomento Paraná é 25,0%. </w:t>
      </w:r>
    </w:p>
    <w:p w14:paraId="7154B05F" w14:textId="13460DE1" w:rsidR="00C46123" w:rsidRPr="00CA2760" w:rsidRDefault="001B22E4" w:rsidP="00C46123">
      <w:pPr>
        <w:shd w:val="clear" w:color="auto" w:fill="FFFFFF"/>
        <w:spacing w:line="360" w:lineRule="auto"/>
        <w:rPr>
          <w:rFonts w:ascii="Times New Roman" w:hAnsi="Times New Roman" w:cs="Times New Roman"/>
          <w:b/>
          <w:sz w:val="24"/>
          <w:szCs w:val="24"/>
          <w:lang w:val="pt-BR"/>
        </w:rPr>
      </w:pPr>
      <w:r>
        <w:rPr>
          <w:rFonts w:ascii="Times New Roman" w:eastAsia="Times New Roman" w:hAnsi="Times New Roman" w:cs="Times New Roman"/>
          <w:sz w:val="24"/>
          <w:szCs w:val="24"/>
          <w:u w:val="single"/>
          <w:lang w:val="pt-BR" w:eastAsia="pt-BR"/>
        </w:rPr>
        <w:t>Os i</w:t>
      </w:r>
      <w:r w:rsidR="00C46123" w:rsidRPr="00CA2760">
        <w:rPr>
          <w:rFonts w:ascii="Times New Roman" w:eastAsia="Times New Roman" w:hAnsi="Times New Roman" w:cs="Times New Roman"/>
          <w:sz w:val="24"/>
          <w:szCs w:val="24"/>
          <w:u w:val="single"/>
          <w:lang w:val="pt-BR" w:eastAsia="pt-BR"/>
        </w:rPr>
        <w:t>ndicadores anuais de risco</w:t>
      </w:r>
    </w:p>
    <w:p w14:paraId="58FF1077" w14:textId="5B03B6E8" w:rsidR="00C46123" w:rsidRPr="00CA2760" w:rsidRDefault="00C46123" w:rsidP="00C46123">
      <w:pPr>
        <w:spacing w:line="360" w:lineRule="auto"/>
        <w:rPr>
          <w:rFonts w:ascii="Times New Roman" w:hAnsi="Times New Roman" w:cs="Times New Roman"/>
          <w:color w:val="000000"/>
          <w:sz w:val="24"/>
          <w:szCs w:val="24"/>
          <w:lang w:val="pt-BR"/>
        </w:rPr>
      </w:pPr>
      <w:r w:rsidRPr="00AF6A1F">
        <w:rPr>
          <w:rFonts w:ascii="Times New Roman" w:hAnsi="Times New Roman" w:cs="Times New Roman"/>
          <w:iCs/>
          <w:sz w:val="24"/>
          <w:szCs w:val="24"/>
          <w:lang w:val="pt-BR"/>
        </w:rPr>
        <w:t xml:space="preserve">A </w:t>
      </w:r>
      <w:r w:rsidRPr="00125E59">
        <w:rPr>
          <w:rFonts w:ascii="Times New Roman" w:hAnsi="Times New Roman" w:cs="Times New Roman"/>
          <w:iCs/>
          <w:sz w:val="24"/>
          <w:szCs w:val="24"/>
          <w:lang w:val="pt-BR"/>
        </w:rPr>
        <w:t>Tabela</w:t>
      </w:r>
      <w:r w:rsidR="00125E59">
        <w:rPr>
          <w:rFonts w:ascii="Times New Roman" w:hAnsi="Times New Roman" w:cs="Times New Roman"/>
          <w:iCs/>
          <w:sz w:val="24"/>
          <w:szCs w:val="24"/>
          <w:lang w:val="pt-BR"/>
        </w:rPr>
        <w:t xml:space="preserve"> </w:t>
      </w:r>
      <w:r w:rsidR="00716232">
        <w:rPr>
          <w:rFonts w:ascii="Times New Roman" w:hAnsi="Times New Roman" w:cs="Times New Roman"/>
          <w:iCs/>
          <w:sz w:val="24"/>
          <w:szCs w:val="24"/>
          <w:lang w:val="pt-BR"/>
        </w:rPr>
        <w:t>8</w:t>
      </w:r>
      <w:r w:rsidRPr="00AF6A1F">
        <w:rPr>
          <w:rFonts w:ascii="Times New Roman" w:hAnsi="Times New Roman" w:cs="Times New Roman"/>
          <w:iCs/>
          <w:sz w:val="24"/>
          <w:szCs w:val="24"/>
          <w:lang w:val="pt-BR"/>
        </w:rPr>
        <w:t xml:space="preserve"> mostra</w:t>
      </w:r>
      <w:r w:rsidRPr="00CA2760">
        <w:rPr>
          <w:rFonts w:ascii="Times New Roman" w:hAnsi="Times New Roman" w:cs="Times New Roman"/>
          <w:iCs/>
          <w:sz w:val="24"/>
          <w:szCs w:val="24"/>
          <w:lang w:val="pt-BR"/>
        </w:rPr>
        <w:t xml:space="preserve"> </w:t>
      </w:r>
      <w:r w:rsidR="00840FFB">
        <w:rPr>
          <w:rFonts w:ascii="Times New Roman" w:hAnsi="Times New Roman" w:cs="Times New Roman"/>
          <w:iCs/>
          <w:sz w:val="24"/>
          <w:szCs w:val="24"/>
          <w:lang w:val="pt-BR"/>
        </w:rPr>
        <w:t xml:space="preserve">os </w:t>
      </w:r>
      <w:r w:rsidRPr="00CA2760">
        <w:rPr>
          <w:rFonts w:ascii="Times New Roman" w:hAnsi="Times New Roman" w:cs="Times New Roman"/>
          <w:iCs/>
          <w:sz w:val="24"/>
          <w:szCs w:val="24"/>
          <w:lang w:val="pt-BR"/>
        </w:rPr>
        <w:t xml:space="preserve">indicadores anuais de risco </w:t>
      </w:r>
      <w:r w:rsidRPr="00CA2760">
        <w:rPr>
          <w:rFonts w:ascii="Times New Roman" w:hAnsi="Times New Roman" w:cs="Times New Roman"/>
          <w:color w:val="000000"/>
          <w:sz w:val="24"/>
          <w:szCs w:val="24"/>
          <w:lang w:val="pt-BR"/>
        </w:rPr>
        <w:t xml:space="preserve">da Fomento Paraná durante o período de 2014/ 2017.  O </w:t>
      </w:r>
      <w:r w:rsidR="00F918F7">
        <w:rPr>
          <w:rFonts w:ascii="Times New Roman" w:hAnsi="Times New Roman" w:cs="Times New Roman"/>
          <w:color w:val="000000"/>
          <w:sz w:val="24"/>
          <w:szCs w:val="24"/>
          <w:lang w:val="pt-BR"/>
        </w:rPr>
        <w:t>PR</w:t>
      </w:r>
      <w:r w:rsidRPr="00CA2760">
        <w:rPr>
          <w:rFonts w:ascii="Times New Roman" w:hAnsi="Times New Roman" w:cs="Times New Roman"/>
          <w:color w:val="000000"/>
          <w:sz w:val="24"/>
          <w:szCs w:val="24"/>
          <w:lang w:val="pt-BR"/>
        </w:rPr>
        <w:t xml:space="preserve"> da Fomento Paraná para os setores públicos e privados (Linha I) teve um crescimento nominal de R$167 milhões, correspondendo a um aumento de 12</w:t>
      </w:r>
      <w:r w:rsidR="00740E4F">
        <w:rPr>
          <w:rFonts w:ascii="Times New Roman" w:hAnsi="Times New Roman" w:cs="Times New Roman"/>
          <w:color w:val="000000"/>
          <w:sz w:val="24"/>
          <w:szCs w:val="24"/>
          <w:lang w:val="pt-BR"/>
        </w:rPr>
        <w:t>,0</w:t>
      </w:r>
      <w:r w:rsidRPr="00CA2760">
        <w:rPr>
          <w:rFonts w:ascii="Times New Roman" w:hAnsi="Times New Roman" w:cs="Times New Roman"/>
          <w:color w:val="000000"/>
          <w:sz w:val="24"/>
          <w:szCs w:val="24"/>
          <w:lang w:val="pt-BR"/>
        </w:rPr>
        <w:t>% em relação a 2014.  O PR destacado para operação com o setor público (</w:t>
      </w:r>
      <w:r w:rsidRPr="00EB209E">
        <w:rPr>
          <w:rFonts w:ascii="Times New Roman" w:hAnsi="Times New Roman" w:cs="Times New Roman"/>
          <w:color w:val="000000"/>
          <w:sz w:val="24"/>
          <w:szCs w:val="24"/>
          <w:lang w:val="pt-BR"/>
        </w:rPr>
        <w:t>Linha II) teve um valor de R$1,3 bilhão em dezembro de 2017.  As linhas III, IV e V tratam somente de ativos do setor</w:t>
      </w:r>
      <w:r w:rsidRPr="00CA2760">
        <w:rPr>
          <w:rFonts w:ascii="Times New Roman" w:hAnsi="Times New Roman" w:cs="Times New Roman"/>
          <w:color w:val="000000"/>
          <w:sz w:val="24"/>
          <w:szCs w:val="24"/>
          <w:lang w:val="pt-BR"/>
        </w:rPr>
        <w:t xml:space="preserve"> privado.  Devido à necessidade de provisionamento, o</w:t>
      </w:r>
      <w:r w:rsidR="00942CD1">
        <w:rPr>
          <w:rFonts w:ascii="Times New Roman" w:hAnsi="Times New Roman" w:cs="Times New Roman"/>
          <w:color w:val="000000"/>
          <w:sz w:val="24"/>
          <w:szCs w:val="24"/>
          <w:lang w:val="pt-BR"/>
        </w:rPr>
        <w:t xml:space="preserve"> </w:t>
      </w:r>
      <w:r w:rsidR="00840FFB">
        <w:rPr>
          <w:rFonts w:ascii="Times New Roman" w:hAnsi="Times New Roman" w:cs="Times New Roman"/>
          <w:color w:val="000000"/>
          <w:sz w:val="24"/>
          <w:szCs w:val="24"/>
          <w:lang w:val="pt-BR"/>
        </w:rPr>
        <w:t>P</w:t>
      </w:r>
      <w:r w:rsidR="007C711E">
        <w:rPr>
          <w:rFonts w:ascii="Times New Roman" w:hAnsi="Times New Roman" w:cs="Times New Roman"/>
          <w:color w:val="000000"/>
          <w:sz w:val="24"/>
          <w:szCs w:val="24"/>
          <w:lang w:val="pt-BR"/>
        </w:rPr>
        <w:t>R</w:t>
      </w:r>
      <w:r w:rsidR="00942CD1">
        <w:rPr>
          <w:rFonts w:ascii="Times New Roman" w:hAnsi="Times New Roman" w:cs="Times New Roman"/>
          <w:color w:val="000000"/>
          <w:sz w:val="24"/>
          <w:szCs w:val="24"/>
          <w:lang w:val="pt-BR"/>
        </w:rPr>
        <w:t xml:space="preserve"> </w:t>
      </w:r>
      <w:r w:rsidRPr="00CA2760">
        <w:rPr>
          <w:rFonts w:ascii="Times New Roman" w:hAnsi="Times New Roman" w:cs="Times New Roman"/>
          <w:color w:val="000000"/>
          <w:sz w:val="24"/>
          <w:szCs w:val="24"/>
          <w:lang w:val="pt-BR"/>
        </w:rPr>
        <w:t xml:space="preserve">do setor privado (linha III) passou de </w:t>
      </w:r>
      <w:r w:rsidR="00163A51">
        <w:rPr>
          <w:rFonts w:ascii="Times New Roman" w:hAnsi="Times New Roman" w:cs="Times New Roman"/>
          <w:color w:val="000000"/>
          <w:sz w:val="24"/>
          <w:szCs w:val="24"/>
          <w:lang w:val="pt-BR"/>
        </w:rPr>
        <w:t>R$</w:t>
      </w:r>
      <w:r w:rsidRPr="00CA2760">
        <w:rPr>
          <w:rFonts w:ascii="Times New Roman" w:hAnsi="Times New Roman" w:cs="Times New Roman"/>
          <w:color w:val="000000"/>
          <w:sz w:val="24"/>
          <w:szCs w:val="24"/>
          <w:lang w:val="pt-BR"/>
        </w:rPr>
        <w:t xml:space="preserve">309 milhões em 2014 para </w:t>
      </w:r>
      <w:r w:rsidR="00163A51">
        <w:rPr>
          <w:rFonts w:ascii="Times New Roman" w:hAnsi="Times New Roman" w:cs="Times New Roman"/>
          <w:color w:val="000000"/>
          <w:sz w:val="24"/>
          <w:szCs w:val="24"/>
          <w:lang w:val="pt-BR"/>
        </w:rPr>
        <w:t>R$</w:t>
      </w:r>
      <w:r w:rsidRPr="00CA2760">
        <w:rPr>
          <w:rFonts w:ascii="Times New Roman" w:hAnsi="Times New Roman" w:cs="Times New Roman"/>
          <w:color w:val="000000"/>
          <w:sz w:val="24"/>
          <w:szCs w:val="24"/>
          <w:lang w:val="pt-BR"/>
        </w:rPr>
        <w:t>227 milhões em 2017 (-26,5%). Durante o mesmo período, os Ativos Ponderados pelo Risco (RWA</w:t>
      </w:r>
      <w:r w:rsidR="00855C91">
        <w:rPr>
          <w:rFonts w:ascii="Times New Roman" w:hAnsi="Times New Roman" w:cs="Times New Roman"/>
          <w:color w:val="000000"/>
          <w:sz w:val="24"/>
          <w:szCs w:val="24"/>
          <w:lang w:val="pt-BR"/>
        </w:rPr>
        <w:t>- Risk Weighted Assets</w:t>
      </w:r>
      <w:r w:rsidRPr="00CA2760">
        <w:rPr>
          <w:rFonts w:ascii="Times New Roman" w:hAnsi="Times New Roman" w:cs="Times New Roman"/>
          <w:color w:val="000000"/>
          <w:sz w:val="24"/>
          <w:szCs w:val="24"/>
          <w:lang w:val="pt-BR"/>
        </w:rPr>
        <w:t>) do setor privado (Linha IV) aumentaram, resultando em uma queda do Índice Basileia (P</w:t>
      </w:r>
      <w:r w:rsidR="006D29D0">
        <w:rPr>
          <w:rFonts w:ascii="Times New Roman" w:hAnsi="Times New Roman" w:cs="Times New Roman"/>
          <w:color w:val="000000"/>
          <w:sz w:val="24"/>
          <w:szCs w:val="24"/>
          <w:lang w:val="pt-BR"/>
        </w:rPr>
        <w:t>R</w:t>
      </w:r>
      <w:r w:rsidRPr="00CA2760">
        <w:rPr>
          <w:rFonts w:ascii="Times New Roman" w:hAnsi="Times New Roman" w:cs="Times New Roman"/>
          <w:color w:val="000000"/>
          <w:sz w:val="24"/>
          <w:szCs w:val="24"/>
          <w:lang w:val="pt-BR"/>
        </w:rPr>
        <w:t xml:space="preserve">/RWA) de quase 81% em 2014 para 37,6% em 2017(Linha 5).  </w:t>
      </w:r>
    </w:p>
    <w:p w14:paraId="4C278B0F" w14:textId="38C5687D" w:rsidR="00C46123" w:rsidRDefault="00C46123" w:rsidP="00C46123">
      <w:pPr>
        <w:spacing w:after="0" w:line="240" w:lineRule="auto"/>
        <w:rPr>
          <w:rFonts w:ascii="Times New Roman" w:hAnsi="Times New Roman" w:cs="Times New Roman"/>
          <w:color w:val="000000"/>
          <w:sz w:val="24"/>
          <w:szCs w:val="24"/>
          <w:lang w:val="pt-BR"/>
        </w:rPr>
      </w:pPr>
      <w:r w:rsidRPr="00393569">
        <w:rPr>
          <w:rFonts w:ascii="Times New Roman" w:hAnsi="Times New Roman" w:cs="Times New Roman"/>
          <w:color w:val="000000"/>
          <w:sz w:val="24"/>
          <w:szCs w:val="24"/>
          <w:lang w:val="pt-BR"/>
        </w:rPr>
        <w:t xml:space="preserve">Tabela </w:t>
      </w:r>
      <w:r w:rsidR="00716232">
        <w:rPr>
          <w:rFonts w:ascii="Times New Roman" w:hAnsi="Times New Roman" w:cs="Times New Roman"/>
          <w:color w:val="000000"/>
          <w:sz w:val="24"/>
          <w:szCs w:val="24"/>
          <w:lang w:val="pt-BR"/>
        </w:rPr>
        <w:t>8</w:t>
      </w:r>
      <w:r w:rsidRPr="00393569">
        <w:rPr>
          <w:rFonts w:ascii="Times New Roman" w:hAnsi="Times New Roman" w:cs="Times New Roman"/>
          <w:color w:val="000000"/>
          <w:sz w:val="24"/>
          <w:szCs w:val="24"/>
          <w:lang w:val="pt-BR"/>
        </w:rPr>
        <w:t>:  Fomento</w:t>
      </w:r>
      <w:r w:rsidRPr="00CA2760">
        <w:rPr>
          <w:rFonts w:ascii="Times New Roman" w:hAnsi="Times New Roman" w:cs="Times New Roman"/>
          <w:color w:val="000000"/>
          <w:sz w:val="24"/>
          <w:szCs w:val="24"/>
          <w:lang w:val="pt-BR"/>
        </w:rPr>
        <w:t xml:space="preserve"> Paraná:  Patrimônio de Referência (PR) e indicadores de risco</w:t>
      </w:r>
      <w:r w:rsidR="00F40304">
        <w:rPr>
          <w:rFonts w:ascii="Times New Roman" w:hAnsi="Times New Roman" w:cs="Times New Roman"/>
          <w:color w:val="000000"/>
          <w:sz w:val="24"/>
          <w:szCs w:val="24"/>
          <w:lang w:val="pt-BR"/>
        </w:rPr>
        <w:t xml:space="preserve"> para o setor público e privado</w:t>
      </w:r>
      <w:r w:rsidRPr="00CA2760">
        <w:rPr>
          <w:rFonts w:ascii="Times New Roman" w:hAnsi="Times New Roman" w:cs="Times New Roman"/>
          <w:color w:val="000000"/>
          <w:sz w:val="24"/>
          <w:szCs w:val="24"/>
          <w:lang w:val="pt-BR"/>
        </w:rPr>
        <w:t>, 2014/2017 (R$ Milhões)</w:t>
      </w:r>
    </w:p>
    <w:tbl>
      <w:tblPr>
        <w:tblStyle w:val="TableGrid"/>
        <w:tblW w:w="9493" w:type="dxa"/>
        <w:tblLayout w:type="fixed"/>
        <w:tblLook w:val="04A0" w:firstRow="1" w:lastRow="0" w:firstColumn="1" w:lastColumn="0" w:noHBand="0" w:noVBand="1"/>
      </w:tblPr>
      <w:tblGrid>
        <w:gridCol w:w="846"/>
        <w:gridCol w:w="2693"/>
        <w:gridCol w:w="850"/>
        <w:gridCol w:w="851"/>
        <w:gridCol w:w="850"/>
        <w:gridCol w:w="851"/>
        <w:gridCol w:w="850"/>
        <w:gridCol w:w="851"/>
        <w:gridCol w:w="851"/>
      </w:tblGrid>
      <w:tr w:rsidR="00F40304" w:rsidRPr="00C22406" w14:paraId="277A6D72" w14:textId="77777777" w:rsidTr="00D639F1">
        <w:trPr>
          <w:trHeight w:val="179"/>
        </w:trPr>
        <w:tc>
          <w:tcPr>
            <w:tcW w:w="846" w:type="dxa"/>
            <w:vMerge w:val="restart"/>
            <w:vAlign w:val="center"/>
            <w:hideMark/>
          </w:tcPr>
          <w:p w14:paraId="764FFCD1" w14:textId="77777777" w:rsidR="00F40304" w:rsidRPr="00C22406" w:rsidRDefault="00F40304" w:rsidP="00D639F1">
            <w:pPr>
              <w:rPr>
                <w:rFonts w:ascii="Times New Roman" w:eastAsia="Times New Roman" w:hAnsi="Times New Roman" w:cs="Times New Roman"/>
                <w:sz w:val="24"/>
                <w:szCs w:val="24"/>
              </w:rPr>
            </w:pPr>
            <w:r w:rsidRPr="00C22406">
              <w:rPr>
                <w:rFonts w:ascii="Arial" w:eastAsia="Times New Roman" w:hAnsi="Arial" w:cs="Arial"/>
                <w:color w:val="000000"/>
                <w:sz w:val="20"/>
                <w:szCs w:val="20"/>
              </w:rPr>
              <w:t>Linhas</w:t>
            </w:r>
          </w:p>
        </w:tc>
        <w:tc>
          <w:tcPr>
            <w:tcW w:w="2693" w:type="dxa"/>
            <w:vMerge w:val="restart"/>
            <w:vAlign w:val="center"/>
            <w:hideMark/>
          </w:tcPr>
          <w:p w14:paraId="75A2CC71" w14:textId="77777777" w:rsidR="00F40304" w:rsidRPr="00C22406" w:rsidRDefault="00F40304" w:rsidP="00D639F1">
            <w:pPr>
              <w:rPr>
                <w:rFonts w:ascii="Arial" w:eastAsia="Times New Roman" w:hAnsi="Arial" w:cs="Arial"/>
                <w:color w:val="000000"/>
                <w:sz w:val="20"/>
                <w:szCs w:val="20"/>
              </w:rPr>
            </w:pPr>
            <w:r w:rsidRPr="00C22406">
              <w:rPr>
                <w:rFonts w:ascii="Arial" w:eastAsia="Times New Roman" w:hAnsi="Arial" w:cs="Arial"/>
                <w:color w:val="000000"/>
                <w:sz w:val="20"/>
                <w:szCs w:val="20"/>
              </w:rPr>
              <w:t>Indicador</w:t>
            </w:r>
          </w:p>
        </w:tc>
        <w:tc>
          <w:tcPr>
            <w:tcW w:w="850" w:type="dxa"/>
            <w:vMerge w:val="restart"/>
            <w:vAlign w:val="center"/>
            <w:hideMark/>
          </w:tcPr>
          <w:p w14:paraId="018A0843"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dez/14</w:t>
            </w:r>
          </w:p>
        </w:tc>
        <w:tc>
          <w:tcPr>
            <w:tcW w:w="851" w:type="dxa"/>
            <w:vMerge w:val="restart"/>
            <w:vAlign w:val="center"/>
            <w:hideMark/>
          </w:tcPr>
          <w:p w14:paraId="276B9389"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dez/15</w:t>
            </w:r>
          </w:p>
        </w:tc>
        <w:tc>
          <w:tcPr>
            <w:tcW w:w="850" w:type="dxa"/>
            <w:vMerge w:val="restart"/>
            <w:vAlign w:val="center"/>
            <w:hideMark/>
          </w:tcPr>
          <w:p w14:paraId="6507B427"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dez/16</w:t>
            </w:r>
          </w:p>
        </w:tc>
        <w:tc>
          <w:tcPr>
            <w:tcW w:w="851" w:type="dxa"/>
            <w:vMerge w:val="restart"/>
            <w:vAlign w:val="center"/>
            <w:hideMark/>
          </w:tcPr>
          <w:p w14:paraId="73972926"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dez/17</w:t>
            </w:r>
          </w:p>
        </w:tc>
        <w:tc>
          <w:tcPr>
            <w:tcW w:w="2552" w:type="dxa"/>
            <w:gridSpan w:val="3"/>
            <w:hideMark/>
          </w:tcPr>
          <w:p w14:paraId="09128B66" w14:textId="77777777" w:rsidR="00F40304" w:rsidRPr="00C22406" w:rsidRDefault="00F40304" w:rsidP="00D639F1">
            <w:pPr>
              <w:rPr>
                <w:rFonts w:ascii="Times New Roman" w:eastAsia="Times New Roman" w:hAnsi="Times New Roman" w:cs="Times New Roman"/>
                <w:sz w:val="20"/>
                <w:szCs w:val="20"/>
              </w:rPr>
            </w:pPr>
            <w:r w:rsidRPr="00C22406">
              <w:rPr>
                <w:rFonts w:ascii="Arial" w:eastAsia="Times New Roman" w:hAnsi="Arial" w:cs="Arial"/>
                <w:color w:val="000000"/>
                <w:sz w:val="20"/>
                <w:szCs w:val="20"/>
              </w:rPr>
              <w:t>Variação 2014/ 2017</w:t>
            </w:r>
          </w:p>
        </w:tc>
      </w:tr>
      <w:tr w:rsidR="00F40304" w:rsidRPr="00C22406" w14:paraId="182CB077" w14:textId="77777777" w:rsidTr="00D639F1">
        <w:trPr>
          <w:trHeight w:val="367"/>
        </w:trPr>
        <w:tc>
          <w:tcPr>
            <w:tcW w:w="846" w:type="dxa"/>
            <w:vMerge/>
            <w:hideMark/>
          </w:tcPr>
          <w:p w14:paraId="1EC57A65" w14:textId="77777777" w:rsidR="00F40304" w:rsidRPr="00C22406" w:rsidRDefault="00F40304" w:rsidP="00D639F1">
            <w:pPr>
              <w:jc w:val="center"/>
              <w:rPr>
                <w:rFonts w:ascii="Arial" w:eastAsia="Times New Roman" w:hAnsi="Arial" w:cs="Arial"/>
                <w:color w:val="000000"/>
                <w:sz w:val="20"/>
                <w:szCs w:val="20"/>
              </w:rPr>
            </w:pPr>
          </w:p>
        </w:tc>
        <w:tc>
          <w:tcPr>
            <w:tcW w:w="2693" w:type="dxa"/>
            <w:vMerge/>
            <w:hideMark/>
          </w:tcPr>
          <w:p w14:paraId="18F52F37" w14:textId="77777777" w:rsidR="00F40304" w:rsidRPr="00C22406" w:rsidRDefault="00F40304" w:rsidP="00D639F1">
            <w:pPr>
              <w:rPr>
                <w:rFonts w:ascii="Arial" w:eastAsia="Times New Roman" w:hAnsi="Arial" w:cs="Arial"/>
                <w:color w:val="000000"/>
                <w:sz w:val="20"/>
                <w:szCs w:val="20"/>
              </w:rPr>
            </w:pPr>
          </w:p>
        </w:tc>
        <w:tc>
          <w:tcPr>
            <w:tcW w:w="850" w:type="dxa"/>
            <w:vMerge/>
            <w:hideMark/>
          </w:tcPr>
          <w:p w14:paraId="1120FF24" w14:textId="77777777" w:rsidR="00F40304" w:rsidRPr="00C22406" w:rsidRDefault="00F40304" w:rsidP="00D639F1">
            <w:pPr>
              <w:jc w:val="right"/>
              <w:rPr>
                <w:rFonts w:ascii="Arial" w:eastAsia="Times New Roman" w:hAnsi="Arial" w:cs="Arial"/>
                <w:color w:val="000000"/>
                <w:sz w:val="20"/>
                <w:szCs w:val="20"/>
              </w:rPr>
            </w:pPr>
          </w:p>
        </w:tc>
        <w:tc>
          <w:tcPr>
            <w:tcW w:w="851" w:type="dxa"/>
            <w:vMerge/>
            <w:hideMark/>
          </w:tcPr>
          <w:p w14:paraId="39E8B75C" w14:textId="77777777" w:rsidR="00F40304" w:rsidRPr="00C22406" w:rsidRDefault="00F40304" w:rsidP="00D639F1">
            <w:pPr>
              <w:jc w:val="right"/>
              <w:rPr>
                <w:rFonts w:ascii="Arial" w:eastAsia="Times New Roman" w:hAnsi="Arial" w:cs="Arial"/>
                <w:color w:val="000000"/>
                <w:sz w:val="20"/>
                <w:szCs w:val="20"/>
              </w:rPr>
            </w:pPr>
          </w:p>
        </w:tc>
        <w:tc>
          <w:tcPr>
            <w:tcW w:w="850" w:type="dxa"/>
            <w:vMerge/>
            <w:hideMark/>
          </w:tcPr>
          <w:p w14:paraId="2FCF0F80" w14:textId="77777777" w:rsidR="00F40304" w:rsidRPr="00C22406" w:rsidRDefault="00F40304" w:rsidP="00D639F1">
            <w:pPr>
              <w:jc w:val="right"/>
              <w:rPr>
                <w:rFonts w:ascii="Arial" w:eastAsia="Times New Roman" w:hAnsi="Arial" w:cs="Arial"/>
                <w:color w:val="000000"/>
                <w:sz w:val="20"/>
                <w:szCs w:val="20"/>
              </w:rPr>
            </w:pPr>
          </w:p>
        </w:tc>
        <w:tc>
          <w:tcPr>
            <w:tcW w:w="851" w:type="dxa"/>
            <w:vMerge/>
            <w:hideMark/>
          </w:tcPr>
          <w:p w14:paraId="35927B7D" w14:textId="77777777" w:rsidR="00F40304" w:rsidRPr="00C22406" w:rsidRDefault="00F40304" w:rsidP="00D639F1">
            <w:pPr>
              <w:jc w:val="right"/>
              <w:rPr>
                <w:rFonts w:ascii="Arial" w:eastAsia="Times New Roman" w:hAnsi="Arial" w:cs="Arial"/>
                <w:color w:val="000000"/>
                <w:sz w:val="20"/>
                <w:szCs w:val="20"/>
              </w:rPr>
            </w:pPr>
          </w:p>
        </w:tc>
        <w:tc>
          <w:tcPr>
            <w:tcW w:w="850" w:type="dxa"/>
            <w:hideMark/>
          </w:tcPr>
          <w:p w14:paraId="4F984A05" w14:textId="77777777" w:rsidR="00F40304" w:rsidRPr="00C22406" w:rsidRDefault="00F40304" w:rsidP="00D639F1">
            <w:pPr>
              <w:jc w:val="center"/>
              <w:rPr>
                <w:rFonts w:ascii="Arial" w:eastAsia="Times New Roman" w:hAnsi="Arial" w:cs="Arial"/>
                <w:color w:val="000000"/>
                <w:sz w:val="20"/>
                <w:szCs w:val="20"/>
              </w:rPr>
            </w:pPr>
            <w:r w:rsidRPr="00C22406">
              <w:rPr>
                <w:rFonts w:ascii="Arial" w:eastAsia="Times New Roman" w:hAnsi="Arial" w:cs="Arial"/>
                <w:color w:val="000000"/>
                <w:sz w:val="20"/>
                <w:szCs w:val="20"/>
              </w:rPr>
              <w:t>Abs</w:t>
            </w:r>
            <w:r>
              <w:rPr>
                <w:rFonts w:ascii="Arial" w:eastAsia="Times New Roman" w:hAnsi="Arial" w:cs="Arial"/>
                <w:color w:val="000000"/>
                <w:sz w:val="20"/>
                <w:szCs w:val="20"/>
              </w:rPr>
              <w:t>.</w:t>
            </w:r>
          </w:p>
        </w:tc>
        <w:tc>
          <w:tcPr>
            <w:tcW w:w="851" w:type="dxa"/>
            <w:hideMark/>
          </w:tcPr>
          <w:p w14:paraId="205C72F7" w14:textId="77777777" w:rsidR="00F40304" w:rsidRPr="00C22406" w:rsidRDefault="00F40304" w:rsidP="00D639F1">
            <w:pPr>
              <w:jc w:val="center"/>
              <w:rPr>
                <w:rFonts w:ascii="Arial" w:eastAsia="Times New Roman" w:hAnsi="Arial" w:cs="Arial"/>
                <w:color w:val="000000"/>
                <w:sz w:val="20"/>
                <w:szCs w:val="20"/>
              </w:rPr>
            </w:pPr>
            <w:r w:rsidRPr="00C22406">
              <w:rPr>
                <w:rFonts w:ascii="Arial" w:eastAsia="Times New Roman" w:hAnsi="Arial" w:cs="Arial"/>
                <w:color w:val="000000"/>
                <w:sz w:val="20"/>
                <w:szCs w:val="20"/>
              </w:rPr>
              <w:t>%</w:t>
            </w:r>
          </w:p>
        </w:tc>
        <w:tc>
          <w:tcPr>
            <w:tcW w:w="851" w:type="dxa"/>
            <w:hideMark/>
          </w:tcPr>
          <w:p w14:paraId="15B33CB5" w14:textId="77777777" w:rsidR="00F40304" w:rsidRPr="00C22406" w:rsidRDefault="00F40304" w:rsidP="00D639F1">
            <w:pPr>
              <w:jc w:val="center"/>
              <w:rPr>
                <w:rFonts w:ascii="Arial" w:eastAsia="Times New Roman" w:hAnsi="Arial" w:cs="Arial"/>
                <w:color w:val="000000"/>
                <w:sz w:val="20"/>
                <w:szCs w:val="20"/>
              </w:rPr>
            </w:pPr>
            <w:r>
              <w:rPr>
                <w:rFonts w:ascii="Arial" w:eastAsia="Times New Roman" w:hAnsi="Arial" w:cs="Arial"/>
                <w:color w:val="000000"/>
                <w:sz w:val="20"/>
                <w:szCs w:val="20"/>
              </w:rPr>
              <w:t>% annual</w:t>
            </w:r>
          </w:p>
        </w:tc>
      </w:tr>
      <w:tr w:rsidR="00F40304" w:rsidRPr="00C22406" w14:paraId="123F9274" w14:textId="77777777" w:rsidTr="00D639F1">
        <w:trPr>
          <w:trHeight w:val="264"/>
        </w:trPr>
        <w:tc>
          <w:tcPr>
            <w:tcW w:w="846" w:type="dxa"/>
            <w:hideMark/>
          </w:tcPr>
          <w:p w14:paraId="057A8E5D" w14:textId="77777777" w:rsidR="00F40304" w:rsidRPr="00C22406" w:rsidRDefault="00F40304" w:rsidP="00D639F1">
            <w:pPr>
              <w:jc w:val="center"/>
              <w:rPr>
                <w:rFonts w:ascii="Arial" w:eastAsia="Times New Roman" w:hAnsi="Arial" w:cs="Arial"/>
                <w:color w:val="000000"/>
                <w:sz w:val="20"/>
                <w:szCs w:val="20"/>
              </w:rPr>
            </w:pPr>
            <w:r w:rsidRPr="00C22406">
              <w:rPr>
                <w:rFonts w:ascii="Arial" w:eastAsia="Times New Roman" w:hAnsi="Arial" w:cs="Arial"/>
                <w:color w:val="000000"/>
                <w:sz w:val="20"/>
                <w:szCs w:val="20"/>
              </w:rPr>
              <w:t>I</w:t>
            </w:r>
          </w:p>
        </w:tc>
        <w:tc>
          <w:tcPr>
            <w:tcW w:w="2693" w:type="dxa"/>
            <w:hideMark/>
          </w:tcPr>
          <w:p w14:paraId="49B4440D" w14:textId="77777777" w:rsidR="00F40304" w:rsidRPr="00C22406" w:rsidRDefault="00F40304" w:rsidP="00D639F1">
            <w:pPr>
              <w:rPr>
                <w:rFonts w:ascii="Arial" w:eastAsia="Times New Roman" w:hAnsi="Arial" w:cs="Arial"/>
                <w:b/>
                <w:bCs/>
                <w:color w:val="000000"/>
                <w:sz w:val="20"/>
                <w:szCs w:val="20"/>
                <w:lang w:val="pt-BR"/>
              </w:rPr>
            </w:pPr>
            <w:r w:rsidRPr="00C22406">
              <w:rPr>
                <w:rFonts w:ascii="Arial" w:eastAsia="Times New Roman" w:hAnsi="Arial" w:cs="Arial"/>
                <w:b/>
                <w:bCs/>
                <w:color w:val="000000"/>
                <w:sz w:val="20"/>
                <w:szCs w:val="20"/>
                <w:lang w:val="pt-BR"/>
              </w:rPr>
              <w:t xml:space="preserve">Patrimônio de Referência Total </w:t>
            </w:r>
            <w:r w:rsidRPr="00C22406">
              <w:rPr>
                <w:rFonts w:ascii="Arial" w:eastAsia="Times New Roman" w:hAnsi="Arial" w:cs="Arial"/>
                <w:bCs/>
                <w:color w:val="000000"/>
                <w:sz w:val="20"/>
                <w:szCs w:val="20"/>
                <w:lang w:val="pt-BR"/>
              </w:rPr>
              <w:t>(setor público e privado)</w:t>
            </w:r>
          </w:p>
        </w:tc>
        <w:tc>
          <w:tcPr>
            <w:tcW w:w="850" w:type="dxa"/>
            <w:vAlign w:val="center"/>
            <w:hideMark/>
          </w:tcPr>
          <w:p w14:paraId="23A37E64" w14:textId="77777777" w:rsidR="00F40304" w:rsidRPr="00C22406" w:rsidRDefault="00F40304" w:rsidP="00D639F1">
            <w:pPr>
              <w:jc w:val="right"/>
              <w:rPr>
                <w:rFonts w:ascii="Arial" w:eastAsia="Times New Roman" w:hAnsi="Arial" w:cs="Arial"/>
                <w:b/>
                <w:bCs/>
                <w:color w:val="000000"/>
                <w:sz w:val="20"/>
                <w:szCs w:val="20"/>
              </w:rPr>
            </w:pPr>
            <w:r w:rsidRPr="00C22406">
              <w:rPr>
                <w:rFonts w:ascii="Arial" w:eastAsia="Times New Roman" w:hAnsi="Arial" w:cs="Arial"/>
                <w:b/>
                <w:bCs/>
                <w:color w:val="000000"/>
                <w:sz w:val="20"/>
                <w:szCs w:val="20"/>
              </w:rPr>
              <w:t>1.393</w:t>
            </w:r>
          </w:p>
        </w:tc>
        <w:tc>
          <w:tcPr>
            <w:tcW w:w="851" w:type="dxa"/>
            <w:vAlign w:val="center"/>
            <w:hideMark/>
          </w:tcPr>
          <w:p w14:paraId="523489BC" w14:textId="77777777" w:rsidR="00F40304" w:rsidRPr="00C22406" w:rsidRDefault="00F40304" w:rsidP="00D639F1">
            <w:pPr>
              <w:jc w:val="right"/>
              <w:rPr>
                <w:rFonts w:ascii="Arial" w:eastAsia="Times New Roman" w:hAnsi="Arial" w:cs="Arial"/>
                <w:b/>
                <w:bCs/>
                <w:color w:val="000000"/>
                <w:sz w:val="20"/>
                <w:szCs w:val="20"/>
              </w:rPr>
            </w:pPr>
            <w:r w:rsidRPr="00C22406">
              <w:rPr>
                <w:rFonts w:ascii="Arial" w:eastAsia="Times New Roman" w:hAnsi="Arial" w:cs="Arial"/>
                <w:b/>
                <w:bCs/>
                <w:color w:val="000000"/>
                <w:sz w:val="20"/>
                <w:szCs w:val="20"/>
              </w:rPr>
              <w:t>1.441</w:t>
            </w:r>
          </w:p>
        </w:tc>
        <w:tc>
          <w:tcPr>
            <w:tcW w:w="850" w:type="dxa"/>
            <w:vAlign w:val="center"/>
            <w:hideMark/>
          </w:tcPr>
          <w:p w14:paraId="4494CF1B" w14:textId="77777777" w:rsidR="00F40304" w:rsidRPr="00C22406" w:rsidRDefault="00F40304" w:rsidP="00D639F1">
            <w:pPr>
              <w:jc w:val="right"/>
              <w:rPr>
                <w:rFonts w:ascii="Arial" w:eastAsia="Times New Roman" w:hAnsi="Arial" w:cs="Arial"/>
                <w:b/>
                <w:bCs/>
                <w:color w:val="000000"/>
                <w:sz w:val="20"/>
                <w:szCs w:val="20"/>
              </w:rPr>
            </w:pPr>
            <w:r w:rsidRPr="00C22406">
              <w:rPr>
                <w:rFonts w:ascii="Arial" w:eastAsia="Times New Roman" w:hAnsi="Arial" w:cs="Arial"/>
                <w:b/>
                <w:bCs/>
                <w:color w:val="000000"/>
                <w:sz w:val="20"/>
                <w:szCs w:val="20"/>
              </w:rPr>
              <w:t>1.543</w:t>
            </w:r>
          </w:p>
        </w:tc>
        <w:tc>
          <w:tcPr>
            <w:tcW w:w="851" w:type="dxa"/>
            <w:vAlign w:val="center"/>
            <w:hideMark/>
          </w:tcPr>
          <w:p w14:paraId="1BDA2889" w14:textId="77777777" w:rsidR="00F40304" w:rsidRPr="00C22406" w:rsidRDefault="00F40304" w:rsidP="00D639F1">
            <w:pPr>
              <w:jc w:val="right"/>
              <w:rPr>
                <w:rFonts w:ascii="Arial" w:eastAsia="Times New Roman" w:hAnsi="Arial" w:cs="Arial"/>
                <w:b/>
                <w:bCs/>
                <w:color w:val="000000"/>
                <w:sz w:val="20"/>
                <w:szCs w:val="20"/>
              </w:rPr>
            </w:pPr>
            <w:r w:rsidRPr="00C22406">
              <w:rPr>
                <w:rFonts w:ascii="Arial" w:eastAsia="Times New Roman" w:hAnsi="Arial" w:cs="Arial"/>
                <w:b/>
                <w:bCs/>
                <w:color w:val="000000"/>
                <w:sz w:val="20"/>
                <w:szCs w:val="20"/>
              </w:rPr>
              <w:t>1.560</w:t>
            </w:r>
          </w:p>
        </w:tc>
        <w:tc>
          <w:tcPr>
            <w:tcW w:w="850" w:type="dxa"/>
            <w:vAlign w:val="center"/>
            <w:hideMark/>
          </w:tcPr>
          <w:p w14:paraId="1B51CE90"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167</w:t>
            </w:r>
          </w:p>
        </w:tc>
        <w:tc>
          <w:tcPr>
            <w:tcW w:w="851" w:type="dxa"/>
            <w:vAlign w:val="center"/>
            <w:hideMark/>
          </w:tcPr>
          <w:p w14:paraId="2C6E2608"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12,0%</w:t>
            </w:r>
          </w:p>
        </w:tc>
        <w:tc>
          <w:tcPr>
            <w:tcW w:w="851" w:type="dxa"/>
            <w:vAlign w:val="center"/>
            <w:hideMark/>
          </w:tcPr>
          <w:p w14:paraId="18B5D1D5"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3,8%</w:t>
            </w:r>
          </w:p>
        </w:tc>
      </w:tr>
      <w:tr w:rsidR="00F40304" w:rsidRPr="00C22406" w14:paraId="2E05677C" w14:textId="77777777" w:rsidTr="00D639F1">
        <w:trPr>
          <w:trHeight w:val="528"/>
        </w:trPr>
        <w:tc>
          <w:tcPr>
            <w:tcW w:w="846" w:type="dxa"/>
            <w:hideMark/>
          </w:tcPr>
          <w:p w14:paraId="2BE216DA" w14:textId="77777777" w:rsidR="00F40304" w:rsidRPr="00C22406" w:rsidRDefault="00F40304" w:rsidP="00D639F1">
            <w:pPr>
              <w:jc w:val="center"/>
              <w:rPr>
                <w:rFonts w:ascii="Arial" w:eastAsia="Times New Roman" w:hAnsi="Arial" w:cs="Arial"/>
                <w:color w:val="000000"/>
                <w:sz w:val="20"/>
                <w:szCs w:val="20"/>
              </w:rPr>
            </w:pPr>
            <w:r w:rsidRPr="00C22406">
              <w:rPr>
                <w:rFonts w:ascii="Arial" w:eastAsia="Times New Roman" w:hAnsi="Arial" w:cs="Arial"/>
                <w:color w:val="000000"/>
                <w:sz w:val="20"/>
                <w:szCs w:val="20"/>
              </w:rPr>
              <w:t>II</w:t>
            </w:r>
          </w:p>
        </w:tc>
        <w:tc>
          <w:tcPr>
            <w:tcW w:w="2693" w:type="dxa"/>
            <w:hideMark/>
          </w:tcPr>
          <w:p w14:paraId="1B937134" w14:textId="77777777" w:rsidR="00F40304" w:rsidRPr="00C22406" w:rsidRDefault="00F40304" w:rsidP="00D639F1">
            <w:pPr>
              <w:rPr>
                <w:rFonts w:ascii="Arial" w:eastAsia="Times New Roman" w:hAnsi="Arial" w:cs="Arial"/>
                <w:i/>
                <w:color w:val="000000"/>
                <w:sz w:val="20"/>
                <w:szCs w:val="20"/>
                <w:lang w:val="pt-BR"/>
              </w:rPr>
            </w:pPr>
            <w:r w:rsidRPr="00C22406">
              <w:rPr>
                <w:rFonts w:ascii="Arial" w:eastAsia="Times New Roman" w:hAnsi="Arial" w:cs="Arial"/>
                <w:i/>
                <w:color w:val="000000"/>
                <w:sz w:val="20"/>
                <w:szCs w:val="20"/>
                <w:lang w:val="pt-BR"/>
              </w:rPr>
              <w:t>Patrimônio de Referência destacado para o setor público</w:t>
            </w:r>
          </w:p>
        </w:tc>
        <w:tc>
          <w:tcPr>
            <w:tcW w:w="850" w:type="dxa"/>
            <w:vAlign w:val="center"/>
            <w:hideMark/>
          </w:tcPr>
          <w:p w14:paraId="026AA0BA"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1.084</w:t>
            </w:r>
          </w:p>
        </w:tc>
        <w:tc>
          <w:tcPr>
            <w:tcW w:w="851" w:type="dxa"/>
            <w:vAlign w:val="center"/>
            <w:hideMark/>
          </w:tcPr>
          <w:p w14:paraId="4FA4A1F6"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1.101</w:t>
            </w:r>
          </w:p>
        </w:tc>
        <w:tc>
          <w:tcPr>
            <w:tcW w:w="850" w:type="dxa"/>
            <w:vAlign w:val="center"/>
            <w:hideMark/>
          </w:tcPr>
          <w:p w14:paraId="79E64284"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1.258</w:t>
            </w:r>
          </w:p>
        </w:tc>
        <w:tc>
          <w:tcPr>
            <w:tcW w:w="851" w:type="dxa"/>
            <w:vAlign w:val="center"/>
            <w:hideMark/>
          </w:tcPr>
          <w:p w14:paraId="1192C53B"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1.333</w:t>
            </w:r>
          </w:p>
        </w:tc>
        <w:tc>
          <w:tcPr>
            <w:tcW w:w="850" w:type="dxa"/>
            <w:vAlign w:val="center"/>
            <w:hideMark/>
          </w:tcPr>
          <w:p w14:paraId="46A524E7"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249</w:t>
            </w:r>
          </w:p>
        </w:tc>
        <w:tc>
          <w:tcPr>
            <w:tcW w:w="851" w:type="dxa"/>
            <w:vAlign w:val="center"/>
            <w:hideMark/>
          </w:tcPr>
          <w:p w14:paraId="48857BCC"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23,0%</w:t>
            </w:r>
          </w:p>
        </w:tc>
        <w:tc>
          <w:tcPr>
            <w:tcW w:w="851" w:type="dxa"/>
            <w:vAlign w:val="center"/>
            <w:hideMark/>
          </w:tcPr>
          <w:p w14:paraId="43EB1EB2"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7,1%</w:t>
            </w:r>
          </w:p>
        </w:tc>
      </w:tr>
      <w:tr w:rsidR="00F40304" w:rsidRPr="00C22406" w14:paraId="74AB7E8D" w14:textId="77777777" w:rsidTr="00D639F1">
        <w:trPr>
          <w:trHeight w:val="209"/>
        </w:trPr>
        <w:tc>
          <w:tcPr>
            <w:tcW w:w="846" w:type="dxa"/>
          </w:tcPr>
          <w:p w14:paraId="205FCB34" w14:textId="77777777" w:rsidR="00F40304" w:rsidRPr="00C22406" w:rsidRDefault="00F40304" w:rsidP="00D639F1">
            <w:pPr>
              <w:jc w:val="center"/>
              <w:rPr>
                <w:rFonts w:ascii="Arial" w:eastAsia="Times New Roman" w:hAnsi="Arial" w:cs="Arial"/>
                <w:color w:val="000000"/>
                <w:sz w:val="20"/>
                <w:szCs w:val="20"/>
              </w:rPr>
            </w:pPr>
          </w:p>
        </w:tc>
        <w:tc>
          <w:tcPr>
            <w:tcW w:w="2693" w:type="dxa"/>
          </w:tcPr>
          <w:p w14:paraId="1603447D" w14:textId="77777777" w:rsidR="00F40304" w:rsidRPr="00FB2B8A" w:rsidRDefault="00F40304" w:rsidP="00D639F1">
            <w:pPr>
              <w:rPr>
                <w:rFonts w:ascii="Arial" w:eastAsia="Times New Roman" w:hAnsi="Arial" w:cs="Arial"/>
                <w:i/>
                <w:color w:val="000000"/>
                <w:sz w:val="20"/>
                <w:szCs w:val="20"/>
                <w:lang w:val="pt-BR"/>
              </w:rPr>
            </w:pPr>
            <w:r w:rsidRPr="00FB2B8A">
              <w:rPr>
                <w:rFonts w:ascii="Arial" w:eastAsia="Times New Roman" w:hAnsi="Arial" w:cs="Arial"/>
                <w:i/>
                <w:color w:val="000000"/>
                <w:sz w:val="20"/>
                <w:szCs w:val="20"/>
                <w:lang w:val="pt-BR"/>
              </w:rPr>
              <w:t>Setor privado</w:t>
            </w:r>
          </w:p>
        </w:tc>
        <w:tc>
          <w:tcPr>
            <w:tcW w:w="850" w:type="dxa"/>
            <w:vAlign w:val="center"/>
          </w:tcPr>
          <w:p w14:paraId="1667248A" w14:textId="77777777" w:rsidR="00F40304" w:rsidRPr="00C22406" w:rsidRDefault="00F40304" w:rsidP="00D639F1">
            <w:pPr>
              <w:jc w:val="right"/>
              <w:rPr>
                <w:rFonts w:ascii="Arial" w:eastAsia="Times New Roman" w:hAnsi="Arial" w:cs="Arial"/>
                <w:color w:val="000000"/>
                <w:sz w:val="20"/>
                <w:szCs w:val="20"/>
              </w:rPr>
            </w:pPr>
          </w:p>
        </w:tc>
        <w:tc>
          <w:tcPr>
            <w:tcW w:w="851" w:type="dxa"/>
            <w:vAlign w:val="center"/>
          </w:tcPr>
          <w:p w14:paraId="0DF16D4B" w14:textId="77777777" w:rsidR="00F40304" w:rsidRPr="00C22406" w:rsidRDefault="00F40304" w:rsidP="00D639F1">
            <w:pPr>
              <w:jc w:val="right"/>
              <w:rPr>
                <w:rFonts w:ascii="Arial" w:eastAsia="Times New Roman" w:hAnsi="Arial" w:cs="Arial"/>
                <w:color w:val="000000"/>
                <w:sz w:val="20"/>
                <w:szCs w:val="20"/>
              </w:rPr>
            </w:pPr>
          </w:p>
        </w:tc>
        <w:tc>
          <w:tcPr>
            <w:tcW w:w="850" w:type="dxa"/>
            <w:vAlign w:val="center"/>
          </w:tcPr>
          <w:p w14:paraId="01FAA1B4" w14:textId="77777777" w:rsidR="00F40304" w:rsidRPr="00C22406" w:rsidRDefault="00F40304" w:rsidP="00D639F1">
            <w:pPr>
              <w:jc w:val="right"/>
              <w:rPr>
                <w:rFonts w:ascii="Arial" w:eastAsia="Times New Roman" w:hAnsi="Arial" w:cs="Arial"/>
                <w:color w:val="000000"/>
                <w:sz w:val="20"/>
                <w:szCs w:val="20"/>
              </w:rPr>
            </w:pPr>
          </w:p>
        </w:tc>
        <w:tc>
          <w:tcPr>
            <w:tcW w:w="851" w:type="dxa"/>
            <w:vAlign w:val="center"/>
          </w:tcPr>
          <w:p w14:paraId="071A2680" w14:textId="77777777" w:rsidR="00F40304" w:rsidRPr="00C22406" w:rsidRDefault="00F40304" w:rsidP="00D639F1">
            <w:pPr>
              <w:jc w:val="right"/>
              <w:rPr>
                <w:rFonts w:ascii="Arial" w:eastAsia="Times New Roman" w:hAnsi="Arial" w:cs="Arial"/>
                <w:color w:val="000000"/>
                <w:sz w:val="20"/>
                <w:szCs w:val="20"/>
              </w:rPr>
            </w:pPr>
          </w:p>
        </w:tc>
        <w:tc>
          <w:tcPr>
            <w:tcW w:w="850" w:type="dxa"/>
            <w:vAlign w:val="center"/>
          </w:tcPr>
          <w:p w14:paraId="1143A125" w14:textId="77777777" w:rsidR="00F40304" w:rsidRPr="00C22406" w:rsidRDefault="00F40304" w:rsidP="00D639F1">
            <w:pPr>
              <w:jc w:val="right"/>
              <w:rPr>
                <w:rFonts w:ascii="Arial" w:eastAsia="Times New Roman" w:hAnsi="Arial" w:cs="Arial"/>
                <w:color w:val="000000"/>
                <w:sz w:val="20"/>
                <w:szCs w:val="20"/>
              </w:rPr>
            </w:pPr>
          </w:p>
        </w:tc>
        <w:tc>
          <w:tcPr>
            <w:tcW w:w="851" w:type="dxa"/>
            <w:vAlign w:val="center"/>
          </w:tcPr>
          <w:p w14:paraId="6A89CC17" w14:textId="77777777" w:rsidR="00F40304" w:rsidRPr="00C22406" w:rsidRDefault="00F40304" w:rsidP="00D639F1">
            <w:pPr>
              <w:jc w:val="right"/>
              <w:rPr>
                <w:rFonts w:ascii="Arial" w:eastAsia="Times New Roman" w:hAnsi="Arial" w:cs="Arial"/>
                <w:color w:val="000000"/>
                <w:sz w:val="20"/>
                <w:szCs w:val="20"/>
              </w:rPr>
            </w:pPr>
          </w:p>
        </w:tc>
        <w:tc>
          <w:tcPr>
            <w:tcW w:w="851" w:type="dxa"/>
            <w:vAlign w:val="center"/>
          </w:tcPr>
          <w:p w14:paraId="43678022" w14:textId="77777777" w:rsidR="00F40304" w:rsidRPr="00C22406" w:rsidRDefault="00F40304" w:rsidP="00D639F1">
            <w:pPr>
              <w:jc w:val="right"/>
              <w:rPr>
                <w:rFonts w:ascii="Arial" w:eastAsia="Times New Roman" w:hAnsi="Arial" w:cs="Arial"/>
                <w:color w:val="000000"/>
                <w:sz w:val="20"/>
                <w:szCs w:val="20"/>
              </w:rPr>
            </w:pPr>
          </w:p>
        </w:tc>
      </w:tr>
      <w:tr w:rsidR="00F40304" w:rsidRPr="00C22406" w14:paraId="6FFC5468" w14:textId="77777777" w:rsidTr="00D639F1">
        <w:trPr>
          <w:trHeight w:val="528"/>
        </w:trPr>
        <w:tc>
          <w:tcPr>
            <w:tcW w:w="846" w:type="dxa"/>
            <w:hideMark/>
          </w:tcPr>
          <w:p w14:paraId="7222DE22" w14:textId="77777777" w:rsidR="00F40304" w:rsidRPr="00C22406" w:rsidRDefault="00F40304" w:rsidP="00D639F1">
            <w:pPr>
              <w:jc w:val="center"/>
              <w:rPr>
                <w:rFonts w:ascii="Arial" w:eastAsia="Times New Roman" w:hAnsi="Arial" w:cs="Arial"/>
                <w:color w:val="000000"/>
                <w:sz w:val="20"/>
                <w:szCs w:val="20"/>
              </w:rPr>
            </w:pPr>
            <w:r w:rsidRPr="00C22406">
              <w:rPr>
                <w:rFonts w:ascii="Arial" w:eastAsia="Times New Roman" w:hAnsi="Arial" w:cs="Arial"/>
                <w:color w:val="000000"/>
                <w:sz w:val="20"/>
                <w:szCs w:val="20"/>
              </w:rPr>
              <w:t>III</w:t>
            </w:r>
          </w:p>
        </w:tc>
        <w:tc>
          <w:tcPr>
            <w:tcW w:w="2693" w:type="dxa"/>
            <w:hideMark/>
          </w:tcPr>
          <w:p w14:paraId="3EB0A262" w14:textId="77777777" w:rsidR="00F40304" w:rsidRPr="00C22406" w:rsidRDefault="00F40304" w:rsidP="00D639F1">
            <w:pPr>
              <w:rPr>
                <w:rFonts w:ascii="Arial" w:eastAsia="Times New Roman" w:hAnsi="Arial" w:cs="Arial"/>
                <w:color w:val="000000"/>
                <w:sz w:val="20"/>
                <w:szCs w:val="20"/>
                <w:lang w:val="pt-BR"/>
              </w:rPr>
            </w:pPr>
            <w:r w:rsidRPr="00C22406">
              <w:rPr>
                <w:rFonts w:ascii="Arial" w:eastAsia="Times New Roman" w:hAnsi="Arial" w:cs="Arial"/>
                <w:color w:val="000000"/>
                <w:sz w:val="20"/>
                <w:szCs w:val="20"/>
                <w:lang w:val="pt-BR"/>
              </w:rPr>
              <w:t>Patrimônio de Referência do setor privado</w:t>
            </w:r>
          </w:p>
        </w:tc>
        <w:tc>
          <w:tcPr>
            <w:tcW w:w="850" w:type="dxa"/>
            <w:vAlign w:val="center"/>
            <w:hideMark/>
          </w:tcPr>
          <w:p w14:paraId="19524FF6"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309</w:t>
            </w:r>
          </w:p>
        </w:tc>
        <w:tc>
          <w:tcPr>
            <w:tcW w:w="851" w:type="dxa"/>
            <w:vAlign w:val="center"/>
            <w:hideMark/>
          </w:tcPr>
          <w:p w14:paraId="05D2595A"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340</w:t>
            </w:r>
          </w:p>
        </w:tc>
        <w:tc>
          <w:tcPr>
            <w:tcW w:w="850" w:type="dxa"/>
            <w:vAlign w:val="center"/>
            <w:hideMark/>
          </w:tcPr>
          <w:p w14:paraId="71BA8205"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285</w:t>
            </w:r>
          </w:p>
        </w:tc>
        <w:tc>
          <w:tcPr>
            <w:tcW w:w="851" w:type="dxa"/>
            <w:vAlign w:val="center"/>
            <w:hideMark/>
          </w:tcPr>
          <w:p w14:paraId="1B1B0017"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227</w:t>
            </w:r>
          </w:p>
        </w:tc>
        <w:tc>
          <w:tcPr>
            <w:tcW w:w="850" w:type="dxa"/>
            <w:vAlign w:val="center"/>
            <w:hideMark/>
          </w:tcPr>
          <w:p w14:paraId="75DF3903"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-82,0</w:t>
            </w:r>
          </w:p>
        </w:tc>
        <w:tc>
          <w:tcPr>
            <w:tcW w:w="851" w:type="dxa"/>
            <w:vAlign w:val="center"/>
            <w:hideMark/>
          </w:tcPr>
          <w:p w14:paraId="0F9B0CF2"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-26,5%</w:t>
            </w:r>
          </w:p>
        </w:tc>
        <w:tc>
          <w:tcPr>
            <w:tcW w:w="851" w:type="dxa"/>
            <w:vAlign w:val="center"/>
            <w:hideMark/>
          </w:tcPr>
          <w:p w14:paraId="4A4C6645"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-9,8%</w:t>
            </w:r>
          </w:p>
        </w:tc>
      </w:tr>
      <w:tr w:rsidR="00F40304" w:rsidRPr="00C22406" w14:paraId="7102FC12" w14:textId="77777777" w:rsidTr="00D639F1">
        <w:trPr>
          <w:trHeight w:val="528"/>
        </w:trPr>
        <w:tc>
          <w:tcPr>
            <w:tcW w:w="846" w:type="dxa"/>
            <w:hideMark/>
          </w:tcPr>
          <w:p w14:paraId="3E3F16D6" w14:textId="77777777" w:rsidR="00F40304" w:rsidRPr="00C22406" w:rsidRDefault="00F40304" w:rsidP="00D639F1">
            <w:pPr>
              <w:jc w:val="center"/>
              <w:rPr>
                <w:rFonts w:ascii="Arial" w:eastAsia="Times New Roman" w:hAnsi="Arial" w:cs="Arial"/>
                <w:color w:val="000000"/>
                <w:sz w:val="20"/>
                <w:szCs w:val="20"/>
              </w:rPr>
            </w:pPr>
            <w:r w:rsidRPr="00C22406">
              <w:rPr>
                <w:rFonts w:ascii="Arial" w:eastAsia="Times New Roman" w:hAnsi="Arial" w:cs="Arial"/>
                <w:color w:val="000000"/>
                <w:sz w:val="20"/>
                <w:szCs w:val="20"/>
              </w:rPr>
              <w:t>IV</w:t>
            </w:r>
          </w:p>
        </w:tc>
        <w:tc>
          <w:tcPr>
            <w:tcW w:w="2693" w:type="dxa"/>
            <w:hideMark/>
          </w:tcPr>
          <w:p w14:paraId="155BEFBA" w14:textId="77777777" w:rsidR="00F40304" w:rsidRPr="00C22406" w:rsidRDefault="00F40304" w:rsidP="00D639F1">
            <w:pPr>
              <w:rPr>
                <w:rFonts w:ascii="Arial" w:eastAsia="Times New Roman" w:hAnsi="Arial" w:cs="Arial"/>
                <w:color w:val="000000"/>
                <w:sz w:val="20"/>
                <w:szCs w:val="20"/>
                <w:lang w:val="pt-BR"/>
              </w:rPr>
            </w:pPr>
            <w:r w:rsidRPr="00C22406">
              <w:rPr>
                <w:rFonts w:ascii="Arial" w:eastAsia="Times New Roman" w:hAnsi="Arial" w:cs="Arial"/>
                <w:color w:val="000000"/>
                <w:sz w:val="20"/>
                <w:szCs w:val="20"/>
                <w:lang w:val="pt-BR"/>
              </w:rPr>
              <w:t>Ativos Ponderados pelo Risco (RWA) do setor privado</w:t>
            </w:r>
          </w:p>
        </w:tc>
        <w:tc>
          <w:tcPr>
            <w:tcW w:w="850" w:type="dxa"/>
            <w:vAlign w:val="center"/>
            <w:hideMark/>
          </w:tcPr>
          <w:p w14:paraId="03088033"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382</w:t>
            </w:r>
          </w:p>
        </w:tc>
        <w:tc>
          <w:tcPr>
            <w:tcW w:w="851" w:type="dxa"/>
            <w:vAlign w:val="center"/>
            <w:hideMark/>
          </w:tcPr>
          <w:p w14:paraId="782ADEE5"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433</w:t>
            </w:r>
          </w:p>
        </w:tc>
        <w:tc>
          <w:tcPr>
            <w:tcW w:w="850" w:type="dxa"/>
            <w:vAlign w:val="center"/>
            <w:hideMark/>
          </w:tcPr>
          <w:p w14:paraId="1FB5E424"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529</w:t>
            </w:r>
          </w:p>
        </w:tc>
        <w:tc>
          <w:tcPr>
            <w:tcW w:w="851" w:type="dxa"/>
            <w:vAlign w:val="center"/>
            <w:hideMark/>
          </w:tcPr>
          <w:p w14:paraId="1FFE07AE"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603</w:t>
            </w:r>
          </w:p>
        </w:tc>
        <w:tc>
          <w:tcPr>
            <w:tcW w:w="850" w:type="dxa"/>
            <w:vAlign w:val="center"/>
            <w:hideMark/>
          </w:tcPr>
          <w:p w14:paraId="6F796670"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221,0</w:t>
            </w:r>
          </w:p>
        </w:tc>
        <w:tc>
          <w:tcPr>
            <w:tcW w:w="851" w:type="dxa"/>
            <w:vAlign w:val="center"/>
            <w:hideMark/>
          </w:tcPr>
          <w:p w14:paraId="1F5BDACA"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57,9%</w:t>
            </w:r>
          </w:p>
        </w:tc>
        <w:tc>
          <w:tcPr>
            <w:tcW w:w="851" w:type="dxa"/>
            <w:vAlign w:val="center"/>
            <w:hideMark/>
          </w:tcPr>
          <w:p w14:paraId="21E533DA"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16,4%</w:t>
            </w:r>
          </w:p>
        </w:tc>
      </w:tr>
      <w:tr w:rsidR="00F40304" w:rsidRPr="00C22406" w14:paraId="2D97ED39" w14:textId="77777777" w:rsidTr="00D639F1">
        <w:trPr>
          <w:trHeight w:val="528"/>
        </w:trPr>
        <w:tc>
          <w:tcPr>
            <w:tcW w:w="846" w:type="dxa"/>
            <w:hideMark/>
          </w:tcPr>
          <w:p w14:paraId="1A8D427E" w14:textId="77777777" w:rsidR="00F40304" w:rsidRPr="00C22406" w:rsidRDefault="00F40304" w:rsidP="00D639F1">
            <w:pPr>
              <w:jc w:val="center"/>
              <w:rPr>
                <w:rFonts w:ascii="Arial" w:eastAsia="Times New Roman" w:hAnsi="Arial" w:cs="Arial"/>
                <w:color w:val="000000"/>
                <w:sz w:val="20"/>
                <w:szCs w:val="20"/>
              </w:rPr>
            </w:pPr>
            <w:r w:rsidRPr="00C22406">
              <w:rPr>
                <w:rFonts w:ascii="Arial" w:eastAsia="Times New Roman" w:hAnsi="Arial" w:cs="Arial"/>
                <w:color w:val="000000"/>
                <w:sz w:val="20"/>
                <w:szCs w:val="20"/>
              </w:rPr>
              <w:t>V = III/IV</w:t>
            </w:r>
          </w:p>
        </w:tc>
        <w:tc>
          <w:tcPr>
            <w:tcW w:w="2693" w:type="dxa"/>
            <w:hideMark/>
          </w:tcPr>
          <w:p w14:paraId="383C8A4E" w14:textId="77777777" w:rsidR="00F40304" w:rsidRPr="00C22406" w:rsidRDefault="00F40304" w:rsidP="00D639F1">
            <w:pPr>
              <w:rPr>
                <w:rFonts w:ascii="Arial" w:eastAsia="Times New Roman" w:hAnsi="Arial" w:cs="Arial"/>
                <w:color w:val="000000"/>
                <w:sz w:val="20"/>
                <w:szCs w:val="20"/>
                <w:lang w:val="pt-BR"/>
              </w:rPr>
            </w:pPr>
            <w:r w:rsidRPr="00C22406">
              <w:rPr>
                <w:rFonts w:ascii="Arial" w:eastAsia="Times New Roman" w:hAnsi="Arial" w:cs="Arial"/>
                <w:color w:val="000000"/>
                <w:sz w:val="20"/>
                <w:szCs w:val="20"/>
                <w:lang w:val="pt-BR"/>
              </w:rPr>
              <w:t>Índice de Capital Principal (Basileia) do setor privado</w:t>
            </w:r>
          </w:p>
        </w:tc>
        <w:tc>
          <w:tcPr>
            <w:tcW w:w="850" w:type="dxa"/>
            <w:vAlign w:val="center"/>
            <w:hideMark/>
          </w:tcPr>
          <w:p w14:paraId="0592A476"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80,95</w:t>
            </w:r>
          </w:p>
        </w:tc>
        <w:tc>
          <w:tcPr>
            <w:tcW w:w="851" w:type="dxa"/>
            <w:vAlign w:val="center"/>
            <w:hideMark/>
          </w:tcPr>
          <w:p w14:paraId="65BBF957"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78,48</w:t>
            </w:r>
          </w:p>
        </w:tc>
        <w:tc>
          <w:tcPr>
            <w:tcW w:w="850" w:type="dxa"/>
            <w:vAlign w:val="center"/>
            <w:hideMark/>
          </w:tcPr>
          <w:p w14:paraId="77595A77"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53,84</w:t>
            </w:r>
          </w:p>
        </w:tc>
        <w:tc>
          <w:tcPr>
            <w:tcW w:w="851" w:type="dxa"/>
            <w:vAlign w:val="center"/>
            <w:hideMark/>
          </w:tcPr>
          <w:p w14:paraId="39F07B98"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37,64</w:t>
            </w:r>
          </w:p>
        </w:tc>
        <w:tc>
          <w:tcPr>
            <w:tcW w:w="850" w:type="dxa"/>
            <w:vAlign w:val="center"/>
            <w:hideMark/>
          </w:tcPr>
          <w:p w14:paraId="59C25381"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-43,3</w:t>
            </w:r>
          </w:p>
        </w:tc>
        <w:tc>
          <w:tcPr>
            <w:tcW w:w="851" w:type="dxa"/>
            <w:vAlign w:val="center"/>
            <w:hideMark/>
          </w:tcPr>
          <w:p w14:paraId="0F0A5B2D"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-53,5%</w:t>
            </w:r>
          </w:p>
        </w:tc>
        <w:tc>
          <w:tcPr>
            <w:tcW w:w="851" w:type="dxa"/>
            <w:vAlign w:val="center"/>
            <w:hideMark/>
          </w:tcPr>
          <w:p w14:paraId="1B5882A0" w14:textId="77777777" w:rsidR="00F40304" w:rsidRPr="00C22406" w:rsidRDefault="00F40304" w:rsidP="00D639F1">
            <w:pPr>
              <w:jc w:val="right"/>
              <w:rPr>
                <w:rFonts w:ascii="Arial" w:eastAsia="Times New Roman" w:hAnsi="Arial" w:cs="Arial"/>
                <w:color w:val="000000"/>
                <w:sz w:val="20"/>
                <w:szCs w:val="20"/>
              </w:rPr>
            </w:pPr>
            <w:r w:rsidRPr="00C22406">
              <w:rPr>
                <w:rFonts w:ascii="Arial" w:eastAsia="Times New Roman" w:hAnsi="Arial" w:cs="Arial"/>
                <w:color w:val="000000"/>
                <w:sz w:val="20"/>
                <w:szCs w:val="20"/>
              </w:rPr>
              <w:t>-</w:t>
            </w:r>
            <w:r w:rsidRPr="005205CD">
              <w:rPr>
                <w:rFonts w:ascii="Arial" w:eastAsia="Times New Roman" w:hAnsi="Arial" w:cs="Arial"/>
                <w:color w:val="000000"/>
                <w:sz w:val="20"/>
                <w:szCs w:val="20"/>
              </w:rPr>
              <w:t>22,5%</w:t>
            </w:r>
          </w:p>
        </w:tc>
      </w:tr>
    </w:tbl>
    <w:p w14:paraId="7880BE79" w14:textId="77777777" w:rsidR="00C46123" w:rsidRPr="00CA2760" w:rsidRDefault="00C46123" w:rsidP="00C46123">
      <w:pPr>
        <w:spacing w:after="0" w:line="240" w:lineRule="auto"/>
        <w:ind w:left="113"/>
        <w:rPr>
          <w:rFonts w:ascii="Times New Roman" w:hAnsi="Times New Roman" w:cs="Times New Roman"/>
          <w:color w:val="000000"/>
          <w:lang w:val="pt-BR"/>
        </w:rPr>
      </w:pPr>
      <w:r w:rsidRPr="00CA2760">
        <w:rPr>
          <w:rFonts w:ascii="Times New Roman" w:hAnsi="Times New Roman" w:cs="Times New Roman"/>
          <w:color w:val="000000"/>
          <w:lang w:val="pt-BR"/>
        </w:rPr>
        <w:t>Fonte: Fomento Paraná:  Relatório Gerencial de Riscos: 2015, 2016 e 2017</w:t>
      </w:r>
    </w:p>
    <w:p w14:paraId="7E1818F2" w14:textId="77777777" w:rsidR="00C46123" w:rsidRPr="00CA2760" w:rsidRDefault="00C46123" w:rsidP="00C46123">
      <w:pPr>
        <w:spacing w:line="240" w:lineRule="auto"/>
        <w:rPr>
          <w:color w:val="000000"/>
          <w:highlight w:val="yellow"/>
          <w:lang w:val="pt-BR"/>
        </w:rPr>
      </w:pPr>
    </w:p>
    <w:p w14:paraId="06CA02B1" w14:textId="77777777" w:rsidR="001146D6" w:rsidRDefault="001146D6">
      <w:pPr>
        <w:rPr>
          <w:rFonts w:ascii="Times New Roman" w:eastAsia="Times New Roman" w:hAnsi="Times New Roman" w:cs="Times New Roman"/>
          <w:sz w:val="24"/>
          <w:szCs w:val="24"/>
          <w:u w:val="single"/>
          <w:lang w:val="pt-BR" w:eastAsia="pt-BR"/>
        </w:rPr>
      </w:pPr>
      <w:r>
        <w:rPr>
          <w:rFonts w:ascii="Times New Roman" w:eastAsia="Times New Roman" w:hAnsi="Times New Roman" w:cs="Times New Roman"/>
          <w:sz w:val="24"/>
          <w:szCs w:val="24"/>
          <w:u w:val="single"/>
          <w:lang w:val="pt-BR" w:eastAsia="pt-BR"/>
        </w:rPr>
        <w:br w:type="page"/>
      </w:r>
    </w:p>
    <w:p w14:paraId="7D81F8D1" w14:textId="14C5E40A" w:rsidR="00C46123" w:rsidRPr="00CA2760" w:rsidRDefault="00C46123" w:rsidP="00C46123">
      <w:pPr>
        <w:shd w:val="clear" w:color="auto" w:fill="FFFFFF"/>
        <w:spacing w:line="360" w:lineRule="auto"/>
        <w:rPr>
          <w:rFonts w:ascii="Times New Roman" w:eastAsia="Times New Roman" w:hAnsi="Times New Roman" w:cs="Times New Roman"/>
          <w:sz w:val="24"/>
          <w:szCs w:val="24"/>
          <w:u w:val="single"/>
          <w:lang w:val="pt-BR" w:eastAsia="pt-BR"/>
        </w:rPr>
      </w:pPr>
      <w:r w:rsidRPr="00CA2760">
        <w:rPr>
          <w:rFonts w:ascii="Times New Roman" w:eastAsia="Times New Roman" w:hAnsi="Times New Roman" w:cs="Times New Roman"/>
          <w:sz w:val="24"/>
          <w:szCs w:val="24"/>
          <w:u w:val="single"/>
          <w:lang w:val="pt-BR" w:eastAsia="pt-BR"/>
        </w:rPr>
        <w:lastRenderedPageBreak/>
        <w:t xml:space="preserve">Os </w:t>
      </w:r>
      <w:r w:rsidRPr="00CA2760">
        <w:rPr>
          <w:rFonts w:ascii="Times New Roman" w:eastAsia="Times New Roman" w:hAnsi="Times New Roman" w:cs="Times New Roman"/>
          <w:i/>
          <w:sz w:val="24"/>
          <w:szCs w:val="24"/>
          <w:u w:val="single"/>
          <w:lang w:val="pt-BR" w:eastAsia="pt-BR"/>
        </w:rPr>
        <w:t xml:space="preserve">ratings </w:t>
      </w:r>
      <w:r w:rsidRPr="00CA2760">
        <w:rPr>
          <w:rFonts w:ascii="Times New Roman" w:eastAsia="Times New Roman" w:hAnsi="Times New Roman" w:cs="Times New Roman"/>
          <w:sz w:val="24"/>
          <w:szCs w:val="24"/>
          <w:u w:val="single"/>
          <w:lang w:val="pt-BR" w:eastAsia="pt-BR"/>
        </w:rPr>
        <w:t>das Agências Fitch e Moody’s</w:t>
      </w:r>
    </w:p>
    <w:p w14:paraId="7E336255" w14:textId="7A3CAFEF" w:rsidR="00C46123" w:rsidRPr="00CA2760" w:rsidRDefault="00C46123" w:rsidP="00C46123">
      <w:pPr>
        <w:spacing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 xml:space="preserve">Em </w:t>
      </w:r>
      <w:r w:rsidR="0084383C" w:rsidRPr="00CA2760">
        <w:rPr>
          <w:rFonts w:ascii="Times New Roman" w:eastAsia="Times New Roman" w:hAnsi="Times New Roman" w:cs="Times New Roman"/>
          <w:sz w:val="24"/>
          <w:szCs w:val="24"/>
          <w:lang w:val="pt-BR"/>
        </w:rPr>
        <w:t>janeiro</w:t>
      </w:r>
      <w:r w:rsidRPr="00CA2760">
        <w:rPr>
          <w:rFonts w:ascii="Times New Roman" w:eastAsia="Times New Roman" w:hAnsi="Times New Roman" w:cs="Times New Roman"/>
          <w:sz w:val="24"/>
          <w:szCs w:val="24"/>
          <w:lang w:val="pt-BR"/>
        </w:rPr>
        <w:t xml:space="preserve"> de 2018, os ratings da Fomento Paraná fornecidos pelas agências classificadoras Moody’s</w:t>
      </w:r>
      <w:r w:rsidRPr="00CA2760">
        <w:rPr>
          <w:rStyle w:val="FootnoteReference"/>
          <w:rFonts w:ascii="Times New Roman" w:eastAsia="Times New Roman" w:hAnsi="Times New Roman" w:cs="Times New Roman"/>
          <w:sz w:val="24"/>
          <w:szCs w:val="24"/>
          <w:lang w:val="pt-BR"/>
        </w:rPr>
        <w:footnoteReference w:id="5"/>
      </w:r>
      <w:r w:rsidRPr="00CA2760">
        <w:rPr>
          <w:rFonts w:ascii="Times New Roman" w:eastAsia="Times New Roman" w:hAnsi="Times New Roman" w:cs="Times New Roman"/>
          <w:sz w:val="24"/>
          <w:szCs w:val="24"/>
          <w:lang w:val="pt-BR"/>
        </w:rPr>
        <w:t xml:space="preserve"> e Fitch</w:t>
      </w:r>
      <w:r w:rsidRPr="00CA2760">
        <w:rPr>
          <w:rStyle w:val="FootnoteReference"/>
          <w:rFonts w:ascii="Times New Roman" w:eastAsia="Times New Roman" w:hAnsi="Times New Roman" w:cs="Times New Roman"/>
          <w:sz w:val="24"/>
          <w:szCs w:val="24"/>
          <w:lang w:val="pt-BR"/>
        </w:rPr>
        <w:footnoteReference w:id="6"/>
      </w:r>
      <w:r w:rsidRPr="00CA2760">
        <w:rPr>
          <w:rFonts w:ascii="Times New Roman" w:eastAsia="Times New Roman" w:hAnsi="Times New Roman" w:cs="Times New Roman"/>
          <w:sz w:val="24"/>
          <w:szCs w:val="24"/>
          <w:lang w:val="pt-BR"/>
        </w:rPr>
        <w:t xml:space="preserve"> foram de grau de investimento na escala nacional brasileira para longo e curto prazos.  Porém, os ratings do Fomento Paraná na escala global não atingiram grau de investimento, em parte porque o </w:t>
      </w:r>
      <w:r w:rsidRPr="00CA2760">
        <w:rPr>
          <w:rFonts w:ascii="Times New Roman" w:eastAsia="Times New Roman" w:hAnsi="Times New Roman" w:cs="Times New Roman"/>
          <w:i/>
          <w:sz w:val="24"/>
          <w:szCs w:val="24"/>
          <w:lang w:val="pt-BR"/>
        </w:rPr>
        <w:t xml:space="preserve">rating </w:t>
      </w:r>
      <w:r w:rsidRPr="00CA2760">
        <w:rPr>
          <w:rFonts w:ascii="Times New Roman" w:eastAsia="Times New Roman" w:hAnsi="Times New Roman" w:cs="Times New Roman"/>
          <w:sz w:val="24"/>
          <w:szCs w:val="24"/>
          <w:lang w:val="pt-BR"/>
        </w:rPr>
        <w:t xml:space="preserve">soberano do Brasil ficou abaixo do grau de investimento. </w:t>
      </w:r>
    </w:p>
    <w:p w14:paraId="577B8F33" w14:textId="77777777" w:rsidR="006D2A84" w:rsidRDefault="00C46123" w:rsidP="00C46123">
      <w:pPr>
        <w:spacing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Em janeiro de 2018, a Fomento Paraná descontinuou os contratos com a Moody’s e com a Fitch. O Diretor Administrativo e Financeiro da Fomento Paraná explicou que "A retirada de rating por parte das agências classificadoras foi decorrente da decisão da Fomento Paraná em descontinuar o contrato de análise de crédito firmado com aquelas empresas, pois se tratava de investimento sem retorno em curto prazo, bem como não ser a classificação uma exigência para captações a partir de 2017.</w:t>
      </w:r>
      <w:r w:rsidR="00345EAC">
        <w:rPr>
          <w:rFonts w:ascii="Times New Roman" w:eastAsia="Times New Roman" w:hAnsi="Times New Roman" w:cs="Times New Roman"/>
          <w:sz w:val="24"/>
          <w:szCs w:val="24"/>
          <w:lang w:val="pt-BR"/>
        </w:rPr>
        <w:t>”</w:t>
      </w:r>
      <w:r w:rsidRPr="00CA2760">
        <w:rPr>
          <w:rFonts w:ascii="Times New Roman" w:eastAsia="Times New Roman" w:hAnsi="Times New Roman" w:cs="Times New Roman"/>
          <w:sz w:val="24"/>
          <w:szCs w:val="24"/>
          <w:lang w:val="pt-BR"/>
        </w:rPr>
        <w:t xml:space="preserve"> Ver a manifestação completa do Diretor no Anexo C.</w:t>
      </w:r>
      <w:bookmarkEnd w:id="20"/>
    </w:p>
    <w:p w14:paraId="457203BA" w14:textId="3EBA06E3" w:rsidR="006D2A84" w:rsidRPr="00A14342" w:rsidRDefault="006D2A84" w:rsidP="006D2A84">
      <w:pPr>
        <w:shd w:val="clear" w:color="auto" w:fill="FFFFFF"/>
        <w:spacing w:after="0" w:line="360" w:lineRule="auto"/>
        <w:rPr>
          <w:rFonts w:ascii="Times New Roman" w:eastAsia="Times New Roman" w:hAnsi="Times New Roman" w:cs="Times New Roman"/>
          <w:sz w:val="24"/>
          <w:szCs w:val="24"/>
          <w:lang w:val="pt-PT" w:eastAsia="pt-BR"/>
        </w:rPr>
      </w:pPr>
      <w:r w:rsidRPr="00A14342">
        <w:rPr>
          <w:rFonts w:ascii="Times New Roman" w:eastAsia="Times New Roman" w:hAnsi="Times New Roman" w:cs="Times New Roman"/>
          <w:sz w:val="24"/>
          <w:szCs w:val="24"/>
          <w:lang w:val="pt-PT" w:eastAsia="pt-BR"/>
        </w:rPr>
        <w:t xml:space="preserve">Durante a preparação do nosso relatório em 2014, uma das principais razões para a contratação das </w:t>
      </w:r>
      <w:r w:rsidRPr="006D2A84">
        <w:rPr>
          <w:rFonts w:ascii="Times New Roman" w:eastAsia="Times New Roman" w:hAnsi="Times New Roman" w:cs="Times New Roman"/>
          <w:sz w:val="24"/>
          <w:szCs w:val="24"/>
          <w:lang w:val="pt-PT" w:eastAsia="pt-BR"/>
        </w:rPr>
        <w:t xml:space="preserve">duas </w:t>
      </w:r>
      <w:r w:rsidRPr="006D2A84">
        <w:rPr>
          <w:rFonts w:ascii="Times New Roman" w:eastAsia="Times New Roman" w:hAnsi="Times New Roman" w:cs="Times New Roman"/>
          <w:i/>
          <w:sz w:val="24"/>
          <w:szCs w:val="24"/>
          <w:lang w:val="pt-PT" w:eastAsia="pt-BR"/>
        </w:rPr>
        <w:t xml:space="preserve">agências classificadoras </w:t>
      </w:r>
      <w:r w:rsidRPr="006D2A84">
        <w:rPr>
          <w:rFonts w:ascii="Times New Roman" w:eastAsia="Times New Roman" w:hAnsi="Times New Roman" w:cs="Times New Roman"/>
          <w:sz w:val="24"/>
          <w:szCs w:val="24"/>
          <w:lang w:val="pt-PT" w:eastAsia="pt-BR"/>
        </w:rPr>
        <w:t xml:space="preserve"> foi a preparação para eventuais atividades nos mercados de capitais privados, tais como emissão de títulos ou securitização. O cancelamento destes contratos com as </w:t>
      </w:r>
      <w:r w:rsidRPr="006D2A84">
        <w:rPr>
          <w:rFonts w:ascii="Times New Roman" w:eastAsia="Times New Roman" w:hAnsi="Times New Roman" w:cs="Times New Roman"/>
          <w:i/>
          <w:sz w:val="24"/>
          <w:szCs w:val="24"/>
          <w:lang w:val="pt-PT" w:eastAsia="pt-BR"/>
        </w:rPr>
        <w:t xml:space="preserve">agências classificadoras </w:t>
      </w:r>
      <w:r w:rsidRPr="006D2A84">
        <w:rPr>
          <w:rFonts w:ascii="Times New Roman" w:eastAsia="Times New Roman" w:hAnsi="Times New Roman" w:cs="Times New Roman"/>
          <w:sz w:val="24"/>
          <w:szCs w:val="24"/>
          <w:lang w:val="pt-PT" w:eastAsia="pt-BR"/>
        </w:rPr>
        <w:t>indica que isto não</w:t>
      </w:r>
      <w:r w:rsidRPr="00A14342">
        <w:rPr>
          <w:rFonts w:ascii="Times New Roman" w:eastAsia="Times New Roman" w:hAnsi="Times New Roman" w:cs="Times New Roman"/>
          <w:sz w:val="24"/>
          <w:szCs w:val="24"/>
          <w:lang w:val="pt-PT" w:eastAsia="pt-BR"/>
        </w:rPr>
        <w:t xml:space="preserve"> é mais o caso, ao menos a curto prazo.  No entanto, a Fomento Paraná poderia recontratar as agências se e quando for necessário. Como a classificação soberana do Brasil não está mais em um grau de investimento, a captura de recursos nos mercados internacionais, com termos razoáveis (como tinha sido planejado em 2014) seria difícil agora.</w:t>
      </w:r>
    </w:p>
    <w:p w14:paraId="4205C71E" w14:textId="77777777" w:rsidR="006D2A84" w:rsidRPr="00A14342" w:rsidRDefault="006D2A84" w:rsidP="006D2A84">
      <w:pPr>
        <w:shd w:val="clear" w:color="auto" w:fill="FFFFFF"/>
        <w:spacing w:after="0" w:line="360" w:lineRule="auto"/>
        <w:rPr>
          <w:rFonts w:ascii="Times New Roman" w:eastAsia="Times New Roman" w:hAnsi="Times New Roman" w:cs="Times New Roman"/>
          <w:sz w:val="24"/>
          <w:szCs w:val="24"/>
          <w:lang w:val="pt-PT" w:eastAsia="pt-BR"/>
        </w:rPr>
      </w:pPr>
    </w:p>
    <w:p w14:paraId="72B4ADDA" w14:textId="26B381A2" w:rsidR="006D2A84" w:rsidRPr="00A14342" w:rsidRDefault="006D2A84" w:rsidP="006D2A84">
      <w:pPr>
        <w:shd w:val="clear" w:color="auto" w:fill="FFFFFF"/>
        <w:spacing w:line="360" w:lineRule="auto"/>
        <w:rPr>
          <w:rFonts w:ascii="Times New Roman" w:eastAsia="Times New Roman" w:hAnsi="Times New Roman" w:cs="Times New Roman"/>
          <w:sz w:val="24"/>
          <w:szCs w:val="24"/>
          <w:lang w:val="pt-PT" w:eastAsia="pt-BR"/>
        </w:rPr>
      </w:pPr>
      <w:r w:rsidRPr="00A14342">
        <w:rPr>
          <w:rFonts w:ascii="Times New Roman" w:eastAsia="Times New Roman" w:hAnsi="Times New Roman" w:cs="Times New Roman"/>
          <w:sz w:val="24"/>
          <w:szCs w:val="24"/>
          <w:lang w:val="pt-PT" w:eastAsia="pt-BR"/>
        </w:rPr>
        <w:t xml:space="preserve">Outra consequência do cancelamento dos contratos </w:t>
      </w:r>
      <w:r w:rsidRPr="006D2A84">
        <w:rPr>
          <w:rFonts w:ascii="Times New Roman" w:eastAsia="Times New Roman" w:hAnsi="Times New Roman" w:cs="Times New Roman"/>
          <w:sz w:val="24"/>
          <w:szCs w:val="24"/>
          <w:lang w:val="pt-PT" w:eastAsia="pt-BR"/>
        </w:rPr>
        <w:t xml:space="preserve">com as </w:t>
      </w:r>
      <w:r w:rsidRPr="006D2A84">
        <w:rPr>
          <w:rFonts w:ascii="Times New Roman" w:eastAsia="Times New Roman" w:hAnsi="Times New Roman" w:cs="Times New Roman"/>
          <w:i/>
          <w:sz w:val="24"/>
          <w:szCs w:val="24"/>
          <w:lang w:val="pt-PT" w:eastAsia="pt-BR"/>
        </w:rPr>
        <w:t xml:space="preserve">agências classificadoras </w:t>
      </w:r>
      <w:r w:rsidRPr="006D2A84">
        <w:rPr>
          <w:rFonts w:ascii="Times New Roman" w:eastAsia="Times New Roman" w:hAnsi="Times New Roman" w:cs="Times New Roman"/>
          <w:sz w:val="24"/>
          <w:szCs w:val="24"/>
          <w:lang w:val="pt-PT" w:eastAsia="pt-BR"/>
        </w:rPr>
        <w:t>é que o BID</w:t>
      </w:r>
      <w:r w:rsidRPr="00A14342">
        <w:rPr>
          <w:rFonts w:ascii="Times New Roman" w:eastAsia="Times New Roman" w:hAnsi="Times New Roman" w:cs="Times New Roman"/>
          <w:sz w:val="24"/>
          <w:szCs w:val="24"/>
          <w:lang w:val="pt-PT" w:eastAsia="pt-BR"/>
        </w:rPr>
        <w:t xml:space="preserve"> e outras partes interessadas não terão estas duas entidades fornecendo monitoramento e avaliação do desempenho financeiro da Fomento Paraná. No entanto, já existem várias outras entidades relacionadas que fornecem este monitoramento e avaliação. Como a Fomento faz parte do sistema financeiro nacional do Brasil, está sujeita aos regulamentos do Banco Central e à supervisão de seu cumprimento.  O Banco Central e o Tribunal de Contas do estado do Paraná </w:t>
      </w:r>
      <w:r w:rsidRPr="00A14342">
        <w:rPr>
          <w:rFonts w:ascii="Times New Roman" w:eastAsia="Times New Roman" w:hAnsi="Times New Roman" w:cs="Times New Roman"/>
          <w:sz w:val="24"/>
          <w:szCs w:val="24"/>
          <w:lang w:val="pt-PT" w:eastAsia="pt-BR"/>
        </w:rPr>
        <w:lastRenderedPageBreak/>
        <w:t xml:space="preserve">auditam regularmente a Fomento. A empresa privada KPMG audita as contas da Fomento, de acordo com os requisitos do Banco Central e seus controles internos. Finalmente, os regulamentos financeiros requerem que o Comitê interno de auditorias da Fomento </w:t>
      </w:r>
      <w:r w:rsidR="009D36D9">
        <w:rPr>
          <w:rFonts w:ascii="Times New Roman" w:eastAsia="Times New Roman" w:hAnsi="Times New Roman" w:cs="Times New Roman"/>
          <w:sz w:val="24"/>
          <w:szCs w:val="24"/>
          <w:lang w:val="pt-PT" w:eastAsia="pt-BR"/>
        </w:rPr>
        <w:t xml:space="preserve">Paraná </w:t>
      </w:r>
      <w:r w:rsidRPr="00A14342">
        <w:rPr>
          <w:rFonts w:ascii="Times New Roman" w:eastAsia="Times New Roman" w:hAnsi="Times New Roman" w:cs="Times New Roman"/>
          <w:sz w:val="24"/>
          <w:szCs w:val="24"/>
          <w:lang w:val="pt-PT" w:eastAsia="pt-BR"/>
        </w:rPr>
        <w:t>e seu conselho fiscal atestam a validade de suas contas.</w:t>
      </w:r>
    </w:p>
    <w:p w14:paraId="68941919" w14:textId="3A3168FA" w:rsidR="00C46123" w:rsidRPr="00CA2760" w:rsidRDefault="00C46123" w:rsidP="00C46123">
      <w:pPr>
        <w:spacing w:line="360" w:lineRule="auto"/>
        <w:rPr>
          <w:rFonts w:ascii="Times New Roman" w:hAnsi="Times New Roman" w:cs="Times New Roman"/>
          <w:b/>
          <w:sz w:val="24"/>
          <w:szCs w:val="24"/>
          <w:lang w:val="pt-BR"/>
        </w:rPr>
      </w:pPr>
      <w:r w:rsidRPr="00CA2760">
        <w:rPr>
          <w:rFonts w:ascii="Times New Roman" w:hAnsi="Times New Roman" w:cs="Times New Roman"/>
          <w:b/>
          <w:sz w:val="24"/>
          <w:szCs w:val="24"/>
          <w:lang w:val="pt-BR"/>
        </w:rPr>
        <w:br w:type="page"/>
      </w:r>
    </w:p>
    <w:p w14:paraId="1493CAEC" w14:textId="4F80D860" w:rsidR="00C46123" w:rsidRPr="00CA2760" w:rsidRDefault="00C46123" w:rsidP="00B77382">
      <w:pPr>
        <w:pStyle w:val="BodyText"/>
        <w:spacing w:before="240" w:line="360" w:lineRule="auto"/>
        <w:jc w:val="center"/>
        <w:rPr>
          <w:rFonts w:ascii="Times New Roman" w:eastAsia="Calibri" w:hAnsi="Times New Roman" w:cs="Times New Roman"/>
          <w:b/>
          <w:sz w:val="24"/>
          <w:szCs w:val="24"/>
          <w:u w:val="single"/>
          <w:lang w:val="pt-BR"/>
        </w:rPr>
      </w:pPr>
      <w:r w:rsidRPr="00CA2760">
        <w:rPr>
          <w:rFonts w:ascii="Times New Roman" w:eastAsia="Calibri" w:hAnsi="Times New Roman"/>
          <w:b/>
          <w:sz w:val="24"/>
          <w:szCs w:val="24"/>
          <w:u w:val="single"/>
          <w:lang w:val="pt-BR"/>
        </w:rPr>
        <w:lastRenderedPageBreak/>
        <w:t>Cap</w:t>
      </w:r>
      <w:r w:rsidR="00721876">
        <w:rPr>
          <w:rFonts w:ascii="Times New Roman" w:eastAsia="Calibri" w:hAnsi="Times New Roman"/>
          <w:b/>
          <w:sz w:val="24"/>
          <w:szCs w:val="24"/>
          <w:u w:val="single"/>
          <w:lang w:val="pt-BR"/>
        </w:rPr>
        <w:t>í</w:t>
      </w:r>
      <w:r w:rsidRPr="00CA2760">
        <w:rPr>
          <w:rFonts w:ascii="Times New Roman" w:eastAsia="Calibri" w:hAnsi="Times New Roman"/>
          <w:b/>
          <w:sz w:val="24"/>
          <w:szCs w:val="24"/>
          <w:u w:val="single"/>
          <w:lang w:val="pt-BR"/>
        </w:rPr>
        <w:t xml:space="preserve">tulo II. </w:t>
      </w:r>
      <w:r w:rsidRPr="00CA2760">
        <w:rPr>
          <w:rFonts w:ascii="Times New Roman" w:eastAsia="Calibri" w:hAnsi="Times New Roman" w:cs="Times New Roman"/>
          <w:b/>
          <w:sz w:val="24"/>
          <w:szCs w:val="24"/>
          <w:u w:val="single"/>
          <w:lang w:val="pt-BR"/>
        </w:rPr>
        <w:t>Revis</w:t>
      </w:r>
      <w:r w:rsidRPr="00CA2760">
        <w:rPr>
          <w:rFonts w:ascii="Times New Roman" w:eastAsia="Calibri" w:hAnsi="Times New Roman"/>
          <w:b/>
          <w:sz w:val="24"/>
          <w:szCs w:val="24"/>
          <w:u w:val="single"/>
          <w:lang w:val="pt-BR"/>
        </w:rPr>
        <w:t>ão d</w:t>
      </w:r>
      <w:r w:rsidRPr="00CA2760">
        <w:rPr>
          <w:rFonts w:ascii="Times New Roman" w:eastAsia="Calibri" w:hAnsi="Times New Roman" w:cs="Times New Roman"/>
          <w:b/>
          <w:sz w:val="24"/>
          <w:szCs w:val="24"/>
          <w:u w:val="single"/>
          <w:lang w:val="pt-BR"/>
        </w:rPr>
        <w:t xml:space="preserve">a </w:t>
      </w:r>
      <w:r w:rsidR="001B22E4">
        <w:rPr>
          <w:rFonts w:ascii="Times New Roman" w:eastAsia="Calibri" w:hAnsi="Times New Roman" w:cs="Times New Roman"/>
          <w:b/>
          <w:sz w:val="24"/>
          <w:szCs w:val="24"/>
          <w:u w:val="single"/>
          <w:lang w:val="pt-BR"/>
        </w:rPr>
        <w:t>m</w:t>
      </w:r>
      <w:r w:rsidRPr="00CA2760">
        <w:rPr>
          <w:rFonts w:ascii="Times New Roman" w:eastAsia="Calibri" w:hAnsi="Times New Roman" w:cs="Times New Roman"/>
          <w:b/>
          <w:sz w:val="24"/>
          <w:szCs w:val="24"/>
          <w:u w:val="single"/>
          <w:lang w:val="pt-BR"/>
        </w:rPr>
        <w:t xml:space="preserve">atriz de </w:t>
      </w:r>
      <w:r w:rsidR="001B22E4">
        <w:rPr>
          <w:rFonts w:ascii="Times New Roman" w:eastAsia="Calibri" w:hAnsi="Times New Roman" w:cs="Times New Roman"/>
          <w:b/>
          <w:sz w:val="24"/>
          <w:szCs w:val="24"/>
          <w:u w:val="single"/>
          <w:lang w:val="pt-BR"/>
        </w:rPr>
        <w:t>f</w:t>
      </w:r>
      <w:r w:rsidRPr="00CA2760">
        <w:rPr>
          <w:rFonts w:ascii="Times New Roman" w:eastAsia="Calibri" w:hAnsi="Times New Roman" w:cs="Times New Roman"/>
          <w:b/>
          <w:sz w:val="24"/>
          <w:szCs w:val="24"/>
          <w:u w:val="single"/>
          <w:lang w:val="pt-BR"/>
        </w:rPr>
        <w:t>inanciamento do FDU</w:t>
      </w:r>
    </w:p>
    <w:p w14:paraId="0EF6DA6A" w14:textId="1CF9C161" w:rsidR="00B77382" w:rsidRPr="007B06E9" w:rsidRDefault="00B77382" w:rsidP="00B77382">
      <w:pPr>
        <w:spacing w:before="240" w:after="120" w:line="360" w:lineRule="auto"/>
        <w:rPr>
          <w:rFonts w:ascii="Times New Roman" w:hAnsi="Times New Roman" w:cs="Times New Roman"/>
          <w:sz w:val="24"/>
          <w:szCs w:val="24"/>
          <w:lang w:val="pt-PT"/>
        </w:rPr>
      </w:pPr>
      <w:r w:rsidRPr="00B77382">
        <w:rPr>
          <w:rFonts w:ascii="Times New Roman" w:hAnsi="Times New Roman" w:cs="Times New Roman"/>
          <w:sz w:val="24"/>
          <w:szCs w:val="24"/>
          <w:lang w:val="pt-PT"/>
        </w:rPr>
        <w:t>A matriz de financiamento cobre todos os termos dos empréstimos do FDU, incluindo as taxas de juros, prazos, período de carência e percentual de custo do projeto a ser financiado.</w:t>
      </w:r>
      <w:r>
        <w:rPr>
          <w:rFonts w:ascii="Times New Roman" w:hAnsi="Times New Roman" w:cs="Times New Roman"/>
          <w:sz w:val="24"/>
          <w:szCs w:val="24"/>
          <w:lang w:val="pt-PT"/>
        </w:rPr>
        <w:t xml:space="preserve">  </w:t>
      </w:r>
      <w:r w:rsidRPr="00B77382">
        <w:rPr>
          <w:rFonts w:ascii="Times New Roman" w:hAnsi="Times New Roman" w:cs="Times New Roman"/>
          <w:sz w:val="24"/>
          <w:szCs w:val="24"/>
          <w:lang w:val="pt-BR"/>
        </w:rPr>
        <w:t xml:space="preserve">Este capítulo cobrirá </w:t>
      </w:r>
      <w:r>
        <w:rPr>
          <w:rFonts w:ascii="Times New Roman" w:hAnsi="Times New Roman" w:cs="Times New Roman"/>
          <w:sz w:val="24"/>
          <w:szCs w:val="24"/>
          <w:lang w:val="pt-BR"/>
        </w:rPr>
        <w:t>o</w:t>
      </w:r>
      <w:r w:rsidRPr="007B06E9">
        <w:rPr>
          <w:rFonts w:ascii="Times New Roman" w:hAnsi="Times New Roman" w:cs="Times New Roman"/>
          <w:sz w:val="24"/>
          <w:szCs w:val="24"/>
          <w:lang w:val="pt-PT"/>
        </w:rPr>
        <w:t xml:space="preserve"> volume de empréstimos municipais pelo FDU</w:t>
      </w:r>
      <w:r>
        <w:rPr>
          <w:rFonts w:ascii="Times New Roman" w:hAnsi="Times New Roman" w:cs="Times New Roman"/>
          <w:sz w:val="24"/>
          <w:szCs w:val="24"/>
          <w:lang w:val="pt-PT"/>
        </w:rPr>
        <w:t>, o</w:t>
      </w:r>
      <w:r w:rsidRPr="00B77382">
        <w:rPr>
          <w:rFonts w:ascii="Times New Roman" w:hAnsi="Times New Roman" w:cs="Times New Roman"/>
          <w:sz w:val="24"/>
          <w:szCs w:val="24"/>
          <w:lang w:val="pt-PT"/>
        </w:rPr>
        <w:t>s termos dos empéstimos e a Taxa de Longo Prazo (TLP)</w:t>
      </w:r>
      <w:r w:rsidR="009D36D9">
        <w:rPr>
          <w:rFonts w:ascii="Times New Roman" w:hAnsi="Times New Roman" w:cs="Times New Roman"/>
          <w:sz w:val="24"/>
          <w:szCs w:val="24"/>
          <w:lang w:val="pt-PT"/>
        </w:rPr>
        <w:t>.</w:t>
      </w:r>
    </w:p>
    <w:p w14:paraId="04DC765C" w14:textId="3A101A05" w:rsidR="00C46123" w:rsidRPr="00CA2760" w:rsidRDefault="00C46123" w:rsidP="00C46123">
      <w:pPr>
        <w:spacing w:line="360" w:lineRule="auto"/>
        <w:jc w:val="center"/>
        <w:rPr>
          <w:rFonts w:ascii="Times New Roman" w:hAnsi="Times New Roman" w:cs="Times New Roman"/>
          <w:b/>
          <w:sz w:val="24"/>
          <w:szCs w:val="24"/>
          <w:lang w:val="pt-BR"/>
        </w:rPr>
      </w:pPr>
      <w:r w:rsidRPr="00CA2760">
        <w:rPr>
          <w:rFonts w:ascii="Times New Roman" w:hAnsi="Times New Roman" w:cs="Times New Roman"/>
          <w:b/>
          <w:sz w:val="24"/>
          <w:szCs w:val="24"/>
          <w:lang w:val="pt-BR"/>
        </w:rPr>
        <w:t xml:space="preserve">O volume de empréstimos municipais </w:t>
      </w:r>
      <w:r w:rsidR="001B22E4">
        <w:rPr>
          <w:rFonts w:ascii="Times New Roman" w:hAnsi="Times New Roman" w:cs="Times New Roman"/>
          <w:b/>
          <w:sz w:val="24"/>
          <w:szCs w:val="24"/>
          <w:lang w:val="pt-BR"/>
        </w:rPr>
        <w:t>através do</w:t>
      </w:r>
      <w:r w:rsidR="001B22E4" w:rsidRPr="00CA2760">
        <w:rPr>
          <w:rFonts w:ascii="Times New Roman" w:hAnsi="Times New Roman" w:cs="Times New Roman"/>
          <w:b/>
          <w:sz w:val="24"/>
          <w:szCs w:val="24"/>
          <w:lang w:val="pt-BR"/>
        </w:rPr>
        <w:t xml:space="preserve"> </w:t>
      </w:r>
      <w:r w:rsidRPr="00CA2760">
        <w:rPr>
          <w:rFonts w:ascii="Times New Roman" w:hAnsi="Times New Roman" w:cs="Times New Roman"/>
          <w:b/>
          <w:sz w:val="24"/>
          <w:szCs w:val="24"/>
          <w:lang w:val="pt-BR"/>
        </w:rPr>
        <w:t>FDU</w:t>
      </w:r>
    </w:p>
    <w:p w14:paraId="18B56ADC" w14:textId="691CE136" w:rsidR="00C46123" w:rsidRPr="00CA2760" w:rsidRDefault="00C46123" w:rsidP="00C46123">
      <w:pPr>
        <w:spacing w:line="360" w:lineRule="auto"/>
        <w:rPr>
          <w:rFonts w:ascii="Times New Roman" w:hAnsi="Times New Roman" w:cs="Times New Roman"/>
          <w:b/>
          <w:sz w:val="24"/>
          <w:szCs w:val="24"/>
          <w:lang w:val="pt-BR"/>
        </w:rPr>
      </w:pPr>
      <w:r w:rsidRPr="00EB209E">
        <w:rPr>
          <w:rFonts w:ascii="Times New Roman" w:hAnsi="Times New Roman" w:cs="Times New Roman"/>
          <w:sz w:val="24"/>
          <w:szCs w:val="24"/>
          <w:lang w:val="pt-BR"/>
        </w:rPr>
        <w:t>Desde o início da execução do segundo empréstimo do Paraná em 2003, o FDU liberou R$3,4 bilhões em valores constantes de 2017 (US$1</w:t>
      </w:r>
      <w:r w:rsidR="00131239" w:rsidRPr="00EB209E">
        <w:rPr>
          <w:rFonts w:ascii="Times New Roman" w:hAnsi="Times New Roman" w:cs="Times New Roman"/>
          <w:sz w:val="24"/>
          <w:szCs w:val="24"/>
          <w:lang w:val="pt-BR"/>
        </w:rPr>
        <w:t>,</w:t>
      </w:r>
      <w:r w:rsidRPr="00EB209E">
        <w:rPr>
          <w:rFonts w:ascii="Times New Roman" w:hAnsi="Times New Roman" w:cs="Times New Roman"/>
          <w:sz w:val="24"/>
          <w:szCs w:val="24"/>
          <w:lang w:val="pt-BR"/>
        </w:rPr>
        <w:t xml:space="preserve">1 bilhão) aos municípios. </w:t>
      </w:r>
      <w:r w:rsidRPr="00EB209E">
        <w:rPr>
          <w:rStyle w:val="ts-alignment-element"/>
          <w:rFonts w:ascii="Times New Roman" w:hAnsi="Times New Roman" w:cs="Times New Roman"/>
          <w:sz w:val="24"/>
          <w:szCs w:val="24"/>
          <w:lang w:val="pt-BR"/>
        </w:rPr>
        <w:t>Veja</w:t>
      </w:r>
      <w:r w:rsidRPr="00EB209E">
        <w:rPr>
          <w:rFonts w:ascii="Times New Roman" w:hAnsi="Times New Roman" w:cs="Times New Roman"/>
          <w:sz w:val="24"/>
          <w:szCs w:val="24"/>
          <w:lang w:val="pt-BR"/>
        </w:rPr>
        <w:t xml:space="preserve"> a </w:t>
      </w:r>
      <w:r w:rsidRPr="00EB209E">
        <w:rPr>
          <w:rStyle w:val="ts-alignment-element"/>
          <w:rFonts w:ascii="Times New Roman" w:hAnsi="Times New Roman" w:cs="Times New Roman"/>
          <w:sz w:val="24"/>
          <w:szCs w:val="24"/>
          <w:lang w:val="pt-BR"/>
        </w:rPr>
        <w:t>tabela</w:t>
      </w:r>
      <w:r w:rsidRPr="00EB209E">
        <w:rPr>
          <w:rFonts w:ascii="Times New Roman" w:hAnsi="Times New Roman" w:cs="Times New Roman"/>
          <w:sz w:val="24"/>
          <w:szCs w:val="24"/>
          <w:lang w:val="pt-BR"/>
        </w:rPr>
        <w:t xml:space="preserve"> </w:t>
      </w:r>
      <w:r w:rsidR="00716232" w:rsidRPr="00EB209E">
        <w:rPr>
          <w:rStyle w:val="ts-alignment-element"/>
          <w:rFonts w:ascii="Times New Roman" w:hAnsi="Times New Roman" w:cs="Times New Roman"/>
          <w:sz w:val="24"/>
          <w:szCs w:val="24"/>
          <w:lang w:val="pt-BR"/>
        </w:rPr>
        <w:t>9</w:t>
      </w:r>
      <w:r w:rsidRPr="00EB209E">
        <w:rPr>
          <w:rStyle w:val="ts-alignment-element"/>
          <w:rFonts w:ascii="Times New Roman" w:hAnsi="Times New Roman" w:cs="Times New Roman"/>
          <w:sz w:val="24"/>
          <w:szCs w:val="24"/>
          <w:lang w:val="pt-BR"/>
        </w:rPr>
        <w:t>.</w:t>
      </w:r>
      <w:r w:rsidRPr="00EB209E">
        <w:rPr>
          <w:rFonts w:ascii="Times New Roman" w:hAnsi="Times New Roman" w:cs="Times New Roman"/>
          <w:sz w:val="24"/>
          <w:szCs w:val="24"/>
          <w:lang w:val="pt-BR"/>
        </w:rPr>
        <w:t xml:space="preserve"> Mesmo com a grande recessão no período entre 2014/2016, o </w:t>
      </w:r>
      <w:r w:rsidR="007D32D9" w:rsidRPr="00EB209E">
        <w:rPr>
          <w:rFonts w:ascii="Times New Roman" w:hAnsi="Times New Roman" w:cs="Times New Roman"/>
          <w:sz w:val="24"/>
          <w:szCs w:val="24"/>
          <w:lang w:val="pt-BR"/>
        </w:rPr>
        <w:t xml:space="preserve">FDU </w:t>
      </w:r>
      <w:r w:rsidRPr="00EB209E">
        <w:rPr>
          <w:rFonts w:ascii="Times New Roman" w:hAnsi="Times New Roman" w:cs="Times New Roman"/>
          <w:sz w:val="24"/>
          <w:szCs w:val="24"/>
          <w:lang w:val="pt-BR"/>
        </w:rPr>
        <w:t>contraiu uma média anual de R$242</w:t>
      </w:r>
      <w:r w:rsidR="008E5F2E" w:rsidRPr="00EB209E">
        <w:rPr>
          <w:rFonts w:ascii="Times New Roman" w:hAnsi="Times New Roman" w:cs="Times New Roman"/>
          <w:sz w:val="24"/>
          <w:szCs w:val="24"/>
          <w:lang w:val="pt-BR"/>
        </w:rPr>
        <w:t>,</w:t>
      </w:r>
      <w:r w:rsidRPr="00EB209E">
        <w:rPr>
          <w:rFonts w:ascii="Times New Roman" w:hAnsi="Times New Roman" w:cs="Times New Roman"/>
          <w:sz w:val="24"/>
          <w:szCs w:val="24"/>
          <w:lang w:val="pt-BR"/>
        </w:rPr>
        <w:t>3 milhões (US$75</w:t>
      </w:r>
      <w:r w:rsidR="008E5F2E" w:rsidRPr="00EB209E">
        <w:rPr>
          <w:rFonts w:ascii="Times New Roman" w:hAnsi="Times New Roman" w:cs="Times New Roman"/>
          <w:sz w:val="24"/>
          <w:szCs w:val="24"/>
          <w:lang w:val="pt-BR"/>
        </w:rPr>
        <w:t>,</w:t>
      </w:r>
      <w:r w:rsidRPr="00EB209E">
        <w:rPr>
          <w:rFonts w:ascii="Times New Roman" w:hAnsi="Times New Roman" w:cs="Times New Roman"/>
          <w:sz w:val="24"/>
          <w:szCs w:val="24"/>
          <w:lang w:val="pt-BR"/>
        </w:rPr>
        <w:t>7 milhões) em empréstimos para o período de 2014/2017. No entanto, o montante contratado em 2017 foi de cerca de 12,5%</w:t>
      </w:r>
      <w:r w:rsidR="008E5F2E" w:rsidRPr="00EB209E">
        <w:rPr>
          <w:rFonts w:ascii="Times New Roman" w:hAnsi="Times New Roman" w:cs="Times New Roman"/>
          <w:sz w:val="24"/>
          <w:szCs w:val="24"/>
          <w:lang w:val="pt-BR"/>
        </w:rPr>
        <w:t xml:space="preserve"> (R</w:t>
      </w:r>
      <w:r w:rsidR="008C5690" w:rsidRPr="00EB209E">
        <w:rPr>
          <w:rFonts w:ascii="Times New Roman" w:hAnsi="Times New Roman" w:cs="Times New Roman"/>
          <w:sz w:val="24"/>
          <w:szCs w:val="24"/>
          <w:lang w:val="pt-BR"/>
        </w:rPr>
        <w:t>$</w:t>
      </w:r>
      <w:r w:rsidR="008E5F2E" w:rsidRPr="00EB209E">
        <w:rPr>
          <w:rFonts w:ascii="Times New Roman" w:hAnsi="Times New Roman" w:cs="Times New Roman"/>
          <w:sz w:val="24"/>
          <w:szCs w:val="24"/>
          <w:lang w:val="pt-BR"/>
        </w:rPr>
        <w:t>212,1)</w:t>
      </w:r>
      <w:r w:rsidRPr="00EB209E">
        <w:rPr>
          <w:rFonts w:ascii="Times New Roman" w:hAnsi="Times New Roman" w:cs="Times New Roman"/>
          <w:sz w:val="24"/>
          <w:szCs w:val="24"/>
          <w:lang w:val="pt-BR"/>
        </w:rPr>
        <w:t xml:space="preserve"> inferior </w:t>
      </w:r>
      <w:r w:rsidR="0084383C" w:rsidRPr="00EB209E">
        <w:rPr>
          <w:rFonts w:ascii="Times New Roman" w:hAnsi="Times New Roman" w:cs="Times New Roman"/>
          <w:sz w:val="24"/>
          <w:szCs w:val="24"/>
          <w:lang w:val="pt-BR"/>
        </w:rPr>
        <w:t>à</w:t>
      </w:r>
      <w:r w:rsidRPr="00EB209E">
        <w:rPr>
          <w:rFonts w:ascii="Times New Roman" w:hAnsi="Times New Roman" w:cs="Times New Roman"/>
          <w:sz w:val="24"/>
          <w:szCs w:val="24"/>
          <w:lang w:val="pt-BR"/>
        </w:rPr>
        <w:t xml:space="preserve"> média anual </w:t>
      </w:r>
      <w:r w:rsidR="008E5F2E" w:rsidRPr="00EB209E">
        <w:rPr>
          <w:rFonts w:ascii="Times New Roman" w:hAnsi="Times New Roman" w:cs="Times New Roman"/>
          <w:sz w:val="24"/>
          <w:szCs w:val="24"/>
          <w:lang w:val="pt-BR"/>
        </w:rPr>
        <w:t>do</w:t>
      </w:r>
      <w:r w:rsidRPr="00EB209E">
        <w:rPr>
          <w:rFonts w:ascii="Times New Roman" w:hAnsi="Times New Roman" w:cs="Times New Roman"/>
          <w:sz w:val="24"/>
          <w:szCs w:val="24"/>
          <w:lang w:val="pt-BR"/>
        </w:rPr>
        <w:t xml:space="preserve"> período, possivelmente devido aos efeitos tardios da recessão.</w:t>
      </w:r>
    </w:p>
    <w:p w14:paraId="02D13FAF" w14:textId="47D35E75" w:rsidR="00C46123" w:rsidRPr="00CA2760" w:rsidRDefault="00C46123" w:rsidP="00C46123">
      <w:pPr>
        <w:spacing w:after="0" w:line="360" w:lineRule="auto"/>
        <w:rPr>
          <w:rFonts w:ascii="Times New Roman" w:hAnsi="Times New Roman" w:cs="Times New Roman"/>
          <w:sz w:val="24"/>
          <w:szCs w:val="24"/>
          <w:lang w:val="pt-BR"/>
        </w:rPr>
      </w:pPr>
      <w:r w:rsidRPr="00125E59">
        <w:rPr>
          <w:rFonts w:ascii="Times New Roman" w:hAnsi="Times New Roman" w:cs="Times New Roman"/>
          <w:sz w:val="24"/>
          <w:szCs w:val="24"/>
          <w:lang w:val="pt-BR"/>
        </w:rPr>
        <w:t xml:space="preserve">Tabela </w:t>
      </w:r>
      <w:r w:rsidR="00716232">
        <w:rPr>
          <w:rFonts w:ascii="Times New Roman" w:hAnsi="Times New Roman" w:cs="Times New Roman"/>
          <w:sz w:val="24"/>
          <w:szCs w:val="24"/>
          <w:lang w:val="pt-BR"/>
        </w:rPr>
        <w:t>9</w:t>
      </w:r>
      <w:r w:rsidRPr="00125E59">
        <w:rPr>
          <w:rFonts w:ascii="Times New Roman" w:hAnsi="Times New Roman" w:cs="Times New Roman"/>
          <w:sz w:val="24"/>
          <w:szCs w:val="24"/>
          <w:lang w:val="pt-BR"/>
        </w:rPr>
        <w:t>.</w:t>
      </w:r>
      <w:r w:rsidRPr="00393569">
        <w:rPr>
          <w:rFonts w:ascii="Times New Roman" w:hAnsi="Times New Roman" w:cs="Times New Roman"/>
          <w:sz w:val="24"/>
          <w:szCs w:val="24"/>
          <w:lang w:val="pt-BR"/>
        </w:rPr>
        <w:t xml:space="preserve"> </w:t>
      </w:r>
      <w:r w:rsidR="007D32D9">
        <w:rPr>
          <w:rFonts w:ascii="Times New Roman" w:hAnsi="Times New Roman" w:cs="Times New Roman"/>
          <w:sz w:val="24"/>
          <w:szCs w:val="24"/>
          <w:lang w:val="pt-BR"/>
        </w:rPr>
        <w:t>FDU:</w:t>
      </w:r>
      <w:r w:rsidRPr="00393569">
        <w:rPr>
          <w:rFonts w:ascii="Times New Roman" w:hAnsi="Times New Roman" w:cs="Times New Roman"/>
          <w:sz w:val="24"/>
          <w:szCs w:val="24"/>
          <w:lang w:val="pt-BR"/>
        </w:rPr>
        <w:t xml:space="preserve">  Valores</w:t>
      </w:r>
      <w:r w:rsidRPr="00CA2760">
        <w:rPr>
          <w:rFonts w:ascii="Times New Roman" w:hAnsi="Times New Roman" w:cs="Times New Roman"/>
          <w:sz w:val="24"/>
          <w:szCs w:val="24"/>
          <w:lang w:val="pt-BR"/>
        </w:rPr>
        <w:t xml:space="preserve"> contratados e liberados: 2003/ 2017</w:t>
      </w:r>
    </w:p>
    <w:tbl>
      <w:tblPr>
        <w:tblStyle w:val="TableGrid"/>
        <w:tblW w:w="0" w:type="auto"/>
        <w:tblLook w:val="04A0" w:firstRow="1" w:lastRow="0" w:firstColumn="1" w:lastColumn="0" w:noHBand="0" w:noVBand="1"/>
      </w:tblPr>
      <w:tblGrid>
        <w:gridCol w:w="1497"/>
        <w:gridCol w:w="1360"/>
        <w:gridCol w:w="1360"/>
        <w:gridCol w:w="1360"/>
        <w:gridCol w:w="1360"/>
      </w:tblGrid>
      <w:tr w:rsidR="00C46123" w:rsidRPr="00615EB6" w14:paraId="5ADE2760" w14:textId="77777777" w:rsidTr="00B87A9B">
        <w:trPr>
          <w:trHeight w:val="264"/>
        </w:trPr>
        <w:tc>
          <w:tcPr>
            <w:tcW w:w="1497" w:type="dxa"/>
            <w:vMerge w:val="restart"/>
            <w:noWrap/>
            <w:vAlign w:val="center"/>
            <w:hideMark/>
          </w:tcPr>
          <w:p w14:paraId="3084D42C" w14:textId="77777777" w:rsidR="00C46123" w:rsidRPr="00CA2760" w:rsidRDefault="00C46123" w:rsidP="00B87A9B">
            <w:pPr>
              <w:jc w:val="center"/>
              <w:rPr>
                <w:rFonts w:ascii="Arial" w:hAnsi="Arial" w:cs="Arial"/>
                <w:b/>
                <w:bCs/>
                <w:sz w:val="20"/>
                <w:szCs w:val="20"/>
                <w:lang w:val="pt-BR"/>
              </w:rPr>
            </w:pPr>
            <w:r w:rsidRPr="00CA2760">
              <w:rPr>
                <w:rFonts w:ascii="Arial" w:hAnsi="Arial" w:cs="Arial"/>
                <w:sz w:val="20"/>
                <w:szCs w:val="20"/>
                <w:lang w:val="pt-BR"/>
              </w:rPr>
              <w:t>Ano</w:t>
            </w:r>
          </w:p>
        </w:tc>
        <w:tc>
          <w:tcPr>
            <w:tcW w:w="2720" w:type="dxa"/>
            <w:gridSpan w:val="2"/>
            <w:hideMark/>
          </w:tcPr>
          <w:p w14:paraId="72CC6D48"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Milhões de R$ de valor constante de 2017 (*)</w:t>
            </w:r>
          </w:p>
        </w:tc>
        <w:tc>
          <w:tcPr>
            <w:tcW w:w="2720" w:type="dxa"/>
            <w:gridSpan w:val="2"/>
            <w:hideMark/>
          </w:tcPr>
          <w:p w14:paraId="27895712"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Milhões de US$ de valor constante de 2017 (**)</w:t>
            </w:r>
          </w:p>
        </w:tc>
      </w:tr>
      <w:tr w:rsidR="00C46123" w:rsidRPr="00CA2760" w14:paraId="4CE8B0B8" w14:textId="77777777" w:rsidTr="00B87A9B">
        <w:trPr>
          <w:trHeight w:val="1056"/>
        </w:trPr>
        <w:tc>
          <w:tcPr>
            <w:tcW w:w="1497" w:type="dxa"/>
            <w:vMerge/>
            <w:hideMark/>
          </w:tcPr>
          <w:p w14:paraId="179985EA" w14:textId="77777777" w:rsidR="00C46123" w:rsidRPr="00CA2760" w:rsidRDefault="00C46123" w:rsidP="00B87A9B">
            <w:pPr>
              <w:rPr>
                <w:rFonts w:ascii="Arial" w:hAnsi="Arial" w:cs="Arial"/>
                <w:sz w:val="20"/>
                <w:szCs w:val="20"/>
                <w:lang w:val="pt-BR"/>
              </w:rPr>
            </w:pPr>
          </w:p>
        </w:tc>
        <w:tc>
          <w:tcPr>
            <w:tcW w:w="1360" w:type="dxa"/>
            <w:vAlign w:val="center"/>
            <w:hideMark/>
          </w:tcPr>
          <w:p w14:paraId="77B31508"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 xml:space="preserve">Valor Contratado com os Municípios </w:t>
            </w:r>
          </w:p>
        </w:tc>
        <w:tc>
          <w:tcPr>
            <w:tcW w:w="1360" w:type="dxa"/>
            <w:vAlign w:val="center"/>
            <w:hideMark/>
          </w:tcPr>
          <w:p w14:paraId="2C3AC87F"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Valor Liberado aos Municípios</w:t>
            </w:r>
          </w:p>
        </w:tc>
        <w:tc>
          <w:tcPr>
            <w:tcW w:w="1360" w:type="dxa"/>
            <w:vAlign w:val="center"/>
            <w:hideMark/>
          </w:tcPr>
          <w:p w14:paraId="662A7BE3"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 xml:space="preserve">Valor Contratado com os Municípios </w:t>
            </w:r>
          </w:p>
        </w:tc>
        <w:tc>
          <w:tcPr>
            <w:tcW w:w="1360" w:type="dxa"/>
            <w:vAlign w:val="center"/>
            <w:hideMark/>
          </w:tcPr>
          <w:p w14:paraId="06DFA5CF"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Valor Liberado aos Municípios</w:t>
            </w:r>
          </w:p>
        </w:tc>
      </w:tr>
      <w:tr w:rsidR="00C46123" w:rsidRPr="00CA2760" w14:paraId="49748C71" w14:textId="77777777" w:rsidTr="00B87A9B">
        <w:trPr>
          <w:trHeight w:val="170"/>
        </w:trPr>
        <w:tc>
          <w:tcPr>
            <w:tcW w:w="1497" w:type="dxa"/>
            <w:noWrap/>
            <w:vAlign w:val="center"/>
            <w:hideMark/>
          </w:tcPr>
          <w:p w14:paraId="15D0575E"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2003</w:t>
            </w:r>
          </w:p>
        </w:tc>
        <w:tc>
          <w:tcPr>
            <w:tcW w:w="1360" w:type="dxa"/>
            <w:noWrap/>
            <w:vAlign w:val="center"/>
            <w:hideMark/>
          </w:tcPr>
          <w:p w14:paraId="74B4606D"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116,8</w:t>
            </w:r>
          </w:p>
        </w:tc>
        <w:tc>
          <w:tcPr>
            <w:tcW w:w="1360" w:type="dxa"/>
            <w:noWrap/>
            <w:vAlign w:val="center"/>
            <w:hideMark/>
          </w:tcPr>
          <w:p w14:paraId="46E4270A"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100,0</w:t>
            </w:r>
          </w:p>
        </w:tc>
        <w:tc>
          <w:tcPr>
            <w:tcW w:w="1360" w:type="dxa"/>
            <w:noWrap/>
            <w:vAlign w:val="center"/>
            <w:hideMark/>
          </w:tcPr>
          <w:p w14:paraId="39BA84C6"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36,5</w:t>
            </w:r>
          </w:p>
        </w:tc>
        <w:tc>
          <w:tcPr>
            <w:tcW w:w="1360" w:type="dxa"/>
            <w:noWrap/>
            <w:vAlign w:val="center"/>
            <w:hideMark/>
          </w:tcPr>
          <w:p w14:paraId="4384671D"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31,3</w:t>
            </w:r>
          </w:p>
        </w:tc>
      </w:tr>
      <w:tr w:rsidR="00C46123" w:rsidRPr="00CA2760" w14:paraId="32A2C3B7" w14:textId="77777777" w:rsidTr="00B87A9B">
        <w:trPr>
          <w:trHeight w:val="170"/>
        </w:trPr>
        <w:tc>
          <w:tcPr>
            <w:tcW w:w="1497" w:type="dxa"/>
            <w:noWrap/>
            <w:vAlign w:val="center"/>
            <w:hideMark/>
          </w:tcPr>
          <w:p w14:paraId="173C9AC7"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2004</w:t>
            </w:r>
          </w:p>
        </w:tc>
        <w:tc>
          <w:tcPr>
            <w:tcW w:w="1360" w:type="dxa"/>
            <w:noWrap/>
            <w:vAlign w:val="center"/>
            <w:hideMark/>
          </w:tcPr>
          <w:p w14:paraId="0B0A81F6"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380,8</w:t>
            </w:r>
          </w:p>
        </w:tc>
        <w:tc>
          <w:tcPr>
            <w:tcW w:w="1360" w:type="dxa"/>
            <w:noWrap/>
            <w:vAlign w:val="center"/>
            <w:hideMark/>
          </w:tcPr>
          <w:p w14:paraId="2D2880A7"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245,2</w:t>
            </w:r>
          </w:p>
        </w:tc>
        <w:tc>
          <w:tcPr>
            <w:tcW w:w="1360" w:type="dxa"/>
            <w:noWrap/>
            <w:vAlign w:val="center"/>
            <w:hideMark/>
          </w:tcPr>
          <w:p w14:paraId="05DC48AF"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119,0</w:t>
            </w:r>
          </w:p>
        </w:tc>
        <w:tc>
          <w:tcPr>
            <w:tcW w:w="1360" w:type="dxa"/>
            <w:noWrap/>
            <w:vAlign w:val="center"/>
            <w:hideMark/>
          </w:tcPr>
          <w:p w14:paraId="6EDD1606"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76,6</w:t>
            </w:r>
          </w:p>
        </w:tc>
      </w:tr>
      <w:tr w:rsidR="00C46123" w:rsidRPr="00CA2760" w14:paraId="5F43F561" w14:textId="77777777" w:rsidTr="00B87A9B">
        <w:trPr>
          <w:trHeight w:val="170"/>
        </w:trPr>
        <w:tc>
          <w:tcPr>
            <w:tcW w:w="1497" w:type="dxa"/>
            <w:noWrap/>
            <w:vAlign w:val="center"/>
            <w:hideMark/>
          </w:tcPr>
          <w:p w14:paraId="293B0DBC"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2005</w:t>
            </w:r>
          </w:p>
        </w:tc>
        <w:tc>
          <w:tcPr>
            <w:tcW w:w="1360" w:type="dxa"/>
            <w:noWrap/>
            <w:vAlign w:val="center"/>
            <w:hideMark/>
          </w:tcPr>
          <w:p w14:paraId="598ABF5C" w14:textId="77777777" w:rsidR="00C46123" w:rsidRPr="00615EB6" w:rsidRDefault="00C46123" w:rsidP="00B87A9B">
            <w:pPr>
              <w:jc w:val="right"/>
              <w:rPr>
                <w:rFonts w:ascii="Arial" w:hAnsi="Arial" w:cs="Arial"/>
                <w:sz w:val="20"/>
                <w:szCs w:val="20"/>
                <w:lang w:val="pt-BR"/>
              </w:rPr>
            </w:pPr>
            <w:r w:rsidRPr="00615EB6">
              <w:rPr>
                <w:rFonts w:ascii="Arial" w:hAnsi="Arial" w:cs="Arial"/>
                <w:sz w:val="20"/>
                <w:szCs w:val="20"/>
                <w:lang w:val="pt-BR"/>
              </w:rPr>
              <w:t>7,9</w:t>
            </w:r>
          </w:p>
        </w:tc>
        <w:tc>
          <w:tcPr>
            <w:tcW w:w="1360" w:type="dxa"/>
            <w:noWrap/>
            <w:vAlign w:val="center"/>
            <w:hideMark/>
          </w:tcPr>
          <w:p w14:paraId="3ADC1300" w14:textId="77777777" w:rsidR="00C46123" w:rsidRPr="00615EB6" w:rsidRDefault="00C46123" w:rsidP="00B87A9B">
            <w:pPr>
              <w:jc w:val="right"/>
              <w:rPr>
                <w:rFonts w:ascii="Arial" w:hAnsi="Arial" w:cs="Arial"/>
                <w:sz w:val="20"/>
                <w:szCs w:val="20"/>
                <w:lang w:val="pt-BR"/>
              </w:rPr>
            </w:pPr>
            <w:r w:rsidRPr="00615EB6">
              <w:rPr>
                <w:rFonts w:ascii="Arial" w:hAnsi="Arial" w:cs="Arial"/>
                <w:sz w:val="20"/>
                <w:szCs w:val="20"/>
                <w:lang w:val="pt-BR"/>
              </w:rPr>
              <w:t>172,5</w:t>
            </w:r>
          </w:p>
        </w:tc>
        <w:tc>
          <w:tcPr>
            <w:tcW w:w="1360" w:type="dxa"/>
            <w:noWrap/>
            <w:vAlign w:val="center"/>
            <w:hideMark/>
          </w:tcPr>
          <w:p w14:paraId="27D1B407" w14:textId="77777777" w:rsidR="00C46123" w:rsidRPr="00615EB6" w:rsidRDefault="00C46123" w:rsidP="00B87A9B">
            <w:pPr>
              <w:jc w:val="right"/>
              <w:rPr>
                <w:rFonts w:ascii="Arial" w:hAnsi="Arial" w:cs="Arial"/>
                <w:sz w:val="20"/>
                <w:szCs w:val="20"/>
                <w:lang w:val="pt-BR"/>
              </w:rPr>
            </w:pPr>
            <w:r w:rsidRPr="00615EB6">
              <w:rPr>
                <w:rFonts w:ascii="Arial" w:hAnsi="Arial" w:cs="Arial"/>
                <w:sz w:val="20"/>
                <w:szCs w:val="20"/>
                <w:lang w:val="pt-BR"/>
              </w:rPr>
              <w:t>2,5</w:t>
            </w:r>
          </w:p>
        </w:tc>
        <w:tc>
          <w:tcPr>
            <w:tcW w:w="1360" w:type="dxa"/>
            <w:noWrap/>
            <w:vAlign w:val="center"/>
            <w:hideMark/>
          </w:tcPr>
          <w:p w14:paraId="32F43FE5" w14:textId="77777777" w:rsidR="00C46123" w:rsidRPr="00615EB6" w:rsidRDefault="00C46123" w:rsidP="00B87A9B">
            <w:pPr>
              <w:jc w:val="right"/>
              <w:rPr>
                <w:rFonts w:ascii="Arial" w:hAnsi="Arial" w:cs="Arial"/>
                <w:sz w:val="20"/>
                <w:szCs w:val="20"/>
                <w:lang w:val="pt-BR"/>
              </w:rPr>
            </w:pPr>
            <w:r w:rsidRPr="00615EB6">
              <w:rPr>
                <w:rFonts w:ascii="Arial" w:hAnsi="Arial" w:cs="Arial"/>
                <w:sz w:val="20"/>
                <w:szCs w:val="20"/>
                <w:lang w:val="pt-BR"/>
              </w:rPr>
              <w:t>53,9</w:t>
            </w:r>
          </w:p>
        </w:tc>
      </w:tr>
      <w:tr w:rsidR="00C46123" w:rsidRPr="00CA2760" w14:paraId="415BF436" w14:textId="77777777" w:rsidTr="00B87A9B">
        <w:trPr>
          <w:trHeight w:val="170"/>
        </w:trPr>
        <w:tc>
          <w:tcPr>
            <w:tcW w:w="1497" w:type="dxa"/>
            <w:noWrap/>
            <w:vAlign w:val="center"/>
            <w:hideMark/>
          </w:tcPr>
          <w:p w14:paraId="4D296520"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2006</w:t>
            </w:r>
          </w:p>
        </w:tc>
        <w:tc>
          <w:tcPr>
            <w:tcW w:w="1360" w:type="dxa"/>
            <w:noWrap/>
            <w:vAlign w:val="center"/>
            <w:hideMark/>
          </w:tcPr>
          <w:p w14:paraId="48196320"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305,4</w:t>
            </w:r>
          </w:p>
        </w:tc>
        <w:tc>
          <w:tcPr>
            <w:tcW w:w="1360" w:type="dxa"/>
            <w:noWrap/>
            <w:vAlign w:val="center"/>
            <w:hideMark/>
          </w:tcPr>
          <w:p w14:paraId="10FCAF0D"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165,0</w:t>
            </w:r>
          </w:p>
        </w:tc>
        <w:tc>
          <w:tcPr>
            <w:tcW w:w="1360" w:type="dxa"/>
            <w:noWrap/>
            <w:vAlign w:val="center"/>
            <w:hideMark/>
          </w:tcPr>
          <w:p w14:paraId="48D432D4"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95,4</w:t>
            </w:r>
          </w:p>
        </w:tc>
        <w:tc>
          <w:tcPr>
            <w:tcW w:w="1360" w:type="dxa"/>
            <w:noWrap/>
            <w:vAlign w:val="center"/>
            <w:hideMark/>
          </w:tcPr>
          <w:p w14:paraId="0FAED632"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51,6</w:t>
            </w:r>
          </w:p>
        </w:tc>
      </w:tr>
      <w:tr w:rsidR="00C46123" w:rsidRPr="00CA2760" w14:paraId="4B46D8D4" w14:textId="77777777" w:rsidTr="00B87A9B">
        <w:trPr>
          <w:trHeight w:val="170"/>
        </w:trPr>
        <w:tc>
          <w:tcPr>
            <w:tcW w:w="1497" w:type="dxa"/>
            <w:noWrap/>
            <w:vAlign w:val="center"/>
            <w:hideMark/>
          </w:tcPr>
          <w:p w14:paraId="7FB4905C"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2007</w:t>
            </w:r>
          </w:p>
        </w:tc>
        <w:tc>
          <w:tcPr>
            <w:tcW w:w="1360" w:type="dxa"/>
            <w:noWrap/>
            <w:vAlign w:val="center"/>
            <w:hideMark/>
          </w:tcPr>
          <w:p w14:paraId="4D1303F8"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178,7</w:t>
            </w:r>
          </w:p>
        </w:tc>
        <w:tc>
          <w:tcPr>
            <w:tcW w:w="1360" w:type="dxa"/>
            <w:noWrap/>
            <w:vAlign w:val="center"/>
            <w:hideMark/>
          </w:tcPr>
          <w:p w14:paraId="6D8C2652"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246,0</w:t>
            </w:r>
          </w:p>
        </w:tc>
        <w:tc>
          <w:tcPr>
            <w:tcW w:w="1360" w:type="dxa"/>
            <w:noWrap/>
            <w:vAlign w:val="center"/>
            <w:hideMark/>
          </w:tcPr>
          <w:p w14:paraId="34A700D7"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55,8</w:t>
            </w:r>
          </w:p>
        </w:tc>
        <w:tc>
          <w:tcPr>
            <w:tcW w:w="1360" w:type="dxa"/>
            <w:noWrap/>
            <w:vAlign w:val="center"/>
            <w:hideMark/>
          </w:tcPr>
          <w:p w14:paraId="05D80510"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76,9</w:t>
            </w:r>
          </w:p>
        </w:tc>
      </w:tr>
      <w:tr w:rsidR="00C46123" w:rsidRPr="00CA2760" w14:paraId="4EAB258F" w14:textId="77777777" w:rsidTr="00B87A9B">
        <w:trPr>
          <w:trHeight w:val="170"/>
        </w:trPr>
        <w:tc>
          <w:tcPr>
            <w:tcW w:w="1497" w:type="dxa"/>
            <w:noWrap/>
            <w:vAlign w:val="center"/>
            <w:hideMark/>
          </w:tcPr>
          <w:p w14:paraId="77F928AF"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2008</w:t>
            </w:r>
          </w:p>
        </w:tc>
        <w:tc>
          <w:tcPr>
            <w:tcW w:w="1360" w:type="dxa"/>
            <w:noWrap/>
            <w:vAlign w:val="center"/>
            <w:hideMark/>
          </w:tcPr>
          <w:p w14:paraId="2C9AC274"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386,4</w:t>
            </w:r>
          </w:p>
        </w:tc>
        <w:tc>
          <w:tcPr>
            <w:tcW w:w="1360" w:type="dxa"/>
            <w:noWrap/>
            <w:vAlign w:val="center"/>
            <w:hideMark/>
          </w:tcPr>
          <w:p w14:paraId="48229FCD"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278,9</w:t>
            </w:r>
          </w:p>
        </w:tc>
        <w:tc>
          <w:tcPr>
            <w:tcW w:w="1360" w:type="dxa"/>
            <w:noWrap/>
            <w:vAlign w:val="center"/>
            <w:hideMark/>
          </w:tcPr>
          <w:p w14:paraId="73595622"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120,7</w:t>
            </w:r>
          </w:p>
        </w:tc>
        <w:tc>
          <w:tcPr>
            <w:tcW w:w="1360" w:type="dxa"/>
            <w:noWrap/>
            <w:vAlign w:val="center"/>
            <w:hideMark/>
          </w:tcPr>
          <w:p w14:paraId="454A4E50"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87,1</w:t>
            </w:r>
          </w:p>
        </w:tc>
      </w:tr>
      <w:tr w:rsidR="00C46123" w:rsidRPr="00CA2760" w14:paraId="39178BAB" w14:textId="77777777" w:rsidTr="00B87A9B">
        <w:trPr>
          <w:trHeight w:val="170"/>
        </w:trPr>
        <w:tc>
          <w:tcPr>
            <w:tcW w:w="1497" w:type="dxa"/>
            <w:noWrap/>
            <w:vAlign w:val="center"/>
            <w:hideMark/>
          </w:tcPr>
          <w:p w14:paraId="16CCB844"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2009</w:t>
            </w:r>
          </w:p>
        </w:tc>
        <w:tc>
          <w:tcPr>
            <w:tcW w:w="1360" w:type="dxa"/>
            <w:noWrap/>
            <w:vAlign w:val="center"/>
            <w:hideMark/>
          </w:tcPr>
          <w:p w14:paraId="46C5CFF6"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31,3</w:t>
            </w:r>
          </w:p>
        </w:tc>
        <w:tc>
          <w:tcPr>
            <w:tcW w:w="1360" w:type="dxa"/>
            <w:noWrap/>
            <w:vAlign w:val="center"/>
            <w:hideMark/>
          </w:tcPr>
          <w:p w14:paraId="2DC7E03E"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145,6</w:t>
            </w:r>
          </w:p>
        </w:tc>
        <w:tc>
          <w:tcPr>
            <w:tcW w:w="1360" w:type="dxa"/>
            <w:noWrap/>
            <w:vAlign w:val="center"/>
            <w:hideMark/>
          </w:tcPr>
          <w:p w14:paraId="67F27620"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9,8</w:t>
            </w:r>
          </w:p>
        </w:tc>
        <w:tc>
          <w:tcPr>
            <w:tcW w:w="1360" w:type="dxa"/>
            <w:noWrap/>
            <w:vAlign w:val="center"/>
            <w:hideMark/>
          </w:tcPr>
          <w:p w14:paraId="5BAA8E07"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45,5</w:t>
            </w:r>
          </w:p>
        </w:tc>
      </w:tr>
      <w:tr w:rsidR="00C46123" w:rsidRPr="00CA2760" w14:paraId="1FA0ED54" w14:textId="77777777" w:rsidTr="00B87A9B">
        <w:trPr>
          <w:trHeight w:val="170"/>
        </w:trPr>
        <w:tc>
          <w:tcPr>
            <w:tcW w:w="1497" w:type="dxa"/>
            <w:noWrap/>
            <w:vAlign w:val="center"/>
            <w:hideMark/>
          </w:tcPr>
          <w:p w14:paraId="5755F2E4"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2010</w:t>
            </w:r>
          </w:p>
        </w:tc>
        <w:tc>
          <w:tcPr>
            <w:tcW w:w="1360" w:type="dxa"/>
            <w:noWrap/>
            <w:vAlign w:val="center"/>
            <w:hideMark/>
          </w:tcPr>
          <w:p w14:paraId="1753F184"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408,8</w:t>
            </w:r>
          </w:p>
        </w:tc>
        <w:tc>
          <w:tcPr>
            <w:tcW w:w="1360" w:type="dxa"/>
            <w:noWrap/>
            <w:vAlign w:val="center"/>
            <w:hideMark/>
          </w:tcPr>
          <w:p w14:paraId="0A6522E2"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141,4</w:t>
            </w:r>
          </w:p>
        </w:tc>
        <w:tc>
          <w:tcPr>
            <w:tcW w:w="1360" w:type="dxa"/>
            <w:noWrap/>
            <w:vAlign w:val="center"/>
            <w:hideMark/>
          </w:tcPr>
          <w:p w14:paraId="64F7E7FB"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127,8</w:t>
            </w:r>
          </w:p>
        </w:tc>
        <w:tc>
          <w:tcPr>
            <w:tcW w:w="1360" w:type="dxa"/>
            <w:noWrap/>
            <w:vAlign w:val="center"/>
            <w:hideMark/>
          </w:tcPr>
          <w:p w14:paraId="158B64A6"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44,2</w:t>
            </w:r>
          </w:p>
        </w:tc>
      </w:tr>
      <w:tr w:rsidR="00C46123" w:rsidRPr="00CA2760" w14:paraId="61100668" w14:textId="77777777" w:rsidTr="00B87A9B">
        <w:trPr>
          <w:trHeight w:val="170"/>
        </w:trPr>
        <w:tc>
          <w:tcPr>
            <w:tcW w:w="1497" w:type="dxa"/>
            <w:noWrap/>
            <w:vAlign w:val="center"/>
            <w:hideMark/>
          </w:tcPr>
          <w:p w14:paraId="7BBD6BC1"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2011</w:t>
            </w:r>
          </w:p>
        </w:tc>
        <w:tc>
          <w:tcPr>
            <w:tcW w:w="1360" w:type="dxa"/>
            <w:noWrap/>
            <w:vAlign w:val="center"/>
            <w:hideMark/>
          </w:tcPr>
          <w:p w14:paraId="2CDBCCD1"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72,1</w:t>
            </w:r>
          </w:p>
        </w:tc>
        <w:tc>
          <w:tcPr>
            <w:tcW w:w="1360" w:type="dxa"/>
            <w:noWrap/>
            <w:vAlign w:val="center"/>
            <w:hideMark/>
          </w:tcPr>
          <w:p w14:paraId="074D3197"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237,4</w:t>
            </w:r>
          </w:p>
        </w:tc>
        <w:tc>
          <w:tcPr>
            <w:tcW w:w="1360" w:type="dxa"/>
            <w:noWrap/>
            <w:vAlign w:val="center"/>
            <w:hideMark/>
          </w:tcPr>
          <w:p w14:paraId="37742228"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22,5</w:t>
            </w:r>
          </w:p>
        </w:tc>
        <w:tc>
          <w:tcPr>
            <w:tcW w:w="1360" w:type="dxa"/>
            <w:noWrap/>
            <w:vAlign w:val="center"/>
            <w:hideMark/>
          </w:tcPr>
          <w:p w14:paraId="7D4F2A20"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74,2</w:t>
            </w:r>
          </w:p>
        </w:tc>
      </w:tr>
      <w:tr w:rsidR="00C46123" w:rsidRPr="00CA2760" w14:paraId="37BE52A9" w14:textId="77777777" w:rsidTr="00B87A9B">
        <w:trPr>
          <w:trHeight w:val="170"/>
        </w:trPr>
        <w:tc>
          <w:tcPr>
            <w:tcW w:w="1497" w:type="dxa"/>
            <w:noWrap/>
            <w:vAlign w:val="center"/>
            <w:hideMark/>
          </w:tcPr>
          <w:p w14:paraId="3ED2BC7E"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2012</w:t>
            </w:r>
          </w:p>
        </w:tc>
        <w:tc>
          <w:tcPr>
            <w:tcW w:w="1360" w:type="dxa"/>
            <w:noWrap/>
            <w:vAlign w:val="center"/>
            <w:hideMark/>
          </w:tcPr>
          <w:p w14:paraId="3595F927"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280,6</w:t>
            </w:r>
          </w:p>
        </w:tc>
        <w:tc>
          <w:tcPr>
            <w:tcW w:w="1360" w:type="dxa"/>
            <w:noWrap/>
            <w:vAlign w:val="center"/>
            <w:hideMark/>
          </w:tcPr>
          <w:p w14:paraId="55841CAA"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241,3</w:t>
            </w:r>
          </w:p>
        </w:tc>
        <w:tc>
          <w:tcPr>
            <w:tcW w:w="1360" w:type="dxa"/>
            <w:noWrap/>
            <w:vAlign w:val="center"/>
            <w:hideMark/>
          </w:tcPr>
          <w:p w14:paraId="484C9B3F"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87,7</w:t>
            </w:r>
          </w:p>
        </w:tc>
        <w:tc>
          <w:tcPr>
            <w:tcW w:w="1360" w:type="dxa"/>
            <w:noWrap/>
            <w:vAlign w:val="center"/>
            <w:hideMark/>
          </w:tcPr>
          <w:p w14:paraId="3DEC9288"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75,4</w:t>
            </w:r>
          </w:p>
        </w:tc>
      </w:tr>
      <w:tr w:rsidR="00C46123" w:rsidRPr="00CA2760" w14:paraId="72E8570C" w14:textId="77777777" w:rsidTr="00B87A9B">
        <w:trPr>
          <w:trHeight w:val="170"/>
        </w:trPr>
        <w:tc>
          <w:tcPr>
            <w:tcW w:w="1497" w:type="dxa"/>
            <w:noWrap/>
            <w:vAlign w:val="center"/>
            <w:hideMark/>
          </w:tcPr>
          <w:p w14:paraId="1B75DC69"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2013</w:t>
            </w:r>
          </w:p>
        </w:tc>
        <w:tc>
          <w:tcPr>
            <w:tcW w:w="1360" w:type="dxa"/>
            <w:noWrap/>
            <w:vAlign w:val="center"/>
            <w:hideMark/>
          </w:tcPr>
          <w:p w14:paraId="139578C5"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240,2</w:t>
            </w:r>
          </w:p>
        </w:tc>
        <w:tc>
          <w:tcPr>
            <w:tcW w:w="1360" w:type="dxa"/>
            <w:noWrap/>
            <w:vAlign w:val="center"/>
            <w:hideMark/>
          </w:tcPr>
          <w:p w14:paraId="6846E220"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121,3</w:t>
            </w:r>
          </w:p>
        </w:tc>
        <w:tc>
          <w:tcPr>
            <w:tcW w:w="1360" w:type="dxa"/>
            <w:noWrap/>
            <w:vAlign w:val="center"/>
            <w:hideMark/>
          </w:tcPr>
          <w:p w14:paraId="025DC730"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75,1</w:t>
            </w:r>
          </w:p>
        </w:tc>
        <w:tc>
          <w:tcPr>
            <w:tcW w:w="1360" w:type="dxa"/>
            <w:noWrap/>
            <w:vAlign w:val="center"/>
            <w:hideMark/>
          </w:tcPr>
          <w:p w14:paraId="62AF1C94"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37,9</w:t>
            </w:r>
          </w:p>
        </w:tc>
      </w:tr>
      <w:tr w:rsidR="00C46123" w:rsidRPr="00CA2760" w14:paraId="2B2FF675" w14:textId="77777777" w:rsidTr="00B87A9B">
        <w:trPr>
          <w:trHeight w:val="170"/>
        </w:trPr>
        <w:tc>
          <w:tcPr>
            <w:tcW w:w="1497" w:type="dxa"/>
            <w:noWrap/>
            <w:vAlign w:val="center"/>
            <w:hideMark/>
          </w:tcPr>
          <w:p w14:paraId="56604CD0"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2014</w:t>
            </w:r>
          </w:p>
        </w:tc>
        <w:tc>
          <w:tcPr>
            <w:tcW w:w="1360" w:type="dxa"/>
            <w:noWrap/>
            <w:vAlign w:val="center"/>
            <w:hideMark/>
          </w:tcPr>
          <w:p w14:paraId="476F9F4E"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234,0</w:t>
            </w:r>
          </w:p>
        </w:tc>
        <w:tc>
          <w:tcPr>
            <w:tcW w:w="1360" w:type="dxa"/>
            <w:noWrap/>
            <w:vAlign w:val="center"/>
            <w:hideMark/>
          </w:tcPr>
          <w:p w14:paraId="203F41B7"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225,6</w:t>
            </w:r>
          </w:p>
        </w:tc>
        <w:tc>
          <w:tcPr>
            <w:tcW w:w="1360" w:type="dxa"/>
            <w:noWrap/>
            <w:vAlign w:val="center"/>
            <w:hideMark/>
          </w:tcPr>
          <w:p w14:paraId="35C8BCCF"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73,1</w:t>
            </w:r>
          </w:p>
        </w:tc>
        <w:tc>
          <w:tcPr>
            <w:tcW w:w="1360" w:type="dxa"/>
            <w:noWrap/>
            <w:vAlign w:val="center"/>
            <w:hideMark/>
          </w:tcPr>
          <w:p w14:paraId="710014EF"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70,5</w:t>
            </w:r>
          </w:p>
        </w:tc>
      </w:tr>
      <w:tr w:rsidR="00C46123" w:rsidRPr="00CA2760" w14:paraId="1491C9E5" w14:textId="77777777" w:rsidTr="00B87A9B">
        <w:trPr>
          <w:trHeight w:val="170"/>
        </w:trPr>
        <w:tc>
          <w:tcPr>
            <w:tcW w:w="1497" w:type="dxa"/>
            <w:noWrap/>
            <w:vAlign w:val="center"/>
            <w:hideMark/>
          </w:tcPr>
          <w:p w14:paraId="6A0EB40D"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2015</w:t>
            </w:r>
          </w:p>
        </w:tc>
        <w:tc>
          <w:tcPr>
            <w:tcW w:w="1360" w:type="dxa"/>
            <w:noWrap/>
            <w:vAlign w:val="center"/>
            <w:hideMark/>
          </w:tcPr>
          <w:p w14:paraId="511E56D9"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285,9</w:t>
            </w:r>
          </w:p>
        </w:tc>
        <w:tc>
          <w:tcPr>
            <w:tcW w:w="1360" w:type="dxa"/>
            <w:noWrap/>
            <w:vAlign w:val="center"/>
            <w:hideMark/>
          </w:tcPr>
          <w:p w14:paraId="13F6B3E7"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192,6</w:t>
            </w:r>
          </w:p>
        </w:tc>
        <w:tc>
          <w:tcPr>
            <w:tcW w:w="1360" w:type="dxa"/>
            <w:noWrap/>
            <w:vAlign w:val="center"/>
            <w:hideMark/>
          </w:tcPr>
          <w:p w14:paraId="7A605C10"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89,4</w:t>
            </w:r>
          </w:p>
        </w:tc>
        <w:tc>
          <w:tcPr>
            <w:tcW w:w="1360" w:type="dxa"/>
            <w:noWrap/>
            <w:vAlign w:val="center"/>
            <w:hideMark/>
          </w:tcPr>
          <w:p w14:paraId="5DB8C606"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60,2</w:t>
            </w:r>
          </w:p>
        </w:tc>
      </w:tr>
      <w:tr w:rsidR="00C46123" w:rsidRPr="00CA2760" w14:paraId="4A316732" w14:textId="77777777" w:rsidTr="00B87A9B">
        <w:trPr>
          <w:trHeight w:val="170"/>
        </w:trPr>
        <w:tc>
          <w:tcPr>
            <w:tcW w:w="1497" w:type="dxa"/>
            <w:noWrap/>
            <w:vAlign w:val="center"/>
            <w:hideMark/>
          </w:tcPr>
          <w:p w14:paraId="37FB1761"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2016</w:t>
            </w:r>
          </w:p>
        </w:tc>
        <w:tc>
          <w:tcPr>
            <w:tcW w:w="1360" w:type="dxa"/>
            <w:noWrap/>
            <w:vAlign w:val="center"/>
            <w:hideMark/>
          </w:tcPr>
          <w:p w14:paraId="36BCBF21"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237,2</w:t>
            </w:r>
          </w:p>
        </w:tc>
        <w:tc>
          <w:tcPr>
            <w:tcW w:w="1360" w:type="dxa"/>
            <w:noWrap/>
            <w:vAlign w:val="center"/>
            <w:hideMark/>
          </w:tcPr>
          <w:p w14:paraId="01FD1522"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363,7</w:t>
            </w:r>
          </w:p>
        </w:tc>
        <w:tc>
          <w:tcPr>
            <w:tcW w:w="1360" w:type="dxa"/>
            <w:noWrap/>
            <w:vAlign w:val="center"/>
            <w:hideMark/>
          </w:tcPr>
          <w:p w14:paraId="6520590B"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74,1</w:t>
            </w:r>
          </w:p>
        </w:tc>
        <w:tc>
          <w:tcPr>
            <w:tcW w:w="1360" w:type="dxa"/>
            <w:noWrap/>
            <w:vAlign w:val="center"/>
            <w:hideMark/>
          </w:tcPr>
          <w:p w14:paraId="2504F4D5"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113,6</w:t>
            </w:r>
          </w:p>
        </w:tc>
      </w:tr>
      <w:tr w:rsidR="00C46123" w:rsidRPr="00CA2760" w14:paraId="5F0B8A8B" w14:textId="77777777" w:rsidTr="00B87A9B">
        <w:trPr>
          <w:trHeight w:val="170"/>
        </w:trPr>
        <w:tc>
          <w:tcPr>
            <w:tcW w:w="1497" w:type="dxa"/>
            <w:noWrap/>
            <w:vAlign w:val="center"/>
            <w:hideMark/>
          </w:tcPr>
          <w:p w14:paraId="6450BE81" w14:textId="77777777" w:rsidR="00C46123" w:rsidRPr="00CA2760" w:rsidRDefault="00C46123" w:rsidP="00B87A9B">
            <w:pPr>
              <w:jc w:val="center"/>
              <w:rPr>
                <w:rFonts w:ascii="Arial" w:hAnsi="Arial" w:cs="Arial"/>
                <w:b/>
                <w:bCs/>
                <w:sz w:val="20"/>
                <w:szCs w:val="20"/>
                <w:lang w:val="pt-BR"/>
              </w:rPr>
            </w:pPr>
            <w:r w:rsidRPr="00CA2760">
              <w:rPr>
                <w:rFonts w:ascii="Arial" w:hAnsi="Arial" w:cs="Arial"/>
                <w:b/>
                <w:bCs/>
                <w:sz w:val="20"/>
                <w:szCs w:val="20"/>
                <w:lang w:val="pt-BR"/>
              </w:rPr>
              <w:t>2017</w:t>
            </w:r>
          </w:p>
        </w:tc>
        <w:tc>
          <w:tcPr>
            <w:tcW w:w="1360" w:type="dxa"/>
            <w:noWrap/>
            <w:vAlign w:val="center"/>
            <w:hideMark/>
          </w:tcPr>
          <w:p w14:paraId="08A956CC"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212,1</w:t>
            </w:r>
          </w:p>
        </w:tc>
        <w:tc>
          <w:tcPr>
            <w:tcW w:w="1360" w:type="dxa"/>
            <w:noWrap/>
            <w:vAlign w:val="center"/>
            <w:hideMark/>
          </w:tcPr>
          <w:p w14:paraId="63739438"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163,6</w:t>
            </w:r>
          </w:p>
        </w:tc>
        <w:tc>
          <w:tcPr>
            <w:tcW w:w="1360" w:type="dxa"/>
            <w:noWrap/>
            <w:vAlign w:val="center"/>
            <w:hideMark/>
          </w:tcPr>
          <w:p w14:paraId="640A0674"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66,3</w:t>
            </w:r>
          </w:p>
        </w:tc>
        <w:tc>
          <w:tcPr>
            <w:tcW w:w="1360" w:type="dxa"/>
            <w:noWrap/>
            <w:vAlign w:val="center"/>
            <w:hideMark/>
          </w:tcPr>
          <w:p w14:paraId="6FA66F5F" w14:textId="77777777" w:rsidR="00C46123" w:rsidRPr="00CA2760" w:rsidRDefault="00C46123" w:rsidP="00B87A9B">
            <w:pPr>
              <w:jc w:val="right"/>
              <w:rPr>
                <w:rFonts w:ascii="Arial" w:hAnsi="Arial" w:cs="Arial"/>
                <w:sz w:val="20"/>
                <w:szCs w:val="20"/>
                <w:lang w:val="pt-BR"/>
              </w:rPr>
            </w:pPr>
            <w:r w:rsidRPr="00CA2760">
              <w:rPr>
                <w:rFonts w:ascii="Arial" w:hAnsi="Arial" w:cs="Arial"/>
                <w:sz w:val="20"/>
                <w:szCs w:val="20"/>
                <w:lang w:val="pt-BR"/>
              </w:rPr>
              <w:t>51,1</w:t>
            </w:r>
          </w:p>
        </w:tc>
      </w:tr>
      <w:tr w:rsidR="00C46123" w:rsidRPr="00CA2760" w14:paraId="3B007C46" w14:textId="77777777" w:rsidTr="00B87A9B">
        <w:trPr>
          <w:trHeight w:val="170"/>
        </w:trPr>
        <w:tc>
          <w:tcPr>
            <w:tcW w:w="1497" w:type="dxa"/>
            <w:noWrap/>
            <w:hideMark/>
          </w:tcPr>
          <w:p w14:paraId="58CEDA39" w14:textId="77777777" w:rsidR="00C46123" w:rsidRPr="00CA2760" w:rsidRDefault="00C46123" w:rsidP="00B87A9B">
            <w:pPr>
              <w:rPr>
                <w:rFonts w:ascii="Arial" w:hAnsi="Arial" w:cs="Arial"/>
                <w:b/>
                <w:bCs/>
                <w:sz w:val="20"/>
                <w:szCs w:val="20"/>
                <w:lang w:val="pt-BR"/>
              </w:rPr>
            </w:pPr>
            <w:r w:rsidRPr="00CA2760">
              <w:rPr>
                <w:rFonts w:ascii="Arial" w:hAnsi="Arial" w:cs="Arial"/>
                <w:b/>
                <w:bCs/>
                <w:sz w:val="20"/>
                <w:szCs w:val="20"/>
                <w:lang w:val="pt-BR"/>
              </w:rPr>
              <w:t>Total</w:t>
            </w:r>
          </w:p>
        </w:tc>
        <w:tc>
          <w:tcPr>
            <w:tcW w:w="1360" w:type="dxa"/>
            <w:noWrap/>
            <w:vAlign w:val="center"/>
            <w:hideMark/>
          </w:tcPr>
          <w:p w14:paraId="1296B3D9"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3.378,3</w:t>
            </w:r>
          </w:p>
        </w:tc>
        <w:tc>
          <w:tcPr>
            <w:tcW w:w="1360" w:type="dxa"/>
            <w:noWrap/>
            <w:vAlign w:val="center"/>
            <w:hideMark/>
          </w:tcPr>
          <w:p w14:paraId="3A7E37F7"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3.040,2</w:t>
            </w:r>
          </w:p>
        </w:tc>
        <w:tc>
          <w:tcPr>
            <w:tcW w:w="1360" w:type="dxa"/>
            <w:noWrap/>
            <w:vAlign w:val="center"/>
            <w:hideMark/>
          </w:tcPr>
          <w:p w14:paraId="1735D80C"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1.055,7</w:t>
            </w:r>
          </w:p>
        </w:tc>
        <w:tc>
          <w:tcPr>
            <w:tcW w:w="1360" w:type="dxa"/>
            <w:noWrap/>
            <w:vAlign w:val="center"/>
            <w:hideMark/>
          </w:tcPr>
          <w:p w14:paraId="07AE0B9F" w14:textId="77777777" w:rsidR="00C46123" w:rsidRPr="00CA2760" w:rsidRDefault="00C46123" w:rsidP="00B87A9B">
            <w:pPr>
              <w:jc w:val="right"/>
              <w:rPr>
                <w:rFonts w:ascii="Arial" w:hAnsi="Arial" w:cs="Arial"/>
                <w:b/>
                <w:bCs/>
                <w:sz w:val="20"/>
                <w:szCs w:val="20"/>
                <w:lang w:val="pt-BR"/>
              </w:rPr>
            </w:pPr>
            <w:r w:rsidRPr="00CA2760">
              <w:rPr>
                <w:rFonts w:ascii="Arial" w:hAnsi="Arial" w:cs="Arial"/>
                <w:b/>
                <w:bCs/>
                <w:sz w:val="20"/>
                <w:szCs w:val="20"/>
                <w:lang w:val="pt-BR"/>
              </w:rPr>
              <w:t>950,0</w:t>
            </w:r>
          </w:p>
        </w:tc>
      </w:tr>
      <w:tr w:rsidR="00C46123" w:rsidRPr="00CA2760" w14:paraId="3EC32CA3" w14:textId="77777777" w:rsidTr="00B87A9B">
        <w:trPr>
          <w:trHeight w:val="439"/>
        </w:trPr>
        <w:tc>
          <w:tcPr>
            <w:tcW w:w="1497" w:type="dxa"/>
            <w:hideMark/>
          </w:tcPr>
          <w:p w14:paraId="1CAC5509"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sz w:val="20"/>
                <w:szCs w:val="20"/>
                <w:lang w:val="pt-BR"/>
              </w:rPr>
              <w:t xml:space="preserve">Média </w:t>
            </w:r>
          </w:p>
          <w:p w14:paraId="1A46F850" w14:textId="77777777" w:rsidR="00C46123" w:rsidRPr="00CA2760" w:rsidRDefault="00C46123" w:rsidP="00B87A9B">
            <w:pPr>
              <w:jc w:val="center"/>
              <w:rPr>
                <w:rFonts w:ascii="Arial" w:eastAsia="Times New Roman" w:hAnsi="Arial" w:cs="Arial"/>
                <w:color w:val="000080"/>
                <w:sz w:val="20"/>
                <w:szCs w:val="20"/>
                <w:lang w:val="pt-BR"/>
              </w:rPr>
            </w:pPr>
            <w:r w:rsidRPr="00CA2760">
              <w:rPr>
                <w:rFonts w:ascii="Arial" w:eastAsia="Times New Roman" w:hAnsi="Arial" w:cs="Arial"/>
                <w:sz w:val="20"/>
                <w:szCs w:val="20"/>
                <w:lang w:val="pt-BR"/>
              </w:rPr>
              <w:t>2014-2017</w:t>
            </w:r>
          </w:p>
        </w:tc>
        <w:tc>
          <w:tcPr>
            <w:tcW w:w="1360" w:type="dxa"/>
            <w:vAlign w:val="center"/>
            <w:hideMark/>
          </w:tcPr>
          <w:p w14:paraId="2FB0D7D3" w14:textId="4425EC66"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242</w:t>
            </w:r>
            <w:r w:rsidR="008E5F2E">
              <w:rPr>
                <w:rFonts w:ascii="Arial" w:eastAsia="Times New Roman" w:hAnsi="Arial" w:cs="Arial"/>
                <w:bCs/>
                <w:color w:val="000000"/>
                <w:sz w:val="20"/>
                <w:szCs w:val="20"/>
                <w:lang w:val="pt-BR"/>
              </w:rPr>
              <w:t>,</w:t>
            </w:r>
            <w:r w:rsidRPr="00CA2760">
              <w:rPr>
                <w:rFonts w:ascii="Arial" w:eastAsia="Times New Roman" w:hAnsi="Arial" w:cs="Arial"/>
                <w:bCs/>
                <w:color w:val="000000"/>
                <w:sz w:val="20"/>
                <w:szCs w:val="20"/>
                <w:lang w:val="pt-BR"/>
              </w:rPr>
              <w:t>3</w:t>
            </w:r>
          </w:p>
        </w:tc>
        <w:tc>
          <w:tcPr>
            <w:tcW w:w="1360" w:type="dxa"/>
            <w:vAlign w:val="center"/>
            <w:hideMark/>
          </w:tcPr>
          <w:p w14:paraId="2E548D6C" w14:textId="7DEAD1A1"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236</w:t>
            </w:r>
            <w:r w:rsidR="008E5F2E">
              <w:rPr>
                <w:rFonts w:ascii="Arial" w:eastAsia="Times New Roman" w:hAnsi="Arial" w:cs="Arial"/>
                <w:bCs/>
                <w:color w:val="000000"/>
                <w:sz w:val="20"/>
                <w:szCs w:val="20"/>
                <w:lang w:val="pt-BR"/>
              </w:rPr>
              <w:t>,</w:t>
            </w:r>
            <w:r w:rsidRPr="00CA2760">
              <w:rPr>
                <w:rFonts w:ascii="Arial" w:eastAsia="Times New Roman" w:hAnsi="Arial" w:cs="Arial"/>
                <w:bCs/>
                <w:color w:val="000000"/>
                <w:sz w:val="20"/>
                <w:szCs w:val="20"/>
                <w:lang w:val="pt-BR"/>
              </w:rPr>
              <w:t>4</w:t>
            </w:r>
          </w:p>
        </w:tc>
        <w:tc>
          <w:tcPr>
            <w:tcW w:w="1360" w:type="dxa"/>
            <w:vAlign w:val="center"/>
            <w:hideMark/>
          </w:tcPr>
          <w:p w14:paraId="7CC244EB" w14:textId="3478FFC1"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75</w:t>
            </w:r>
            <w:r w:rsidR="008E5F2E">
              <w:rPr>
                <w:rFonts w:ascii="Arial" w:eastAsia="Times New Roman" w:hAnsi="Arial" w:cs="Arial"/>
                <w:bCs/>
                <w:color w:val="000000"/>
                <w:sz w:val="20"/>
                <w:szCs w:val="20"/>
                <w:lang w:val="pt-BR"/>
              </w:rPr>
              <w:t>,</w:t>
            </w:r>
            <w:r w:rsidRPr="00CA2760">
              <w:rPr>
                <w:rFonts w:ascii="Arial" w:eastAsia="Times New Roman" w:hAnsi="Arial" w:cs="Arial"/>
                <w:bCs/>
                <w:color w:val="000000"/>
                <w:sz w:val="20"/>
                <w:szCs w:val="20"/>
                <w:lang w:val="pt-BR"/>
              </w:rPr>
              <w:t>7</w:t>
            </w:r>
          </w:p>
        </w:tc>
        <w:tc>
          <w:tcPr>
            <w:tcW w:w="1360" w:type="dxa"/>
            <w:vAlign w:val="center"/>
            <w:hideMark/>
          </w:tcPr>
          <w:p w14:paraId="43DADFA9" w14:textId="20F8691B"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73</w:t>
            </w:r>
            <w:r w:rsidR="008E5F2E">
              <w:rPr>
                <w:rFonts w:ascii="Arial" w:eastAsia="Times New Roman" w:hAnsi="Arial" w:cs="Arial"/>
                <w:bCs/>
                <w:color w:val="000000"/>
                <w:sz w:val="20"/>
                <w:szCs w:val="20"/>
                <w:lang w:val="pt-BR"/>
              </w:rPr>
              <w:t>,</w:t>
            </w:r>
            <w:r w:rsidRPr="00CA2760">
              <w:rPr>
                <w:rFonts w:ascii="Arial" w:eastAsia="Times New Roman" w:hAnsi="Arial" w:cs="Arial"/>
                <w:bCs/>
                <w:color w:val="000000"/>
                <w:sz w:val="20"/>
                <w:szCs w:val="20"/>
                <w:lang w:val="pt-BR"/>
              </w:rPr>
              <w:t>9</w:t>
            </w:r>
          </w:p>
        </w:tc>
      </w:tr>
    </w:tbl>
    <w:p w14:paraId="609445AD" w14:textId="77777777" w:rsidR="00C46123" w:rsidRPr="00CA2760" w:rsidRDefault="00C46123" w:rsidP="00C46123">
      <w:pPr>
        <w:spacing w:after="0" w:line="240" w:lineRule="auto"/>
        <w:rPr>
          <w:rFonts w:ascii="Times New Roman" w:hAnsi="Times New Roman" w:cs="Times New Roman"/>
          <w:lang w:val="pt-BR"/>
        </w:rPr>
      </w:pPr>
      <w:r w:rsidRPr="00CA2760">
        <w:rPr>
          <w:rFonts w:ascii="Times New Roman" w:hAnsi="Times New Roman" w:cs="Times New Roman"/>
          <w:lang w:val="pt-BR"/>
        </w:rPr>
        <w:t>Nota: (*) Estimado utilizando o IPCA.</w:t>
      </w:r>
    </w:p>
    <w:p w14:paraId="3341DD3C" w14:textId="74E4EA0D" w:rsidR="00C46123" w:rsidRPr="00CA2760" w:rsidRDefault="00C46123" w:rsidP="00C46123">
      <w:pPr>
        <w:spacing w:after="0" w:line="240" w:lineRule="auto"/>
        <w:rPr>
          <w:rFonts w:ascii="Times New Roman" w:hAnsi="Times New Roman" w:cs="Times New Roman"/>
          <w:lang w:val="pt-BR"/>
        </w:rPr>
      </w:pPr>
      <w:r w:rsidRPr="00CA2760">
        <w:rPr>
          <w:rFonts w:ascii="Times New Roman" w:hAnsi="Times New Roman" w:cs="Times New Roman"/>
          <w:lang w:val="pt-BR"/>
        </w:rPr>
        <w:t>(**) US$1 = R$3</w:t>
      </w:r>
      <w:r w:rsidR="008E5F2E">
        <w:rPr>
          <w:rFonts w:ascii="Times New Roman" w:hAnsi="Times New Roman" w:cs="Times New Roman"/>
          <w:lang w:val="pt-BR"/>
        </w:rPr>
        <w:t>,</w:t>
      </w:r>
      <w:r w:rsidRPr="00CA2760">
        <w:rPr>
          <w:rFonts w:ascii="Times New Roman" w:hAnsi="Times New Roman" w:cs="Times New Roman"/>
          <w:lang w:val="pt-BR"/>
        </w:rPr>
        <w:t>20</w:t>
      </w:r>
    </w:p>
    <w:p w14:paraId="00D1030B" w14:textId="77777777" w:rsidR="00C46123" w:rsidRPr="00CA2760" w:rsidRDefault="00C46123" w:rsidP="00C46123">
      <w:pPr>
        <w:spacing w:line="360" w:lineRule="auto"/>
        <w:rPr>
          <w:rFonts w:ascii="Times New Roman" w:hAnsi="Times New Roman" w:cs="Times New Roman"/>
          <w:lang w:val="pt-BR"/>
        </w:rPr>
      </w:pPr>
      <w:r w:rsidRPr="00CA2760">
        <w:rPr>
          <w:rFonts w:ascii="Times New Roman" w:hAnsi="Times New Roman" w:cs="Times New Roman"/>
          <w:lang w:val="pt-BR"/>
        </w:rPr>
        <w:t>Fonte: Cálculos dos autores com dados do SFM.</w:t>
      </w:r>
    </w:p>
    <w:p w14:paraId="6D6E71F8" w14:textId="77777777" w:rsidR="00C46123" w:rsidRPr="00CA2760" w:rsidRDefault="00C46123" w:rsidP="00C46123">
      <w:pPr>
        <w:spacing w:after="160" w:line="360" w:lineRule="auto"/>
        <w:rPr>
          <w:rFonts w:ascii="Times New Roman" w:hAnsi="Times New Roman"/>
          <w:b/>
          <w:sz w:val="24"/>
          <w:szCs w:val="24"/>
          <w:lang w:val="pt-BR"/>
        </w:rPr>
      </w:pPr>
      <w:r w:rsidRPr="00CA2760">
        <w:rPr>
          <w:rFonts w:ascii="Times New Roman" w:hAnsi="Times New Roman"/>
          <w:b/>
          <w:sz w:val="24"/>
          <w:szCs w:val="24"/>
          <w:lang w:val="pt-BR"/>
        </w:rPr>
        <w:lastRenderedPageBreak/>
        <w:t xml:space="preserve">Um indicador do aumento do valor anual de operações de crédito do SFM para o </w:t>
      </w:r>
      <w:r w:rsidRPr="00E76C4C">
        <w:rPr>
          <w:rFonts w:ascii="Times New Roman" w:hAnsi="Times New Roman"/>
          <w:b/>
          <w:sz w:val="24"/>
          <w:szCs w:val="24"/>
          <w:lang w:val="pt-BR"/>
        </w:rPr>
        <w:t>Plano de Monitoramento e Avaliação</w:t>
      </w:r>
    </w:p>
    <w:p w14:paraId="4117210B" w14:textId="131D5912" w:rsidR="00C46123" w:rsidRPr="00EB209E" w:rsidRDefault="00C46123" w:rsidP="00C46123">
      <w:pPr>
        <w:pStyle w:val="BodyTextIndent"/>
        <w:spacing w:line="360" w:lineRule="auto"/>
        <w:ind w:left="0"/>
        <w:rPr>
          <w:rFonts w:ascii="Times New Roman" w:hAnsi="Times New Roman"/>
          <w:sz w:val="24"/>
          <w:szCs w:val="24"/>
          <w:lang w:val="pt-BR"/>
        </w:rPr>
      </w:pPr>
      <w:r w:rsidRPr="00CA2760">
        <w:rPr>
          <w:rFonts w:ascii="Times New Roman" w:hAnsi="Times New Roman"/>
          <w:sz w:val="24"/>
          <w:szCs w:val="24"/>
          <w:lang w:val="pt-BR"/>
        </w:rPr>
        <w:t xml:space="preserve">Para </w:t>
      </w:r>
      <w:r w:rsidR="00393569">
        <w:rPr>
          <w:rFonts w:ascii="Times New Roman" w:hAnsi="Times New Roman"/>
          <w:sz w:val="24"/>
          <w:szCs w:val="24"/>
          <w:lang w:val="pt-BR"/>
        </w:rPr>
        <w:t xml:space="preserve">o </w:t>
      </w:r>
      <w:r w:rsidRPr="00CA2760">
        <w:rPr>
          <w:rFonts w:ascii="Times New Roman" w:hAnsi="Times New Roman"/>
          <w:sz w:val="24"/>
          <w:szCs w:val="24"/>
          <w:lang w:val="pt-BR"/>
        </w:rPr>
        <w:t xml:space="preserve">Componente III (Fortalecimento do SFM), sugerimos a utilização do </w:t>
      </w:r>
      <w:r w:rsidR="00E76C4C">
        <w:rPr>
          <w:rFonts w:ascii="Times New Roman" w:hAnsi="Times New Roman"/>
          <w:sz w:val="24"/>
          <w:szCs w:val="24"/>
          <w:lang w:val="pt-BR"/>
        </w:rPr>
        <w:t>i</w:t>
      </w:r>
      <w:r w:rsidRPr="00CA2760">
        <w:rPr>
          <w:rFonts w:ascii="Times New Roman" w:hAnsi="Times New Roman"/>
          <w:sz w:val="24"/>
          <w:szCs w:val="24"/>
          <w:lang w:val="pt-BR"/>
        </w:rPr>
        <w:t xml:space="preserve">ndicador de </w:t>
      </w:r>
      <w:r w:rsidR="00E76C4C">
        <w:rPr>
          <w:rFonts w:ascii="Times New Roman" w:hAnsi="Times New Roman"/>
          <w:sz w:val="24"/>
          <w:szCs w:val="24"/>
          <w:lang w:val="pt-BR"/>
        </w:rPr>
        <w:t>a</w:t>
      </w:r>
      <w:r w:rsidRPr="00CA2760">
        <w:rPr>
          <w:rFonts w:ascii="Times New Roman" w:hAnsi="Times New Roman"/>
          <w:sz w:val="24"/>
          <w:szCs w:val="24"/>
          <w:lang w:val="pt-BR"/>
        </w:rPr>
        <w:t xml:space="preserve">umento do valor anual de operação de crédito </w:t>
      </w:r>
      <w:r w:rsidRPr="00EB209E">
        <w:rPr>
          <w:rFonts w:ascii="Times New Roman" w:hAnsi="Times New Roman"/>
          <w:sz w:val="24"/>
          <w:szCs w:val="24"/>
          <w:lang w:val="pt-BR"/>
        </w:rPr>
        <w:t>do SFM</w:t>
      </w:r>
      <w:r w:rsidR="00E76C4C" w:rsidRPr="00EB209E">
        <w:rPr>
          <w:rFonts w:ascii="Times New Roman" w:hAnsi="Times New Roman"/>
          <w:sz w:val="24"/>
          <w:szCs w:val="24"/>
          <w:lang w:val="pt-BR"/>
        </w:rPr>
        <w:t xml:space="preserve"> (Indicador de Resultado 12</w:t>
      </w:r>
      <w:r w:rsidR="00EB209E" w:rsidRPr="00EB209E">
        <w:rPr>
          <w:rFonts w:ascii="Times New Roman" w:hAnsi="Times New Roman"/>
          <w:sz w:val="24"/>
          <w:szCs w:val="24"/>
          <w:lang w:val="pt-BR"/>
        </w:rPr>
        <w:t xml:space="preserve">/ </w:t>
      </w:r>
      <w:r w:rsidR="00E76C4C" w:rsidRPr="00EB209E">
        <w:rPr>
          <w:rFonts w:ascii="Times New Roman" w:hAnsi="Times New Roman"/>
          <w:sz w:val="24"/>
          <w:szCs w:val="24"/>
          <w:lang w:val="pt-BR"/>
        </w:rPr>
        <w:t>3.26)</w:t>
      </w:r>
      <w:r w:rsidRPr="00EB209E">
        <w:rPr>
          <w:rFonts w:ascii="Times New Roman" w:hAnsi="Times New Roman"/>
          <w:sz w:val="24"/>
          <w:szCs w:val="24"/>
          <w:lang w:val="pt-BR"/>
        </w:rPr>
        <w:t>:</w:t>
      </w:r>
    </w:p>
    <w:p w14:paraId="3B1CE8F5" w14:textId="67225E32" w:rsidR="000730D7" w:rsidRPr="00CA2760" w:rsidRDefault="000730D7" w:rsidP="00C46123">
      <w:pPr>
        <w:pStyle w:val="BodyTextIndent"/>
        <w:spacing w:line="360" w:lineRule="auto"/>
        <w:ind w:left="0"/>
        <w:rPr>
          <w:rFonts w:ascii="Times New Roman" w:hAnsi="Times New Roman"/>
          <w:sz w:val="24"/>
          <w:szCs w:val="24"/>
          <w:lang w:val="pt-BR"/>
        </w:rPr>
      </w:pPr>
    </w:p>
    <w:p w14:paraId="2F5B823B" w14:textId="2C84A0B2" w:rsidR="00C46123" w:rsidRPr="00CA2760" w:rsidRDefault="00C46123" w:rsidP="00C46123">
      <w:pPr>
        <w:pStyle w:val="BodyTextIndent"/>
        <w:numPr>
          <w:ilvl w:val="0"/>
          <w:numId w:val="28"/>
        </w:numPr>
        <w:spacing w:after="0" w:line="360" w:lineRule="auto"/>
        <w:ind w:left="567"/>
        <w:rPr>
          <w:rFonts w:ascii="Times New Roman" w:hAnsi="Times New Roman"/>
          <w:sz w:val="24"/>
          <w:szCs w:val="24"/>
          <w:lang w:val="pt-BR"/>
        </w:rPr>
      </w:pPr>
      <w:r w:rsidRPr="00CA2760">
        <w:rPr>
          <w:rFonts w:ascii="Times New Roman" w:hAnsi="Times New Roman"/>
          <w:b/>
          <w:sz w:val="24"/>
          <w:szCs w:val="24"/>
          <w:lang w:val="pt-BR"/>
        </w:rPr>
        <w:t>Descrição:</w:t>
      </w:r>
      <w:r w:rsidRPr="00CA2760">
        <w:rPr>
          <w:rFonts w:ascii="Times New Roman" w:hAnsi="Times New Roman"/>
          <w:sz w:val="24"/>
          <w:szCs w:val="24"/>
          <w:lang w:val="pt-BR"/>
        </w:rPr>
        <w:t xml:space="preserve"> O objetivo deste indicador é medir o acréscimo gerado pelo Programa no valor total das operações de crédito contratadas no âmbito do Sistema de Financiamento aos Municípios do Estado do Paraná - SFM. Este indicador apresenta como linha de base (2017) o valor de R</w:t>
      </w:r>
      <w:r w:rsidR="008C5690">
        <w:rPr>
          <w:rFonts w:ascii="Times New Roman" w:hAnsi="Times New Roman"/>
          <w:sz w:val="24"/>
          <w:szCs w:val="24"/>
          <w:lang w:val="pt-BR"/>
        </w:rPr>
        <w:t>$</w:t>
      </w:r>
      <w:r w:rsidRPr="00CA2760">
        <w:rPr>
          <w:rFonts w:ascii="Times New Roman" w:hAnsi="Times New Roman"/>
          <w:sz w:val="24"/>
          <w:szCs w:val="24"/>
          <w:lang w:val="pt-BR"/>
        </w:rPr>
        <w:t>224.258.174, correspondente à média do valor total de operações de crédito contratadas nos últimos quatro anos</w:t>
      </w:r>
      <w:r w:rsidRPr="00CA2760">
        <w:rPr>
          <w:rFonts w:ascii="Times New Roman" w:hAnsi="Times New Roman"/>
          <w:spacing w:val="3"/>
          <w:sz w:val="24"/>
          <w:szCs w:val="24"/>
          <w:lang w:val="pt-BR"/>
        </w:rPr>
        <w:t>.</w:t>
      </w:r>
    </w:p>
    <w:p w14:paraId="649FE61A" w14:textId="7715A227" w:rsidR="00C46123" w:rsidRPr="00CA2760" w:rsidRDefault="00C46123" w:rsidP="00C46123">
      <w:pPr>
        <w:spacing w:after="0" w:line="240" w:lineRule="auto"/>
        <w:ind w:left="567" w:hanging="283"/>
        <w:jc w:val="center"/>
        <w:rPr>
          <w:rFonts w:ascii="Times New Roman" w:hAnsi="Times New Roman"/>
          <w:color w:val="FF0000"/>
          <w:sz w:val="24"/>
          <w:szCs w:val="24"/>
          <w:lang w:val="pt-BR"/>
        </w:rPr>
      </w:pPr>
      <w:r w:rsidRPr="00CA2760">
        <w:rPr>
          <w:rFonts w:ascii="Times New Roman" w:hAnsi="Times New Roman"/>
          <w:sz w:val="24"/>
          <w:szCs w:val="24"/>
          <w:lang w:val="pt-BR"/>
        </w:rPr>
        <w:t xml:space="preserve">          Cálculo do Valor Médio Anual de Operação de Crédito – (2014-2017) (R</w:t>
      </w:r>
      <w:r w:rsidR="008C5690">
        <w:rPr>
          <w:rFonts w:ascii="Times New Roman" w:hAnsi="Times New Roman"/>
          <w:sz w:val="24"/>
          <w:szCs w:val="24"/>
          <w:lang w:val="pt-BR"/>
        </w:rPr>
        <w:t>$</w:t>
      </w:r>
      <w:r w:rsidRPr="00CA2760">
        <w:rPr>
          <w:rFonts w:ascii="Times New Roman" w:hAnsi="Times New Roman"/>
          <w:sz w:val="24"/>
          <w:szCs w:val="24"/>
          <w:lang w:val="pt-BR"/>
        </w:rPr>
        <w:t>1,00)</w:t>
      </w: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3"/>
        <w:gridCol w:w="1625"/>
        <w:gridCol w:w="1673"/>
        <w:gridCol w:w="1642"/>
        <w:gridCol w:w="1674"/>
      </w:tblGrid>
      <w:tr w:rsidR="00C46123" w:rsidRPr="00CA2760" w14:paraId="45601780" w14:textId="77777777" w:rsidTr="00B87A9B">
        <w:tc>
          <w:tcPr>
            <w:tcW w:w="1842" w:type="dxa"/>
            <w:tcBorders>
              <w:top w:val="single" w:sz="4" w:space="0" w:color="auto"/>
              <w:left w:val="single" w:sz="4" w:space="0" w:color="auto"/>
              <w:bottom w:val="single" w:sz="4" w:space="0" w:color="auto"/>
              <w:right w:val="single" w:sz="4" w:space="0" w:color="auto"/>
            </w:tcBorders>
            <w:hideMark/>
          </w:tcPr>
          <w:p w14:paraId="654B5706" w14:textId="77777777" w:rsidR="00C46123" w:rsidRPr="00CA2760" w:rsidRDefault="00C46123" w:rsidP="00B87A9B">
            <w:pPr>
              <w:spacing w:after="0" w:line="240" w:lineRule="auto"/>
              <w:ind w:left="567" w:hanging="283"/>
              <w:jc w:val="center"/>
              <w:rPr>
                <w:rFonts w:ascii="Times New Roman" w:hAnsi="Times New Roman"/>
                <w:sz w:val="24"/>
                <w:szCs w:val="24"/>
                <w:lang w:val="pt-BR"/>
              </w:rPr>
            </w:pPr>
            <w:r w:rsidRPr="00CA2760">
              <w:rPr>
                <w:rFonts w:ascii="Times New Roman" w:hAnsi="Times New Roman"/>
                <w:sz w:val="24"/>
                <w:szCs w:val="24"/>
                <w:lang w:val="pt-BR"/>
              </w:rPr>
              <w:t>2014</w:t>
            </w:r>
          </w:p>
        </w:tc>
        <w:tc>
          <w:tcPr>
            <w:tcW w:w="1560" w:type="dxa"/>
            <w:tcBorders>
              <w:top w:val="single" w:sz="4" w:space="0" w:color="auto"/>
              <w:left w:val="single" w:sz="4" w:space="0" w:color="auto"/>
              <w:bottom w:val="single" w:sz="4" w:space="0" w:color="auto"/>
              <w:right w:val="single" w:sz="4" w:space="0" w:color="auto"/>
            </w:tcBorders>
            <w:hideMark/>
          </w:tcPr>
          <w:p w14:paraId="16566A62" w14:textId="77777777" w:rsidR="00C46123" w:rsidRPr="00CA2760" w:rsidRDefault="00C46123" w:rsidP="00B87A9B">
            <w:pPr>
              <w:spacing w:after="0" w:line="240" w:lineRule="auto"/>
              <w:ind w:left="567" w:hanging="283"/>
              <w:jc w:val="center"/>
              <w:rPr>
                <w:rFonts w:ascii="Times New Roman" w:hAnsi="Times New Roman"/>
                <w:sz w:val="24"/>
                <w:szCs w:val="24"/>
                <w:lang w:val="pt-BR"/>
              </w:rPr>
            </w:pPr>
            <w:r w:rsidRPr="00CA2760">
              <w:rPr>
                <w:rFonts w:ascii="Times New Roman" w:hAnsi="Times New Roman"/>
                <w:sz w:val="24"/>
                <w:szCs w:val="24"/>
                <w:lang w:val="pt-BR"/>
              </w:rPr>
              <w:t>2015</w:t>
            </w:r>
          </w:p>
        </w:tc>
        <w:tc>
          <w:tcPr>
            <w:tcW w:w="1842" w:type="dxa"/>
            <w:tcBorders>
              <w:top w:val="single" w:sz="4" w:space="0" w:color="auto"/>
              <w:left w:val="single" w:sz="4" w:space="0" w:color="auto"/>
              <w:bottom w:val="single" w:sz="4" w:space="0" w:color="auto"/>
              <w:right w:val="single" w:sz="4" w:space="0" w:color="auto"/>
            </w:tcBorders>
            <w:hideMark/>
          </w:tcPr>
          <w:p w14:paraId="0C3BE5FB" w14:textId="77777777" w:rsidR="00C46123" w:rsidRPr="00CA2760" w:rsidRDefault="00C46123" w:rsidP="00B87A9B">
            <w:pPr>
              <w:spacing w:after="0" w:line="240" w:lineRule="auto"/>
              <w:ind w:left="567" w:hanging="283"/>
              <w:jc w:val="center"/>
              <w:rPr>
                <w:rFonts w:ascii="Times New Roman" w:hAnsi="Times New Roman"/>
                <w:sz w:val="24"/>
                <w:szCs w:val="24"/>
                <w:lang w:val="pt-BR"/>
              </w:rPr>
            </w:pPr>
            <w:r w:rsidRPr="00CA2760">
              <w:rPr>
                <w:rFonts w:ascii="Times New Roman" w:hAnsi="Times New Roman"/>
                <w:sz w:val="24"/>
                <w:szCs w:val="24"/>
                <w:lang w:val="pt-BR"/>
              </w:rPr>
              <w:t>2016</w:t>
            </w:r>
          </w:p>
        </w:tc>
        <w:tc>
          <w:tcPr>
            <w:tcW w:w="1701" w:type="dxa"/>
            <w:tcBorders>
              <w:top w:val="single" w:sz="4" w:space="0" w:color="auto"/>
              <w:left w:val="single" w:sz="4" w:space="0" w:color="auto"/>
              <w:bottom w:val="single" w:sz="4" w:space="0" w:color="auto"/>
              <w:right w:val="single" w:sz="4" w:space="0" w:color="auto"/>
            </w:tcBorders>
            <w:hideMark/>
          </w:tcPr>
          <w:p w14:paraId="70F28062" w14:textId="77777777" w:rsidR="00C46123" w:rsidRPr="00CA2760" w:rsidRDefault="00C46123" w:rsidP="00B87A9B">
            <w:pPr>
              <w:spacing w:after="0" w:line="240" w:lineRule="auto"/>
              <w:ind w:left="567" w:hanging="283"/>
              <w:jc w:val="center"/>
              <w:rPr>
                <w:rFonts w:ascii="Times New Roman" w:hAnsi="Times New Roman"/>
                <w:sz w:val="24"/>
                <w:szCs w:val="24"/>
                <w:lang w:val="pt-BR"/>
              </w:rPr>
            </w:pPr>
            <w:r w:rsidRPr="00CA2760">
              <w:rPr>
                <w:rFonts w:ascii="Times New Roman" w:hAnsi="Times New Roman"/>
                <w:sz w:val="24"/>
                <w:szCs w:val="24"/>
                <w:lang w:val="pt-BR"/>
              </w:rPr>
              <w:t>2017</w:t>
            </w:r>
          </w:p>
        </w:tc>
        <w:tc>
          <w:tcPr>
            <w:tcW w:w="1843" w:type="dxa"/>
            <w:tcBorders>
              <w:top w:val="single" w:sz="4" w:space="0" w:color="auto"/>
              <w:left w:val="single" w:sz="4" w:space="0" w:color="auto"/>
              <w:bottom w:val="single" w:sz="4" w:space="0" w:color="auto"/>
              <w:right w:val="single" w:sz="4" w:space="0" w:color="auto"/>
            </w:tcBorders>
            <w:hideMark/>
          </w:tcPr>
          <w:p w14:paraId="22342444" w14:textId="77777777" w:rsidR="00C46123" w:rsidRPr="00CA2760" w:rsidRDefault="00C46123" w:rsidP="00B87A9B">
            <w:pPr>
              <w:spacing w:after="0" w:line="240" w:lineRule="auto"/>
              <w:ind w:left="567" w:hanging="283"/>
              <w:jc w:val="center"/>
              <w:rPr>
                <w:rFonts w:ascii="Times New Roman" w:hAnsi="Times New Roman"/>
                <w:sz w:val="24"/>
                <w:szCs w:val="24"/>
                <w:lang w:val="pt-BR"/>
              </w:rPr>
            </w:pPr>
            <w:r w:rsidRPr="00CA2760">
              <w:rPr>
                <w:rFonts w:ascii="Times New Roman" w:hAnsi="Times New Roman"/>
                <w:sz w:val="24"/>
                <w:szCs w:val="24"/>
                <w:lang w:val="pt-BR"/>
              </w:rPr>
              <w:t>Média</w:t>
            </w:r>
          </w:p>
        </w:tc>
      </w:tr>
      <w:tr w:rsidR="00C46123" w:rsidRPr="00CA2760" w14:paraId="7B9F654C" w14:textId="77777777" w:rsidTr="00B87A9B">
        <w:tc>
          <w:tcPr>
            <w:tcW w:w="1842" w:type="dxa"/>
            <w:tcBorders>
              <w:top w:val="single" w:sz="4" w:space="0" w:color="auto"/>
              <w:left w:val="single" w:sz="4" w:space="0" w:color="auto"/>
              <w:bottom w:val="single" w:sz="4" w:space="0" w:color="auto"/>
              <w:right w:val="single" w:sz="4" w:space="0" w:color="auto"/>
            </w:tcBorders>
            <w:hideMark/>
          </w:tcPr>
          <w:p w14:paraId="12725854" w14:textId="77777777" w:rsidR="00C46123" w:rsidRPr="00CA2760" w:rsidRDefault="00C46123" w:rsidP="00B87A9B">
            <w:pPr>
              <w:spacing w:after="0" w:line="240" w:lineRule="auto"/>
              <w:ind w:left="567" w:hanging="283"/>
              <w:jc w:val="center"/>
              <w:rPr>
                <w:rFonts w:ascii="Times New Roman" w:eastAsia="Arial Unicode MS" w:hAnsi="Times New Roman"/>
                <w:sz w:val="24"/>
                <w:szCs w:val="24"/>
                <w:lang w:val="pt-BR"/>
              </w:rPr>
            </w:pPr>
            <w:r w:rsidRPr="00CA2760">
              <w:rPr>
                <w:rFonts w:ascii="Times New Roman" w:eastAsia="Arial Unicode MS" w:hAnsi="Times New Roman"/>
                <w:sz w:val="24"/>
                <w:szCs w:val="24"/>
                <w:lang w:val="pt-BR"/>
              </w:rPr>
              <w:t>193.250.964</w:t>
            </w:r>
          </w:p>
        </w:tc>
        <w:tc>
          <w:tcPr>
            <w:tcW w:w="1560" w:type="dxa"/>
            <w:tcBorders>
              <w:top w:val="single" w:sz="4" w:space="0" w:color="auto"/>
              <w:left w:val="single" w:sz="4" w:space="0" w:color="auto"/>
              <w:bottom w:val="single" w:sz="4" w:space="0" w:color="auto"/>
              <w:right w:val="single" w:sz="4" w:space="0" w:color="auto"/>
            </w:tcBorders>
            <w:hideMark/>
          </w:tcPr>
          <w:p w14:paraId="47B3454A" w14:textId="77777777" w:rsidR="00C46123" w:rsidRPr="00CA2760" w:rsidRDefault="00C46123" w:rsidP="00B87A9B">
            <w:pPr>
              <w:spacing w:after="0" w:line="240" w:lineRule="auto"/>
              <w:ind w:left="567" w:hanging="283"/>
              <w:jc w:val="center"/>
              <w:rPr>
                <w:rFonts w:ascii="Times New Roman" w:eastAsia="Arial Unicode MS" w:hAnsi="Times New Roman"/>
                <w:sz w:val="24"/>
                <w:szCs w:val="24"/>
                <w:lang w:val="pt-BR"/>
              </w:rPr>
            </w:pPr>
            <w:r w:rsidRPr="00CA2760">
              <w:rPr>
                <w:rFonts w:ascii="Times New Roman" w:eastAsia="Arial Unicode MS" w:hAnsi="Times New Roman"/>
                <w:sz w:val="24"/>
                <w:szCs w:val="24"/>
                <w:lang w:val="pt-BR"/>
              </w:rPr>
              <w:t>261.317.125</w:t>
            </w:r>
          </w:p>
        </w:tc>
        <w:tc>
          <w:tcPr>
            <w:tcW w:w="1842" w:type="dxa"/>
            <w:tcBorders>
              <w:top w:val="single" w:sz="4" w:space="0" w:color="auto"/>
              <w:left w:val="single" w:sz="4" w:space="0" w:color="auto"/>
              <w:bottom w:val="single" w:sz="4" w:space="0" w:color="auto"/>
              <w:right w:val="single" w:sz="4" w:space="0" w:color="auto"/>
            </w:tcBorders>
            <w:hideMark/>
          </w:tcPr>
          <w:p w14:paraId="4375F941" w14:textId="77777777" w:rsidR="00C46123" w:rsidRPr="00CA2760" w:rsidRDefault="00C46123" w:rsidP="00B87A9B">
            <w:pPr>
              <w:spacing w:after="0" w:line="240" w:lineRule="auto"/>
              <w:ind w:left="567" w:hanging="283"/>
              <w:jc w:val="center"/>
              <w:rPr>
                <w:rFonts w:ascii="Times New Roman" w:eastAsia="Arial Unicode MS" w:hAnsi="Times New Roman"/>
                <w:sz w:val="24"/>
                <w:szCs w:val="24"/>
                <w:lang w:val="pt-BR"/>
              </w:rPr>
            </w:pPr>
            <w:r w:rsidRPr="00CA2760">
              <w:rPr>
                <w:rFonts w:ascii="Times New Roman" w:eastAsia="Arial Unicode MS" w:hAnsi="Times New Roman"/>
                <w:sz w:val="24"/>
                <w:szCs w:val="24"/>
                <w:lang w:val="pt-BR"/>
              </w:rPr>
              <w:t>230.382.608</w:t>
            </w:r>
          </w:p>
        </w:tc>
        <w:tc>
          <w:tcPr>
            <w:tcW w:w="1701" w:type="dxa"/>
            <w:tcBorders>
              <w:top w:val="single" w:sz="4" w:space="0" w:color="auto"/>
              <w:left w:val="single" w:sz="4" w:space="0" w:color="auto"/>
              <w:bottom w:val="single" w:sz="4" w:space="0" w:color="auto"/>
              <w:right w:val="single" w:sz="4" w:space="0" w:color="auto"/>
            </w:tcBorders>
            <w:hideMark/>
          </w:tcPr>
          <w:p w14:paraId="1FE8167F" w14:textId="77777777" w:rsidR="00C46123" w:rsidRPr="00CA2760" w:rsidRDefault="00C46123" w:rsidP="00B87A9B">
            <w:pPr>
              <w:spacing w:after="0" w:line="240" w:lineRule="auto"/>
              <w:ind w:left="567" w:hanging="283"/>
              <w:jc w:val="center"/>
              <w:rPr>
                <w:rFonts w:ascii="Times New Roman" w:eastAsia="Arial Unicode MS" w:hAnsi="Times New Roman"/>
                <w:sz w:val="24"/>
                <w:szCs w:val="24"/>
                <w:lang w:val="pt-BR"/>
              </w:rPr>
            </w:pPr>
            <w:r w:rsidRPr="00CA2760">
              <w:rPr>
                <w:rFonts w:ascii="Times New Roman" w:eastAsia="Arial Unicode MS" w:hAnsi="Times New Roman"/>
                <w:sz w:val="24"/>
                <w:szCs w:val="24"/>
                <w:lang w:val="pt-BR"/>
              </w:rPr>
              <w:t>212.082.000</w:t>
            </w:r>
          </w:p>
        </w:tc>
        <w:tc>
          <w:tcPr>
            <w:tcW w:w="1843" w:type="dxa"/>
            <w:tcBorders>
              <w:top w:val="single" w:sz="4" w:space="0" w:color="auto"/>
              <w:left w:val="single" w:sz="4" w:space="0" w:color="auto"/>
              <w:bottom w:val="single" w:sz="4" w:space="0" w:color="auto"/>
              <w:right w:val="single" w:sz="4" w:space="0" w:color="auto"/>
            </w:tcBorders>
            <w:hideMark/>
          </w:tcPr>
          <w:p w14:paraId="25B3BE7C" w14:textId="77777777" w:rsidR="00C46123" w:rsidRPr="00CA2760" w:rsidRDefault="00C46123" w:rsidP="00B87A9B">
            <w:pPr>
              <w:spacing w:after="0" w:line="240" w:lineRule="auto"/>
              <w:ind w:left="567" w:hanging="283"/>
              <w:jc w:val="center"/>
              <w:rPr>
                <w:rFonts w:ascii="Times New Roman" w:eastAsia="Arial Unicode MS" w:hAnsi="Times New Roman"/>
                <w:sz w:val="24"/>
                <w:szCs w:val="24"/>
                <w:lang w:val="pt-BR"/>
              </w:rPr>
            </w:pPr>
            <w:r w:rsidRPr="00CA2760">
              <w:rPr>
                <w:rFonts w:ascii="Times New Roman" w:eastAsia="Arial Unicode MS" w:hAnsi="Times New Roman"/>
                <w:sz w:val="24"/>
                <w:szCs w:val="24"/>
                <w:lang w:val="pt-BR"/>
              </w:rPr>
              <w:t>224.258.174</w:t>
            </w:r>
          </w:p>
        </w:tc>
      </w:tr>
    </w:tbl>
    <w:p w14:paraId="2CFE150A" w14:textId="77777777" w:rsidR="00C46123" w:rsidRPr="00CA2760" w:rsidRDefault="00C46123" w:rsidP="00C46123">
      <w:pPr>
        <w:pStyle w:val="BodyTextIndent"/>
        <w:spacing w:after="0" w:line="240" w:lineRule="auto"/>
        <w:ind w:left="567" w:hanging="283"/>
        <w:rPr>
          <w:rFonts w:ascii="Times New Roman" w:eastAsia="Calibri" w:hAnsi="Times New Roman"/>
          <w:sz w:val="24"/>
          <w:szCs w:val="24"/>
          <w:lang w:val="pt-BR" w:eastAsia="pt-BR"/>
        </w:rPr>
      </w:pPr>
    </w:p>
    <w:p w14:paraId="2A79E0FF" w14:textId="150C8781" w:rsidR="00C46123" w:rsidRPr="00CA2760" w:rsidRDefault="00C46123" w:rsidP="00C46123">
      <w:pPr>
        <w:pStyle w:val="BodyTextIndent"/>
        <w:spacing w:after="0" w:line="360" w:lineRule="auto"/>
        <w:ind w:left="709"/>
        <w:rPr>
          <w:rFonts w:ascii="Times New Roman" w:hAnsi="Times New Roman"/>
          <w:sz w:val="24"/>
          <w:szCs w:val="24"/>
          <w:lang w:val="pt-BR"/>
        </w:rPr>
      </w:pPr>
      <w:r w:rsidRPr="00CA2760">
        <w:rPr>
          <w:rFonts w:ascii="Times New Roman" w:hAnsi="Times New Roman"/>
          <w:sz w:val="24"/>
          <w:szCs w:val="24"/>
          <w:lang w:val="pt-BR"/>
        </w:rPr>
        <w:t>Como meta, este indicador apresenta o valor de R</w:t>
      </w:r>
      <w:r w:rsidR="008C5690">
        <w:rPr>
          <w:rFonts w:ascii="Times New Roman" w:hAnsi="Times New Roman"/>
          <w:sz w:val="24"/>
          <w:szCs w:val="24"/>
          <w:lang w:val="pt-BR"/>
        </w:rPr>
        <w:t>$</w:t>
      </w:r>
      <w:r w:rsidRPr="00CA2760">
        <w:rPr>
          <w:rFonts w:ascii="Times New Roman" w:hAnsi="Times New Roman"/>
          <w:sz w:val="24"/>
          <w:szCs w:val="24"/>
          <w:lang w:val="pt-BR"/>
        </w:rPr>
        <w:t>274.258.174, correspondente à linha de base somada a R</w:t>
      </w:r>
      <w:r w:rsidR="008C5690">
        <w:rPr>
          <w:rFonts w:ascii="Times New Roman" w:hAnsi="Times New Roman"/>
          <w:sz w:val="24"/>
          <w:szCs w:val="24"/>
          <w:lang w:val="pt-BR"/>
        </w:rPr>
        <w:t>$</w:t>
      </w:r>
      <w:r w:rsidRPr="00CA2760">
        <w:rPr>
          <w:rFonts w:ascii="Times New Roman" w:hAnsi="Times New Roman"/>
          <w:sz w:val="24"/>
          <w:szCs w:val="24"/>
          <w:lang w:val="pt-BR"/>
        </w:rPr>
        <w:t>50,00 milhões, correspondente ao aporte anual do Programa expresso em moeda nacional convertido ao valor constante de 2017 utilizando o IPCA.</w:t>
      </w:r>
    </w:p>
    <w:p w14:paraId="20B9719A" w14:textId="77777777" w:rsidR="00C46123" w:rsidRPr="00CA2760" w:rsidRDefault="00C46123" w:rsidP="00C46123">
      <w:pPr>
        <w:pStyle w:val="ListParagraph"/>
        <w:numPr>
          <w:ilvl w:val="0"/>
          <w:numId w:val="28"/>
        </w:numPr>
        <w:spacing w:line="360" w:lineRule="auto"/>
        <w:ind w:left="709"/>
        <w:rPr>
          <w:rFonts w:ascii="Times New Roman" w:hAnsi="Times New Roman"/>
          <w:sz w:val="24"/>
          <w:szCs w:val="24"/>
          <w:lang w:val="pt-BR"/>
        </w:rPr>
      </w:pPr>
      <w:r w:rsidRPr="00CA2760">
        <w:rPr>
          <w:rFonts w:ascii="Times New Roman" w:hAnsi="Times New Roman"/>
          <w:b/>
          <w:sz w:val="24"/>
          <w:szCs w:val="24"/>
          <w:lang w:val="pt-BR"/>
        </w:rPr>
        <w:t>Responsável pela Informação:</w:t>
      </w:r>
      <w:r w:rsidRPr="00CA2760">
        <w:rPr>
          <w:rFonts w:ascii="Times New Roman" w:hAnsi="Times New Roman"/>
          <w:sz w:val="24"/>
          <w:szCs w:val="24"/>
          <w:lang w:val="pt-BR"/>
        </w:rPr>
        <w:t xml:space="preserve"> A mensuração deste indicador ficará a cargo da Unidade de Gerenciamento do Programa – UGP. Deverá ser apresentado nos Relatórios de Avaliação de Meio Termo e Final do Programa.</w:t>
      </w:r>
    </w:p>
    <w:p w14:paraId="0547E80E" w14:textId="372E599D" w:rsidR="00C46123" w:rsidRPr="00CA2760" w:rsidRDefault="00C46123" w:rsidP="00C46123">
      <w:pPr>
        <w:pStyle w:val="ListParagraph"/>
        <w:numPr>
          <w:ilvl w:val="0"/>
          <w:numId w:val="28"/>
        </w:numPr>
        <w:spacing w:line="360" w:lineRule="auto"/>
        <w:ind w:left="709"/>
        <w:rPr>
          <w:rFonts w:ascii="Times New Roman" w:hAnsi="Times New Roman"/>
          <w:sz w:val="24"/>
          <w:szCs w:val="24"/>
          <w:lang w:val="pt-BR"/>
        </w:rPr>
      </w:pPr>
      <w:r w:rsidRPr="00CA2760">
        <w:rPr>
          <w:rFonts w:ascii="Times New Roman" w:hAnsi="Times New Roman"/>
          <w:b/>
          <w:sz w:val="24"/>
          <w:szCs w:val="24"/>
          <w:lang w:val="pt-BR"/>
        </w:rPr>
        <w:t xml:space="preserve">Forma de Avaliação: </w:t>
      </w:r>
      <w:r w:rsidRPr="00CA2760">
        <w:rPr>
          <w:rFonts w:ascii="Times New Roman" w:hAnsi="Times New Roman"/>
          <w:sz w:val="24"/>
          <w:szCs w:val="24"/>
          <w:lang w:val="pt-BR"/>
        </w:rPr>
        <w:t xml:space="preserve">O processo de avaliação ocorrerá a partir dos dados disponibilizados pelo </w:t>
      </w:r>
      <w:r w:rsidRPr="00EB209E">
        <w:rPr>
          <w:rFonts w:ascii="Times New Roman" w:hAnsi="Times New Roman"/>
          <w:sz w:val="24"/>
          <w:szCs w:val="24"/>
          <w:lang w:val="pt-BR"/>
        </w:rPr>
        <w:t>sistema SAM/SGF do</w:t>
      </w:r>
      <w:r w:rsidRPr="00CA2760">
        <w:rPr>
          <w:rFonts w:ascii="Times New Roman" w:hAnsi="Times New Roman"/>
          <w:sz w:val="24"/>
          <w:szCs w:val="24"/>
          <w:lang w:val="pt-BR"/>
        </w:rPr>
        <w:t xml:space="preserve"> PARANACIDADE. A linha de base T</w:t>
      </w:r>
      <w:r w:rsidRPr="003E78E3">
        <w:rPr>
          <w:rFonts w:ascii="Times New Roman" w:hAnsi="Times New Roman"/>
          <w:sz w:val="24"/>
          <w:szCs w:val="24"/>
          <w:vertAlign w:val="subscript"/>
          <w:lang w:val="pt-BR"/>
        </w:rPr>
        <w:t>0</w:t>
      </w:r>
      <w:r w:rsidRPr="00CA2760">
        <w:rPr>
          <w:rFonts w:ascii="Times New Roman" w:hAnsi="Times New Roman"/>
          <w:sz w:val="24"/>
          <w:szCs w:val="24"/>
          <w:lang w:val="pt-BR"/>
        </w:rPr>
        <w:t xml:space="preserve"> (2017) está estimada em R</w:t>
      </w:r>
      <w:r w:rsidR="00511E8B">
        <w:rPr>
          <w:rFonts w:ascii="Times New Roman" w:hAnsi="Times New Roman"/>
          <w:sz w:val="24"/>
          <w:szCs w:val="24"/>
          <w:lang w:val="pt-BR"/>
        </w:rPr>
        <w:t>$</w:t>
      </w:r>
      <w:r w:rsidRPr="00CA2760">
        <w:rPr>
          <w:rFonts w:ascii="Times New Roman" w:hAnsi="Times New Roman"/>
          <w:sz w:val="24"/>
          <w:szCs w:val="24"/>
          <w:lang w:val="pt-BR"/>
        </w:rPr>
        <w:t xml:space="preserve"> 224,26 milhões/ano. T</w:t>
      </w:r>
      <w:r w:rsidRPr="003E78E3">
        <w:rPr>
          <w:rFonts w:ascii="Times New Roman" w:hAnsi="Times New Roman"/>
          <w:sz w:val="24"/>
          <w:szCs w:val="24"/>
          <w:vertAlign w:val="subscript"/>
          <w:lang w:val="pt-BR"/>
        </w:rPr>
        <w:t>1</w:t>
      </w:r>
      <w:r w:rsidRPr="00CA2760">
        <w:rPr>
          <w:rFonts w:ascii="Times New Roman" w:hAnsi="Times New Roman"/>
          <w:sz w:val="24"/>
          <w:szCs w:val="24"/>
          <w:lang w:val="pt-BR"/>
        </w:rPr>
        <w:t xml:space="preserve"> conterá o mesmo patamar inicial e T2 (a ser verificado ao final de 2021), que é a meta do Programa, está estimado em R</w:t>
      </w:r>
      <w:r w:rsidR="008C5690">
        <w:rPr>
          <w:rFonts w:ascii="Times New Roman" w:hAnsi="Times New Roman"/>
          <w:sz w:val="24"/>
          <w:szCs w:val="24"/>
          <w:lang w:val="pt-BR"/>
        </w:rPr>
        <w:t>$</w:t>
      </w:r>
      <w:r w:rsidRPr="00CA2760">
        <w:rPr>
          <w:rFonts w:ascii="Times New Roman" w:hAnsi="Times New Roman"/>
          <w:sz w:val="24"/>
          <w:szCs w:val="24"/>
          <w:lang w:val="pt-BR"/>
        </w:rPr>
        <w:t>274,26 milhões/ano em Reais de valor constante de 2017.</w:t>
      </w:r>
    </w:p>
    <w:p w14:paraId="329E2306" w14:textId="77777777" w:rsidR="00C46123" w:rsidRPr="00CA2760" w:rsidRDefault="00C46123" w:rsidP="00C46123">
      <w:pPr>
        <w:pStyle w:val="ListParagraph"/>
        <w:numPr>
          <w:ilvl w:val="0"/>
          <w:numId w:val="28"/>
        </w:numPr>
        <w:spacing w:line="360" w:lineRule="auto"/>
        <w:ind w:left="709"/>
        <w:rPr>
          <w:rFonts w:ascii="Times New Roman" w:hAnsi="Times New Roman"/>
          <w:sz w:val="24"/>
          <w:szCs w:val="24"/>
          <w:lang w:val="pt-BR"/>
        </w:rPr>
      </w:pPr>
      <w:r w:rsidRPr="00CA2760">
        <w:rPr>
          <w:rFonts w:ascii="Times New Roman" w:hAnsi="Times New Roman"/>
          <w:b/>
          <w:sz w:val="24"/>
          <w:szCs w:val="24"/>
          <w:lang w:val="pt-BR"/>
        </w:rPr>
        <w:t xml:space="preserve">Área de Abrangência: </w:t>
      </w:r>
      <w:r w:rsidRPr="00CA2760">
        <w:rPr>
          <w:rFonts w:ascii="Times New Roman" w:hAnsi="Times New Roman"/>
          <w:sz w:val="24"/>
          <w:szCs w:val="24"/>
          <w:lang w:val="pt-BR"/>
        </w:rPr>
        <w:t>Municípios paranaenses atendidos com financiamento do Programa.</w:t>
      </w:r>
    </w:p>
    <w:p w14:paraId="77B27105" w14:textId="10EAA643" w:rsidR="00C46123" w:rsidRPr="00CA2760" w:rsidRDefault="00C46123" w:rsidP="00C46123">
      <w:pPr>
        <w:pStyle w:val="Paragraph"/>
        <w:tabs>
          <w:tab w:val="num" w:pos="1440"/>
        </w:tabs>
        <w:spacing w:line="360" w:lineRule="auto"/>
        <w:jc w:val="center"/>
        <w:rPr>
          <w:szCs w:val="24"/>
          <w:lang w:val="pt-BR"/>
        </w:rPr>
      </w:pPr>
      <w:r w:rsidRPr="00CA2760">
        <w:rPr>
          <w:b/>
          <w:szCs w:val="24"/>
          <w:lang w:val="pt-BR"/>
        </w:rPr>
        <w:t xml:space="preserve">Os termos dos </w:t>
      </w:r>
      <w:r w:rsidR="0084383C" w:rsidRPr="00CA2760">
        <w:rPr>
          <w:b/>
          <w:szCs w:val="24"/>
          <w:lang w:val="pt-BR"/>
        </w:rPr>
        <w:t>empréstimos</w:t>
      </w:r>
      <w:r w:rsidRPr="00CA2760">
        <w:rPr>
          <w:b/>
          <w:szCs w:val="24"/>
          <w:lang w:val="pt-BR"/>
        </w:rPr>
        <w:t xml:space="preserve"> do FDU</w:t>
      </w:r>
    </w:p>
    <w:p w14:paraId="13A6D6D6" w14:textId="4E8A91E2" w:rsidR="00C46123" w:rsidRPr="00CA2760" w:rsidRDefault="00C46123" w:rsidP="00C46123">
      <w:pPr>
        <w:pStyle w:val="Paragraph"/>
        <w:tabs>
          <w:tab w:val="num" w:pos="1440"/>
        </w:tabs>
        <w:spacing w:line="360" w:lineRule="auto"/>
        <w:jc w:val="left"/>
        <w:rPr>
          <w:szCs w:val="24"/>
          <w:lang w:val="pt-BR"/>
        </w:rPr>
      </w:pPr>
      <w:r w:rsidRPr="00393569">
        <w:rPr>
          <w:szCs w:val="24"/>
          <w:lang w:val="pt-BR"/>
        </w:rPr>
        <w:t>A tabela</w:t>
      </w:r>
      <w:r w:rsidRPr="00CA2760">
        <w:rPr>
          <w:szCs w:val="24"/>
          <w:lang w:val="pt-BR"/>
        </w:rPr>
        <w:t xml:space="preserve"> </w:t>
      </w:r>
      <w:r w:rsidR="00716232">
        <w:rPr>
          <w:szCs w:val="24"/>
          <w:lang w:val="pt-BR"/>
        </w:rPr>
        <w:t>10</w:t>
      </w:r>
      <w:r w:rsidR="00716232" w:rsidRPr="00CA2760">
        <w:rPr>
          <w:szCs w:val="24"/>
          <w:lang w:val="pt-BR"/>
        </w:rPr>
        <w:t xml:space="preserve"> </w:t>
      </w:r>
      <w:r w:rsidRPr="00CA2760">
        <w:rPr>
          <w:szCs w:val="24"/>
          <w:lang w:val="pt-BR"/>
        </w:rPr>
        <w:t xml:space="preserve">mostra os prazos para diferentes tipos de projetos do ROP de 2018. Desde o início, o FDU tem mantido períodos de carência e prazos curtos, como forma de incentivar os municípios a avançarem rapidamente para a execução do projeto e também serem capazes de </w:t>
      </w:r>
      <w:r w:rsidR="00D9172C">
        <w:rPr>
          <w:szCs w:val="24"/>
          <w:lang w:val="pt-BR"/>
        </w:rPr>
        <w:t>re</w:t>
      </w:r>
      <w:r w:rsidR="0084383C" w:rsidRPr="00CA2760">
        <w:rPr>
          <w:szCs w:val="24"/>
          <w:lang w:val="pt-BR"/>
        </w:rPr>
        <w:t>emprestar</w:t>
      </w:r>
      <w:r w:rsidRPr="00CA2760">
        <w:rPr>
          <w:szCs w:val="24"/>
          <w:lang w:val="pt-BR"/>
        </w:rPr>
        <w:t xml:space="preserve"> os </w:t>
      </w:r>
      <w:r w:rsidRPr="00CA2760">
        <w:rPr>
          <w:szCs w:val="24"/>
          <w:lang w:val="pt-BR"/>
        </w:rPr>
        <w:lastRenderedPageBreak/>
        <w:t xml:space="preserve">valores reembolsados para outros municípios com maior agilidade. Além disso, o curto período de carência pode fazer com que o prefeito e o </w:t>
      </w:r>
      <w:r w:rsidRPr="00125E59">
        <w:rPr>
          <w:szCs w:val="24"/>
          <w:lang w:val="pt-BR"/>
        </w:rPr>
        <w:t>Conselho Municipal comecem a amortizar o empréstimo durante seus mandatos, em vez de empurrar toda a amortização para a próxima administração municipal.</w:t>
      </w:r>
      <w:r w:rsidR="00125E59">
        <w:rPr>
          <w:szCs w:val="24"/>
          <w:lang w:val="pt-BR"/>
        </w:rPr>
        <w:t xml:space="preserve">  </w:t>
      </w:r>
    </w:p>
    <w:p w14:paraId="028C99B3" w14:textId="7FF0BC6E" w:rsidR="00C46123" w:rsidRPr="00CA2760" w:rsidRDefault="00C46123" w:rsidP="00C46123">
      <w:pPr>
        <w:pStyle w:val="Paragraph"/>
        <w:spacing w:after="0"/>
        <w:jc w:val="left"/>
        <w:rPr>
          <w:b/>
          <w:bCs/>
          <w:szCs w:val="24"/>
          <w:u w:val="single"/>
          <w:lang w:val="pt-BR"/>
        </w:rPr>
      </w:pPr>
      <w:r w:rsidRPr="00125E59">
        <w:rPr>
          <w:szCs w:val="24"/>
          <w:lang w:val="pt-BR"/>
        </w:rPr>
        <w:t xml:space="preserve">Tabela </w:t>
      </w:r>
      <w:r w:rsidR="00716232">
        <w:rPr>
          <w:szCs w:val="24"/>
          <w:lang w:val="pt-BR"/>
        </w:rPr>
        <w:t>10</w:t>
      </w:r>
      <w:r w:rsidRPr="00393569">
        <w:rPr>
          <w:szCs w:val="24"/>
          <w:lang w:val="pt-BR"/>
        </w:rPr>
        <w:t>. - Perfil</w:t>
      </w:r>
      <w:r w:rsidRPr="00CA2760">
        <w:rPr>
          <w:szCs w:val="24"/>
          <w:lang w:val="pt-BR"/>
        </w:rPr>
        <w:t xml:space="preserve"> do Contrato de Empréstimo por Projeto</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1"/>
        <w:gridCol w:w="1980"/>
        <w:gridCol w:w="1843"/>
      </w:tblGrid>
      <w:tr w:rsidR="00C46123" w:rsidRPr="00CA2760" w14:paraId="48C5D269" w14:textId="77777777" w:rsidTr="00B87A9B">
        <w:tc>
          <w:tcPr>
            <w:tcW w:w="4961" w:type="dxa"/>
            <w:vAlign w:val="center"/>
          </w:tcPr>
          <w:p w14:paraId="66F12637" w14:textId="77777777" w:rsidR="00C46123" w:rsidRPr="00CA2760" w:rsidRDefault="00C46123" w:rsidP="00B87A9B">
            <w:pPr>
              <w:pStyle w:val="BodyTextIndent2"/>
              <w:spacing w:after="0" w:line="240" w:lineRule="auto"/>
              <w:rPr>
                <w:rFonts w:ascii="Arial" w:hAnsi="Arial" w:cs="Arial"/>
                <w:bCs/>
                <w:sz w:val="20"/>
                <w:szCs w:val="20"/>
                <w:lang w:val="pt-BR"/>
              </w:rPr>
            </w:pPr>
            <w:r w:rsidRPr="00CA2760">
              <w:rPr>
                <w:rFonts w:ascii="Arial" w:hAnsi="Arial" w:cs="Arial"/>
                <w:bCs/>
                <w:sz w:val="20"/>
                <w:szCs w:val="20"/>
                <w:lang w:val="pt-BR"/>
              </w:rPr>
              <w:t>Projetos</w:t>
            </w:r>
          </w:p>
        </w:tc>
        <w:tc>
          <w:tcPr>
            <w:tcW w:w="1980" w:type="dxa"/>
          </w:tcPr>
          <w:p w14:paraId="4C54030B" w14:textId="77777777" w:rsidR="00C46123" w:rsidRPr="00CA2760" w:rsidRDefault="00C46123" w:rsidP="00B87A9B">
            <w:pPr>
              <w:pStyle w:val="BodyTextIndent2"/>
              <w:spacing w:after="0" w:line="240" w:lineRule="auto"/>
              <w:jc w:val="center"/>
              <w:rPr>
                <w:rFonts w:ascii="Arial" w:hAnsi="Arial" w:cs="Arial"/>
                <w:bCs/>
                <w:sz w:val="20"/>
                <w:szCs w:val="20"/>
                <w:lang w:val="pt-BR"/>
              </w:rPr>
            </w:pPr>
            <w:r w:rsidRPr="00CA2760">
              <w:rPr>
                <w:rFonts w:ascii="Arial" w:hAnsi="Arial" w:cs="Arial"/>
                <w:bCs/>
                <w:sz w:val="20"/>
                <w:szCs w:val="20"/>
                <w:lang w:val="pt-BR"/>
              </w:rPr>
              <w:t>prazo de carência (meses)</w:t>
            </w:r>
          </w:p>
        </w:tc>
        <w:tc>
          <w:tcPr>
            <w:tcW w:w="1843" w:type="dxa"/>
          </w:tcPr>
          <w:p w14:paraId="4E059F87" w14:textId="77777777" w:rsidR="00C46123" w:rsidRPr="00CA2760" w:rsidRDefault="00C46123" w:rsidP="00B87A9B">
            <w:pPr>
              <w:pStyle w:val="BodyTextIndent2"/>
              <w:spacing w:after="0" w:line="240" w:lineRule="auto"/>
              <w:jc w:val="center"/>
              <w:rPr>
                <w:rFonts w:ascii="Arial" w:hAnsi="Arial" w:cs="Arial"/>
                <w:bCs/>
                <w:sz w:val="20"/>
                <w:szCs w:val="20"/>
                <w:lang w:val="pt-BR"/>
              </w:rPr>
            </w:pPr>
            <w:r w:rsidRPr="00CA2760">
              <w:rPr>
                <w:rFonts w:ascii="Arial" w:hAnsi="Arial" w:cs="Arial"/>
                <w:bCs/>
                <w:sz w:val="20"/>
                <w:szCs w:val="20"/>
                <w:lang w:val="pt-BR"/>
              </w:rPr>
              <w:t>prazo total (meses)</w:t>
            </w:r>
          </w:p>
        </w:tc>
      </w:tr>
      <w:tr w:rsidR="00C46123" w:rsidRPr="00CA2760" w14:paraId="776F9F52" w14:textId="77777777" w:rsidTr="00B87A9B">
        <w:tc>
          <w:tcPr>
            <w:tcW w:w="4961" w:type="dxa"/>
          </w:tcPr>
          <w:p w14:paraId="6825F436" w14:textId="77777777" w:rsidR="00C46123" w:rsidRPr="00CA2760" w:rsidRDefault="00C46123" w:rsidP="00B87A9B">
            <w:pPr>
              <w:pStyle w:val="BodyTextIndent2"/>
              <w:spacing w:after="0" w:line="240" w:lineRule="auto"/>
              <w:rPr>
                <w:rFonts w:ascii="Arial" w:hAnsi="Arial" w:cs="Arial"/>
                <w:b/>
                <w:sz w:val="20"/>
                <w:szCs w:val="20"/>
                <w:lang w:val="pt-BR"/>
              </w:rPr>
            </w:pPr>
            <w:r w:rsidRPr="00CA2760">
              <w:rPr>
                <w:rFonts w:ascii="Arial" w:hAnsi="Arial" w:cs="Arial"/>
                <w:b/>
                <w:bCs/>
                <w:sz w:val="20"/>
                <w:szCs w:val="20"/>
                <w:lang w:val="pt-BR"/>
              </w:rPr>
              <w:t>Institucional</w:t>
            </w:r>
          </w:p>
          <w:p w14:paraId="1316B54E" w14:textId="77777777" w:rsidR="00C46123" w:rsidRPr="00CA2760" w:rsidRDefault="00C46123" w:rsidP="00B87A9B">
            <w:pPr>
              <w:pStyle w:val="BodyTextIndent2"/>
              <w:numPr>
                <w:ilvl w:val="0"/>
                <w:numId w:val="23"/>
              </w:numPr>
              <w:tabs>
                <w:tab w:val="clear" w:pos="862"/>
                <w:tab w:val="num" w:pos="284"/>
              </w:tabs>
              <w:spacing w:after="0" w:line="240" w:lineRule="auto"/>
              <w:ind w:left="284" w:right="-1" w:hanging="142"/>
              <w:rPr>
                <w:rFonts w:ascii="Arial" w:hAnsi="Arial" w:cs="Arial"/>
                <w:sz w:val="20"/>
                <w:szCs w:val="20"/>
                <w:lang w:val="pt-BR"/>
              </w:rPr>
            </w:pPr>
            <w:r w:rsidRPr="00CA2760">
              <w:rPr>
                <w:rFonts w:ascii="Arial" w:hAnsi="Arial" w:cs="Arial"/>
                <w:sz w:val="20"/>
                <w:szCs w:val="20"/>
                <w:lang w:val="pt-BR"/>
              </w:rPr>
              <w:t>gestão tributária e financeira</w:t>
            </w:r>
          </w:p>
          <w:p w14:paraId="69362436" w14:textId="77777777" w:rsidR="00C46123" w:rsidRPr="00CA2760" w:rsidRDefault="00C46123" w:rsidP="00B87A9B">
            <w:pPr>
              <w:pStyle w:val="BodyTextIndent2"/>
              <w:numPr>
                <w:ilvl w:val="0"/>
                <w:numId w:val="23"/>
              </w:numPr>
              <w:tabs>
                <w:tab w:val="clear" w:pos="862"/>
                <w:tab w:val="num" w:pos="284"/>
              </w:tabs>
              <w:spacing w:after="0" w:line="240" w:lineRule="auto"/>
              <w:ind w:left="284" w:right="-1" w:hanging="142"/>
              <w:rPr>
                <w:rFonts w:ascii="Arial" w:hAnsi="Arial" w:cs="Arial"/>
                <w:sz w:val="20"/>
                <w:szCs w:val="20"/>
                <w:lang w:val="pt-BR"/>
              </w:rPr>
            </w:pPr>
            <w:r w:rsidRPr="00CA2760">
              <w:rPr>
                <w:rFonts w:ascii="Arial" w:hAnsi="Arial" w:cs="Arial"/>
                <w:sz w:val="20"/>
                <w:szCs w:val="20"/>
                <w:lang w:val="pt-BR"/>
              </w:rPr>
              <w:t>planejamento e gestão urbana</w:t>
            </w:r>
          </w:p>
          <w:p w14:paraId="5D181244" w14:textId="77777777" w:rsidR="00C46123" w:rsidRPr="00CA2760" w:rsidRDefault="00C46123" w:rsidP="00B87A9B">
            <w:pPr>
              <w:pStyle w:val="BodyTextIndent2"/>
              <w:numPr>
                <w:ilvl w:val="0"/>
                <w:numId w:val="23"/>
              </w:numPr>
              <w:tabs>
                <w:tab w:val="clear" w:pos="862"/>
                <w:tab w:val="num" w:pos="284"/>
              </w:tabs>
              <w:spacing w:after="0" w:line="240" w:lineRule="auto"/>
              <w:ind w:left="284" w:right="-1" w:hanging="142"/>
              <w:rPr>
                <w:rFonts w:ascii="Arial" w:hAnsi="Arial" w:cs="Arial"/>
                <w:sz w:val="20"/>
                <w:szCs w:val="20"/>
                <w:lang w:val="pt-BR"/>
              </w:rPr>
            </w:pPr>
            <w:r w:rsidRPr="00CA2760">
              <w:rPr>
                <w:rFonts w:ascii="Arial" w:hAnsi="Arial" w:cs="Arial"/>
                <w:sz w:val="20"/>
                <w:szCs w:val="20"/>
                <w:lang w:val="pt-BR"/>
              </w:rPr>
              <w:t>modernização da área de governo eletrônico</w:t>
            </w:r>
          </w:p>
          <w:p w14:paraId="7F81B50F" w14:textId="77777777" w:rsidR="00C46123" w:rsidRPr="00CA2760" w:rsidRDefault="00C46123" w:rsidP="00B87A9B">
            <w:pPr>
              <w:pStyle w:val="BodyTextIndent2"/>
              <w:numPr>
                <w:ilvl w:val="0"/>
                <w:numId w:val="23"/>
              </w:numPr>
              <w:tabs>
                <w:tab w:val="clear" w:pos="862"/>
                <w:tab w:val="num" w:pos="284"/>
              </w:tabs>
              <w:spacing w:after="0" w:line="240" w:lineRule="auto"/>
              <w:ind w:left="284" w:right="-1" w:hanging="142"/>
              <w:rPr>
                <w:rFonts w:ascii="Arial" w:hAnsi="Arial" w:cs="Arial"/>
                <w:sz w:val="20"/>
                <w:szCs w:val="20"/>
                <w:lang w:val="pt-BR"/>
              </w:rPr>
            </w:pPr>
            <w:r w:rsidRPr="00CA2760">
              <w:rPr>
                <w:rFonts w:ascii="Arial" w:hAnsi="Arial" w:cs="Arial"/>
                <w:sz w:val="20"/>
                <w:szCs w:val="20"/>
                <w:lang w:val="pt-BR"/>
              </w:rPr>
              <w:t>capacitação de servidores</w:t>
            </w:r>
          </w:p>
          <w:p w14:paraId="2E0BF20B" w14:textId="77777777" w:rsidR="00C46123" w:rsidRPr="00CA2760" w:rsidRDefault="00C46123" w:rsidP="00B87A9B">
            <w:pPr>
              <w:pStyle w:val="BodyTextIndent2"/>
              <w:numPr>
                <w:ilvl w:val="0"/>
                <w:numId w:val="23"/>
              </w:numPr>
              <w:tabs>
                <w:tab w:val="clear" w:pos="862"/>
                <w:tab w:val="num" w:pos="284"/>
              </w:tabs>
              <w:spacing w:after="0" w:line="240" w:lineRule="auto"/>
              <w:ind w:left="284" w:hanging="142"/>
              <w:rPr>
                <w:rFonts w:ascii="Arial" w:hAnsi="Arial" w:cs="Arial"/>
                <w:sz w:val="20"/>
                <w:szCs w:val="20"/>
                <w:lang w:val="pt-BR"/>
              </w:rPr>
            </w:pPr>
            <w:r w:rsidRPr="00CA2760">
              <w:rPr>
                <w:rFonts w:ascii="Arial" w:hAnsi="Arial" w:cs="Arial"/>
                <w:sz w:val="20"/>
                <w:szCs w:val="20"/>
                <w:lang w:val="pt-BR"/>
              </w:rPr>
              <w:t>capacitação dos conselheiros dos planos diretores</w:t>
            </w:r>
          </w:p>
        </w:tc>
        <w:tc>
          <w:tcPr>
            <w:tcW w:w="1980" w:type="dxa"/>
            <w:vAlign w:val="center"/>
          </w:tcPr>
          <w:p w14:paraId="1B515190" w14:textId="77777777" w:rsidR="00C46123" w:rsidRPr="00CA2760" w:rsidRDefault="00C46123" w:rsidP="00B87A9B">
            <w:pPr>
              <w:pStyle w:val="BodyTextIndent2"/>
              <w:spacing w:after="0" w:line="240" w:lineRule="auto"/>
              <w:jc w:val="center"/>
              <w:rPr>
                <w:rFonts w:ascii="Arial" w:hAnsi="Arial" w:cs="Arial"/>
                <w:bCs/>
                <w:sz w:val="20"/>
                <w:szCs w:val="20"/>
                <w:lang w:val="pt-BR"/>
              </w:rPr>
            </w:pPr>
            <w:r w:rsidRPr="00CA2760">
              <w:rPr>
                <w:rFonts w:ascii="Arial" w:hAnsi="Arial" w:cs="Arial"/>
                <w:bCs/>
                <w:sz w:val="20"/>
                <w:szCs w:val="20"/>
                <w:lang w:val="pt-BR"/>
              </w:rPr>
              <w:t>12</w:t>
            </w:r>
          </w:p>
        </w:tc>
        <w:tc>
          <w:tcPr>
            <w:tcW w:w="1843" w:type="dxa"/>
            <w:vAlign w:val="center"/>
          </w:tcPr>
          <w:p w14:paraId="19B2B251" w14:textId="77777777" w:rsidR="00C46123" w:rsidRPr="00CA2760" w:rsidRDefault="00C46123" w:rsidP="00B87A9B">
            <w:pPr>
              <w:pStyle w:val="BodyTextIndent2"/>
              <w:spacing w:after="0" w:line="240" w:lineRule="auto"/>
              <w:jc w:val="center"/>
              <w:rPr>
                <w:rFonts w:ascii="Arial" w:hAnsi="Arial" w:cs="Arial"/>
                <w:bCs/>
                <w:sz w:val="20"/>
                <w:szCs w:val="20"/>
                <w:lang w:val="pt-BR"/>
              </w:rPr>
            </w:pPr>
            <w:r w:rsidRPr="00CA2760">
              <w:rPr>
                <w:rFonts w:ascii="Arial" w:hAnsi="Arial" w:cs="Arial"/>
                <w:bCs/>
                <w:sz w:val="20"/>
                <w:szCs w:val="20"/>
                <w:lang w:val="pt-BR"/>
              </w:rPr>
              <w:t>60</w:t>
            </w:r>
          </w:p>
        </w:tc>
      </w:tr>
      <w:tr w:rsidR="00C46123" w:rsidRPr="00CA2760" w14:paraId="2BDBB6F5" w14:textId="77777777" w:rsidTr="00B87A9B">
        <w:tc>
          <w:tcPr>
            <w:tcW w:w="4961" w:type="dxa"/>
          </w:tcPr>
          <w:p w14:paraId="103FFB16" w14:textId="77777777" w:rsidR="00C46123" w:rsidRPr="00CA2760" w:rsidRDefault="00C46123" w:rsidP="00B87A9B">
            <w:pPr>
              <w:pStyle w:val="BodyTextIndent2"/>
              <w:spacing w:after="0" w:line="240" w:lineRule="auto"/>
              <w:rPr>
                <w:rFonts w:ascii="Arial" w:hAnsi="Arial" w:cs="Arial"/>
                <w:b/>
                <w:bCs/>
                <w:sz w:val="20"/>
                <w:szCs w:val="20"/>
                <w:lang w:val="pt-BR"/>
              </w:rPr>
            </w:pPr>
            <w:r w:rsidRPr="00CA2760">
              <w:rPr>
                <w:rFonts w:ascii="Arial" w:hAnsi="Arial" w:cs="Arial"/>
                <w:b/>
                <w:bCs/>
                <w:sz w:val="20"/>
                <w:szCs w:val="20"/>
                <w:lang w:val="pt-BR"/>
              </w:rPr>
              <w:t>Infraestrutura</w:t>
            </w:r>
          </w:p>
          <w:p w14:paraId="01903CDC" w14:textId="77777777" w:rsidR="00C46123" w:rsidRPr="00CA2760" w:rsidRDefault="00C46123" w:rsidP="00B87A9B">
            <w:pPr>
              <w:pStyle w:val="BodyTextIndent2"/>
              <w:numPr>
                <w:ilvl w:val="0"/>
                <w:numId w:val="23"/>
              </w:numPr>
              <w:tabs>
                <w:tab w:val="clear" w:pos="862"/>
                <w:tab w:val="num" w:pos="284"/>
              </w:tabs>
              <w:spacing w:after="0" w:line="240" w:lineRule="auto"/>
              <w:ind w:left="284" w:hanging="142"/>
              <w:rPr>
                <w:rFonts w:ascii="Arial" w:hAnsi="Arial" w:cs="Arial"/>
                <w:sz w:val="20"/>
                <w:szCs w:val="20"/>
                <w:lang w:val="pt-BR"/>
              </w:rPr>
            </w:pPr>
            <w:r w:rsidRPr="00CA2760">
              <w:rPr>
                <w:rFonts w:ascii="Arial" w:hAnsi="Arial" w:cs="Arial"/>
                <w:sz w:val="20"/>
                <w:szCs w:val="20"/>
                <w:lang w:val="pt-BR"/>
              </w:rPr>
              <w:t>desenvolvimento urbano integrado</w:t>
            </w:r>
          </w:p>
          <w:p w14:paraId="157B6A70" w14:textId="77777777" w:rsidR="00C46123" w:rsidRPr="00CA2760" w:rsidRDefault="00C46123" w:rsidP="00B87A9B">
            <w:pPr>
              <w:pStyle w:val="BodyTextIndent2"/>
              <w:numPr>
                <w:ilvl w:val="0"/>
                <w:numId w:val="23"/>
              </w:numPr>
              <w:tabs>
                <w:tab w:val="clear" w:pos="862"/>
                <w:tab w:val="num" w:pos="284"/>
              </w:tabs>
              <w:spacing w:after="0" w:line="240" w:lineRule="auto"/>
              <w:ind w:left="284" w:right="-1" w:hanging="142"/>
              <w:rPr>
                <w:rFonts w:ascii="Arial" w:hAnsi="Arial" w:cs="Arial"/>
                <w:sz w:val="20"/>
                <w:szCs w:val="20"/>
                <w:lang w:val="pt-BR"/>
              </w:rPr>
            </w:pPr>
            <w:r w:rsidRPr="00CA2760">
              <w:rPr>
                <w:rFonts w:ascii="Arial" w:hAnsi="Arial" w:cs="Arial"/>
                <w:sz w:val="20"/>
                <w:szCs w:val="20"/>
                <w:lang w:val="pt-BR"/>
              </w:rPr>
              <w:t>mobilidade urbana</w:t>
            </w:r>
          </w:p>
          <w:p w14:paraId="3AAF0C1A" w14:textId="77777777" w:rsidR="00C46123" w:rsidRPr="00CA2760" w:rsidRDefault="00C46123" w:rsidP="00B87A9B">
            <w:pPr>
              <w:pStyle w:val="BodyTextIndent2"/>
              <w:numPr>
                <w:ilvl w:val="0"/>
                <w:numId w:val="23"/>
              </w:numPr>
              <w:tabs>
                <w:tab w:val="clear" w:pos="862"/>
                <w:tab w:val="num" w:pos="284"/>
              </w:tabs>
              <w:spacing w:after="0" w:line="240" w:lineRule="auto"/>
              <w:ind w:left="284" w:right="-1" w:hanging="142"/>
              <w:rPr>
                <w:rFonts w:ascii="Arial" w:hAnsi="Arial" w:cs="Arial"/>
                <w:sz w:val="20"/>
                <w:szCs w:val="20"/>
                <w:lang w:val="pt-BR"/>
              </w:rPr>
            </w:pPr>
            <w:r w:rsidRPr="00CA2760">
              <w:rPr>
                <w:rFonts w:ascii="Arial" w:hAnsi="Arial" w:cs="Arial"/>
                <w:sz w:val="20"/>
                <w:szCs w:val="20"/>
                <w:lang w:val="pt-BR"/>
              </w:rPr>
              <w:t>projetos ambientais</w:t>
            </w:r>
          </w:p>
          <w:p w14:paraId="68701660" w14:textId="77777777" w:rsidR="00C46123" w:rsidRPr="00CA2760" w:rsidRDefault="00C46123" w:rsidP="00B87A9B">
            <w:pPr>
              <w:pStyle w:val="BodyTextIndent2"/>
              <w:numPr>
                <w:ilvl w:val="0"/>
                <w:numId w:val="23"/>
              </w:numPr>
              <w:tabs>
                <w:tab w:val="clear" w:pos="862"/>
                <w:tab w:val="num" w:pos="284"/>
              </w:tabs>
              <w:spacing w:after="0" w:line="240" w:lineRule="auto"/>
              <w:ind w:left="284" w:hanging="142"/>
              <w:rPr>
                <w:rFonts w:ascii="Arial" w:hAnsi="Arial" w:cs="Arial"/>
                <w:b/>
                <w:sz w:val="20"/>
                <w:szCs w:val="20"/>
                <w:lang w:val="pt-BR"/>
              </w:rPr>
            </w:pPr>
            <w:r w:rsidRPr="00CA2760">
              <w:rPr>
                <w:rFonts w:ascii="Arial" w:hAnsi="Arial" w:cs="Arial"/>
                <w:sz w:val="20"/>
                <w:szCs w:val="20"/>
                <w:lang w:val="pt-BR"/>
              </w:rPr>
              <w:t>esporte e lazer</w:t>
            </w:r>
          </w:p>
          <w:p w14:paraId="2F1749A0" w14:textId="77777777" w:rsidR="00C46123" w:rsidRPr="00CA2760" w:rsidRDefault="00C46123" w:rsidP="00B87A9B">
            <w:pPr>
              <w:pStyle w:val="BodyTextIndent2"/>
              <w:numPr>
                <w:ilvl w:val="0"/>
                <w:numId w:val="23"/>
              </w:numPr>
              <w:tabs>
                <w:tab w:val="clear" w:pos="862"/>
                <w:tab w:val="num" w:pos="284"/>
              </w:tabs>
              <w:spacing w:after="0" w:line="240" w:lineRule="auto"/>
              <w:ind w:left="284" w:hanging="142"/>
              <w:rPr>
                <w:rFonts w:ascii="Arial" w:hAnsi="Arial" w:cs="Arial"/>
                <w:b/>
                <w:sz w:val="20"/>
                <w:szCs w:val="20"/>
                <w:lang w:val="pt-BR"/>
              </w:rPr>
            </w:pPr>
            <w:r w:rsidRPr="00CA2760">
              <w:rPr>
                <w:rFonts w:ascii="Arial" w:hAnsi="Arial" w:cs="Arial"/>
                <w:sz w:val="20"/>
                <w:szCs w:val="20"/>
                <w:lang w:val="pt-BR"/>
              </w:rPr>
              <w:t>apoio social integrado</w:t>
            </w:r>
          </w:p>
        </w:tc>
        <w:tc>
          <w:tcPr>
            <w:tcW w:w="1980" w:type="dxa"/>
            <w:vAlign w:val="center"/>
          </w:tcPr>
          <w:p w14:paraId="2B70566B" w14:textId="77777777" w:rsidR="00C46123" w:rsidRPr="00CA2760" w:rsidRDefault="00C46123" w:rsidP="00B87A9B">
            <w:pPr>
              <w:pStyle w:val="BodyTextIndent2"/>
              <w:spacing w:after="0" w:line="240" w:lineRule="auto"/>
              <w:jc w:val="center"/>
              <w:rPr>
                <w:rFonts w:ascii="Arial" w:hAnsi="Arial" w:cs="Arial"/>
                <w:bCs/>
                <w:sz w:val="20"/>
                <w:szCs w:val="20"/>
                <w:lang w:val="pt-BR"/>
              </w:rPr>
            </w:pPr>
            <w:r w:rsidRPr="00CA2760">
              <w:rPr>
                <w:rFonts w:ascii="Arial" w:hAnsi="Arial" w:cs="Arial"/>
                <w:bCs/>
                <w:sz w:val="20"/>
                <w:szCs w:val="20"/>
                <w:lang w:val="pt-BR"/>
              </w:rPr>
              <w:t>12</w:t>
            </w:r>
          </w:p>
          <w:p w14:paraId="0FB011CD" w14:textId="77777777" w:rsidR="00C46123" w:rsidRPr="00CA2760" w:rsidRDefault="00C46123" w:rsidP="00B87A9B">
            <w:pPr>
              <w:pStyle w:val="BodyTextIndent2"/>
              <w:spacing w:after="0" w:line="240" w:lineRule="auto"/>
              <w:jc w:val="center"/>
              <w:rPr>
                <w:rFonts w:ascii="Arial" w:hAnsi="Arial" w:cs="Arial"/>
                <w:bCs/>
                <w:sz w:val="20"/>
                <w:szCs w:val="20"/>
                <w:lang w:val="pt-BR"/>
              </w:rPr>
            </w:pPr>
          </w:p>
        </w:tc>
        <w:tc>
          <w:tcPr>
            <w:tcW w:w="1843" w:type="dxa"/>
            <w:vAlign w:val="center"/>
          </w:tcPr>
          <w:p w14:paraId="70A7B186" w14:textId="77777777" w:rsidR="00C46123" w:rsidRPr="00CA2760" w:rsidRDefault="00C46123" w:rsidP="00B87A9B">
            <w:pPr>
              <w:pStyle w:val="BodyTextIndent2"/>
              <w:spacing w:after="0" w:line="240" w:lineRule="auto"/>
              <w:jc w:val="center"/>
              <w:rPr>
                <w:rFonts w:ascii="Arial" w:hAnsi="Arial" w:cs="Arial"/>
                <w:sz w:val="20"/>
                <w:szCs w:val="20"/>
                <w:lang w:val="pt-BR"/>
              </w:rPr>
            </w:pPr>
            <w:r w:rsidRPr="00CA2760">
              <w:rPr>
                <w:rFonts w:ascii="Arial" w:hAnsi="Arial" w:cs="Arial"/>
                <w:bCs/>
                <w:sz w:val="20"/>
                <w:szCs w:val="20"/>
                <w:lang w:val="pt-BR"/>
              </w:rPr>
              <w:t>96</w:t>
            </w:r>
          </w:p>
          <w:p w14:paraId="6C524987" w14:textId="77777777" w:rsidR="00C46123" w:rsidRPr="00CA2760" w:rsidRDefault="00C46123" w:rsidP="00B87A9B">
            <w:pPr>
              <w:pStyle w:val="BodyTextIndent2"/>
              <w:spacing w:after="0" w:line="240" w:lineRule="auto"/>
              <w:ind w:right="-1"/>
              <w:jc w:val="center"/>
              <w:rPr>
                <w:rFonts w:ascii="Arial" w:hAnsi="Arial" w:cs="Arial"/>
                <w:bCs/>
                <w:sz w:val="20"/>
                <w:szCs w:val="20"/>
                <w:lang w:val="pt-BR"/>
              </w:rPr>
            </w:pPr>
            <w:r w:rsidRPr="00CA2760">
              <w:rPr>
                <w:rFonts w:ascii="Arial" w:hAnsi="Arial" w:cs="Arial"/>
                <w:bCs/>
                <w:sz w:val="20"/>
                <w:szCs w:val="20"/>
                <w:lang w:val="pt-BR"/>
              </w:rPr>
              <w:t xml:space="preserve">120 </w:t>
            </w:r>
            <w:r w:rsidRPr="00CA2760">
              <w:rPr>
                <w:rFonts w:ascii="Arial" w:hAnsi="Arial" w:cs="Arial"/>
                <w:sz w:val="20"/>
                <w:szCs w:val="20"/>
                <w:lang w:val="pt-BR"/>
              </w:rPr>
              <w:t>(exceção)</w:t>
            </w:r>
          </w:p>
        </w:tc>
      </w:tr>
    </w:tbl>
    <w:p w14:paraId="270692AC" w14:textId="6BEBBBBB" w:rsidR="00C46123" w:rsidRDefault="00C46123" w:rsidP="00C46123">
      <w:pPr>
        <w:pStyle w:val="Paragraph"/>
        <w:spacing w:line="360" w:lineRule="auto"/>
        <w:rPr>
          <w:sz w:val="22"/>
          <w:szCs w:val="22"/>
          <w:lang w:val="pt-BR"/>
        </w:rPr>
      </w:pPr>
      <w:r w:rsidRPr="00CA2760">
        <w:rPr>
          <w:sz w:val="22"/>
          <w:szCs w:val="22"/>
          <w:lang w:val="pt-BR"/>
        </w:rPr>
        <w:t>Fonte:  ROP (2018)</w:t>
      </w:r>
    </w:p>
    <w:p w14:paraId="57924D99" w14:textId="56E95535" w:rsidR="003E78E3" w:rsidRPr="00CA2760" w:rsidRDefault="00EB209E" w:rsidP="003E78E3">
      <w:pPr>
        <w:pStyle w:val="Paragraph"/>
        <w:tabs>
          <w:tab w:val="num" w:pos="1440"/>
        </w:tabs>
        <w:spacing w:line="360" w:lineRule="auto"/>
        <w:jc w:val="left"/>
        <w:rPr>
          <w:szCs w:val="24"/>
          <w:lang w:val="pt-BR"/>
        </w:rPr>
      </w:pPr>
      <w:r>
        <w:rPr>
          <w:szCs w:val="24"/>
          <w:lang w:val="pt-BR"/>
        </w:rPr>
        <w:t>Um outro termo determina que</w:t>
      </w:r>
      <w:r w:rsidR="003E78E3" w:rsidRPr="00EB209E">
        <w:rPr>
          <w:szCs w:val="24"/>
          <w:lang w:val="pt-BR"/>
        </w:rPr>
        <w:t xml:space="preserve"> o FDU poderia financiar até 100% do custo direto do projeto, e o financiamento com contrapartida municipal está limitado a um percentual máximo de 20% do custo total.</w:t>
      </w:r>
    </w:p>
    <w:p w14:paraId="423596C4" w14:textId="3877B7DB" w:rsidR="00C46123" w:rsidRPr="00CA2760" w:rsidRDefault="00C46123" w:rsidP="00C46123">
      <w:pPr>
        <w:shd w:val="clear" w:color="auto" w:fill="FFFFFF"/>
        <w:spacing w:before="240" w:line="360" w:lineRule="auto"/>
        <w:rPr>
          <w:rFonts w:ascii="Times New Roman" w:eastAsia="Times New Roman" w:hAnsi="Times New Roman" w:cs="Times New Roman"/>
          <w:sz w:val="24"/>
          <w:szCs w:val="24"/>
          <w:lang w:val="pt-BR" w:eastAsia="pt-BR"/>
        </w:rPr>
      </w:pPr>
      <w:r w:rsidRPr="00CA2760">
        <w:rPr>
          <w:rFonts w:ascii="Times New Roman" w:hAnsi="Times New Roman" w:cs="Times New Roman"/>
          <w:sz w:val="24"/>
          <w:szCs w:val="24"/>
          <w:lang w:val="pt-BR"/>
        </w:rPr>
        <w:t xml:space="preserve">O FDU cobra os juros com base na Taxa de Juros de Longo Prazo (TJLP), definida pelas autoridades monetárias nacionais, além de </w:t>
      </w:r>
      <w:r w:rsidRPr="00CA2760">
        <w:rPr>
          <w:rFonts w:ascii="Times New Roman" w:hAnsi="Times New Roman" w:cs="Times New Roman"/>
          <w:i/>
          <w:sz w:val="24"/>
          <w:szCs w:val="24"/>
          <w:lang w:val="pt-BR"/>
        </w:rPr>
        <w:t>spreads</w:t>
      </w:r>
      <w:r w:rsidRPr="00CA2760">
        <w:rPr>
          <w:rFonts w:ascii="Times New Roman" w:hAnsi="Times New Roman" w:cs="Times New Roman"/>
          <w:sz w:val="24"/>
          <w:szCs w:val="24"/>
          <w:lang w:val="pt-BR"/>
        </w:rPr>
        <w:t xml:space="preserve"> que variam entre 4,25% para 6,50%, com base no tamanho total da população municipal em </w:t>
      </w:r>
      <w:r w:rsidRPr="00A47D27">
        <w:rPr>
          <w:rFonts w:ascii="Times New Roman" w:hAnsi="Times New Roman" w:cs="Times New Roman"/>
          <w:sz w:val="24"/>
          <w:szCs w:val="24"/>
          <w:lang w:val="pt-BR"/>
        </w:rPr>
        <w:t>2010</w:t>
      </w:r>
      <w:r w:rsidRPr="00CA2760">
        <w:rPr>
          <w:rFonts w:ascii="Times New Roman" w:hAnsi="Times New Roman" w:cs="Times New Roman"/>
          <w:sz w:val="24"/>
          <w:szCs w:val="24"/>
          <w:lang w:val="pt-BR"/>
        </w:rPr>
        <w:t xml:space="preserve">, </w:t>
      </w:r>
      <w:r w:rsidRPr="00393569">
        <w:rPr>
          <w:rFonts w:ascii="Times New Roman" w:hAnsi="Times New Roman" w:cs="Times New Roman"/>
          <w:sz w:val="24"/>
          <w:szCs w:val="24"/>
          <w:lang w:val="pt-BR"/>
        </w:rPr>
        <w:t xml:space="preserve">como mostrado na </w:t>
      </w:r>
      <w:r w:rsidRPr="00A47D27">
        <w:rPr>
          <w:rFonts w:ascii="Times New Roman" w:hAnsi="Times New Roman" w:cs="Times New Roman"/>
          <w:sz w:val="24"/>
          <w:szCs w:val="24"/>
          <w:lang w:val="pt-BR"/>
        </w:rPr>
        <w:t xml:space="preserve">tabela </w:t>
      </w:r>
      <w:r w:rsidR="00C773ED">
        <w:rPr>
          <w:rFonts w:ascii="Times New Roman" w:hAnsi="Times New Roman" w:cs="Times New Roman"/>
          <w:sz w:val="24"/>
          <w:szCs w:val="24"/>
          <w:lang w:val="pt-BR"/>
        </w:rPr>
        <w:t>11</w:t>
      </w:r>
      <w:r w:rsidRPr="00A47D27">
        <w:rPr>
          <w:rFonts w:ascii="Times New Roman" w:hAnsi="Times New Roman" w:cs="Times New Roman"/>
          <w:sz w:val="24"/>
          <w:szCs w:val="24"/>
          <w:lang w:val="pt-BR"/>
        </w:rPr>
        <w:t>.</w:t>
      </w:r>
      <w:r w:rsidRPr="00CA2760">
        <w:rPr>
          <w:rFonts w:ascii="Times New Roman" w:hAnsi="Times New Roman" w:cs="Times New Roman"/>
          <w:sz w:val="24"/>
          <w:szCs w:val="24"/>
          <w:lang w:val="pt-BR"/>
        </w:rPr>
        <w:t xml:space="preserve"> </w:t>
      </w:r>
      <w:r w:rsidRPr="00CA2760">
        <w:rPr>
          <w:rFonts w:ascii="Times New Roman" w:eastAsia="Times New Roman" w:hAnsi="Times New Roman" w:cs="Times New Roman"/>
          <w:sz w:val="24"/>
          <w:szCs w:val="24"/>
          <w:lang w:val="pt-BR" w:eastAsia="pt-BR"/>
        </w:rPr>
        <w:t>Em 2010, 2,5 milhões</w:t>
      </w:r>
      <w:r w:rsidR="00837606">
        <w:rPr>
          <w:rFonts w:ascii="Times New Roman" w:eastAsia="Times New Roman" w:hAnsi="Times New Roman" w:cs="Times New Roman"/>
          <w:sz w:val="24"/>
          <w:szCs w:val="24"/>
          <w:lang w:val="pt-BR" w:eastAsia="pt-BR"/>
        </w:rPr>
        <w:t xml:space="preserve"> de</w:t>
      </w:r>
      <w:r w:rsidRPr="00CA2760">
        <w:rPr>
          <w:rFonts w:ascii="Times New Roman" w:eastAsia="Times New Roman" w:hAnsi="Times New Roman" w:cs="Times New Roman"/>
          <w:sz w:val="24"/>
          <w:szCs w:val="24"/>
          <w:lang w:val="pt-BR" w:eastAsia="pt-BR"/>
        </w:rPr>
        <w:t xml:space="preserve"> pessoas (cerca de um quarto da população total de Paraná), viviam em municípios com menos de 20.000 habitantes e 4,3 milhões (cerca de 40% da população do estado) em municípios com menos de 50.000 habitantes.</w:t>
      </w:r>
    </w:p>
    <w:p w14:paraId="4BF262D8" w14:textId="77777777" w:rsidR="00F24802" w:rsidRDefault="00F24802">
      <w:pPr>
        <w:rPr>
          <w:rFonts w:ascii="Times New Roman" w:eastAsia="Times New Roman" w:hAnsi="Times New Roman" w:cs="Times New Roman"/>
          <w:sz w:val="24"/>
          <w:szCs w:val="24"/>
          <w:lang w:val="pt-BR"/>
        </w:rPr>
      </w:pPr>
      <w:r>
        <w:rPr>
          <w:szCs w:val="24"/>
          <w:lang w:val="pt-BR"/>
        </w:rPr>
        <w:br w:type="page"/>
      </w:r>
    </w:p>
    <w:p w14:paraId="35D99994" w14:textId="54C3A2DD" w:rsidR="00C46123" w:rsidRPr="00CA2760" w:rsidRDefault="00C46123" w:rsidP="00C46123">
      <w:pPr>
        <w:pStyle w:val="Paragraph"/>
        <w:spacing w:before="0" w:after="0"/>
        <w:jc w:val="left"/>
        <w:rPr>
          <w:szCs w:val="24"/>
          <w:lang w:val="pt-BR"/>
        </w:rPr>
      </w:pPr>
      <w:r w:rsidRPr="00A47D27">
        <w:rPr>
          <w:szCs w:val="24"/>
          <w:lang w:val="pt-BR"/>
        </w:rPr>
        <w:lastRenderedPageBreak/>
        <w:t xml:space="preserve">Tabela </w:t>
      </w:r>
      <w:r w:rsidR="00716232">
        <w:rPr>
          <w:szCs w:val="24"/>
          <w:lang w:val="pt-BR"/>
        </w:rPr>
        <w:t>11</w:t>
      </w:r>
      <w:r w:rsidRPr="00A47D27">
        <w:rPr>
          <w:szCs w:val="24"/>
          <w:lang w:val="pt-BR"/>
        </w:rPr>
        <w:t>.</w:t>
      </w:r>
      <w:r w:rsidRPr="00393569">
        <w:rPr>
          <w:szCs w:val="24"/>
          <w:lang w:val="pt-BR"/>
        </w:rPr>
        <w:t xml:space="preserve"> SFM</w:t>
      </w:r>
      <w:r w:rsidRPr="00CA2760">
        <w:rPr>
          <w:szCs w:val="24"/>
          <w:lang w:val="pt-BR"/>
        </w:rPr>
        <w:t>:  A distribuição dos contratos segundo nível das margens dos empréstimos contratos pelo FDU e a faixa populacional dos municípios</w:t>
      </w:r>
    </w:p>
    <w:tbl>
      <w:tblPr>
        <w:tblStyle w:val="TableGrid"/>
        <w:tblW w:w="9351" w:type="dxa"/>
        <w:tblLayout w:type="fixed"/>
        <w:tblLook w:val="04A0" w:firstRow="1" w:lastRow="0" w:firstColumn="1" w:lastColumn="0" w:noHBand="0" w:noVBand="1"/>
      </w:tblPr>
      <w:tblGrid>
        <w:gridCol w:w="2689"/>
        <w:gridCol w:w="1105"/>
        <w:gridCol w:w="1389"/>
        <w:gridCol w:w="1333"/>
        <w:gridCol w:w="1276"/>
        <w:gridCol w:w="1559"/>
      </w:tblGrid>
      <w:tr w:rsidR="00C46123" w:rsidRPr="00615EB6" w14:paraId="686EFDDB" w14:textId="77777777" w:rsidTr="00B87A9B">
        <w:trPr>
          <w:trHeight w:val="737"/>
        </w:trPr>
        <w:tc>
          <w:tcPr>
            <w:tcW w:w="2689" w:type="dxa"/>
            <w:vAlign w:val="center"/>
          </w:tcPr>
          <w:p w14:paraId="77E5A24C" w14:textId="77777777" w:rsidR="00C46123" w:rsidRPr="00CA2760" w:rsidRDefault="00C46123" w:rsidP="00B87A9B">
            <w:pPr>
              <w:rPr>
                <w:rFonts w:ascii="Arial" w:eastAsia="Times New Roman" w:hAnsi="Arial" w:cs="Arial"/>
                <w:sz w:val="20"/>
                <w:szCs w:val="20"/>
                <w:lang w:val="pt-BR"/>
              </w:rPr>
            </w:pPr>
            <w:r w:rsidRPr="00CA2760">
              <w:rPr>
                <w:rFonts w:ascii="Arial" w:eastAsia="Times New Roman" w:hAnsi="Arial" w:cs="Arial"/>
                <w:bCs/>
                <w:color w:val="000000"/>
                <w:sz w:val="20"/>
                <w:szCs w:val="20"/>
                <w:lang w:val="pt-BR"/>
              </w:rPr>
              <w:t>Faixa populacional (Censo Demográfico 2010, IBGE)</w:t>
            </w:r>
          </w:p>
        </w:tc>
        <w:tc>
          <w:tcPr>
            <w:tcW w:w="1105" w:type="dxa"/>
            <w:vAlign w:val="center"/>
            <w:hideMark/>
          </w:tcPr>
          <w:p w14:paraId="3F902E27"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bCs/>
                <w:color w:val="000000"/>
                <w:sz w:val="20"/>
                <w:szCs w:val="20"/>
                <w:lang w:val="pt-BR"/>
              </w:rPr>
              <w:t>Taxa De Juros + Margem</w:t>
            </w:r>
          </w:p>
        </w:tc>
        <w:tc>
          <w:tcPr>
            <w:tcW w:w="1389" w:type="dxa"/>
            <w:vAlign w:val="center"/>
            <w:hideMark/>
          </w:tcPr>
          <w:p w14:paraId="1947616A"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Distribuição percentual do valor dos contratos</w:t>
            </w:r>
          </w:p>
        </w:tc>
        <w:tc>
          <w:tcPr>
            <w:tcW w:w="1333" w:type="dxa"/>
            <w:vAlign w:val="center"/>
          </w:tcPr>
          <w:p w14:paraId="6270F1C7"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Valor médio dos contratos: R$</w:t>
            </w:r>
          </w:p>
        </w:tc>
        <w:tc>
          <w:tcPr>
            <w:tcW w:w="1276" w:type="dxa"/>
            <w:vAlign w:val="center"/>
            <w:hideMark/>
          </w:tcPr>
          <w:p w14:paraId="21F84A11"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Quantidade contratos</w:t>
            </w:r>
          </w:p>
        </w:tc>
        <w:tc>
          <w:tcPr>
            <w:tcW w:w="1559" w:type="dxa"/>
            <w:vAlign w:val="center"/>
          </w:tcPr>
          <w:p w14:paraId="4D3E41CC"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sz w:val="20"/>
                <w:szCs w:val="20"/>
                <w:lang w:val="pt-BR"/>
              </w:rPr>
              <w:t>Distribuição percentual da quantidade de contratos</w:t>
            </w:r>
          </w:p>
        </w:tc>
      </w:tr>
      <w:tr w:rsidR="00C46123" w:rsidRPr="00CA2760" w14:paraId="1C85579D" w14:textId="77777777" w:rsidTr="005205CD">
        <w:trPr>
          <w:trHeight w:val="288"/>
        </w:trPr>
        <w:tc>
          <w:tcPr>
            <w:tcW w:w="2689" w:type="dxa"/>
            <w:vAlign w:val="center"/>
          </w:tcPr>
          <w:p w14:paraId="050DB718" w14:textId="77777777" w:rsidR="00C46123" w:rsidRPr="00CA2760" w:rsidRDefault="00C46123" w:rsidP="00B87A9B">
            <w:pPr>
              <w:rPr>
                <w:rFonts w:ascii="Arial" w:eastAsia="Times New Roman" w:hAnsi="Arial" w:cs="Arial"/>
                <w:sz w:val="20"/>
                <w:szCs w:val="20"/>
                <w:lang w:val="pt-BR"/>
              </w:rPr>
            </w:pPr>
            <w:r w:rsidRPr="00CA2760">
              <w:rPr>
                <w:rFonts w:ascii="Arial" w:eastAsia="Times New Roman" w:hAnsi="Arial" w:cs="Arial"/>
                <w:color w:val="000000"/>
                <w:spacing w:val="-10"/>
                <w:sz w:val="20"/>
                <w:szCs w:val="20"/>
                <w:lang w:val="pt-BR"/>
              </w:rPr>
              <w:t>Municípios com população até 20.000 habitantes</w:t>
            </w:r>
          </w:p>
        </w:tc>
        <w:tc>
          <w:tcPr>
            <w:tcW w:w="1105" w:type="dxa"/>
            <w:noWrap/>
            <w:vAlign w:val="center"/>
            <w:hideMark/>
          </w:tcPr>
          <w:p w14:paraId="7A35C2D8"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color w:val="000000"/>
                <w:spacing w:val="-10"/>
                <w:sz w:val="20"/>
                <w:szCs w:val="20"/>
                <w:lang w:val="pt-BR"/>
              </w:rPr>
              <w:t>TJLP + 4,25%</w:t>
            </w:r>
          </w:p>
        </w:tc>
        <w:tc>
          <w:tcPr>
            <w:tcW w:w="1389" w:type="dxa"/>
            <w:noWrap/>
            <w:vAlign w:val="center"/>
            <w:hideMark/>
          </w:tcPr>
          <w:p w14:paraId="7B80E255" w14:textId="77777777" w:rsidR="00C46123" w:rsidRPr="00CA2760" w:rsidRDefault="00C46123" w:rsidP="005205CD">
            <w:pPr>
              <w:jc w:val="right"/>
              <w:rPr>
                <w:rFonts w:ascii="Arial" w:eastAsia="Times New Roman" w:hAnsi="Arial" w:cs="Arial"/>
                <w:sz w:val="20"/>
                <w:szCs w:val="20"/>
                <w:lang w:val="pt-BR"/>
              </w:rPr>
            </w:pPr>
            <w:r w:rsidRPr="00CA2760">
              <w:rPr>
                <w:rFonts w:ascii="Arial" w:eastAsia="Times New Roman" w:hAnsi="Arial" w:cs="Arial"/>
                <w:sz w:val="20"/>
                <w:szCs w:val="20"/>
                <w:lang w:val="pt-BR"/>
              </w:rPr>
              <w:t>33,5%</w:t>
            </w:r>
          </w:p>
        </w:tc>
        <w:tc>
          <w:tcPr>
            <w:tcW w:w="1333" w:type="dxa"/>
            <w:vAlign w:val="center"/>
          </w:tcPr>
          <w:p w14:paraId="1A77DF7A" w14:textId="77777777" w:rsidR="00C46123" w:rsidRPr="00CA2760" w:rsidRDefault="00C46123" w:rsidP="005205CD">
            <w:pPr>
              <w:jc w:val="right"/>
              <w:rPr>
                <w:rFonts w:ascii="Arial" w:eastAsia="Times New Roman" w:hAnsi="Arial" w:cs="Arial"/>
                <w:sz w:val="20"/>
                <w:szCs w:val="20"/>
                <w:lang w:val="pt-BR"/>
              </w:rPr>
            </w:pPr>
            <w:r w:rsidRPr="00CA2760">
              <w:rPr>
                <w:rFonts w:ascii="Arial" w:eastAsia="Times New Roman" w:hAnsi="Arial" w:cs="Arial"/>
                <w:sz w:val="20"/>
                <w:szCs w:val="20"/>
                <w:lang w:val="pt-BR"/>
              </w:rPr>
              <w:t>1.004.548</w:t>
            </w:r>
          </w:p>
        </w:tc>
        <w:tc>
          <w:tcPr>
            <w:tcW w:w="1276" w:type="dxa"/>
            <w:noWrap/>
            <w:vAlign w:val="center"/>
            <w:hideMark/>
          </w:tcPr>
          <w:p w14:paraId="03C503E5" w14:textId="77777777" w:rsidR="00C46123" w:rsidRPr="00CA2760" w:rsidRDefault="00C46123" w:rsidP="005205CD">
            <w:pPr>
              <w:jc w:val="right"/>
              <w:rPr>
                <w:rFonts w:ascii="Arial" w:eastAsia="Times New Roman" w:hAnsi="Arial" w:cs="Arial"/>
                <w:sz w:val="20"/>
                <w:szCs w:val="20"/>
                <w:lang w:val="pt-BR"/>
              </w:rPr>
            </w:pPr>
            <w:r w:rsidRPr="00CA2760">
              <w:rPr>
                <w:rFonts w:ascii="Arial" w:eastAsia="Times New Roman" w:hAnsi="Arial" w:cs="Arial"/>
                <w:sz w:val="20"/>
                <w:szCs w:val="20"/>
                <w:lang w:val="pt-BR"/>
              </w:rPr>
              <w:t>84</w:t>
            </w:r>
          </w:p>
        </w:tc>
        <w:tc>
          <w:tcPr>
            <w:tcW w:w="1559" w:type="dxa"/>
            <w:vAlign w:val="center"/>
          </w:tcPr>
          <w:p w14:paraId="383320FD" w14:textId="77777777" w:rsidR="00C46123" w:rsidRPr="00CA2760" w:rsidRDefault="00C46123" w:rsidP="005205CD">
            <w:pPr>
              <w:jc w:val="right"/>
              <w:rPr>
                <w:rFonts w:ascii="Arial" w:eastAsia="Times New Roman" w:hAnsi="Arial" w:cs="Arial"/>
                <w:sz w:val="20"/>
                <w:szCs w:val="20"/>
                <w:lang w:val="pt-BR"/>
              </w:rPr>
            </w:pPr>
            <w:r w:rsidRPr="00CA2760">
              <w:rPr>
                <w:rFonts w:ascii="Arial" w:hAnsi="Arial" w:cs="Arial"/>
                <w:color w:val="000000"/>
                <w:sz w:val="20"/>
                <w:szCs w:val="20"/>
                <w:lang w:val="pt-BR"/>
              </w:rPr>
              <w:t>67,2%</w:t>
            </w:r>
          </w:p>
        </w:tc>
      </w:tr>
      <w:tr w:rsidR="00C46123" w:rsidRPr="00CA2760" w14:paraId="7ABE2EAF" w14:textId="77777777" w:rsidTr="005205CD">
        <w:trPr>
          <w:trHeight w:val="288"/>
        </w:trPr>
        <w:tc>
          <w:tcPr>
            <w:tcW w:w="2689" w:type="dxa"/>
            <w:vAlign w:val="center"/>
          </w:tcPr>
          <w:p w14:paraId="427EE35F" w14:textId="77777777" w:rsidR="00C46123" w:rsidRPr="00CA2760" w:rsidRDefault="00C46123" w:rsidP="00B87A9B">
            <w:pPr>
              <w:rPr>
                <w:rFonts w:ascii="Arial" w:eastAsia="Times New Roman" w:hAnsi="Arial" w:cs="Arial"/>
                <w:sz w:val="20"/>
                <w:szCs w:val="20"/>
                <w:lang w:val="pt-BR"/>
              </w:rPr>
            </w:pPr>
            <w:r w:rsidRPr="00CA2760">
              <w:rPr>
                <w:rFonts w:ascii="Arial" w:eastAsia="Times New Roman" w:hAnsi="Arial" w:cs="Arial"/>
                <w:color w:val="000000"/>
                <w:spacing w:val="-10"/>
                <w:sz w:val="20"/>
                <w:szCs w:val="20"/>
                <w:lang w:val="pt-BR"/>
              </w:rPr>
              <w:t>Municípios com população entre 20.000 e 50.000 habitantes</w:t>
            </w:r>
          </w:p>
        </w:tc>
        <w:tc>
          <w:tcPr>
            <w:tcW w:w="1105" w:type="dxa"/>
            <w:noWrap/>
            <w:vAlign w:val="center"/>
            <w:hideMark/>
          </w:tcPr>
          <w:p w14:paraId="18E59C57"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color w:val="000000"/>
                <w:spacing w:val="-10"/>
                <w:sz w:val="20"/>
                <w:szCs w:val="20"/>
                <w:lang w:val="pt-BR"/>
              </w:rPr>
              <w:t>TJLP + 5,50%</w:t>
            </w:r>
          </w:p>
        </w:tc>
        <w:tc>
          <w:tcPr>
            <w:tcW w:w="1389" w:type="dxa"/>
            <w:noWrap/>
            <w:vAlign w:val="center"/>
            <w:hideMark/>
          </w:tcPr>
          <w:p w14:paraId="3BAB6D81" w14:textId="77777777" w:rsidR="00C46123" w:rsidRPr="00CA2760" w:rsidRDefault="00C46123" w:rsidP="005205CD">
            <w:pPr>
              <w:jc w:val="right"/>
              <w:rPr>
                <w:rFonts w:ascii="Arial" w:eastAsia="Times New Roman" w:hAnsi="Arial" w:cs="Arial"/>
                <w:sz w:val="20"/>
                <w:szCs w:val="20"/>
                <w:lang w:val="pt-BR"/>
              </w:rPr>
            </w:pPr>
            <w:r w:rsidRPr="00CA2760">
              <w:rPr>
                <w:rFonts w:ascii="Arial" w:eastAsia="Times New Roman" w:hAnsi="Arial" w:cs="Arial"/>
                <w:sz w:val="20"/>
                <w:szCs w:val="20"/>
                <w:lang w:val="pt-BR"/>
              </w:rPr>
              <w:t>22,5%</w:t>
            </w:r>
          </w:p>
        </w:tc>
        <w:tc>
          <w:tcPr>
            <w:tcW w:w="1333" w:type="dxa"/>
            <w:vAlign w:val="center"/>
          </w:tcPr>
          <w:p w14:paraId="3A94B4AC" w14:textId="77777777" w:rsidR="00C46123" w:rsidRPr="00CA2760" w:rsidRDefault="00C46123" w:rsidP="005205CD">
            <w:pPr>
              <w:jc w:val="right"/>
              <w:rPr>
                <w:rFonts w:ascii="Arial" w:eastAsia="Times New Roman" w:hAnsi="Arial" w:cs="Arial"/>
                <w:sz w:val="20"/>
                <w:szCs w:val="20"/>
                <w:lang w:val="pt-BR"/>
              </w:rPr>
            </w:pPr>
            <w:r w:rsidRPr="00CA2760">
              <w:rPr>
                <w:rFonts w:ascii="Arial" w:eastAsia="Times New Roman" w:hAnsi="Arial" w:cs="Arial"/>
                <w:sz w:val="20"/>
                <w:szCs w:val="20"/>
                <w:lang w:val="pt-BR"/>
              </w:rPr>
              <w:t>2.179.423</w:t>
            </w:r>
          </w:p>
        </w:tc>
        <w:tc>
          <w:tcPr>
            <w:tcW w:w="1276" w:type="dxa"/>
            <w:noWrap/>
            <w:vAlign w:val="center"/>
            <w:hideMark/>
          </w:tcPr>
          <w:p w14:paraId="75E3F6E9" w14:textId="77777777" w:rsidR="00C46123" w:rsidRPr="00CA2760" w:rsidRDefault="00C46123" w:rsidP="005205CD">
            <w:pPr>
              <w:jc w:val="right"/>
              <w:rPr>
                <w:rFonts w:ascii="Arial" w:eastAsia="Times New Roman" w:hAnsi="Arial" w:cs="Arial"/>
                <w:sz w:val="20"/>
                <w:szCs w:val="20"/>
                <w:lang w:val="pt-BR"/>
              </w:rPr>
            </w:pPr>
            <w:r w:rsidRPr="00CA2760">
              <w:rPr>
                <w:rFonts w:ascii="Arial" w:eastAsia="Times New Roman" w:hAnsi="Arial" w:cs="Arial"/>
                <w:sz w:val="20"/>
                <w:szCs w:val="20"/>
                <w:lang w:val="pt-BR"/>
              </w:rPr>
              <w:t>26</w:t>
            </w:r>
          </w:p>
        </w:tc>
        <w:tc>
          <w:tcPr>
            <w:tcW w:w="1559" w:type="dxa"/>
            <w:vAlign w:val="center"/>
          </w:tcPr>
          <w:p w14:paraId="45842CF9" w14:textId="77777777" w:rsidR="00C46123" w:rsidRPr="00CA2760" w:rsidRDefault="00C46123" w:rsidP="005205CD">
            <w:pPr>
              <w:jc w:val="right"/>
              <w:rPr>
                <w:rFonts w:ascii="Arial" w:eastAsia="Times New Roman" w:hAnsi="Arial" w:cs="Arial"/>
                <w:sz w:val="20"/>
                <w:szCs w:val="20"/>
                <w:lang w:val="pt-BR"/>
              </w:rPr>
            </w:pPr>
            <w:r w:rsidRPr="00CA2760">
              <w:rPr>
                <w:rFonts w:ascii="Arial" w:hAnsi="Arial" w:cs="Arial"/>
                <w:color w:val="000000"/>
                <w:sz w:val="20"/>
                <w:szCs w:val="20"/>
                <w:lang w:val="pt-BR"/>
              </w:rPr>
              <w:t>20,8%</w:t>
            </w:r>
          </w:p>
        </w:tc>
      </w:tr>
      <w:tr w:rsidR="00C46123" w:rsidRPr="00CA2760" w14:paraId="59A3CA35" w14:textId="77777777" w:rsidTr="005205CD">
        <w:trPr>
          <w:trHeight w:val="288"/>
        </w:trPr>
        <w:tc>
          <w:tcPr>
            <w:tcW w:w="2689" w:type="dxa"/>
            <w:vAlign w:val="center"/>
          </w:tcPr>
          <w:p w14:paraId="6D11F4CB" w14:textId="77777777" w:rsidR="00C46123" w:rsidRPr="00CA2760" w:rsidRDefault="00C46123" w:rsidP="00B87A9B">
            <w:pPr>
              <w:rPr>
                <w:rFonts w:ascii="Arial" w:eastAsia="Times New Roman" w:hAnsi="Arial" w:cs="Arial"/>
                <w:sz w:val="20"/>
                <w:szCs w:val="20"/>
                <w:lang w:val="pt-BR"/>
              </w:rPr>
            </w:pPr>
            <w:r w:rsidRPr="00CA2760">
              <w:rPr>
                <w:rFonts w:ascii="Arial" w:eastAsia="Times New Roman" w:hAnsi="Arial" w:cs="Arial"/>
                <w:color w:val="000000"/>
                <w:spacing w:val="-10"/>
                <w:sz w:val="20"/>
                <w:szCs w:val="20"/>
                <w:lang w:val="pt-BR"/>
              </w:rPr>
              <w:t>Municípios com população entre 50.000 e 100.000 habitantes</w:t>
            </w:r>
          </w:p>
        </w:tc>
        <w:tc>
          <w:tcPr>
            <w:tcW w:w="1105" w:type="dxa"/>
            <w:noWrap/>
            <w:vAlign w:val="center"/>
            <w:hideMark/>
          </w:tcPr>
          <w:p w14:paraId="64E90E73"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color w:val="000000"/>
                <w:spacing w:val="-10"/>
                <w:sz w:val="20"/>
                <w:szCs w:val="20"/>
                <w:lang w:val="pt-BR"/>
              </w:rPr>
              <w:t>TJLP + 6,25%</w:t>
            </w:r>
          </w:p>
        </w:tc>
        <w:tc>
          <w:tcPr>
            <w:tcW w:w="1389" w:type="dxa"/>
            <w:noWrap/>
            <w:vAlign w:val="center"/>
            <w:hideMark/>
          </w:tcPr>
          <w:p w14:paraId="5BDC319C" w14:textId="77777777" w:rsidR="00C46123" w:rsidRPr="00CA2760" w:rsidRDefault="00C46123" w:rsidP="005205CD">
            <w:pPr>
              <w:jc w:val="right"/>
              <w:rPr>
                <w:rFonts w:ascii="Arial" w:eastAsia="Times New Roman" w:hAnsi="Arial" w:cs="Arial"/>
                <w:sz w:val="20"/>
                <w:szCs w:val="20"/>
                <w:lang w:val="pt-BR"/>
              </w:rPr>
            </w:pPr>
            <w:r w:rsidRPr="00CA2760">
              <w:rPr>
                <w:rFonts w:ascii="Arial" w:eastAsia="Times New Roman" w:hAnsi="Arial" w:cs="Arial"/>
                <w:sz w:val="20"/>
                <w:szCs w:val="20"/>
                <w:lang w:val="pt-BR"/>
              </w:rPr>
              <w:t>16,6%</w:t>
            </w:r>
          </w:p>
        </w:tc>
        <w:tc>
          <w:tcPr>
            <w:tcW w:w="1333" w:type="dxa"/>
            <w:vAlign w:val="center"/>
          </w:tcPr>
          <w:p w14:paraId="296813BA" w14:textId="77777777" w:rsidR="00C46123" w:rsidRPr="00CA2760" w:rsidRDefault="00C46123" w:rsidP="005205CD">
            <w:pPr>
              <w:jc w:val="right"/>
              <w:rPr>
                <w:rFonts w:ascii="Arial" w:eastAsia="Times New Roman" w:hAnsi="Arial" w:cs="Arial"/>
                <w:sz w:val="20"/>
                <w:szCs w:val="20"/>
                <w:lang w:val="pt-BR"/>
              </w:rPr>
            </w:pPr>
            <w:r w:rsidRPr="00CA2760">
              <w:rPr>
                <w:rFonts w:ascii="Arial" w:eastAsia="Times New Roman" w:hAnsi="Arial" w:cs="Arial"/>
                <w:sz w:val="20"/>
                <w:szCs w:val="20"/>
                <w:lang w:val="pt-BR"/>
              </w:rPr>
              <w:t>10.500.000</w:t>
            </w:r>
          </w:p>
        </w:tc>
        <w:tc>
          <w:tcPr>
            <w:tcW w:w="1276" w:type="dxa"/>
            <w:noWrap/>
            <w:vAlign w:val="center"/>
            <w:hideMark/>
          </w:tcPr>
          <w:p w14:paraId="18C9892F" w14:textId="77777777" w:rsidR="00C46123" w:rsidRPr="00CA2760" w:rsidRDefault="00C46123" w:rsidP="005205CD">
            <w:pPr>
              <w:jc w:val="right"/>
              <w:rPr>
                <w:rFonts w:ascii="Arial" w:eastAsia="Times New Roman" w:hAnsi="Arial" w:cs="Arial"/>
                <w:sz w:val="20"/>
                <w:szCs w:val="20"/>
                <w:lang w:val="pt-BR"/>
              </w:rPr>
            </w:pPr>
            <w:r w:rsidRPr="00CA2760">
              <w:rPr>
                <w:rFonts w:ascii="Arial" w:eastAsia="Times New Roman" w:hAnsi="Arial" w:cs="Arial"/>
                <w:sz w:val="20"/>
                <w:szCs w:val="20"/>
                <w:lang w:val="pt-BR"/>
              </w:rPr>
              <w:t>4</w:t>
            </w:r>
          </w:p>
        </w:tc>
        <w:tc>
          <w:tcPr>
            <w:tcW w:w="1559" w:type="dxa"/>
            <w:vAlign w:val="center"/>
          </w:tcPr>
          <w:p w14:paraId="06A095E9" w14:textId="77777777" w:rsidR="00C46123" w:rsidRPr="00CA2760" w:rsidRDefault="00C46123" w:rsidP="005205CD">
            <w:pPr>
              <w:jc w:val="right"/>
              <w:rPr>
                <w:rFonts w:ascii="Arial" w:eastAsia="Times New Roman" w:hAnsi="Arial" w:cs="Arial"/>
                <w:sz w:val="20"/>
                <w:szCs w:val="20"/>
                <w:lang w:val="pt-BR"/>
              </w:rPr>
            </w:pPr>
            <w:r w:rsidRPr="00CA2760">
              <w:rPr>
                <w:rFonts w:ascii="Arial" w:hAnsi="Arial" w:cs="Arial"/>
                <w:color w:val="000000"/>
                <w:sz w:val="20"/>
                <w:szCs w:val="20"/>
                <w:lang w:val="pt-BR"/>
              </w:rPr>
              <w:t>3,2%</w:t>
            </w:r>
          </w:p>
        </w:tc>
      </w:tr>
      <w:tr w:rsidR="00C46123" w:rsidRPr="00CA2760" w14:paraId="2E8A3BF0" w14:textId="77777777" w:rsidTr="005205CD">
        <w:trPr>
          <w:trHeight w:val="288"/>
        </w:trPr>
        <w:tc>
          <w:tcPr>
            <w:tcW w:w="2689" w:type="dxa"/>
            <w:vAlign w:val="center"/>
          </w:tcPr>
          <w:p w14:paraId="7B9146CA" w14:textId="77777777" w:rsidR="00C46123" w:rsidRPr="00CA2760" w:rsidRDefault="00C46123" w:rsidP="00B87A9B">
            <w:pPr>
              <w:rPr>
                <w:rFonts w:ascii="Arial" w:eastAsia="Times New Roman" w:hAnsi="Arial" w:cs="Arial"/>
                <w:sz w:val="20"/>
                <w:szCs w:val="20"/>
                <w:lang w:val="pt-BR"/>
              </w:rPr>
            </w:pPr>
            <w:r w:rsidRPr="00CA2760">
              <w:rPr>
                <w:rFonts w:ascii="Arial" w:eastAsia="Times New Roman" w:hAnsi="Arial" w:cs="Arial"/>
                <w:color w:val="000000"/>
                <w:spacing w:val="-10"/>
                <w:sz w:val="20"/>
                <w:szCs w:val="20"/>
                <w:lang w:val="pt-BR"/>
              </w:rPr>
              <w:t>Municípios com população superior a 100.000 habitantes</w:t>
            </w:r>
          </w:p>
        </w:tc>
        <w:tc>
          <w:tcPr>
            <w:tcW w:w="1105" w:type="dxa"/>
            <w:noWrap/>
            <w:vAlign w:val="center"/>
            <w:hideMark/>
          </w:tcPr>
          <w:p w14:paraId="0F55B709"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color w:val="000000"/>
                <w:spacing w:val="-10"/>
                <w:sz w:val="20"/>
                <w:szCs w:val="20"/>
                <w:lang w:val="pt-BR"/>
              </w:rPr>
              <w:t>TJLP + 6,50%</w:t>
            </w:r>
          </w:p>
        </w:tc>
        <w:tc>
          <w:tcPr>
            <w:tcW w:w="1389" w:type="dxa"/>
            <w:noWrap/>
            <w:vAlign w:val="center"/>
            <w:hideMark/>
          </w:tcPr>
          <w:p w14:paraId="665B8D4A" w14:textId="77777777" w:rsidR="00C46123" w:rsidRPr="00CA2760" w:rsidRDefault="00C46123" w:rsidP="005205CD">
            <w:pPr>
              <w:jc w:val="right"/>
              <w:rPr>
                <w:rFonts w:ascii="Arial" w:eastAsia="Times New Roman" w:hAnsi="Arial" w:cs="Arial"/>
                <w:sz w:val="20"/>
                <w:szCs w:val="20"/>
                <w:lang w:val="pt-BR"/>
              </w:rPr>
            </w:pPr>
            <w:r w:rsidRPr="00CA2760">
              <w:rPr>
                <w:rFonts w:ascii="Arial" w:eastAsia="Times New Roman" w:hAnsi="Arial" w:cs="Arial"/>
                <w:sz w:val="20"/>
                <w:szCs w:val="20"/>
                <w:lang w:val="pt-BR"/>
              </w:rPr>
              <w:t>27,4%</w:t>
            </w:r>
          </w:p>
        </w:tc>
        <w:tc>
          <w:tcPr>
            <w:tcW w:w="1333" w:type="dxa"/>
            <w:vAlign w:val="center"/>
          </w:tcPr>
          <w:p w14:paraId="6148327D" w14:textId="77777777" w:rsidR="00C46123" w:rsidRPr="00CA2760" w:rsidRDefault="00C46123" w:rsidP="005205CD">
            <w:pPr>
              <w:jc w:val="right"/>
              <w:rPr>
                <w:rFonts w:ascii="Arial" w:eastAsia="Times New Roman" w:hAnsi="Arial" w:cs="Arial"/>
                <w:sz w:val="20"/>
                <w:szCs w:val="20"/>
                <w:lang w:val="pt-BR"/>
              </w:rPr>
            </w:pPr>
            <w:r w:rsidRPr="00CA2760">
              <w:rPr>
                <w:rFonts w:ascii="Arial" w:eastAsia="Times New Roman" w:hAnsi="Arial" w:cs="Arial"/>
                <w:sz w:val="20"/>
                <w:szCs w:val="20"/>
                <w:lang w:val="pt-BR"/>
              </w:rPr>
              <w:t>6.272.727</w:t>
            </w:r>
          </w:p>
        </w:tc>
        <w:tc>
          <w:tcPr>
            <w:tcW w:w="1276" w:type="dxa"/>
            <w:noWrap/>
            <w:vAlign w:val="center"/>
            <w:hideMark/>
          </w:tcPr>
          <w:p w14:paraId="29C5C0C0" w14:textId="77777777" w:rsidR="00C46123" w:rsidRPr="00CA2760" w:rsidRDefault="00C46123" w:rsidP="005205CD">
            <w:pPr>
              <w:jc w:val="right"/>
              <w:rPr>
                <w:rFonts w:ascii="Arial" w:eastAsia="Times New Roman" w:hAnsi="Arial" w:cs="Arial"/>
                <w:sz w:val="20"/>
                <w:szCs w:val="20"/>
                <w:lang w:val="pt-BR"/>
              </w:rPr>
            </w:pPr>
            <w:r w:rsidRPr="00CA2760">
              <w:rPr>
                <w:rFonts w:ascii="Arial" w:eastAsia="Times New Roman" w:hAnsi="Arial" w:cs="Arial"/>
                <w:sz w:val="20"/>
                <w:szCs w:val="20"/>
                <w:lang w:val="pt-BR"/>
              </w:rPr>
              <w:t>11</w:t>
            </w:r>
          </w:p>
        </w:tc>
        <w:tc>
          <w:tcPr>
            <w:tcW w:w="1559" w:type="dxa"/>
            <w:vAlign w:val="center"/>
          </w:tcPr>
          <w:p w14:paraId="22804956" w14:textId="77777777" w:rsidR="00C46123" w:rsidRPr="00CA2760" w:rsidRDefault="00C46123" w:rsidP="005205CD">
            <w:pPr>
              <w:jc w:val="right"/>
              <w:rPr>
                <w:rFonts w:ascii="Arial" w:eastAsia="Times New Roman" w:hAnsi="Arial" w:cs="Arial"/>
                <w:sz w:val="20"/>
                <w:szCs w:val="20"/>
                <w:lang w:val="pt-BR"/>
              </w:rPr>
            </w:pPr>
            <w:r w:rsidRPr="00CA2760">
              <w:rPr>
                <w:rFonts w:ascii="Arial" w:hAnsi="Arial" w:cs="Arial"/>
                <w:color w:val="000000"/>
                <w:sz w:val="20"/>
                <w:szCs w:val="20"/>
                <w:lang w:val="pt-BR"/>
              </w:rPr>
              <w:t>8,8%</w:t>
            </w:r>
          </w:p>
        </w:tc>
      </w:tr>
      <w:tr w:rsidR="00C46123" w:rsidRPr="00CA2760" w14:paraId="3226B06F" w14:textId="77777777" w:rsidTr="00B87A9B">
        <w:trPr>
          <w:trHeight w:val="288"/>
        </w:trPr>
        <w:tc>
          <w:tcPr>
            <w:tcW w:w="2689" w:type="dxa"/>
          </w:tcPr>
          <w:p w14:paraId="082A3BE9" w14:textId="77777777" w:rsidR="00C46123" w:rsidRPr="00CA2760" w:rsidRDefault="00C46123" w:rsidP="00B87A9B">
            <w:pPr>
              <w:rPr>
                <w:rFonts w:ascii="Arial" w:eastAsia="Times New Roman" w:hAnsi="Arial" w:cs="Arial"/>
                <w:sz w:val="20"/>
                <w:szCs w:val="20"/>
                <w:lang w:val="pt-BR"/>
              </w:rPr>
            </w:pPr>
            <w:r w:rsidRPr="00CA2760">
              <w:rPr>
                <w:rFonts w:ascii="Arial" w:eastAsia="Times New Roman" w:hAnsi="Arial" w:cs="Arial"/>
                <w:sz w:val="20"/>
                <w:szCs w:val="20"/>
                <w:lang w:val="pt-BR"/>
              </w:rPr>
              <w:t>TOTAL</w:t>
            </w:r>
          </w:p>
        </w:tc>
        <w:tc>
          <w:tcPr>
            <w:tcW w:w="1105" w:type="dxa"/>
            <w:noWrap/>
            <w:vAlign w:val="center"/>
          </w:tcPr>
          <w:p w14:paraId="57490554" w14:textId="77777777" w:rsidR="00C46123" w:rsidRPr="00CA2760" w:rsidRDefault="00C46123" w:rsidP="00B87A9B">
            <w:pPr>
              <w:jc w:val="center"/>
              <w:rPr>
                <w:rFonts w:ascii="Arial" w:eastAsia="Times New Roman" w:hAnsi="Arial" w:cs="Arial"/>
                <w:sz w:val="20"/>
                <w:szCs w:val="20"/>
                <w:lang w:val="pt-BR"/>
              </w:rPr>
            </w:pPr>
          </w:p>
        </w:tc>
        <w:tc>
          <w:tcPr>
            <w:tcW w:w="1389" w:type="dxa"/>
            <w:noWrap/>
            <w:vAlign w:val="center"/>
            <w:hideMark/>
          </w:tcPr>
          <w:p w14:paraId="275E3D63"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100,0%</w:t>
            </w:r>
          </w:p>
        </w:tc>
        <w:tc>
          <w:tcPr>
            <w:tcW w:w="1333" w:type="dxa"/>
            <w:vAlign w:val="center"/>
          </w:tcPr>
          <w:p w14:paraId="6565B895"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2.016.376</w:t>
            </w:r>
          </w:p>
        </w:tc>
        <w:tc>
          <w:tcPr>
            <w:tcW w:w="1276" w:type="dxa"/>
            <w:noWrap/>
            <w:vAlign w:val="center"/>
            <w:hideMark/>
          </w:tcPr>
          <w:p w14:paraId="0A67201F"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125</w:t>
            </w:r>
          </w:p>
        </w:tc>
        <w:tc>
          <w:tcPr>
            <w:tcW w:w="1559" w:type="dxa"/>
            <w:vAlign w:val="bottom"/>
          </w:tcPr>
          <w:p w14:paraId="3147FFA2" w14:textId="77777777" w:rsidR="00C46123" w:rsidRPr="00CA2760" w:rsidRDefault="00C46123" w:rsidP="00B87A9B">
            <w:pPr>
              <w:jc w:val="right"/>
              <w:rPr>
                <w:rFonts w:ascii="Arial" w:eastAsia="Times New Roman" w:hAnsi="Arial" w:cs="Arial"/>
                <w:sz w:val="20"/>
                <w:szCs w:val="20"/>
                <w:lang w:val="pt-BR"/>
              </w:rPr>
            </w:pPr>
            <w:r w:rsidRPr="00CA2760">
              <w:rPr>
                <w:rFonts w:ascii="Arial" w:hAnsi="Arial" w:cs="Arial"/>
                <w:color w:val="000000"/>
                <w:sz w:val="20"/>
                <w:szCs w:val="20"/>
                <w:lang w:val="pt-BR"/>
              </w:rPr>
              <w:t>100,0%</w:t>
            </w:r>
          </w:p>
        </w:tc>
      </w:tr>
    </w:tbl>
    <w:p w14:paraId="114B7036" w14:textId="77777777" w:rsidR="00C46123" w:rsidRPr="00CA2760" w:rsidRDefault="00C46123" w:rsidP="00C46123">
      <w:pPr>
        <w:pStyle w:val="Paragraph"/>
        <w:spacing w:before="0"/>
        <w:rPr>
          <w:szCs w:val="24"/>
          <w:lang w:val="pt-BR"/>
        </w:rPr>
      </w:pPr>
      <w:r w:rsidRPr="00CA2760">
        <w:rPr>
          <w:szCs w:val="24"/>
          <w:lang w:val="pt-BR"/>
        </w:rPr>
        <w:t xml:space="preserve">Fonte:  </w:t>
      </w:r>
      <w:r w:rsidRPr="00A47D27">
        <w:rPr>
          <w:szCs w:val="24"/>
          <w:lang w:val="pt-BR"/>
        </w:rPr>
        <w:t>ROP (2018) e dados</w:t>
      </w:r>
      <w:r w:rsidRPr="00CA2760">
        <w:rPr>
          <w:szCs w:val="24"/>
          <w:lang w:val="pt-BR"/>
        </w:rPr>
        <w:t xml:space="preserve"> do SFM com cálculos dos autores.</w:t>
      </w:r>
    </w:p>
    <w:p w14:paraId="161C91F3" w14:textId="19533E9A" w:rsidR="00C46123" w:rsidRPr="005D6609" w:rsidRDefault="00C46123" w:rsidP="00C46123">
      <w:pPr>
        <w:shd w:val="clear" w:color="auto" w:fill="FFFFFF"/>
        <w:spacing w:before="240" w:line="360" w:lineRule="auto"/>
        <w:rPr>
          <w:rFonts w:ascii="Times New Roman" w:eastAsia="Times New Roman" w:hAnsi="Times New Roman" w:cs="Times New Roman"/>
          <w:sz w:val="24"/>
          <w:szCs w:val="24"/>
          <w:lang w:val="pt-BR" w:eastAsia="pt-BR"/>
        </w:rPr>
      </w:pPr>
      <w:r w:rsidRPr="00CA2760">
        <w:rPr>
          <w:rFonts w:ascii="Times New Roman" w:hAnsi="Times New Roman" w:cs="Times New Roman"/>
          <w:sz w:val="24"/>
          <w:szCs w:val="24"/>
          <w:lang w:val="pt-BR"/>
        </w:rPr>
        <w:t xml:space="preserve">O maior percentual de valor contratado é de 33,5% para municípios com população até 20.000 habitantes em 2010. No total, 56,0% do valor dos empréstimos contraídos pelo FDU eram para </w:t>
      </w:r>
      <w:r w:rsidRPr="0005602F">
        <w:rPr>
          <w:rFonts w:ascii="Times New Roman" w:hAnsi="Times New Roman" w:cs="Times New Roman"/>
          <w:sz w:val="24"/>
          <w:szCs w:val="24"/>
          <w:lang w:val="pt-BR"/>
        </w:rPr>
        <w:t xml:space="preserve">municípios nas duas faixas com populações com menos de 50.000 habitantes em </w:t>
      </w:r>
      <w:r w:rsidR="00C10E00">
        <w:rPr>
          <w:rFonts w:ascii="Times New Roman" w:hAnsi="Times New Roman" w:cs="Times New Roman"/>
          <w:sz w:val="24"/>
          <w:szCs w:val="24"/>
          <w:lang w:val="pt-BR"/>
        </w:rPr>
        <w:t>2010</w:t>
      </w:r>
      <w:r w:rsidRPr="0005602F">
        <w:rPr>
          <w:rFonts w:ascii="Times New Roman" w:hAnsi="Times New Roman" w:cs="Times New Roman"/>
          <w:sz w:val="24"/>
          <w:szCs w:val="24"/>
          <w:lang w:val="pt-BR"/>
        </w:rPr>
        <w:t xml:space="preserve">.  A </w:t>
      </w:r>
      <w:r w:rsidRPr="0005602F">
        <w:rPr>
          <w:rStyle w:val="ts-alignment-element"/>
          <w:rFonts w:ascii="Times New Roman" w:hAnsi="Times New Roman" w:cs="Times New Roman"/>
          <w:sz w:val="24"/>
          <w:szCs w:val="24"/>
          <w:lang w:val="pt-BR"/>
        </w:rPr>
        <w:t>média</w:t>
      </w:r>
      <w:r w:rsidRPr="0005602F">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simples</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das</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 xml:space="preserve">margens (i.e., </w:t>
      </w:r>
      <w:r w:rsidRPr="005D6609">
        <w:rPr>
          <w:rStyle w:val="ts-alignment-element"/>
          <w:rFonts w:ascii="Times New Roman" w:hAnsi="Times New Roman" w:cs="Times New Roman"/>
          <w:i/>
          <w:sz w:val="24"/>
          <w:szCs w:val="24"/>
          <w:lang w:val="pt-BR"/>
        </w:rPr>
        <w:t>spreads</w:t>
      </w:r>
      <w:r w:rsidRPr="005D6609">
        <w:rPr>
          <w:rStyle w:val="ts-alignment-element"/>
          <w:rFonts w:ascii="Times New Roman" w:hAnsi="Times New Roman" w:cs="Times New Roman"/>
          <w:sz w:val="24"/>
          <w:szCs w:val="24"/>
          <w:lang w:val="pt-BR"/>
        </w:rPr>
        <w:t>)</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dos</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empréstimos</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contratados</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em</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2017</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era</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5,63%.</w:t>
      </w:r>
      <w:r w:rsidRPr="005D6609">
        <w:rPr>
          <w:rFonts w:ascii="Times New Roman" w:hAnsi="Times New Roman" w:cs="Times New Roman"/>
          <w:sz w:val="24"/>
          <w:szCs w:val="24"/>
          <w:lang w:val="pt-BR"/>
        </w:rPr>
        <w:t xml:space="preserve"> Assim sendo, a </w:t>
      </w:r>
      <w:r w:rsidRPr="005D6609">
        <w:rPr>
          <w:rStyle w:val="ts-alignment-element"/>
          <w:rFonts w:ascii="Times New Roman" w:hAnsi="Times New Roman" w:cs="Times New Roman"/>
          <w:sz w:val="24"/>
          <w:szCs w:val="24"/>
          <w:lang w:val="pt-BR"/>
        </w:rPr>
        <w:t>média</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ponderada</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com</w:t>
      </w:r>
      <w:r w:rsidRPr="005D6609">
        <w:rPr>
          <w:rFonts w:ascii="Times New Roman" w:hAnsi="Times New Roman" w:cs="Times New Roman"/>
          <w:sz w:val="24"/>
          <w:szCs w:val="24"/>
          <w:lang w:val="pt-BR"/>
        </w:rPr>
        <w:t xml:space="preserve"> a </w:t>
      </w:r>
      <w:r w:rsidRPr="005D6609">
        <w:rPr>
          <w:rStyle w:val="ts-alignment-element"/>
          <w:rFonts w:ascii="Times New Roman" w:hAnsi="Times New Roman" w:cs="Times New Roman"/>
          <w:sz w:val="24"/>
          <w:szCs w:val="24"/>
          <w:lang w:val="pt-BR"/>
        </w:rPr>
        <w:t>distribuição</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dos</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empréstimos</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é</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ligeiramente</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inferior</w:t>
      </w:r>
      <w:r w:rsidRPr="005D6609">
        <w:rPr>
          <w:rFonts w:ascii="Times New Roman" w:hAnsi="Times New Roman" w:cs="Times New Roman"/>
          <w:sz w:val="24"/>
          <w:szCs w:val="24"/>
          <w:lang w:val="pt-BR"/>
        </w:rPr>
        <w:t xml:space="preserve"> (</w:t>
      </w:r>
      <w:r w:rsidRPr="005D6609">
        <w:rPr>
          <w:rStyle w:val="ts-alignment-element"/>
          <w:rFonts w:ascii="Times New Roman" w:hAnsi="Times New Roman" w:cs="Times New Roman"/>
          <w:sz w:val="24"/>
          <w:szCs w:val="24"/>
          <w:lang w:val="pt-BR"/>
        </w:rPr>
        <w:t xml:space="preserve">5,48%), devido à elevada concentração dos empréstimos contratados nas duas faixas com margens mais baixas. </w:t>
      </w:r>
    </w:p>
    <w:p w14:paraId="69DE135E" w14:textId="372AC32F" w:rsidR="001146D6" w:rsidRDefault="00C46123" w:rsidP="00306AEC">
      <w:pPr>
        <w:tabs>
          <w:tab w:val="left" w:pos="7938"/>
        </w:tabs>
        <w:spacing w:line="360" w:lineRule="auto"/>
        <w:rPr>
          <w:rFonts w:ascii="Times New Roman" w:hAnsi="Times New Roman" w:cs="Times New Roman"/>
          <w:sz w:val="24"/>
          <w:szCs w:val="24"/>
          <w:lang w:val="pt-BR"/>
        </w:rPr>
      </w:pPr>
      <w:r w:rsidRPr="00CA2760">
        <w:rPr>
          <w:rFonts w:ascii="Times New Roman" w:eastAsia="Times New Roman" w:hAnsi="Times New Roman" w:cs="Times New Roman"/>
          <w:sz w:val="24"/>
          <w:szCs w:val="24"/>
          <w:lang w:val="pt-BR" w:eastAsia="pt-BR"/>
        </w:rPr>
        <w:t xml:space="preserve">O TJPL é uma taxa de juros administrada (ver quadro </w:t>
      </w:r>
      <w:r w:rsidR="00715075">
        <w:rPr>
          <w:rFonts w:ascii="Times New Roman" w:eastAsia="Times New Roman" w:hAnsi="Times New Roman" w:cs="Times New Roman"/>
          <w:sz w:val="24"/>
          <w:szCs w:val="24"/>
          <w:lang w:val="pt-BR" w:eastAsia="pt-BR"/>
        </w:rPr>
        <w:t>2</w:t>
      </w:r>
      <w:r w:rsidRPr="00CA2760">
        <w:rPr>
          <w:rFonts w:ascii="Times New Roman" w:eastAsia="Times New Roman" w:hAnsi="Times New Roman" w:cs="Times New Roman"/>
          <w:sz w:val="24"/>
          <w:szCs w:val="24"/>
          <w:lang w:val="pt-BR" w:eastAsia="pt-BR"/>
        </w:rPr>
        <w:t xml:space="preserve">) que nem sempre cobre a taxa total de inflação. As três últimas colunas da </w:t>
      </w:r>
      <w:r w:rsidRPr="00A47D27">
        <w:rPr>
          <w:rFonts w:ascii="Times New Roman" w:eastAsia="Times New Roman" w:hAnsi="Times New Roman" w:cs="Times New Roman"/>
          <w:sz w:val="24"/>
          <w:szCs w:val="24"/>
          <w:lang w:val="pt-BR" w:eastAsia="pt-BR"/>
        </w:rPr>
        <w:t xml:space="preserve">tabela </w:t>
      </w:r>
      <w:r w:rsidR="00C57CE9">
        <w:rPr>
          <w:rFonts w:ascii="Times New Roman" w:eastAsia="Times New Roman" w:hAnsi="Times New Roman" w:cs="Times New Roman"/>
          <w:sz w:val="24"/>
          <w:szCs w:val="24"/>
          <w:lang w:val="pt-BR" w:eastAsia="pt-BR"/>
        </w:rPr>
        <w:t>1</w:t>
      </w:r>
      <w:r w:rsidR="00715075">
        <w:rPr>
          <w:rFonts w:ascii="Times New Roman" w:eastAsia="Times New Roman" w:hAnsi="Times New Roman" w:cs="Times New Roman"/>
          <w:sz w:val="24"/>
          <w:szCs w:val="24"/>
          <w:lang w:val="pt-BR" w:eastAsia="pt-BR"/>
        </w:rPr>
        <w:t>2</w:t>
      </w:r>
      <w:r w:rsidRPr="00393569">
        <w:rPr>
          <w:rFonts w:ascii="Times New Roman" w:eastAsia="Times New Roman" w:hAnsi="Times New Roman" w:cs="Times New Roman"/>
          <w:sz w:val="24"/>
          <w:szCs w:val="24"/>
          <w:lang w:val="pt-BR" w:eastAsia="pt-BR"/>
        </w:rPr>
        <w:t xml:space="preserve"> mostram</w:t>
      </w:r>
      <w:r w:rsidRPr="00CA2760">
        <w:rPr>
          <w:rFonts w:ascii="Times New Roman" w:eastAsia="Times New Roman" w:hAnsi="Times New Roman" w:cs="Times New Roman"/>
          <w:sz w:val="24"/>
          <w:szCs w:val="24"/>
          <w:lang w:val="pt-BR" w:eastAsia="pt-BR"/>
        </w:rPr>
        <w:t xml:space="preserve"> </w:t>
      </w:r>
      <w:r w:rsidR="00393569">
        <w:rPr>
          <w:rFonts w:ascii="Times New Roman" w:eastAsia="Times New Roman" w:hAnsi="Times New Roman" w:cs="Times New Roman"/>
          <w:sz w:val="24"/>
          <w:szCs w:val="24"/>
          <w:lang w:val="pt-BR" w:eastAsia="pt-BR"/>
        </w:rPr>
        <w:t>a evolução d</w:t>
      </w:r>
      <w:r w:rsidRPr="00CA2760">
        <w:rPr>
          <w:rFonts w:ascii="Times New Roman" w:eastAsia="Times New Roman" w:hAnsi="Times New Roman" w:cs="Times New Roman"/>
          <w:sz w:val="24"/>
          <w:szCs w:val="24"/>
          <w:lang w:val="pt-BR" w:eastAsia="pt-BR"/>
        </w:rPr>
        <w:t xml:space="preserve">o TJLP, </w:t>
      </w:r>
      <w:r w:rsidR="00393569">
        <w:rPr>
          <w:rFonts w:ascii="Times New Roman" w:eastAsia="Times New Roman" w:hAnsi="Times New Roman" w:cs="Times New Roman"/>
          <w:sz w:val="24"/>
          <w:szCs w:val="24"/>
          <w:lang w:val="pt-BR" w:eastAsia="pt-BR"/>
        </w:rPr>
        <w:t>d</w:t>
      </w:r>
      <w:r w:rsidRPr="00CA2760">
        <w:rPr>
          <w:rFonts w:ascii="Times New Roman" w:eastAsia="Times New Roman" w:hAnsi="Times New Roman" w:cs="Times New Roman"/>
          <w:sz w:val="24"/>
          <w:szCs w:val="24"/>
          <w:lang w:val="pt-BR" w:eastAsia="pt-BR"/>
        </w:rPr>
        <w:t xml:space="preserve">o IPCA e </w:t>
      </w:r>
      <w:r w:rsidR="00393569">
        <w:rPr>
          <w:rFonts w:ascii="Times New Roman" w:eastAsia="Times New Roman" w:hAnsi="Times New Roman" w:cs="Times New Roman"/>
          <w:sz w:val="24"/>
          <w:szCs w:val="24"/>
          <w:lang w:val="pt-BR" w:eastAsia="pt-BR"/>
        </w:rPr>
        <w:t>d</w:t>
      </w:r>
      <w:r w:rsidRPr="00CA2760">
        <w:rPr>
          <w:rFonts w:ascii="Times New Roman" w:eastAsia="Times New Roman" w:hAnsi="Times New Roman" w:cs="Times New Roman"/>
          <w:sz w:val="24"/>
          <w:szCs w:val="24"/>
          <w:lang w:val="pt-BR" w:eastAsia="pt-BR"/>
        </w:rPr>
        <w:t xml:space="preserve">a taxa </w:t>
      </w:r>
      <w:r w:rsidR="00306AEC">
        <w:rPr>
          <w:rFonts w:ascii="Times New Roman" w:eastAsia="Times New Roman" w:hAnsi="Times New Roman" w:cs="Times New Roman"/>
          <w:sz w:val="24"/>
          <w:szCs w:val="24"/>
          <w:lang w:val="pt-BR" w:eastAsia="pt-BR"/>
        </w:rPr>
        <w:t xml:space="preserve">real da </w:t>
      </w:r>
      <w:r w:rsidRPr="00CA2760">
        <w:rPr>
          <w:rFonts w:ascii="Times New Roman" w:eastAsia="Times New Roman" w:hAnsi="Times New Roman" w:cs="Times New Roman"/>
          <w:sz w:val="24"/>
          <w:szCs w:val="24"/>
          <w:lang w:val="pt-BR" w:eastAsia="pt-BR"/>
        </w:rPr>
        <w:t>TJLP (TJLP – IPCA). A TJLP real foi negativa algumas vezes durante o período 2007/2017</w:t>
      </w:r>
      <w:r w:rsidRPr="00A47D27">
        <w:rPr>
          <w:rFonts w:ascii="Times New Roman" w:eastAsia="Times New Roman" w:hAnsi="Times New Roman" w:cs="Times New Roman"/>
          <w:sz w:val="24"/>
          <w:szCs w:val="24"/>
          <w:lang w:val="pt-BR" w:eastAsia="pt-BR"/>
        </w:rPr>
        <w:t xml:space="preserve">. No entanto, com os </w:t>
      </w:r>
      <w:r w:rsidRPr="00A47D27">
        <w:rPr>
          <w:rFonts w:ascii="Times New Roman" w:eastAsia="Times New Roman" w:hAnsi="Times New Roman" w:cs="Times New Roman"/>
          <w:i/>
          <w:sz w:val="24"/>
          <w:szCs w:val="24"/>
          <w:lang w:val="pt-BR" w:eastAsia="pt-BR"/>
        </w:rPr>
        <w:t>spreads</w:t>
      </w:r>
      <w:r w:rsidRPr="00A47D27">
        <w:rPr>
          <w:rFonts w:ascii="Times New Roman" w:eastAsia="Times New Roman" w:hAnsi="Times New Roman" w:cs="Times New Roman"/>
          <w:sz w:val="24"/>
          <w:szCs w:val="24"/>
          <w:lang w:val="pt-BR" w:eastAsia="pt-BR"/>
        </w:rPr>
        <w:t xml:space="preserve"> </w:t>
      </w:r>
      <w:r w:rsidR="00EE1398">
        <w:rPr>
          <w:rFonts w:ascii="Times New Roman" w:eastAsia="Times New Roman" w:hAnsi="Times New Roman" w:cs="Times New Roman"/>
          <w:sz w:val="24"/>
          <w:szCs w:val="24"/>
          <w:lang w:val="pt-BR" w:eastAsia="pt-BR"/>
        </w:rPr>
        <w:t xml:space="preserve">dos empréstimos do FDU </w:t>
      </w:r>
      <w:r w:rsidRPr="00A47D27">
        <w:rPr>
          <w:rFonts w:ascii="Times New Roman" w:eastAsia="Times New Roman" w:hAnsi="Times New Roman" w:cs="Times New Roman"/>
          <w:sz w:val="24"/>
          <w:szCs w:val="24"/>
          <w:lang w:val="pt-BR" w:eastAsia="pt-BR"/>
        </w:rPr>
        <w:t xml:space="preserve">apresentados </w:t>
      </w:r>
      <w:r w:rsidRPr="00EB209E">
        <w:rPr>
          <w:rFonts w:ascii="Times New Roman" w:eastAsia="Times New Roman" w:hAnsi="Times New Roman" w:cs="Times New Roman"/>
          <w:sz w:val="24"/>
          <w:szCs w:val="24"/>
          <w:lang w:val="pt-BR" w:eastAsia="pt-BR"/>
        </w:rPr>
        <w:t xml:space="preserve">na tabela </w:t>
      </w:r>
      <w:r w:rsidR="00C57CE9" w:rsidRPr="00EB209E">
        <w:rPr>
          <w:rFonts w:ascii="Times New Roman" w:eastAsia="Times New Roman" w:hAnsi="Times New Roman" w:cs="Times New Roman"/>
          <w:sz w:val="24"/>
          <w:szCs w:val="24"/>
          <w:lang w:val="pt-BR" w:eastAsia="pt-BR"/>
        </w:rPr>
        <w:t>12</w:t>
      </w:r>
      <w:r w:rsidRPr="00A47D27">
        <w:rPr>
          <w:rFonts w:ascii="Times New Roman" w:eastAsia="Times New Roman" w:hAnsi="Times New Roman" w:cs="Times New Roman"/>
          <w:sz w:val="24"/>
          <w:szCs w:val="24"/>
          <w:lang w:val="pt-BR" w:eastAsia="pt-BR"/>
        </w:rPr>
        <w:t>, as taxas de juro reais cobradas pelo SFM (TJLP + spread – IPCA) foram sempre positivas</w:t>
      </w:r>
      <w:r w:rsidR="00306AEC">
        <w:rPr>
          <w:rFonts w:ascii="Times New Roman" w:eastAsia="Times New Roman" w:hAnsi="Times New Roman" w:cs="Times New Roman"/>
          <w:sz w:val="24"/>
          <w:szCs w:val="24"/>
          <w:lang w:val="pt-BR" w:eastAsia="pt-BR"/>
        </w:rPr>
        <w:t xml:space="preserve"> durante este período</w:t>
      </w:r>
      <w:r w:rsidRPr="00A47D27">
        <w:rPr>
          <w:rFonts w:ascii="Times New Roman" w:eastAsia="Times New Roman" w:hAnsi="Times New Roman" w:cs="Times New Roman"/>
          <w:sz w:val="24"/>
          <w:szCs w:val="24"/>
          <w:lang w:val="pt-BR" w:eastAsia="pt-BR"/>
        </w:rPr>
        <w:t xml:space="preserve">. </w:t>
      </w:r>
      <w:r w:rsidR="00E271DD" w:rsidRPr="00150880">
        <w:rPr>
          <w:rFonts w:ascii="Times New Roman" w:eastAsia="Times New Roman" w:hAnsi="Times New Roman" w:cs="Times New Roman"/>
          <w:sz w:val="24"/>
          <w:szCs w:val="24"/>
          <w:lang w:val="pt-BR" w:eastAsia="pt-BR"/>
        </w:rPr>
        <w:t>Por exemplo, em 2015, a taxa de juros real da TJLP era negativa (-3,21%), mas com o spread de 5,5%</w:t>
      </w:r>
      <w:r w:rsidR="003B7A5D" w:rsidRPr="00150880">
        <w:rPr>
          <w:rFonts w:ascii="Times New Roman" w:eastAsia="Times New Roman" w:hAnsi="Times New Roman" w:cs="Times New Roman"/>
          <w:sz w:val="24"/>
          <w:szCs w:val="24"/>
          <w:lang w:val="pt-BR" w:eastAsia="pt-BR"/>
        </w:rPr>
        <w:t xml:space="preserve"> do FDU</w:t>
      </w:r>
      <w:r w:rsidR="00E271DD" w:rsidRPr="00150880">
        <w:rPr>
          <w:rFonts w:ascii="Times New Roman" w:eastAsia="Times New Roman" w:hAnsi="Times New Roman" w:cs="Times New Roman"/>
          <w:sz w:val="24"/>
          <w:szCs w:val="24"/>
          <w:lang w:val="pt-BR" w:eastAsia="pt-BR"/>
        </w:rPr>
        <w:t xml:space="preserve">, sua taxa real de juros </w:t>
      </w:r>
      <w:r w:rsidR="00EB209E" w:rsidRPr="00150880">
        <w:rPr>
          <w:rFonts w:ascii="Times New Roman" w:eastAsia="Times New Roman" w:hAnsi="Times New Roman" w:cs="Times New Roman"/>
          <w:sz w:val="24"/>
          <w:szCs w:val="24"/>
          <w:lang w:val="pt-BR" w:eastAsia="pt-BR"/>
        </w:rPr>
        <w:t>fico</w:t>
      </w:r>
      <w:r w:rsidR="00150880" w:rsidRPr="00150880">
        <w:rPr>
          <w:rFonts w:ascii="Times New Roman" w:eastAsia="Times New Roman" w:hAnsi="Times New Roman" w:cs="Times New Roman"/>
          <w:sz w:val="24"/>
          <w:szCs w:val="24"/>
          <w:lang w:val="pt-BR" w:eastAsia="pt-BR"/>
        </w:rPr>
        <w:t>u em</w:t>
      </w:r>
      <w:r w:rsidR="00E271DD" w:rsidRPr="00150880">
        <w:rPr>
          <w:rFonts w:ascii="Times New Roman" w:eastAsia="Times New Roman" w:hAnsi="Times New Roman" w:cs="Times New Roman"/>
          <w:sz w:val="24"/>
          <w:szCs w:val="24"/>
          <w:lang w:val="pt-BR" w:eastAsia="pt-BR"/>
        </w:rPr>
        <w:t xml:space="preserve"> 2,29%.  </w:t>
      </w:r>
      <w:r w:rsidRPr="00150880">
        <w:rPr>
          <w:rFonts w:ascii="Times New Roman" w:eastAsia="Times New Roman" w:hAnsi="Times New Roman" w:cs="Times New Roman"/>
          <w:sz w:val="24"/>
          <w:szCs w:val="24"/>
          <w:lang w:val="pt-BR" w:eastAsia="pt-BR"/>
        </w:rPr>
        <w:t>Como o</w:t>
      </w:r>
      <w:r w:rsidRPr="00CA2760">
        <w:rPr>
          <w:rFonts w:ascii="Times New Roman" w:eastAsia="Times New Roman" w:hAnsi="Times New Roman" w:cs="Times New Roman"/>
          <w:sz w:val="24"/>
          <w:szCs w:val="24"/>
          <w:lang w:val="pt-BR" w:eastAsia="pt-BR"/>
        </w:rPr>
        <w:t xml:space="preserve"> TJLP é o limite superior para</w:t>
      </w:r>
      <w:r w:rsidR="00E271DD">
        <w:rPr>
          <w:rFonts w:ascii="Times New Roman" w:eastAsia="Times New Roman" w:hAnsi="Times New Roman" w:cs="Times New Roman"/>
          <w:sz w:val="24"/>
          <w:szCs w:val="24"/>
          <w:lang w:val="pt-BR" w:eastAsia="pt-BR"/>
        </w:rPr>
        <w:t xml:space="preserve"> o cálculo </w:t>
      </w:r>
      <w:r w:rsidR="003B7A5D">
        <w:rPr>
          <w:rFonts w:ascii="Times New Roman" w:eastAsia="Times New Roman" w:hAnsi="Times New Roman" w:cs="Times New Roman"/>
          <w:sz w:val="24"/>
          <w:szCs w:val="24"/>
          <w:lang w:val="pt-BR" w:eastAsia="pt-BR"/>
        </w:rPr>
        <w:t>do</w:t>
      </w:r>
      <w:r w:rsidR="003B7A5D" w:rsidRPr="00CA2760">
        <w:rPr>
          <w:rFonts w:ascii="Times New Roman" w:eastAsia="Times New Roman" w:hAnsi="Times New Roman" w:cs="Times New Roman"/>
          <w:sz w:val="24"/>
          <w:szCs w:val="24"/>
          <w:lang w:val="pt-BR" w:eastAsia="pt-BR"/>
        </w:rPr>
        <w:t xml:space="preserve"> </w:t>
      </w:r>
      <w:r w:rsidRPr="00CA2760">
        <w:rPr>
          <w:rFonts w:ascii="Times New Roman" w:eastAsia="Times New Roman" w:hAnsi="Times New Roman" w:cs="Times New Roman"/>
          <w:sz w:val="24"/>
          <w:szCs w:val="24"/>
          <w:lang w:val="pt-BR" w:eastAsia="pt-BR"/>
        </w:rPr>
        <w:t xml:space="preserve">JCP, um TJLP real negativo faria com que a capitalização de JCP fosse menor do que a inflação.  </w:t>
      </w:r>
      <w:r w:rsidRPr="00CA2760">
        <w:rPr>
          <w:rFonts w:ascii="Times New Roman" w:hAnsi="Times New Roman" w:cs="Times New Roman"/>
          <w:sz w:val="24"/>
          <w:szCs w:val="24"/>
          <w:lang w:val="pt-BR"/>
        </w:rPr>
        <w:t>Usaremos as médias e desvios padrão das taxas de juros reais na definição dos cenários para as simulações financeiras.</w:t>
      </w:r>
    </w:p>
    <w:p w14:paraId="7E8EBDC8" w14:textId="77777777" w:rsidR="001146D6" w:rsidRDefault="001146D6">
      <w:pPr>
        <w:rPr>
          <w:rFonts w:ascii="Times New Roman" w:hAnsi="Times New Roman" w:cs="Times New Roman"/>
          <w:sz w:val="24"/>
          <w:szCs w:val="24"/>
          <w:lang w:val="pt-BR"/>
        </w:rPr>
      </w:pPr>
      <w:r>
        <w:rPr>
          <w:rFonts w:ascii="Times New Roman" w:hAnsi="Times New Roman" w:cs="Times New Roman"/>
          <w:sz w:val="24"/>
          <w:szCs w:val="24"/>
          <w:lang w:val="pt-BR"/>
        </w:rPr>
        <w:br w:type="page"/>
      </w:r>
    </w:p>
    <w:p w14:paraId="415D664F" w14:textId="77777777" w:rsidR="00C46123" w:rsidRPr="00CA2760" w:rsidRDefault="00C46123" w:rsidP="00306AEC">
      <w:pPr>
        <w:tabs>
          <w:tab w:val="left" w:pos="7938"/>
        </w:tabs>
        <w:spacing w:line="360" w:lineRule="auto"/>
        <w:rPr>
          <w:rFonts w:ascii="Times New Roman" w:eastAsia="Times New Roman" w:hAnsi="Times New Roman" w:cs="Times New Roman"/>
          <w:sz w:val="24"/>
          <w:szCs w:val="24"/>
          <w:lang w:val="pt-BR"/>
        </w:rPr>
      </w:pPr>
    </w:p>
    <w:tbl>
      <w:tblPr>
        <w:tblStyle w:val="TableGrid"/>
        <w:tblW w:w="0" w:type="auto"/>
        <w:tblLook w:val="04A0" w:firstRow="1" w:lastRow="0" w:firstColumn="1" w:lastColumn="0" w:noHBand="0" w:noVBand="1"/>
      </w:tblPr>
      <w:tblGrid>
        <w:gridCol w:w="9350"/>
      </w:tblGrid>
      <w:tr w:rsidR="00C46123" w:rsidRPr="00615EB6" w14:paraId="37BC0CD6" w14:textId="77777777" w:rsidTr="00B87A9B">
        <w:tc>
          <w:tcPr>
            <w:tcW w:w="9350" w:type="dxa"/>
          </w:tcPr>
          <w:p w14:paraId="0799F0EB" w14:textId="79008019" w:rsidR="00C46123" w:rsidRPr="00CA2760" w:rsidRDefault="00C46123" w:rsidP="00306AEC">
            <w:pPr>
              <w:tabs>
                <w:tab w:val="left" w:pos="7938"/>
              </w:tabs>
              <w:spacing w:before="100" w:beforeAutospacing="1" w:after="100" w:afterAutospacing="1"/>
              <w:jc w:val="center"/>
              <w:outlineLvl w:val="1"/>
              <w:rPr>
                <w:rFonts w:ascii="Times New Roman" w:eastAsia="Times New Roman" w:hAnsi="Times New Roman" w:cs="Times New Roman"/>
                <w:sz w:val="24"/>
                <w:szCs w:val="24"/>
                <w:lang w:val="pt-BR"/>
              </w:rPr>
            </w:pPr>
            <w:r w:rsidRPr="00CA2760">
              <w:rPr>
                <w:rFonts w:ascii="Times New Roman" w:eastAsia="Times New Roman" w:hAnsi="Times New Roman" w:cs="Times New Roman"/>
                <w:b/>
                <w:bCs/>
                <w:sz w:val="24"/>
                <w:szCs w:val="24"/>
                <w:lang w:val="pt-BR"/>
              </w:rPr>
              <w:t xml:space="preserve">Quadro </w:t>
            </w:r>
            <w:r w:rsidR="00715075">
              <w:rPr>
                <w:rFonts w:ascii="Times New Roman" w:eastAsia="Times New Roman" w:hAnsi="Times New Roman" w:cs="Times New Roman"/>
                <w:b/>
                <w:bCs/>
                <w:sz w:val="24"/>
                <w:szCs w:val="24"/>
                <w:lang w:val="pt-BR"/>
              </w:rPr>
              <w:t>2</w:t>
            </w:r>
            <w:r w:rsidRPr="00CA2760">
              <w:rPr>
                <w:rFonts w:ascii="Times New Roman" w:eastAsia="Times New Roman" w:hAnsi="Times New Roman" w:cs="Times New Roman"/>
                <w:b/>
                <w:bCs/>
                <w:sz w:val="24"/>
                <w:szCs w:val="24"/>
                <w:lang w:val="pt-BR"/>
              </w:rPr>
              <w:t>. O que é TJLP?</w:t>
            </w:r>
          </w:p>
        </w:tc>
      </w:tr>
      <w:tr w:rsidR="00C46123" w:rsidRPr="00615EB6" w14:paraId="2FCF7CB3" w14:textId="77777777" w:rsidTr="00B87A9B">
        <w:tc>
          <w:tcPr>
            <w:tcW w:w="9350" w:type="dxa"/>
          </w:tcPr>
          <w:p w14:paraId="444540B0" w14:textId="6D9A1B26" w:rsidR="00C46123" w:rsidRPr="00CA2760" w:rsidRDefault="00C46123" w:rsidP="00306AEC">
            <w:pPr>
              <w:tabs>
                <w:tab w:val="left" w:pos="7938"/>
              </w:tabs>
              <w:spacing w:before="100" w:beforeAutospacing="1" w:after="100" w:afterAutospacing="1"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A TJLP é calculada com base em dois parâmetros: uma meta de inflação calculada pro rata para os doze meses seguintes ao primeiro mês de vigência da taxa, inclusive, baseada nas metas anuais fixadas pelo</w:t>
            </w:r>
            <w:r w:rsidR="00C5501D">
              <w:rPr>
                <w:rFonts w:ascii="Times New Roman" w:eastAsia="Times New Roman" w:hAnsi="Times New Roman" w:cs="Times New Roman"/>
                <w:sz w:val="24"/>
                <w:szCs w:val="24"/>
                <w:lang w:val="pt-BR"/>
              </w:rPr>
              <w:t xml:space="preserve"> </w:t>
            </w:r>
            <w:r w:rsidR="00D027D8">
              <w:rPr>
                <w:rFonts w:ascii="Times New Roman" w:eastAsia="Times New Roman" w:hAnsi="Times New Roman" w:cs="Times New Roman"/>
                <w:sz w:val="24"/>
                <w:szCs w:val="24"/>
                <w:lang w:val="pt-BR"/>
              </w:rPr>
              <w:t>CMN</w:t>
            </w:r>
            <w:r w:rsidRPr="00CA2760">
              <w:rPr>
                <w:rFonts w:ascii="Times New Roman" w:eastAsia="Times New Roman" w:hAnsi="Times New Roman" w:cs="Times New Roman"/>
                <w:sz w:val="24"/>
                <w:szCs w:val="24"/>
                <w:lang w:val="pt-BR"/>
              </w:rPr>
              <w:t xml:space="preserve">; e um prêmio de risco. A TJLP é divulgada trimestralmente pelo Banco Central do Brasil até o último dia útil do trimestre imediatamente anterior ao de sua vigência para as posições de 1º de janeiro, 1º de abril, 1º de julho e 1º de outubro, sendo expressa em percentual ao ano. </w:t>
            </w:r>
          </w:p>
        </w:tc>
      </w:tr>
    </w:tbl>
    <w:p w14:paraId="45EFB3EC" w14:textId="77777777" w:rsidR="00C46123" w:rsidRPr="00CA2760" w:rsidRDefault="00C46123" w:rsidP="00306AEC">
      <w:pPr>
        <w:tabs>
          <w:tab w:val="left" w:pos="7938"/>
        </w:tabs>
        <w:spacing w:line="240" w:lineRule="auto"/>
        <w:rPr>
          <w:rFonts w:ascii="Times New Roman" w:hAnsi="Times New Roman" w:cs="Times New Roman"/>
          <w:sz w:val="18"/>
          <w:szCs w:val="18"/>
          <w:lang w:val="pt-BR"/>
        </w:rPr>
      </w:pPr>
      <w:r w:rsidRPr="00CA2760">
        <w:rPr>
          <w:rFonts w:ascii="Times New Roman" w:eastAsia="Times New Roman" w:hAnsi="Times New Roman" w:cs="Times New Roman"/>
          <w:lang w:val="pt-BR"/>
        </w:rPr>
        <w:t>Fonte:  FINEP:</w:t>
      </w:r>
      <w:r w:rsidRPr="00CA2760">
        <w:rPr>
          <w:rFonts w:ascii="Times New Roman" w:eastAsia="Times New Roman" w:hAnsi="Times New Roman" w:cs="Times New Roman"/>
          <w:sz w:val="24"/>
          <w:szCs w:val="24"/>
          <w:lang w:val="pt-BR"/>
        </w:rPr>
        <w:t xml:space="preserve"> </w:t>
      </w:r>
      <w:hyperlink r:id="rId21" w:history="1">
        <w:r w:rsidRPr="00CA2760">
          <w:rPr>
            <w:rStyle w:val="Hyperlink"/>
            <w:rFonts w:ascii="Times New Roman" w:eastAsia="Times New Roman" w:hAnsi="Times New Roman" w:cs="Times New Roman"/>
            <w:sz w:val="18"/>
            <w:szCs w:val="18"/>
            <w:lang w:val="pt-BR"/>
          </w:rPr>
          <w:t>http://www.finep.gov.br/perguntas-frequentes-questoes/perguntas-financiamentos/106-o-que-e-tjlp</w:t>
        </w:r>
      </w:hyperlink>
    </w:p>
    <w:p w14:paraId="17D636DC" w14:textId="77777777" w:rsidR="00C46123" w:rsidRPr="00CA2760" w:rsidRDefault="00C46123" w:rsidP="00C46123">
      <w:pPr>
        <w:rPr>
          <w:rFonts w:ascii="Times New Roman" w:eastAsia="Times New Roman" w:hAnsi="Times New Roman" w:cs="Times New Roman"/>
          <w:sz w:val="24"/>
          <w:szCs w:val="24"/>
          <w:lang w:val="pt-BR"/>
        </w:rPr>
      </w:pPr>
    </w:p>
    <w:p w14:paraId="10034C66" w14:textId="2F8F7996" w:rsidR="00C46123" w:rsidRPr="00A426E1" w:rsidRDefault="00C46123" w:rsidP="00C46123">
      <w:pPr>
        <w:pStyle w:val="Paragraph"/>
        <w:spacing w:after="0"/>
        <w:rPr>
          <w:szCs w:val="24"/>
          <w:lang w:val="pt-BR"/>
        </w:rPr>
      </w:pPr>
      <w:r w:rsidRPr="00E8250D">
        <w:rPr>
          <w:szCs w:val="24"/>
          <w:lang w:val="pt-BR"/>
        </w:rPr>
        <w:t xml:space="preserve">Tabela </w:t>
      </w:r>
      <w:r w:rsidR="00716232" w:rsidRPr="00E8250D">
        <w:rPr>
          <w:szCs w:val="24"/>
          <w:lang w:val="pt-BR"/>
        </w:rPr>
        <w:t>1</w:t>
      </w:r>
      <w:r w:rsidR="00D8289B">
        <w:rPr>
          <w:szCs w:val="24"/>
          <w:lang w:val="pt-BR"/>
        </w:rPr>
        <w:t>2</w:t>
      </w:r>
      <w:r w:rsidRPr="00E8250D">
        <w:rPr>
          <w:szCs w:val="24"/>
          <w:lang w:val="pt-BR"/>
        </w:rPr>
        <w:t xml:space="preserve">.  </w:t>
      </w:r>
      <w:r w:rsidRPr="00A426E1">
        <w:rPr>
          <w:szCs w:val="24"/>
          <w:lang w:val="pt-BR"/>
        </w:rPr>
        <w:t>FDU: Taxa Real de Juros, TJLP e IPCA: 2007/ 2017</w:t>
      </w:r>
    </w:p>
    <w:tbl>
      <w:tblPr>
        <w:tblStyle w:val="TableGrid"/>
        <w:tblW w:w="9803" w:type="dxa"/>
        <w:tblLook w:val="04A0" w:firstRow="1" w:lastRow="0" w:firstColumn="1" w:lastColumn="0" w:noHBand="0" w:noVBand="1"/>
      </w:tblPr>
      <w:tblGrid>
        <w:gridCol w:w="1555"/>
        <w:gridCol w:w="895"/>
        <w:gridCol w:w="958"/>
        <w:gridCol w:w="895"/>
        <w:gridCol w:w="895"/>
        <w:gridCol w:w="1034"/>
        <w:gridCol w:w="1319"/>
        <w:gridCol w:w="1251"/>
        <w:gridCol w:w="1001"/>
      </w:tblGrid>
      <w:tr w:rsidR="00C46123" w:rsidRPr="00CA2760" w14:paraId="0D043077" w14:textId="77777777" w:rsidTr="00B87A9B">
        <w:trPr>
          <w:trHeight w:val="480"/>
        </w:trPr>
        <w:tc>
          <w:tcPr>
            <w:tcW w:w="1555" w:type="dxa"/>
            <w:vMerge w:val="restart"/>
            <w:vAlign w:val="center"/>
            <w:hideMark/>
          </w:tcPr>
          <w:p w14:paraId="69969A8D" w14:textId="77777777" w:rsidR="00C46123" w:rsidRPr="007451C3" w:rsidRDefault="00C46123" w:rsidP="00B87A9B">
            <w:pPr>
              <w:jc w:val="center"/>
              <w:rPr>
                <w:rFonts w:ascii="Arial" w:eastAsia="Times New Roman" w:hAnsi="Arial" w:cs="Arial"/>
                <w:bCs/>
                <w:sz w:val="20"/>
                <w:szCs w:val="20"/>
                <w:lang w:val="pt-BR"/>
              </w:rPr>
            </w:pPr>
            <w:r w:rsidRPr="007451C3">
              <w:rPr>
                <w:rFonts w:ascii="Arial" w:eastAsia="Times New Roman" w:hAnsi="Arial" w:cs="Arial"/>
                <w:bCs/>
                <w:sz w:val="20"/>
                <w:szCs w:val="20"/>
                <w:lang w:val="pt-BR"/>
              </w:rPr>
              <w:t>Ano</w:t>
            </w:r>
          </w:p>
        </w:tc>
        <w:tc>
          <w:tcPr>
            <w:tcW w:w="4677" w:type="dxa"/>
            <w:gridSpan w:val="5"/>
            <w:hideMark/>
          </w:tcPr>
          <w:p w14:paraId="51B40796" w14:textId="77777777" w:rsidR="00C46123" w:rsidRPr="00A426E1" w:rsidRDefault="00C46123" w:rsidP="00B87A9B">
            <w:pPr>
              <w:rPr>
                <w:rFonts w:ascii="Arial" w:eastAsia="Times New Roman" w:hAnsi="Arial" w:cs="Arial"/>
                <w:sz w:val="20"/>
                <w:szCs w:val="20"/>
                <w:lang w:val="pt-BR"/>
              </w:rPr>
            </w:pPr>
            <w:r w:rsidRPr="00A426E1">
              <w:rPr>
                <w:rFonts w:ascii="Arial" w:eastAsia="Times New Roman" w:hAnsi="Arial" w:cs="Arial"/>
                <w:sz w:val="20"/>
                <w:szCs w:val="20"/>
                <w:lang w:val="pt-BR"/>
              </w:rPr>
              <w:t>Taxa Real de Juros = TJLP + margens- IPCA (% a.a.)</w:t>
            </w:r>
          </w:p>
        </w:tc>
        <w:tc>
          <w:tcPr>
            <w:tcW w:w="1319" w:type="dxa"/>
            <w:vMerge w:val="restart"/>
            <w:vAlign w:val="center"/>
            <w:hideMark/>
          </w:tcPr>
          <w:p w14:paraId="0293E2B5" w14:textId="0D2C5621" w:rsidR="00C46123" w:rsidRPr="00A426E1" w:rsidRDefault="009F1CDE" w:rsidP="00B87A9B">
            <w:pPr>
              <w:jc w:val="right"/>
              <w:rPr>
                <w:rFonts w:ascii="Arial" w:eastAsia="Times New Roman" w:hAnsi="Arial" w:cs="Arial"/>
                <w:sz w:val="20"/>
                <w:szCs w:val="20"/>
                <w:lang w:val="pt-BR"/>
              </w:rPr>
            </w:pPr>
            <w:r>
              <w:rPr>
                <w:rFonts w:ascii="Arial" w:eastAsia="Times New Roman" w:hAnsi="Arial" w:cs="Arial"/>
                <w:sz w:val="20"/>
                <w:szCs w:val="20"/>
                <w:lang w:val="pt-BR"/>
              </w:rPr>
              <w:t>T</w:t>
            </w:r>
            <w:r w:rsidR="00306AEC">
              <w:rPr>
                <w:rFonts w:ascii="Arial" w:eastAsia="Times New Roman" w:hAnsi="Arial" w:cs="Arial"/>
                <w:sz w:val="20"/>
                <w:szCs w:val="20"/>
                <w:lang w:val="pt-BR"/>
              </w:rPr>
              <w:t>ax</w:t>
            </w:r>
            <w:r>
              <w:rPr>
                <w:rFonts w:ascii="Arial" w:eastAsia="Times New Roman" w:hAnsi="Arial" w:cs="Arial"/>
                <w:sz w:val="20"/>
                <w:szCs w:val="20"/>
                <w:lang w:val="pt-BR"/>
              </w:rPr>
              <w:t xml:space="preserve">a real da </w:t>
            </w:r>
            <w:r w:rsidR="00C46123" w:rsidRPr="00A426E1">
              <w:rPr>
                <w:rFonts w:ascii="Arial" w:eastAsia="Times New Roman" w:hAnsi="Arial" w:cs="Arial"/>
                <w:sz w:val="20"/>
                <w:szCs w:val="20"/>
                <w:lang w:val="pt-BR"/>
              </w:rPr>
              <w:t>TJLP</w:t>
            </w:r>
            <w:r>
              <w:rPr>
                <w:rFonts w:ascii="Arial" w:eastAsia="Times New Roman" w:hAnsi="Arial" w:cs="Arial"/>
                <w:sz w:val="20"/>
                <w:szCs w:val="20"/>
                <w:lang w:val="pt-BR"/>
              </w:rPr>
              <w:t xml:space="preserve"> = TJLP</w:t>
            </w:r>
            <w:r w:rsidR="00C46123" w:rsidRPr="00A426E1">
              <w:rPr>
                <w:rFonts w:ascii="Arial" w:eastAsia="Times New Roman" w:hAnsi="Arial" w:cs="Arial"/>
                <w:sz w:val="20"/>
                <w:szCs w:val="20"/>
                <w:lang w:val="pt-BR"/>
              </w:rPr>
              <w:t xml:space="preserve"> – IPCA (% a.m. anualizada) </w:t>
            </w:r>
          </w:p>
        </w:tc>
        <w:tc>
          <w:tcPr>
            <w:tcW w:w="1251" w:type="dxa"/>
            <w:vMerge w:val="restart"/>
            <w:vAlign w:val="center"/>
            <w:hideMark/>
          </w:tcPr>
          <w:p w14:paraId="7E6CEBBA" w14:textId="04A5B86E" w:rsidR="00C46123" w:rsidRPr="00A426E1" w:rsidRDefault="009F1CDE" w:rsidP="00B87A9B">
            <w:pPr>
              <w:jc w:val="right"/>
              <w:rPr>
                <w:rFonts w:ascii="Arial" w:eastAsia="Times New Roman" w:hAnsi="Arial" w:cs="Arial"/>
                <w:sz w:val="20"/>
                <w:szCs w:val="20"/>
                <w:lang w:val="pt-BR"/>
              </w:rPr>
            </w:pPr>
            <w:r>
              <w:rPr>
                <w:rFonts w:ascii="Arial" w:eastAsia="Times New Roman" w:hAnsi="Arial" w:cs="Arial"/>
                <w:sz w:val="20"/>
                <w:szCs w:val="20"/>
                <w:lang w:val="pt-BR"/>
              </w:rPr>
              <w:t xml:space="preserve">Taxa nominal da </w:t>
            </w:r>
            <w:r w:rsidR="00C46123" w:rsidRPr="00A426E1">
              <w:rPr>
                <w:rFonts w:ascii="Arial" w:eastAsia="Times New Roman" w:hAnsi="Arial" w:cs="Arial"/>
                <w:sz w:val="20"/>
                <w:szCs w:val="20"/>
                <w:lang w:val="pt-BR"/>
              </w:rPr>
              <w:t xml:space="preserve">TJLP (% a.m. anualizada) </w:t>
            </w:r>
          </w:p>
        </w:tc>
        <w:tc>
          <w:tcPr>
            <w:tcW w:w="1001" w:type="dxa"/>
            <w:vMerge w:val="restart"/>
            <w:noWrap/>
            <w:vAlign w:val="center"/>
            <w:hideMark/>
          </w:tcPr>
          <w:p w14:paraId="339C44B2" w14:textId="77777777" w:rsidR="00C46123" w:rsidRPr="00CA2760" w:rsidRDefault="00C46123" w:rsidP="00B87A9B">
            <w:pPr>
              <w:jc w:val="right"/>
              <w:rPr>
                <w:rFonts w:ascii="Arial" w:eastAsia="Times New Roman" w:hAnsi="Arial" w:cs="Arial"/>
                <w:sz w:val="20"/>
                <w:szCs w:val="20"/>
                <w:lang w:val="pt-BR"/>
              </w:rPr>
            </w:pPr>
            <w:r w:rsidRPr="00A426E1">
              <w:rPr>
                <w:rFonts w:ascii="Arial" w:eastAsia="Times New Roman" w:hAnsi="Arial" w:cs="Arial"/>
                <w:color w:val="000000"/>
                <w:sz w:val="20"/>
                <w:szCs w:val="20"/>
                <w:lang w:val="pt-BR"/>
              </w:rPr>
              <w:t>Inflação:  IPCA  (% a. a.)</w:t>
            </w:r>
          </w:p>
        </w:tc>
      </w:tr>
      <w:tr w:rsidR="00C46123" w:rsidRPr="00CA2760" w14:paraId="3BCFF071" w14:textId="77777777" w:rsidTr="00B87A9B">
        <w:trPr>
          <w:trHeight w:val="255"/>
        </w:trPr>
        <w:tc>
          <w:tcPr>
            <w:tcW w:w="1555" w:type="dxa"/>
            <w:vMerge/>
            <w:hideMark/>
          </w:tcPr>
          <w:p w14:paraId="74C409DD" w14:textId="77777777" w:rsidR="00C46123" w:rsidRPr="00CA2760" w:rsidRDefault="00C46123" w:rsidP="00B87A9B">
            <w:pPr>
              <w:rPr>
                <w:rFonts w:ascii="Arial" w:eastAsia="Times New Roman" w:hAnsi="Arial" w:cs="Arial"/>
                <w:b/>
                <w:bCs/>
                <w:sz w:val="20"/>
                <w:szCs w:val="20"/>
                <w:lang w:val="pt-BR"/>
              </w:rPr>
            </w:pPr>
          </w:p>
        </w:tc>
        <w:tc>
          <w:tcPr>
            <w:tcW w:w="895" w:type="dxa"/>
            <w:vMerge w:val="restart"/>
            <w:hideMark/>
          </w:tcPr>
          <w:p w14:paraId="1FBB4BD0"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Média: Taxas Reais de Juros</w:t>
            </w:r>
          </w:p>
        </w:tc>
        <w:tc>
          <w:tcPr>
            <w:tcW w:w="3782" w:type="dxa"/>
            <w:gridSpan w:val="4"/>
            <w:noWrap/>
            <w:hideMark/>
          </w:tcPr>
          <w:p w14:paraId="6F582D05" w14:textId="77777777" w:rsidR="00C46123" w:rsidRPr="00CA2760" w:rsidRDefault="00C46123" w:rsidP="00B87A9B">
            <w:pPr>
              <w:rPr>
                <w:rFonts w:ascii="Arial" w:eastAsia="Times New Roman" w:hAnsi="Arial" w:cs="Arial"/>
                <w:sz w:val="20"/>
                <w:szCs w:val="20"/>
                <w:lang w:val="pt-BR"/>
              </w:rPr>
            </w:pPr>
            <w:r w:rsidRPr="00CA2760">
              <w:rPr>
                <w:rFonts w:ascii="Arial" w:eastAsia="Times New Roman" w:hAnsi="Arial" w:cs="Arial"/>
                <w:color w:val="000000"/>
                <w:sz w:val="20"/>
                <w:szCs w:val="20"/>
                <w:lang w:val="pt-BR"/>
              </w:rPr>
              <w:t>Margens</w:t>
            </w:r>
          </w:p>
        </w:tc>
        <w:tc>
          <w:tcPr>
            <w:tcW w:w="1319" w:type="dxa"/>
            <w:vMerge/>
            <w:hideMark/>
          </w:tcPr>
          <w:p w14:paraId="24C41D71" w14:textId="77777777" w:rsidR="00C46123" w:rsidRPr="00CA2760" w:rsidRDefault="00C46123" w:rsidP="00B87A9B">
            <w:pPr>
              <w:rPr>
                <w:rFonts w:ascii="Arial" w:eastAsia="Times New Roman" w:hAnsi="Arial" w:cs="Arial"/>
                <w:sz w:val="20"/>
                <w:szCs w:val="20"/>
                <w:lang w:val="pt-BR"/>
              </w:rPr>
            </w:pPr>
          </w:p>
        </w:tc>
        <w:tc>
          <w:tcPr>
            <w:tcW w:w="1251" w:type="dxa"/>
            <w:vMerge/>
            <w:hideMark/>
          </w:tcPr>
          <w:p w14:paraId="12AA3F03" w14:textId="77777777" w:rsidR="00C46123" w:rsidRPr="00CA2760" w:rsidRDefault="00C46123" w:rsidP="00B87A9B">
            <w:pPr>
              <w:rPr>
                <w:rFonts w:ascii="Arial" w:eastAsia="Times New Roman" w:hAnsi="Arial" w:cs="Arial"/>
                <w:sz w:val="20"/>
                <w:szCs w:val="20"/>
                <w:lang w:val="pt-BR"/>
              </w:rPr>
            </w:pPr>
          </w:p>
        </w:tc>
        <w:tc>
          <w:tcPr>
            <w:tcW w:w="1001" w:type="dxa"/>
            <w:vMerge/>
            <w:noWrap/>
            <w:hideMark/>
          </w:tcPr>
          <w:p w14:paraId="28400A18" w14:textId="77777777" w:rsidR="00C46123" w:rsidRPr="00CA2760" w:rsidRDefault="00C46123" w:rsidP="00B87A9B">
            <w:pPr>
              <w:jc w:val="center"/>
              <w:rPr>
                <w:rFonts w:ascii="Arial" w:eastAsia="Times New Roman" w:hAnsi="Arial" w:cs="Arial"/>
                <w:sz w:val="20"/>
                <w:szCs w:val="20"/>
                <w:lang w:val="pt-BR"/>
              </w:rPr>
            </w:pPr>
          </w:p>
        </w:tc>
      </w:tr>
      <w:tr w:rsidR="00C46123" w:rsidRPr="00CA2760" w14:paraId="7AA4F0A9" w14:textId="77777777" w:rsidTr="00B87A9B">
        <w:trPr>
          <w:trHeight w:val="532"/>
        </w:trPr>
        <w:tc>
          <w:tcPr>
            <w:tcW w:w="1555" w:type="dxa"/>
            <w:vMerge/>
            <w:hideMark/>
          </w:tcPr>
          <w:p w14:paraId="334801F5" w14:textId="77777777" w:rsidR="00C46123" w:rsidRPr="00CA2760" w:rsidRDefault="00C46123" w:rsidP="00B87A9B">
            <w:pPr>
              <w:rPr>
                <w:rFonts w:ascii="Arial" w:eastAsia="Times New Roman" w:hAnsi="Arial" w:cs="Arial"/>
                <w:b/>
                <w:bCs/>
                <w:sz w:val="20"/>
                <w:szCs w:val="20"/>
                <w:lang w:val="pt-BR"/>
              </w:rPr>
            </w:pPr>
          </w:p>
        </w:tc>
        <w:tc>
          <w:tcPr>
            <w:tcW w:w="895" w:type="dxa"/>
            <w:vMerge/>
            <w:hideMark/>
          </w:tcPr>
          <w:p w14:paraId="6C7FE4D9" w14:textId="77777777" w:rsidR="00C46123" w:rsidRPr="00CA2760" w:rsidRDefault="00C46123" w:rsidP="00B87A9B">
            <w:pPr>
              <w:rPr>
                <w:rFonts w:ascii="Arial" w:eastAsia="Times New Roman" w:hAnsi="Arial" w:cs="Arial"/>
                <w:sz w:val="20"/>
                <w:szCs w:val="20"/>
                <w:lang w:val="pt-BR"/>
              </w:rPr>
            </w:pPr>
          </w:p>
        </w:tc>
        <w:tc>
          <w:tcPr>
            <w:tcW w:w="958" w:type="dxa"/>
            <w:vAlign w:val="center"/>
            <w:hideMark/>
          </w:tcPr>
          <w:p w14:paraId="017B58AA"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sz w:val="20"/>
                <w:szCs w:val="20"/>
                <w:lang w:val="pt-BR"/>
              </w:rPr>
              <w:t>4,25%</w:t>
            </w:r>
          </w:p>
        </w:tc>
        <w:tc>
          <w:tcPr>
            <w:tcW w:w="895" w:type="dxa"/>
            <w:vAlign w:val="center"/>
            <w:hideMark/>
          </w:tcPr>
          <w:p w14:paraId="740520BC"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sz w:val="20"/>
                <w:szCs w:val="20"/>
                <w:lang w:val="pt-BR"/>
              </w:rPr>
              <w:t>5,50%</w:t>
            </w:r>
          </w:p>
        </w:tc>
        <w:tc>
          <w:tcPr>
            <w:tcW w:w="895" w:type="dxa"/>
            <w:vAlign w:val="center"/>
            <w:hideMark/>
          </w:tcPr>
          <w:p w14:paraId="03C5C83C"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sz w:val="20"/>
                <w:szCs w:val="20"/>
                <w:lang w:val="pt-BR"/>
              </w:rPr>
              <w:t>6,25%</w:t>
            </w:r>
          </w:p>
        </w:tc>
        <w:tc>
          <w:tcPr>
            <w:tcW w:w="1034" w:type="dxa"/>
            <w:vAlign w:val="center"/>
            <w:hideMark/>
          </w:tcPr>
          <w:p w14:paraId="559F4F15"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sz w:val="20"/>
                <w:szCs w:val="20"/>
                <w:lang w:val="pt-BR"/>
              </w:rPr>
              <w:t>6,50%</w:t>
            </w:r>
          </w:p>
        </w:tc>
        <w:tc>
          <w:tcPr>
            <w:tcW w:w="1319" w:type="dxa"/>
            <w:vMerge/>
            <w:hideMark/>
          </w:tcPr>
          <w:p w14:paraId="5BA9B5B0" w14:textId="77777777" w:rsidR="00C46123" w:rsidRPr="00CA2760" w:rsidRDefault="00C46123" w:rsidP="00B87A9B">
            <w:pPr>
              <w:rPr>
                <w:rFonts w:ascii="Arial" w:eastAsia="Times New Roman" w:hAnsi="Arial" w:cs="Arial"/>
                <w:sz w:val="20"/>
                <w:szCs w:val="20"/>
                <w:lang w:val="pt-BR"/>
              </w:rPr>
            </w:pPr>
          </w:p>
        </w:tc>
        <w:tc>
          <w:tcPr>
            <w:tcW w:w="1251" w:type="dxa"/>
            <w:vMerge/>
            <w:hideMark/>
          </w:tcPr>
          <w:p w14:paraId="18AC11B5" w14:textId="77777777" w:rsidR="00C46123" w:rsidRPr="00CA2760" w:rsidRDefault="00C46123" w:rsidP="00B87A9B">
            <w:pPr>
              <w:rPr>
                <w:rFonts w:ascii="Arial" w:eastAsia="Times New Roman" w:hAnsi="Arial" w:cs="Arial"/>
                <w:sz w:val="20"/>
                <w:szCs w:val="20"/>
                <w:lang w:val="pt-BR"/>
              </w:rPr>
            </w:pPr>
          </w:p>
        </w:tc>
        <w:tc>
          <w:tcPr>
            <w:tcW w:w="1001" w:type="dxa"/>
            <w:vMerge/>
            <w:hideMark/>
          </w:tcPr>
          <w:p w14:paraId="1C300E65" w14:textId="77777777" w:rsidR="00C46123" w:rsidRPr="00CA2760" w:rsidRDefault="00C46123" w:rsidP="00B87A9B">
            <w:pPr>
              <w:jc w:val="center"/>
              <w:rPr>
                <w:rFonts w:ascii="Arial" w:eastAsia="Times New Roman" w:hAnsi="Arial" w:cs="Arial"/>
                <w:color w:val="000000"/>
                <w:sz w:val="20"/>
                <w:szCs w:val="20"/>
                <w:lang w:val="pt-BR"/>
              </w:rPr>
            </w:pPr>
          </w:p>
        </w:tc>
      </w:tr>
      <w:tr w:rsidR="00C46123" w:rsidRPr="00CA2760" w14:paraId="148149D0" w14:textId="77777777" w:rsidTr="00B87A9B">
        <w:trPr>
          <w:trHeight w:val="264"/>
        </w:trPr>
        <w:tc>
          <w:tcPr>
            <w:tcW w:w="1555" w:type="dxa"/>
            <w:noWrap/>
            <w:hideMark/>
          </w:tcPr>
          <w:p w14:paraId="24B17789"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sz w:val="20"/>
                <w:szCs w:val="20"/>
                <w:lang w:val="pt-BR"/>
              </w:rPr>
              <w:t>2007</w:t>
            </w:r>
          </w:p>
        </w:tc>
        <w:tc>
          <w:tcPr>
            <w:tcW w:w="895" w:type="dxa"/>
            <w:noWrap/>
            <w:hideMark/>
          </w:tcPr>
          <w:p w14:paraId="47438B3A"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7,42%</w:t>
            </w:r>
          </w:p>
        </w:tc>
        <w:tc>
          <w:tcPr>
            <w:tcW w:w="958" w:type="dxa"/>
            <w:noWrap/>
            <w:hideMark/>
          </w:tcPr>
          <w:p w14:paraId="0540FC5A"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6,04%</w:t>
            </w:r>
          </w:p>
        </w:tc>
        <w:tc>
          <w:tcPr>
            <w:tcW w:w="895" w:type="dxa"/>
            <w:noWrap/>
            <w:hideMark/>
          </w:tcPr>
          <w:p w14:paraId="291DB8BA"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7,29%</w:t>
            </w:r>
          </w:p>
        </w:tc>
        <w:tc>
          <w:tcPr>
            <w:tcW w:w="895" w:type="dxa"/>
            <w:noWrap/>
            <w:hideMark/>
          </w:tcPr>
          <w:p w14:paraId="74447B9A"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8,04%</w:t>
            </w:r>
          </w:p>
        </w:tc>
        <w:tc>
          <w:tcPr>
            <w:tcW w:w="1034" w:type="dxa"/>
            <w:noWrap/>
            <w:hideMark/>
          </w:tcPr>
          <w:p w14:paraId="0246C074"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8,29%</w:t>
            </w:r>
          </w:p>
        </w:tc>
        <w:tc>
          <w:tcPr>
            <w:tcW w:w="1319" w:type="dxa"/>
            <w:noWrap/>
            <w:hideMark/>
          </w:tcPr>
          <w:p w14:paraId="6F51DF34"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1,79%</w:t>
            </w:r>
          </w:p>
        </w:tc>
        <w:tc>
          <w:tcPr>
            <w:tcW w:w="1251" w:type="dxa"/>
            <w:noWrap/>
            <w:hideMark/>
          </w:tcPr>
          <w:p w14:paraId="32ECCF85"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6,25%</w:t>
            </w:r>
          </w:p>
        </w:tc>
        <w:tc>
          <w:tcPr>
            <w:tcW w:w="1001" w:type="dxa"/>
            <w:noWrap/>
            <w:hideMark/>
          </w:tcPr>
          <w:p w14:paraId="41E1F503"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4,46%</w:t>
            </w:r>
          </w:p>
        </w:tc>
      </w:tr>
      <w:tr w:rsidR="00C46123" w:rsidRPr="00CA2760" w14:paraId="4808E68C" w14:textId="77777777" w:rsidTr="00B87A9B">
        <w:trPr>
          <w:trHeight w:val="264"/>
        </w:trPr>
        <w:tc>
          <w:tcPr>
            <w:tcW w:w="1555" w:type="dxa"/>
            <w:noWrap/>
            <w:hideMark/>
          </w:tcPr>
          <w:p w14:paraId="3EF95C3F"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sz w:val="20"/>
                <w:szCs w:val="20"/>
                <w:lang w:val="pt-BR"/>
              </w:rPr>
              <w:t>2008</w:t>
            </w:r>
          </w:p>
        </w:tc>
        <w:tc>
          <w:tcPr>
            <w:tcW w:w="895" w:type="dxa"/>
            <w:noWrap/>
            <w:hideMark/>
          </w:tcPr>
          <w:p w14:paraId="7F54B2C0"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5,87%</w:t>
            </w:r>
          </w:p>
        </w:tc>
        <w:tc>
          <w:tcPr>
            <w:tcW w:w="958" w:type="dxa"/>
            <w:noWrap/>
            <w:hideMark/>
          </w:tcPr>
          <w:p w14:paraId="6F5A7618"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4,49%</w:t>
            </w:r>
          </w:p>
        </w:tc>
        <w:tc>
          <w:tcPr>
            <w:tcW w:w="895" w:type="dxa"/>
            <w:noWrap/>
            <w:hideMark/>
          </w:tcPr>
          <w:p w14:paraId="7C716AC8"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5,74%</w:t>
            </w:r>
          </w:p>
        </w:tc>
        <w:tc>
          <w:tcPr>
            <w:tcW w:w="895" w:type="dxa"/>
            <w:noWrap/>
            <w:hideMark/>
          </w:tcPr>
          <w:p w14:paraId="261A626F"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6,49%</w:t>
            </w:r>
          </w:p>
        </w:tc>
        <w:tc>
          <w:tcPr>
            <w:tcW w:w="1034" w:type="dxa"/>
            <w:noWrap/>
            <w:hideMark/>
          </w:tcPr>
          <w:p w14:paraId="5D3F05D4"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6,74%</w:t>
            </w:r>
          </w:p>
        </w:tc>
        <w:tc>
          <w:tcPr>
            <w:tcW w:w="1319" w:type="dxa"/>
            <w:noWrap/>
            <w:hideMark/>
          </w:tcPr>
          <w:p w14:paraId="55CF771F"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0,24%</w:t>
            </w:r>
          </w:p>
        </w:tc>
        <w:tc>
          <w:tcPr>
            <w:tcW w:w="1251" w:type="dxa"/>
            <w:noWrap/>
            <w:hideMark/>
          </w:tcPr>
          <w:p w14:paraId="1319C9B0"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6,15%</w:t>
            </w:r>
          </w:p>
        </w:tc>
        <w:tc>
          <w:tcPr>
            <w:tcW w:w="1001" w:type="dxa"/>
            <w:noWrap/>
            <w:hideMark/>
          </w:tcPr>
          <w:p w14:paraId="5F5B2E37"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5,90%</w:t>
            </w:r>
          </w:p>
        </w:tc>
      </w:tr>
      <w:tr w:rsidR="00C46123" w:rsidRPr="00CA2760" w14:paraId="1E7EC800" w14:textId="77777777" w:rsidTr="00B87A9B">
        <w:trPr>
          <w:trHeight w:val="264"/>
        </w:trPr>
        <w:tc>
          <w:tcPr>
            <w:tcW w:w="1555" w:type="dxa"/>
            <w:noWrap/>
            <w:hideMark/>
          </w:tcPr>
          <w:p w14:paraId="18815849"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sz w:val="20"/>
                <w:szCs w:val="20"/>
                <w:lang w:val="pt-BR"/>
              </w:rPr>
              <w:t>2009</w:t>
            </w:r>
          </w:p>
        </w:tc>
        <w:tc>
          <w:tcPr>
            <w:tcW w:w="895" w:type="dxa"/>
            <w:noWrap/>
            <w:hideMark/>
          </w:tcPr>
          <w:p w14:paraId="3524B0AD"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7,31%</w:t>
            </w:r>
          </w:p>
        </w:tc>
        <w:tc>
          <w:tcPr>
            <w:tcW w:w="958" w:type="dxa"/>
            <w:noWrap/>
            <w:hideMark/>
          </w:tcPr>
          <w:p w14:paraId="5B9AB39D"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5,94%</w:t>
            </w:r>
          </w:p>
        </w:tc>
        <w:tc>
          <w:tcPr>
            <w:tcW w:w="895" w:type="dxa"/>
            <w:noWrap/>
            <w:hideMark/>
          </w:tcPr>
          <w:p w14:paraId="58E974E9"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7,19%</w:t>
            </w:r>
          </w:p>
        </w:tc>
        <w:tc>
          <w:tcPr>
            <w:tcW w:w="895" w:type="dxa"/>
            <w:noWrap/>
            <w:hideMark/>
          </w:tcPr>
          <w:p w14:paraId="0F36F78C"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7,94%</w:t>
            </w:r>
          </w:p>
        </w:tc>
        <w:tc>
          <w:tcPr>
            <w:tcW w:w="1034" w:type="dxa"/>
            <w:noWrap/>
            <w:hideMark/>
          </w:tcPr>
          <w:p w14:paraId="4AC374B9"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8,19%</w:t>
            </w:r>
          </w:p>
        </w:tc>
        <w:tc>
          <w:tcPr>
            <w:tcW w:w="1319" w:type="dxa"/>
            <w:noWrap/>
            <w:hideMark/>
          </w:tcPr>
          <w:p w14:paraId="4761C642"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1,69%</w:t>
            </w:r>
          </w:p>
        </w:tc>
        <w:tc>
          <w:tcPr>
            <w:tcW w:w="1251" w:type="dxa"/>
            <w:noWrap/>
            <w:hideMark/>
          </w:tcPr>
          <w:p w14:paraId="0CFF9EC8"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6,00%</w:t>
            </w:r>
          </w:p>
        </w:tc>
        <w:tc>
          <w:tcPr>
            <w:tcW w:w="1001" w:type="dxa"/>
            <w:noWrap/>
            <w:hideMark/>
          </w:tcPr>
          <w:p w14:paraId="457B191A"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4,31%</w:t>
            </w:r>
          </w:p>
        </w:tc>
      </w:tr>
      <w:tr w:rsidR="00C46123" w:rsidRPr="00CA2760" w14:paraId="50C0FBEF" w14:textId="77777777" w:rsidTr="00B87A9B">
        <w:trPr>
          <w:trHeight w:val="264"/>
        </w:trPr>
        <w:tc>
          <w:tcPr>
            <w:tcW w:w="1555" w:type="dxa"/>
            <w:noWrap/>
            <w:hideMark/>
          </w:tcPr>
          <w:p w14:paraId="00CB5B68"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sz w:val="20"/>
                <w:szCs w:val="20"/>
                <w:lang w:val="pt-BR"/>
              </w:rPr>
              <w:t>2010</w:t>
            </w:r>
          </w:p>
        </w:tc>
        <w:tc>
          <w:tcPr>
            <w:tcW w:w="895" w:type="dxa"/>
            <w:noWrap/>
            <w:hideMark/>
          </w:tcPr>
          <w:p w14:paraId="147E4920"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5,72%</w:t>
            </w:r>
          </w:p>
        </w:tc>
        <w:tc>
          <w:tcPr>
            <w:tcW w:w="958" w:type="dxa"/>
            <w:noWrap/>
            <w:hideMark/>
          </w:tcPr>
          <w:p w14:paraId="4BC807C6"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4,34%</w:t>
            </w:r>
          </w:p>
        </w:tc>
        <w:tc>
          <w:tcPr>
            <w:tcW w:w="895" w:type="dxa"/>
            <w:noWrap/>
            <w:hideMark/>
          </w:tcPr>
          <w:p w14:paraId="53DF1048"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5,59%</w:t>
            </w:r>
          </w:p>
        </w:tc>
        <w:tc>
          <w:tcPr>
            <w:tcW w:w="895" w:type="dxa"/>
            <w:noWrap/>
            <w:hideMark/>
          </w:tcPr>
          <w:p w14:paraId="2F80781E"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6,34%</w:t>
            </w:r>
          </w:p>
        </w:tc>
        <w:tc>
          <w:tcPr>
            <w:tcW w:w="1034" w:type="dxa"/>
            <w:noWrap/>
            <w:hideMark/>
          </w:tcPr>
          <w:p w14:paraId="6E8CE831"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6,59%</w:t>
            </w:r>
          </w:p>
        </w:tc>
        <w:tc>
          <w:tcPr>
            <w:tcW w:w="1319" w:type="dxa"/>
            <w:noWrap/>
            <w:hideMark/>
          </w:tcPr>
          <w:p w14:paraId="2EB4A314"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0,09%</w:t>
            </w:r>
          </w:p>
        </w:tc>
        <w:tc>
          <w:tcPr>
            <w:tcW w:w="1251" w:type="dxa"/>
            <w:noWrap/>
            <w:hideMark/>
          </w:tcPr>
          <w:p w14:paraId="62E0F2BB"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6,00%</w:t>
            </w:r>
          </w:p>
        </w:tc>
        <w:tc>
          <w:tcPr>
            <w:tcW w:w="1001" w:type="dxa"/>
            <w:noWrap/>
            <w:hideMark/>
          </w:tcPr>
          <w:p w14:paraId="6ACCE02D"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5,91%</w:t>
            </w:r>
          </w:p>
        </w:tc>
      </w:tr>
      <w:tr w:rsidR="00C46123" w:rsidRPr="00CA2760" w14:paraId="1FC7950D" w14:textId="77777777" w:rsidTr="00B87A9B">
        <w:trPr>
          <w:trHeight w:val="264"/>
        </w:trPr>
        <w:tc>
          <w:tcPr>
            <w:tcW w:w="1555" w:type="dxa"/>
            <w:noWrap/>
            <w:hideMark/>
          </w:tcPr>
          <w:p w14:paraId="168DD4B9"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sz w:val="20"/>
                <w:szCs w:val="20"/>
                <w:lang w:val="pt-BR"/>
              </w:rPr>
              <w:t>2011</w:t>
            </w:r>
          </w:p>
        </w:tc>
        <w:tc>
          <w:tcPr>
            <w:tcW w:w="895" w:type="dxa"/>
            <w:noWrap/>
            <w:hideMark/>
          </w:tcPr>
          <w:p w14:paraId="5A2668F7"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4,91%</w:t>
            </w:r>
          </w:p>
        </w:tc>
        <w:tc>
          <w:tcPr>
            <w:tcW w:w="958" w:type="dxa"/>
            <w:noWrap/>
            <w:hideMark/>
          </w:tcPr>
          <w:p w14:paraId="0E95A892"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3,54%</w:t>
            </w:r>
          </w:p>
        </w:tc>
        <w:tc>
          <w:tcPr>
            <w:tcW w:w="895" w:type="dxa"/>
            <w:noWrap/>
            <w:hideMark/>
          </w:tcPr>
          <w:p w14:paraId="1E709E8A"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4,79%</w:t>
            </w:r>
          </w:p>
        </w:tc>
        <w:tc>
          <w:tcPr>
            <w:tcW w:w="895" w:type="dxa"/>
            <w:noWrap/>
            <w:hideMark/>
          </w:tcPr>
          <w:p w14:paraId="617EE222"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5,54%</w:t>
            </w:r>
          </w:p>
        </w:tc>
        <w:tc>
          <w:tcPr>
            <w:tcW w:w="1034" w:type="dxa"/>
            <w:noWrap/>
            <w:hideMark/>
          </w:tcPr>
          <w:p w14:paraId="5BB60F90"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5,79%</w:t>
            </w:r>
          </w:p>
        </w:tc>
        <w:tc>
          <w:tcPr>
            <w:tcW w:w="1319" w:type="dxa"/>
            <w:noWrap/>
            <w:hideMark/>
          </w:tcPr>
          <w:p w14:paraId="727FDFA6"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-0,71%</w:t>
            </w:r>
          </w:p>
        </w:tc>
        <w:tc>
          <w:tcPr>
            <w:tcW w:w="1251" w:type="dxa"/>
            <w:noWrap/>
            <w:hideMark/>
          </w:tcPr>
          <w:p w14:paraId="2EB3E96D"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5,79%</w:t>
            </w:r>
          </w:p>
        </w:tc>
        <w:tc>
          <w:tcPr>
            <w:tcW w:w="1001" w:type="dxa"/>
            <w:noWrap/>
            <w:hideMark/>
          </w:tcPr>
          <w:p w14:paraId="470ED9D5"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6,50%</w:t>
            </w:r>
          </w:p>
        </w:tc>
      </w:tr>
      <w:tr w:rsidR="00C46123" w:rsidRPr="00CA2760" w14:paraId="654DB661" w14:textId="77777777" w:rsidTr="00B87A9B">
        <w:trPr>
          <w:trHeight w:val="264"/>
        </w:trPr>
        <w:tc>
          <w:tcPr>
            <w:tcW w:w="1555" w:type="dxa"/>
            <w:noWrap/>
            <w:hideMark/>
          </w:tcPr>
          <w:p w14:paraId="46ADD0F0"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sz w:val="20"/>
                <w:szCs w:val="20"/>
                <w:lang w:val="pt-BR"/>
              </w:rPr>
              <w:t>2012</w:t>
            </w:r>
          </w:p>
        </w:tc>
        <w:tc>
          <w:tcPr>
            <w:tcW w:w="895" w:type="dxa"/>
            <w:noWrap/>
            <w:hideMark/>
          </w:tcPr>
          <w:p w14:paraId="15357064"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4,83%</w:t>
            </w:r>
          </w:p>
        </w:tc>
        <w:tc>
          <w:tcPr>
            <w:tcW w:w="958" w:type="dxa"/>
            <w:noWrap/>
            <w:hideMark/>
          </w:tcPr>
          <w:p w14:paraId="3E2560B4"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3,45%</w:t>
            </w:r>
          </w:p>
        </w:tc>
        <w:tc>
          <w:tcPr>
            <w:tcW w:w="895" w:type="dxa"/>
            <w:noWrap/>
            <w:hideMark/>
          </w:tcPr>
          <w:p w14:paraId="3AFBB1F5"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4,70%</w:t>
            </w:r>
          </w:p>
        </w:tc>
        <w:tc>
          <w:tcPr>
            <w:tcW w:w="895" w:type="dxa"/>
            <w:noWrap/>
            <w:hideMark/>
          </w:tcPr>
          <w:p w14:paraId="64E6D24D"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5,45%</w:t>
            </w:r>
          </w:p>
        </w:tc>
        <w:tc>
          <w:tcPr>
            <w:tcW w:w="1034" w:type="dxa"/>
            <w:noWrap/>
            <w:hideMark/>
          </w:tcPr>
          <w:p w14:paraId="061ECD10"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5,70%</w:t>
            </w:r>
          </w:p>
        </w:tc>
        <w:tc>
          <w:tcPr>
            <w:tcW w:w="1319" w:type="dxa"/>
            <w:noWrap/>
            <w:hideMark/>
          </w:tcPr>
          <w:p w14:paraId="66AD804E"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-0,80%</w:t>
            </w:r>
          </w:p>
        </w:tc>
        <w:tc>
          <w:tcPr>
            <w:tcW w:w="1251" w:type="dxa"/>
            <w:noWrap/>
            <w:hideMark/>
          </w:tcPr>
          <w:p w14:paraId="29201198"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5,04%</w:t>
            </w:r>
          </w:p>
        </w:tc>
        <w:tc>
          <w:tcPr>
            <w:tcW w:w="1001" w:type="dxa"/>
            <w:noWrap/>
            <w:hideMark/>
          </w:tcPr>
          <w:p w14:paraId="4E4FC537"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5,84%</w:t>
            </w:r>
          </w:p>
        </w:tc>
      </w:tr>
      <w:tr w:rsidR="00C46123" w:rsidRPr="00CA2760" w14:paraId="4F7AFE4C" w14:textId="77777777" w:rsidTr="00B87A9B">
        <w:trPr>
          <w:trHeight w:val="264"/>
        </w:trPr>
        <w:tc>
          <w:tcPr>
            <w:tcW w:w="1555" w:type="dxa"/>
            <w:noWrap/>
            <w:hideMark/>
          </w:tcPr>
          <w:p w14:paraId="715A9A8D"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sz w:val="20"/>
                <w:szCs w:val="20"/>
                <w:lang w:val="pt-BR"/>
              </w:rPr>
              <w:t>2013</w:t>
            </w:r>
          </w:p>
        </w:tc>
        <w:tc>
          <w:tcPr>
            <w:tcW w:w="895" w:type="dxa"/>
            <w:noWrap/>
            <w:hideMark/>
          </w:tcPr>
          <w:p w14:paraId="3BE801F8"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4,71%</w:t>
            </w:r>
          </w:p>
        </w:tc>
        <w:tc>
          <w:tcPr>
            <w:tcW w:w="958" w:type="dxa"/>
            <w:noWrap/>
            <w:hideMark/>
          </w:tcPr>
          <w:p w14:paraId="4EA04C8D"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3,34%</w:t>
            </w:r>
          </w:p>
        </w:tc>
        <w:tc>
          <w:tcPr>
            <w:tcW w:w="895" w:type="dxa"/>
            <w:noWrap/>
            <w:hideMark/>
          </w:tcPr>
          <w:p w14:paraId="76A5A5AB"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4,59%</w:t>
            </w:r>
          </w:p>
        </w:tc>
        <w:tc>
          <w:tcPr>
            <w:tcW w:w="895" w:type="dxa"/>
            <w:noWrap/>
            <w:hideMark/>
          </w:tcPr>
          <w:p w14:paraId="4BD19944"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5,34%</w:t>
            </w:r>
          </w:p>
        </w:tc>
        <w:tc>
          <w:tcPr>
            <w:tcW w:w="1034" w:type="dxa"/>
            <w:noWrap/>
            <w:hideMark/>
          </w:tcPr>
          <w:p w14:paraId="42F1A131"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5,59%</w:t>
            </w:r>
          </w:p>
        </w:tc>
        <w:tc>
          <w:tcPr>
            <w:tcW w:w="1319" w:type="dxa"/>
            <w:noWrap/>
            <w:hideMark/>
          </w:tcPr>
          <w:p w14:paraId="4AC1A653"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-0,91%</w:t>
            </w:r>
          </w:p>
        </w:tc>
        <w:tc>
          <w:tcPr>
            <w:tcW w:w="1251" w:type="dxa"/>
            <w:noWrap/>
            <w:hideMark/>
          </w:tcPr>
          <w:p w14:paraId="0216899C"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5,00%</w:t>
            </w:r>
          </w:p>
        </w:tc>
        <w:tc>
          <w:tcPr>
            <w:tcW w:w="1001" w:type="dxa"/>
            <w:noWrap/>
            <w:hideMark/>
          </w:tcPr>
          <w:p w14:paraId="35A9D5C7"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5,91%</w:t>
            </w:r>
          </w:p>
        </w:tc>
      </w:tr>
      <w:tr w:rsidR="00C46123" w:rsidRPr="00CA2760" w14:paraId="7AE8BC67" w14:textId="77777777" w:rsidTr="00B87A9B">
        <w:trPr>
          <w:trHeight w:val="264"/>
        </w:trPr>
        <w:tc>
          <w:tcPr>
            <w:tcW w:w="1555" w:type="dxa"/>
            <w:noWrap/>
            <w:hideMark/>
          </w:tcPr>
          <w:p w14:paraId="3C7A93A2"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sz w:val="20"/>
                <w:szCs w:val="20"/>
                <w:lang w:val="pt-BR"/>
              </w:rPr>
              <w:t>2014</w:t>
            </w:r>
          </w:p>
        </w:tc>
        <w:tc>
          <w:tcPr>
            <w:tcW w:w="895" w:type="dxa"/>
            <w:noWrap/>
            <w:hideMark/>
          </w:tcPr>
          <w:p w14:paraId="457E8884"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5,30%</w:t>
            </w:r>
          </w:p>
        </w:tc>
        <w:tc>
          <w:tcPr>
            <w:tcW w:w="958" w:type="dxa"/>
            <w:noWrap/>
            <w:hideMark/>
          </w:tcPr>
          <w:p w14:paraId="2248018D"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3,92%</w:t>
            </w:r>
          </w:p>
        </w:tc>
        <w:tc>
          <w:tcPr>
            <w:tcW w:w="895" w:type="dxa"/>
            <w:noWrap/>
            <w:hideMark/>
          </w:tcPr>
          <w:p w14:paraId="3F7050A5"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5,17%</w:t>
            </w:r>
          </w:p>
        </w:tc>
        <w:tc>
          <w:tcPr>
            <w:tcW w:w="895" w:type="dxa"/>
            <w:noWrap/>
            <w:hideMark/>
          </w:tcPr>
          <w:p w14:paraId="52D29C49"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5,92%</w:t>
            </w:r>
          </w:p>
        </w:tc>
        <w:tc>
          <w:tcPr>
            <w:tcW w:w="1034" w:type="dxa"/>
            <w:noWrap/>
            <w:hideMark/>
          </w:tcPr>
          <w:p w14:paraId="74C28E42"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6,17%</w:t>
            </w:r>
          </w:p>
        </w:tc>
        <w:tc>
          <w:tcPr>
            <w:tcW w:w="1319" w:type="dxa"/>
            <w:noWrap/>
            <w:hideMark/>
          </w:tcPr>
          <w:p w14:paraId="66D86FD6"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-0,33%</w:t>
            </w:r>
          </w:p>
        </w:tc>
        <w:tc>
          <w:tcPr>
            <w:tcW w:w="1251" w:type="dxa"/>
            <w:noWrap/>
            <w:hideMark/>
          </w:tcPr>
          <w:p w14:paraId="18475A4F"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6,08%</w:t>
            </w:r>
          </w:p>
        </w:tc>
        <w:tc>
          <w:tcPr>
            <w:tcW w:w="1001" w:type="dxa"/>
            <w:noWrap/>
            <w:hideMark/>
          </w:tcPr>
          <w:p w14:paraId="04603BF4"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6,41%</w:t>
            </w:r>
          </w:p>
        </w:tc>
      </w:tr>
      <w:tr w:rsidR="00C46123" w:rsidRPr="00CA2760" w14:paraId="24CF74B4" w14:textId="77777777" w:rsidTr="00B87A9B">
        <w:trPr>
          <w:trHeight w:val="264"/>
        </w:trPr>
        <w:tc>
          <w:tcPr>
            <w:tcW w:w="1555" w:type="dxa"/>
            <w:noWrap/>
            <w:hideMark/>
          </w:tcPr>
          <w:p w14:paraId="4D90C789"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sz w:val="20"/>
                <w:szCs w:val="20"/>
                <w:lang w:val="pt-BR"/>
              </w:rPr>
              <w:t>2015</w:t>
            </w:r>
          </w:p>
        </w:tc>
        <w:tc>
          <w:tcPr>
            <w:tcW w:w="895" w:type="dxa"/>
            <w:noWrap/>
            <w:hideMark/>
          </w:tcPr>
          <w:p w14:paraId="4643A005"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2,41%</w:t>
            </w:r>
          </w:p>
        </w:tc>
        <w:tc>
          <w:tcPr>
            <w:tcW w:w="958" w:type="dxa"/>
            <w:noWrap/>
            <w:hideMark/>
          </w:tcPr>
          <w:p w14:paraId="2B5EC412"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1,04%</w:t>
            </w:r>
          </w:p>
        </w:tc>
        <w:tc>
          <w:tcPr>
            <w:tcW w:w="895" w:type="dxa"/>
            <w:noWrap/>
            <w:hideMark/>
          </w:tcPr>
          <w:p w14:paraId="6D94C1B9"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2,29%</w:t>
            </w:r>
          </w:p>
        </w:tc>
        <w:tc>
          <w:tcPr>
            <w:tcW w:w="895" w:type="dxa"/>
            <w:noWrap/>
            <w:hideMark/>
          </w:tcPr>
          <w:p w14:paraId="7ED8D894"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3,04%</w:t>
            </w:r>
          </w:p>
        </w:tc>
        <w:tc>
          <w:tcPr>
            <w:tcW w:w="1034" w:type="dxa"/>
            <w:noWrap/>
            <w:hideMark/>
          </w:tcPr>
          <w:p w14:paraId="5FF9A810"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3,29%</w:t>
            </w:r>
          </w:p>
        </w:tc>
        <w:tc>
          <w:tcPr>
            <w:tcW w:w="1319" w:type="dxa"/>
            <w:noWrap/>
            <w:hideMark/>
          </w:tcPr>
          <w:p w14:paraId="07B16939"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-3,21%</w:t>
            </w:r>
          </w:p>
        </w:tc>
        <w:tc>
          <w:tcPr>
            <w:tcW w:w="1251" w:type="dxa"/>
            <w:noWrap/>
            <w:hideMark/>
          </w:tcPr>
          <w:p w14:paraId="3C1E6967"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7,46%</w:t>
            </w:r>
          </w:p>
        </w:tc>
        <w:tc>
          <w:tcPr>
            <w:tcW w:w="1001" w:type="dxa"/>
            <w:noWrap/>
            <w:hideMark/>
          </w:tcPr>
          <w:p w14:paraId="75BE6902"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10,67%</w:t>
            </w:r>
          </w:p>
        </w:tc>
      </w:tr>
      <w:tr w:rsidR="00C46123" w:rsidRPr="00CA2760" w14:paraId="4BAE8CD6" w14:textId="77777777" w:rsidTr="00B87A9B">
        <w:trPr>
          <w:trHeight w:val="264"/>
        </w:trPr>
        <w:tc>
          <w:tcPr>
            <w:tcW w:w="1555" w:type="dxa"/>
            <w:noWrap/>
            <w:hideMark/>
          </w:tcPr>
          <w:p w14:paraId="45BCE459"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sz w:val="20"/>
                <w:szCs w:val="20"/>
                <w:lang w:val="pt-BR"/>
              </w:rPr>
              <w:t>2016</w:t>
            </w:r>
          </w:p>
        </w:tc>
        <w:tc>
          <w:tcPr>
            <w:tcW w:w="895" w:type="dxa"/>
            <w:noWrap/>
            <w:hideMark/>
          </w:tcPr>
          <w:p w14:paraId="7A9104B1"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6,50%</w:t>
            </w:r>
          </w:p>
        </w:tc>
        <w:tc>
          <w:tcPr>
            <w:tcW w:w="958" w:type="dxa"/>
            <w:noWrap/>
            <w:hideMark/>
          </w:tcPr>
          <w:p w14:paraId="286DFCC1"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5,13%</w:t>
            </w:r>
          </w:p>
        </w:tc>
        <w:tc>
          <w:tcPr>
            <w:tcW w:w="895" w:type="dxa"/>
            <w:noWrap/>
            <w:hideMark/>
          </w:tcPr>
          <w:p w14:paraId="1E8634BC"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6,38%</w:t>
            </w:r>
          </w:p>
        </w:tc>
        <w:tc>
          <w:tcPr>
            <w:tcW w:w="895" w:type="dxa"/>
            <w:noWrap/>
            <w:hideMark/>
          </w:tcPr>
          <w:p w14:paraId="1DA1C1C1"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7,13%</w:t>
            </w:r>
          </w:p>
        </w:tc>
        <w:tc>
          <w:tcPr>
            <w:tcW w:w="1034" w:type="dxa"/>
            <w:noWrap/>
            <w:hideMark/>
          </w:tcPr>
          <w:p w14:paraId="6192B817"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7,38%</w:t>
            </w:r>
          </w:p>
        </w:tc>
        <w:tc>
          <w:tcPr>
            <w:tcW w:w="1319" w:type="dxa"/>
            <w:noWrap/>
            <w:hideMark/>
          </w:tcPr>
          <w:p w14:paraId="54AD4649"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0,88%</w:t>
            </w:r>
          </w:p>
        </w:tc>
        <w:tc>
          <w:tcPr>
            <w:tcW w:w="1251" w:type="dxa"/>
            <w:noWrap/>
            <w:hideMark/>
          </w:tcPr>
          <w:p w14:paraId="166E48FF"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7,17%</w:t>
            </w:r>
          </w:p>
        </w:tc>
        <w:tc>
          <w:tcPr>
            <w:tcW w:w="1001" w:type="dxa"/>
            <w:noWrap/>
            <w:hideMark/>
          </w:tcPr>
          <w:p w14:paraId="1FF31663"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6,29%</w:t>
            </w:r>
          </w:p>
        </w:tc>
      </w:tr>
      <w:tr w:rsidR="00C46123" w:rsidRPr="00CA2760" w14:paraId="6434930B" w14:textId="77777777" w:rsidTr="00B87A9B">
        <w:trPr>
          <w:trHeight w:val="264"/>
        </w:trPr>
        <w:tc>
          <w:tcPr>
            <w:tcW w:w="1555" w:type="dxa"/>
            <w:noWrap/>
            <w:hideMark/>
          </w:tcPr>
          <w:p w14:paraId="025DC26A" w14:textId="77777777" w:rsidR="00C46123" w:rsidRPr="00CA2760" w:rsidRDefault="00C46123" w:rsidP="00B87A9B">
            <w:pPr>
              <w:jc w:val="center"/>
              <w:rPr>
                <w:rFonts w:ascii="Arial" w:eastAsia="Times New Roman" w:hAnsi="Arial" w:cs="Arial"/>
                <w:sz w:val="20"/>
                <w:szCs w:val="20"/>
                <w:lang w:val="pt-BR"/>
              </w:rPr>
            </w:pPr>
            <w:r w:rsidRPr="00CA2760">
              <w:rPr>
                <w:rFonts w:ascii="Arial" w:eastAsia="Times New Roman" w:hAnsi="Arial" w:cs="Arial"/>
                <w:sz w:val="20"/>
                <w:szCs w:val="20"/>
                <w:lang w:val="pt-BR"/>
              </w:rPr>
              <w:t>2017</w:t>
            </w:r>
          </w:p>
        </w:tc>
        <w:tc>
          <w:tcPr>
            <w:tcW w:w="895" w:type="dxa"/>
            <w:noWrap/>
            <w:hideMark/>
          </w:tcPr>
          <w:p w14:paraId="61F819B9"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9,55%</w:t>
            </w:r>
          </w:p>
        </w:tc>
        <w:tc>
          <w:tcPr>
            <w:tcW w:w="958" w:type="dxa"/>
            <w:noWrap/>
            <w:hideMark/>
          </w:tcPr>
          <w:p w14:paraId="05FFB76A"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8,17%</w:t>
            </w:r>
          </w:p>
        </w:tc>
        <w:tc>
          <w:tcPr>
            <w:tcW w:w="895" w:type="dxa"/>
            <w:noWrap/>
            <w:hideMark/>
          </w:tcPr>
          <w:p w14:paraId="3E2C0286"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9,42%</w:t>
            </w:r>
          </w:p>
        </w:tc>
        <w:tc>
          <w:tcPr>
            <w:tcW w:w="895" w:type="dxa"/>
            <w:noWrap/>
            <w:hideMark/>
          </w:tcPr>
          <w:p w14:paraId="39699E2E"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10,17%</w:t>
            </w:r>
          </w:p>
        </w:tc>
        <w:tc>
          <w:tcPr>
            <w:tcW w:w="1034" w:type="dxa"/>
            <w:noWrap/>
            <w:hideMark/>
          </w:tcPr>
          <w:p w14:paraId="23E619D6"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10,42%</w:t>
            </w:r>
          </w:p>
        </w:tc>
        <w:tc>
          <w:tcPr>
            <w:tcW w:w="1319" w:type="dxa"/>
            <w:noWrap/>
            <w:hideMark/>
          </w:tcPr>
          <w:p w14:paraId="4D79F963" w14:textId="77777777" w:rsidR="00C46123" w:rsidRPr="00CA2760" w:rsidRDefault="00C46123" w:rsidP="00B87A9B">
            <w:pPr>
              <w:jc w:val="right"/>
              <w:rPr>
                <w:rFonts w:ascii="Arial" w:eastAsia="Times New Roman" w:hAnsi="Arial" w:cs="Arial"/>
                <w:sz w:val="20"/>
                <w:szCs w:val="20"/>
                <w:lang w:val="pt-BR"/>
              </w:rPr>
            </w:pPr>
            <w:r w:rsidRPr="00CA2760">
              <w:rPr>
                <w:rFonts w:ascii="Arial" w:eastAsia="Times New Roman" w:hAnsi="Arial" w:cs="Arial"/>
                <w:sz w:val="20"/>
                <w:szCs w:val="20"/>
                <w:lang w:val="pt-BR"/>
              </w:rPr>
              <w:t>3,92%</w:t>
            </w:r>
          </w:p>
        </w:tc>
        <w:tc>
          <w:tcPr>
            <w:tcW w:w="1251" w:type="dxa"/>
            <w:noWrap/>
            <w:hideMark/>
          </w:tcPr>
          <w:p w14:paraId="5B613237"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6,87%</w:t>
            </w:r>
          </w:p>
        </w:tc>
        <w:tc>
          <w:tcPr>
            <w:tcW w:w="1001" w:type="dxa"/>
            <w:noWrap/>
            <w:hideMark/>
          </w:tcPr>
          <w:p w14:paraId="3AD04D5C" w14:textId="77777777" w:rsidR="00C46123" w:rsidRPr="00CA2760" w:rsidRDefault="00C46123" w:rsidP="00B87A9B">
            <w:pPr>
              <w:jc w:val="right"/>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2,95%</w:t>
            </w:r>
          </w:p>
        </w:tc>
      </w:tr>
      <w:tr w:rsidR="00C46123" w:rsidRPr="00CA2760" w14:paraId="3DA73790" w14:textId="77777777" w:rsidTr="00B87A9B">
        <w:trPr>
          <w:trHeight w:val="264"/>
        </w:trPr>
        <w:tc>
          <w:tcPr>
            <w:tcW w:w="1555" w:type="dxa"/>
            <w:noWrap/>
            <w:hideMark/>
          </w:tcPr>
          <w:p w14:paraId="4FF9F7EB" w14:textId="77777777" w:rsidR="00C46123" w:rsidRPr="00CA2760" w:rsidRDefault="00C46123" w:rsidP="00B87A9B">
            <w:pPr>
              <w:jc w:val="right"/>
              <w:rPr>
                <w:rFonts w:ascii="Arial" w:eastAsia="Times New Roman" w:hAnsi="Arial" w:cs="Arial"/>
                <w:color w:val="000000"/>
                <w:sz w:val="20"/>
                <w:szCs w:val="20"/>
                <w:lang w:val="pt-BR"/>
              </w:rPr>
            </w:pPr>
          </w:p>
        </w:tc>
        <w:tc>
          <w:tcPr>
            <w:tcW w:w="895" w:type="dxa"/>
            <w:noWrap/>
            <w:hideMark/>
          </w:tcPr>
          <w:p w14:paraId="43A8D3EE" w14:textId="77777777" w:rsidR="00C46123" w:rsidRPr="00CA2760" w:rsidRDefault="00C46123" w:rsidP="00B87A9B">
            <w:pPr>
              <w:jc w:val="center"/>
              <w:rPr>
                <w:rFonts w:ascii="Times New Roman" w:eastAsia="Times New Roman" w:hAnsi="Times New Roman" w:cs="Times New Roman"/>
                <w:sz w:val="20"/>
                <w:szCs w:val="20"/>
                <w:lang w:val="pt-BR"/>
              </w:rPr>
            </w:pPr>
          </w:p>
        </w:tc>
        <w:tc>
          <w:tcPr>
            <w:tcW w:w="958" w:type="dxa"/>
            <w:noWrap/>
            <w:hideMark/>
          </w:tcPr>
          <w:p w14:paraId="3ED717F8" w14:textId="77777777" w:rsidR="00C46123" w:rsidRPr="00CA2760" w:rsidRDefault="00C46123" w:rsidP="00B87A9B">
            <w:pPr>
              <w:rPr>
                <w:rFonts w:ascii="Times New Roman" w:eastAsia="Times New Roman" w:hAnsi="Times New Roman" w:cs="Times New Roman"/>
                <w:sz w:val="20"/>
                <w:szCs w:val="20"/>
                <w:lang w:val="pt-BR"/>
              </w:rPr>
            </w:pPr>
          </w:p>
        </w:tc>
        <w:tc>
          <w:tcPr>
            <w:tcW w:w="895" w:type="dxa"/>
            <w:noWrap/>
            <w:hideMark/>
          </w:tcPr>
          <w:p w14:paraId="5CBF5C02" w14:textId="77777777" w:rsidR="00C46123" w:rsidRPr="00CA2760" w:rsidRDefault="00C46123" w:rsidP="00B87A9B">
            <w:pPr>
              <w:rPr>
                <w:rFonts w:ascii="Times New Roman" w:eastAsia="Times New Roman" w:hAnsi="Times New Roman" w:cs="Times New Roman"/>
                <w:sz w:val="20"/>
                <w:szCs w:val="20"/>
                <w:lang w:val="pt-BR"/>
              </w:rPr>
            </w:pPr>
          </w:p>
        </w:tc>
        <w:tc>
          <w:tcPr>
            <w:tcW w:w="895" w:type="dxa"/>
            <w:noWrap/>
            <w:hideMark/>
          </w:tcPr>
          <w:p w14:paraId="3439AD8A" w14:textId="77777777" w:rsidR="00C46123" w:rsidRPr="00CA2760" w:rsidRDefault="00C46123" w:rsidP="00B87A9B">
            <w:pPr>
              <w:rPr>
                <w:rFonts w:ascii="Times New Roman" w:eastAsia="Times New Roman" w:hAnsi="Times New Roman" w:cs="Times New Roman"/>
                <w:sz w:val="20"/>
                <w:szCs w:val="20"/>
                <w:lang w:val="pt-BR"/>
              </w:rPr>
            </w:pPr>
          </w:p>
        </w:tc>
        <w:tc>
          <w:tcPr>
            <w:tcW w:w="1034" w:type="dxa"/>
            <w:noWrap/>
            <w:hideMark/>
          </w:tcPr>
          <w:p w14:paraId="23C367CB" w14:textId="77777777" w:rsidR="00C46123" w:rsidRPr="00CA2760" w:rsidRDefault="00C46123" w:rsidP="00B87A9B">
            <w:pPr>
              <w:rPr>
                <w:rFonts w:ascii="Times New Roman" w:eastAsia="Times New Roman" w:hAnsi="Times New Roman" w:cs="Times New Roman"/>
                <w:sz w:val="20"/>
                <w:szCs w:val="20"/>
                <w:lang w:val="pt-BR"/>
              </w:rPr>
            </w:pPr>
          </w:p>
        </w:tc>
        <w:tc>
          <w:tcPr>
            <w:tcW w:w="1319" w:type="dxa"/>
            <w:noWrap/>
            <w:hideMark/>
          </w:tcPr>
          <w:p w14:paraId="1A71965D" w14:textId="77777777" w:rsidR="00C46123" w:rsidRPr="00CA2760" w:rsidRDefault="00C46123" w:rsidP="00B87A9B">
            <w:pPr>
              <w:rPr>
                <w:rFonts w:ascii="Times New Roman" w:eastAsia="Times New Roman" w:hAnsi="Times New Roman" w:cs="Times New Roman"/>
                <w:sz w:val="20"/>
                <w:szCs w:val="20"/>
                <w:lang w:val="pt-BR"/>
              </w:rPr>
            </w:pPr>
          </w:p>
        </w:tc>
        <w:tc>
          <w:tcPr>
            <w:tcW w:w="1251" w:type="dxa"/>
            <w:noWrap/>
            <w:hideMark/>
          </w:tcPr>
          <w:p w14:paraId="12A2296E" w14:textId="77777777" w:rsidR="00C46123" w:rsidRPr="00CA2760" w:rsidRDefault="00C46123" w:rsidP="00B87A9B">
            <w:pPr>
              <w:rPr>
                <w:rFonts w:ascii="Times New Roman" w:eastAsia="Times New Roman" w:hAnsi="Times New Roman" w:cs="Times New Roman"/>
                <w:sz w:val="20"/>
                <w:szCs w:val="20"/>
                <w:lang w:val="pt-BR"/>
              </w:rPr>
            </w:pPr>
          </w:p>
        </w:tc>
        <w:tc>
          <w:tcPr>
            <w:tcW w:w="1001" w:type="dxa"/>
            <w:noWrap/>
            <w:hideMark/>
          </w:tcPr>
          <w:p w14:paraId="721C2AEA" w14:textId="77777777" w:rsidR="00C46123" w:rsidRPr="00CA2760" w:rsidRDefault="00C46123" w:rsidP="00B87A9B">
            <w:pPr>
              <w:rPr>
                <w:rFonts w:ascii="Times New Roman" w:eastAsia="Times New Roman" w:hAnsi="Times New Roman" w:cs="Times New Roman"/>
                <w:sz w:val="20"/>
                <w:szCs w:val="20"/>
                <w:lang w:val="pt-BR"/>
              </w:rPr>
            </w:pPr>
          </w:p>
        </w:tc>
      </w:tr>
      <w:tr w:rsidR="00C46123" w:rsidRPr="00CA2760" w14:paraId="74C67F9F" w14:textId="77777777" w:rsidTr="00B87A9B">
        <w:trPr>
          <w:trHeight w:val="264"/>
        </w:trPr>
        <w:tc>
          <w:tcPr>
            <w:tcW w:w="1555" w:type="dxa"/>
            <w:noWrap/>
            <w:hideMark/>
          </w:tcPr>
          <w:p w14:paraId="530B6029" w14:textId="77777777" w:rsidR="00C46123" w:rsidRPr="00CA2760" w:rsidRDefault="00C46123" w:rsidP="00B87A9B">
            <w:pPr>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Média</w:t>
            </w:r>
          </w:p>
        </w:tc>
        <w:tc>
          <w:tcPr>
            <w:tcW w:w="895" w:type="dxa"/>
            <w:noWrap/>
            <w:hideMark/>
          </w:tcPr>
          <w:p w14:paraId="7674DE5B"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5,87%</w:t>
            </w:r>
          </w:p>
        </w:tc>
        <w:tc>
          <w:tcPr>
            <w:tcW w:w="958" w:type="dxa"/>
            <w:noWrap/>
            <w:hideMark/>
          </w:tcPr>
          <w:p w14:paraId="7C83449D"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4,49%</w:t>
            </w:r>
          </w:p>
        </w:tc>
        <w:tc>
          <w:tcPr>
            <w:tcW w:w="895" w:type="dxa"/>
            <w:noWrap/>
            <w:hideMark/>
          </w:tcPr>
          <w:p w14:paraId="52EC291B"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5,74%</w:t>
            </w:r>
          </w:p>
        </w:tc>
        <w:tc>
          <w:tcPr>
            <w:tcW w:w="895" w:type="dxa"/>
            <w:noWrap/>
            <w:hideMark/>
          </w:tcPr>
          <w:p w14:paraId="48F1C434"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6,49%</w:t>
            </w:r>
          </w:p>
        </w:tc>
        <w:tc>
          <w:tcPr>
            <w:tcW w:w="1034" w:type="dxa"/>
            <w:noWrap/>
            <w:hideMark/>
          </w:tcPr>
          <w:p w14:paraId="7E00DF18"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6,74%</w:t>
            </w:r>
          </w:p>
        </w:tc>
        <w:tc>
          <w:tcPr>
            <w:tcW w:w="1319" w:type="dxa"/>
            <w:noWrap/>
            <w:hideMark/>
          </w:tcPr>
          <w:p w14:paraId="027BA49E"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0,24%</w:t>
            </w:r>
          </w:p>
        </w:tc>
        <w:tc>
          <w:tcPr>
            <w:tcW w:w="1251" w:type="dxa"/>
            <w:noWrap/>
            <w:hideMark/>
          </w:tcPr>
          <w:p w14:paraId="5C66EF7A"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6,16%</w:t>
            </w:r>
          </w:p>
        </w:tc>
        <w:tc>
          <w:tcPr>
            <w:tcW w:w="1001" w:type="dxa"/>
            <w:noWrap/>
            <w:hideMark/>
          </w:tcPr>
          <w:p w14:paraId="73FE105C"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5,92%</w:t>
            </w:r>
          </w:p>
        </w:tc>
      </w:tr>
      <w:tr w:rsidR="00C46123" w:rsidRPr="00CA2760" w14:paraId="1CD10AC2" w14:textId="77777777" w:rsidTr="00B87A9B">
        <w:trPr>
          <w:trHeight w:val="497"/>
        </w:trPr>
        <w:tc>
          <w:tcPr>
            <w:tcW w:w="1555" w:type="dxa"/>
            <w:hideMark/>
          </w:tcPr>
          <w:p w14:paraId="7E1AEDAB" w14:textId="77777777" w:rsidR="00C46123" w:rsidRPr="00CA2760" w:rsidRDefault="00C46123" w:rsidP="00B87A9B">
            <w:pPr>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Desvio Padrão (DP)</w:t>
            </w:r>
          </w:p>
        </w:tc>
        <w:tc>
          <w:tcPr>
            <w:tcW w:w="895" w:type="dxa"/>
            <w:vAlign w:val="center"/>
            <w:hideMark/>
          </w:tcPr>
          <w:p w14:paraId="6A1CC383"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1,76%</w:t>
            </w:r>
          </w:p>
        </w:tc>
        <w:tc>
          <w:tcPr>
            <w:tcW w:w="958" w:type="dxa"/>
            <w:vAlign w:val="center"/>
            <w:hideMark/>
          </w:tcPr>
          <w:p w14:paraId="6C85654F"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1,76%</w:t>
            </w:r>
          </w:p>
        </w:tc>
        <w:tc>
          <w:tcPr>
            <w:tcW w:w="895" w:type="dxa"/>
            <w:vAlign w:val="center"/>
            <w:hideMark/>
          </w:tcPr>
          <w:p w14:paraId="548C770B"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1,76%</w:t>
            </w:r>
          </w:p>
        </w:tc>
        <w:tc>
          <w:tcPr>
            <w:tcW w:w="895" w:type="dxa"/>
            <w:vAlign w:val="center"/>
            <w:hideMark/>
          </w:tcPr>
          <w:p w14:paraId="2BBFB7D7"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1,76%</w:t>
            </w:r>
          </w:p>
        </w:tc>
        <w:tc>
          <w:tcPr>
            <w:tcW w:w="1034" w:type="dxa"/>
            <w:vAlign w:val="center"/>
            <w:hideMark/>
          </w:tcPr>
          <w:p w14:paraId="74FC7A96"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1,76%</w:t>
            </w:r>
          </w:p>
        </w:tc>
        <w:tc>
          <w:tcPr>
            <w:tcW w:w="1319" w:type="dxa"/>
            <w:vAlign w:val="center"/>
            <w:hideMark/>
          </w:tcPr>
          <w:p w14:paraId="14F7B146"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1,76%</w:t>
            </w:r>
          </w:p>
        </w:tc>
        <w:tc>
          <w:tcPr>
            <w:tcW w:w="1251" w:type="dxa"/>
            <w:vAlign w:val="center"/>
            <w:hideMark/>
          </w:tcPr>
          <w:p w14:paraId="7D5889BE"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0,74%</w:t>
            </w:r>
          </w:p>
        </w:tc>
        <w:tc>
          <w:tcPr>
            <w:tcW w:w="1001" w:type="dxa"/>
            <w:vAlign w:val="center"/>
            <w:hideMark/>
          </w:tcPr>
          <w:p w14:paraId="48A92A85"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1,83%</w:t>
            </w:r>
          </w:p>
        </w:tc>
      </w:tr>
      <w:tr w:rsidR="00C46123" w:rsidRPr="00CA2760" w14:paraId="745F354A" w14:textId="77777777" w:rsidTr="00B87A9B">
        <w:trPr>
          <w:trHeight w:val="528"/>
        </w:trPr>
        <w:tc>
          <w:tcPr>
            <w:tcW w:w="1555" w:type="dxa"/>
            <w:hideMark/>
          </w:tcPr>
          <w:p w14:paraId="1A96712C" w14:textId="77777777" w:rsidR="00C46123" w:rsidRPr="00CA2760" w:rsidRDefault="00C46123" w:rsidP="00B87A9B">
            <w:pPr>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Coeficiente de Variação</w:t>
            </w:r>
          </w:p>
        </w:tc>
        <w:tc>
          <w:tcPr>
            <w:tcW w:w="895" w:type="dxa"/>
            <w:vAlign w:val="center"/>
            <w:hideMark/>
          </w:tcPr>
          <w:p w14:paraId="18805D68"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30,00%</w:t>
            </w:r>
          </w:p>
        </w:tc>
        <w:tc>
          <w:tcPr>
            <w:tcW w:w="958" w:type="dxa"/>
            <w:vAlign w:val="center"/>
            <w:hideMark/>
          </w:tcPr>
          <w:p w14:paraId="0F8C3002"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39,19%</w:t>
            </w:r>
          </w:p>
        </w:tc>
        <w:tc>
          <w:tcPr>
            <w:tcW w:w="895" w:type="dxa"/>
            <w:vAlign w:val="center"/>
            <w:hideMark/>
          </w:tcPr>
          <w:p w14:paraId="101A6C4F"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30,65%</w:t>
            </w:r>
          </w:p>
        </w:tc>
        <w:tc>
          <w:tcPr>
            <w:tcW w:w="895" w:type="dxa"/>
            <w:vAlign w:val="center"/>
            <w:hideMark/>
          </w:tcPr>
          <w:p w14:paraId="60B9D349"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27,11%</w:t>
            </w:r>
          </w:p>
        </w:tc>
        <w:tc>
          <w:tcPr>
            <w:tcW w:w="1034" w:type="dxa"/>
            <w:vAlign w:val="center"/>
            <w:hideMark/>
          </w:tcPr>
          <w:p w14:paraId="53EB8763"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26,11%</w:t>
            </w:r>
          </w:p>
        </w:tc>
        <w:tc>
          <w:tcPr>
            <w:tcW w:w="1319" w:type="dxa"/>
            <w:vAlign w:val="center"/>
            <w:hideMark/>
          </w:tcPr>
          <w:p w14:paraId="0DB5C213"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728,33%</w:t>
            </w:r>
          </w:p>
        </w:tc>
        <w:tc>
          <w:tcPr>
            <w:tcW w:w="1251" w:type="dxa"/>
            <w:vAlign w:val="center"/>
            <w:hideMark/>
          </w:tcPr>
          <w:p w14:paraId="10E315F7"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11,99%</w:t>
            </w:r>
          </w:p>
        </w:tc>
        <w:tc>
          <w:tcPr>
            <w:tcW w:w="1001" w:type="dxa"/>
            <w:vAlign w:val="center"/>
            <w:hideMark/>
          </w:tcPr>
          <w:p w14:paraId="72CE6E02"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30,91%</w:t>
            </w:r>
          </w:p>
        </w:tc>
      </w:tr>
      <w:tr w:rsidR="00C46123" w:rsidRPr="00CA2760" w14:paraId="09AB5685" w14:textId="77777777" w:rsidTr="00B87A9B">
        <w:trPr>
          <w:trHeight w:val="264"/>
        </w:trPr>
        <w:tc>
          <w:tcPr>
            <w:tcW w:w="1555" w:type="dxa"/>
            <w:hideMark/>
          </w:tcPr>
          <w:p w14:paraId="038C4DC0" w14:textId="77777777" w:rsidR="00C46123" w:rsidRPr="00CA2760" w:rsidRDefault="00C46123" w:rsidP="00B87A9B">
            <w:pPr>
              <w:jc w:val="center"/>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Média – 1 DP</w:t>
            </w:r>
          </w:p>
        </w:tc>
        <w:tc>
          <w:tcPr>
            <w:tcW w:w="895" w:type="dxa"/>
            <w:hideMark/>
          </w:tcPr>
          <w:p w14:paraId="388F6796"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4,11%</w:t>
            </w:r>
          </w:p>
        </w:tc>
        <w:tc>
          <w:tcPr>
            <w:tcW w:w="958" w:type="dxa"/>
            <w:hideMark/>
          </w:tcPr>
          <w:p w14:paraId="7085BF1B"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2,73%</w:t>
            </w:r>
          </w:p>
        </w:tc>
        <w:tc>
          <w:tcPr>
            <w:tcW w:w="895" w:type="dxa"/>
            <w:hideMark/>
          </w:tcPr>
          <w:p w14:paraId="560151F0"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3,98%</w:t>
            </w:r>
          </w:p>
        </w:tc>
        <w:tc>
          <w:tcPr>
            <w:tcW w:w="895" w:type="dxa"/>
            <w:hideMark/>
          </w:tcPr>
          <w:p w14:paraId="0BB14A05"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4,73%</w:t>
            </w:r>
          </w:p>
        </w:tc>
        <w:tc>
          <w:tcPr>
            <w:tcW w:w="1034" w:type="dxa"/>
            <w:hideMark/>
          </w:tcPr>
          <w:p w14:paraId="2B714F86"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4,98%</w:t>
            </w:r>
          </w:p>
        </w:tc>
        <w:tc>
          <w:tcPr>
            <w:tcW w:w="1319" w:type="dxa"/>
            <w:hideMark/>
          </w:tcPr>
          <w:p w14:paraId="350499E1"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-1,52%</w:t>
            </w:r>
          </w:p>
        </w:tc>
        <w:tc>
          <w:tcPr>
            <w:tcW w:w="1251" w:type="dxa"/>
            <w:hideMark/>
          </w:tcPr>
          <w:p w14:paraId="0C900A2F"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5,43%</w:t>
            </w:r>
          </w:p>
        </w:tc>
        <w:tc>
          <w:tcPr>
            <w:tcW w:w="1001" w:type="dxa"/>
            <w:hideMark/>
          </w:tcPr>
          <w:p w14:paraId="0CE35E75"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4,09%</w:t>
            </w:r>
          </w:p>
        </w:tc>
      </w:tr>
      <w:tr w:rsidR="00C46123" w:rsidRPr="00CA2760" w14:paraId="3F140FA9" w14:textId="77777777" w:rsidTr="00B87A9B">
        <w:trPr>
          <w:trHeight w:val="264"/>
        </w:trPr>
        <w:tc>
          <w:tcPr>
            <w:tcW w:w="1555" w:type="dxa"/>
            <w:hideMark/>
          </w:tcPr>
          <w:p w14:paraId="0D22DFA5" w14:textId="77777777" w:rsidR="00C46123" w:rsidRPr="00CA2760" w:rsidRDefault="00C46123" w:rsidP="00B87A9B">
            <w:pPr>
              <w:jc w:val="center"/>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Média – 2 DP</w:t>
            </w:r>
          </w:p>
        </w:tc>
        <w:tc>
          <w:tcPr>
            <w:tcW w:w="895" w:type="dxa"/>
            <w:noWrap/>
            <w:hideMark/>
          </w:tcPr>
          <w:p w14:paraId="0DEA80AE"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2,35%</w:t>
            </w:r>
          </w:p>
        </w:tc>
        <w:tc>
          <w:tcPr>
            <w:tcW w:w="958" w:type="dxa"/>
            <w:noWrap/>
            <w:hideMark/>
          </w:tcPr>
          <w:p w14:paraId="78574E7A"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0,97%</w:t>
            </w:r>
          </w:p>
        </w:tc>
        <w:tc>
          <w:tcPr>
            <w:tcW w:w="895" w:type="dxa"/>
            <w:noWrap/>
            <w:hideMark/>
          </w:tcPr>
          <w:p w14:paraId="486A9229"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2,22%</w:t>
            </w:r>
          </w:p>
        </w:tc>
        <w:tc>
          <w:tcPr>
            <w:tcW w:w="895" w:type="dxa"/>
            <w:noWrap/>
            <w:hideMark/>
          </w:tcPr>
          <w:p w14:paraId="3B7601D7"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2,97%</w:t>
            </w:r>
          </w:p>
        </w:tc>
        <w:tc>
          <w:tcPr>
            <w:tcW w:w="1034" w:type="dxa"/>
            <w:noWrap/>
            <w:hideMark/>
          </w:tcPr>
          <w:p w14:paraId="393171DE"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3,22%</w:t>
            </w:r>
          </w:p>
        </w:tc>
        <w:tc>
          <w:tcPr>
            <w:tcW w:w="1319" w:type="dxa"/>
            <w:noWrap/>
            <w:hideMark/>
          </w:tcPr>
          <w:p w14:paraId="38EA268B"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-3,28%</w:t>
            </w:r>
          </w:p>
        </w:tc>
        <w:tc>
          <w:tcPr>
            <w:tcW w:w="1251" w:type="dxa"/>
            <w:noWrap/>
            <w:hideMark/>
          </w:tcPr>
          <w:p w14:paraId="09D5749F"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4,69%</w:t>
            </w:r>
          </w:p>
        </w:tc>
        <w:tc>
          <w:tcPr>
            <w:tcW w:w="1001" w:type="dxa"/>
            <w:noWrap/>
            <w:hideMark/>
          </w:tcPr>
          <w:p w14:paraId="5CE7AE3C" w14:textId="77777777" w:rsidR="00C46123" w:rsidRPr="00CA2760" w:rsidRDefault="00C46123" w:rsidP="00B87A9B">
            <w:pPr>
              <w:jc w:val="right"/>
              <w:rPr>
                <w:rFonts w:ascii="Arial" w:eastAsia="Times New Roman" w:hAnsi="Arial" w:cs="Arial"/>
                <w:bCs/>
                <w:color w:val="000000"/>
                <w:sz w:val="20"/>
                <w:szCs w:val="20"/>
                <w:lang w:val="pt-BR"/>
              </w:rPr>
            </w:pPr>
            <w:r w:rsidRPr="00CA2760">
              <w:rPr>
                <w:rFonts w:ascii="Arial" w:eastAsia="Times New Roman" w:hAnsi="Arial" w:cs="Arial"/>
                <w:bCs/>
                <w:color w:val="000000"/>
                <w:sz w:val="20"/>
                <w:szCs w:val="20"/>
                <w:lang w:val="pt-BR"/>
              </w:rPr>
              <w:t>2,26%</w:t>
            </w:r>
          </w:p>
        </w:tc>
      </w:tr>
    </w:tbl>
    <w:p w14:paraId="7FA99464" w14:textId="77777777" w:rsidR="00C46123" w:rsidRPr="00CA2760" w:rsidRDefault="00C46123" w:rsidP="00C46123">
      <w:pPr>
        <w:rPr>
          <w:rFonts w:ascii="Times New Roman" w:hAnsi="Times New Roman" w:cs="Times New Roman"/>
          <w:lang w:val="pt-BR"/>
        </w:rPr>
      </w:pPr>
      <w:r w:rsidRPr="00CA2760">
        <w:rPr>
          <w:rFonts w:ascii="Times New Roman" w:hAnsi="Times New Roman" w:cs="Times New Roman"/>
          <w:lang w:val="pt-BR"/>
        </w:rPr>
        <w:t>Fonte:  Cálculos dos autores com dados do IpeaData.</w:t>
      </w:r>
    </w:p>
    <w:p w14:paraId="7E1A6C1B" w14:textId="77777777" w:rsidR="001146D6" w:rsidRDefault="001146D6">
      <w:pPr>
        <w:rPr>
          <w:rFonts w:ascii="Times New Roman" w:eastAsia="Times New Roman" w:hAnsi="Times New Roman" w:cs="Times New Roman"/>
          <w:b/>
          <w:sz w:val="24"/>
          <w:szCs w:val="24"/>
          <w:lang w:val="pt-BR" w:eastAsia="pt-BR"/>
        </w:rPr>
      </w:pPr>
      <w:r>
        <w:rPr>
          <w:rFonts w:ascii="Times New Roman" w:eastAsia="Times New Roman" w:hAnsi="Times New Roman" w:cs="Times New Roman"/>
          <w:b/>
          <w:sz w:val="24"/>
          <w:szCs w:val="24"/>
          <w:lang w:val="pt-BR" w:eastAsia="pt-BR"/>
        </w:rPr>
        <w:br w:type="page"/>
      </w:r>
    </w:p>
    <w:p w14:paraId="27AEC3E7" w14:textId="1F1830F2" w:rsidR="00C46123" w:rsidRPr="00CA2760" w:rsidRDefault="00B77382" w:rsidP="00B77382">
      <w:pPr>
        <w:shd w:val="clear" w:color="auto" w:fill="FFFFFF"/>
        <w:spacing w:line="360" w:lineRule="auto"/>
        <w:rPr>
          <w:rFonts w:ascii="Times New Roman" w:eastAsia="Times New Roman" w:hAnsi="Times New Roman" w:cs="Times New Roman"/>
          <w:b/>
          <w:sz w:val="24"/>
          <w:szCs w:val="24"/>
          <w:lang w:val="pt-BR" w:eastAsia="pt-BR"/>
        </w:rPr>
      </w:pPr>
      <w:r>
        <w:rPr>
          <w:rFonts w:ascii="Times New Roman" w:eastAsia="Times New Roman" w:hAnsi="Times New Roman" w:cs="Times New Roman"/>
          <w:b/>
          <w:sz w:val="24"/>
          <w:szCs w:val="24"/>
          <w:lang w:val="pt-BR" w:eastAsia="pt-BR"/>
        </w:rPr>
        <w:lastRenderedPageBreak/>
        <w:t>A competividade do</w:t>
      </w:r>
      <w:r w:rsidR="00C46123" w:rsidRPr="00CA2760">
        <w:rPr>
          <w:rFonts w:ascii="Times New Roman" w:eastAsia="Times New Roman" w:hAnsi="Times New Roman" w:cs="Times New Roman"/>
          <w:b/>
          <w:sz w:val="24"/>
          <w:szCs w:val="24"/>
          <w:lang w:val="pt-BR" w:eastAsia="pt-BR"/>
        </w:rPr>
        <w:t>s termos dos empréstimos d</w:t>
      </w:r>
      <w:r w:rsidR="00D470DF">
        <w:rPr>
          <w:rFonts w:ascii="Times New Roman" w:eastAsia="Times New Roman" w:hAnsi="Times New Roman" w:cs="Times New Roman"/>
          <w:b/>
          <w:sz w:val="24"/>
          <w:szCs w:val="24"/>
          <w:lang w:val="pt-BR" w:eastAsia="pt-BR"/>
        </w:rPr>
        <w:t>o</w:t>
      </w:r>
      <w:r w:rsidR="00C46123" w:rsidRPr="00CA2760">
        <w:rPr>
          <w:rFonts w:ascii="Times New Roman" w:eastAsia="Times New Roman" w:hAnsi="Times New Roman" w:cs="Times New Roman"/>
          <w:b/>
          <w:sz w:val="24"/>
          <w:szCs w:val="24"/>
          <w:lang w:val="pt-BR" w:eastAsia="pt-BR"/>
        </w:rPr>
        <w:t xml:space="preserve"> FDU</w:t>
      </w:r>
    </w:p>
    <w:p w14:paraId="769E4D41" w14:textId="2D97197A" w:rsidR="00C46123" w:rsidRPr="00CA2760" w:rsidRDefault="00C46123" w:rsidP="00C46123">
      <w:pPr>
        <w:spacing w:line="360" w:lineRule="auto"/>
        <w:rPr>
          <w:rFonts w:ascii="Times New Roman" w:eastAsia="Times New Roman" w:hAnsi="Times New Roman" w:cs="Times New Roman"/>
          <w:sz w:val="24"/>
          <w:szCs w:val="24"/>
          <w:lang w:val="pt-BR"/>
        </w:rPr>
      </w:pPr>
      <w:r w:rsidRPr="00A426E1">
        <w:rPr>
          <w:rFonts w:ascii="Times New Roman" w:eastAsia="Times New Roman" w:hAnsi="Times New Roman" w:cs="Times New Roman"/>
          <w:sz w:val="24"/>
          <w:szCs w:val="24"/>
          <w:lang w:val="pt-BR" w:eastAsia="pt-BR"/>
        </w:rPr>
        <w:t xml:space="preserve">Como mostra </w:t>
      </w:r>
      <w:r w:rsidRPr="00A47D27">
        <w:rPr>
          <w:rFonts w:ascii="Times New Roman" w:eastAsia="Times New Roman" w:hAnsi="Times New Roman" w:cs="Times New Roman"/>
          <w:sz w:val="24"/>
          <w:szCs w:val="24"/>
          <w:lang w:val="pt-BR" w:eastAsia="pt-BR"/>
        </w:rPr>
        <w:t xml:space="preserve">a tabela </w:t>
      </w:r>
      <w:r w:rsidR="00716232">
        <w:rPr>
          <w:rFonts w:ascii="Times New Roman" w:eastAsia="Times New Roman" w:hAnsi="Times New Roman" w:cs="Times New Roman"/>
          <w:sz w:val="24"/>
          <w:szCs w:val="24"/>
          <w:lang w:val="pt-BR" w:eastAsia="pt-BR"/>
        </w:rPr>
        <w:t>9</w:t>
      </w:r>
      <w:r w:rsidRPr="00A47D27">
        <w:rPr>
          <w:rFonts w:ascii="Times New Roman" w:eastAsia="Times New Roman" w:hAnsi="Times New Roman" w:cs="Times New Roman"/>
          <w:sz w:val="24"/>
          <w:szCs w:val="24"/>
          <w:lang w:val="pt-BR" w:eastAsia="pt-BR"/>
        </w:rPr>
        <w:t>,</w:t>
      </w:r>
      <w:r w:rsidRPr="00A426E1">
        <w:rPr>
          <w:rFonts w:ascii="Times New Roman" w:eastAsia="Times New Roman" w:hAnsi="Times New Roman" w:cs="Times New Roman"/>
          <w:sz w:val="24"/>
          <w:szCs w:val="24"/>
          <w:lang w:val="pt-BR" w:eastAsia="pt-BR"/>
        </w:rPr>
        <w:t xml:space="preserve"> </w:t>
      </w:r>
      <w:r w:rsidR="008350EB">
        <w:rPr>
          <w:rFonts w:ascii="Times New Roman" w:eastAsia="Times New Roman" w:hAnsi="Times New Roman" w:cs="Times New Roman"/>
          <w:sz w:val="24"/>
          <w:szCs w:val="24"/>
          <w:lang w:val="pt-BR" w:eastAsia="pt-BR"/>
        </w:rPr>
        <w:t>houve</w:t>
      </w:r>
      <w:r w:rsidRPr="00A426E1">
        <w:rPr>
          <w:rFonts w:ascii="Times New Roman" w:eastAsia="Times New Roman" w:hAnsi="Times New Roman" w:cs="Times New Roman"/>
          <w:sz w:val="24"/>
          <w:szCs w:val="24"/>
          <w:lang w:val="pt-BR" w:eastAsia="pt-BR"/>
        </w:rPr>
        <w:t xml:space="preserve"> uma demanda significativa por empréstimos municipais do FDU durante o </w:t>
      </w:r>
      <w:r w:rsidR="008350EB">
        <w:rPr>
          <w:rFonts w:ascii="Times New Roman" w:eastAsia="Times New Roman" w:hAnsi="Times New Roman" w:cs="Times New Roman"/>
          <w:sz w:val="24"/>
          <w:szCs w:val="24"/>
          <w:lang w:val="pt-BR" w:eastAsia="pt-BR"/>
        </w:rPr>
        <w:t xml:space="preserve">período de </w:t>
      </w:r>
      <w:r w:rsidRPr="00A426E1">
        <w:rPr>
          <w:rFonts w:ascii="Times New Roman" w:eastAsia="Times New Roman" w:hAnsi="Times New Roman" w:cs="Times New Roman"/>
          <w:sz w:val="24"/>
          <w:szCs w:val="24"/>
          <w:lang w:val="pt-BR" w:eastAsia="pt-BR"/>
        </w:rPr>
        <w:t>2007/2017,</w:t>
      </w:r>
      <w:r w:rsidRPr="00CA2760">
        <w:rPr>
          <w:rFonts w:ascii="Times New Roman" w:eastAsia="Times New Roman" w:hAnsi="Times New Roman" w:cs="Times New Roman"/>
          <w:sz w:val="24"/>
          <w:szCs w:val="24"/>
          <w:lang w:val="pt-BR" w:eastAsia="pt-BR"/>
        </w:rPr>
        <w:t xml:space="preserve"> apesar das altas taxas de juros, tendências macroeconômicas desfavoráveis e concorrência da Caixa ou do BNDES.  </w:t>
      </w:r>
      <w:r w:rsidRPr="00CA2760">
        <w:rPr>
          <w:rFonts w:ascii="Times New Roman" w:hAnsi="Times New Roman" w:cs="Times New Roman"/>
          <w:sz w:val="24"/>
          <w:szCs w:val="24"/>
          <w:lang w:val="pt-BR"/>
        </w:rPr>
        <w:t xml:space="preserve">Já que </w:t>
      </w:r>
      <w:r w:rsidR="00B91243">
        <w:rPr>
          <w:rFonts w:ascii="Times New Roman" w:hAnsi="Times New Roman" w:cs="Times New Roman"/>
          <w:sz w:val="24"/>
          <w:szCs w:val="24"/>
          <w:lang w:val="pt-BR"/>
        </w:rPr>
        <w:t>estes bancos do setor público</w:t>
      </w:r>
      <w:r w:rsidRPr="00CA2760">
        <w:rPr>
          <w:rFonts w:ascii="Times New Roman" w:hAnsi="Times New Roman" w:cs="Times New Roman"/>
          <w:sz w:val="24"/>
          <w:szCs w:val="24"/>
          <w:lang w:val="pt-BR"/>
        </w:rPr>
        <w:t xml:space="preserve"> tem acesso a financiamento abaixo das taxas de juros do mercado, essas taxas tornam-se atraentes para financiar os municípios.  De acordo com </w:t>
      </w:r>
      <w:r w:rsidRPr="00CA2760">
        <w:rPr>
          <w:rFonts w:ascii="Times New Roman" w:eastAsia="Times New Roman" w:hAnsi="Times New Roman" w:cs="Times New Roman"/>
          <w:sz w:val="24"/>
          <w:szCs w:val="24"/>
          <w:lang w:val="pt-BR" w:eastAsia="pt-BR"/>
        </w:rPr>
        <w:t xml:space="preserve">o BNDES, “O saldo devedor de estados e municípios começou a crescer a partir de 2009 e aumentou sobretudo a partir de 2013. Em 2004, a participação percentual dos estados e municípios na carteira do BNDES era de cerca de 3% (R$5 bilhões, em valores da época) e, em 2016, a participação subiu para mais de 8% (cerca de R$50 bilhões).” </w:t>
      </w:r>
      <w:r w:rsidRPr="00CA2760">
        <w:rPr>
          <w:rFonts w:ascii="Times New Roman" w:eastAsia="Times New Roman" w:hAnsi="Times New Roman" w:cs="Times New Roman"/>
          <w:sz w:val="24"/>
          <w:szCs w:val="24"/>
          <w:lang w:val="pt-BR"/>
        </w:rPr>
        <w:t>Em abril de 2018, a Caixa teve em análise uma carteira com 10.821 pedidos de financiamento dos estados e municípios no valor total de R</w:t>
      </w:r>
      <w:r w:rsidR="008C5690">
        <w:rPr>
          <w:rFonts w:ascii="Times New Roman" w:eastAsia="Times New Roman" w:hAnsi="Times New Roman" w:cs="Times New Roman"/>
          <w:sz w:val="24"/>
          <w:szCs w:val="24"/>
          <w:lang w:val="pt-BR"/>
        </w:rPr>
        <w:t>$</w:t>
      </w:r>
      <w:r w:rsidRPr="00CA2760">
        <w:rPr>
          <w:rFonts w:ascii="Times New Roman" w:eastAsia="Times New Roman" w:hAnsi="Times New Roman" w:cs="Times New Roman"/>
          <w:sz w:val="24"/>
          <w:szCs w:val="24"/>
          <w:lang w:val="pt-BR"/>
        </w:rPr>
        <w:t>19</w:t>
      </w:r>
      <w:r w:rsidR="00D63050">
        <w:rPr>
          <w:rFonts w:ascii="Times New Roman" w:eastAsia="Times New Roman" w:hAnsi="Times New Roman" w:cs="Times New Roman"/>
          <w:sz w:val="24"/>
          <w:szCs w:val="24"/>
          <w:lang w:val="pt-BR"/>
        </w:rPr>
        <w:t>,</w:t>
      </w:r>
      <w:r w:rsidRPr="00CA2760">
        <w:rPr>
          <w:rFonts w:ascii="Times New Roman" w:eastAsia="Times New Roman" w:hAnsi="Times New Roman" w:cs="Times New Roman"/>
          <w:sz w:val="24"/>
          <w:szCs w:val="24"/>
          <w:lang w:val="pt-BR"/>
        </w:rPr>
        <w:t>1</w:t>
      </w:r>
      <w:r w:rsidR="00B91243">
        <w:rPr>
          <w:rFonts w:ascii="Times New Roman" w:eastAsia="Times New Roman" w:hAnsi="Times New Roman" w:cs="Times New Roman"/>
          <w:sz w:val="24"/>
          <w:szCs w:val="24"/>
          <w:lang w:val="pt-BR"/>
        </w:rPr>
        <w:t xml:space="preserve"> </w:t>
      </w:r>
      <w:r w:rsidRPr="00CA2760">
        <w:rPr>
          <w:rFonts w:ascii="Times New Roman" w:eastAsia="Times New Roman" w:hAnsi="Times New Roman" w:cs="Times New Roman"/>
          <w:sz w:val="24"/>
          <w:szCs w:val="24"/>
          <w:lang w:val="pt-BR"/>
        </w:rPr>
        <w:t xml:space="preserve">bilhões, somando financiamentos com recursos próprios e do </w:t>
      </w:r>
      <w:r w:rsidRPr="00CA2760">
        <w:rPr>
          <w:rFonts w:ascii="Times New Roman" w:eastAsia="Times New Roman" w:hAnsi="Times New Roman" w:cs="Times New Roman"/>
          <w:iCs/>
          <w:sz w:val="24"/>
          <w:szCs w:val="24"/>
          <w:lang w:val="pt-BR"/>
        </w:rPr>
        <w:t xml:space="preserve">Fundo de Garantia </w:t>
      </w:r>
      <w:r w:rsidR="00B91243">
        <w:rPr>
          <w:rFonts w:ascii="Times New Roman" w:eastAsia="Times New Roman" w:hAnsi="Times New Roman" w:cs="Times New Roman"/>
          <w:iCs/>
          <w:sz w:val="24"/>
          <w:szCs w:val="24"/>
          <w:lang w:val="pt-BR"/>
        </w:rPr>
        <w:t>por</w:t>
      </w:r>
      <w:r w:rsidRPr="00CA2760">
        <w:rPr>
          <w:rFonts w:ascii="Times New Roman" w:eastAsia="Times New Roman" w:hAnsi="Times New Roman" w:cs="Times New Roman"/>
          <w:iCs/>
          <w:sz w:val="24"/>
          <w:szCs w:val="24"/>
          <w:lang w:val="pt-BR"/>
        </w:rPr>
        <w:t xml:space="preserve"> Tempo de Serviço (</w:t>
      </w:r>
      <w:r w:rsidRPr="00CA2760">
        <w:rPr>
          <w:rFonts w:ascii="Times New Roman" w:eastAsia="Times New Roman" w:hAnsi="Times New Roman" w:cs="Times New Roman"/>
          <w:bCs/>
          <w:sz w:val="24"/>
          <w:szCs w:val="24"/>
          <w:lang w:val="pt-BR"/>
        </w:rPr>
        <w:t>FGTS)</w:t>
      </w:r>
      <w:r w:rsidRPr="00CA2760">
        <w:rPr>
          <w:rFonts w:ascii="Times New Roman" w:eastAsia="Times New Roman" w:hAnsi="Times New Roman" w:cs="Times New Roman"/>
          <w:sz w:val="24"/>
          <w:szCs w:val="24"/>
          <w:lang w:val="pt-BR"/>
        </w:rPr>
        <w:t>.</w:t>
      </w:r>
      <w:r w:rsidRPr="00CA2760">
        <w:rPr>
          <w:rStyle w:val="FootnoteReference"/>
          <w:rFonts w:ascii="Times New Roman" w:eastAsia="Times New Roman" w:hAnsi="Times New Roman" w:cs="Times New Roman"/>
          <w:sz w:val="24"/>
          <w:szCs w:val="24"/>
          <w:lang w:val="pt-BR"/>
        </w:rPr>
        <w:footnoteReference w:id="7"/>
      </w:r>
    </w:p>
    <w:p w14:paraId="3206BCBC" w14:textId="2BFF75D2" w:rsidR="00C46123" w:rsidRPr="00CA2760" w:rsidRDefault="00C46123" w:rsidP="00C46123">
      <w:pPr>
        <w:shd w:val="clear" w:color="auto" w:fill="FFFFFF"/>
        <w:spacing w:line="360" w:lineRule="auto"/>
        <w:rPr>
          <w:rFonts w:ascii="Times New Roman" w:eastAsia="Arial" w:hAnsi="Times New Roman" w:cs="Times New Roman"/>
          <w:sz w:val="24"/>
          <w:szCs w:val="24"/>
          <w:lang w:val="pt-BR"/>
        </w:rPr>
      </w:pPr>
      <w:r w:rsidRPr="00CA2760">
        <w:rPr>
          <w:rFonts w:ascii="Times New Roman" w:hAnsi="Times New Roman" w:cs="Times New Roman"/>
          <w:sz w:val="24"/>
          <w:szCs w:val="24"/>
          <w:lang w:val="pt-BR"/>
        </w:rPr>
        <w:t xml:space="preserve">A disponibilidade de recursos financeiros do SFM, Caixa e BNDES é baixa em comparação com a demanda potencial dos municípios do Paraná, </w:t>
      </w:r>
      <w:bookmarkStart w:id="22" w:name="_Hlk513018910"/>
      <w:r w:rsidRPr="00CA2760">
        <w:rPr>
          <w:rFonts w:ascii="Times New Roman" w:hAnsi="Times New Roman" w:cs="Times New Roman"/>
          <w:sz w:val="24"/>
          <w:szCs w:val="24"/>
          <w:lang w:val="pt-BR"/>
        </w:rPr>
        <w:t xml:space="preserve">estimada em cerca de R$2,7 bilhões ao ano para o conjunto dos 399 municípios paranaenses, conforme descrito na Carta Consulta </w:t>
      </w:r>
      <w:bookmarkEnd w:id="22"/>
      <w:r w:rsidRPr="00CA2760">
        <w:rPr>
          <w:rFonts w:ascii="Times New Roman" w:eastAsia="Arial" w:hAnsi="Times New Roman" w:cs="Times New Roman"/>
          <w:sz w:val="24"/>
          <w:szCs w:val="24"/>
          <w:lang w:val="pt-BR"/>
        </w:rPr>
        <w:t>(Paraná, 2017)</w:t>
      </w:r>
      <w:r w:rsidR="000529F0">
        <w:rPr>
          <w:rFonts w:ascii="Times New Roman" w:eastAsia="Arial" w:hAnsi="Times New Roman" w:cs="Times New Roman"/>
          <w:sz w:val="24"/>
          <w:szCs w:val="24"/>
          <w:lang w:val="pt-BR"/>
        </w:rPr>
        <w:t>:</w:t>
      </w:r>
      <w:r w:rsidRPr="00CA2760">
        <w:rPr>
          <w:rStyle w:val="FootnoteReference"/>
          <w:rFonts w:ascii="Times New Roman" w:eastAsia="Arial" w:hAnsi="Times New Roman" w:cs="Times New Roman"/>
          <w:spacing w:val="10"/>
          <w:sz w:val="24"/>
          <w:szCs w:val="24"/>
          <w:lang w:val="pt-BR"/>
        </w:rPr>
        <w:footnoteReference w:id="8"/>
      </w:r>
      <w:r w:rsidRPr="00CA2760">
        <w:rPr>
          <w:rFonts w:ascii="Times New Roman" w:eastAsia="Arial" w:hAnsi="Times New Roman" w:cs="Times New Roman"/>
          <w:spacing w:val="10"/>
          <w:sz w:val="24"/>
          <w:szCs w:val="24"/>
          <w:lang w:val="pt-BR"/>
        </w:rPr>
        <w:t xml:space="preserve"> </w:t>
      </w:r>
      <w:r w:rsidRPr="00CA2760">
        <w:rPr>
          <w:rFonts w:ascii="Times New Roman" w:hAnsi="Times New Roman" w:cs="Times New Roman"/>
          <w:sz w:val="24"/>
          <w:szCs w:val="24"/>
          <w:lang w:val="pt-BR"/>
        </w:rPr>
        <w:t xml:space="preserve"> “Deste modo, existe uma demanda reprimida significativa o que cria condições de absorção de oferta adicional de recursos de financiamento</w:t>
      </w:r>
      <w:r w:rsidRPr="00CA2760">
        <w:rPr>
          <w:rFonts w:ascii="Times New Roman" w:eastAsia="Arial" w:hAnsi="Times New Roman" w:cs="Times New Roman"/>
          <w:spacing w:val="10"/>
          <w:sz w:val="24"/>
          <w:szCs w:val="24"/>
          <w:lang w:val="pt-BR"/>
        </w:rPr>
        <w:t xml:space="preserve">. </w:t>
      </w:r>
      <w:r w:rsidRPr="00CA2760">
        <w:rPr>
          <w:rFonts w:ascii="Times New Roman" w:eastAsia="Arial" w:hAnsi="Times New Roman" w:cs="Times New Roman"/>
          <w:sz w:val="24"/>
          <w:szCs w:val="24"/>
          <w:lang w:val="pt-BR"/>
        </w:rPr>
        <w:t>O SFM é responsável atualmente por cerca de 50% das operações contratadas pelos municípios, participação que poderá aumentar ainda mais se a disponibilidade anual de recursos for complementada pela operação Paraná III.</w:t>
      </w:r>
      <w:r w:rsidR="000529F0">
        <w:rPr>
          <w:rFonts w:ascii="Times New Roman" w:eastAsia="Arial" w:hAnsi="Times New Roman" w:cs="Times New Roman"/>
          <w:sz w:val="24"/>
          <w:szCs w:val="24"/>
          <w:lang w:val="pt-BR"/>
        </w:rPr>
        <w:t>”</w:t>
      </w:r>
    </w:p>
    <w:p w14:paraId="47835788" w14:textId="58020C56" w:rsidR="00C46123" w:rsidRPr="00CA2760" w:rsidRDefault="00C46123" w:rsidP="00C46123">
      <w:pPr>
        <w:shd w:val="clear" w:color="auto" w:fill="FFFFFF"/>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O SFM tem uma série de vantagens competitivas significativas em empréstimos municipais, especialmente para municípios de pequeno porte populacional. Em primeiro lugar, o SFM empresta apenas aos municípios do Paraná e oferece uma ampla gama de assistência técnica a eles. Por exemplo, o SFM tem uma equipe inteira de especialistas que podem ajudar os municípios a navegar através da teia muito complexa de leis e regulamentos que controlam empréstimos aos municípios brasileiros. Esta assistência é, naturalmente, particularmente </w:t>
      </w:r>
      <w:r w:rsidRPr="00CA2760">
        <w:rPr>
          <w:rFonts w:ascii="Times New Roman" w:hAnsi="Times New Roman" w:cs="Times New Roman"/>
          <w:sz w:val="24"/>
          <w:szCs w:val="24"/>
          <w:lang w:val="pt-BR"/>
        </w:rPr>
        <w:lastRenderedPageBreak/>
        <w:t xml:space="preserve">importante para os municípios com </w:t>
      </w:r>
      <w:r w:rsidR="00EF4705">
        <w:rPr>
          <w:rFonts w:ascii="Times New Roman" w:hAnsi="Times New Roman" w:cs="Times New Roman"/>
          <w:sz w:val="24"/>
          <w:szCs w:val="24"/>
          <w:lang w:val="pt-BR"/>
        </w:rPr>
        <w:t>menos</w:t>
      </w:r>
      <w:r w:rsidRPr="00CA2760">
        <w:rPr>
          <w:rFonts w:ascii="Times New Roman" w:hAnsi="Times New Roman" w:cs="Times New Roman"/>
          <w:sz w:val="24"/>
          <w:szCs w:val="24"/>
          <w:lang w:val="pt-BR"/>
        </w:rPr>
        <w:t xml:space="preserve"> capacidade técnica.</w:t>
      </w:r>
      <w:r w:rsidR="000529F0">
        <w:rPr>
          <w:rFonts w:ascii="Times New Roman" w:hAnsi="Times New Roman" w:cs="Times New Roman"/>
          <w:sz w:val="24"/>
          <w:szCs w:val="24"/>
          <w:lang w:val="pt-BR"/>
        </w:rPr>
        <w:t xml:space="preserve">  Uma outra vantagem é que o SFM </w:t>
      </w:r>
      <w:r w:rsidR="00843F6E" w:rsidRPr="00843F6E">
        <w:rPr>
          <w:rFonts w:ascii="Times New Roman" w:hAnsi="Times New Roman" w:cs="Times New Roman"/>
          <w:sz w:val="24"/>
          <w:szCs w:val="24"/>
          <w:lang w:val="pt-BR"/>
        </w:rPr>
        <w:t>financia 100% do custo total do projeto na maioria dos casos.</w:t>
      </w:r>
    </w:p>
    <w:p w14:paraId="14C1D114" w14:textId="150D0B7E" w:rsidR="00C46123" w:rsidRPr="00CA2760" w:rsidRDefault="00C46123" w:rsidP="00C46123">
      <w:pPr>
        <w:shd w:val="clear" w:color="auto" w:fill="FFFFFF"/>
        <w:spacing w:line="360" w:lineRule="auto"/>
        <w:rPr>
          <w:rFonts w:ascii="Times New Roman" w:hAnsi="Times New Roman" w:cs="Times New Roman"/>
          <w:sz w:val="24"/>
          <w:szCs w:val="24"/>
          <w:lang w:val="pt-BR"/>
        </w:rPr>
      </w:pPr>
      <w:r w:rsidRPr="00150880">
        <w:rPr>
          <w:rFonts w:ascii="Times New Roman" w:hAnsi="Times New Roman" w:cs="Times New Roman"/>
          <w:sz w:val="24"/>
          <w:szCs w:val="24"/>
          <w:lang w:val="pt-BR"/>
        </w:rPr>
        <w:t xml:space="preserve">Desta maneira, o SFM formou uma forte relação com os municípios nas últimas décadas. Além disso, o SMF empresta seu próprio capital e, portanto, não tem custo de </w:t>
      </w:r>
      <w:r w:rsidR="00EF4705" w:rsidRPr="00150880">
        <w:rPr>
          <w:rFonts w:ascii="Times New Roman" w:hAnsi="Times New Roman" w:cs="Times New Roman"/>
          <w:i/>
          <w:sz w:val="24"/>
          <w:szCs w:val="24"/>
          <w:lang w:val="pt-BR"/>
        </w:rPr>
        <w:t>funding</w:t>
      </w:r>
      <w:r w:rsidRPr="00150880">
        <w:rPr>
          <w:rFonts w:ascii="Times New Roman" w:hAnsi="Times New Roman" w:cs="Times New Roman"/>
          <w:sz w:val="24"/>
          <w:szCs w:val="24"/>
          <w:lang w:val="pt-BR"/>
        </w:rPr>
        <w:t>. Dada</w:t>
      </w:r>
      <w:r w:rsidRPr="00CA2760">
        <w:rPr>
          <w:rFonts w:ascii="Times New Roman" w:hAnsi="Times New Roman" w:cs="Times New Roman"/>
          <w:sz w:val="24"/>
          <w:szCs w:val="24"/>
          <w:lang w:val="pt-BR"/>
        </w:rPr>
        <w:t xml:space="preserve"> esta vantagem, o SFM pode continuar a competir eficazmente com a Caixa e o BNDES, </w:t>
      </w:r>
      <w:r w:rsidR="00EF4705" w:rsidRPr="00EF4705">
        <w:rPr>
          <w:rFonts w:ascii="Times New Roman" w:hAnsi="Times New Roman" w:cs="Times New Roman"/>
          <w:sz w:val="24"/>
          <w:szCs w:val="24"/>
          <w:lang w:val="pt-BR"/>
        </w:rPr>
        <w:t xml:space="preserve">mesmo que tenham acesso a financiamento </w:t>
      </w:r>
      <w:r w:rsidR="007A3143">
        <w:rPr>
          <w:rFonts w:ascii="Times New Roman" w:hAnsi="Times New Roman" w:cs="Times New Roman"/>
          <w:sz w:val="24"/>
          <w:szCs w:val="24"/>
          <w:lang w:val="pt-BR"/>
        </w:rPr>
        <w:t>com</w:t>
      </w:r>
      <w:r w:rsidR="00EF4705" w:rsidRPr="00EF4705">
        <w:rPr>
          <w:rFonts w:ascii="Times New Roman" w:hAnsi="Times New Roman" w:cs="Times New Roman"/>
          <w:sz w:val="24"/>
          <w:szCs w:val="24"/>
          <w:lang w:val="pt-BR"/>
        </w:rPr>
        <w:t xml:space="preserve"> taxas de juros abaixo do mercado</w:t>
      </w:r>
      <w:r w:rsidR="00EF4705" w:rsidRPr="00CA2760">
        <w:rPr>
          <w:rFonts w:ascii="Times New Roman" w:hAnsi="Times New Roman" w:cs="Times New Roman"/>
          <w:sz w:val="24"/>
          <w:szCs w:val="24"/>
          <w:lang w:val="pt-BR"/>
        </w:rPr>
        <w:t xml:space="preserve"> </w:t>
      </w:r>
      <w:r w:rsidRPr="00CA2760">
        <w:rPr>
          <w:rFonts w:ascii="Times New Roman" w:hAnsi="Times New Roman" w:cs="Times New Roman"/>
          <w:sz w:val="24"/>
          <w:szCs w:val="24"/>
          <w:lang w:val="pt-BR"/>
        </w:rPr>
        <w:t>(por exemplo, do FGTS e do F</w:t>
      </w:r>
      <w:r w:rsidR="007A3143">
        <w:rPr>
          <w:rFonts w:ascii="Times New Roman" w:hAnsi="Times New Roman" w:cs="Times New Roman"/>
          <w:sz w:val="24"/>
          <w:szCs w:val="24"/>
          <w:lang w:val="pt-BR"/>
        </w:rPr>
        <w:t xml:space="preserve">undo de </w:t>
      </w:r>
      <w:r w:rsidRPr="00CA2760">
        <w:rPr>
          <w:rFonts w:ascii="Times New Roman" w:hAnsi="Times New Roman" w:cs="Times New Roman"/>
          <w:sz w:val="24"/>
          <w:szCs w:val="24"/>
          <w:lang w:val="pt-BR"/>
        </w:rPr>
        <w:t>A</w:t>
      </w:r>
      <w:r w:rsidR="007A3143">
        <w:rPr>
          <w:rFonts w:ascii="Times New Roman" w:hAnsi="Times New Roman" w:cs="Times New Roman"/>
          <w:sz w:val="24"/>
          <w:szCs w:val="24"/>
          <w:lang w:val="pt-BR"/>
        </w:rPr>
        <w:t xml:space="preserve">mparo ao </w:t>
      </w:r>
      <w:r w:rsidRPr="00CA2760">
        <w:rPr>
          <w:rFonts w:ascii="Times New Roman" w:hAnsi="Times New Roman" w:cs="Times New Roman"/>
          <w:sz w:val="24"/>
          <w:szCs w:val="24"/>
          <w:lang w:val="pt-BR"/>
        </w:rPr>
        <w:t>T</w:t>
      </w:r>
      <w:r w:rsidR="007A3143">
        <w:rPr>
          <w:rFonts w:ascii="Times New Roman" w:hAnsi="Times New Roman" w:cs="Times New Roman"/>
          <w:sz w:val="24"/>
          <w:szCs w:val="24"/>
          <w:lang w:val="pt-BR"/>
        </w:rPr>
        <w:t>rabalhador- FAT</w:t>
      </w:r>
      <w:r w:rsidRPr="00CA2760">
        <w:rPr>
          <w:rFonts w:ascii="Times New Roman" w:hAnsi="Times New Roman" w:cs="Times New Roman"/>
          <w:sz w:val="24"/>
          <w:szCs w:val="24"/>
          <w:lang w:val="pt-BR"/>
        </w:rPr>
        <w:t xml:space="preserve">). </w:t>
      </w:r>
    </w:p>
    <w:p w14:paraId="6A7EA97B" w14:textId="23E81517" w:rsidR="00C46123" w:rsidRPr="00CA2760" w:rsidRDefault="00C46123" w:rsidP="00C46123">
      <w:pPr>
        <w:shd w:val="clear" w:color="auto" w:fill="FFFFFF"/>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Os riscos de empréstimos municipais e de </w:t>
      </w:r>
      <w:r w:rsidR="003C0048">
        <w:rPr>
          <w:rFonts w:ascii="Times New Roman" w:hAnsi="Times New Roman" w:cs="Times New Roman"/>
          <w:sz w:val="24"/>
          <w:szCs w:val="24"/>
          <w:lang w:val="pt-BR"/>
        </w:rPr>
        <w:t xml:space="preserve">seu </w:t>
      </w:r>
      <w:r w:rsidRPr="00CA2760">
        <w:rPr>
          <w:rFonts w:ascii="Times New Roman" w:hAnsi="Times New Roman" w:cs="Times New Roman"/>
          <w:sz w:val="24"/>
          <w:szCs w:val="24"/>
          <w:lang w:val="pt-BR"/>
        </w:rPr>
        <w:t xml:space="preserve">alto custo de </w:t>
      </w:r>
      <w:r w:rsidRPr="00CA2760">
        <w:rPr>
          <w:rFonts w:ascii="Times New Roman" w:hAnsi="Times New Roman" w:cs="Times New Roman"/>
          <w:i/>
          <w:sz w:val="24"/>
          <w:szCs w:val="24"/>
          <w:lang w:val="pt-BR"/>
        </w:rPr>
        <w:t xml:space="preserve">funding </w:t>
      </w:r>
      <w:r w:rsidRPr="00CA2760">
        <w:rPr>
          <w:rFonts w:ascii="Times New Roman" w:hAnsi="Times New Roman" w:cs="Times New Roman"/>
          <w:sz w:val="24"/>
          <w:szCs w:val="24"/>
          <w:lang w:val="pt-BR"/>
        </w:rPr>
        <w:t xml:space="preserve">empurram os entes financeiros privados para fora do mercado municipal. </w:t>
      </w:r>
      <w:r w:rsidRPr="00150880">
        <w:rPr>
          <w:rFonts w:ascii="Times New Roman" w:hAnsi="Times New Roman" w:cs="Times New Roman"/>
          <w:sz w:val="24"/>
          <w:szCs w:val="24"/>
          <w:lang w:val="pt-BR"/>
        </w:rPr>
        <w:t>Com base em experiência de longa data, a percepção geral do setor privado é de que os municípios não possuem bons graus de risco de crédito.</w:t>
      </w:r>
      <w:r w:rsidRPr="00CA2760">
        <w:rPr>
          <w:rFonts w:ascii="Times New Roman" w:hAnsi="Times New Roman" w:cs="Times New Roman"/>
          <w:sz w:val="24"/>
          <w:szCs w:val="24"/>
          <w:lang w:val="pt-BR"/>
        </w:rPr>
        <w:t xml:space="preserve"> Além disso, os credores do setor privado normalmente não teriam acesso à garantia das transferências para os </w:t>
      </w:r>
      <w:r w:rsidR="0084383C" w:rsidRPr="00CA2760">
        <w:rPr>
          <w:rFonts w:ascii="Times New Roman" w:hAnsi="Times New Roman" w:cs="Times New Roman"/>
          <w:sz w:val="24"/>
          <w:szCs w:val="24"/>
          <w:lang w:val="pt-BR"/>
        </w:rPr>
        <w:t>municípios</w:t>
      </w:r>
      <w:r w:rsidRPr="00CA2760">
        <w:rPr>
          <w:rFonts w:ascii="Times New Roman" w:hAnsi="Times New Roman" w:cs="Times New Roman"/>
          <w:sz w:val="24"/>
          <w:szCs w:val="24"/>
          <w:lang w:val="pt-BR"/>
        </w:rPr>
        <w:t xml:space="preserve"> dos governos estaduais e </w:t>
      </w:r>
      <w:r w:rsidRPr="0005602F">
        <w:rPr>
          <w:rFonts w:ascii="Times New Roman" w:hAnsi="Times New Roman" w:cs="Times New Roman"/>
          <w:sz w:val="24"/>
          <w:szCs w:val="24"/>
          <w:lang w:val="pt-BR"/>
        </w:rPr>
        <w:t xml:space="preserve">federal. </w:t>
      </w:r>
      <w:r w:rsidRPr="005D6609">
        <w:rPr>
          <w:rFonts w:ascii="Times New Roman" w:hAnsi="Times New Roman" w:cs="Times New Roman"/>
          <w:sz w:val="24"/>
          <w:szCs w:val="24"/>
          <w:lang w:val="pt-BR"/>
        </w:rPr>
        <w:t xml:space="preserve">Os credores do setor privado também precisariam de </w:t>
      </w:r>
      <w:r w:rsidRPr="005D6609">
        <w:rPr>
          <w:rFonts w:ascii="Times New Roman" w:hAnsi="Times New Roman" w:cs="Times New Roman"/>
          <w:i/>
          <w:sz w:val="24"/>
          <w:szCs w:val="24"/>
          <w:lang w:val="pt-BR"/>
        </w:rPr>
        <w:t>funding</w:t>
      </w:r>
      <w:r w:rsidRPr="005D6609">
        <w:rPr>
          <w:rFonts w:ascii="Times New Roman" w:hAnsi="Times New Roman" w:cs="Times New Roman"/>
          <w:sz w:val="24"/>
          <w:szCs w:val="24"/>
          <w:lang w:val="pt-BR"/>
        </w:rPr>
        <w:t xml:space="preserve"> com as altas taxas de juros do mercado financeiro.</w:t>
      </w:r>
      <w:r w:rsidRPr="00CA2760">
        <w:rPr>
          <w:rFonts w:ascii="Times New Roman" w:hAnsi="Times New Roman" w:cs="Times New Roman"/>
          <w:sz w:val="24"/>
          <w:szCs w:val="24"/>
          <w:lang w:val="pt-BR"/>
        </w:rPr>
        <w:t xml:space="preserve">  Por exemplo, a taxa anual Selic</w:t>
      </w:r>
      <w:r w:rsidRPr="00CA2760">
        <w:rPr>
          <w:rStyle w:val="FootnoteReference"/>
          <w:rFonts w:ascii="Times New Roman" w:hAnsi="Times New Roman" w:cs="Times New Roman"/>
          <w:sz w:val="24"/>
          <w:szCs w:val="24"/>
          <w:lang w:val="pt-BR"/>
        </w:rPr>
        <w:footnoteReference w:id="9"/>
      </w:r>
      <w:r w:rsidRPr="00CA2760">
        <w:rPr>
          <w:rFonts w:ascii="Times New Roman" w:hAnsi="Times New Roman" w:cs="Times New Roman"/>
          <w:sz w:val="24"/>
          <w:szCs w:val="24"/>
          <w:lang w:val="pt-BR"/>
        </w:rPr>
        <w:t>/overnight foi para 14</w:t>
      </w:r>
      <w:r w:rsidR="00837606">
        <w:rPr>
          <w:rFonts w:ascii="Times New Roman" w:hAnsi="Times New Roman" w:cs="Times New Roman"/>
          <w:sz w:val="24"/>
          <w:szCs w:val="24"/>
          <w:lang w:val="pt-BR"/>
        </w:rPr>
        <w:t>,</w:t>
      </w:r>
      <w:r w:rsidRPr="00CA2760">
        <w:rPr>
          <w:rFonts w:ascii="Times New Roman" w:hAnsi="Times New Roman" w:cs="Times New Roman"/>
          <w:sz w:val="24"/>
          <w:szCs w:val="24"/>
          <w:lang w:val="pt-BR"/>
        </w:rPr>
        <w:t xml:space="preserve">1% em 2015.  Assim sendo, um credor privado teria que fazer o financiamento aproximadamente nesta taxa, além de cobrar </w:t>
      </w:r>
      <w:r w:rsidR="0084383C" w:rsidRPr="00CA2760">
        <w:rPr>
          <w:rFonts w:ascii="Times New Roman" w:hAnsi="Times New Roman" w:cs="Times New Roman"/>
          <w:sz w:val="24"/>
          <w:szCs w:val="24"/>
          <w:lang w:val="pt-BR"/>
        </w:rPr>
        <w:t>uma margem</w:t>
      </w:r>
      <w:r w:rsidRPr="00CA2760">
        <w:rPr>
          <w:rFonts w:ascii="Times New Roman" w:hAnsi="Times New Roman" w:cs="Times New Roman"/>
          <w:sz w:val="24"/>
          <w:szCs w:val="24"/>
          <w:lang w:val="pt-BR"/>
        </w:rPr>
        <w:t xml:space="preserve"> para cobrir o risco de crédito municipal de um empréstimo ao longo prazo. </w:t>
      </w:r>
    </w:p>
    <w:p w14:paraId="1838BCE3" w14:textId="76FA6A90" w:rsidR="00C46123" w:rsidRPr="00CA2760" w:rsidRDefault="00C46123" w:rsidP="00C46123">
      <w:pPr>
        <w:shd w:val="clear" w:color="auto" w:fill="FFFFFF"/>
        <w:spacing w:line="360" w:lineRule="auto"/>
        <w:rPr>
          <w:rFonts w:ascii="Times New Roman" w:hAnsi="Times New Roman" w:cs="Times New Roman"/>
          <w:b/>
          <w:sz w:val="24"/>
          <w:szCs w:val="24"/>
          <w:lang w:val="pt-BR"/>
        </w:rPr>
      </w:pPr>
      <w:r w:rsidRPr="00150880">
        <w:rPr>
          <w:rFonts w:ascii="Times New Roman" w:eastAsia="Times New Roman" w:hAnsi="Times New Roman" w:cs="Times New Roman"/>
          <w:b/>
          <w:sz w:val="24"/>
          <w:szCs w:val="24"/>
          <w:lang w:val="pt-BR"/>
        </w:rPr>
        <w:t>A Taxa de Longo Prazo</w:t>
      </w:r>
    </w:p>
    <w:p w14:paraId="53B304D7" w14:textId="32054E3A" w:rsidR="00C46123" w:rsidRPr="00CA2760" w:rsidRDefault="00C46123" w:rsidP="00C46123">
      <w:pPr>
        <w:shd w:val="clear" w:color="auto" w:fill="FFFFFF"/>
        <w:spacing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rPr>
        <w:t xml:space="preserve">Em 2017, o CMN definiu a metodologia para o cálculo da TLP que é composta pela indexação utilizando o IPCA e por uma margem prefixada equivalente </w:t>
      </w:r>
      <w:r w:rsidRPr="00CA2760">
        <w:rPr>
          <w:rFonts w:ascii="Times New Roman" w:hAnsi="Times New Roman" w:cs="Times New Roman"/>
          <w:sz w:val="24"/>
          <w:szCs w:val="24"/>
          <w:lang w:val="pt-BR"/>
        </w:rPr>
        <w:t>aos títulos do Tesouro Nacional de 5 anos</w:t>
      </w:r>
      <w:r w:rsidR="00C773ED">
        <w:rPr>
          <w:rFonts w:ascii="Times New Roman" w:hAnsi="Times New Roman" w:cs="Times New Roman"/>
          <w:sz w:val="24"/>
          <w:szCs w:val="24"/>
          <w:lang w:val="pt-BR"/>
        </w:rPr>
        <w:t xml:space="preserve"> </w:t>
      </w:r>
      <w:r w:rsidRPr="00CA2760">
        <w:rPr>
          <w:rFonts w:ascii="Times New Roman" w:eastAsia="Times New Roman" w:hAnsi="Times New Roman" w:cs="Times New Roman"/>
          <w:sz w:val="24"/>
          <w:szCs w:val="24"/>
          <w:lang w:val="pt-BR"/>
        </w:rPr>
        <w:t xml:space="preserve">(NTN-B).  </w:t>
      </w:r>
      <w:r w:rsidRPr="00CA2760">
        <w:rPr>
          <w:rFonts w:ascii="Times New Roman" w:eastAsia="Times New Roman" w:hAnsi="Times New Roman" w:cs="Times New Roman"/>
          <w:sz w:val="24"/>
          <w:szCs w:val="24"/>
          <w:lang w:val="pt-BR" w:eastAsia="pt-BR"/>
        </w:rPr>
        <w:t xml:space="preserve">Ver anexo B para uma descrição detalhada da metodologia. Haverá um período de transição de cinco anos sobre o qual a TJLP e TLP se fundirão. Desde 1 º de janeiro de 2018, o BNDES vem usando uma TLP que substitui a TJLP em seus novos contratos. Uma vez totalmente implementada, a TLP irá, naturalmente, sempre exceder a inflação medida pelo IPCA. Como </w:t>
      </w:r>
      <w:r w:rsidRPr="00A47D27">
        <w:rPr>
          <w:rFonts w:ascii="Times New Roman" w:eastAsia="Times New Roman" w:hAnsi="Times New Roman" w:cs="Times New Roman"/>
          <w:sz w:val="24"/>
          <w:szCs w:val="24"/>
          <w:lang w:val="pt-BR" w:eastAsia="pt-BR"/>
        </w:rPr>
        <w:t xml:space="preserve">o gráfico </w:t>
      </w:r>
      <w:r w:rsidR="00081CDA" w:rsidRPr="00A47D27">
        <w:rPr>
          <w:rFonts w:ascii="Times New Roman" w:eastAsia="Times New Roman" w:hAnsi="Times New Roman" w:cs="Times New Roman"/>
          <w:sz w:val="24"/>
          <w:szCs w:val="24"/>
          <w:lang w:val="pt-BR" w:eastAsia="pt-BR"/>
        </w:rPr>
        <w:t>3</w:t>
      </w:r>
      <w:r w:rsidRPr="00A47D27">
        <w:rPr>
          <w:rFonts w:ascii="Times New Roman" w:eastAsia="Times New Roman" w:hAnsi="Times New Roman" w:cs="Times New Roman"/>
          <w:sz w:val="24"/>
          <w:szCs w:val="24"/>
          <w:lang w:val="pt-BR" w:eastAsia="pt-BR"/>
        </w:rPr>
        <w:t xml:space="preserve"> mostra, o IPCA muitas</w:t>
      </w:r>
      <w:r w:rsidRPr="00CA2760">
        <w:rPr>
          <w:rFonts w:ascii="Times New Roman" w:eastAsia="Times New Roman" w:hAnsi="Times New Roman" w:cs="Times New Roman"/>
          <w:sz w:val="24"/>
          <w:szCs w:val="24"/>
          <w:lang w:val="pt-BR" w:eastAsia="pt-BR"/>
        </w:rPr>
        <w:t xml:space="preserve"> vezes excedeu a TJLP durante o período 2007-2017. Além disso, a variação do IPCA foi maior do que a da TJLP. Dado que a TLP tem uma margem </w:t>
      </w:r>
      <w:r w:rsidR="0084383C" w:rsidRPr="00CA2760">
        <w:rPr>
          <w:rFonts w:ascii="Times New Roman" w:eastAsia="Times New Roman" w:hAnsi="Times New Roman" w:cs="Times New Roman"/>
          <w:sz w:val="24"/>
          <w:szCs w:val="24"/>
          <w:lang w:val="pt-BR" w:eastAsia="pt-BR"/>
        </w:rPr>
        <w:t>pré-fixada</w:t>
      </w:r>
      <w:r w:rsidRPr="00CA2760">
        <w:rPr>
          <w:rFonts w:ascii="Times New Roman" w:eastAsia="Times New Roman" w:hAnsi="Times New Roman" w:cs="Times New Roman"/>
          <w:sz w:val="24"/>
          <w:szCs w:val="24"/>
          <w:lang w:val="pt-BR" w:eastAsia="pt-BR"/>
        </w:rPr>
        <w:t xml:space="preserve"> acima do IPCA, ela será geralmente bem mais elevada do que a TJLP.</w:t>
      </w:r>
    </w:p>
    <w:p w14:paraId="15CD84AC" w14:textId="0498BAD7" w:rsidR="00C46123" w:rsidRPr="00CA2760" w:rsidRDefault="00C46123" w:rsidP="005D6609">
      <w:pPr>
        <w:shd w:val="clear" w:color="auto" w:fill="FFFFFF"/>
        <w:spacing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lastRenderedPageBreak/>
        <w:t xml:space="preserve">O SFM terá eventualmente que decidir se usará a TLP, se continuará a usar a TJLP, ou se desenvolverá algum outro índice de inflação para seus empréstimos. Este novo índice (TLP ou outro) </w:t>
      </w:r>
      <w:r w:rsidR="00826ED5">
        <w:rPr>
          <w:rFonts w:ascii="Times New Roman" w:eastAsia="Times New Roman" w:hAnsi="Times New Roman" w:cs="Times New Roman"/>
          <w:sz w:val="24"/>
          <w:szCs w:val="24"/>
          <w:lang w:val="pt-BR" w:eastAsia="pt-BR"/>
        </w:rPr>
        <w:t xml:space="preserve">precisa oferecer </w:t>
      </w:r>
      <w:r w:rsidRPr="00CA2760">
        <w:rPr>
          <w:rFonts w:ascii="Times New Roman" w:eastAsia="Times New Roman" w:hAnsi="Times New Roman" w:cs="Times New Roman"/>
          <w:sz w:val="24"/>
          <w:szCs w:val="24"/>
          <w:lang w:val="pt-BR" w:eastAsia="pt-BR"/>
        </w:rPr>
        <w:t xml:space="preserve">taxas acessíveis aos municípios, ao mesmo tempo que prevê a capitalização continuada do FDU (isto é, deve ser igual ou superior </w:t>
      </w:r>
      <w:r w:rsidR="00EA3249">
        <w:rPr>
          <w:rFonts w:ascii="Times New Roman" w:eastAsia="Times New Roman" w:hAnsi="Times New Roman" w:cs="Times New Roman"/>
          <w:sz w:val="24"/>
          <w:szCs w:val="24"/>
          <w:lang w:val="pt-BR" w:eastAsia="pt-BR"/>
        </w:rPr>
        <w:t>à</w:t>
      </w:r>
      <w:r w:rsidR="00EA3249" w:rsidRPr="00CA2760">
        <w:rPr>
          <w:rFonts w:ascii="Times New Roman" w:eastAsia="Times New Roman" w:hAnsi="Times New Roman" w:cs="Times New Roman"/>
          <w:sz w:val="24"/>
          <w:szCs w:val="24"/>
          <w:lang w:val="pt-BR" w:eastAsia="pt-BR"/>
        </w:rPr>
        <w:t xml:space="preserve"> </w:t>
      </w:r>
      <w:r w:rsidRPr="00CA2760">
        <w:rPr>
          <w:rFonts w:ascii="Times New Roman" w:eastAsia="Times New Roman" w:hAnsi="Times New Roman" w:cs="Times New Roman"/>
          <w:sz w:val="24"/>
          <w:szCs w:val="24"/>
          <w:lang w:val="pt-BR" w:eastAsia="pt-BR"/>
        </w:rPr>
        <w:t xml:space="preserve">taxa de inflação). O Anexo C fornece uma avaliação inicial dos impactos da utilização </w:t>
      </w:r>
      <w:r w:rsidR="00EA3249">
        <w:rPr>
          <w:rFonts w:ascii="Times New Roman" w:eastAsia="Times New Roman" w:hAnsi="Times New Roman" w:cs="Times New Roman"/>
          <w:sz w:val="24"/>
          <w:szCs w:val="24"/>
          <w:lang w:val="pt-BR" w:eastAsia="pt-BR"/>
        </w:rPr>
        <w:t>da</w:t>
      </w:r>
      <w:r w:rsidR="00EA3249" w:rsidRPr="00CA2760">
        <w:rPr>
          <w:rFonts w:ascii="Times New Roman" w:eastAsia="Times New Roman" w:hAnsi="Times New Roman" w:cs="Times New Roman"/>
          <w:sz w:val="24"/>
          <w:szCs w:val="24"/>
          <w:lang w:val="pt-BR" w:eastAsia="pt-BR"/>
        </w:rPr>
        <w:t xml:space="preserve"> </w:t>
      </w:r>
      <w:r w:rsidRPr="00CA2760">
        <w:rPr>
          <w:rFonts w:ascii="Times New Roman" w:eastAsia="Times New Roman" w:hAnsi="Times New Roman" w:cs="Times New Roman"/>
          <w:sz w:val="24"/>
          <w:szCs w:val="24"/>
          <w:lang w:val="pt-BR" w:eastAsia="pt-BR"/>
        </w:rPr>
        <w:t>TLP elaborada pela Fomento Paraná.</w:t>
      </w:r>
    </w:p>
    <w:p w14:paraId="5A3A95E1" w14:textId="72448A9E" w:rsidR="00C46123" w:rsidRPr="00CA2760" w:rsidRDefault="00EA3249" w:rsidP="00C46123">
      <w:pPr>
        <w:spacing w:after="0" w:line="240" w:lineRule="auto"/>
        <w:rPr>
          <w:rFonts w:ascii="Times New Roman" w:hAnsi="Times New Roman" w:cs="Times New Roman"/>
          <w:sz w:val="24"/>
          <w:szCs w:val="24"/>
          <w:lang w:val="pt-BR"/>
        </w:rPr>
      </w:pPr>
      <w:bookmarkStart w:id="23" w:name="_Hlk511369108"/>
      <w:r>
        <w:rPr>
          <w:rFonts w:ascii="Times New Roman" w:hAnsi="Times New Roman" w:cs="Times New Roman"/>
          <w:sz w:val="24"/>
          <w:szCs w:val="24"/>
          <w:lang w:val="pt-BR"/>
        </w:rPr>
        <w:t>Gráfico</w:t>
      </w:r>
      <w:r w:rsidRPr="00A47D27">
        <w:rPr>
          <w:rFonts w:ascii="Times New Roman" w:hAnsi="Times New Roman" w:cs="Times New Roman"/>
          <w:sz w:val="24"/>
          <w:szCs w:val="24"/>
          <w:lang w:val="pt-BR"/>
        </w:rPr>
        <w:t xml:space="preserve"> </w:t>
      </w:r>
      <w:r w:rsidR="00081CDA" w:rsidRPr="00A47D27">
        <w:rPr>
          <w:rFonts w:ascii="Times New Roman" w:hAnsi="Times New Roman" w:cs="Times New Roman"/>
          <w:sz w:val="24"/>
          <w:szCs w:val="24"/>
          <w:lang w:val="pt-BR"/>
        </w:rPr>
        <w:t>3</w:t>
      </w:r>
      <w:r w:rsidR="00C46123" w:rsidRPr="00A47D27">
        <w:rPr>
          <w:rFonts w:ascii="Times New Roman" w:hAnsi="Times New Roman" w:cs="Times New Roman"/>
          <w:sz w:val="24"/>
          <w:szCs w:val="24"/>
          <w:lang w:val="pt-BR"/>
        </w:rPr>
        <w:t>.  As taxas</w:t>
      </w:r>
      <w:r w:rsidR="00C46123" w:rsidRPr="00CA2760">
        <w:rPr>
          <w:rFonts w:ascii="Times New Roman" w:hAnsi="Times New Roman" w:cs="Times New Roman"/>
          <w:sz w:val="24"/>
          <w:szCs w:val="24"/>
          <w:lang w:val="pt-BR"/>
        </w:rPr>
        <w:t xml:space="preserve"> do IPCA e TJLP: 2007/ 2017</w:t>
      </w:r>
    </w:p>
    <w:p w14:paraId="1494BA00" w14:textId="77777777" w:rsidR="00C46123" w:rsidRPr="00CA2760" w:rsidRDefault="00C46123" w:rsidP="00C46123">
      <w:pPr>
        <w:spacing w:after="0" w:line="240" w:lineRule="auto"/>
        <w:rPr>
          <w:rFonts w:ascii="Times New Roman" w:hAnsi="Times New Roman" w:cs="Times New Roman"/>
          <w:b/>
          <w:sz w:val="24"/>
          <w:szCs w:val="24"/>
          <w:lang w:val="pt-BR"/>
        </w:rPr>
      </w:pPr>
      <w:r w:rsidRPr="00CA2760">
        <w:rPr>
          <w:noProof/>
          <w:lang w:val="pt-BR"/>
        </w:rPr>
        <w:drawing>
          <wp:inline distT="0" distB="0" distL="0" distR="0" wp14:anchorId="4F5B07FD" wp14:editId="724E5EEE">
            <wp:extent cx="5226050" cy="2800350"/>
            <wp:effectExtent l="0" t="0" r="12700" b="0"/>
            <wp:docPr id="1" name="Chart 1">
              <a:extLst xmlns:a="http://schemas.openxmlformats.org/drawingml/2006/main">
                <a:ext uri="{FF2B5EF4-FFF2-40B4-BE49-F238E27FC236}">
                  <a16:creationId xmlns:a16="http://schemas.microsoft.com/office/drawing/2014/main" id="{DA02ED96-3BC4-41AD-8A05-2BB7BE853C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B03CA3" w14:textId="77777777" w:rsidR="00C46123" w:rsidRPr="00CA2760" w:rsidRDefault="00C46123" w:rsidP="00C46123">
      <w:pPr>
        <w:spacing w:line="360" w:lineRule="auto"/>
        <w:rPr>
          <w:rFonts w:ascii="Times New Roman" w:hAnsi="Times New Roman" w:cs="Times New Roman"/>
          <w:lang w:val="pt-BR"/>
        </w:rPr>
      </w:pPr>
      <w:r w:rsidRPr="00CA2760">
        <w:rPr>
          <w:rFonts w:ascii="Times New Roman" w:hAnsi="Times New Roman" w:cs="Times New Roman"/>
          <w:lang w:val="pt-BR"/>
        </w:rPr>
        <w:t>Fonte:  Cálculos dos autores com dados de IpeaData.</w:t>
      </w:r>
    </w:p>
    <w:bookmarkEnd w:id="23"/>
    <w:p w14:paraId="640FA69E" w14:textId="77777777" w:rsidR="00C46123" w:rsidRPr="00CA2760" w:rsidRDefault="00C46123" w:rsidP="00C46123">
      <w:pPr>
        <w:pStyle w:val="BodyText"/>
        <w:spacing w:line="360" w:lineRule="auto"/>
        <w:jc w:val="center"/>
        <w:rPr>
          <w:rFonts w:ascii="Times New Roman" w:hAnsi="Times New Roman" w:cs="Times New Roman"/>
          <w:b/>
          <w:sz w:val="24"/>
          <w:szCs w:val="24"/>
          <w:highlight w:val="yellow"/>
          <w:u w:val="single"/>
          <w:lang w:val="pt-BR"/>
        </w:rPr>
      </w:pPr>
      <w:r w:rsidRPr="00CA2760">
        <w:rPr>
          <w:rFonts w:ascii="Times New Roman" w:hAnsi="Times New Roman" w:cs="Times New Roman"/>
          <w:b/>
          <w:sz w:val="24"/>
          <w:szCs w:val="24"/>
          <w:highlight w:val="yellow"/>
          <w:u w:val="single"/>
          <w:lang w:val="pt-BR"/>
        </w:rPr>
        <w:t xml:space="preserve"> </w:t>
      </w:r>
    </w:p>
    <w:p w14:paraId="5C954750" w14:textId="77777777" w:rsidR="00C46123" w:rsidRPr="00CA2760" w:rsidRDefault="00C46123">
      <w:pPr>
        <w:rPr>
          <w:rFonts w:ascii="Times New Roman" w:hAnsi="Times New Roman" w:cs="Times New Roman"/>
          <w:b/>
          <w:sz w:val="24"/>
          <w:szCs w:val="24"/>
          <w:highlight w:val="yellow"/>
          <w:u w:val="single"/>
          <w:lang w:val="pt-BR"/>
        </w:rPr>
      </w:pPr>
      <w:r w:rsidRPr="00CA2760">
        <w:rPr>
          <w:rFonts w:ascii="Times New Roman" w:hAnsi="Times New Roman" w:cs="Times New Roman"/>
          <w:b/>
          <w:sz w:val="24"/>
          <w:szCs w:val="24"/>
          <w:highlight w:val="yellow"/>
          <w:u w:val="single"/>
          <w:lang w:val="pt-BR"/>
        </w:rPr>
        <w:br w:type="page"/>
      </w:r>
    </w:p>
    <w:p w14:paraId="23817017" w14:textId="07BF2A81" w:rsidR="00E81B26" w:rsidRPr="00CA2760" w:rsidRDefault="00B33833" w:rsidP="00904608">
      <w:pPr>
        <w:pStyle w:val="BodyText"/>
        <w:spacing w:line="360" w:lineRule="auto"/>
        <w:jc w:val="center"/>
        <w:rPr>
          <w:rFonts w:ascii="Times New Roman" w:eastAsia="Calibri" w:hAnsi="Times New Roman" w:cs="Times New Roman"/>
          <w:b/>
          <w:sz w:val="24"/>
          <w:szCs w:val="24"/>
          <w:u w:val="single"/>
          <w:lang w:val="pt-BR"/>
        </w:rPr>
      </w:pPr>
      <w:r w:rsidRPr="00433F9B">
        <w:rPr>
          <w:rFonts w:ascii="Times New Roman" w:hAnsi="Times New Roman" w:cs="Times New Roman"/>
          <w:b/>
          <w:sz w:val="24"/>
          <w:szCs w:val="24"/>
          <w:u w:val="single"/>
          <w:lang w:val="pt-BR"/>
        </w:rPr>
        <w:lastRenderedPageBreak/>
        <w:t xml:space="preserve">Capítulo </w:t>
      </w:r>
      <w:r w:rsidR="00E95496" w:rsidRPr="00433F9B">
        <w:rPr>
          <w:rFonts w:ascii="Times New Roman" w:hAnsi="Times New Roman" w:cs="Times New Roman"/>
          <w:b/>
          <w:sz w:val="24"/>
          <w:szCs w:val="24"/>
          <w:u w:val="single"/>
          <w:lang w:val="pt-BR"/>
        </w:rPr>
        <w:t xml:space="preserve">III. </w:t>
      </w:r>
      <w:r w:rsidR="009358D3" w:rsidRPr="00433F9B">
        <w:rPr>
          <w:rFonts w:ascii="Times New Roman" w:hAnsi="Times New Roman" w:cs="Times New Roman"/>
          <w:b/>
          <w:sz w:val="24"/>
          <w:szCs w:val="24"/>
          <w:u w:val="single"/>
          <w:lang w:val="pt-BR"/>
        </w:rPr>
        <w:t xml:space="preserve"> </w:t>
      </w:r>
      <w:r w:rsidR="00904608" w:rsidRPr="00CA2760">
        <w:rPr>
          <w:rFonts w:ascii="Times New Roman" w:hAnsi="Times New Roman" w:cs="Times New Roman"/>
          <w:b/>
          <w:sz w:val="24"/>
          <w:szCs w:val="24"/>
          <w:u w:val="single"/>
          <w:lang w:val="pt-BR"/>
        </w:rPr>
        <w:t>A s</w:t>
      </w:r>
      <w:r w:rsidR="009358D3" w:rsidRPr="00CA2760">
        <w:rPr>
          <w:rFonts w:ascii="Times New Roman" w:eastAsia="Calibri" w:hAnsi="Times New Roman" w:cs="Times New Roman"/>
          <w:b/>
          <w:sz w:val="24"/>
          <w:szCs w:val="24"/>
          <w:u w:val="single"/>
          <w:lang w:val="pt-BR"/>
        </w:rPr>
        <w:t>ustentabilidade do SFM</w:t>
      </w:r>
      <w:r w:rsidR="00904608" w:rsidRPr="00CA2760">
        <w:rPr>
          <w:rFonts w:ascii="Times New Roman" w:eastAsia="Calibri" w:hAnsi="Times New Roman" w:cs="Times New Roman"/>
          <w:b/>
          <w:sz w:val="24"/>
          <w:szCs w:val="24"/>
          <w:u w:val="single"/>
          <w:lang w:val="pt-BR"/>
        </w:rPr>
        <w:t xml:space="preserve">: </w:t>
      </w:r>
      <w:r w:rsidR="00826ED5">
        <w:rPr>
          <w:rFonts w:ascii="Times New Roman" w:hAnsi="Times New Roman" w:cs="Times New Roman"/>
          <w:b/>
          <w:sz w:val="24"/>
          <w:szCs w:val="24"/>
          <w:u w:val="single"/>
          <w:lang w:val="pt-BR"/>
        </w:rPr>
        <w:t>S</w:t>
      </w:r>
      <w:r w:rsidR="00E81B26" w:rsidRPr="00CA2760">
        <w:rPr>
          <w:rFonts w:ascii="Times New Roman" w:hAnsi="Times New Roman" w:cs="Times New Roman"/>
          <w:b/>
          <w:sz w:val="24"/>
          <w:szCs w:val="24"/>
          <w:u w:val="single"/>
          <w:lang w:val="pt-BR"/>
        </w:rPr>
        <w:t xml:space="preserve">imulações </w:t>
      </w:r>
      <w:r w:rsidR="001B22E4">
        <w:rPr>
          <w:rFonts w:ascii="Times New Roman" w:hAnsi="Times New Roman" w:cs="Times New Roman"/>
          <w:b/>
          <w:sz w:val="24"/>
          <w:szCs w:val="24"/>
          <w:u w:val="single"/>
          <w:lang w:val="pt-BR"/>
        </w:rPr>
        <w:t>f</w:t>
      </w:r>
      <w:r w:rsidR="00E81B26" w:rsidRPr="00CA2760">
        <w:rPr>
          <w:rFonts w:ascii="Times New Roman" w:hAnsi="Times New Roman" w:cs="Times New Roman"/>
          <w:b/>
          <w:sz w:val="24"/>
          <w:szCs w:val="24"/>
          <w:u w:val="single"/>
          <w:lang w:val="pt-BR"/>
        </w:rPr>
        <w:t>inanceiras do FDU</w:t>
      </w:r>
      <w:r w:rsidR="00C30838" w:rsidRPr="00CA2760">
        <w:rPr>
          <w:rFonts w:ascii="Times New Roman" w:hAnsi="Times New Roman" w:cs="Times New Roman"/>
          <w:b/>
          <w:sz w:val="24"/>
          <w:szCs w:val="24"/>
          <w:u w:val="single"/>
          <w:lang w:val="pt-BR"/>
        </w:rPr>
        <w:t>: 2</w:t>
      </w:r>
      <w:r w:rsidR="00E81B26" w:rsidRPr="00CA2760">
        <w:rPr>
          <w:rFonts w:ascii="Times New Roman" w:hAnsi="Times New Roman" w:cs="Times New Roman"/>
          <w:b/>
          <w:sz w:val="24"/>
          <w:szCs w:val="24"/>
          <w:u w:val="single"/>
          <w:lang w:val="pt-BR"/>
        </w:rPr>
        <w:t>018/2038</w:t>
      </w:r>
    </w:p>
    <w:p w14:paraId="68ACEC41" w14:textId="704BCFB9" w:rsidR="00D12176" w:rsidRPr="00CA2760" w:rsidRDefault="000A61CF" w:rsidP="00D12176">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Nosso modelo financeir</w:t>
      </w:r>
      <w:r w:rsidR="00162D70" w:rsidRPr="00CA2760">
        <w:rPr>
          <w:rFonts w:ascii="Times New Roman" w:hAnsi="Times New Roman" w:cs="Times New Roman"/>
          <w:sz w:val="24"/>
          <w:szCs w:val="24"/>
          <w:lang w:val="pt-BR"/>
        </w:rPr>
        <w:t>o</w:t>
      </w:r>
      <w:r w:rsidRPr="00CA2760">
        <w:rPr>
          <w:rFonts w:ascii="Times New Roman" w:hAnsi="Times New Roman" w:cs="Times New Roman"/>
          <w:sz w:val="24"/>
          <w:szCs w:val="24"/>
          <w:lang w:val="pt-BR"/>
        </w:rPr>
        <w:t xml:space="preserve"> procura analisar de maneira clara e transparente os fatores mais importantes que poderiam colocar em risco a sustentabilidade</w:t>
      </w:r>
      <w:r w:rsidR="00F51712" w:rsidRPr="00CA2760">
        <w:rPr>
          <w:rFonts w:ascii="Times New Roman" w:hAnsi="Times New Roman" w:cs="Times New Roman"/>
          <w:sz w:val="24"/>
          <w:szCs w:val="24"/>
          <w:lang w:val="pt-BR"/>
        </w:rPr>
        <w:t xml:space="preserve"> financeira</w:t>
      </w:r>
      <w:r w:rsidRPr="00CA2760">
        <w:rPr>
          <w:rFonts w:ascii="Times New Roman" w:hAnsi="Times New Roman" w:cs="Times New Roman"/>
          <w:sz w:val="24"/>
          <w:szCs w:val="24"/>
          <w:lang w:val="pt-BR"/>
        </w:rPr>
        <w:t xml:space="preserve"> do FDU</w:t>
      </w:r>
      <w:r w:rsidR="00F51712" w:rsidRPr="00CA2760">
        <w:rPr>
          <w:rFonts w:ascii="Times New Roman" w:hAnsi="Times New Roman" w:cs="Times New Roman"/>
          <w:sz w:val="24"/>
          <w:szCs w:val="24"/>
          <w:lang w:val="pt-BR"/>
        </w:rPr>
        <w:t xml:space="preserve"> </w:t>
      </w:r>
      <w:r w:rsidR="00AA6502" w:rsidRPr="00CA2760">
        <w:rPr>
          <w:rFonts w:ascii="Times New Roman" w:hAnsi="Times New Roman" w:cs="Times New Roman"/>
          <w:sz w:val="24"/>
          <w:szCs w:val="24"/>
          <w:lang w:val="pt-BR"/>
        </w:rPr>
        <w:t>durante o período entre 2018/</w:t>
      </w:r>
      <w:r w:rsidR="00E7673E" w:rsidRPr="00CA2760">
        <w:rPr>
          <w:rFonts w:ascii="Times New Roman" w:hAnsi="Times New Roman" w:cs="Times New Roman"/>
          <w:sz w:val="24"/>
          <w:szCs w:val="24"/>
          <w:lang w:val="pt-BR"/>
        </w:rPr>
        <w:t xml:space="preserve"> </w:t>
      </w:r>
      <w:r w:rsidR="00AA6502" w:rsidRPr="00CA2760">
        <w:rPr>
          <w:rFonts w:ascii="Times New Roman" w:hAnsi="Times New Roman" w:cs="Times New Roman"/>
          <w:sz w:val="24"/>
          <w:szCs w:val="24"/>
          <w:lang w:val="pt-BR"/>
        </w:rPr>
        <w:t>2038</w:t>
      </w:r>
      <w:r w:rsidR="00E7673E" w:rsidRPr="00CA2760">
        <w:rPr>
          <w:rFonts w:ascii="Times New Roman" w:hAnsi="Times New Roman" w:cs="Times New Roman"/>
          <w:sz w:val="24"/>
          <w:szCs w:val="24"/>
          <w:lang w:val="pt-BR"/>
        </w:rPr>
        <w:t xml:space="preserve">.  </w:t>
      </w:r>
      <w:r w:rsidR="00E7673E" w:rsidRPr="00CA2760">
        <w:rPr>
          <w:rFonts w:ascii="Times New Roman" w:eastAsia="Times New Roman" w:hAnsi="Times New Roman" w:cs="Times New Roman"/>
          <w:sz w:val="24"/>
          <w:szCs w:val="24"/>
          <w:lang w:val="pt-BR" w:eastAsia="pt-BR"/>
        </w:rPr>
        <w:t xml:space="preserve">Para isso, </w:t>
      </w:r>
      <w:r w:rsidR="003A15D4" w:rsidRPr="00CA2760">
        <w:rPr>
          <w:rFonts w:ascii="Times New Roman" w:eastAsia="Times New Roman" w:hAnsi="Times New Roman" w:cs="Times New Roman"/>
          <w:sz w:val="24"/>
          <w:szCs w:val="24"/>
          <w:lang w:val="pt-BR" w:eastAsia="pt-BR"/>
        </w:rPr>
        <w:t xml:space="preserve">utilizaremos um modelo financeiro </w:t>
      </w:r>
      <w:r w:rsidR="00B33833">
        <w:rPr>
          <w:rFonts w:ascii="Times New Roman" w:eastAsia="Times New Roman" w:hAnsi="Times New Roman" w:cs="Times New Roman"/>
          <w:sz w:val="24"/>
          <w:szCs w:val="24"/>
          <w:lang w:val="pt-BR" w:eastAsia="pt-BR"/>
        </w:rPr>
        <w:t>para simular</w:t>
      </w:r>
      <w:r w:rsidR="003A15D4" w:rsidRPr="00CA2760">
        <w:rPr>
          <w:rFonts w:ascii="Times New Roman" w:eastAsia="Times New Roman" w:hAnsi="Times New Roman" w:cs="Times New Roman"/>
          <w:sz w:val="24"/>
          <w:szCs w:val="24"/>
          <w:lang w:val="pt-BR" w:eastAsia="pt-BR"/>
        </w:rPr>
        <w:t xml:space="preserve"> </w:t>
      </w:r>
      <w:r w:rsidR="00E7673E" w:rsidRPr="00CA2760">
        <w:rPr>
          <w:rFonts w:ascii="Times New Roman" w:eastAsia="Times New Roman" w:hAnsi="Times New Roman" w:cs="Times New Roman"/>
          <w:sz w:val="24"/>
          <w:szCs w:val="24"/>
          <w:lang w:val="pt-BR" w:eastAsia="pt-BR"/>
        </w:rPr>
        <w:t>os valores d</w:t>
      </w:r>
      <w:r w:rsidR="003A15D4" w:rsidRPr="00CA2760">
        <w:rPr>
          <w:rFonts w:ascii="Times New Roman" w:eastAsia="Times New Roman" w:hAnsi="Times New Roman" w:cs="Times New Roman"/>
          <w:sz w:val="24"/>
          <w:szCs w:val="24"/>
          <w:lang w:val="pt-BR" w:eastAsia="pt-BR"/>
        </w:rPr>
        <w:t xml:space="preserve">e duas </w:t>
      </w:r>
      <w:r w:rsidR="001A17BB" w:rsidRPr="005205CD">
        <w:rPr>
          <w:rFonts w:ascii="Times New Roman" w:eastAsia="Times New Roman" w:hAnsi="Times New Roman" w:cs="Times New Roman"/>
          <w:i/>
          <w:sz w:val="24"/>
          <w:szCs w:val="24"/>
          <w:lang w:val="pt-BR" w:eastAsia="pt-BR"/>
        </w:rPr>
        <w:t>output variab</w:t>
      </w:r>
      <w:r w:rsidR="001A17BB">
        <w:rPr>
          <w:rFonts w:ascii="Times New Roman" w:eastAsia="Times New Roman" w:hAnsi="Times New Roman" w:cs="Times New Roman"/>
          <w:i/>
          <w:sz w:val="24"/>
          <w:szCs w:val="24"/>
          <w:lang w:val="pt-BR" w:eastAsia="pt-BR"/>
        </w:rPr>
        <w:t>l</w:t>
      </w:r>
      <w:r w:rsidR="001A17BB" w:rsidRPr="005205CD">
        <w:rPr>
          <w:rFonts w:ascii="Times New Roman" w:eastAsia="Times New Roman" w:hAnsi="Times New Roman" w:cs="Times New Roman"/>
          <w:i/>
          <w:sz w:val="24"/>
          <w:szCs w:val="24"/>
          <w:lang w:val="pt-BR" w:eastAsia="pt-BR"/>
        </w:rPr>
        <w:t>es</w:t>
      </w:r>
      <w:r w:rsidR="003A15D4" w:rsidRPr="00CA2760">
        <w:rPr>
          <w:rFonts w:ascii="Times New Roman" w:eastAsia="Times New Roman" w:hAnsi="Times New Roman" w:cs="Times New Roman"/>
          <w:sz w:val="24"/>
          <w:szCs w:val="24"/>
          <w:lang w:val="pt-BR" w:eastAsia="pt-BR"/>
        </w:rPr>
        <w:t xml:space="preserve"> </w:t>
      </w:r>
      <w:r w:rsidR="00D12176" w:rsidRPr="00CA2760">
        <w:rPr>
          <w:rFonts w:ascii="Times New Roman" w:eastAsia="Times New Roman" w:hAnsi="Times New Roman" w:cs="Times New Roman"/>
          <w:sz w:val="24"/>
          <w:szCs w:val="24"/>
          <w:lang w:val="pt-BR" w:eastAsia="pt-BR"/>
        </w:rPr>
        <w:t xml:space="preserve">que indicam </w:t>
      </w:r>
      <w:r w:rsidR="00D913B3">
        <w:rPr>
          <w:rFonts w:ascii="Times New Roman" w:eastAsia="Times New Roman" w:hAnsi="Times New Roman" w:cs="Times New Roman"/>
          <w:sz w:val="24"/>
          <w:szCs w:val="24"/>
          <w:lang w:val="pt-BR" w:eastAsia="pt-BR"/>
        </w:rPr>
        <w:t xml:space="preserve">sua </w:t>
      </w:r>
      <w:r w:rsidR="00D12176" w:rsidRPr="00CA2760">
        <w:rPr>
          <w:rFonts w:ascii="Times New Roman" w:hAnsi="Times New Roman" w:cs="Times New Roman"/>
          <w:sz w:val="24"/>
          <w:szCs w:val="24"/>
          <w:lang w:val="pt-BR"/>
        </w:rPr>
        <w:t>sustentabilidade financeira</w:t>
      </w:r>
      <w:r w:rsidR="003A15D4" w:rsidRPr="00CA2760">
        <w:rPr>
          <w:rFonts w:ascii="Times New Roman" w:eastAsia="Times New Roman" w:hAnsi="Times New Roman" w:cs="Times New Roman"/>
          <w:sz w:val="24"/>
          <w:szCs w:val="24"/>
          <w:lang w:val="pt-BR" w:eastAsia="pt-BR"/>
        </w:rPr>
        <w:t xml:space="preserve">: </w:t>
      </w:r>
      <w:r w:rsidR="00E7673E" w:rsidRPr="00CA2760">
        <w:rPr>
          <w:rFonts w:ascii="Times New Roman" w:eastAsia="Times New Roman" w:hAnsi="Times New Roman" w:cs="Times New Roman"/>
          <w:sz w:val="24"/>
          <w:szCs w:val="24"/>
          <w:lang w:val="pt-BR" w:eastAsia="pt-BR"/>
        </w:rPr>
        <w:t xml:space="preserve"> </w:t>
      </w:r>
      <w:r w:rsidR="007E62B0">
        <w:rPr>
          <w:rFonts w:ascii="Times New Roman" w:eastAsia="Times New Roman" w:hAnsi="Times New Roman" w:cs="Times New Roman"/>
          <w:sz w:val="24"/>
          <w:szCs w:val="24"/>
          <w:lang w:val="pt-BR" w:eastAsia="pt-BR"/>
        </w:rPr>
        <w:t>PL</w:t>
      </w:r>
      <w:r w:rsidR="00E7673E" w:rsidRPr="00CA2760">
        <w:rPr>
          <w:rFonts w:ascii="Times New Roman" w:eastAsia="Times New Roman" w:hAnsi="Times New Roman" w:cs="Times New Roman"/>
          <w:sz w:val="24"/>
          <w:szCs w:val="24"/>
          <w:lang w:val="pt-BR" w:eastAsia="pt-BR"/>
        </w:rPr>
        <w:t xml:space="preserve"> e Financiamentos Concedidos aos Municípios.  </w:t>
      </w:r>
      <w:r w:rsidR="00D12176" w:rsidRPr="00CA2760">
        <w:rPr>
          <w:rFonts w:ascii="Times New Roman" w:hAnsi="Times New Roman" w:cs="Times New Roman"/>
          <w:sz w:val="24"/>
          <w:szCs w:val="24"/>
          <w:lang w:val="pt-BR"/>
        </w:rPr>
        <w:t>Os fatores mais importantes que poderiam colocar em risco estas duas variáveis durante o período são:</w:t>
      </w:r>
    </w:p>
    <w:p w14:paraId="4C2981BA" w14:textId="67EF0657" w:rsidR="00715974" w:rsidRPr="00150880" w:rsidRDefault="000A61CF" w:rsidP="00541FE8">
      <w:pPr>
        <w:pStyle w:val="ListParagraph"/>
        <w:numPr>
          <w:ilvl w:val="0"/>
          <w:numId w:val="14"/>
        </w:num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Taxas</w:t>
      </w:r>
      <w:r w:rsidR="00D12176" w:rsidRPr="00CA2760">
        <w:rPr>
          <w:rFonts w:ascii="Times New Roman" w:hAnsi="Times New Roman" w:cs="Times New Roman"/>
          <w:sz w:val="24"/>
          <w:szCs w:val="24"/>
          <w:lang w:val="pt-BR"/>
        </w:rPr>
        <w:t xml:space="preserve"> reais de juros </w:t>
      </w:r>
      <w:r w:rsidR="00977FD9" w:rsidRPr="00CA2760">
        <w:rPr>
          <w:rFonts w:ascii="Times New Roman" w:hAnsi="Times New Roman" w:cs="Times New Roman"/>
          <w:sz w:val="24"/>
          <w:szCs w:val="24"/>
          <w:lang w:val="pt-BR"/>
        </w:rPr>
        <w:t xml:space="preserve">negativas </w:t>
      </w:r>
      <w:r w:rsidRPr="00CA2760">
        <w:rPr>
          <w:rFonts w:ascii="Times New Roman" w:hAnsi="Times New Roman" w:cs="Times New Roman"/>
          <w:sz w:val="24"/>
          <w:szCs w:val="24"/>
          <w:lang w:val="pt-BR"/>
        </w:rPr>
        <w:t xml:space="preserve">nos portfolios de empréstimos municipais </w:t>
      </w:r>
      <w:r w:rsidRPr="00150880">
        <w:rPr>
          <w:rFonts w:ascii="Times New Roman" w:hAnsi="Times New Roman" w:cs="Times New Roman"/>
          <w:sz w:val="24"/>
          <w:szCs w:val="24"/>
          <w:lang w:val="pt-BR"/>
        </w:rPr>
        <w:t>ou títulos mobiliários, reduzindo assim o</w:t>
      </w:r>
      <w:r w:rsidR="0062024B" w:rsidRPr="00150880">
        <w:rPr>
          <w:rFonts w:ascii="Times New Roman" w:hAnsi="Times New Roman" w:cs="Times New Roman"/>
          <w:sz w:val="24"/>
          <w:szCs w:val="24"/>
          <w:lang w:val="pt-BR"/>
        </w:rPr>
        <w:t xml:space="preserve"> </w:t>
      </w:r>
      <w:r w:rsidRPr="00150880">
        <w:rPr>
          <w:rFonts w:ascii="Times New Roman" w:hAnsi="Times New Roman" w:cs="Times New Roman"/>
          <w:sz w:val="24"/>
          <w:szCs w:val="24"/>
          <w:lang w:val="pt-BR"/>
        </w:rPr>
        <w:t>valor real do portf</w:t>
      </w:r>
      <w:r w:rsidR="00715974" w:rsidRPr="00150880">
        <w:rPr>
          <w:rFonts w:ascii="Times New Roman" w:hAnsi="Times New Roman" w:cs="Times New Roman"/>
          <w:sz w:val="24"/>
          <w:szCs w:val="24"/>
          <w:lang w:val="pt-BR"/>
        </w:rPr>
        <w:t>ó</w:t>
      </w:r>
      <w:r w:rsidRPr="00150880">
        <w:rPr>
          <w:rFonts w:ascii="Times New Roman" w:hAnsi="Times New Roman" w:cs="Times New Roman"/>
          <w:sz w:val="24"/>
          <w:szCs w:val="24"/>
          <w:lang w:val="pt-BR"/>
        </w:rPr>
        <w:t>lio do FDU.</w:t>
      </w:r>
    </w:p>
    <w:p w14:paraId="60763D6B" w14:textId="39C7A77E" w:rsidR="000A61CF" w:rsidRPr="00780EFD" w:rsidRDefault="000A61CF" w:rsidP="00780EFD">
      <w:pPr>
        <w:pStyle w:val="ListParagraph"/>
        <w:numPr>
          <w:ilvl w:val="0"/>
          <w:numId w:val="14"/>
        </w:numPr>
        <w:spacing w:line="360" w:lineRule="auto"/>
        <w:rPr>
          <w:rFonts w:ascii="Times New Roman" w:hAnsi="Times New Roman" w:cs="Times New Roman"/>
          <w:sz w:val="24"/>
          <w:szCs w:val="24"/>
          <w:lang w:val="pt-BR"/>
        </w:rPr>
      </w:pPr>
      <w:r w:rsidRPr="00780EFD">
        <w:rPr>
          <w:rFonts w:ascii="Times New Roman" w:hAnsi="Times New Roman" w:cs="Times New Roman"/>
          <w:sz w:val="24"/>
          <w:szCs w:val="24"/>
          <w:lang w:val="pt-BR"/>
        </w:rPr>
        <w:t>Altos custos operacionais que</w:t>
      </w:r>
      <w:r w:rsidR="00780EFD" w:rsidRPr="00780EFD">
        <w:rPr>
          <w:rFonts w:ascii="Times New Roman" w:hAnsi="Times New Roman" w:cs="Times New Roman"/>
          <w:sz w:val="24"/>
          <w:szCs w:val="24"/>
          <w:lang w:val="pt-BR"/>
        </w:rPr>
        <w:t xml:space="preserve"> não estão cobertos pelas porcentagens estabelecidas (1% da Fomento Paraná e 8% do Paranacidade</w:t>
      </w:r>
      <w:r w:rsidR="00826ED5">
        <w:rPr>
          <w:rFonts w:ascii="Times New Roman" w:hAnsi="Times New Roman" w:cs="Times New Roman"/>
          <w:sz w:val="24"/>
          <w:szCs w:val="24"/>
          <w:lang w:val="pt-BR"/>
        </w:rPr>
        <w:t xml:space="preserve"> </w:t>
      </w:r>
      <w:r w:rsidR="007E62B0">
        <w:rPr>
          <w:rFonts w:ascii="Times New Roman" w:hAnsi="Times New Roman" w:cs="Times New Roman"/>
          <w:sz w:val="24"/>
          <w:szCs w:val="24"/>
          <w:lang w:val="pt-BR"/>
        </w:rPr>
        <w:t xml:space="preserve">referentes aos </w:t>
      </w:r>
      <w:r w:rsidR="00826ED5" w:rsidRPr="00FE06C4">
        <w:rPr>
          <w:rFonts w:ascii="Times New Roman" w:eastAsia="Times New Roman" w:hAnsi="Times New Roman" w:cs="Times New Roman"/>
          <w:sz w:val="24"/>
          <w:szCs w:val="24"/>
          <w:lang w:val="pt-BR" w:eastAsia="pt-BR"/>
        </w:rPr>
        <w:t xml:space="preserve">valores liberados </w:t>
      </w:r>
      <w:r w:rsidR="00826ED5" w:rsidRPr="00FE06C4">
        <w:rPr>
          <w:rFonts w:ascii="Times New Roman" w:hAnsi="Times New Roman" w:cs="Times New Roman"/>
          <w:sz w:val="24"/>
          <w:szCs w:val="24"/>
          <w:lang w:val="pt-PT"/>
        </w:rPr>
        <w:t>dos empréstimos municipais</w:t>
      </w:r>
      <w:r w:rsidR="00780EFD" w:rsidRPr="00780EFD">
        <w:rPr>
          <w:rFonts w:ascii="Times New Roman" w:hAnsi="Times New Roman" w:cs="Times New Roman"/>
          <w:sz w:val="24"/>
          <w:szCs w:val="24"/>
          <w:lang w:val="pt-BR"/>
        </w:rPr>
        <w:t xml:space="preserve">) </w:t>
      </w:r>
      <w:r w:rsidR="007E62B0">
        <w:rPr>
          <w:rFonts w:ascii="Times New Roman" w:hAnsi="Times New Roman" w:cs="Times New Roman"/>
          <w:sz w:val="24"/>
          <w:szCs w:val="24"/>
          <w:lang w:val="pt-BR"/>
        </w:rPr>
        <w:t>d</w:t>
      </w:r>
      <w:r w:rsidR="00780EFD">
        <w:rPr>
          <w:rFonts w:ascii="Times New Roman" w:hAnsi="Times New Roman" w:cs="Times New Roman"/>
          <w:sz w:val="24"/>
          <w:szCs w:val="24"/>
          <w:lang w:val="pt-BR"/>
        </w:rPr>
        <w:t xml:space="preserve">os quais </w:t>
      </w:r>
      <w:r w:rsidRPr="00780EFD">
        <w:rPr>
          <w:rFonts w:ascii="Times New Roman" w:hAnsi="Times New Roman" w:cs="Times New Roman"/>
          <w:sz w:val="24"/>
          <w:szCs w:val="24"/>
          <w:lang w:val="pt-BR"/>
        </w:rPr>
        <w:t xml:space="preserve">poderiam </w:t>
      </w:r>
      <w:r w:rsidR="00780EFD">
        <w:rPr>
          <w:rFonts w:ascii="Times New Roman" w:hAnsi="Times New Roman" w:cs="Times New Roman"/>
          <w:sz w:val="24"/>
          <w:szCs w:val="24"/>
          <w:lang w:val="pt-BR"/>
        </w:rPr>
        <w:t>reduzir</w:t>
      </w:r>
      <w:r w:rsidR="00780EFD" w:rsidRPr="00780EFD">
        <w:rPr>
          <w:rFonts w:ascii="Times New Roman" w:hAnsi="Times New Roman" w:cs="Times New Roman"/>
          <w:sz w:val="24"/>
          <w:szCs w:val="24"/>
          <w:lang w:val="pt-BR"/>
        </w:rPr>
        <w:t xml:space="preserve"> </w:t>
      </w:r>
      <w:r w:rsidRPr="00780EFD">
        <w:rPr>
          <w:rFonts w:ascii="Times New Roman" w:hAnsi="Times New Roman" w:cs="Times New Roman"/>
          <w:sz w:val="24"/>
          <w:szCs w:val="24"/>
          <w:lang w:val="pt-BR"/>
        </w:rPr>
        <w:t>as receitas do FDU</w:t>
      </w:r>
      <w:r w:rsidR="00780EFD">
        <w:rPr>
          <w:rFonts w:ascii="Times New Roman" w:hAnsi="Times New Roman" w:cs="Times New Roman"/>
          <w:sz w:val="24"/>
          <w:szCs w:val="24"/>
          <w:lang w:val="pt-BR"/>
        </w:rPr>
        <w:t xml:space="preserve"> </w:t>
      </w:r>
      <w:r w:rsidR="00780EFD" w:rsidRPr="00150880">
        <w:rPr>
          <w:rFonts w:ascii="Times New Roman" w:hAnsi="Times New Roman" w:cs="Times New Roman"/>
          <w:sz w:val="24"/>
          <w:szCs w:val="24"/>
          <w:lang w:val="pt-BR"/>
        </w:rPr>
        <w:t xml:space="preserve">e por consequência </w:t>
      </w:r>
      <w:r w:rsidRPr="00150880">
        <w:rPr>
          <w:rFonts w:ascii="Times New Roman" w:hAnsi="Times New Roman" w:cs="Times New Roman"/>
          <w:sz w:val="24"/>
          <w:szCs w:val="24"/>
          <w:lang w:val="pt-BR"/>
        </w:rPr>
        <w:t>a capitalização do fundo em termos reais</w:t>
      </w:r>
      <w:r w:rsidR="00FF7661">
        <w:rPr>
          <w:rFonts w:ascii="Times New Roman" w:hAnsi="Times New Roman" w:cs="Times New Roman"/>
          <w:sz w:val="24"/>
          <w:szCs w:val="24"/>
          <w:lang w:val="pt-BR"/>
        </w:rPr>
        <w:t>.</w:t>
      </w:r>
      <w:r w:rsidR="00780EFD" w:rsidRPr="00780EFD">
        <w:rPr>
          <w:rFonts w:ascii="Times New Roman" w:hAnsi="Times New Roman" w:cs="Times New Roman"/>
          <w:sz w:val="24"/>
          <w:szCs w:val="24"/>
          <w:lang w:val="pt-BR"/>
        </w:rPr>
        <w:t xml:space="preserve"> </w:t>
      </w:r>
    </w:p>
    <w:p w14:paraId="3BF37A6F" w14:textId="7CCF3F12" w:rsidR="004F7298" w:rsidRPr="00CA2760" w:rsidRDefault="00D12176" w:rsidP="004F7298">
      <w:pPr>
        <w:shd w:val="clear" w:color="auto" w:fill="FFFFFF"/>
        <w:spacing w:after="0"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t xml:space="preserve">Para fazer essas simulações, </w:t>
      </w:r>
      <w:r w:rsidR="004F7298" w:rsidRPr="00CA2760">
        <w:rPr>
          <w:rFonts w:ascii="Times New Roman" w:eastAsia="Times New Roman" w:hAnsi="Times New Roman" w:cs="Times New Roman"/>
          <w:sz w:val="24"/>
          <w:szCs w:val="24"/>
          <w:lang w:val="pt-BR" w:eastAsia="pt-BR"/>
        </w:rPr>
        <w:t>defini</w:t>
      </w:r>
      <w:r w:rsidR="00977FD9" w:rsidRPr="00CA2760">
        <w:rPr>
          <w:rFonts w:ascii="Times New Roman" w:eastAsia="Times New Roman" w:hAnsi="Times New Roman" w:cs="Times New Roman"/>
          <w:sz w:val="24"/>
          <w:szCs w:val="24"/>
          <w:lang w:val="pt-BR" w:eastAsia="pt-BR"/>
        </w:rPr>
        <w:t>mos</w:t>
      </w:r>
      <w:r w:rsidR="004F7298" w:rsidRPr="00CA2760">
        <w:rPr>
          <w:rFonts w:ascii="Times New Roman" w:eastAsia="Times New Roman" w:hAnsi="Times New Roman" w:cs="Times New Roman"/>
          <w:sz w:val="24"/>
          <w:szCs w:val="24"/>
          <w:lang w:val="pt-BR" w:eastAsia="pt-BR"/>
        </w:rPr>
        <w:t xml:space="preserve"> </w:t>
      </w:r>
      <w:r w:rsidR="00B33833">
        <w:rPr>
          <w:rFonts w:ascii="Times New Roman" w:eastAsia="Times New Roman" w:hAnsi="Times New Roman" w:cs="Times New Roman"/>
          <w:sz w:val="24"/>
          <w:szCs w:val="24"/>
          <w:lang w:val="pt-BR" w:eastAsia="pt-BR"/>
        </w:rPr>
        <w:t xml:space="preserve">os </w:t>
      </w:r>
      <w:r w:rsidR="004F7298" w:rsidRPr="00CA2760">
        <w:rPr>
          <w:rFonts w:ascii="Times New Roman" w:eastAsia="Times New Roman" w:hAnsi="Times New Roman" w:cs="Times New Roman"/>
          <w:sz w:val="24"/>
          <w:szCs w:val="24"/>
          <w:lang w:val="pt-BR" w:eastAsia="pt-BR"/>
        </w:rPr>
        <w:t xml:space="preserve">cenários </w:t>
      </w:r>
      <w:r w:rsidR="00977FD9" w:rsidRPr="00CA2760">
        <w:rPr>
          <w:rFonts w:ascii="Times New Roman" w:eastAsia="Times New Roman" w:hAnsi="Times New Roman" w:cs="Times New Roman"/>
          <w:sz w:val="24"/>
          <w:szCs w:val="24"/>
          <w:lang w:val="pt-BR" w:eastAsia="pt-BR"/>
        </w:rPr>
        <w:t>otimista, intermediári</w:t>
      </w:r>
      <w:r w:rsidR="00FC1B56">
        <w:rPr>
          <w:rFonts w:ascii="Times New Roman" w:eastAsia="Times New Roman" w:hAnsi="Times New Roman" w:cs="Times New Roman"/>
          <w:sz w:val="24"/>
          <w:szCs w:val="24"/>
          <w:lang w:val="pt-BR" w:eastAsia="pt-BR"/>
        </w:rPr>
        <w:t>o</w:t>
      </w:r>
      <w:r w:rsidR="00977FD9" w:rsidRPr="00CA2760">
        <w:rPr>
          <w:rFonts w:ascii="Times New Roman" w:eastAsia="Times New Roman" w:hAnsi="Times New Roman" w:cs="Times New Roman"/>
          <w:sz w:val="24"/>
          <w:szCs w:val="24"/>
          <w:lang w:val="pt-BR" w:eastAsia="pt-BR"/>
        </w:rPr>
        <w:t xml:space="preserve"> e pessimista </w:t>
      </w:r>
      <w:r w:rsidR="004F7298" w:rsidRPr="00CA2760">
        <w:rPr>
          <w:rFonts w:ascii="Times New Roman" w:eastAsia="Times New Roman" w:hAnsi="Times New Roman" w:cs="Times New Roman"/>
          <w:sz w:val="24"/>
          <w:szCs w:val="24"/>
          <w:lang w:val="pt-BR" w:eastAsia="pt-BR"/>
        </w:rPr>
        <w:t xml:space="preserve">para as taxas reais de quatro </w:t>
      </w:r>
      <w:r w:rsidR="006838AE" w:rsidRPr="00D91C24">
        <w:rPr>
          <w:rFonts w:ascii="Times New Roman" w:eastAsia="Times New Roman" w:hAnsi="Times New Roman" w:cs="Times New Roman"/>
          <w:i/>
          <w:sz w:val="24"/>
          <w:szCs w:val="24"/>
          <w:lang w:val="pt-BR" w:eastAsia="pt-BR"/>
        </w:rPr>
        <w:t>input variables</w:t>
      </w:r>
      <w:r w:rsidR="004F7298" w:rsidRPr="00CA2760">
        <w:rPr>
          <w:rFonts w:ascii="Times New Roman" w:eastAsia="Times New Roman" w:hAnsi="Times New Roman" w:cs="Times New Roman"/>
          <w:sz w:val="24"/>
          <w:szCs w:val="24"/>
          <w:lang w:val="pt-BR" w:eastAsia="pt-BR"/>
        </w:rPr>
        <w:t xml:space="preserve"> </w:t>
      </w:r>
      <w:r w:rsidR="0000204C" w:rsidRPr="00CA2760">
        <w:rPr>
          <w:rFonts w:ascii="Times New Roman" w:eastAsia="Times New Roman" w:hAnsi="Times New Roman" w:cs="Times New Roman"/>
          <w:sz w:val="24"/>
          <w:szCs w:val="24"/>
          <w:lang w:val="pt-BR" w:eastAsia="pt-BR"/>
        </w:rPr>
        <w:t>do modelo financeiro</w:t>
      </w:r>
      <w:r w:rsidR="004F7298" w:rsidRPr="00CA2760">
        <w:rPr>
          <w:rFonts w:ascii="Times New Roman" w:eastAsia="Times New Roman" w:hAnsi="Times New Roman" w:cs="Times New Roman"/>
          <w:sz w:val="24"/>
          <w:szCs w:val="24"/>
          <w:lang w:val="pt-BR" w:eastAsia="pt-BR"/>
        </w:rPr>
        <w:t>:</w:t>
      </w:r>
    </w:p>
    <w:p w14:paraId="2E59D3D6" w14:textId="77777777" w:rsidR="004F7298" w:rsidRPr="00CA2760" w:rsidRDefault="004F7298" w:rsidP="004F7298">
      <w:pPr>
        <w:pStyle w:val="ListParagraph"/>
        <w:numPr>
          <w:ilvl w:val="0"/>
          <w:numId w:val="35"/>
        </w:numPr>
        <w:shd w:val="clear" w:color="auto" w:fill="FFFFFF"/>
        <w:spacing w:after="0"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t>Juros dos Financiamentos Concedidos aos Municípios</w:t>
      </w:r>
    </w:p>
    <w:p w14:paraId="4720889E" w14:textId="77777777" w:rsidR="004F7298" w:rsidRPr="00CA2760" w:rsidRDefault="004F7298" w:rsidP="004F7298">
      <w:pPr>
        <w:pStyle w:val="ListParagraph"/>
        <w:numPr>
          <w:ilvl w:val="0"/>
          <w:numId w:val="35"/>
        </w:numPr>
        <w:shd w:val="clear" w:color="auto" w:fill="FFFFFF"/>
        <w:spacing w:after="0"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t xml:space="preserve">Juros das Aplicações Financeiras </w:t>
      </w:r>
    </w:p>
    <w:p w14:paraId="4625E100" w14:textId="45AC1927" w:rsidR="004F7298" w:rsidRPr="00CA2760" w:rsidRDefault="007E62B0" w:rsidP="004F7298">
      <w:pPr>
        <w:pStyle w:val="ListParagraph"/>
        <w:numPr>
          <w:ilvl w:val="0"/>
          <w:numId w:val="35"/>
        </w:numPr>
        <w:shd w:val="clear" w:color="auto" w:fill="FFFFFF"/>
        <w:spacing w:after="0" w:line="360" w:lineRule="auto"/>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JCP</w:t>
      </w:r>
    </w:p>
    <w:p w14:paraId="1BB8ED97" w14:textId="3AB406B7" w:rsidR="00951D91" w:rsidRPr="00CA2760" w:rsidRDefault="00951D91" w:rsidP="00951D91">
      <w:pPr>
        <w:pStyle w:val="ListParagraph"/>
        <w:numPr>
          <w:ilvl w:val="0"/>
          <w:numId w:val="35"/>
        </w:numPr>
        <w:shd w:val="clear" w:color="auto" w:fill="FFFFFF"/>
        <w:spacing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t>Incremento do total de despesas</w:t>
      </w:r>
    </w:p>
    <w:p w14:paraId="4DA80541" w14:textId="0AAD0F7B" w:rsidR="002F6675" w:rsidRPr="002F6675" w:rsidRDefault="004F7298" w:rsidP="002F6675">
      <w:pPr>
        <w:shd w:val="clear" w:color="auto" w:fill="FFFFFF"/>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Em resumo, </w:t>
      </w:r>
      <w:r w:rsidR="00977FD9" w:rsidRPr="00CA2760">
        <w:rPr>
          <w:rFonts w:ascii="Times New Roman" w:hAnsi="Times New Roman" w:cs="Times New Roman"/>
          <w:sz w:val="24"/>
          <w:szCs w:val="24"/>
          <w:lang w:val="pt-BR"/>
        </w:rPr>
        <w:t xml:space="preserve">definiremos cenários para </w:t>
      </w:r>
      <w:r w:rsidR="00977FD9" w:rsidRPr="00CF1C65">
        <w:rPr>
          <w:rFonts w:ascii="Times New Roman" w:hAnsi="Times New Roman" w:cs="Times New Roman"/>
          <w:sz w:val="24"/>
          <w:szCs w:val="24"/>
          <w:lang w:val="pt-BR"/>
        </w:rPr>
        <w:t xml:space="preserve">estas </w:t>
      </w:r>
      <w:r w:rsidR="0084383C" w:rsidRPr="00CF1C65">
        <w:rPr>
          <w:rFonts w:ascii="Times New Roman" w:hAnsi="Times New Roman" w:cs="Times New Roman"/>
          <w:sz w:val="24"/>
          <w:szCs w:val="24"/>
          <w:lang w:val="pt-BR"/>
        </w:rPr>
        <w:t xml:space="preserve">quatro </w:t>
      </w:r>
      <w:r w:rsidR="0084383C" w:rsidRPr="005D6609">
        <w:rPr>
          <w:rFonts w:ascii="Times New Roman" w:hAnsi="Times New Roman" w:cs="Times New Roman"/>
          <w:i/>
          <w:sz w:val="24"/>
          <w:szCs w:val="24"/>
          <w:lang w:val="pt-BR"/>
        </w:rPr>
        <w:t>input</w:t>
      </w:r>
      <w:r w:rsidR="006838AE" w:rsidRPr="00CF1C65">
        <w:rPr>
          <w:rFonts w:ascii="Times New Roman" w:hAnsi="Times New Roman" w:cs="Times New Roman"/>
          <w:i/>
          <w:sz w:val="24"/>
          <w:szCs w:val="24"/>
          <w:lang w:val="pt-BR"/>
        </w:rPr>
        <w:t xml:space="preserve"> variables</w:t>
      </w:r>
      <w:r w:rsidR="00977FD9" w:rsidRPr="00CF1C65">
        <w:rPr>
          <w:rFonts w:ascii="Times New Roman" w:hAnsi="Times New Roman" w:cs="Times New Roman"/>
          <w:i/>
          <w:sz w:val="24"/>
          <w:szCs w:val="24"/>
          <w:lang w:val="pt-BR"/>
        </w:rPr>
        <w:t xml:space="preserve"> </w:t>
      </w:r>
      <w:r w:rsidR="00977FD9" w:rsidRPr="00CF1C65">
        <w:rPr>
          <w:rFonts w:ascii="Times New Roman" w:hAnsi="Times New Roman" w:cs="Times New Roman"/>
          <w:sz w:val="24"/>
          <w:szCs w:val="24"/>
          <w:lang w:val="pt-BR"/>
        </w:rPr>
        <w:t>para</w:t>
      </w:r>
      <w:r w:rsidR="00977FD9" w:rsidRPr="00CA2760">
        <w:rPr>
          <w:rFonts w:ascii="Times New Roman" w:hAnsi="Times New Roman" w:cs="Times New Roman"/>
          <w:sz w:val="24"/>
          <w:szCs w:val="24"/>
          <w:lang w:val="pt-BR"/>
        </w:rPr>
        <w:t xml:space="preserve"> </w:t>
      </w:r>
      <w:r w:rsidRPr="00CA2760">
        <w:rPr>
          <w:rFonts w:ascii="Times New Roman" w:hAnsi="Times New Roman" w:cs="Times New Roman"/>
          <w:sz w:val="24"/>
          <w:szCs w:val="24"/>
          <w:lang w:val="pt-BR"/>
        </w:rPr>
        <w:t xml:space="preserve">simular o impacto da variação das taxas reais </w:t>
      </w:r>
      <w:r w:rsidR="0000204C" w:rsidRPr="00CA2760">
        <w:rPr>
          <w:rFonts w:ascii="Times New Roman" w:hAnsi="Times New Roman" w:cs="Times New Roman"/>
          <w:sz w:val="24"/>
          <w:szCs w:val="24"/>
          <w:lang w:val="pt-BR"/>
        </w:rPr>
        <w:t xml:space="preserve">de juros </w:t>
      </w:r>
      <w:r w:rsidRPr="00CA2760">
        <w:rPr>
          <w:rFonts w:ascii="Times New Roman" w:hAnsi="Times New Roman" w:cs="Times New Roman"/>
          <w:sz w:val="24"/>
          <w:szCs w:val="24"/>
          <w:lang w:val="pt-BR"/>
        </w:rPr>
        <w:t xml:space="preserve">e dos custos operacionais sobre </w:t>
      </w:r>
      <w:r w:rsidR="00FC1B56">
        <w:rPr>
          <w:rFonts w:ascii="Times New Roman" w:hAnsi="Times New Roman" w:cs="Times New Roman"/>
          <w:sz w:val="24"/>
          <w:szCs w:val="24"/>
          <w:lang w:val="pt-BR"/>
        </w:rPr>
        <w:t xml:space="preserve">as </w:t>
      </w:r>
      <w:r w:rsidRPr="00CA2760">
        <w:rPr>
          <w:rFonts w:ascii="Times New Roman" w:hAnsi="Times New Roman" w:cs="Times New Roman"/>
          <w:sz w:val="24"/>
          <w:szCs w:val="24"/>
          <w:lang w:val="pt-BR"/>
        </w:rPr>
        <w:t xml:space="preserve">duas </w:t>
      </w:r>
      <w:r w:rsidR="001A17BB" w:rsidRPr="00615EB6">
        <w:rPr>
          <w:rFonts w:ascii="Times New Roman" w:hAnsi="Times New Roman" w:cs="Times New Roman"/>
          <w:i/>
          <w:sz w:val="24"/>
          <w:szCs w:val="24"/>
          <w:lang w:val="pt-BR"/>
        </w:rPr>
        <w:t>output variables</w:t>
      </w:r>
      <w:r w:rsidRPr="00CA2760">
        <w:rPr>
          <w:rFonts w:ascii="Times New Roman" w:eastAsia="Times New Roman" w:hAnsi="Times New Roman" w:cs="Times New Roman"/>
          <w:sz w:val="24"/>
          <w:szCs w:val="24"/>
          <w:lang w:val="pt-BR" w:eastAsia="pt-BR"/>
        </w:rPr>
        <w:t xml:space="preserve">: </w:t>
      </w:r>
      <w:r w:rsidR="006479EE">
        <w:rPr>
          <w:rFonts w:ascii="Times New Roman" w:eastAsia="Times New Roman" w:hAnsi="Times New Roman" w:cs="Times New Roman"/>
          <w:sz w:val="24"/>
          <w:szCs w:val="24"/>
          <w:lang w:val="pt-BR" w:eastAsia="pt-BR"/>
        </w:rPr>
        <w:t>PL</w:t>
      </w:r>
      <w:r w:rsidRPr="00CA2760">
        <w:rPr>
          <w:rFonts w:ascii="Times New Roman" w:eastAsia="Times New Roman" w:hAnsi="Times New Roman" w:cs="Times New Roman"/>
          <w:sz w:val="24"/>
          <w:szCs w:val="24"/>
          <w:lang w:val="pt-BR" w:eastAsia="pt-BR"/>
        </w:rPr>
        <w:t xml:space="preserve"> e Financiamentos Concedidos aos Municípios.  </w:t>
      </w:r>
      <w:r w:rsidR="00BA25F6" w:rsidRPr="00CA2760">
        <w:rPr>
          <w:rFonts w:ascii="Times New Roman" w:eastAsia="Times New Roman" w:hAnsi="Times New Roman" w:cs="Times New Roman"/>
          <w:sz w:val="24"/>
          <w:szCs w:val="24"/>
          <w:lang w:val="pt-BR" w:eastAsia="pt-BR"/>
        </w:rPr>
        <w:t>A coluna I no modelo da planilha anexa explica a estrutura do modelo financeir</w:t>
      </w:r>
      <w:r w:rsidR="00FC1B56">
        <w:rPr>
          <w:rFonts w:ascii="Times New Roman" w:eastAsia="Times New Roman" w:hAnsi="Times New Roman" w:cs="Times New Roman"/>
          <w:sz w:val="24"/>
          <w:szCs w:val="24"/>
          <w:lang w:val="pt-BR" w:eastAsia="pt-BR"/>
        </w:rPr>
        <w:t>o</w:t>
      </w:r>
      <w:r w:rsidR="00BA25F6" w:rsidRPr="00CA2760">
        <w:rPr>
          <w:rFonts w:ascii="Times New Roman" w:eastAsia="Times New Roman" w:hAnsi="Times New Roman" w:cs="Times New Roman"/>
          <w:sz w:val="24"/>
          <w:szCs w:val="24"/>
          <w:lang w:val="pt-BR" w:eastAsia="pt-BR"/>
        </w:rPr>
        <w:t xml:space="preserve"> e define as suas variáveis.</w:t>
      </w:r>
      <w:r w:rsidR="002F6675">
        <w:rPr>
          <w:rFonts w:ascii="Times New Roman" w:eastAsia="Times New Roman" w:hAnsi="Times New Roman" w:cs="Times New Roman"/>
          <w:sz w:val="24"/>
          <w:szCs w:val="24"/>
          <w:lang w:val="pt-BR" w:eastAsia="pt-BR"/>
        </w:rPr>
        <w:t xml:space="preserve">  </w:t>
      </w:r>
      <w:r w:rsidR="002F6675" w:rsidRPr="00150880">
        <w:rPr>
          <w:rFonts w:ascii="Times New Roman" w:hAnsi="Times New Roman" w:cs="Times New Roman"/>
          <w:sz w:val="24"/>
          <w:szCs w:val="24"/>
          <w:lang w:val="pt-PT"/>
        </w:rPr>
        <w:t xml:space="preserve">Como essas quatro variáveis seriam significativamente impactadas por condições macroeconômicas alternativas, variações delas servem como </w:t>
      </w:r>
      <w:r w:rsidR="002F6675" w:rsidRPr="00150880">
        <w:rPr>
          <w:rFonts w:ascii="Times New Roman" w:hAnsi="Times New Roman" w:cs="Times New Roman"/>
          <w:i/>
          <w:sz w:val="24"/>
          <w:szCs w:val="24"/>
          <w:lang w:val="pt-PT"/>
        </w:rPr>
        <w:t>proxies</w:t>
      </w:r>
      <w:r w:rsidR="002F6675" w:rsidRPr="00150880">
        <w:rPr>
          <w:rFonts w:ascii="Times New Roman" w:hAnsi="Times New Roman" w:cs="Times New Roman"/>
          <w:sz w:val="24"/>
          <w:szCs w:val="24"/>
          <w:lang w:val="pt-PT"/>
        </w:rPr>
        <w:t xml:space="preserve"> para cenários macroeconômicos alternativos.</w:t>
      </w:r>
    </w:p>
    <w:p w14:paraId="073E2A2C" w14:textId="5208A655" w:rsidR="00715974" w:rsidRPr="00CA2760" w:rsidRDefault="000A61CF" w:rsidP="00715974">
      <w:pPr>
        <w:spacing w:line="360" w:lineRule="auto"/>
        <w:rPr>
          <w:rFonts w:ascii="Times New Roman" w:hAnsi="Times New Roman" w:cs="Times New Roman"/>
          <w:sz w:val="24"/>
          <w:szCs w:val="24"/>
          <w:lang w:val="pt-BR"/>
        </w:rPr>
      </w:pPr>
      <w:bookmarkStart w:id="24" w:name="_Hlk511724360"/>
      <w:r w:rsidRPr="00CA2760">
        <w:rPr>
          <w:rFonts w:ascii="Times New Roman" w:hAnsi="Times New Roman" w:cs="Times New Roman"/>
          <w:sz w:val="24"/>
          <w:szCs w:val="24"/>
          <w:lang w:val="pt-BR"/>
        </w:rPr>
        <w:t>Uma vez que procuramos manter o modelo razoavelmente simples, focalizando nestes fatores de risco para um período de 20 anos,</w:t>
      </w:r>
      <w:r w:rsidR="00162D70" w:rsidRPr="00CA2760">
        <w:rPr>
          <w:rFonts w:ascii="Times New Roman" w:hAnsi="Times New Roman" w:cs="Times New Roman"/>
          <w:sz w:val="24"/>
          <w:szCs w:val="24"/>
          <w:lang w:val="pt-BR"/>
        </w:rPr>
        <w:t xml:space="preserve"> </w:t>
      </w:r>
      <w:r w:rsidR="00FD7C15" w:rsidRPr="00CA2760">
        <w:rPr>
          <w:rFonts w:ascii="Times New Roman" w:hAnsi="Times New Roman" w:cs="Times New Roman"/>
          <w:sz w:val="24"/>
          <w:szCs w:val="24"/>
          <w:lang w:val="pt-BR"/>
        </w:rPr>
        <w:t xml:space="preserve">utilizamos as </w:t>
      </w:r>
      <w:r w:rsidRPr="00CA2760">
        <w:rPr>
          <w:rFonts w:ascii="Times New Roman" w:hAnsi="Times New Roman" w:cs="Times New Roman"/>
          <w:sz w:val="24"/>
          <w:szCs w:val="24"/>
          <w:lang w:val="pt-BR"/>
        </w:rPr>
        <w:t>seguintes suposições:</w:t>
      </w:r>
    </w:p>
    <w:p w14:paraId="3EFF81AF" w14:textId="0D8D794F" w:rsidR="000A61CF" w:rsidRPr="00CA2760" w:rsidRDefault="00901550" w:rsidP="00715974">
      <w:pPr>
        <w:pStyle w:val="ListParagraph"/>
        <w:numPr>
          <w:ilvl w:val="0"/>
          <w:numId w:val="15"/>
        </w:num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lastRenderedPageBreak/>
        <w:t>Tanto a</w:t>
      </w:r>
      <w:r w:rsidR="000A61CF" w:rsidRPr="00CA2760">
        <w:rPr>
          <w:rFonts w:ascii="Times New Roman" w:hAnsi="Times New Roman" w:cs="Times New Roman"/>
          <w:sz w:val="24"/>
          <w:szCs w:val="24"/>
          <w:lang w:val="pt-BR"/>
        </w:rPr>
        <w:t xml:space="preserve"> Lei 17655 de 7 de </w:t>
      </w:r>
      <w:r w:rsidR="00951D91" w:rsidRPr="00CA2760">
        <w:rPr>
          <w:rFonts w:ascii="Times New Roman" w:hAnsi="Times New Roman" w:cs="Times New Roman"/>
          <w:sz w:val="24"/>
          <w:szCs w:val="24"/>
          <w:lang w:val="pt-BR"/>
        </w:rPr>
        <w:t>a</w:t>
      </w:r>
      <w:r w:rsidR="000A61CF" w:rsidRPr="00CA2760">
        <w:rPr>
          <w:rFonts w:ascii="Times New Roman" w:hAnsi="Times New Roman" w:cs="Times New Roman"/>
          <w:sz w:val="24"/>
          <w:szCs w:val="24"/>
          <w:lang w:val="pt-BR"/>
        </w:rPr>
        <w:t>gosto de 2013 que blinda o FDU</w:t>
      </w:r>
      <w:r w:rsidR="00DD2159" w:rsidRPr="00CA2760">
        <w:rPr>
          <w:rFonts w:ascii="Times New Roman" w:hAnsi="Times New Roman" w:cs="Times New Roman"/>
          <w:sz w:val="24"/>
          <w:szCs w:val="24"/>
          <w:lang w:val="pt-BR"/>
        </w:rPr>
        <w:t xml:space="preserve">, como as outras leis e regulamentos </w:t>
      </w:r>
      <w:r w:rsidR="00FA3120">
        <w:rPr>
          <w:rFonts w:ascii="Times New Roman" w:hAnsi="Times New Roman" w:cs="Times New Roman"/>
          <w:sz w:val="24"/>
          <w:szCs w:val="24"/>
          <w:lang w:val="pt-BR"/>
        </w:rPr>
        <w:t xml:space="preserve">que governam o SFM e </w:t>
      </w:r>
      <w:r w:rsidR="00D80411">
        <w:rPr>
          <w:rFonts w:ascii="Times New Roman" w:hAnsi="Times New Roman" w:cs="Times New Roman"/>
          <w:sz w:val="24"/>
          <w:szCs w:val="24"/>
          <w:lang w:val="pt-BR"/>
        </w:rPr>
        <w:t>o SFN</w:t>
      </w:r>
      <w:r w:rsidR="00FA3120">
        <w:rPr>
          <w:rFonts w:ascii="Times New Roman" w:hAnsi="Times New Roman" w:cs="Times New Roman"/>
          <w:sz w:val="24"/>
          <w:szCs w:val="24"/>
          <w:lang w:val="pt-BR"/>
        </w:rPr>
        <w:t xml:space="preserve"> </w:t>
      </w:r>
      <w:r w:rsidR="00DD2159" w:rsidRPr="00CA2760">
        <w:rPr>
          <w:rFonts w:ascii="Times New Roman" w:hAnsi="Times New Roman" w:cs="Times New Roman"/>
          <w:sz w:val="24"/>
          <w:szCs w:val="24"/>
          <w:lang w:val="pt-BR"/>
        </w:rPr>
        <w:t>serão</w:t>
      </w:r>
      <w:r w:rsidR="000A61CF" w:rsidRPr="00CA2760">
        <w:rPr>
          <w:rFonts w:ascii="Times New Roman" w:hAnsi="Times New Roman" w:cs="Times New Roman"/>
          <w:sz w:val="24"/>
          <w:szCs w:val="24"/>
          <w:lang w:val="pt-BR"/>
        </w:rPr>
        <w:t xml:space="preserve"> rigorosamente cumprid</w:t>
      </w:r>
      <w:r w:rsidR="00547BFE">
        <w:rPr>
          <w:rFonts w:ascii="Times New Roman" w:hAnsi="Times New Roman" w:cs="Times New Roman"/>
          <w:sz w:val="24"/>
          <w:szCs w:val="24"/>
          <w:lang w:val="pt-BR"/>
        </w:rPr>
        <w:t>a</w:t>
      </w:r>
      <w:r w:rsidR="00DD2159" w:rsidRPr="00CA2760">
        <w:rPr>
          <w:rFonts w:ascii="Times New Roman" w:hAnsi="Times New Roman" w:cs="Times New Roman"/>
          <w:sz w:val="24"/>
          <w:szCs w:val="24"/>
          <w:lang w:val="pt-BR"/>
        </w:rPr>
        <w:t>s</w:t>
      </w:r>
      <w:r w:rsidR="000A61CF" w:rsidRPr="00CA2760">
        <w:rPr>
          <w:rFonts w:ascii="Times New Roman" w:hAnsi="Times New Roman" w:cs="Times New Roman"/>
          <w:sz w:val="24"/>
          <w:szCs w:val="24"/>
          <w:lang w:val="pt-BR"/>
        </w:rPr>
        <w:t>.</w:t>
      </w:r>
    </w:p>
    <w:p w14:paraId="1AB81E2D" w14:textId="26BCEC70" w:rsidR="000A61CF" w:rsidRPr="00CA2760" w:rsidRDefault="000A61CF" w:rsidP="00541FE8">
      <w:pPr>
        <w:pStyle w:val="ListParagraph"/>
        <w:numPr>
          <w:ilvl w:val="0"/>
          <w:numId w:val="15"/>
        </w:num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O risco de inadimplência na carteira dos empréstimos municipais continuará sendo virtualmente zero, dado os parâmetros do sistema de garantia já discutido</w:t>
      </w:r>
      <w:r w:rsidR="00162D70" w:rsidRPr="00CA2760">
        <w:rPr>
          <w:rFonts w:ascii="Times New Roman" w:hAnsi="Times New Roman" w:cs="Times New Roman"/>
          <w:sz w:val="24"/>
          <w:szCs w:val="24"/>
          <w:lang w:val="pt-BR"/>
        </w:rPr>
        <w:t>s</w:t>
      </w:r>
      <w:r w:rsidRPr="00CA2760">
        <w:rPr>
          <w:rFonts w:ascii="Times New Roman" w:hAnsi="Times New Roman" w:cs="Times New Roman"/>
          <w:sz w:val="24"/>
          <w:szCs w:val="24"/>
          <w:lang w:val="pt-BR"/>
        </w:rPr>
        <w:t>.</w:t>
      </w:r>
    </w:p>
    <w:p w14:paraId="246A6E27" w14:textId="382F22AB" w:rsidR="000A61CF" w:rsidRPr="00CA2760" w:rsidRDefault="000A61CF" w:rsidP="00541FE8">
      <w:pPr>
        <w:pStyle w:val="ListParagraph"/>
        <w:numPr>
          <w:ilvl w:val="0"/>
          <w:numId w:val="15"/>
        </w:num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O montante do novo empréstimo do BID está incluído no modelo</w:t>
      </w:r>
      <w:r w:rsidR="00715974" w:rsidRPr="00CA2760">
        <w:rPr>
          <w:rFonts w:ascii="Times New Roman" w:hAnsi="Times New Roman" w:cs="Times New Roman"/>
          <w:sz w:val="24"/>
          <w:szCs w:val="24"/>
          <w:lang w:val="pt-BR"/>
        </w:rPr>
        <w:t xml:space="preserve"> </w:t>
      </w:r>
      <w:r w:rsidR="00B52C43" w:rsidRPr="00CA2760">
        <w:rPr>
          <w:rFonts w:ascii="Times New Roman" w:hAnsi="Times New Roman" w:cs="Times New Roman"/>
          <w:sz w:val="24"/>
          <w:szCs w:val="24"/>
          <w:lang w:val="pt-BR"/>
        </w:rPr>
        <w:t xml:space="preserve">utilizando um </w:t>
      </w:r>
      <w:r w:rsidR="00715974" w:rsidRPr="00CA2760">
        <w:rPr>
          <w:rFonts w:ascii="Times New Roman" w:hAnsi="Times New Roman" w:cs="Times New Roman"/>
          <w:sz w:val="24"/>
          <w:szCs w:val="24"/>
          <w:lang w:val="pt-BR"/>
        </w:rPr>
        <w:t>prazo</w:t>
      </w:r>
      <w:r w:rsidR="00EA4A34" w:rsidRPr="00CA2760">
        <w:rPr>
          <w:rFonts w:ascii="Times New Roman" w:hAnsi="Times New Roman" w:cs="Times New Roman"/>
          <w:sz w:val="24"/>
          <w:szCs w:val="24"/>
          <w:lang w:val="pt-BR"/>
        </w:rPr>
        <w:t xml:space="preserve"> </w:t>
      </w:r>
      <w:r w:rsidR="00B52C43" w:rsidRPr="00CA2760">
        <w:rPr>
          <w:rFonts w:ascii="Times New Roman" w:hAnsi="Times New Roman" w:cs="Times New Roman"/>
          <w:sz w:val="24"/>
          <w:szCs w:val="24"/>
          <w:lang w:val="pt-BR"/>
        </w:rPr>
        <w:t xml:space="preserve">médio </w:t>
      </w:r>
      <w:r w:rsidR="00EA4A34" w:rsidRPr="00CA2760">
        <w:rPr>
          <w:rFonts w:ascii="Times New Roman" w:hAnsi="Times New Roman" w:cs="Times New Roman"/>
          <w:sz w:val="24"/>
          <w:szCs w:val="24"/>
          <w:lang w:val="pt-BR"/>
        </w:rPr>
        <w:t>de amortização</w:t>
      </w:r>
      <w:r w:rsidR="00B52C43" w:rsidRPr="00CA2760">
        <w:rPr>
          <w:rFonts w:ascii="Times New Roman" w:hAnsi="Times New Roman" w:cs="Times New Roman"/>
          <w:sz w:val="24"/>
          <w:szCs w:val="24"/>
          <w:lang w:val="pt-BR"/>
        </w:rPr>
        <w:t xml:space="preserve"> equivalente ao dos</w:t>
      </w:r>
      <w:r w:rsidR="00EA4A34" w:rsidRPr="00CA2760">
        <w:rPr>
          <w:rFonts w:ascii="Times New Roman" w:hAnsi="Times New Roman" w:cs="Times New Roman"/>
          <w:sz w:val="24"/>
          <w:szCs w:val="24"/>
          <w:lang w:val="pt-BR"/>
        </w:rPr>
        <w:t xml:space="preserve"> empréstimos municipais</w:t>
      </w:r>
      <w:r w:rsidR="00715974" w:rsidRPr="00CA2760">
        <w:rPr>
          <w:rFonts w:ascii="Times New Roman" w:hAnsi="Times New Roman" w:cs="Times New Roman"/>
          <w:sz w:val="24"/>
          <w:szCs w:val="24"/>
          <w:lang w:val="pt-BR"/>
        </w:rPr>
        <w:t xml:space="preserve"> de sete anos.</w:t>
      </w:r>
    </w:p>
    <w:p w14:paraId="71ED5C30" w14:textId="1E9ED1DE" w:rsidR="00951D91" w:rsidRPr="00CA2760" w:rsidRDefault="00951D91" w:rsidP="00951D91">
      <w:pPr>
        <w:pStyle w:val="ListParagraph"/>
        <w:numPr>
          <w:ilvl w:val="0"/>
          <w:numId w:val="15"/>
        </w:num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Todos os pagamentos dos empréstimos serão </w:t>
      </w:r>
      <w:r w:rsidR="00FA3120">
        <w:rPr>
          <w:rFonts w:ascii="Times New Roman" w:hAnsi="Times New Roman" w:cs="Times New Roman"/>
          <w:sz w:val="24"/>
          <w:szCs w:val="24"/>
          <w:lang w:val="pt-BR"/>
        </w:rPr>
        <w:t xml:space="preserve">reinvestidos imediatamente em </w:t>
      </w:r>
      <w:r w:rsidR="00CF3F70">
        <w:rPr>
          <w:rFonts w:ascii="Times New Roman" w:hAnsi="Times New Roman" w:cs="Times New Roman"/>
          <w:sz w:val="24"/>
          <w:szCs w:val="24"/>
          <w:lang w:val="pt-BR"/>
        </w:rPr>
        <w:t>empréstimos</w:t>
      </w:r>
      <w:r w:rsidR="00CF3F70" w:rsidRPr="00CA2760">
        <w:rPr>
          <w:rFonts w:ascii="Times New Roman" w:hAnsi="Times New Roman" w:cs="Times New Roman"/>
          <w:sz w:val="24"/>
          <w:szCs w:val="24"/>
          <w:lang w:val="pt-BR"/>
        </w:rPr>
        <w:t xml:space="preserve"> </w:t>
      </w:r>
      <w:r w:rsidRPr="00CA2760">
        <w:rPr>
          <w:rFonts w:ascii="Times New Roman" w:hAnsi="Times New Roman" w:cs="Times New Roman"/>
          <w:sz w:val="24"/>
          <w:szCs w:val="24"/>
          <w:lang w:val="pt-BR"/>
        </w:rPr>
        <w:t xml:space="preserve">aos municípios ou na carteira </w:t>
      </w:r>
      <w:r w:rsidR="00CF3F70">
        <w:rPr>
          <w:rFonts w:ascii="Times New Roman" w:hAnsi="Times New Roman" w:cs="Times New Roman"/>
          <w:sz w:val="24"/>
          <w:szCs w:val="24"/>
          <w:lang w:val="pt-BR"/>
        </w:rPr>
        <w:t xml:space="preserve">de </w:t>
      </w:r>
      <w:r w:rsidRPr="00CA2760">
        <w:rPr>
          <w:rFonts w:ascii="Times New Roman" w:hAnsi="Times New Roman" w:cs="Times New Roman"/>
          <w:sz w:val="24"/>
          <w:szCs w:val="24"/>
          <w:lang w:val="pt-BR"/>
        </w:rPr>
        <w:t xml:space="preserve">mobiliário. </w:t>
      </w:r>
    </w:p>
    <w:p w14:paraId="738E8BF5" w14:textId="07738D57" w:rsidR="00726F27" w:rsidRDefault="000A61CF" w:rsidP="00726F27">
      <w:pPr>
        <w:pStyle w:val="ListParagraph"/>
        <w:numPr>
          <w:ilvl w:val="0"/>
          <w:numId w:val="15"/>
        </w:num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A raz</w:t>
      </w:r>
      <w:r w:rsidR="00726F27" w:rsidRPr="00CA2760">
        <w:rPr>
          <w:rFonts w:ascii="Times New Roman" w:hAnsi="Times New Roman" w:cs="Times New Roman"/>
          <w:sz w:val="24"/>
          <w:szCs w:val="24"/>
          <w:lang w:val="pt-BR"/>
        </w:rPr>
        <w:t>ão</w:t>
      </w:r>
      <w:r w:rsidRPr="00CA2760">
        <w:rPr>
          <w:rFonts w:ascii="Times New Roman" w:hAnsi="Times New Roman" w:cs="Times New Roman"/>
          <w:sz w:val="24"/>
          <w:szCs w:val="24"/>
          <w:lang w:val="pt-BR"/>
        </w:rPr>
        <w:t xml:space="preserve"> </w:t>
      </w:r>
      <w:r w:rsidR="00C14924" w:rsidRPr="00C14924">
        <w:rPr>
          <w:rFonts w:ascii="Times New Roman" w:hAnsi="Times New Roman" w:cs="Times New Roman"/>
          <w:i/>
          <w:sz w:val="24"/>
          <w:szCs w:val="24"/>
          <w:lang w:val="pt-BR"/>
        </w:rPr>
        <w:t xml:space="preserve">Portfólio de Empréstimos Municipais/ </w:t>
      </w:r>
      <w:r w:rsidR="003E11C4">
        <w:rPr>
          <w:rFonts w:ascii="Times New Roman" w:hAnsi="Times New Roman" w:cs="Times New Roman"/>
          <w:i/>
          <w:sz w:val="24"/>
          <w:szCs w:val="24"/>
          <w:lang w:val="pt-BR"/>
        </w:rPr>
        <w:t>PL</w:t>
      </w:r>
      <w:r w:rsidR="00C14924" w:rsidRPr="00CA2760">
        <w:rPr>
          <w:rFonts w:ascii="Times New Roman" w:hAnsi="Times New Roman" w:cs="Times New Roman"/>
          <w:sz w:val="24"/>
          <w:szCs w:val="24"/>
          <w:lang w:val="pt-BR"/>
        </w:rPr>
        <w:t xml:space="preserve"> </w:t>
      </w:r>
      <w:r w:rsidRPr="00CA2760">
        <w:rPr>
          <w:rFonts w:ascii="Times New Roman" w:hAnsi="Times New Roman" w:cs="Times New Roman"/>
          <w:sz w:val="24"/>
          <w:szCs w:val="24"/>
          <w:lang w:val="pt-BR"/>
        </w:rPr>
        <w:t>se manter</w:t>
      </w:r>
      <w:r w:rsidR="00726F27" w:rsidRPr="00CA2760">
        <w:rPr>
          <w:rFonts w:ascii="Times New Roman" w:hAnsi="Times New Roman" w:cs="Times New Roman"/>
          <w:sz w:val="24"/>
          <w:szCs w:val="24"/>
          <w:lang w:val="pt-BR"/>
        </w:rPr>
        <w:t>á</w:t>
      </w:r>
      <w:r w:rsidRPr="00CA2760">
        <w:rPr>
          <w:rFonts w:ascii="Times New Roman" w:hAnsi="Times New Roman" w:cs="Times New Roman"/>
          <w:sz w:val="24"/>
          <w:szCs w:val="24"/>
          <w:lang w:val="pt-BR"/>
        </w:rPr>
        <w:t xml:space="preserve"> constantes durante o período de 20 anos</w:t>
      </w:r>
      <w:r w:rsidR="00EA4A34" w:rsidRPr="00CA2760">
        <w:rPr>
          <w:rFonts w:ascii="Times New Roman" w:hAnsi="Times New Roman" w:cs="Times New Roman"/>
          <w:sz w:val="24"/>
          <w:szCs w:val="24"/>
          <w:lang w:val="pt-BR"/>
        </w:rPr>
        <w:t xml:space="preserve"> como forma de </w:t>
      </w:r>
      <w:r w:rsidR="00CF3F70">
        <w:rPr>
          <w:rFonts w:ascii="Times New Roman" w:hAnsi="Times New Roman" w:cs="Times New Roman"/>
          <w:sz w:val="24"/>
          <w:szCs w:val="24"/>
          <w:lang w:val="pt-BR"/>
        </w:rPr>
        <w:t>simulação do</w:t>
      </w:r>
      <w:r w:rsidR="00EA4A34" w:rsidRPr="00CA2760">
        <w:rPr>
          <w:rFonts w:ascii="Times New Roman" w:hAnsi="Times New Roman" w:cs="Times New Roman"/>
          <w:sz w:val="24"/>
          <w:szCs w:val="24"/>
          <w:lang w:val="pt-BR"/>
        </w:rPr>
        <w:t xml:space="preserve"> impacto dos regulamentos </w:t>
      </w:r>
      <w:r w:rsidR="00726F27" w:rsidRPr="00CA2760">
        <w:rPr>
          <w:rFonts w:ascii="Times New Roman" w:hAnsi="Times New Roman" w:cs="Times New Roman"/>
          <w:sz w:val="24"/>
          <w:szCs w:val="24"/>
          <w:lang w:val="pt-BR"/>
        </w:rPr>
        <w:t>sobre a proporção do ativo do FDU que será utilizada para financiar os municípios versus investido em títulos mobiliários</w:t>
      </w:r>
      <w:r w:rsidR="00C14924">
        <w:rPr>
          <w:rFonts w:ascii="Times New Roman" w:hAnsi="Times New Roman" w:cs="Times New Roman"/>
          <w:sz w:val="24"/>
          <w:szCs w:val="24"/>
          <w:lang w:val="pt-BR"/>
        </w:rPr>
        <w:t xml:space="preserve"> </w:t>
      </w:r>
      <w:r w:rsidR="00C14924" w:rsidRPr="00C14924">
        <w:rPr>
          <w:rFonts w:ascii="Times New Roman" w:hAnsi="Times New Roman" w:cs="Times New Roman"/>
          <w:sz w:val="24"/>
          <w:szCs w:val="24"/>
          <w:lang w:val="pt-BR"/>
        </w:rPr>
        <w:t>exigidos pelos regulamentos para a conta de reserva</w:t>
      </w:r>
      <w:r w:rsidR="00C14924">
        <w:rPr>
          <w:rFonts w:ascii="Times New Roman" w:hAnsi="Times New Roman" w:cs="Times New Roman"/>
          <w:sz w:val="24"/>
          <w:szCs w:val="24"/>
          <w:lang w:val="pt-BR"/>
        </w:rPr>
        <w:t>.</w:t>
      </w:r>
    </w:p>
    <w:p w14:paraId="5F63C3BB" w14:textId="46AEFDEB" w:rsidR="00D639F1" w:rsidRPr="004604C0" w:rsidRDefault="00D639F1" w:rsidP="004604C0">
      <w:pPr>
        <w:spacing w:line="360" w:lineRule="auto"/>
        <w:rPr>
          <w:rFonts w:ascii="Times New Roman" w:eastAsia="Times New Roman" w:hAnsi="Times New Roman" w:cs="Times New Roman"/>
          <w:sz w:val="24"/>
          <w:szCs w:val="24"/>
          <w:lang w:val="pt-BR" w:eastAsia="pt-BR"/>
        </w:rPr>
      </w:pPr>
      <w:r>
        <w:rPr>
          <w:rFonts w:ascii="Times New Roman" w:hAnsi="Times New Roman" w:cs="Times New Roman"/>
          <w:sz w:val="24"/>
          <w:szCs w:val="24"/>
          <w:lang w:val="pt-BR"/>
        </w:rPr>
        <w:t xml:space="preserve">Utilizaremos </w:t>
      </w:r>
      <w:r w:rsidRPr="004604C0">
        <w:rPr>
          <w:rFonts w:ascii="Times New Roman" w:eastAsia="Times New Roman" w:hAnsi="Times New Roman" w:cs="Times New Roman"/>
          <w:sz w:val="24"/>
          <w:szCs w:val="24"/>
          <w:lang w:val="pt-BR" w:eastAsia="pt-BR"/>
        </w:rPr>
        <w:t xml:space="preserve">dois métodos para projetar </w:t>
      </w:r>
      <w:r>
        <w:rPr>
          <w:rFonts w:ascii="Times New Roman" w:eastAsia="Times New Roman" w:hAnsi="Times New Roman" w:cs="Times New Roman"/>
          <w:sz w:val="24"/>
          <w:szCs w:val="24"/>
          <w:lang w:val="pt-BR" w:eastAsia="pt-BR"/>
        </w:rPr>
        <w:t xml:space="preserve">os valores de </w:t>
      </w:r>
      <w:r w:rsidR="00D44D24">
        <w:rPr>
          <w:rFonts w:ascii="Times New Roman" w:eastAsia="Times New Roman" w:hAnsi="Times New Roman" w:cs="Times New Roman"/>
          <w:sz w:val="24"/>
          <w:szCs w:val="24"/>
          <w:lang w:val="pt-BR" w:eastAsia="pt-BR"/>
        </w:rPr>
        <w:t>PL</w:t>
      </w:r>
      <w:r w:rsidRPr="00CA2760">
        <w:rPr>
          <w:rFonts w:ascii="Times New Roman" w:eastAsia="Times New Roman" w:hAnsi="Times New Roman" w:cs="Times New Roman"/>
          <w:sz w:val="24"/>
          <w:szCs w:val="24"/>
          <w:lang w:val="pt-BR" w:eastAsia="pt-BR"/>
        </w:rPr>
        <w:t xml:space="preserve"> e Financiamentos Concedidos aos Municípios</w:t>
      </w:r>
      <w:r w:rsidRPr="00D639F1">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 xml:space="preserve">em 2028 </w:t>
      </w:r>
      <w:r w:rsidR="00C14924">
        <w:rPr>
          <w:rFonts w:ascii="Times New Roman" w:eastAsia="Times New Roman" w:hAnsi="Times New Roman" w:cs="Times New Roman"/>
          <w:sz w:val="24"/>
          <w:szCs w:val="24"/>
          <w:lang w:val="pt-BR" w:eastAsia="pt-BR"/>
        </w:rPr>
        <w:t>e</w:t>
      </w:r>
      <w:r>
        <w:rPr>
          <w:rFonts w:ascii="Times New Roman" w:eastAsia="Times New Roman" w:hAnsi="Times New Roman" w:cs="Times New Roman"/>
          <w:sz w:val="24"/>
          <w:szCs w:val="24"/>
          <w:lang w:val="pt-BR" w:eastAsia="pt-BR"/>
        </w:rPr>
        <w:t xml:space="preserve"> 2038</w:t>
      </w:r>
      <w:r w:rsidRPr="004604C0">
        <w:rPr>
          <w:rFonts w:ascii="Times New Roman" w:eastAsia="Times New Roman" w:hAnsi="Times New Roman" w:cs="Times New Roman"/>
          <w:sz w:val="24"/>
          <w:szCs w:val="24"/>
          <w:lang w:val="pt-BR" w:eastAsia="pt-BR"/>
        </w:rPr>
        <w:t>: Cenários e Monte Carlo</w:t>
      </w:r>
    </w:p>
    <w:p w14:paraId="169FCE5E" w14:textId="204C7262" w:rsidR="00726F27" w:rsidRPr="00CA2760" w:rsidRDefault="00595CB8" w:rsidP="00726F27">
      <w:pPr>
        <w:shd w:val="clear" w:color="auto" w:fill="FFFFFF"/>
        <w:spacing w:line="360" w:lineRule="auto"/>
        <w:jc w:val="center"/>
        <w:rPr>
          <w:rFonts w:ascii="Times New Roman" w:eastAsia="Times New Roman" w:hAnsi="Times New Roman" w:cs="Times New Roman"/>
          <w:b/>
          <w:sz w:val="24"/>
          <w:szCs w:val="24"/>
          <w:lang w:val="pt-BR" w:eastAsia="pt-BR"/>
        </w:rPr>
      </w:pPr>
      <w:r>
        <w:rPr>
          <w:rFonts w:ascii="Times New Roman" w:eastAsia="Times New Roman" w:hAnsi="Times New Roman" w:cs="Times New Roman"/>
          <w:b/>
          <w:sz w:val="24"/>
          <w:szCs w:val="24"/>
          <w:lang w:val="pt-BR" w:eastAsia="pt-BR"/>
        </w:rPr>
        <w:t>As simulações</w:t>
      </w:r>
      <w:r w:rsidR="00F53AA8">
        <w:rPr>
          <w:rFonts w:ascii="Times New Roman" w:eastAsia="Times New Roman" w:hAnsi="Times New Roman" w:cs="Times New Roman"/>
          <w:b/>
          <w:sz w:val="24"/>
          <w:szCs w:val="24"/>
          <w:lang w:val="pt-BR" w:eastAsia="pt-BR"/>
        </w:rPr>
        <w:t xml:space="preserve"> com o método de cenários </w:t>
      </w:r>
    </w:p>
    <w:p w14:paraId="0D4E00B0" w14:textId="4802E554" w:rsidR="0011211B" w:rsidRPr="00A426E1" w:rsidRDefault="0011211B" w:rsidP="00726F27">
      <w:pPr>
        <w:shd w:val="clear" w:color="auto" w:fill="FFFFFF"/>
        <w:spacing w:after="0"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t xml:space="preserve">Como não queremos superestimar a capitalização do FDU, todos os três cenários para as nossas simulações financeiras </w:t>
      </w:r>
      <w:r w:rsidR="00ED18D4">
        <w:rPr>
          <w:rFonts w:ascii="Times New Roman" w:eastAsia="Times New Roman" w:hAnsi="Times New Roman" w:cs="Times New Roman"/>
          <w:sz w:val="24"/>
          <w:szCs w:val="24"/>
          <w:lang w:val="pt-BR" w:eastAsia="pt-BR"/>
        </w:rPr>
        <w:t>do</w:t>
      </w:r>
      <w:r w:rsidRPr="00CA2760">
        <w:rPr>
          <w:rFonts w:ascii="Times New Roman" w:eastAsia="Times New Roman" w:hAnsi="Times New Roman" w:cs="Times New Roman"/>
          <w:sz w:val="24"/>
          <w:szCs w:val="24"/>
          <w:lang w:val="pt-BR" w:eastAsia="pt-BR"/>
        </w:rPr>
        <w:t xml:space="preserve"> período de base são bastante conservador</w:t>
      </w:r>
      <w:r w:rsidR="00E65186">
        <w:rPr>
          <w:rFonts w:ascii="Times New Roman" w:eastAsia="Times New Roman" w:hAnsi="Times New Roman" w:cs="Times New Roman"/>
          <w:sz w:val="24"/>
          <w:szCs w:val="24"/>
          <w:lang w:val="pt-BR" w:eastAsia="pt-BR"/>
        </w:rPr>
        <w:t>e</w:t>
      </w:r>
      <w:r w:rsidRPr="00CA2760">
        <w:rPr>
          <w:rFonts w:ascii="Times New Roman" w:eastAsia="Times New Roman" w:hAnsi="Times New Roman" w:cs="Times New Roman"/>
          <w:sz w:val="24"/>
          <w:szCs w:val="24"/>
          <w:lang w:val="pt-BR" w:eastAsia="pt-BR"/>
        </w:rPr>
        <w:t xml:space="preserve">s. </w:t>
      </w:r>
      <w:r w:rsidRPr="00A426E1">
        <w:rPr>
          <w:rFonts w:ascii="Times New Roman" w:eastAsia="Times New Roman" w:hAnsi="Times New Roman" w:cs="Times New Roman"/>
          <w:sz w:val="24"/>
          <w:szCs w:val="24"/>
          <w:lang w:val="pt-BR" w:eastAsia="pt-BR"/>
        </w:rPr>
        <w:t xml:space="preserve">A tabela </w:t>
      </w:r>
      <w:r w:rsidR="009404BD">
        <w:rPr>
          <w:rFonts w:ascii="Times New Roman" w:eastAsia="Times New Roman" w:hAnsi="Times New Roman" w:cs="Times New Roman"/>
          <w:sz w:val="24"/>
          <w:szCs w:val="24"/>
          <w:lang w:val="pt-BR" w:eastAsia="pt-BR"/>
        </w:rPr>
        <w:t>13</w:t>
      </w:r>
      <w:r w:rsidR="009404BD" w:rsidRPr="00A426E1">
        <w:rPr>
          <w:rFonts w:ascii="Times New Roman" w:eastAsia="Times New Roman" w:hAnsi="Times New Roman" w:cs="Times New Roman"/>
          <w:sz w:val="24"/>
          <w:szCs w:val="24"/>
          <w:lang w:val="pt-BR" w:eastAsia="pt-BR"/>
        </w:rPr>
        <w:t xml:space="preserve"> </w:t>
      </w:r>
      <w:r w:rsidRPr="00A426E1">
        <w:rPr>
          <w:rFonts w:ascii="Times New Roman" w:eastAsia="Times New Roman" w:hAnsi="Times New Roman" w:cs="Times New Roman"/>
          <w:sz w:val="24"/>
          <w:szCs w:val="24"/>
          <w:lang w:val="pt-BR" w:eastAsia="pt-BR"/>
        </w:rPr>
        <w:t>mostra</w:t>
      </w:r>
      <w:r w:rsidRPr="00CA2760">
        <w:rPr>
          <w:rFonts w:ascii="Times New Roman" w:eastAsia="Times New Roman" w:hAnsi="Times New Roman" w:cs="Times New Roman"/>
          <w:sz w:val="24"/>
          <w:szCs w:val="24"/>
          <w:lang w:val="pt-BR" w:eastAsia="pt-BR"/>
        </w:rPr>
        <w:t xml:space="preserve"> os parâmetros para os nossos cenários otimista, intermediário e pessimista</w:t>
      </w:r>
      <w:r w:rsidR="00497059" w:rsidRPr="00CA2760">
        <w:rPr>
          <w:rFonts w:ascii="Times New Roman" w:eastAsia="Times New Roman" w:hAnsi="Times New Roman" w:cs="Times New Roman"/>
          <w:sz w:val="24"/>
          <w:szCs w:val="24"/>
          <w:lang w:val="pt-BR" w:eastAsia="pt-BR"/>
        </w:rPr>
        <w:t xml:space="preserve"> </w:t>
      </w:r>
      <w:r w:rsidR="00ED18D4">
        <w:rPr>
          <w:rFonts w:ascii="Times New Roman" w:eastAsia="Times New Roman" w:hAnsi="Times New Roman" w:cs="Times New Roman"/>
          <w:sz w:val="24"/>
          <w:szCs w:val="24"/>
          <w:lang w:val="pt-BR" w:eastAsia="pt-BR"/>
        </w:rPr>
        <w:t>das</w:t>
      </w:r>
      <w:r w:rsidR="00497059" w:rsidRPr="00CA2760">
        <w:rPr>
          <w:rFonts w:ascii="Times New Roman" w:eastAsia="Times New Roman" w:hAnsi="Times New Roman" w:cs="Times New Roman"/>
          <w:sz w:val="24"/>
          <w:szCs w:val="24"/>
          <w:lang w:val="pt-BR" w:eastAsia="pt-BR"/>
        </w:rPr>
        <w:t xml:space="preserve"> </w:t>
      </w:r>
      <w:r w:rsidR="0042288E" w:rsidRPr="00CA2760">
        <w:rPr>
          <w:rFonts w:ascii="Times New Roman" w:eastAsia="Times New Roman" w:hAnsi="Times New Roman" w:cs="Times New Roman"/>
          <w:sz w:val="24"/>
          <w:szCs w:val="24"/>
          <w:lang w:val="pt-BR" w:eastAsia="pt-BR"/>
        </w:rPr>
        <w:t xml:space="preserve">quatro </w:t>
      </w:r>
      <w:r w:rsidR="0042288E" w:rsidRPr="0042288E">
        <w:rPr>
          <w:rFonts w:ascii="Times New Roman" w:eastAsia="Times New Roman" w:hAnsi="Times New Roman" w:cs="Times New Roman"/>
          <w:i/>
          <w:sz w:val="24"/>
          <w:szCs w:val="24"/>
          <w:lang w:val="pt-BR" w:eastAsia="pt-BR"/>
        </w:rPr>
        <w:t>input</w:t>
      </w:r>
      <w:r w:rsidR="006838AE" w:rsidRPr="0042288E">
        <w:rPr>
          <w:rFonts w:ascii="Times New Roman" w:eastAsia="Times New Roman" w:hAnsi="Times New Roman" w:cs="Times New Roman"/>
          <w:i/>
          <w:sz w:val="24"/>
          <w:szCs w:val="24"/>
          <w:lang w:val="pt-BR" w:eastAsia="pt-BR"/>
        </w:rPr>
        <w:t xml:space="preserve"> variables</w:t>
      </w:r>
      <w:r w:rsidRPr="00CA2760">
        <w:rPr>
          <w:rFonts w:ascii="Times New Roman" w:eastAsia="Times New Roman" w:hAnsi="Times New Roman" w:cs="Times New Roman"/>
          <w:sz w:val="24"/>
          <w:szCs w:val="24"/>
          <w:lang w:val="pt-BR" w:eastAsia="pt-BR"/>
        </w:rPr>
        <w:t>. Para o cenário intermediário</w:t>
      </w:r>
      <w:r w:rsidR="00726F27" w:rsidRPr="00CA2760">
        <w:rPr>
          <w:rFonts w:ascii="Times New Roman" w:eastAsia="Times New Roman" w:hAnsi="Times New Roman" w:cs="Times New Roman"/>
          <w:sz w:val="24"/>
          <w:szCs w:val="24"/>
          <w:lang w:val="pt-BR" w:eastAsia="pt-BR"/>
        </w:rPr>
        <w:t>,</w:t>
      </w:r>
      <w:r w:rsidR="00497059" w:rsidRPr="00CA2760">
        <w:rPr>
          <w:rFonts w:ascii="Times New Roman" w:eastAsia="Times New Roman" w:hAnsi="Times New Roman" w:cs="Times New Roman"/>
          <w:sz w:val="24"/>
          <w:szCs w:val="24"/>
          <w:lang w:val="pt-BR" w:eastAsia="pt-BR"/>
        </w:rPr>
        <w:t xml:space="preserve"> usamos</w:t>
      </w:r>
      <w:r w:rsidRPr="00CA2760">
        <w:rPr>
          <w:rFonts w:ascii="Times New Roman" w:eastAsia="Times New Roman" w:hAnsi="Times New Roman" w:cs="Times New Roman"/>
          <w:sz w:val="24"/>
          <w:szCs w:val="24"/>
          <w:lang w:val="pt-BR" w:eastAsia="pt-BR"/>
        </w:rPr>
        <w:t xml:space="preserve"> as taxas reais de juros </w:t>
      </w:r>
      <w:r w:rsidR="00ED18D4">
        <w:rPr>
          <w:rFonts w:ascii="Times New Roman" w:eastAsia="Times New Roman" w:hAnsi="Times New Roman" w:cs="Times New Roman"/>
          <w:sz w:val="24"/>
          <w:szCs w:val="24"/>
          <w:lang w:val="pt-BR" w:eastAsia="pt-BR"/>
        </w:rPr>
        <w:t>dos</w:t>
      </w:r>
      <w:r w:rsidR="00ED18D4" w:rsidRPr="00CA2760">
        <w:rPr>
          <w:rFonts w:ascii="Times New Roman" w:eastAsia="Times New Roman" w:hAnsi="Times New Roman" w:cs="Times New Roman"/>
          <w:sz w:val="24"/>
          <w:szCs w:val="24"/>
          <w:lang w:val="pt-BR" w:eastAsia="pt-BR"/>
        </w:rPr>
        <w:t xml:space="preserve"> </w:t>
      </w:r>
      <w:r w:rsidRPr="00CA2760">
        <w:rPr>
          <w:rFonts w:ascii="Times New Roman" w:eastAsia="Times New Roman" w:hAnsi="Times New Roman" w:cs="Times New Roman"/>
          <w:sz w:val="24"/>
          <w:szCs w:val="24"/>
          <w:lang w:val="pt-BR" w:eastAsia="pt-BR"/>
        </w:rPr>
        <w:t xml:space="preserve">Financiamentos Concedidos aos Municípios e Aplicações Financeiras </w:t>
      </w:r>
      <w:r w:rsidR="00ED18D4" w:rsidRPr="00A47D27">
        <w:rPr>
          <w:rFonts w:ascii="Times New Roman" w:eastAsia="Times New Roman" w:hAnsi="Times New Roman" w:cs="Times New Roman"/>
          <w:sz w:val="24"/>
          <w:szCs w:val="24"/>
          <w:lang w:val="pt-BR" w:eastAsia="pt-BR"/>
        </w:rPr>
        <w:t>com as</w:t>
      </w:r>
      <w:r w:rsidRPr="00A47D27">
        <w:rPr>
          <w:rFonts w:ascii="Times New Roman" w:eastAsia="Times New Roman" w:hAnsi="Times New Roman" w:cs="Times New Roman"/>
          <w:sz w:val="24"/>
          <w:szCs w:val="24"/>
          <w:lang w:val="pt-BR" w:eastAsia="pt-BR"/>
        </w:rPr>
        <w:t xml:space="preserve"> médias da tabela </w:t>
      </w:r>
      <w:r w:rsidR="009404BD">
        <w:rPr>
          <w:rFonts w:ascii="Times New Roman" w:eastAsia="Times New Roman" w:hAnsi="Times New Roman" w:cs="Times New Roman"/>
          <w:sz w:val="24"/>
          <w:szCs w:val="24"/>
          <w:lang w:val="pt-BR" w:eastAsia="pt-BR"/>
        </w:rPr>
        <w:t>13</w:t>
      </w:r>
      <w:r w:rsidRPr="00A47D27">
        <w:rPr>
          <w:rFonts w:ascii="Times New Roman" w:eastAsia="Times New Roman" w:hAnsi="Times New Roman" w:cs="Times New Roman"/>
          <w:sz w:val="24"/>
          <w:szCs w:val="24"/>
          <w:lang w:val="pt-BR" w:eastAsia="pt-BR"/>
        </w:rPr>
        <w:t>.  Para os</w:t>
      </w:r>
      <w:r w:rsidRPr="00A426E1">
        <w:rPr>
          <w:rFonts w:ascii="Times New Roman" w:eastAsia="Times New Roman" w:hAnsi="Times New Roman" w:cs="Times New Roman"/>
          <w:sz w:val="24"/>
          <w:szCs w:val="24"/>
          <w:lang w:val="pt-BR" w:eastAsia="pt-BR"/>
        </w:rPr>
        <w:t xml:space="preserve"> cenários otimista e pessimista adic</w:t>
      </w:r>
      <w:r w:rsidR="00ED18D4" w:rsidRPr="007451C3">
        <w:rPr>
          <w:rFonts w:ascii="Times New Roman" w:eastAsia="Times New Roman" w:hAnsi="Times New Roman" w:cs="Times New Roman"/>
          <w:sz w:val="24"/>
          <w:szCs w:val="24"/>
          <w:lang w:val="pt-BR" w:eastAsia="pt-BR"/>
        </w:rPr>
        <w:t>i</w:t>
      </w:r>
      <w:r w:rsidRPr="007451C3">
        <w:rPr>
          <w:rFonts w:ascii="Times New Roman" w:eastAsia="Times New Roman" w:hAnsi="Times New Roman" w:cs="Times New Roman"/>
          <w:sz w:val="24"/>
          <w:szCs w:val="24"/>
          <w:lang w:val="pt-BR" w:eastAsia="pt-BR"/>
        </w:rPr>
        <w:t>onamos ou subtra</w:t>
      </w:r>
      <w:r w:rsidR="00ED18D4" w:rsidRPr="007451C3">
        <w:rPr>
          <w:rFonts w:ascii="Times New Roman" w:eastAsia="Times New Roman" w:hAnsi="Times New Roman" w:cs="Times New Roman"/>
          <w:sz w:val="24"/>
          <w:szCs w:val="24"/>
          <w:lang w:val="pt-BR" w:eastAsia="pt-BR"/>
        </w:rPr>
        <w:t>í</w:t>
      </w:r>
      <w:r w:rsidRPr="007451C3">
        <w:rPr>
          <w:rFonts w:ascii="Times New Roman" w:eastAsia="Times New Roman" w:hAnsi="Times New Roman" w:cs="Times New Roman"/>
          <w:sz w:val="24"/>
          <w:szCs w:val="24"/>
          <w:lang w:val="pt-BR" w:eastAsia="pt-BR"/>
        </w:rPr>
        <w:t>mos um desvio padrão destas médias, respectivamente. Como usamos apenas as taxas reais (ou s</w:t>
      </w:r>
      <w:r w:rsidRPr="00A426E1">
        <w:rPr>
          <w:rFonts w:ascii="Times New Roman" w:eastAsia="Times New Roman" w:hAnsi="Times New Roman" w:cs="Times New Roman"/>
          <w:sz w:val="24"/>
          <w:szCs w:val="24"/>
          <w:lang w:val="pt-BR" w:eastAsia="pt-BR"/>
        </w:rPr>
        <w:t>eja, taxa nominal menos inflação) na definição dos cenários, os resultados serão, naturalmente, em reais de valor constante 2017.</w:t>
      </w:r>
    </w:p>
    <w:p w14:paraId="52C8D7DA" w14:textId="77777777" w:rsidR="006942D2" w:rsidRDefault="006942D2">
      <w:pPr>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br w:type="page"/>
      </w:r>
    </w:p>
    <w:p w14:paraId="776622CD" w14:textId="32249BD0" w:rsidR="00C355C6" w:rsidRPr="00CA2760" w:rsidRDefault="00E3264B" w:rsidP="00726F27">
      <w:pPr>
        <w:shd w:val="clear" w:color="auto" w:fill="FFFFFF"/>
        <w:spacing w:before="240" w:after="0" w:line="240" w:lineRule="auto"/>
        <w:rPr>
          <w:rFonts w:ascii="Times New Roman" w:eastAsia="Times New Roman" w:hAnsi="Times New Roman" w:cs="Times New Roman"/>
          <w:sz w:val="24"/>
          <w:szCs w:val="24"/>
          <w:lang w:val="pt-BR" w:eastAsia="pt-BR"/>
        </w:rPr>
      </w:pPr>
      <w:r w:rsidRPr="00A47D27">
        <w:rPr>
          <w:rFonts w:ascii="Times New Roman" w:eastAsia="Times New Roman" w:hAnsi="Times New Roman" w:cs="Times New Roman"/>
          <w:sz w:val="24"/>
          <w:szCs w:val="24"/>
          <w:lang w:val="pt-BR" w:eastAsia="pt-BR"/>
        </w:rPr>
        <w:lastRenderedPageBreak/>
        <w:t>Tab</w:t>
      </w:r>
      <w:r w:rsidR="00C355C6" w:rsidRPr="00A47D27">
        <w:rPr>
          <w:rFonts w:ascii="Times New Roman" w:eastAsia="Times New Roman" w:hAnsi="Times New Roman" w:cs="Times New Roman"/>
          <w:sz w:val="24"/>
          <w:szCs w:val="24"/>
          <w:lang w:val="pt-BR" w:eastAsia="pt-BR"/>
        </w:rPr>
        <w:t>e</w:t>
      </w:r>
      <w:r w:rsidRPr="00A47D27">
        <w:rPr>
          <w:rFonts w:ascii="Times New Roman" w:eastAsia="Times New Roman" w:hAnsi="Times New Roman" w:cs="Times New Roman"/>
          <w:sz w:val="24"/>
          <w:szCs w:val="24"/>
          <w:lang w:val="pt-BR" w:eastAsia="pt-BR"/>
        </w:rPr>
        <w:t>l</w:t>
      </w:r>
      <w:r w:rsidR="00C355C6" w:rsidRPr="00A47D27">
        <w:rPr>
          <w:rFonts w:ascii="Times New Roman" w:eastAsia="Times New Roman" w:hAnsi="Times New Roman" w:cs="Times New Roman"/>
          <w:sz w:val="24"/>
          <w:szCs w:val="24"/>
          <w:lang w:val="pt-BR" w:eastAsia="pt-BR"/>
        </w:rPr>
        <w:t>a</w:t>
      </w:r>
      <w:r w:rsidRPr="00A47D27">
        <w:rPr>
          <w:rFonts w:ascii="Times New Roman" w:eastAsia="Times New Roman" w:hAnsi="Times New Roman" w:cs="Times New Roman"/>
          <w:sz w:val="24"/>
          <w:szCs w:val="24"/>
          <w:lang w:val="pt-BR" w:eastAsia="pt-BR"/>
        </w:rPr>
        <w:t xml:space="preserve"> </w:t>
      </w:r>
      <w:r w:rsidR="009404BD">
        <w:rPr>
          <w:rFonts w:ascii="Times New Roman" w:eastAsia="Times New Roman" w:hAnsi="Times New Roman" w:cs="Times New Roman"/>
          <w:sz w:val="24"/>
          <w:szCs w:val="24"/>
          <w:lang w:val="pt-BR" w:eastAsia="pt-BR"/>
        </w:rPr>
        <w:t>13</w:t>
      </w:r>
      <w:r w:rsidRPr="00A426E1">
        <w:rPr>
          <w:rFonts w:ascii="Times New Roman" w:eastAsia="Times New Roman" w:hAnsi="Times New Roman" w:cs="Times New Roman"/>
          <w:sz w:val="24"/>
          <w:szCs w:val="24"/>
          <w:lang w:val="pt-BR" w:eastAsia="pt-BR"/>
        </w:rPr>
        <w:t xml:space="preserve">. </w:t>
      </w:r>
      <w:r w:rsidR="009358D3" w:rsidRPr="00A426E1">
        <w:rPr>
          <w:rFonts w:ascii="Times New Roman" w:eastAsia="Times New Roman" w:hAnsi="Times New Roman" w:cs="Times New Roman"/>
          <w:sz w:val="24"/>
          <w:szCs w:val="24"/>
          <w:lang w:val="pt-BR" w:eastAsia="pt-BR"/>
        </w:rPr>
        <w:t xml:space="preserve">FDU: </w:t>
      </w:r>
      <w:r w:rsidR="00C355C6" w:rsidRPr="00A426E1">
        <w:rPr>
          <w:rFonts w:ascii="Times New Roman" w:eastAsia="Times New Roman" w:hAnsi="Times New Roman" w:cs="Times New Roman"/>
          <w:sz w:val="24"/>
          <w:szCs w:val="24"/>
          <w:lang w:val="pt-BR" w:eastAsia="pt-BR"/>
        </w:rPr>
        <w:t>Definição dos cenários para as simulações financeiras</w:t>
      </w:r>
    </w:p>
    <w:tbl>
      <w:tblPr>
        <w:tblStyle w:val="TableGrid"/>
        <w:tblW w:w="9493" w:type="dxa"/>
        <w:tblLayout w:type="fixed"/>
        <w:tblLook w:val="04A0" w:firstRow="1" w:lastRow="0" w:firstColumn="1" w:lastColumn="0" w:noHBand="0" w:noVBand="1"/>
      </w:tblPr>
      <w:tblGrid>
        <w:gridCol w:w="2122"/>
        <w:gridCol w:w="992"/>
        <w:gridCol w:w="1134"/>
        <w:gridCol w:w="1262"/>
        <w:gridCol w:w="1289"/>
        <w:gridCol w:w="1418"/>
        <w:gridCol w:w="1276"/>
      </w:tblGrid>
      <w:tr w:rsidR="00330857" w:rsidRPr="00CA2760" w14:paraId="677B4411" w14:textId="77777777" w:rsidTr="00330857">
        <w:trPr>
          <w:trHeight w:val="288"/>
        </w:trPr>
        <w:tc>
          <w:tcPr>
            <w:tcW w:w="2122" w:type="dxa"/>
            <w:vMerge w:val="restart"/>
            <w:vAlign w:val="center"/>
          </w:tcPr>
          <w:p w14:paraId="1C76EE73" w14:textId="39F69148" w:rsidR="00330857" w:rsidRPr="00CA2760" w:rsidRDefault="00330857" w:rsidP="00C46327">
            <w:pPr>
              <w:rPr>
                <w:rFonts w:ascii="Arial" w:hAnsi="Arial" w:cs="Arial"/>
                <w:sz w:val="20"/>
                <w:szCs w:val="20"/>
                <w:lang w:val="pt-BR"/>
              </w:rPr>
            </w:pPr>
            <w:r w:rsidRPr="00CA2760">
              <w:rPr>
                <w:rFonts w:ascii="Arial" w:hAnsi="Arial" w:cs="Arial"/>
                <w:sz w:val="20"/>
                <w:szCs w:val="20"/>
                <w:lang w:val="pt-BR"/>
              </w:rPr>
              <w:t>Taxas reais das variáveis</w:t>
            </w:r>
          </w:p>
        </w:tc>
        <w:tc>
          <w:tcPr>
            <w:tcW w:w="3388" w:type="dxa"/>
            <w:gridSpan w:val="3"/>
            <w:hideMark/>
          </w:tcPr>
          <w:p w14:paraId="19A66C00" w14:textId="00EF1968" w:rsidR="00330857" w:rsidRPr="00CA2760" w:rsidRDefault="00330857" w:rsidP="005C738B">
            <w:pPr>
              <w:jc w:val="center"/>
              <w:rPr>
                <w:rFonts w:ascii="Arial" w:hAnsi="Arial" w:cs="Arial"/>
                <w:sz w:val="20"/>
                <w:szCs w:val="20"/>
                <w:lang w:val="pt-BR"/>
              </w:rPr>
            </w:pPr>
            <w:r w:rsidRPr="00CA2760">
              <w:rPr>
                <w:rFonts w:ascii="Arial" w:hAnsi="Arial" w:cs="Arial"/>
                <w:sz w:val="20"/>
                <w:szCs w:val="20"/>
                <w:lang w:val="pt-BR"/>
              </w:rPr>
              <w:t>Estatísticas</w:t>
            </w:r>
            <w:r w:rsidR="00BC6902">
              <w:rPr>
                <w:rFonts w:ascii="Arial" w:hAnsi="Arial" w:cs="Arial"/>
                <w:sz w:val="20"/>
                <w:szCs w:val="20"/>
                <w:lang w:val="pt-BR"/>
              </w:rPr>
              <w:t xml:space="preserve"> Descritivas</w:t>
            </w:r>
          </w:p>
        </w:tc>
        <w:tc>
          <w:tcPr>
            <w:tcW w:w="3983" w:type="dxa"/>
            <w:gridSpan w:val="3"/>
            <w:noWrap/>
            <w:hideMark/>
          </w:tcPr>
          <w:p w14:paraId="2089F4A6" w14:textId="77777777" w:rsidR="00330857" w:rsidRPr="00CA2760" w:rsidRDefault="00330857" w:rsidP="005C738B">
            <w:pPr>
              <w:jc w:val="center"/>
              <w:rPr>
                <w:rFonts w:ascii="Arial" w:hAnsi="Arial" w:cs="Arial"/>
                <w:sz w:val="20"/>
                <w:szCs w:val="20"/>
                <w:lang w:val="pt-BR"/>
              </w:rPr>
            </w:pPr>
            <w:r w:rsidRPr="00CA2760">
              <w:rPr>
                <w:rFonts w:ascii="Arial" w:hAnsi="Arial" w:cs="Arial"/>
                <w:sz w:val="20"/>
                <w:szCs w:val="20"/>
                <w:lang w:val="pt-BR"/>
              </w:rPr>
              <w:t>Cenários</w:t>
            </w:r>
          </w:p>
        </w:tc>
      </w:tr>
      <w:tr w:rsidR="00330857" w:rsidRPr="00CA2760" w14:paraId="7A0B12F4" w14:textId="77777777" w:rsidTr="00330857">
        <w:trPr>
          <w:trHeight w:val="346"/>
        </w:trPr>
        <w:tc>
          <w:tcPr>
            <w:tcW w:w="2122" w:type="dxa"/>
            <w:vMerge/>
            <w:hideMark/>
          </w:tcPr>
          <w:p w14:paraId="7EEF301D" w14:textId="5669B164" w:rsidR="00330857" w:rsidRPr="00CA2760" w:rsidRDefault="00330857" w:rsidP="00C46327">
            <w:pPr>
              <w:rPr>
                <w:rFonts w:ascii="Arial" w:hAnsi="Arial" w:cs="Arial"/>
                <w:sz w:val="20"/>
                <w:szCs w:val="20"/>
                <w:lang w:val="pt-BR"/>
              </w:rPr>
            </w:pPr>
          </w:p>
        </w:tc>
        <w:tc>
          <w:tcPr>
            <w:tcW w:w="992" w:type="dxa"/>
            <w:vMerge w:val="restart"/>
            <w:vAlign w:val="center"/>
            <w:hideMark/>
          </w:tcPr>
          <w:p w14:paraId="3915D6F9" w14:textId="3BBC8973" w:rsidR="00330857" w:rsidRPr="00CA2760" w:rsidRDefault="00330857" w:rsidP="00330857">
            <w:pPr>
              <w:jc w:val="right"/>
              <w:rPr>
                <w:rFonts w:ascii="Arial" w:hAnsi="Arial" w:cs="Arial"/>
                <w:sz w:val="20"/>
                <w:szCs w:val="20"/>
                <w:lang w:val="pt-BR"/>
              </w:rPr>
            </w:pPr>
            <w:r w:rsidRPr="00CA2760">
              <w:rPr>
                <w:rFonts w:ascii="Arial" w:hAnsi="Arial" w:cs="Arial"/>
                <w:sz w:val="20"/>
                <w:szCs w:val="20"/>
                <w:lang w:val="pt-BR"/>
              </w:rPr>
              <w:t>Média</w:t>
            </w:r>
          </w:p>
        </w:tc>
        <w:tc>
          <w:tcPr>
            <w:tcW w:w="1134" w:type="dxa"/>
            <w:vMerge w:val="restart"/>
            <w:vAlign w:val="center"/>
            <w:hideMark/>
          </w:tcPr>
          <w:p w14:paraId="15E4F3D7" w14:textId="391AEB11" w:rsidR="00330857" w:rsidRPr="00CA2760" w:rsidRDefault="00330857" w:rsidP="00330857">
            <w:pPr>
              <w:jc w:val="right"/>
              <w:rPr>
                <w:rFonts w:ascii="Arial" w:hAnsi="Arial" w:cs="Arial"/>
                <w:sz w:val="20"/>
                <w:szCs w:val="20"/>
                <w:lang w:val="pt-BR"/>
              </w:rPr>
            </w:pPr>
            <w:r w:rsidRPr="00CA2760">
              <w:rPr>
                <w:rFonts w:ascii="Arial" w:hAnsi="Arial" w:cs="Arial"/>
                <w:sz w:val="20"/>
                <w:szCs w:val="20"/>
                <w:lang w:val="pt-BR"/>
              </w:rPr>
              <w:t>Desvio Padrão (DP)</w:t>
            </w:r>
          </w:p>
        </w:tc>
        <w:tc>
          <w:tcPr>
            <w:tcW w:w="1262" w:type="dxa"/>
            <w:vMerge w:val="restart"/>
            <w:vAlign w:val="center"/>
            <w:hideMark/>
          </w:tcPr>
          <w:p w14:paraId="0B6B295E" w14:textId="4100F7EE" w:rsidR="00330857" w:rsidRPr="00CA2760" w:rsidRDefault="00330857" w:rsidP="00330857">
            <w:pPr>
              <w:jc w:val="right"/>
              <w:rPr>
                <w:rFonts w:ascii="Arial" w:hAnsi="Arial" w:cs="Arial"/>
                <w:sz w:val="20"/>
                <w:szCs w:val="20"/>
                <w:lang w:val="pt-BR"/>
              </w:rPr>
            </w:pPr>
            <w:r w:rsidRPr="00CA2760">
              <w:rPr>
                <w:rFonts w:ascii="Arial" w:hAnsi="Arial" w:cs="Arial"/>
                <w:sz w:val="20"/>
                <w:szCs w:val="20"/>
                <w:lang w:val="pt-BR"/>
              </w:rPr>
              <w:t>Coeficiente de variação</w:t>
            </w:r>
          </w:p>
        </w:tc>
        <w:tc>
          <w:tcPr>
            <w:tcW w:w="1289" w:type="dxa"/>
            <w:vAlign w:val="center"/>
            <w:hideMark/>
          </w:tcPr>
          <w:p w14:paraId="291EBFB6" w14:textId="002A9945" w:rsidR="00330857" w:rsidRPr="00CA2760" w:rsidRDefault="00330857" w:rsidP="00330857">
            <w:pPr>
              <w:jc w:val="right"/>
              <w:rPr>
                <w:rFonts w:ascii="Arial" w:hAnsi="Arial" w:cs="Arial"/>
                <w:sz w:val="20"/>
                <w:szCs w:val="20"/>
                <w:lang w:val="pt-BR"/>
              </w:rPr>
            </w:pPr>
            <w:r w:rsidRPr="00CA2760">
              <w:rPr>
                <w:rFonts w:ascii="Arial" w:hAnsi="Arial" w:cs="Arial"/>
                <w:color w:val="000000"/>
                <w:sz w:val="20"/>
                <w:szCs w:val="20"/>
                <w:lang w:val="pt-BR"/>
              </w:rPr>
              <w:t>Otimista</w:t>
            </w:r>
          </w:p>
        </w:tc>
        <w:tc>
          <w:tcPr>
            <w:tcW w:w="1418" w:type="dxa"/>
            <w:vAlign w:val="center"/>
            <w:hideMark/>
          </w:tcPr>
          <w:p w14:paraId="1BAD6450" w14:textId="62063E64" w:rsidR="00330857" w:rsidRPr="00CA2760" w:rsidRDefault="00330857" w:rsidP="00330857">
            <w:pPr>
              <w:jc w:val="right"/>
              <w:rPr>
                <w:rFonts w:ascii="Arial" w:hAnsi="Arial" w:cs="Arial"/>
                <w:sz w:val="20"/>
                <w:szCs w:val="20"/>
                <w:lang w:val="pt-BR"/>
              </w:rPr>
            </w:pPr>
            <w:r w:rsidRPr="00CA2760">
              <w:rPr>
                <w:rFonts w:ascii="Arial" w:hAnsi="Arial" w:cs="Arial"/>
                <w:color w:val="000000"/>
                <w:sz w:val="20"/>
                <w:szCs w:val="20"/>
                <w:lang w:val="pt-BR"/>
              </w:rPr>
              <w:t>Intermediário</w:t>
            </w:r>
          </w:p>
        </w:tc>
        <w:tc>
          <w:tcPr>
            <w:tcW w:w="1276" w:type="dxa"/>
            <w:vAlign w:val="center"/>
            <w:hideMark/>
          </w:tcPr>
          <w:p w14:paraId="65EE1791" w14:textId="6FC25430" w:rsidR="00330857" w:rsidRPr="00CA2760" w:rsidRDefault="00330857" w:rsidP="00330857">
            <w:pPr>
              <w:jc w:val="right"/>
              <w:rPr>
                <w:rFonts w:ascii="Arial" w:hAnsi="Arial" w:cs="Arial"/>
                <w:sz w:val="20"/>
                <w:szCs w:val="20"/>
                <w:lang w:val="pt-BR"/>
              </w:rPr>
            </w:pPr>
            <w:r w:rsidRPr="00CA2760">
              <w:rPr>
                <w:rFonts w:ascii="Arial" w:hAnsi="Arial" w:cs="Arial"/>
                <w:color w:val="000000"/>
                <w:sz w:val="20"/>
                <w:szCs w:val="20"/>
                <w:lang w:val="pt-BR"/>
              </w:rPr>
              <w:t>Pessimista</w:t>
            </w:r>
          </w:p>
        </w:tc>
      </w:tr>
      <w:tr w:rsidR="00330857" w:rsidRPr="00CA2760" w14:paraId="2BEC6D2C" w14:textId="77777777" w:rsidTr="00330857">
        <w:trPr>
          <w:trHeight w:val="276"/>
        </w:trPr>
        <w:tc>
          <w:tcPr>
            <w:tcW w:w="2122" w:type="dxa"/>
            <w:vMerge/>
            <w:hideMark/>
          </w:tcPr>
          <w:p w14:paraId="15E30F75" w14:textId="6EE66EAC" w:rsidR="00330857" w:rsidRPr="00CA2760" w:rsidRDefault="00330857" w:rsidP="00C46327">
            <w:pPr>
              <w:rPr>
                <w:rFonts w:ascii="Arial" w:hAnsi="Arial" w:cs="Arial"/>
                <w:sz w:val="20"/>
                <w:szCs w:val="20"/>
                <w:lang w:val="pt-BR"/>
              </w:rPr>
            </w:pPr>
          </w:p>
        </w:tc>
        <w:tc>
          <w:tcPr>
            <w:tcW w:w="992" w:type="dxa"/>
            <w:vMerge/>
            <w:vAlign w:val="center"/>
            <w:hideMark/>
          </w:tcPr>
          <w:p w14:paraId="42D4B5E0" w14:textId="6A874E4D" w:rsidR="00330857" w:rsidRPr="00CA2760" w:rsidRDefault="00330857" w:rsidP="00C46327">
            <w:pPr>
              <w:jc w:val="right"/>
              <w:rPr>
                <w:rFonts w:ascii="Arial" w:hAnsi="Arial" w:cs="Arial"/>
                <w:sz w:val="20"/>
                <w:szCs w:val="20"/>
                <w:lang w:val="pt-BR"/>
              </w:rPr>
            </w:pPr>
          </w:p>
        </w:tc>
        <w:tc>
          <w:tcPr>
            <w:tcW w:w="1134" w:type="dxa"/>
            <w:vMerge/>
            <w:vAlign w:val="center"/>
            <w:hideMark/>
          </w:tcPr>
          <w:p w14:paraId="755218F4" w14:textId="59B25CD8" w:rsidR="00330857" w:rsidRPr="00CA2760" w:rsidRDefault="00330857" w:rsidP="00C46327">
            <w:pPr>
              <w:jc w:val="right"/>
              <w:rPr>
                <w:rFonts w:ascii="Arial" w:hAnsi="Arial" w:cs="Arial"/>
                <w:sz w:val="20"/>
                <w:szCs w:val="20"/>
                <w:lang w:val="pt-BR"/>
              </w:rPr>
            </w:pPr>
          </w:p>
        </w:tc>
        <w:tc>
          <w:tcPr>
            <w:tcW w:w="1262" w:type="dxa"/>
            <w:vMerge/>
            <w:vAlign w:val="center"/>
            <w:hideMark/>
          </w:tcPr>
          <w:p w14:paraId="69944CE3" w14:textId="583382AF" w:rsidR="00330857" w:rsidRPr="00CA2760" w:rsidRDefault="00330857" w:rsidP="00C46327">
            <w:pPr>
              <w:jc w:val="right"/>
              <w:rPr>
                <w:rFonts w:ascii="Arial" w:hAnsi="Arial" w:cs="Arial"/>
                <w:sz w:val="20"/>
                <w:szCs w:val="20"/>
                <w:lang w:val="pt-BR"/>
              </w:rPr>
            </w:pPr>
          </w:p>
        </w:tc>
        <w:tc>
          <w:tcPr>
            <w:tcW w:w="1289" w:type="dxa"/>
            <w:vAlign w:val="center"/>
            <w:hideMark/>
          </w:tcPr>
          <w:p w14:paraId="7956913B" w14:textId="7A3180CE" w:rsidR="00330857" w:rsidRPr="00E65186" w:rsidRDefault="00330857" w:rsidP="00C46327">
            <w:pPr>
              <w:jc w:val="right"/>
              <w:rPr>
                <w:rFonts w:ascii="Arial" w:hAnsi="Arial" w:cs="Arial"/>
                <w:sz w:val="20"/>
                <w:szCs w:val="20"/>
                <w:lang w:val="pt-BR"/>
              </w:rPr>
            </w:pPr>
            <w:r w:rsidRPr="00E65186">
              <w:rPr>
                <w:rFonts w:ascii="Arial" w:hAnsi="Arial" w:cs="Arial"/>
                <w:sz w:val="20"/>
                <w:szCs w:val="20"/>
                <w:lang w:val="pt-BR"/>
              </w:rPr>
              <w:t xml:space="preserve"> = Média    + 1 DP</w:t>
            </w:r>
          </w:p>
        </w:tc>
        <w:tc>
          <w:tcPr>
            <w:tcW w:w="1418" w:type="dxa"/>
            <w:vAlign w:val="center"/>
            <w:hideMark/>
          </w:tcPr>
          <w:p w14:paraId="090E6C70" w14:textId="02C67AE4" w:rsidR="00330857" w:rsidRPr="00E65186" w:rsidRDefault="00330857" w:rsidP="00C46327">
            <w:pPr>
              <w:jc w:val="right"/>
              <w:rPr>
                <w:rFonts w:ascii="Arial" w:hAnsi="Arial" w:cs="Arial"/>
                <w:sz w:val="20"/>
                <w:szCs w:val="20"/>
                <w:lang w:val="pt-BR"/>
              </w:rPr>
            </w:pPr>
            <w:r w:rsidRPr="00E65186">
              <w:rPr>
                <w:rFonts w:ascii="Arial" w:hAnsi="Arial" w:cs="Arial"/>
                <w:sz w:val="20"/>
                <w:szCs w:val="20"/>
                <w:lang w:val="pt-BR"/>
              </w:rPr>
              <w:t xml:space="preserve"> = Média</w:t>
            </w:r>
          </w:p>
        </w:tc>
        <w:tc>
          <w:tcPr>
            <w:tcW w:w="1276" w:type="dxa"/>
            <w:vAlign w:val="center"/>
            <w:hideMark/>
          </w:tcPr>
          <w:p w14:paraId="0962BCAA" w14:textId="7B1F8674" w:rsidR="00330857" w:rsidRPr="00E65186" w:rsidRDefault="00330857" w:rsidP="00C46327">
            <w:pPr>
              <w:jc w:val="right"/>
              <w:rPr>
                <w:rFonts w:ascii="Arial" w:hAnsi="Arial" w:cs="Arial"/>
                <w:sz w:val="20"/>
                <w:szCs w:val="20"/>
                <w:lang w:val="pt-BR"/>
              </w:rPr>
            </w:pPr>
            <w:r w:rsidRPr="00E65186">
              <w:rPr>
                <w:rFonts w:ascii="Arial" w:hAnsi="Arial" w:cs="Arial"/>
                <w:sz w:val="20"/>
                <w:szCs w:val="20"/>
                <w:lang w:val="pt-BR"/>
              </w:rPr>
              <w:t>= Média     - 1 DP</w:t>
            </w:r>
          </w:p>
        </w:tc>
      </w:tr>
      <w:tr w:rsidR="00E3264B" w:rsidRPr="00CA2760" w14:paraId="00EEEAF6" w14:textId="77777777" w:rsidTr="00330857">
        <w:trPr>
          <w:trHeight w:val="540"/>
        </w:trPr>
        <w:tc>
          <w:tcPr>
            <w:tcW w:w="2122" w:type="dxa"/>
            <w:hideMark/>
          </w:tcPr>
          <w:p w14:paraId="79AACFB5" w14:textId="30053EAD" w:rsidR="00E3264B" w:rsidRPr="00CA2760" w:rsidRDefault="00E3264B" w:rsidP="005C738B">
            <w:pPr>
              <w:rPr>
                <w:rFonts w:ascii="Arial" w:hAnsi="Arial" w:cs="Arial"/>
                <w:sz w:val="20"/>
                <w:szCs w:val="20"/>
                <w:lang w:val="pt-BR"/>
              </w:rPr>
            </w:pPr>
            <w:r w:rsidRPr="00CA2760">
              <w:rPr>
                <w:rFonts w:ascii="Arial" w:hAnsi="Arial" w:cs="Arial"/>
                <w:sz w:val="20"/>
                <w:szCs w:val="20"/>
                <w:lang w:val="pt-BR"/>
              </w:rPr>
              <w:t>Juros</w:t>
            </w:r>
            <w:r w:rsidR="00D61589" w:rsidRPr="00CA2760">
              <w:rPr>
                <w:rFonts w:ascii="Arial" w:hAnsi="Arial" w:cs="Arial"/>
                <w:sz w:val="20"/>
                <w:szCs w:val="20"/>
                <w:lang w:val="pt-BR"/>
              </w:rPr>
              <w:t xml:space="preserve"> dos</w:t>
            </w:r>
            <w:r w:rsidRPr="00CA2760">
              <w:rPr>
                <w:rFonts w:ascii="Arial" w:hAnsi="Arial" w:cs="Arial"/>
                <w:sz w:val="20"/>
                <w:szCs w:val="20"/>
                <w:lang w:val="pt-BR"/>
              </w:rPr>
              <w:t xml:space="preserve"> Financiamentos Concedidos aos Municípios</w:t>
            </w:r>
          </w:p>
        </w:tc>
        <w:tc>
          <w:tcPr>
            <w:tcW w:w="992" w:type="dxa"/>
            <w:noWrap/>
            <w:vAlign w:val="center"/>
            <w:hideMark/>
          </w:tcPr>
          <w:p w14:paraId="28EF4E03" w14:textId="77777777" w:rsidR="00E3264B" w:rsidRPr="00CA2760" w:rsidRDefault="00E3264B" w:rsidP="005C738B">
            <w:pPr>
              <w:jc w:val="right"/>
              <w:rPr>
                <w:rFonts w:ascii="Arial" w:hAnsi="Arial" w:cs="Arial"/>
                <w:sz w:val="20"/>
                <w:szCs w:val="20"/>
                <w:lang w:val="pt-BR"/>
              </w:rPr>
            </w:pPr>
            <w:r w:rsidRPr="00CA2760">
              <w:rPr>
                <w:rFonts w:ascii="Arial" w:hAnsi="Arial" w:cs="Arial"/>
                <w:sz w:val="20"/>
                <w:szCs w:val="20"/>
                <w:lang w:val="pt-BR"/>
              </w:rPr>
              <w:t>5,87%</w:t>
            </w:r>
          </w:p>
        </w:tc>
        <w:tc>
          <w:tcPr>
            <w:tcW w:w="1134" w:type="dxa"/>
            <w:noWrap/>
            <w:vAlign w:val="center"/>
            <w:hideMark/>
          </w:tcPr>
          <w:p w14:paraId="7F909B48" w14:textId="77777777" w:rsidR="00E3264B" w:rsidRPr="00CA2760" w:rsidRDefault="00E3264B" w:rsidP="005C738B">
            <w:pPr>
              <w:jc w:val="right"/>
              <w:rPr>
                <w:rFonts w:ascii="Arial" w:hAnsi="Arial" w:cs="Arial"/>
                <w:sz w:val="20"/>
                <w:szCs w:val="20"/>
                <w:lang w:val="pt-BR"/>
              </w:rPr>
            </w:pPr>
            <w:r w:rsidRPr="00CA2760">
              <w:rPr>
                <w:rFonts w:ascii="Arial" w:hAnsi="Arial" w:cs="Arial"/>
                <w:sz w:val="20"/>
                <w:szCs w:val="20"/>
                <w:lang w:val="pt-BR"/>
              </w:rPr>
              <w:t>1,76%</w:t>
            </w:r>
          </w:p>
        </w:tc>
        <w:tc>
          <w:tcPr>
            <w:tcW w:w="1262" w:type="dxa"/>
            <w:noWrap/>
            <w:vAlign w:val="center"/>
            <w:hideMark/>
          </w:tcPr>
          <w:p w14:paraId="69A22352" w14:textId="77777777" w:rsidR="00E3264B" w:rsidRPr="00CA2760" w:rsidRDefault="00E3264B" w:rsidP="005C738B">
            <w:pPr>
              <w:jc w:val="right"/>
              <w:rPr>
                <w:rFonts w:ascii="Arial" w:hAnsi="Arial" w:cs="Arial"/>
                <w:sz w:val="20"/>
                <w:szCs w:val="20"/>
                <w:lang w:val="pt-BR"/>
              </w:rPr>
            </w:pPr>
            <w:r w:rsidRPr="00CA2760">
              <w:rPr>
                <w:rFonts w:ascii="Arial" w:hAnsi="Arial" w:cs="Arial"/>
                <w:sz w:val="20"/>
                <w:szCs w:val="20"/>
                <w:lang w:val="pt-BR"/>
              </w:rPr>
              <w:t>30,00%</w:t>
            </w:r>
          </w:p>
        </w:tc>
        <w:tc>
          <w:tcPr>
            <w:tcW w:w="1289" w:type="dxa"/>
            <w:noWrap/>
            <w:vAlign w:val="center"/>
            <w:hideMark/>
          </w:tcPr>
          <w:p w14:paraId="0C31FEE6" w14:textId="77777777" w:rsidR="00E3264B" w:rsidRPr="00CA2760" w:rsidRDefault="00E3264B" w:rsidP="005C738B">
            <w:pPr>
              <w:jc w:val="right"/>
              <w:rPr>
                <w:rFonts w:ascii="Arial" w:hAnsi="Arial" w:cs="Arial"/>
                <w:sz w:val="20"/>
                <w:szCs w:val="20"/>
                <w:lang w:val="pt-BR"/>
              </w:rPr>
            </w:pPr>
            <w:r w:rsidRPr="00CA2760">
              <w:rPr>
                <w:rFonts w:ascii="Arial" w:hAnsi="Arial" w:cs="Arial"/>
                <w:sz w:val="20"/>
                <w:szCs w:val="20"/>
                <w:lang w:val="pt-BR"/>
              </w:rPr>
              <w:t>7,63%</w:t>
            </w:r>
          </w:p>
        </w:tc>
        <w:tc>
          <w:tcPr>
            <w:tcW w:w="1418" w:type="dxa"/>
            <w:noWrap/>
            <w:vAlign w:val="center"/>
            <w:hideMark/>
          </w:tcPr>
          <w:p w14:paraId="750C6590" w14:textId="77777777" w:rsidR="00E3264B" w:rsidRPr="00CA2760" w:rsidRDefault="00E3264B" w:rsidP="005C738B">
            <w:pPr>
              <w:jc w:val="right"/>
              <w:rPr>
                <w:rFonts w:ascii="Arial" w:hAnsi="Arial" w:cs="Arial"/>
                <w:sz w:val="20"/>
                <w:szCs w:val="20"/>
                <w:lang w:val="pt-BR"/>
              </w:rPr>
            </w:pPr>
            <w:r w:rsidRPr="00CA2760">
              <w:rPr>
                <w:rFonts w:ascii="Arial" w:hAnsi="Arial" w:cs="Arial"/>
                <w:sz w:val="20"/>
                <w:szCs w:val="20"/>
                <w:lang w:val="pt-BR"/>
              </w:rPr>
              <w:t>5,87%</w:t>
            </w:r>
          </w:p>
        </w:tc>
        <w:tc>
          <w:tcPr>
            <w:tcW w:w="1276" w:type="dxa"/>
            <w:noWrap/>
            <w:vAlign w:val="center"/>
            <w:hideMark/>
          </w:tcPr>
          <w:p w14:paraId="77A1455D" w14:textId="77777777" w:rsidR="00E3264B" w:rsidRPr="00CA2760" w:rsidRDefault="00E3264B" w:rsidP="005C738B">
            <w:pPr>
              <w:jc w:val="right"/>
              <w:rPr>
                <w:rFonts w:ascii="Arial" w:hAnsi="Arial" w:cs="Arial"/>
                <w:sz w:val="20"/>
                <w:szCs w:val="20"/>
                <w:lang w:val="pt-BR"/>
              </w:rPr>
            </w:pPr>
            <w:r w:rsidRPr="00CA2760">
              <w:rPr>
                <w:rFonts w:ascii="Arial" w:hAnsi="Arial" w:cs="Arial"/>
                <w:sz w:val="20"/>
                <w:szCs w:val="20"/>
                <w:lang w:val="pt-BR"/>
              </w:rPr>
              <w:t>4,11%</w:t>
            </w:r>
          </w:p>
        </w:tc>
      </w:tr>
      <w:tr w:rsidR="00E3264B" w:rsidRPr="00CA2760" w14:paraId="3DA57C88" w14:textId="77777777" w:rsidTr="00330857">
        <w:trPr>
          <w:trHeight w:val="276"/>
        </w:trPr>
        <w:tc>
          <w:tcPr>
            <w:tcW w:w="2122" w:type="dxa"/>
            <w:hideMark/>
          </w:tcPr>
          <w:p w14:paraId="68B8A1AD" w14:textId="4D336F9F" w:rsidR="00E3264B" w:rsidRPr="00CA2760" w:rsidRDefault="00E3264B" w:rsidP="005C738B">
            <w:pPr>
              <w:rPr>
                <w:rFonts w:ascii="Arial" w:hAnsi="Arial" w:cs="Arial"/>
                <w:sz w:val="20"/>
                <w:szCs w:val="20"/>
                <w:lang w:val="pt-BR"/>
              </w:rPr>
            </w:pPr>
            <w:r w:rsidRPr="00CA2760">
              <w:rPr>
                <w:rFonts w:ascii="Arial" w:hAnsi="Arial" w:cs="Arial"/>
                <w:sz w:val="20"/>
                <w:szCs w:val="20"/>
                <w:lang w:val="pt-BR"/>
              </w:rPr>
              <w:t>Juros</w:t>
            </w:r>
            <w:r w:rsidR="00D61589" w:rsidRPr="00CA2760">
              <w:rPr>
                <w:rFonts w:ascii="Arial" w:hAnsi="Arial" w:cs="Arial"/>
                <w:sz w:val="20"/>
                <w:szCs w:val="20"/>
                <w:lang w:val="pt-BR"/>
              </w:rPr>
              <w:t xml:space="preserve"> das</w:t>
            </w:r>
            <w:r w:rsidRPr="00CA2760">
              <w:rPr>
                <w:rFonts w:ascii="Arial" w:hAnsi="Arial" w:cs="Arial"/>
                <w:sz w:val="20"/>
                <w:szCs w:val="20"/>
                <w:lang w:val="pt-BR"/>
              </w:rPr>
              <w:t xml:space="preserve"> Aplicações Financeiras </w:t>
            </w:r>
          </w:p>
        </w:tc>
        <w:tc>
          <w:tcPr>
            <w:tcW w:w="992" w:type="dxa"/>
            <w:noWrap/>
            <w:vAlign w:val="center"/>
            <w:hideMark/>
          </w:tcPr>
          <w:p w14:paraId="0E1F608A" w14:textId="77777777" w:rsidR="00E3264B" w:rsidRPr="00CA2760" w:rsidRDefault="00E3264B" w:rsidP="005C738B">
            <w:pPr>
              <w:jc w:val="right"/>
              <w:rPr>
                <w:rFonts w:ascii="Arial" w:hAnsi="Arial" w:cs="Arial"/>
                <w:sz w:val="20"/>
                <w:szCs w:val="20"/>
                <w:lang w:val="pt-BR"/>
              </w:rPr>
            </w:pPr>
            <w:r w:rsidRPr="00CA2760">
              <w:rPr>
                <w:rFonts w:ascii="Arial" w:hAnsi="Arial" w:cs="Arial"/>
                <w:sz w:val="20"/>
                <w:szCs w:val="20"/>
                <w:lang w:val="pt-BR"/>
              </w:rPr>
              <w:t>4,81%</w:t>
            </w:r>
          </w:p>
        </w:tc>
        <w:tc>
          <w:tcPr>
            <w:tcW w:w="1134" w:type="dxa"/>
            <w:noWrap/>
            <w:vAlign w:val="center"/>
            <w:hideMark/>
          </w:tcPr>
          <w:p w14:paraId="64C74248" w14:textId="77777777" w:rsidR="00E3264B" w:rsidRPr="00CA2760" w:rsidRDefault="00E3264B" w:rsidP="005C738B">
            <w:pPr>
              <w:jc w:val="right"/>
              <w:rPr>
                <w:rFonts w:ascii="Arial" w:hAnsi="Arial" w:cs="Arial"/>
                <w:sz w:val="20"/>
                <w:szCs w:val="20"/>
                <w:lang w:val="pt-BR"/>
              </w:rPr>
            </w:pPr>
            <w:r w:rsidRPr="00CA2760">
              <w:rPr>
                <w:rFonts w:ascii="Arial" w:hAnsi="Arial" w:cs="Arial"/>
                <w:sz w:val="20"/>
                <w:szCs w:val="20"/>
                <w:lang w:val="pt-BR"/>
              </w:rPr>
              <w:t>1,53%</w:t>
            </w:r>
          </w:p>
        </w:tc>
        <w:tc>
          <w:tcPr>
            <w:tcW w:w="1262" w:type="dxa"/>
            <w:noWrap/>
            <w:vAlign w:val="center"/>
            <w:hideMark/>
          </w:tcPr>
          <w:p w14:paraId="4B46AE2E" w14:textId="77777777" w:rsidR="00E3264B" w:rsidRPr="00CA2760" w:rsidRDefault="00E3264B" w:rsidP="005C738B">
            <w:pPr>
              <w:jc w:val="right"/>
              <w:rPr>
                <w:rFonts w:ascii="Arial" w:hAnsi="Arial" w:cs="Arial"/>
                <w:sz w:val="20"/>
                <w:szCs w:val="20"/>
                <w:lang w:val="pt-BR"/>
              </w:rPr>
            </w:pPr>
            <w:r w:rsidRPr="00CA2760">
              <w:rPr>
                <w:rFonts w:ascii="Arial" w:hAnsi="Arial" w:cs="Arial"/>
                <w:sz w:val="20"/>
                <w:szCs w:val="20"/>
                <w:lang w:val="pt-BR"/>
              </w:rPr>
              <w:t>31,73%</w:t>
            </w:r>
          </w:p>
        </w:tc>
        <w:tc>
          <w:tcPr>
            <w:tcW w:w="1289" w:type="dxa"/>
            <w:noWrap/>
            <w:vAlign w:val="center"/>
            <w:hideMark/>
          </w:tcPr>
          <w:p w14:paraId="7194F55F" w14:textId="77777777" w:rsidR="00E3264B" w:rsidRPr="00CA2760" w:rsidRDefault="00E3264B" w:rsidP="005C738B">
            <w:pPr>
              <w:jc w:val="right"/>
              <w:rPr>
                <w:rFonts w:ascii="Arial" w:hAnsi="Arial" w:cs="Arial"/>
                <w:sz w:val="20"/>
                <w:szCs w:val="20"/>
                <w:lang w:val="pt-BR"/>
              </w:rPr>
            </w:pPr>
            <w:r w:rsidRPr="00CA2760">
              <w:rPr>
                <w:rFonts w:ascii="Arial" w:hAnsi="Arial" w:cs="Arial"/>
                <w:sz w:val="20"/>
                <w:szCs w:val="20"/>
                <w:lang w:val="pt-BR"/>
              </w:rPr>
              <w:t>6,34%</w:t>
            </w:r>
          </w:p>
        </w:tc>
        <w:tc>
          <w:tcPr>
            <w:tcW w:w="1418" w:type="dxa"/>
            <w:noWrap/>
            <w:vAlign w:val="center"/>
            <w:hideMark/>
          </w:tcPr>
          <w:p w14:paraId="7A963578" w14:textId="77777777" w:rsidR="00E3264B" w:rsidRPr="00CA2760" w:rsidRDefault="00E3264B" w:rsidP="005C738B">
            <w:pPr>
              <w:jc w:val="right"/>
              <w:rPr>
                <w:rFonts w:ascii="Arial" w:hAnsi="Arial" w:cs="Arial"/>
                <w:sz w:val="20"/>
                <w:szCs w:val="20"/>
                <w:lang w:val="pt-BR"/>
              </w:rPr>
            </w:pPr>
            <w:r w:rsidRPr="00CA2760">
              <w:rPr>
                <w:rFonts w:ascii="Arial" w:hAnsi="Arial" w:cs="Arial"/>
                <w:sz w:val="20"/>
                <w:szCs w:val="20"/>
                <w:lang w:val="pt-BR"/>
              </w:rPr>
              <w:t>4,81%</w:t>
            </w:r>
          </w:p>
        </w:tc>
        <w:tc>
          <w:tcPr>
            <w:tcW w:w="1276" w:type="dxa"/>
            <w:noWrap/>
            <w:vAlign w:val="center"/>
            <w:hideMark/>
          </w:tcPr>
          <w:p w14:paraId="6F8E3573" w14:textId="77777777" w:rsidR="00E3264B" w:rsidRPr="00CA2760" w:rsidRDefault="00E3264B" w:rsidP="005C738B">
            <w:pPr>
              <w:jc w:val="right"/>
              <w:rPr>
                <w:rFonts w:ascii="Arial" w:hAnsi="Arial" w:cs="Arial"/>
                <w:sz w:val="20"/>
                <w:szCs w:val="20"/>
                <w:lang w:val="pt-BR"/>
              </w:rPr>
            </w:pPr>
            <w:r w:rsidRPr="00CA2760">
              <w:rPr>
                <w:rFonts w:ascii="Arial" w:hAnsi="Arial" w:cs="Arial"/>
                <w:sz w:val="20"/>
                <w:szCs w:val="20"/>
                <w:lang w:val="pt-BR"/>
              </w:rPr>
              <w:t>3,28%</w:t>
            </w:r>
          </w:p>
        </w:tc>
      </w:tr>
      <w:tr w:rsidR="00C11DEE" w:rsidRPr="00CA2760" w14:paraId="70115530" w14:textId="77777777" w:rsidTr="00B87A9B">
        <w:trPr>
          <w:trHeight w:val="276"/>
        </w:trPr>
        <w:tc>
          <w:tcPr>
            <w:tcW w:w="2122" w:type="dxa"/>
            <w:noWrap/>
            <w:hideMark/>
          </w:tcPr>
          <w:p w14:paraId="6AA11E8F" w14:textId="0941D06B" w:rsidR="00C11DEE" w:rsidRPr="00CA2760" w:rsidRDefault="009404BD" w:rsidP="00B87A9B">
            <w:pPr>
              <w:rPr>
                <w:rFonts w:ascii="Arial" w:hAnsi="Arial" w:cs="Arial"/>
                <w:sz w:val="20"/>
                <w:szCs w:val="20"/>
                <w:lang w:val="pt-BR"/>
              </w:rPr>
            </w:pPr>
            <w:r>
              <w:rPr>
                <w:rFonts w:ascii="Arial" w:hAnsi="Arial" w:cs="Arial"/>
                <w:sz w:val="20"/>
                <w:szCs w:val="20"/>
                <w:lang w:val="pt-BR"/>
              </w:rPr>
              <w:t>JCP</w:t>
            </w:r>
          </w:p>
        </w:tc>
        <w:tc>
          <w:tcPr>
            <w:tcW w:w="992" w:type="dxa"/>
            <w:noWrap/>
            <w:vAlign w:val="center"/>
            <w:hideMark/>
          </w:tcPr>
          <w:p w14:paraId="421E48FD" w14:textId="77777777" w:rsidR="00C11DEE" w:rsidRPr="00CA2760" w:rsidRDefault="00C11DEE" w:rsidP="00B87A9B">
            <w:pPr>
              <w:jc w:val="right"/>
              <w:rPr>
                <w:rFonts w:ascii="Arial" w:hAnsi="Arial" w:cs="Arial"/>
                <w:sz w:val="20"/>
                <w:szCs w:val="20"/>
                <w:lang w:val="pt-BR"/>
              </w:rPr>
            </w:pPr>
            <w:r w:rsidRPr="00CA2760">
              <w:rPr>
                <w:rFonts w:ascii="Arial" w:hAnsi="Arial" w:cs="Arial"/>
                <w:sz w:val="20"/>
                <w:szCs w:val="20"/>
                <w:lang w:val="pt-BR"/>
              </w:rPr>
              <w:t>0,24%</w:t>
            </w:r>
          </w:p>
        </w:tc>
        <w:tc>
          <w:tcPr>
            <w:tcW w:w="1134" w:type="dxa"/>
            <w:noWrap/>
            <w:vAlign w:val="center"/>
            <w:hideMark/>
          </w:tcPr>
          <w:p w14:paraId="1EE2E11D" w14:textId="77777777" w:rsidR="00C11DEE" w:rsidRPr="00CA2760" w:rsidRDefault="00C11DEE" w:rsidP="00B87A9B">
            <w:pPr>
              <w:jc w:val="right"/>
              <w:rPr>
                <w:rFonts w:ascii="Arial" w:hAnsi="Arial" w:cs="Arial"/>
                <w:sz w:val="20"/>
                <w:szCs w:val="20"/>
                <w:lang w:val="pt-BR"/>
              </w:rPr>
            </w:pPr>
            <w:r w:rsidRPr="00CA2760">
              <w:rPr>
                <w:rFonts w:ascii="Arial" w:hAnsi="Arial" w:cs="Arial"/>
                <w:sz w:val="20"/>
                <w:szCs w:val="20"/>
                <w:lang w:val="pt-BR"/>
              </w:rPr>
              <w:t>0,12%</w:t>
            </w:r>
          </w:p>
        </w:tc>
        <w:tc>
          <w:tcPr>
            <w:tcW w:w="1262" w:type="dxa"/>
            <w:noWrap/>
            <w:vAlign w:val="center"/>
            <w:hideMark/>
          </w:tcPr>
          <w:p w14:paraId="00E2C8CA" w14:textId="77777777" w:rsidR="00C11DEE" w:rsidRPr="00CA2760" w:rsidRDefault="00C11DEE" w:rsidP="00B87A9B">
            <w:pPr>
              <w:jc w:val="right"/>
              <w:rPr>
                <w:rFonts w:ascii="Arial" w:hAnsi="Arial" w:cs="Arial"/>
                <w:sz w:val="20"/>
                <w:szCs w:val="20"/>
                <w:lang w:val="pt-BR"/>
              </w:rPr>
            </w:pPr>
            <w:r w:rsidRPr="00CA2760">
              <w:rPr>
                <w:rFonts w:ascii="Arial" w:hAnsi="Arial" w:cs="Arial"/>
                <w:sz w:val="20"/>
                <w:szCs w:val="20"/>
                <w:lang w:val="pt-BR"/>
              </w:rPr>
              <w:t>50,00%</w:t>
            </w:r>
          </w:p>
        </w:tc>
        <w:tc>
          <w:tcPr>
            <w:tcW w:w="1289" w:type="dxa"/>
            <w:noWrap/>
            <w:vAlign w:val="center"/>
            <w:hideMark/>
          </w:tcPr>
          <w:p w14:paraId="173DAA27" w14:textId="77777777" w:rsidR="00C11DEE" w:rsidRPr="00CA2760" w:rsidRDefault="00C11DEE" w:rsidP="00B87A9B">
            <w:pPr>
              <w:jc w:val="right"/>
              <w:rPr>
                <w:rFonts w:ascii="Arial" w:hAnsi="Arial" w:cs="Arial"/>
                <w:sz w:val="20"/>
                <w:szCs w:val="20"/>
                <w:lang w:val="pt-BR"/>
              </w:rPr>
            </w:pPr>
            <w:r w:rsidRPr="00CA2760">
              <w:rPr>
                <w:rFonts w:ascii="Arial" w:hAnsi="Arial" w:cs="Arial"/>
                <w:color w:val="000000"/>
                <w:sz w:val="20"/>
                <w:szCs w:val="20"/>
                <w:lang w:val="pt-BR"/>
              </w:rPr>
              <w:t>0,36%</w:t>
            </w:r>
          </w:p>
        </w:tc>
        <w:tc>
          <w:tcPr>
            <w:tcW w:w="1418" w:type="dxa"/>
            <w:noWrap/>
            <w:vAlign w:val="center"/>
            <w:hideMark/>
          </w:tcPr>
          <w:p w14:paraId="33B5598F" w14:textId="77777777" w:rsidR="00C11DEE" w:rsidRPr="00CA2760" w:rsidRDefault="00C11DEE" w:rsidP="00B87A9B">
            <w:pPr>
              <w:jc w:val="right"/>
              <w:rPr>
                <w:rFonts w:ascii="Arial" w:hAnsi="Arial" w:cs="Arial"/>
                <w:sz w:val="20"/>
                <w:szCs w:val="20"/>
                <w:lang w:val="pt-BR"/>
              </w:rPr>
            </w:pPr>
            <w:r w:rsidRPr="00CA2760">
              <w:rPr>
                <w:rFonts w:ascii="Arial" w:hAnsi="Arial" w:cs="Arial"/>
                <w:color w:val="000000"/>
                <w:sz w:val="20"/>
                <w:szCs w:val="20"/>
                <w:lang w:val="pt-BR"/>
              </w:rPr>
              <w:t>0,24%</w:t>
            </w:r>
          </w:p>
        </w:tc>
        <w:tc>
          <w:tcPr>
            <w:tcW w:w="1276" w:type="dxa"/>
            <w:noWrap/>
            <w:vAlign w:val="center"/>
            <w:hideMark/>
          </w:tcPr>
          <w:p w14:paraId="4F399B8D" w14:textId="77777777" w:rsidR="00C11DEE" w:rsidRPr="00CA2760" w:rsidRDefault="00C11DEE" w:rsidP="00B87A9B">
            <w:pPr>
              <w:jc w:val="right"/>
              <w:rPr>
                <w:rFonts w:ascii="Arial" w:hAnsi="Arial" w:cs="Arial"/>
                <w:sz w:val="20"/>
                <w:szCs w:val="20"/>
                <w:lang w:val="pt-BR"/>
              </w:rPr>
            </w:pPr>
            <w:r w:rsidRPr="00CA2760">
              <w:rPr>
                <w:rFonts w:ascii="Arial" w:hAnsi="Arial" w:cs="Arial"/>
                <w:color w:val="000000"/>
                <w:sz w:val="20"/>
                <w:szCs w:val="20"/>
                <w:lang w:val="pt-BR"/>
              </w:rPr>
              <w:t>0,12%</w:t>
            </w:r>
          </w:p>
        </w:tc>
      </w:tr>
      <w:tr w:rsidR="00693075" w:rsidRPr="00CA2760" w14:paraId="4CFEABD6" w14:textId="77777777" w:rsidTr="00E7673E">
        <w:trPr>
          <w:trHeight w:val="481"/>
        </w:trPr>
        <w:tc>
          <w:tcPr>
            <w:tcW w:w="2122" w:type="dxa"/>
            <w:hideMark/>
          </w:tcPr>
          <w:p w14:paraId="5999AA7C" w14:textId="77777777" w:rsidR="00693075" w:rsidRPr="00CA2760" w:rsidRDefault="00693075" w:rsidP="00693075">
            <w:pPr>
              <w:rPr>
                <w:rFonts w:ascii="Arial" w:hAnsi="Arial" w:cs="Arial"/>
                <w:sz w:val="20"/>
                <w:szCs w:val="20"/>
                <w:lang w:val="pt-BR"/>
              </w:rPr>
            </w:pPr>
            <w:r w:rsidRPr="00CA2760">
              <w:rPr>
                <w:rFonts w:ascii="Arial" w:hAnsi="Arial" w:cs="Arial"/>
                <w:sz w:val="20"/>
                <w:szCs w:val="20"/>
                <w:lang w:val="pt-BR"/>
              </w:rPr>
              <w:t>Incremento do total de despesas</w:t>
            </w:r>
          </w:p>
        </w:tc>
        <w:tc>
          <w:tcPr>
            <w:tcW w:w="992" w:type="dxa"/>
            <w:noWrap/>
            <w:vAlign w:val="center"/>
            <w:hideMark/>
          </w:tcPr>
          <w:p w14:paraId="772E3D52" w14:textId="7EA4C940" w:rsidR="00693075" w:rsidRPr="00CA2760" w:rsidRDefault="00C14924" w:rsidP="00693075">
            <w:pPr>
              <w:jc w:val="right"/>
              <w:rPr>
                <w:rFonts w:ascii="Arial" w:hAnsi="Arial" w:cs="Arial"/>
                <w:sz w:val="20"/>
                <w:szCs w:val="20"/>
                <w:lang w:val="pt-BR"/>
              </w:rPr>
            </w:pPr>
            <w:r>
              <w:rPr>
                <w:rFonts w:ascii="Arial" w:hAnsi="Arial" w:cs="Arial"/>
                <w:sz w:val="20"/>
                <w:szCs w:val="20"/>
                <w:lang w:val="pt-BR"/>
              </w:rPr>
              <w:t>2</w:t>
            </w:r>
            <w:r w:rsidR="00693075" w:rsidRPr="00CA2760">
              <w:rPr>
                <w:rFonts w:ascii="Arial" w:hAnsi="Arial" w:cs="Arial"/>
                <w:sz w:val="20"/>
                <w:szCs w:val="20"/>
                <w:lang w:val="pt-BR"/>
              </w:rPr>
              <w:t>,00%</w:t>
            </w:r>
          </w:p>
        </w:tc>
        <w:tc>
          <w:tcPr>
            <w:tcW w:w="1134" w:type="dxa"/>
            <w:noWrap/>
            <w:vAlign w:val="center"/>
            <w:hideMark/>
          </w:tcPr>
          <w:p w14:paraId="43F370AB" w14:textId="5A491E03" w:rsidR="00693075" w:rsidRPr="00CA2760" w:rsidRDefault="00C14924" w:rsidP="00693075">
            <w:pPr>
              <w:jc w:val="right"/>
              <w:rPr>
                <w:rFonts w:ascii="Arial" w:hAnsi="Arial" w:cs="Arial"/>
                <w:sz w:val="20"/>
                <w:szCs w:val="20"/>
                <w:lang w:val="pt-BR"/>
              </w:rPr>
            </w:pPr>
            <w:r>
              <w:rPr>
                <w:rFonts w:ascii="Arial" w:hAnsi="Arial" w:cs="Arial"/>
                <w:sz w:val="20"/>
                <w:szCs w:val="20"/>
                <w:lang w:val="pt-BR"/>
              </w:rPr>
              <w:t>1</w:t>
            </w:r>
            <w:r w:rsidR="00693075">
              <w:rPr>
                <w:rFonts w:ascii="Arial" w:hAnsi="Arial" w:cs="Arial"/>
                <w:sz w:val="20"/>
                <w:szCs w:val="20"/>
                <w:lang w:val="pt-BR"/>
              </w:rPr>
              <w:t>,00</w:t>
            </w:r>
            <w:r w:rsidR="00693075" w:rsidRPr="00CA2760">
              <w:rPr>
                <w:rFonts w:ascii="Arial" w:hAnsi="Arial" w:cs="Arial"/>
                <w:sz w:val="20"/>
                <w:szCs w:val="20"/>
                <w:lang w:val="pt-BR"/>
              </w:rPr>
              <w:t>%</w:t>
            </w:r>
          </w:p>
        </w:tc>
        <w:tc>
          <w:tcPr>
            <w:tcW w:w="1262" w:type="dxa"/>
            <w:noWrap/>
            <w:vAlign w:val="center"/>
            <w:hideMark/>
          </w:tcPr>
          <w:p w14:paraId="6D362FF4" w14:textId="07B8801E" w:rsidR="00693075" w:rsidRPr="00CA2760" w:rsidRDefault="00C14924" w:rsidP="00693075">
            <w:pPr>
              <w:jc w:val="right"/>
              <w:rPr>
                <w:rFonts w:ascii="Arial" w:hAnsi="Arial" w:cs="Arial"/>
                <w:sz w:val="20"/>
                <w:szCs w:val="20"/>
                <w:lang w:val="pt-BR"/>
              </w:rPr>
            </w:pPr>
            <w:r w:rsidRPr="00CA2760">
              <w:rPr>
                <w:rFonts w:ascii="Arial" w:hAnsi="Arial" w:cs="Arial"/>
                <w:sz w:val="20"/>
                <w:szCs w:val="20"/>
                <w:lang w:val="pt-BR"/>
              </w:rPr>
              <w:t>50,00%</w:t>
            </w:r>
          </w:p>
        </w:tc>
        <w:tc>
          <w:tcPr>
            <w:tcW w:w="1289" w:type="dxa"/>
            <w:noWrap/>
            <w:vAlign w:val="center"/>
            <w:hideMark/>
          </w:tcPr>
          <w:p w14:paraId="52DA89B1" w14:textId="04DFF47A" w:rsidR="00693075" w:rsidRPr="00CA2760" w:rsidRDefault="00693075" w:rsidP="00693075">
            <w:pPr>
              <w:jc w:val="right"/>
              <w:rPr>
                <w:rFonts w:ascii="Arial" w:hAnsi="Arial" w:cs="Arial"/>
                <w:sz w:val="20"/>
                <w:szCs w:val="20"/>
                <w:lang w:val="pt-BR"/>
              </w:rPr>
            </w:pPr>
            <w:r w:rsidRPr="00CA2760">
              <w:rPr>
                <w:rFonts w:ascii="Arial" w:hAnsi="Arial" w:cs="Arial"/>
                <w:sz w:val="20"/>
                <w:szCs w:val="20"/>
                <w:lang w:val="pt-BR"/>
              </w:rPr>
              <w:t>1,00%</w:t>
            </w:r>
          </w:p>
        </w:tc>
        <w:tc>
          <w:tcPr>
            <w:tcW w:w="1418" w:type="dxa"/>
            <w:noWrap/>
            <w:vAlign w:val="center"/>
            <w:hideMark/>
          </w:tcPr>
          <w:p w14:paraId="24E1346D" w14:textId="1EB2AE56" w:rsidR="00693075" w:rsidRPr="00CA2760" w:rsidRDefault="00693075" w:rsidP="00693075">
            <w:pPr>
              <w:jc w:val="right"/>
              <w:rPr>
                <w:rFonts w:ascii="Arial" w:hAnsi="Arial" w:cs="Arial"/>
                <w:sz w:val="20"/>
                <w:szCs w:val="20"/>
                <w:lang w:val="pt-BR"/>
              </w:rPr>
            </w:pPr>
            <w:r>
              <w:rPr>
                <w:rFonts w:ascii="Arial" w:hAnsi="Arial" w:cs="Arial"/>
                <w:sz w:val="20"/>
                <w:szCs w:val="20"/>
                <w:lang w:val="pt-BR"/>
              </w:rPr>
              <w:t>2,00</w:t>
            </w:r>
            <w:r w:rsidRPr="00CA2760">
              <w:rPr>
                <w:rFonts w:ascii="Arial" w:hAnsi="Arial" w:cs="Arial"/>
                <w:sz w:val="20"/>
                <w:szCs w:val="20"/>
                <w:lang w:val="pt-BR"/>
              </w:rPr>
              <w:t>%</w:t>
            </w:r>
          </w:p>
        </w:tc>
        <w:tc>
          <w:tcPr>
            <w:tcW w:w="1276" w:type="dxa"/>
            <w:noWrap/>
            <w:vAlign w:val="center"/>
            <w:hideMark/>
          </w:tcPr>
          <w:p w14:paraId="6EA50D5D" w14:textId="47D6CDB1" w:rsidR="00693075" w:rsidRPr="00CA2760" w:rsidRDefault="00693075" w:rsidP="00693075">
            <w:pPr>
              <w:jc w:val="right"/>
              <w:rPr>
                <w:rFonts w:ascii="Arial" w:hAnsi="Arial" w:cs="Arial"/>
                <w:sz w:val="20"/>
                <w:szCs w:val="20"/>
                <w:lang w:val="pt-BR"/>
              </w:rPr>
            </w:pPr>
            <w:r>
              <w:rPr>
                <w:rFonts w:ascii="Arial" w:hAnsi="Arial" w:cs="Arial"/>
                <w:sz w:val="20"/>
                <w:szCs w:val="20"/>
                <w:lang w:val="pt-BR"/>
              </w:rPr>
              <w:t>3</w:t>
            </w:r>
            <w:r w:rsidRPr="00CA2760">
              <w:rPr>
                <w:rFonts w:ascii="Arial" w:hAnsi="Arial" w:cs="Arial"/>
                <w:sz w:val="20"/>
                <w:szCs w:val="20"/>
                <w:lang w:val="pt-BR"/>
              </w:rPr>
              <w:t>,00%</w:t>
            </w:r>
          </w:p>
        </w:tc>
      </w:tr>
    </w:tbl>
    <w:p w14:paraId="10A73BB6" w14:textId="77777777" w:rsidR="00E3264B" w:rsidRPr="00CA2760" w:rsidRDefault="00E3264B" w:rsidP="00E3264B">
      <w:pPr>
        <w:spacing w:after="0" w:line="24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Fonte:  Estimativas dos autores com base nas variáveis definidas anteriormente.</w:t>
      </w:r>
    </w:p>
    <w:p w14:paraId="7AAA6179" w14:textId="77777777" w:rsidR="00E3264B" w:rsidRPr="00CA2760" w:rsidRDefault="00E3264B" w:rsidP="00E3264B">
      <w:pPr>
        <w:spacing w:after="0" w:line="240" w:lineRule="auto"/>
        <w:rPr>
          <w:rFonts w:ascii="Times New Roman" w:hAnsi="Times New Roman" w:cs="Times New Roman"/>
          <w:sz w:val="24"/>
          <w:szCs w:val="24"/>
          <w:lang w:val="pt-BR"/>
        </w:rPr>
      </w:pPr>
    </w:p>
    <w:p w14:paraId="6636613C" w14:textId="1B2BA5D6" w:rsidR="008A6A57" w:rsidRPr="00734BA5" w:rsidRDefault="005A6C09" w:rsidP="00BA25F6">
      <w:pPr>
        <w:shd w:val="clear" w:color="auto" w:fill="FFFFFF"/>
        <w:spacing w:line="360" w:lineRule="auto"/>
        <w:rPr>
          <w:rFonts w:ascii="Times New Roman" w:eastAsia="Times New Roman" w:hAnsi="Times New Roman" w:cs="Times New Roman"/>
          <w:sz w:val="24"/>
          <w:szCs w:val="24"/>
          <w:lang w:val="pt-BR" w:eastAsia="pt-BR"/>
        </w:rPr>
      </w:pPr>
      <w:r w:rsidRPr="00FE06C4">
        <w:rPr>
          <w:rFonts w:ascii="Times New Roman" w:eastAsia="Times New Roman" w:hAnsi="Times New Roman" w:cs="Times New Roman"/>
          <w:sz w:val="24"/>
          <w:szCs w:val="24"/>
          <w:lang w:val="pt-BR" w:eastAsia="pt-BR"/>
        </w:rPr>
        <w:t xml:space="preserve">Para </w:t>
      </w:r>
      <w:r w:rsidR="0002298B" w:rsidRPr="00FE06C4">
        <w:rPr>
          <w:rFonts w:ascii="Times New Roman" w:eastAsia="Times New Roman" w:hAnsi="Times New Roman" w:cs="Times New Roman"/>
          <w:sz w:val="24"/>
          <w:szCs w:val="24"/>
          <w:lang w:val="pt-BR" w:eastAsia="pt-BR"/>
        </w:rPr>
        <w:t xml:space="preserve">o cenário intermediário da taxa real de </w:t>
      </w:r>
      <w:r w:rsidR="009404BD">
        <w:rPr>
          <w:rFonts w:ascii="Times New Roman" w:eastAsia="Times New Roman" w:hAnsi="Times New Roman" w:cs="Times New Roman"/>
          <w:sz w:val="24"/>
          <w:szCs w:val="24"/>
          <w:lang w:val="pt-BR" w:eastAsia="pt-BR"/>
        </w:rPr>
        <w:t>JCP</w:t>
      </w:r>
      <w:r w:rsidR="0002298B" w:rsidRPr="00FE06C4">
        <w:rPr>
          <w:rFonts w:ascii="Times New Roman" w:eastAsia="Times New Roman" w:hAnsi="Times New Roman" w:cs="Times New Roman"/>
          <w:sz w:val="24"/>
          <w:szCs w:val="24"/>
          <w:lang w:val="pt-BR" w:eastAsia="pt-BR"/>
        </w:rPr>
        <w:t xml:space="preserve">, utilizamos o valor </w:t>
      </w:r>
      <w:r w:rsidR="008A6A57" w:rsidRPr="00FE06C4">
        <w:rPr>
          <w:rFonts w:ascii="Times New Roman" w:eastAsia="Times New Roman" w:hAnsi="Times New Roman" w:cs="Times New Roman"/>
          <w:sz w:val="24"/>
          <w:szCs w:val="24"/>
          <w:lang w:val="pt-BR" w:eastAsia="pt-BR"/>
        </w:rPr>
        <w:t>médi</w:t>
      </w:r>
      <w:r w:rsidR="00E65186" w:rsidRPr="00FE06C4">
        <w:rPr>
          <w:rFonts w:ascii="Times New Roman" w:eastAsia="Times New Roman" w:hAnsi="Times New Roman" w:cs="Times New Roman"/>
          <w:sz w:val="24"/>
          <w:szCs w:val="24"/>
          <w:lang w:val="pt-BR" w:eastAsia="pt-BR"/>
        </w:rPr>
        <w:t>o</w:t>
      </w:r>
      <w:r w:rsidR="008A6A57" w:rsidRPr="00FE06C4">
        <w:rPr>
          <w:rFonts w:ascii="Times New Roman" w:eastAsia="Times New Roman" w:hAnsi="Times New Roman" w:cs="Times New Roman"/>
          <w:sz w:val="24"/>
          <w:szCs w:val="24"/>
          <w:lang w:val="pt-BR" w:eastAsia="pt-BR"/>
        </w:rPr>
        <w:t xml:space="preserve"> real </w:t>
      </w:r>
      <w:r w:rsidR="00F85591" w:rsidRPr="00FE06C4">
        <w:rPr>
          <w:rFonts w:ascii="Times New Roman" w:eastAsia="Times New Roman" w:hAnsi="Times New Roman" w:cs="Times New Roman"/>
          <w:sz w:val="24"/>
          <w:szCs w:val="24"/>
          <w:lang w:val="pt-BR" w:eastAsia="pt-BR"/>
        </w:rPr>
        <w:t xml:space="preserve">da </w:t>
      </w:r>
      <w:r w:rsidR="008A6A57" w:rsidRPr="00FE06C4">
        <w:rPr>
          <w:rFonts w:ascii="Times New Roman" w:eastAsia="Times New Roman" w:hAnsi="Times New Roman" w:cs="Times New Roman"/>
          <w:sz w:val="24"/>
          <w:szCs w:val="24"/>
          <w:lang w:val="pt-BR" w:eastAsia="pt-BR"/>
        </w:rPr>
        <w:t>TJLP (0,2</w:t>
      </w:r>
      <w:r w:rsidR="00C06ABC" w:rsidRPr="00FE06C4">
        <w:rPr>
          <w:rFonts w:ascii="Times New Roman" w:eastAsia="Times New Roman" w:hAnsi="Times New Roman" w:cs="Times New Roman"/>
          <w:sz w:val="24"/>
          <w:szCs w:val="24"/>
          <w:lang w:val="pt-BR" w:eastAsia="pt-BR"/>
        </w:rPr>
        <w:t>4</w:t>
      </w:r>
      <w:r w:rsidR="008A6A57" w:rsidRPr="00FE06C4">
        <w:rPr>
          <w:rFonts w:ascii="Times New Roman" w:eastAsia="Times New Roman" w:hAnsi="Times New Roman" w:cs="Times New Roman"/>
          <w:sz w:val="24"/>
          <w:szCs w:val="24"/>
          <w:lang w:val="pt-BR" w:eastAsia="pt-BR"/>
        </w:rPr>
        <w:t>%)</w:t>
      </w:r>
      <w:r w:rsidR="000C3BEC" w:rsidRPr="00FE06C4">
        <w:rPr>
          <w:rFonts w:ascii="Times New Roman" w:eastAsia="Times New Roman" w:hAnsi="Times New Roman" w:cs="Times New Roman"/>
          <w:sz w:val="24"/>
          <w:szCs w:val="24"/>
          <w:lang w:val="pt-BR" w:eastAsia="pt-BR"/>
        </w:rPr>
        <w:t xml:space="preserve"> </w:t>
      </w:r>
      <w:r w:rsidR="00E65186" w:rsidRPr="00FE06C4">
        <w:rPr>
          <w:rFonts w:ascii="Times New Roman" w:eastAsia="Times New Roman" w:hAnsi="Times New Roman" w:cs="Times New Roman"/>
          <w:sz w:val="24"/>
          <w:szCs w:val="24"/>
          <w:lang w:val="pt-BR" w:eastAsia="pt-BR"/>
        </w:rPr>
        <w:t xml:space="preserve">de acordo com a Tabela </w:t>
      </w:r>
      <w:r w:rsidR="009404BD">
        <w:rPr>
          <w:rFonts w:ascii="Times New Roman" w:eastAsia="Times New Roman" w:hAnsi="Times New Roman" w:cs="Times New Roman"/>
          <w:sz w:val="24"/>
          <w:szCs w:val="24"/>
          <w:lang w:val="pt-BR" w:eastAsia="pt-BR"/>
        </w:rPr>
        <w:t>12</w:t>
      </w:r>
      <w:r w:rsidR="008A6A57" w:rsidRPr="00FE06C4">
        <w:rPr>
          <w:rFonts w:ascii="Times New Roman" w:eastAsia="Times New Roman" w:hAnsi="Times New Roman" w:cs="Times New Roman"/>
          <w:sz w:val="24"/>
          <w:szCs w:val="24"/>
          <w:lang w:val="pt-BR" w:eastAsia="pt-BR"/>
        </w:rPr>
        <w:t xml:space="preserve">, </w:t>
      </w:r>
      <w:r w:rsidR="00C560C5" w:rsidRPr="00FE06C4">
        <w:rPr>
          <w:rFonts w:ascii="Times New Roman" w:eastAsia="Times New Roman" w:hAnsi="Times New Roman" w:cs="Times New Roman"/>
          <w:sz w:val="24"/>
          <w:szCs w:val="24"/>
          <w:lang w:val="pt-BR" w:eastAsia="pt-BR"/>
        </w:rPr>
        <w:t>já que</w:t>
      </w:r>
      <w:r w:rsidR="00497059" w:rsidRPr="00FE06C4">
        <w:rPr>
          <w:rFonts w:ascii="Times New Roman" w:eastAsia="Times New Roman" w:hAnsi="Times New Roman" w:cs="Times New Roman"/>
          <w:sz w:val="24"/>
          <w:szCs w:val="24"/>
          <w:lang w:val="pt-BR" w:eastAsia="pt-BR"/>
        </w:rPr>
        <w:t xml:space="preserve"> </w:t>
      </w:r>
      <w:r w:rsidR="007B1281" w:rsidRPr="00FE06C4">
        <w:rPr>
          <w:rFonts w:ascii="Times New Roman" w:eastAsia="Times New Roman" w:hAnsi="Times New Roman" w:cs="Times New Roman"/>
          <w:sz w:val="24"/>
          <w:szCs w:val="24"/>
          <w:lang w:val="pt-BR" w:eastAsia="pt-BR"/>
        </w:rPr>
        <w:t xml:space="preserve">a TJLP é o limite máximo utilizado para estimar </w:t>
      </w:r>
      <w:r w:rsidR="009404BD">
        <w:rPr>
          <w:rFonts w:ascii="Times New Roman" w:eastAsia="Times New Roman" w:hAnsi="Times New Roman" w:cs="Times New Roman"/>
          <w:sz w:val="24"/>
          <w:szCs w:val="24"/>
          <w:lang w:val="pt-BR" w:eastAsia="pt-BR"/>
        </w:rPr>
        <w:t>o JCP</w:t>
      </w:r>
      <w:r w:rsidR="007B1281" w:rsidRPr="00FE06C4">
        <w:rPr>
          <w:rFonts w:ascii="Times New Roman" w:eastAsia="Times New Roman" w:hAnsi="Times New Roman" w:cs="Times New Roman"/>
          <w:sz w:val="24"/>
          <w:szCs w:val="24"/>
          <w:lang w:val="pt-BR" w:eastAsia="pt-BR"/>
        </w:rPr>
        <w:t xml:space="preserve">. </w:t>
      </w:r>
      <w:r w:rsidR="009404BD">
        <w:rPr>
          <w:rFonts w:ascii="Times New Roman" w:eastAsia="Times New Roman" w:hAnsi="Times New Roman" w:cs="Times New Roman"/>
          <w:sz w:val="24"/>
          <w:szCs w:val="24"/>
          <w:lang w:val="pt-BR" w:eastAsia="pt-BR"/>
        </w:rPr>
        <w:t>Conforme mencionamos anteriormente, os</w:t>
      </w:r>
      <w:r w:rsidR="00CA2760" w:rsidRPr="00FE06C4">
        <w:rPr>
          <w:rFonts w:ascii="Times New Roman" w:eastAsia="Times New Roman" w:hAnsi="Times New Roman" w:cs="Times New Roman"/>
          <w:sz w:val="24"/>
          <w:szCs w:val="24"/>
          <w:lang w:val="pt-BR" w:eastAsia="pt-BR"/>
        </w:rPr>
        <w:t xml:space="preserve"> custos operacionais d</w:t>
      </w:r>
      <w:r w:rsidR="008E2F5C" w:rsidRPr="00FE06C4">
        <w:rPr>
          <w:rFonts w:ascii="Times New Roman" w:eastAsia="Times New Roman" w:hAnsi="Times New Roman" w:cs="Times New Roman"/>
          <w:sz w:val="24"/>
          <w:szCs w:val="24"/>
          <w:lang w:val="pt-BR" w:eastAsia="pt-BR"/>
        </w:rPr>
        <w:t>o</w:t>
      </w:r>
      <w:r w:rsidR="00CA2760" w:rsidRPr="00FE06C4">
        <w:rPr>
          <w:rFonts w:ascii="Times New Roman" w:eastAsia="Times New Roman" w:hAnsi="Times New Roman" w:cs="Times New Roman"/>
          <w:sz w:val="24"/>
          <w:szCs w:val="24"/>
          <w:lang w:val="pt-BR" w:eastAsia="pt-BR"/>
        </w:rPr>
        <w:t xml:space="preserve"> Paranacidade e da Foment</w:t>
      </w:r>
      <w:r w:rsidR="008E2F5C" w:rsidRPr="00FE06C4">
        <w:rPr>
          <w:rFonts w:ascii="Times New Roman" w:eastAsia="Times New Roman" w:hAnsi="Times New Roman" w:cs="Times New Roman"/>
          <w:sz w:val="24"/>
          <w:szCs w:val="24"/>
          <w:lang w:val="pt-BR" w:eastAsia="pt-BR"/>
        </w:rPr>
        <w:t>o</w:t>
      </w:r>
      <w:r w:rsidR="00CA2760" w:rsidRPr="00FE06C4">
        <w:rPr>
          <w:rFonts w:ascii="Times New Roman" w:eastAsia="Times New Roman" w:hAnsi="Times New Roman" w:cs="Times New Roman"/>
          <w:sz w:val="24"/>
          <w:szCs w:val="24"/>
          <w:lang w:val="pt-BR" w:eastAsia="pt-BR"/>
        </w:rPr>
        <w:t xml:space="preserve"> Paraná são baseados em porcentagens dos valores dos empréstimos liberados aos </w:t>
      </w:r>
      <w:r w:rsidR="00CA2760" w:rsidRPr="00734BA5">
        <w:rPr>
          <w:rFonts w:ascii="Times New Roman" w:eastAsia="Times New Roman" w:hAnsi="Times New Roman" w:cs="Times New Roman"/>
          <w:sz w:val="24"/>
          <w:szCs w:val="24"/>
          <w:lang w:val="pt-BR" w:eastAsia="pt-BR"/>
        </w:rPr>
        <w:t xml:space="preserve">municípios (8% e 1%, respectivamente). </w:t>
      </w:r>
      <w:r w:rsidR="00B03BE1" w:rsidRPr="00734BA5">
        <w:rPr>
          <w:rFonts w:ascii="Times New Roman" w:hAnsi="Times New Roman" w:cs="Times New Roman"/>
          <w:sz w:val="24"/>
          <w:szCs w:val="24"/>
          <w:lang w:val="pt-PT"/>
        </w:rPr>
        <w:t xml:space="preserve">Dado que 1% </w:t>
      </w:r>
      <w:r w:rsidR="00B03BE1" w:rsidRPr="00734BA5">
        <w:rPr>
          <w:rFonts w:ascii="Times New Roman" w:eastAsia="Times New Roman" w:hAnsi="Times New Roman" w:cs="Times New Roman"/>
          <w:sz w:val="24"/>
          <w:szCs w:val="24"/>
          <w:lang w:val="pt-BR" w:eastAsia="pt-BR"/>
        </w:rPr>
        <w:t xml:space="preserve">dos valores liberados </w:t>
      </w:r>
      <w:r w:rsidR="00B03BE1" w:rsidRPr="00734BA5">
        <w:rPr>
          <w:rFonts w:ascii="Times New Roman" w:hAnsi="Times New Roman" w:cs="Times New Roman"/>
          <w:sz w:val="24"/>
          <w:szCs w:val="24"/>
          <w:lang w:val="pt-PT"/>
        </w:rPr>
        <w:t xml:space="preserve">dos empréstimos municipais </w:t>
      </w:r>
      <w:r w:rsidR="009404BD" w:rsidRPr="00150880">
        <w:rPr>
          <w:rFonts w:ascii="Times New Roman" w:hAnsi="Times New Roman" w:cs="Times New Roman"/>
          <w:sz w:val="24"/>
          <w:szCs w:val="24"/>
          <w:lang w:val="pt-PT"/>
        </w:rPr>
        <w:t xml:space="preserve">tem sido </w:t>
      </w:r>
      <w:r w:rsidR="00B03BE1" w:rsidRPr="00150880">
        <w:rPr>
          <w:rFonts w:ascii="Times New Roman" w:hAnsi="Times New Roman" w:cs="Times New Roman"/>
          <w:sz w:val="24"/>
          <w:szCs w:val="24"/>
          <w:lang w:val="pt-PT"/>
        </w:rPr>
        <w:t>insuficiente para cobrir o custo d</w:t>
      </w:r>
      <w:r w:rsidR="00150880" w:rsidRPr="00150880">
        <w:rPr>
          <w:rFonts w:ascii="Times New Roman" w:hAnsi="Times New Roman" w:cs="Times New Roman"/>
          <w:sz w:val="24"/>
          <w:szCs w:val="24"/>
          <w:lang w:val="pt-PT"/>
        </w:rPr>
        <w:t>a</w:t>
      </w:r>
      <w:r w:rsidR="00B03BE1" w:rsidRPr="00150880">
        <w:rPr>
          <w:rFonts w:ascii="Times New Roman" w:hAnsi="Times New Roman" w:cs="Times New Roman"/>
          <w:sz w:val="24"/>
          <w:szCs w:val="24"/>
          <w:lang w:val="pt-PT"/>
        </w:rPr>
        <w:t xml:space="preserve"> Fomento Paraná </w:t>
      </w:r>
      <w:r w:rsidR="009404BD" w:rsidRPr="00150880">
        <w:rPr>
          <w:rFonts w:ascii="Times New Roman" w:hAnsi="Times New Roman" w:cs="Times New Roman"/>
          <w:sz w:val="24"/>
          <w:szCs w:val="24"/>
          <w:lang w:val="pt-PT"/>
        </w:rPr>
        <w:t xml:space="preserve">após </w:t>
      </w:r>
      <w:r w:rsidR="00FE06C4" w:rsidRPr="00150880">
        <w:rPr>
          <w:rFonts w:ascii="Times New Roman" w:hAnsi="Times New Roman" w:cs="Times New Roman"/>
          <w:sz w:val="24"/>
          <w:szCs w:val="24"/>
          <w:lang w:val="pt-PT"/>
        </w:rPr>
        <w:t xml:space="preserve">a blindagem </w:t>
      </w:r>
      <w:r w:rsidR="00B03BE1" w:rsidRPr="00150880">
        <w:rPr>
          <w:rFonts w:ascii="Times New Roman" w:hAnsi="Times New Roman" w:cs="Times New Roman"/>
          <w:sz w:val="24"/>
          <w:szCs w:val="24"/>
          <w:lang w:val="pt-PT"/>
        </w:rPr>
        <w:t xml:space="preserve">(i.e., </w:t>
      </w:r>
      <w:r w:rsidR="009404BD" w:rsidRPr="00150880">
        <w:rPr>
          <w:rFonts w:ascii="Times New Roman" w:hAnsi="Times New Roman" w:cs="Times New Roman"/>
          <w:sz w:val="24"/>
          <w:szCs w:val="24"/>
          <w:lang w:val="pt-PT"/>
        </w:rPr>
        <w:t xml:space="preserve">aumento no </w:t>
      </w:r>
      <w:r w:rsidR="00B03BE1" w:rsidRPr="00150880">
        <w:rPr>
          <w:rFonts w:ascii="Times New Roman" w:hAnsi="Times New Roman" w:cs="Times New Roman"/>
          <w:sz w:val="24"/>
          <w:szCs w:val="24"/>
          <w:lang w:val="pt-PT"/>
        </w:rPr>
        <w:t xml:space="preserve">Reembolso de Custos Indiretos), </w:t>
      </w:r>
      <w:r w:rsidR="00B401F9" w:rsidRPr="00150880">
        <w:rPr>
          <w:rFonts w:ascii="Times New Roman" w:hAnsi="Times New Roman" w:cs="Times New Roman"/>
          <w:sz w:val="24"/>
          <w:szCs w:val="24"/>
          <w:lang w:val="pt-PT"/>
        </w:rPr>
        <w:t xml:space="preserve">utilizamos uma taxa de </w:t>
      </w:r>
      <w:r w:rsidR="00B03BE1" w:rsidRPr="00150880">
        <w:rPr>
          <w:rFonts w:ascii="Times New Roman" w:hAnsi="Times New Roman" w:cs="Times New Roman"/>
          <w:sz w:val="24"/>
          <w:szCs w:val="24"/>
          <w:lang w:val="pt-PT"/>
        </w:rPr>
        <w:t xml:space="preserve">2% desses </w:t>
      </w:r>
      <w:r w:rsidR="00B03BE1" w:rsidRPr="00150880">
        <w:rPr>
          <w:rFonts w:ascii="Times New Roman" w:eastAsia="Times New Roman" w:hAnsi="Times New Roman" w:cs="Times New Roman"/>
          <w:sz w:val="24"/>
          <w:szCs w:val="24"/>
          <w:lang w:val="pt-BR" w:eastAsia="pt-BR"/>
        </w:rPr>
        <w:t>valores dos empréstimos liberados</w:t>
      </w:r>
      <w:r w:rsidR="00B03BE1" w:rsidRPr="00150880">
        <w:rPr>
          <w:rFonts w:ascii="Times New Roman" w:hAnsi="Times New Roman" w:cs="Times New Roman"/>
          <w:sz w:val="24"/>
          <w:szCs w:val="24"/>
          <w:lang w:val="pt-PT"/>
        </w:rPr>
        <w:t xml:space="preserve"> para as nossas simulações. </w:t>
      </w:r>
      <w:r w:rsidR="00B03BE1" w:rsidRPr="00150880">
        <w:rPr>
          <w:rFonts w:ascii="Times New Roman" w:eastAsia="Times New Roman" w:hAnsi="Times New Roman" w:cs="Times New Roman"/>
          <w:sz w:val="24"/>
          <w:szCs w:val="24"/>
          <w:lang w:val="pt-BR" w:eastAsia="pt-BR"/>
        </w:rPr>
        <w:t>Além disso</w:t>
      </w:r>
      <w:r w:rsidR="00FE06C4" w:rsidRPr="00150880">
        <w:rPr>
          <w:rFonts w:ascii="Times New Roman" w:eastAsia="Times New Roman" w:hAnsi="Times New Roman" w:cs="Times New Roman"/>
          <w:sz w:val="24"/>
          <w:szCs w:val="24"/>
          <w:lang w:val="pt-BR" w:eastAsia="pt-BR"/>
        </w:rPr>
        <w:t>, p</w:t>
      </w:r>
      <w:r w:rsidR="00E65186" w:rsidRPr="00150880">
        <w:rPr>
          <w:rFonts w:ascii="Times New Roman" w:eastAsia="Times New Roman" w:hAnsi="Times New Roman" w:cs="Times New Roman"/>
          <w:sz w:val="24"/>
          <w:szCs w:val="24"/>
          <w:lang w:val="pt-BR" w:eastAsia="pt-BR"/>
        </w:rPr>
        <w:t>ara o cenário intermediário, assumimos uma taxa real de aumento das despesas</w:t>
      </w:r>
      <w:r w:rsidR="00301473" w:rsidRPr="00150880">
        <w:rPr>
          <w:rFonts w:ascii="Times New Roman" w:eastAsia="Times New Roman" w:hAnsi="Times New Roman" w:cs="Times New Roman"/>
          <w:sz w:val="24"/>
          <w:szCs w:val="24"/>
          <w:lang w:val="pt-BR" w:eastAsia="pt-BR"/>
        </w:rPr>
        <w:t xml:space="preserve"> </w:t>
      </w:r>
      <w:r w:rsidR="00E65186" w:rsidRPr="00150880">
        <w:rPr>
          <w:rFonts w:ascii="Times New Roman" w:eastAsia="Times New Roman" w:hAnsi="Times New Roman" w:cs="Times New Roman"/>
          <w:sz w:val="24"/>
          <w:szCs w:val="24"/>
          <w:lang w:val="pt-BR" w:eastAsia="pt-BR"/>
        </w:rPr>
        <w:t>totais</w:t>
      </w:r>
      <w:r w:rsidR="00301473" w:rsidRPr="00150880">
        <w:rPr>
          <w:rFonts w:ascii="Times New Roman" w:eastAsia="Times New Roman" w:hAnsi="Times New Roman" w:cs="Times New Roman"/>
          <w:sz w:val="24"/>
          <w:szCs w:val="24"/>
          <w:lang w:val="pt-BR" w:eastAsia="pt-BR"/>
        </w:rPr>
        <w:t xml:space="preserve"> de </w:t>
      </w:r>
      <w:r w:rsidR="00B03BE1" w:rsidRPr="00150880">
        <w:rPr>
          <w:rFonts w:ascii="Times New Roman" w:eastAsia="Times New Roman" w:hAnsi="Times New Roman" w:cs="Times New Roman"/>
          <w:sz w:val="24"/>
          <w:szCs w:val="24"/>
          <w:lang w:val="pt-BR" w:eastAsia="pt-BR"/>
        </w:rPr>
        <w:t>2</w:t>
      </w:r>
      <w:r w:rsidR="00301473" w:rsidRPr="00150880">
        <w:rPr>
          <w:rFonts w:ascii="Times New Roman" w:eastAsia="Times New Roman" w:hAnsi="Times New Roman" w:cs="Times New Roman"/>
          <w:sz w:val="24"/>
          <w:szCs w:val="24"/>
          <w:lang w:val="pt-BR" w:eastAsia="pt-BR"/>
        </w:rPr>
        <w:t>%</w:t>
      </w:r>
      <w:r w:rsidR="00E65186" w:rsidRPr="00150880">
        <w:rPr>
          <w:rFonts w:ascii="Times New Roman" w:eastAsia="Times New Roman" w:hAnsi="Times New Roman" w:cs="Times New Roman"/>
          <w:sz w:val="24"/>
          <w:szCs w:val="24"/>
          <w:lang w:val="pt-BR" w:eastAsia="pt-BR"/>
        </w:rPr>
        <w:t xml:space="preserve"> acima daquela</w:t>
      </w:r>
      <w:r w:rsidR="00301473" w:rsidRPr="00150880">
        <w:rPr>
          <w:rFonts w:ascii="Times New Roman" w:eastAsia="Times New Roman" w:hAnsi="Times New Roman" w:cs="Times New Roman"/>
          <w:sz w:val="24"/>
          <w:szCs w:val="24"/>
          <w:lang w:val="pt-BR" w:eastAsia="pt-BR"/>
        </w:rPr>
        <w:t xml:space="preserve"> já</w:t>
      </w:r>
      <w:r w:rsidR="00E65186" w:rsidRPr="00150880">
        <w:rPr>
          <w:rFonts w:ascii="Times New Roman" w:eastAsia="Times New Roman" w:hAnsi="Times New Roman" w:cs="Times New Roman"/>
          <w:sz w:val="24"/>
          <w:szCs w:val="24"/>
          <w:lang w:val="pt-BR" w:eastAsia="pt-BR"/>
        </w:rPr>
        <w:t xml:space="preserve"> calculada p</w:t>
      </w:r>
      <w:r w:rsidR="00301473" w:rsidRPr="00150880">
        <w:rPr>
          <w:rFonts w:ascii="Times New Roman" w:eastAsia="Times New Roman" w:hAnsi="Times New Roman" w:cs="Times New Roman"/>
          <w:sz w:val="24"/>
          <w:szCs w:val="24"/>
          <w:lang w:val="pt-BR" w:eastAsia="pt-BR"/>
        </w:rPr>
        <w:t>elas</w:t>
      </w:r>
      <w:r w:rsidR="00E65186" w:rsidRPr="00150880">
        <w:rPr>
          <w:rFonts w:ascii="Times New Roman" w:eastAsia="Times New Roman" w:hAnsi="Times New Roman" w:cs="Times New Roman"/>
          <w:sz w:val="24"/>
          <w:szCs w:val="24"/>
          <w:lang w:val="pt-BR" w:eastAsia="pt-BR"/>
        </w:rPr>
        <w:t xml:space="preserve"> essas duas porcentagens </w:t>
      </w:r>
      <w:r w:rsidR="00301473" w:rsidRPr="00150880">
        <w:rPr>
          <w:rFonts w:ascii="Times New Roman" w:eastAsia="Times New Roman" w:hAnsi="Times New Roman" w:cs="Times New Roman"/>
          <w:sz w:val="24"/>
          <w:szCs w:val="24"/>
          <w:lang w:val="pt-BR" w:eastAsia="pt-BR"/>
        </w:rPr>
        <w:t>utilizadas</w:t>
      </w:r>
      <w:r w:rsidR="00150880" w:rsidRPr="00150880">
        <w:rPr>
          <w:rFonts w:ascii="Times New Roman" w:eastAsia="Times New Roman" w:hAnsi="Times New Roman" w:cs="Times New Roman"/>
          <w:sz w:val="24"/>
          <w:szCs w:val="24"/>
          <w:lang w:val="pt-BR" w:eastAsia="pt-BR"/>
        </w:rPr>
        <w:t xml:space="preserve"> </w:t>
      </w:r>
      <w:r w:rsidR="00E65186" w:rsidRPr="00150880">
        <w:rPr>
          <w:rFonts w:ascii="Times New Roman" w:eastAsia="Times New Roman" w:hAnsi="Times New Roman" w:cs="Times New Roman"/>
          <w:sz w:val="24"/>
          <w:szCs w:val="24"/>
          <w:lang w:val="pt-BR" w:eastAsia="pt-BR"/>
        </w:rPr>
        <w:t>(</w:t>
      </w:r>
      <w:r w:rsidR="00FE06C4" w:rsidRPr="00150880">
        <w:rPr>
          <w:rFonts w:ascii="Times New Roman" w:eastAsia="Times New Roman" w:hAnsi="Times New Roman" w:cs="Times New Roman"/>
          <w:sz w:val="24"/>
          <w:szCs w:val="24"/>
          <w:lang w:val="pt-BR" w:eastAsia="pt-BR"/>
        </w:rPr>
        <w:t>2</w:t>
      </w:r>
      <w:r w:rsidR="00E65186" w:rsidRPr="00150880">
        <w:rPr>
          <w:rFonts w:ascii="Times New Roman" w:eastAsia="Times New Roman" w:hAnsi="Times New Roman" w:cs="Times New Roman"/>
          <w:sz w:val="24"/>
          <w:szCs w:val="24"/>
          <w:lang w:val="pt-BR" w:eastAsia="pt-BR"/>
        </w:rPr>
        <w:t>% e 8%).</w:t>
      </w:r>
      <w:r w:rsidR="00E65186" w:rsidRPr="00150880">
        <w:rPr>
          <w:sz w:val="24"/>
          <w:szCs w:val="24"/>
          <w:lang w:val="pt-PT"/>
        </w:rPr>
        <w:t xml:space="preserve"> </w:t>
      </w:r>
      <w:r w:rsidR="00E65186" w:rsidRPr="00150880">
        <w:rPr>
          <w:rFonts w:ascii="Times New Roman" w:eastAsia="Times New Roman" w:hAnsi="Times New Roman" w:cs="Times New Roman"/>
          <w:sz w:val="24"/>
          <w:szCs w:val="24"/>
          <w:lang w:val="pt-BR" w:eastAsia="pt-BR"/>
        </w:rPr>
        <w:t xml:space="preserve"> </w:t>
      </w:r>
      <w:r w:rsidR="00084299" w:rsidRPr="00150880">
        <w:rPr>
          <w:rFonts w:ascii="Times New Roman" w:eastAsia="Times New Roman" w:hAnsi="Times New Roman" w:cs="Times New Roman"/>
          <w:sz w:val="24"/>
          <w:szCs w:val="24"/>
          <w:lang w:val="pt-BR" w:eastAsia="pt-BR"/>
        </w:rPr>
        <w:t>Para est</w:t>
      </w:r>
      <w:r w:rsidR="00CA2760" w:rsidRPr="00150880">
        <w:rPr>
          <w:rFonts w:ascii="Times New Roman" w:eastAsia="Times New Roman" w:hAnsi="Times New Roman" w:cs="Times New Roman"/>
          <w:sz w:val="24"/>
          <w:szCs w:val="24"/>
          <w:lang w:val="pt-BR" w:eastAsia="pt-BR"/>
        </w:rPr>
        <w:t>a</w:t>
      </w:r>
      <w:r w:rsidR="00084299" w:rsidRPr="00150880">
        <w:rPr>
          <w:rFonts w:ascii="Times New Roman" w:eastAsia="Times New Roman" w:hAnsi="Times New Roman" w:cs="Times New Roman"/>
          <w:sz w:val="24"/>
          <w:szCs w:val="24"/>
          <w:lang w:val="pt-BR" w:eastAsia="pt-BR"/>
        </w:rPr>
        <w:t>s duas últim</w:t>
      </w:r>
      <w:r w:rsidR="00C06ABC" w:rsidRPr="00150880">
        <w:rPr>
          <w:rFonts w:ascii="Times New Roman" w:eastAsia="Times New Roman" w:hAnsi="Times New Roman" w:cs="Times New Roman"/>
          <w:sz w:val="24"/>
          <w:szCs w:val="24"/>
          <w:lang w:val="pt-BR" w:eastAsia="pt-BR"/>
        </w:rPr>
        <w:t>a</w:t>
      </w:r>
      <w:r w:rsidR="00084299" w:rsidRPr="00150880">
        <w:rPr>
          <w:rFonts w:ascii="Times New Roman" w:eastAsia="Times New Roman" w:hAnsi="Times New Roman" w:cs="Times New Roman"/>
          <w:sz w:val="24"/>
          <w:szCs w:val="24"/>
          <w:lang w:val="pt-BR" w:eastAsia="pt-BR"/>
        </w:rPr>
        <w:t>s</w:t>
      </w:r>
      <w:r w:rsidR="006838AE" w:rsidRPr="00150880">
        <w:rPr>
          <w:rFonts w:ascii="Times New Roman" w:eastAsia="Times New Roman" w:hAnsi="Times New Roman" w:cs="Times New Roman"/>
          <w:sz w:val="24"/>
          <w:szCs w:val="24"/>
          <w:lang w:val="pt-BR" w:eastAsia="pt-BR"/>
        </w:rPr>
        <w:t xml:space="preserve"> </w:t>
      </w:r>
      <w:r w:rsidR="001546EF">
        <w:rPr>
          <w:rFonts w:ascii="Times New Roman" w:eastAsia="Times New Roman" w:hAnsi="Times New Roman" w:cs="Times New Roman"/>
          <w:i/>
          <w:sz w:val="24"/>
          <w:szCs w:val="24"/>
          <w:lang w:val="pt-BR" w:eastAsia="pt-BR"/>
        </w:rPr>
        <w:t>input variables</w:t>
      </w:r>
      <w:r w:rsidR="00084299" w:rsidRPr="00150880">
        <w:rPr>
          <w:rFonts w:ascii="Times New Roman" w:eastAsia="Times New Roman" w:hAnsi="Times New Roman" w:cs="Times New Roman"/>
          <w:sz w:val="24"/>
          <w:szCs w:val="24"/>
          <w:lang w:val="pt-BR" w:eastAsia="pt-BR"/>
        </w:rPr>
        <w:t xml:space="preserve">, </w:t>
      </w:r>
      <w:r w:rsidR="00CA2760" w:rsidRPr="00150880">
        <w:rPr>
          <w:rFonts w:ascii="Times New Roman" w:eastAsia="Times New Roman" w:hAnsi="Times New Roman" w:cs="Times New Roman"/>
          <w:sz w:val="24"/>
          <w:szCs w:val="24"/>
          <w:lang w:val="pt-BR" w:eastAsia="pt-BR"/>
        </w:rPr>
        <w:t>assumimos</w:t>
      </w:r>
      <w:r w:rsidR="007E4880" w:rsidRPr="00150880">
        <w:rPr>
          <w:rFonts w:ascii="Times New Roman" w:eastAsia="Times New Roman" w:hAnsi="Times New Roman" w:cs="Times New Roman"/>
          <w:sz w:val="24"/>
          <w:szCs w:val="24"/>
          <w:lang w:val="pt-BR" w:eastAsia="pt-BR"/>
        </w:rPr>
        <w:t xml:space="preserve"> um </w:t>
      </w:r>
      <w:r w:rsidR="008A6A57" w:rsidRPr="00150880">
        <w:rPr>
          <w:rFonts w:ascii="Times New Roman" w:eastAsia="Times New Roman" w:hAnsi="Times New Roman" w:cs="Times New Roman"/>
          <w:sz w:val="24"/>
          <w:szCs w:val="24"/>
          <w:lang w:val="pt-BR" w:eastAsia="pt-BR"/>
        </w:rPr>
        <w:t xml:space="preserve">coeficiente de variação de 50% para </w:t>
      </w:r>
      <w:r w:rsidR="007E4880" w:rsidRPr="00150880">
        <w:rPr>
          <w:rFonts w:ascii="Times New Roman" w:eastAsia="Times New Roman" w:hAnsi="Times New Roman" w:cs="Times New Roman"/>
          <w:sz w:val="24"/>
          <w:szCs w:val="24"/>
          <w:lang w:val="pt-BR" w:eastAsia="pt-BR"/>
        </w:rPr>
        <w:t>est</w:t>
      </w:r>
      <w:r w:rsidR="00084299" w:rsidRPr="00150880">
        <w:rPr>
          <w:rFonts w:ascii="Times New Roman" w:eastAsia="Times New Roman" w:hAnsi="Times New Roman" w:cs="Times New Roman"/>
          <w:sz w:val="24"/>
          <w:szCs w:val="24"/>
          <w:lang w:val="pt-BR" w:eastAsia="pt-BR"/>
        </w:rPr>
        <w:t>imar seu desv</w:t>
      </w:r>
      <w:r w:rsidR="00CA2760" w:rsidRPr="00150880">
        <w:rPr>
          <w:rFonts w:ascii="Times New Roman" w:eastAsia="Times New Roman" w:hAnsi="Times New Roman" w:cs="Times New Roman"/>
          <w:sz w:val="24"/>
          <w:szCs w:val="24"/>
          <w:lang w:val="pt-BR" w:eastAsia="pt-BR"/>
        </w:rPr>
        <w:t>i</w:t>
      </w:r>
      <w:r w:rsidR="00084299" w:rsidRPr="00150880">
        <w:rPr>
          <w:rFonts w:ascii="Times New Roman" w:eastAsia="Times New Roman" w:hAnsi="Times New Roman" w:cs="Times New Roman"/>
          <w:sz w:val="24"/>
          <w:szCs w:val="24"/>
          <w:lang w:val="pt-BR" w:eastAsia="pt-BR"/>
        </w:rPr>
        <w:t>o padr</w:t>
      </w:r>
      <w:r w:rsidR="00CA2760" w:rsidRPr="00150880">
        <w:rPr>
          <w:rFonts w:ascii="Times New Roman" w:eastAsia="Times New Roman" w:hAnsi="Times New Roman" w:cs="Times New Roman"/>
          <w:sz w:val="24"/>
          <w:szCs w:val="24"/>
          <w:lang w:val="pt-BR" w:eastAsia="pt-BR"/>
        </w:rPr>
        <w:t>ão</w:t>
      </w:r>
      <w:r w:rsidR="008A6A57" w:rsidRPr="00150880">
        <w:rPr>
          <w:rFonts w:ascii="Times New Roman" w:eastAsia="Times New Roman" w:hAnsi="Times New Roman" w:cs="Times New Roman"/>
          <w:sz w:val="24"/>
          <w:szCs w:val="24"/>
          <w:lang w:val="pt-BR" w:eastAsia="pt-BR"/>
        </w:rPr>
        <w:t>.</w:t>
      </w:r>
      <w:r w:rsidR="008A6A57" w:rsidRPr="00734BA5">
        <w:rPr>
          <w:rFonts w:ascii="Times New Roman" w:eastAsia="Times New Roman" w:hAnsi="Times New Roman" w:cs="Times New Roman"/>
          <w:sz w:val="24"/>
          <w:szCs w:val="24"/>
          <w:lang w:val="pt-BR" w:eastAsia="pt-BR"/>
        </w:rPr>
        <w:t xml:space="preserve"> </w:t>
      </w:r>
    </w:p>
    <w:bookmarkEnd w:id="24"/>
    <w:p w14:paraId="5C5D5963" w14:textId="12CCF4A6" w:rsidR="009C44B0" w:rsidRPr="00CA2760" w:rsidRDefault="009C44B0" w:rsidP="00084299">
      <w:pPr>
        <w:shd w:val="clear" w:color="auto" w:fill="FFFFFF"/>
        <w:spacing w:line="360" w:lineRule="auto"/>
        <w:rPr>
          <w:rFonts w:ascii="Times New Roman" w:hAnsi="Times New Roman" w:cs="Times New Roman"/>
          <w:sz w:val="24"/>
          <w:szCs w:val="24"/>
          <w:highlight w:val="cyan"/>
          <w:lang w:val="pt-BR"/>
        </w:rPr>
      </w:pPr>
      <w:r w:rsidRPr="00CA2760">
        <w:rPr>
          <w:rFonts w:ascii="Times New Roman" w:eastAsia="Times New Roman" w:hAnsi="Times New Roman" w:cs="Times New Roman"/>
          <w:sz w:val="24"/>
          <w:szCs w:val="24"/>
          <w:lang w:val="pt-BR" w:eastAsia="pt-BR"/>
        </w:rPr>
        <w:t>Acreditamos que a maioria dos que estão familiarizados com os mercados financeiros brasileiros concorda</w:t>
      </w:r>
      <w:r w:rsidR="009F31E1" w:rsidRPr="00CA2760">
        <w:rPr>
          <w:rFonts w:ascii="Times New Roman" w:eastAsia="Times New Roman" w:hAnsi="Times New Roman" w:cs="Times New Roman"/>
          <w:sz w:val="24"/>
          <w:szCs w:val="24"/>
          <w:lang w:val="pt-BR" w:eastAsia="pt-BR"/>
        </w:rPr>
        <w:t>ria</w:t>
      </w:r>
      <w:r w:rsidRPr="00CA2760">
        <w:rPr>
          <w:rFonts w:ascii="Times New Roman" w:eastAsia="Times New Roman" w:hAnsi="Times New Roman" w:cs="Times New Roman"/>
          <w:sz w:val="24"/>
          <w:szCs w:val="24"/>
          <w:lang w:val="pt-BR" w:eastAsia="pt-BR"/>
        </w:rPr>
        <w:t xml:space="preserve"> que os cenários para essas quatro </w:t>
      </w:r>
      <w:r w:rsidR="006838AE" w:rsidRPr="00D91C24">
        <w:rPr>
          <w:rFonts w:ascii="Times New Roman" w:eastAsia="Times New Roman" w:hAnsi="Times New Roman" w:cs="Times New Roman"/>
          <w:i/>
          <w:sz w:val="24"/>
          <w:szCs w:val="24"/>
          <w:lang w:val="pt-BR" w:eastAsia="pt-BR"/>
        </w:rPr>
        <w:t>input variables</w:t>
      </w:r>
      <w:r w:rsidR="00951D91" w:rsidRPr="00CA2760">
        <w:rPr>
          <w:rFonts w:ascii="Times New Roman" w:eastAsia="Times New Roman" w:hAnsi="Times New Roman" w:cs="Times New Roman"/>
          <w:sz w:val="24"/>
          <w:szCs w:val="24"/>
          <w:lang w:val="pt-BR" w:eastAsia="pt-BR"/>
        </w:rPr>
        <w:t xml:space="preserve"> </w:t>
      </w:r>
      <w:r w:rsidRPr="00CA2760">
        <w:rPr>
          <w:rFonts w:ascii="Times New Roman" w:eastAsia="Times New Roman" w:hAnsi="Times New Roman" w:cs="Times New Roman"/>
          <w:sz w:val="24"/>
          <w:szCs w:val="24"/>
          <w:lang w:val="pt-BR" w:eastAsia="pt-BR"/>
        </w:rPr>
        <w:t xml:space="preserve">são conservadores. </w:t>
      </w:r>
    </w:p>
    <w:p w14:paraId="5227DB1A" w14:textId="5E4E78D5" w:rsidR="00D36718" w:rsidRPr="00CA2760" w:rsidRDefault="00561730" w:rsidP="00A47D27">
      <w:pPr>
        <w:shd w:val="clear" w:color="auto" w:fill="FFFFFF"/>
        <w:spacing w:line="360" w:lineRule="auto"/>
        <w:rPr>
          <w:rFonts w:ascii="Times New Roman" w:eastAsia="Times New Roman" w:hAnsi="Times New Roman" w:cs="Times New Roman"/>
          <w:sz w:val="24"/>
          <w:szCs w:val="24"/>
          <w:lang w:val="pt-BR" w:eastAsia="pt-BR"/>
        </w:rPr>
      </w:pPr>
      <w:r w:rsidRPr="00A47D27">
        <w:rPr>
          <w:rFonts w:ascii="Times New Roman" w:eastAsia="Times New Roman" w:hAnsi="Times New Roman" w:cs="Times New Roman"/>
          <w:sz w:val="24"/>
          <w:szCs w:val="24"/>
          <w:lang w:val="pt-BR" w:eastAsia="pt-BR"/>
        </w:rPr>
        <w:t xml:space="preserve">A tabela </w:t>
      </w:r>
      <w:r w:rsidR="003A2464">
        <w:rPr>
          <w:rFonts w:ascii="Times New Roman" w:eastAsia="Times New Roman" w:hAnsi="Times New Roman" w:cs="Times New Roman"/>
          <w:sz w:val="24"/>
          <w:szCs w:val="24"/>
          <w:lang w:val="pt-BR" w:eastAsia="pt-BR"/>
        </w:rPr>
        <w:t>14</w:t>
      </w:r>
      <w:r w:rsidR="003A2464" w:rsidRPr="00A47D27">
        <w:rPr>
          <w:rFonts w:ascii="Times New Roman" w:eastAsia="Times New Roman" w:hAnsi="Times New Roman" w:cs="Times New Roman"/>
          <w:sz w:val="24"/>
          <w:szCs w:val="24"/>
          <w:lang w:val="pt-BR" w:eastAsia="pt-BR"/>
        </w:rPr>
        <w:t xml:space="preserve"> </w:t>
      </w:r>
      <w:r w:rsidRPr="00A47D27">
        <w:rPr>
          <w:rFonts w:ascii="Times New Roman" w:eastAsia="Times New Roman" w:hAnsi="Times New Roman" w:cs="Times New Roman"/>
          <w:sz w:val="24"/>
          <w:szCs w:val="24"/>
          <w:lang w:val="pt-BR" w:eastAsia="pt-BR"/>
        </w:rPr>
        <w:t xml:space="preserve">e os gráficos </w:t>
      </w:r>
      <w:r w:rsidR="00081CDA">
        <w:rPr>
          <w:rFonts w:ascii="Times New Roman" w:eastAsia="Times New Roman" w:hAnsi="Times New Roman" w:cs="Times New Roman"/>
          <w:sz w:val="24"/>
          <w:szCs w:val="24"/>
          <w:lang w:val="pt-BR" w:eastAsia="pt-BR"/>
        </w:rPr>
        <w:t>4</w:t>
      </w:r>
      <w:r w:rsidR="000E73AB">
        <w:rPr>
          <w:rFonts w:ascii="Times New Roman" w:eastAsia="Times New Roman" w:hAnsi="Times New Roman" w:cs="Times New Roman"/>
          <w:sz w:val="24"/>
          <w:szCs w:val="24"/>
          <w:lang w:val="pt-BR" w:eastAsia="pt-BR"/>
        </w:rPr>
        <w:t xml:space="preserve"> e </w:t>
      </w:r>
      <w:r w:rsidR="00081CDA">
        <w:rPr>
          <w:rFonts w:ascii="Times New Roman" w:eastAsia="Times New Roman" w:hAnsi="Times New Roman" w:cs="Times New Roman"/>
          <w:sz w:val="24"/>
          <w:szCs w:val="24"/>
          <w:lang w:val="pt-BR" w:eastAsia="pt-BR"/>
        </w:rPr>
        <w:t>5</w:t>
      </w:r>
      <w:r w:rsidRPr="000C3BEC">
        <w:rPr>
          <w:rFonts w:ascii="Times New Roman" w:eastAsia="Times New Roman" w:hAnsi="Times New Roman" w:cs="Times New Roman"/>
          <w:sz w:val="24"/>
          <w:szCs w:val="24"/>
          <w:lang w:val="pt-BR" w:eastAsia="pt-BR"/>
        </w:rPr>
        <w:t xml:space="preserve"> mostram os resultados das simulações. O</w:t>
      </w:r>
      <w:r w:rsidR="00942CD1" w:rsidRPr="000C3BEC">
        <w:rPr>
          <w:rFonts w:ascii="Times New Roman" w:eastAsia="Times New Roman" w:hAnsi="Times New Roman" w:cs="Times New Roman"/>
          <w:sz w:val="24"/>
          <w:szCs w:val="24"/>
          <w:lang w:val="pt-BR" w:eastAsia="pt-BR"/>
        </w:rPr>
        <w:t xml:space="preserve"> </w:t>
      </w:r>
      <w:r w:rsidR="003A2464">
        <w:rPr>
          <w:rFonts w:ascii="Times New Roman" w:eastAsia="Times New Roman" w:hAnsi="Times New Roman" w:cs="Times New Roman"/>
          <w:sz w:val="24"/>
          <w:szCs w:val="24"/>
          <w:lang w:val="pt-BR" w:eastAsia="pt-BR"/>
        </w:rPr>
        <w:t>PL</w:t>
      </w:r>
      <w:r w:rsidR="00942CD1" w:rsidRPr="000C3BEC">
        <w:rPr>
          <w:rFonts w:ascii="Times New Roman" w:eastAsia="Times New Roman" w:hAnsi="Times New Roman" w:cs="Times New Roman"/>
          <w:sz w:val="24"/>
          <w:szCs w:val="24"/>
          <w:lang w:val="pt-BR" w:eastAsia="pt-BR"/>
        </w:rPr>
        <w:t xml:space="preserve"> </w:t>
      </w:r>
      <w:r w:rsidRPr="000C3BEC">
        <w:rPr>
          <w:rFonts w:ascii="Times New Roman" w:eastAsia="Times New Roman" w:hAnsi="Times New Roman" w:cs="Times New Roman"/>
          <w:sz w:val="24"/>
          <w:szCs w:val="24"/>
          <w:lang w:val="pt-BR" w:eastAsia="pt-BR"/>
        </w:rPr>
        <w:t>do FDU e os Financiamentos Concedidos</w:t>
      </w:r>
      <w:r w:rsidRPr="00CA2760">
        <w:rPr>
          <w:rFonts w:ascii="Times New Roman" w:eastAsia="Times New Roman" w:hAnsi="Times New Roman" w:cs="Times New Roman"/>
          <w:sz w:val="24"/>
          <w:szCs w:val="24"/>
          <w:lang w:val="pt-BR" w:eastAsia="pt-BR"/>
        </w:rPr>
        <w:t xml:space="preserve"> aos Municípios </w:t>
      </w:r>
      <w:r w:rsidR="00E60E8B">
        <w:rPr>
          <w:rFonts w:ascii="Times New Roman" w:eastAsia="Times New Roman" w:hAnsi="Times New Roman" w:cs="Times New Roman"/>
          <w:sz w:val="24"/>
          <w:szCs w:val="24"/>
          <w:lang w:val="pt-BR" w:eastAsia="pt-BR"/>
        </w:rPr>
        <w:t>aumentarão</w:t>
      </w:r>
      <w:r w:rsidRPr="00CA2760">
        <w:rPr>
          <w:rFonts w:ascii="Times New Roman" w:eastAsia="Times New Roman" w:hAnsi="Times New Roman" w:cs="Times New Roman"/>
          <w:sz w:val="24"/>
          <w:szCs w:val="24"/>
          <w:lang w:val="pt-BR" w:eastAsia="pt-BR"/>
        </w:rPr>
        <w:t xml:space="preserve"> significativamente ao longo do período simulado. Sob os cenários otimista e intermediário, o</w:t>
      </w:r>
      <w:r w:rsidR="00942CD1">
        <w:rPr>
          <w:rFonts w:ascii="Times New Roman" w:eastAsia="Times New Roman" w:hAnsi="Times New Roman" w:cs="Times New Roman"/>
          <w:sz w:val="24"/>
          <w:szCs w:val="24"/>
          <w:lang w:val="pt-BR" w:eastAsia="pt-BR"/>
        </w:rPr>
        <w:t xml:space="preserve"> </w:t>
      </w:r>
      <w:r w:rsidR="003A2464">
        <w:rPr>
          <w:rFonts w:ascii="Times New Roman" w:eastAsia="Times New Roman" w:hAnsi="Times New Roman" w:cs="Times New Roman"/>
          <w:sz w:val="24"/>
          <w:szCs w:val="24"/>
          <w:lang w:val="pt-BR" w:eastAsia="pt-BR"/>
        </w:rPr>
        <w:t>PL</w:t>
      </w:r>
      <w:r w:rsidR="00942CD1">
        <w:rPr>
          <w:rFonts w:ascii="Times New Roman" w:eastAsia="Times New Roman" w:hAnsi="Times New Roman" w:cs="Times New Roman"/>
          <w:sz w:val="24"/>
          <w:szCs w:val="24"/>
          <w:lang w:val="pt-BR" w:eastAsia="pt-BR"/>
        </w:rPr>
        <w:t xml:space="preserve"> </w:t>
      </w:r>
      <w:r w:rsidR="00D36718" w:rsidRPr="00CA2760">
        <w:rPr>
          <w:rFonts w:ascii="Times New Roman" w:eastAsia="Times New Roman" w:hAnsi="Times New Roman" w:cs="Times New Roman"/>
          <w:sz w:val="24"/>
          <w:szCs w:val="24"/>
          <w:lang w:val="pt-BR" w:eastAsia="pt-BR"/>
        </w:rPr>
        <w:t xml:space="preserve">e os Financiamentos Concedidos aos Municípios mais que </w:t>
      </w:r>
      <w:r w:rsidR="007451C3">
        <w:rPr>
          <w:rFonts w:ascii="Times New Roman" w:eastAsia="Times New Roman" w:hAnsi="Times New Roman" w:cs="Times New Roman"/>
          <w:sz w:val="24"/>
          <w:szCs w:val="24"/>
          <w:lang w:val="pt-BR" w:eastAsia="pt-BR"/>
        </w:rPr>
        <w:t>duplicaram</w:t>
      </w:r>
      <w:r w:rsidR="007451C3" w:rsidRPr="00CA2760">
        <w:rPr>
          <w:rFonts w:ascii="Times New Roman" w:eastAsia="Times New Roman" w:hAnsi="Times New Roman" w:cs="Times New Roman"/>
          <w:sz w:val="24"/>
          <w:szCs w:val="24"/>
          <w:lang w:val="pt-BR" w:eastAsia="pt-BR"/>
        </w:rPr>
        <w:t xml:space="preserve"> </w:t>
      </w:r>
      <w:r w:rsidR="00F675CC" w:rsidRPr="00CA2760">
        <w:rPr>
          <w:rFonts w:ascii="Times New Roman" w:eastAsia="Times New Roman" w:hAnsi="Times New Roman" w:cs="Times New Roman"/>
          <w:sz w:val="24"/>
          <w:szCs w:val="24"/>
          <w:lang w:val="pt-BR" w:eastAsia="pt-BR"/>
        </w:rPr>
        <w:t>até 2038</w:t>
      </w:r>
      <w:r w:rsidR="00D36718" w:rsidRPr="00CA2760">
        <w:rPr>
          <w:rFonts w:ascii="Times New Roman" w:eastAsia="Times New Roman" w:hAnsi="Times New Roman" w:cs="Times New Roman"/>
          <w:sz w:val="24"/>
          <w:szCs w:val="24"/>
          <w:lang w:val="pt-BR" w:eastAsia="pt-BR"/>
        </w:rPr>
        <w:t xml:space="preserve">.  </w:t>
      </w:r>
      <w:r w:rsidR="00FE06C4" w:rsidRPr="00FE06C4">
        <w:rPr>
          <w:rFonts w:ascii="Times New Roman" w:eastAsia="Times New Roman" w:hAnsi="Times New Roman" w:cs="Times New Roman"/>
          <w:sz w:val="24"/>
          <w:szCs w:val="24"/>
          <w:lang w:val="pt-BR" w:eastAsia="pt-BR"/>
        </w:rPr>
        <w:t xml:space="preserve">O </w:t>
      </w:r>
      <w:r w:rsidR="003A2464">
        <w:rPr>
          <w:rFonts w:ascii="Times New Roman" w:eastAsia="Times New Roman" w:hAnsi="Times New Roman" w:cs="Times New Roman"/>
          <w:sz w:val="24"/>
          <w:szCs w:val="24"/>
          <w:lang w:val="pt-BR" w:eastAsia="pt-BR"/>
        </w:rPr>
        <w:t>PL</w:t>
      </w:r>
      <w:r w:rsidR="00FE06C4" w:rsidRPr="00FE06C4">
        <w:rPr>
          <w:rFonts w:ascii="Times New Roman" w:eastAsia="Times New Roman" w:hAnsi="Times New Roman" w:cs="Times New Roman"/>
          <w:sz w:val="24"/>
          <w:szCs w:val="24"/>
          <w:lang w:val="pt-BR" w:eastAsia="pt-BR"/>
        </w:rPr>
        <w:t xml:space="preserve"> aumentou em R$2,2 bilhões (US$686 milhões) até 2038 no cenário optimista e</w:t>
      </w:r>
      <w:r w:rsidR="00734BA5">
        <w:rPr>
          <w:rFonts w:ascii="Times New Roman" w:eastAsia="Times New Roman" w:hAnsi="Times New Roman" w:cs="Times New Roman"/>
          <w:sz w:val="24"/>
          <w:szCs w:val="24"/>
          <w:lang w:val="pt-BR" w:eastAsia="pt-BR"/>
        </w:rPr>
        <w:t xml:space="preserve"> </w:t>
      </w:r>
      <w:r w:rsidR="00FE06C4" w:rsidRPr="00FE06C4">
        <w:rPr>
          <w:rFonts w:ascii="Times New Roman" w:eastAsia="Times New Roman" w:hAnsi="Times New Roman" w:cs="Times New Roman"/>
          <w:sz w:val="24"/>
          <w:szCs w:val="24"/>
          <w:lang w:val="pt-BR" w:eastAsia="pt-BR"/>
        </w:rPr>
        <w:t>R$1,4 bilhões (US$434 milhões) no intermediário</w:t>
      </w:r>
      <w:r w:rsidR="00FE06C4">
        <w:rPr>
          <w:rFonts w:ascii="Times New Roman" w:eastAsia="Times New Roman" w:hAnsi="Times New Roman" w:cs="Times New Roman"/>
          <w:sz w:val="24"/>
          <w:szCs w:val="24"/>
          <w:lang w:val="pt-BR" w:eastAsia="pt-BR"/>
        </w:rPr>
        <w:t xml:space="preserve">. </w:t>
      </w:r>
      <w:r w:rsidR="00FE06C4" w:rsidRPr="00FE06C4">
        <w:rPr>
          <w:rFonts w:ascii="Times New Roman" w:eastAsia="Times New Roman" w:hAnsi="Times New Roman" w:cs="Times New Roman"/>
          <w:sz w:val="24"/>
          <w:szCs w:val="24"/>
          <w:lang w:val="pt-BR" w:eastAsia="pt-BR"/>
        </w:rPr>
        <w:t>Os Financiamentos Concedidos aos Municípios cresceram em R$1,3 bilhões (US$418 milhões) no cenário optimista e R$846 milhões (US$264 milhões) no intermediário.</w:t>
      </w:r>
    </w:p>
    <w:p w14:paraId="17F352C3" w14:textId="037E683D" w:rsidR="008E6E10" w:rsidRDefault="00561730" w:rsidP="00B42120">
      <w:pPr>
        <w:shd w:val="clear" w:color="auto" w:fill="FFFFFF"/>
        <w:spacing w:line="360" w:lineRule="auto"/>
        <w:rPr>
          <w:rFonts w:ascii="Times New Roman" w:hAnsi="Times New Roman" w:cs="Times New Roman"/>
          <w:sz w:val="24"/>
          <w:szCs w:val="24"/>
          <w:lang w:val="pt-BR"/>
        </w:rPr>
      </w:pPr>
      <w:r w:rsidRPr="00CA2760">
        <w:rPr>
          <w:rFonts w:ascii="Times New Roman" w:eastAsia="Times New Roman" w:hAnsi="Times New Roman" w:cs="Times New Roman"/>
          <w:sz w:val="24"/>
          <w:szCs w:val="24"/>
          <w:lang w:val="pt-BR" w:eastAsia="pt-BR"/>
        </w:rPr>
        <w:lastRenderedPageBreak/>
        <w:t>Mesmo no cenário pessimista, o</w:t>
      </w:r>
      <w:r w:rsidR="00942CD1">
        <w:rPr>
          <w:rFonts w:ascii="Times New Roman" w:eastAsia="Times New Roman" w:hAnsi="Times New Roman" w:cs="Times New Roman"/>
          <w:sz w:val="24"/>
          <w:szCs w:val="24"/>
          <w:lang w:val="pt-BR" w:eastAsia="pt-BR"/>
        </w:rPr>
        <w:t xml:space="preserve"> </w:t>
      </w:r>
      <w:r w:rsidR="003A2464">
        <w:rPr>
          <w:rFonts w:ascii="Times New Roman" w:eastAsia="Times New Roman" w:hAnsi="Times New Roman" w:cs="Times New Roman"/>
          <w:sz w:val="24"/>
          <w:szCs w:val="24"/>
          <w:lang w:val="pt-BR" w:eastAsia="pt-BR"/>
        </w:rPr>
        <w:t>PL</w:t>
      </w:r>
      <w:r w:rsidR="00942CD1">
        <w:rPr>
          <w:rFonts w:ascii="Times New Roman" w:eastAsia="Times New Roman" w:hAnsi="Times New Roman" w:cs="Times New Roman"/>
          <w:sz w:val="24"/>
          <w:szCs w:val="24"/>
          <w:lang w:val="pt-BR" w:eastAsia="pt-BR"/>
        </w:rPr>
        <w:t xml:space="preserve"> </w:t>
      </w:r>
      <w:r w:rsidRPr="00CA2760">
        <w:rPr>
          <w:rFonts w:ascii="Times New Roman" w:eastAsia="Times New Roman" w:hAnsi="Times New Roman" w:cs="Times New Roman"/>
          <w:sz w:val="24"/>
          <w:szCs w:val="24"/>
          <w:lang w:val="pt-BR" w:eastAsia="pt-BR"/>
        </w:rPr>
        <w:t>e os Financiamentos Concedidos aos Municípios</w:t>
      </w:r>
      <w:r w:rsidR="00C11DEE" w:rsidRPr="00CA2760">
        <w:rPr>
          <w:rFonts w:ascii="Times New Roman" w:eastAsia="Times New Roman" w:hAnsi="Times New Roman" w:cs="Times New Roman"/>
          <w:sz w:val="24"/>
          <w:szCs w:val="24"/>
          <w:lang w:val="pt-BR" w:eastAsia="pt-BR"/>
        </w:rPr>
        <w:t xml:space="preserve"> </w:t>
      </w:r>
      <w:r w:rsidR="003A30C6" w:rsidRPr="00CA2760">
        <w:rPr>
          <w:rFonts w:ascii="Times New Roman" w:eastAsia="Times New Roman" w:hAnsi="Times New Roman" w:cs="Times New Roman"/>
          <w:sz w:val="24"/>
          <w:szCs w:val="24"/>
          <w:lang w:val="pt-BR" w:eastAsia="pt-BR"/>
        </w:rPr>
        <w:t>aumentar</w:t>
      </w:r>
      <w:r w:rsidR="007451C3">
        <w:rPr>
          <w:rFonts w:ascii="Times New Roman" w:eastAsia="Times New Roman" w:hAnsi="Times New Roman" w:cs="Times New Roman"/>
          <w:sz w:val="24"/>
          <w:szCs w:val="24"/>
          <w:lang w:val="pt-BR" w:eastAsia="pt-BR"/>
        </w:rPr>
        <w:t>am</w:t>
      </w:r>
      <w:r w:rsidR="003A30C6" w:rsidRPr="00CA2760">
        <w:rPr>
          <w:rFonts w:ascii="Times New Roman" w:eastAsia="Times New Roman" w:hAnsi="Times New Roman" w:cs="Times New Roman"/>
          <w:sz w:val="24"/>
          <w:szCs w:val="24"/>
          <w:lang w:val="pt-BR" w:eastAsia="pt-BR"/>
        </w:rPr>
        <w:t xml:space="preserve"> </w:t>
      </w:r>
      <w:r w:rsidR="00DF56AF" w:rsidRPr="00CA2760">
        <w:rPr>
          <w:rFonts w:ascii="Times New Roman" w:eastAsia="Times New Roman" w:hAnsi="Times New Roman" w:cs="Times New Roman"/>
          <w:sz w:val="24"/>
          <w:szCs w:val="24"/>
          <w:lang w:val="pt-BR" w:eastAsia="pt-BR"/>
        </w:rPr>
        <w:t xml:space="preserve">em </w:t>
      </w:r>
      <w:r w:rsidR="008E6E10" w:rsidRPr="008E6E10">
        <w:rPr>
          <w:rFonts w:ascii="Times New Roman" w:eastAsia="Times New Roman" w:hAnsi="Times New Roman" w:cs="Times New Roman"/>
          <w:sz w:val="24"/>
          <w:szCs w:val="24"/>
          <w:lang w:val="pt-BR" w:eastAsia="pt-BR"/>
        </w:rPr>
        <w:t>R$858 milhões e R$523 milhões (US$268 milhões e US$163 milhões)</w:t>
      </w:r>
      <w:r w:rsidR="00E12AD7" w:rsidRPr="008E6E10">
        <w:rPr>
          <w:rFonts w:ascii="Times New Roman" w:eastAsia="Times New Roman" w:hAnsi="Times New Roman" w:cs="Times New Roman"/>
          <w:sz w:val="24"/>
          <w:szCs w:val="24"/>
          <w:lang w:val="pt-BR" w:eastAsia="pt-BR"/>
        </w:rPr>
        <w:t>,</w:t>
      </w:r>
      <w:r w:rsidR="00E12AD7" w:rsidRPr="00CA2760">
        <w:rPr>
          <w:rFonts w:ascii="Times New Roman" w:hAnsi="Times New Roman" w:cs="Times New Roman"/>
          <w:sz w:val="24"/>
          <w:szCs w:val="24"/>
          <w:lang w:val="pt-BR"/>
        </w:rPr>
        <w:t xml:space="preserve"> respectivamente. </w:t>
      </w:r>
    </w:p>
    <w:p w14:paraId="4AF4F09F" w14:textId="31A079F9" w:rsidR="00DF56AF" w:rsidRDefault="00DF56AF" w:rsidP="000551EB">
      <w:pPr>
        <w:shd w:val="clear" w:color="auto" w:fill="FFFFFF"/>
        <w:spacing w:after="0" w:line="360" w:lineRule="auto"/>
        <w:rPr>
          <w:rFonts w:ascii="Times New Roman" w:eastAsia="Times New Roman" w:hAnsi="Times New Roman" w:cs="Times New Roman"/>
          <w:sz w:val="24"/>
          <w:szCs w:val="24"/>
          <w:lang w:val="pt-BR" w:eastAsia="pt-BR"/>
        </w:rPr>
      </w:pPr>
      <w:r w:rsidRPr="00CA2760">
        <w:rPr>
          <w:rFonts w:ascii="Times New Roman" w:eastAsia="Times New Roman" w:hAnsi="Times New Roman" w:cs="Times New Roman"/>
          <w:sz w:val="24"/>
          <w:szCs w:val="24"/>
          <w:lang w:val="pt-BR" w:eastAsia="pt-BR"/>
        </w:rPr>
        <w:t xml:space="preserve">No entanto, a taxa de aumento após 2028 cai </w:t>
      </w:r>
      <w:r w:rsidR="00E12AD7" w:rsidRPr="00CA2760">
        <w:rPr>
          <w:rFonts w:ascii="Times New Roman" w:eastAsia="Times New Roman" w:hAnsi="Times New Roman" w:cs="Times New Roman"/>
          <w:sz w:val="24"/>
          <w:szCs w:val="24"/>
          <w:lang w:val="pt-BR" w:eastAsia="pt-BR"/>
        </w:rPr>
        <w:t xml:space="preserve">nos cenários intermediário e pessimista </w:t>
      </w:r>
      <w:r w:rsidRPr="00CA2760">
        <w:rPr>
          <w:rFonts w:ascii="Times New Roman" w:eastAsia="Times New Roman" w:hAnsi="Times New Roman" w:cs="Times New Roman"/>
          <w:sz w:val="24"/>
          <w:szCs w:val="24"/>
          <w:lang w:val="pt-BR" w:eastAsia="pt-BR"/>
        </w:rPr>
        <w:t xml:space="preserve">devido à ascensão </w:t>
      </w:r>
      <w:r w:rsidR="00301473">
        <w:rPr>
          <w:rFonts w:ascii="Times New Roman" w:eastAsia="Times New Roman" w:hAnsi="Times New Roman" w:cs="Times New Roman"/>
          <w:sz w:val="24"/>
          <w:szCs w:val="24"/>
          <w:lang w:val="pt-BR" w:eastAsia="pt-BR"/>
        </w:rPr>
        <w:t xml:space="preserve">real de </w:t>
      </w:r>
      <w:r w:rsidR="00FE06C4">
        <w:rPr>
          <w:rFonts w:ascii="Times New Roman" w:eastAsia="Times New Roman" w:hAnsi="Times New Roman" w:cs="Times New Roman"/>
          <w:sz w:val="24"/>
          <w:szCs w:val="24"/>
          <w:lang w:val="pt-BR" w:eastAsia="pt-BR"/>
        </w:rPr>
        <w:t>2</w:t>
      </w:r>
      <w:r w:rsidR="00301473">
        <w:rPr>
          <w:rFonts w:ascii="Times New Roman" w:eastAsia="Times New Roman" w:hAnsi="Times New Roman" w:cs="Times New Roman"/>
          <w:sz w:val="24"/>
          <w:szCs w:val="24"/>
          <w:lang w:val="pt-BR" w:eastAsia="pt-BR"/>
        </w:rPr>
        <w:t xml:space="preserve">% </w:t>
      </w:r>
      <w:r w:rsidRPr="00CA2760">
        <w:rPr>
          <w:rFonts w:ascii="Times New Roman" w:eastAsia="Times New Roman" w:hAnsi="Times New Roman" w:cs="Times New Roman"/>
          <w:sz w:val="24"/>
          <w:szCs w:val="24"/>
          <w:lang w:val="pt-BR" w:eastAsia="pt-BR"/>
        </w:rPr>
        <w:t xml:space="preserve">em custos operacionais. </w:t>
      </w:r>
      <w:r w:rsidR="00536A93">
        <w:rPr>
          <w:rFonts w:ascii="Times New Roman" w:eastAsia="Times New Roman" w:hAnsi="Times New Roman" w:cs="Times New Roman"/>
          <w:sz w:val="24"/>
          <w:szCs w:val="24"/>
          <w:lang w:val="pt-BR" w:eastAsia="pt-BR"/>
        </w:rPr>
        <w:t xml:space="preserve"> É importante notar o impacto significativo na capitalização do FDU quando utiliza-se apenas 1% para a taxa de crescimento anual real das despesas operacionais</w:t>
      </w:r>
      <w:r w:rsidR="00536A93" w:rsidRPr="00301473">
        <w:rPr>
          <w:rFonts w:ascii="Times New Roman" w:eastAsia="Times New Roman" w:hAnsi="Times New Roman" w:cs="Times New Roman"/>
          <w:sz w:val="24"/>
          <w:szCs w:val="24"/>
          <w:lang w:val="pt-BR" w:eastAsia="pt-BR"/>
        </w:rPr>
        <w:t xml:space="preserve">. </w:t>
      </w:r>
      <w:r w:rsidR="008E6E10" w:rsidRPr="00301473">
        <w:rPr>
          <w:rFonts w:ascii="Times New Roman" w:eastAsia="Times New Roman" w:hAnsi="Times New Roman" w:cs="Times New Roman"/>
          <w:sz w:val="24"/>
          <w:szCs w:val="24"/>
          <w:lang w:val="pt-BR" w:eastAsia="pt-BR"/>
        </w:rPr>
        <w:t>O</w:t>
      </w:r>
      <w:r w:rsidRPr="00301473">
        <w:rPr>
          <w:rFonts w:ascii="Times New Roman" w:eastAsia="Times New Roman" w:hAnsi="Times New Roman" w:cs="Times New Roman"/>
          <w:sz w:val="24"/>
          <w:szCs w:val="24"/>
          <w:lang w:val="pt-BR" w:eastAsia="pt-BR"/>
        </w:rPr>
        <w:t xml:space="preserve"> crescimento </w:t>
      </w:r>
      <w:r w:rsidR="008E6E10" w:rsidRPr="00301473">
        <w:rPr>
          <w:rFonts w:ascii="Times New Roman" w:eastAsia="Times New Roman" w:hAnsi="Times New Roman" w:cs="Times New Roman"/>
          <w:sz w:val="24"/>
          <w:szCs w:val="24"/>
          <w:lang w:val="pt-BR" w:eastAsia="pt-BR"/>
        </w:rPr>
        <w:t xml:space="preserve">descontrolado </w:t>
      </w:r>
      <w:r w:rsidRPr="00301473">
        <w:rPr>
          <w:rFonts w:ascii="Times New Roman" w:eastAsia="Times New Roman" w:hAnsi="Times New Roman" w:cs="Times New Roman"/>
          <w:sz w:val="24"/>
          <w:szCs w:val="24"/>
          <w:lang w:val="pt-BR" w:eastAsia="pt-BR"/>
        </w:rPr>
        <w:t xml:space="preserve">dessas despesas operacionais </w:t>
      </w:r>
      <w:r w:rsidR="008E6E10" w:rsidRPr="00301473">
        <w:rPr>
          <w:rFonts w:ascii="Times New Roman" w:eastAsia="Times New Roman" w:hAnsi="Times New Roman" w:cs="Times New Roman"/>
          <w:sz w:val="24"/>
          <w:szCs w:val="24"/>
          <w:lang w:val="pt-BR" w:eastAsia="pt-BR"/>
        </w:rPr>
        <w:t>representa</w:t>
      </w:r>
      <w:r w:rsidRPr="00301473">
        <w:rPr>
          <w:rFonts w:ascii="Times New Roman" w:eastAsia="Times New Roman" w:hAnsi="Times New Roman" w:cs="Times New Roman"/>
          <w:sz w:val="24"/>
          <w:szCs w:val="24"/>
          <w:lang w:val="pt-BR" w:eastAsia="pt-BR"/>
        </w:rPr>
        <w:t xml:space="preserve"> o maior risco para a sustentabilidade do FDU, dado que as taxas de juros reais do FDU têm sido, normalmente, positivas no passado.</w:t>
      </w:r>
    </w:p>
    <w:p w14:paraId="718F1EEB" w14:textId="0C95CD40" w:rsidR="00A044F9" w:rsidRPr="00CA2760" w:rsidRDefault="00644DFC" w:rsidP="00DB5DD3">
      <w:pPr>
        <w:spacing w:after="0" w:line="240" w:lineRule="auto"/>
        <w:rPr>
          <w:rFonts w:ascii="Times New Roman" w:hAnsi="Times New Roman" w:cs="Times New Roman"/>
          <w:sz w:val="24"/>
          <w:szCs w:val="24"/>
          <w:lang w:val="pt-BR"/>
        </w:rPr>
      </w:pPr>
      <w:bookmarkStart w:id="25" w:name="_Hlk511883879"/>
      <w:r w:rsidRPr="00A47D27">
        <w:rPr>
          <w:rFonts w:ascii="Times New Roman" w:hAnsi="Times New Roman" w:cs="Times New Roman"/>
          <w:sz w:val="24"/>
          <w:szCs w:val="24"/>
          <w:lang w:val="pt-BR"/>
        </w:rPr>
        <w:t>Tabela</w:t>
      </w:r>
      <w:r w:rsidR="00DB5DD3" w:rsidRPr="00A47D27">
        <w:rPr>
          <w:rFonts w:ascii="Times New Roman" w:hAnsi="Times New Roman" w:cs="Times New Roman"/>
          <w:sz w:val="24"/>
          <w:szCs w:val="24"/>
          <w:lang w:val="pt-BR"/>
        </w:rPr>
        <w:t xml:space="preserve"> </w:t>
      </w:r>
      <w:r w:rsidR="003A2464">
        <w:rPr>
          <w:rFonts w:ascii="Times New Roman" w:hAnsi="Times New Roman" w:cs="Times New Roman"/>
          <w:sz w:val="24"/>
          <w:szCs w:val="24"/>
          <w:lang w:val="pt-BR"/>
        </w:rPr>
        <w:t>14</w:t>
      </w:r>
      <w:r w:rsidR="00DB5DD3" w:rsidRPr="00A47D27">
        <w:rPr>
          <w:rFonts w:ascii="Times New Roman" w:hAnsi="Times New Roman" w:cs="Times New Roman"/>
          <w:sz w:val="24"/>
          <w:szCs w:val="24"/>
          <w:lang w:val="pt-BR"/>
        </w:rPr>
        <w:t>.</w:t>
      </w:r>
      <w:r w:rsidR="00DB5DD3" w:rsidRPr="007451C3">
        <w:rPr>
          <w:rFonts w:ascii="Times New Roman" w:hAnsi="Times New Roman" w:cs="Times New Roman"/>
          <w:sz w:val="24"/>
          <w:szCs w:val="24"/>
          <w:lang w:val="pt-BR"/>
        </w:rPr>
        <w:t xml:space="preserve"> </w:t>
      </w:r>
      <w:r w:rsidR="00A25365" w:rsidRPr="007451C3">
        <w:rPr>
          <w:rFonts w:ascii="Times New Roman" w:hAnsi="Times New Roman" w:cs="Times New Roman"/>
          <w:sz w:val="24"/>
          <w:szCs w:val="24"/>
          <w:lang w:val="pt-BR"/>
        </w:rPr>
        <w:t>Resultados</w:t>
      </w:r>
      <w:r w:rsidR="00A25365" w:rsidRPr="000C3BEC">
        <w:rPr>
          <w:rFonts w:ascii="Times New Roman" w:hAnsi="Times New Roman" w:cs="Times New Roman"/>
          <w:sz w:val="24"/>
          <w:szCs w:val="24"/>
          <w:lang w:val="pt-BR"/>
        </w:rPr>
        <w:t xml:space="preserve"> das</w:t>
      </w:r>
      <w:r w:rsidR="00A25365" w:rsidRPr="00CA2760">
        <w:rPr>
          <w:rFonts w:ascii="Times New Roman" w:hAnsi="Times New Roman" w:cs="Times New Roman"/>
          <w:sz w:val="24"/>
          <w:szCs w:val="24"/>
          <w:lang w:val="pt-BR"/>
        </w:rPr>
        <w:t xml:space="preserve"> simulações de</w:t>
      </w:r>
      <w:r w:rsidR="00137CF9" w:rsidRPr="00CA2760">
        <w:rPr>
          <w:rFonts w:ascii="Times New Roman" w:hAnsi="Times New Roman" w:cs="Times New Roman"/>
          <w:sz w:val="24"/>
          <w:szCs w:val="24"/>
          <w:lang w:val="pt-BR"/>
        </w:rPr>
        <w:t xml:space="preserve"> </w:t>
      </w:r>
      <w:r w:rsidR="003A2464">
        <w:rPr>
          <w:rFonts w:ascii="Times New Roman" w:hAnsi="Times New Roman" w:cs="Times New Roman"/>
          <w:sz w:val="24"/>
          <w:szCs w:val="24"/>
          <w:lang w:val="pt-BR"/>
        </w:rPr>
        <w:t>PL</w:t>
      </w:r>
      <w:r w:rsidR="00483D98" w:rsidRPr="00CA2760">
        <w:rPr>
          <w:rFonts w:ascii="Times New Roman" w:hAnsi="Times New Roman" w:cs="Times New Roman"/>
          <w:sz w:val="24"/>
          <w:szCs w:val="24"/>
          <w:lang w:val="pt-BR"/>
        </w:rPr>
        <w:t xml:space="preserve"> e Financiamentos Concedidos aos Municípios: 2018/ 2038</w:t>
      </w:r>
    </w:p>
    <w:tbl>
      <w:tblPr>
        <w:tblW w:w="9781" w:type="dxa"/>
        <w:tblInd w:w="-5" w:type="dxa"/>
        <w:tblLayout w:type="fixed"/>
        <w:tblLook w:val="04A0" w:firstRow="1" w:lastRow="0" w:firstColumn="1" w:lastColumn="0" w:noHBand="0" w:noVBand="1"/>
      </w:tblPr>
      <w:tblGrid>
        <w:gridCol w:w="4251"/>
        <w:gridCol w:w="850"/>
        <w:gridCol w:w="850"/>
        <w:gridCol w:w="851"/>
        <w:gridCol w:w="995"/>
        <w:gridCol w:w="992"/>
        <w:gridCol w:w="992"/>
      </w:tblGrid>
      <w:tr w:rsidR="002A42E0" w:rsidRPr="00C9376D" w14:paraId="4E4D9599" w14:textId="77777777" w:rsidTr="00AE7F59">
        <w:trPr>
          <w:trHeight w:val="300"/>
        </w:trPr>
        <w:tc>
          <w:tcPr>
            <w:tcW w:w="4251" w:type="dxa"/>
            <w:vMerge w:val="restart"/>
            <w:tcBorders>
              <w:top w:val="single" w:sz="4" w:space="0" w:color="auto"/>
              <w:left w:val="single" w:sz="4" w:space="0" w:color="auto"/>
              <w:right w:val="single" w:sz="4" w:space="0" w:color="auto"/>
            </w:tcBorders>
            <w:shd w:val="clear" w:color="000000" w:fill="FFFFFF"/>
            <w:vAlign w:val="center"/>
            <w:hideMark/>
          </w:tcPr>
          <w:p w14:paraId="03C5D3EE" w14:textId="29601DEB" w:rsidR="002A42E0" w:rsidRPr="00C9376D" w:rsidRDefault="002A42E0" w:rsidP="002A42E0">
            <w:pPr>
              <w:spacing w:after="0" w:line="240" w:lineRule="auto"/>
              <w:rPr>
                <w:rFonts w:ascii="Arial" w:eastAsia="Times New Roman" w:hAnsi="Arial" w:cs="Arial"/>
                <w:b/>
                <w:bCs/>
                <w:i/>
                <w:iCs/>
                <w:color w:val="000000"/>
                <w:sz w:val="20"/>
                <w:szCs w:val="20"/>
                <w:lang w:val="pt-BR"/>
              </w:rPr>
            </w:pPr>
            <w:r w:rsidRPr="00C9376D">
              <w:rPr>
                <w:rFonts w:ascii="Arial" w:eastAsia="Times New Roman" w:hAnsi="Arial" w:cs="Arial"/>
                <w:b/>
                <w:bCs/>
                <w:color w:val="000000"/>
                <w:sz w:val="20"/>
                <w:szCs w:val="20"/>
                <w:lang w:val="pt-BR"/>
              </w:rPr>
              <w:t>Variáveis e Cenários</w:t>
            </w:r>
          </w:p>
        </w:tc>
        <w:tc>
          <w:tcPr>
            <w:tcW w:w="850" w:type="dxa"/>
            <w:vMerge w:val="restart"/>
            <w:tcBorders>
              <w:top w:val="single" w:sz="4" w:space="0" w:color="auto"/>
              <w:left w:val="nil"/>
              <w:right w:val="single" w:sz="4" w:space="0" w:color="auto"/>
            </w:tcBorders>
            <w:shd w:val="clear" w:color="000000" w:fill="FFFFFF"/>
            <w:noWrap/>
            <w:vAlign w:val="center"/>
            <w:hideMark/>
          </w:tcPr>
          <w:p w14:paraId="57600DA1" w14:textId="2D80960E" w:rsidR="002A42E0" w:rsidRPr="00C9376D" w:rsidRDefault="002A42E0" w:rsidP="002A42E0">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2018</w:t>
            </w:r>
          </w:p>
        </w:tc>
        <w:tc>
          <w:tcPr>
            <w:tcW w:w="850" w:type="dxa"/>
            <w:vMerge w:val="restart"/>
            <w:tcBorders>
              <w:top w:val="single" w:sz="4" w:space="0" w:color="auto"/>
              <w:left w:val="nil"/>
              <w:right w:val="single" w:sz="4" w:space="0" w:color="auto"/>
            </w:tcBorders>
            <w:shd w:val="clear" w:color="000000" w:fill="FFFFFF"/>
            <w:noWrap/>
            <w:vAlign w:val="center"/>
            <w:hideMark/>
          </w:tcPr>
          <w:p w14:paraId="1AF7ADDC" w14:textId="75218100"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2028</w:t>
            </w:r>
          </w:p>
        </w:tc>
        <w:tc>
          <w:tcPr>
            <w:tcW w:w="851" w:type="dxa"/>
            <w:vMerge w:val="restart"/>
            <w:tcBorders>
              <w:top w:val="single" w:sz="4" w:space="0" w:color="auto"/>
              <w:left w:val="nil"/>
              <w:right w:val="single" w:sz="4" w:space="0" w:color="auto"/>
            </w:tcBorders>
            <w:shd w:val="clear" w:color="000000" w:fill="FFFFFF"/>
            <w:noWrap/>
            <w:vAlign w:val="center"/>
            <w:hideMark/>
          </w:tcPr>
          <w:p w14:paraId="2AD598A1" w14:textId="2A7C1F36"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2038</w:t>
            </w:r>
          </w:p>
        </w:tc>
        <w:tc>
          <w:tcPr>
            <w:tcW w:w="2979"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5E571856" w14:textId="26E74846" w:rsidR="002A42E0" w:rsidRPr="00C9376D" w:rsidRDefault="002A42E0" w:rsidP="00C9376D">
            <w:pPr>
              <w:spacing w:after="0" w:line="240" w:lineRule="auto"/>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Variação 2018/ 2038 </w:t>
            </w:r>
          </w:p>
        </w:tc>
      </w:tr>
      <w:tr w:rsidR="002A42E0" w:rsidRPr="00C9376D" w14:paraId="17A2032B" w14:textId="77777777" w:rsidTr="00AE7F59">
        <w:trPr>
          <w:trHeight w:val="277"/>
        </w:trPr>
        <w:tc>
          <w:tcPr>
            <w:tcW w:w="4251" w:type="dxa"/>
            <w:vMerge/>
            <w:tcBorders>
              <w:left w:val="single" w:sz="4" w:space="0" w:color="auto"/>
              <w:bottom w:val="nil"/>
              <w:right w:val="single" w:sz="4" w:space="0" w:color="auto"/>
            </w:tcBorders>
            <w:shd w:val="clear" w:color="000000" w:fill="FFFFFF"/>
            <w:vAlign w:val="center"/>
            <w:hideMark/>
          </w:tcPr>
          <w:p w14:paraId="1171002D" w14:textId="12A14E40" w:rsidR="002A42E0" w:rsidRPr="00C9376D" w:rsidRDefault="002A42E0" w:rsidP="00C9376D">
            <w:pPr>
              <w:spacing w:after="0" w:line="240" w:lineRule="auto"/>
              <w:rPr>
                <w:rFonts w:ascii="Arial" w:eastAsia="Times New Roman" w:hAnsi="Arial" w:cs="Arial"/>
                <w:b/>
                <w:bCs/>
                <w:color w:val="000000"/>
                <w:sz w:val="20"/>
                <w:szCs w:val="20"/>
                <w:lang w:val="pt-BR"/>
              </w:rPr>
            </w:pPr>
          </w:p>
        </w:tc>
        <w:tc>
          <w:tcPr>
            <w:tcW w:w="850" w:type="dxa"/>
            <w:vMerge/>
            <w:tcBorders>
              <w:left w:val="single" w:sz="4" w:space="0" w:color="auto"/>
              <w:bottom w:val="single" w:sz="4" w:space="0" w:color="auto"/>
              <w:right w:val="single" w:sz="4" w:space="0" w:color="auto"/>
            </w:tcBorders>
            <w:shd w:val="clear" w:color="000000" w:fill="FFFFFF"/>
            <w:noWrap/>
            <w:vAlign w:val="bottom"/>
            <w:hideMark/>
          </w:tcPr>
          <w:p w14:paraId="37207FE9" w14:textId="6A8F0F10"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850" w:type="dxa"/>
            <w:vMerge/>
            <w:tcBorders>
              <w:left w:val="nil"/>
              <w:bottom w:val="single" w:sz="4" w:space="0" w:color="auto"/>
              <w:right w:val="single" w:sz="4" w:space="0" w:color="auto"/>
            </w:tcBorders>
            <w:shd w:val="clear" w:color="000000" w:fill="FFFFFF"/>
            <w:noWrap/>
            <w:vAlign w:val="bottom"/>
            <w:hideMark/>
          </w:tcPr>
          <w:p w14:paraId="74D7E502" w14:textId="0A47C8C2"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851" w:type="dxa"/>
            <w:vMerge/>
            <w:tcBorders>
              <w:left w:val="nil"/>
              <w:bottom w:val="single" w:sz="4" w:space="0" w:color="auto"/>
              <w:right w:val="single" w:sz="4" w:space="0" w:color="auto"/>
            </w:tcBorders>
            <w:shd w:val="clear" w:color="000000" w:fill="FFFFFF"/>
            <w:noWrap/>
            <w:vAlign w:val="bottom"/>
            <w:hideMark/>
          </w:tcPr>
          <w:p w14:paraId="197975FD" w14:textId="2E74008F"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5" w:type="dxa"/>
            <w:tcBorders>
              <w:top w:val="nil"/>
              <w:left w:val="nil"/>
              <w:bottom w:val="single" w:sz="4" w:space="0" w:color="auto"/>
              <w:right w:val="single" w:sz="4" w:space="0" w:color="auto"/>
            </w:tcBorders>
            <w:shd w:val="clear" w:color="000000" w:fill="FFFFFF"/>
            <w:noWrap/>
            <w:vAlign w:val="bottom"/>
            <w:hideMark/>
          </w:tcPr>
          <w:p w14:paraId="63B032EA" w14:textId="77777777" w:rsidR="002A42E0" w:rsidRPr="00C9376D" w:rsidRDefault="002A42E0" w:rsidP="00C9376D">
            <w:pPr>
              <w:spacing w:after="0" w:line="240" w:lineRule="auto"/>
              <w:jc w:val="center"/>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Absoluto</w:t>
            </w:r>
          </w:p>
        </w:tc>
        <w:tc>
          <w:tcPr>
            <w:tcW w:w="992" w:type="dxa"/>
            <w:tcBorders>
              <w:top w:val="nil"/>
              <w:left w:val="nil"/>
              <w:bottom w:val="single" w:sz="4" w:space="0" w:color="auto"/>
              <w:right w:val="single" w:sz="4" w:space="0" w:color="auto"/>
            </w:tcBorders>
            <w:shd w:val="clear" w:color="000000" w:fill="FFFFFF"/>
            <w:noWrap/>
            <w:vAlign w:val="bottom"/>
            <w:hideMark/>
          </w:tcPr>
          <w:p w14:paraId="799E2A33" w14:textId="77777777" w:rsidR="002A42E0" w:rsidRPr="00C9376D" w:rsidRDefault="002A42E0" w:rsidP="00C9376D">
            <w:pPr>
              <w:spacing w:after="0" w:line="240" w:lineRule="auto"/>
              <w:jc w:val="center"/>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w:t>
            </w:r>
          </w:p>
        </w:tc>
        <w:tc>
          <w:tcPr>
            <w:tcW w:w="992" w:type="dxa"/>
            <w:tcBorders>
              <w:top w:val="nil"/>
              <w:left w:val="nil"/>
              <w:bottom w:val="single" w:sz="4" w:space="0" w:color="auto"/>
              <w:right w:val="single" w:sz="4" w:space="0" w:color="auto"/>
            </w:tcBorders>
            <w:shd w:val="clear" w:color="000000" w:fill="FFFFFF"/>
            <w:noWrap/>
            <w:vAlign w:val="bottom"/>
            <w:hideMark/>
          </w:tcPr>
          <w:p w14:paraId="43C5D5A5" w14:textId="77777777" w:rsidR="002A42E0" w:rsidRPr="00C9376D" w:rsidRDefault="002A42E0" w:rsidP="00C9376D">
            <w:pPr>
              <w:spacing w:after="0" w:line="240" w:lineRule="auto"/>
              <w:jc w:val="center"/>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 anual</w:t>
            </w:r>
          </w:p>
        </w:tc>
      </w:tr>
      <w:tr w:rsidR="002A42E0" w:rsidRPr="00C9376D" w14:paraId="0BEF1FAB" w14:textId="77777777" w:rsidTr="00AE7F59">
        <w:trPr>
          <w:trHeight w:val="288"/>
        </w:trPr>
        <w:tc>
          <w:tcPr>
            <w:tcW w:w="42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60557F" w14:textId="77777777" w:rsidR="002A42E0" w:rsidRPr="00C9376D" w:rsidRDefault="002A42E0" w:rsidP="002A42E0">
            <w:pPr>
              <w:spacing w:after="0" w:line="240" w:lineRule="auto"/>
              <w:rPr>
                <w:rFonts w:ascii="Arial" w:eastAsia="Times New Roman" w:hAnsi="Arial" w:cs="Arial"/>
                <w:b/>
                <w:bCs/>
                <w:i/>
                <w:iCs/>
                <w:color w:val="000000"/>
                <w:sz w:val="20"/>
                <w:szCs w:val="20"/>
                <w:lang w:val="pt-BR"/>
              </w:rPr>
            </w:pPr>
            <w:r w:rsidRPr="00C9376D">
              <w:rPr>
                <w:rFonts w:ascii="Arial" w:eastAsia="Times New Roman" w:hAnsi="Arial" w:cs="Arial"/>
                <w:b/>
                <w:bCs/>
                <w:i/>
                <w:iCs/>
                <w:color w:val="000000"/>
                <w:sz w:val="20"/>
                <w:szCs w:val="20"/>
                <w:lang w:val="pt-BR"/>
              </w:rPr>
              <w:t>Patrimônio Líquido</w:t>
            </w:r>
          </w:p>
        </w:tc>
        <w:tc>
          <w:tcPr>
            <w:tcW w:w="850" w:type="dxa"/>
            <w:tcBorders>
              <w:top w:val="nil"/>
              <w:left w:val="nil"/>
              <w:bottom w:val="single" w:sz="4" w:space="0" w:color="auto"/>
              <w:right w:val="single" w:sz="4" w:space="0" w:color="auto"/>
            </w:tcBorders>
            <w:shd w:val="clear" w:color="000000" w:fill="FFFFFF"/>
            <w:noWrap/>
            <w:vAlign w:val="bottom"/>
            <w:hideMark/>
          </w:tcPr>
          <w:p w14:paraId="33BCD0EA" w14:textId="04712A5E" w:rsidR="002A42E0" w:rsidRPr="00C9376D" w:rsidRDefault="002A42E0" w:rsidP="002A42E0">
            <w:pPr>
              <w:spacing w:after="0" w:line="240" w:lineRule="auto"/>
              <w:rPr>
                <w:rFonts w:ascii="Arial" w:eastAsia="Times New Roman" w:hAnsi="Arial" w:cs="Arial"/>
                <w:color w:val="000000"/>
                <w:sz w:val="20"/>
                <w:szCs w:val="20"/>
                <w:lang w:val="pt-BR"/>
              </w:rPr>
            </w:pPr>
          </w:p>
        </w:tc>
        <w:tc>
          <w:tcPr>
            <w:tcW w:w="850" w:type="dxa"/>
            <w:tcBorders>
              <w:top w:val="nil"/>
              <w:left w:val="nil"/>
              <w:bottom w:val="single" w:sz="4" w:space="0" w:color="auto"/>
              <w:right w:val="single" w:sz="4" w:space="0" w:color="auto"/>
            </w:tcBorders>
            <w:shd w:val="clear" w:color="000000" w:fill="FFFFFF"/>
            <w:noWrap/>
            <w:vAlign w:val="bottom"/>
            <w:hideMark/>
          </w:tcPr>
          <w:p w14:paraId="6DA76A6F" w14:textId="0472FD2B" w:rsidR="002A42E0" w:rsidRPr="00C9376D" w:rsidRDefault="002A42E0" w:rsidP="00C9376D">
            <w:pPr>
              <w:spacing w:after="0" w:line="240" w:lineRule="auto"/>
              <w:rPr>
                <w:rFonts w:ascii="Arial" w:eastAsia="Times New Roman" w:hAnsi="Arial" w:cs="Arial"/>
                <w:color w:val="000000"/>
                <w:sz w:val="20"/>
                <w:szCs w:val="20"/>
                <w:lang w:val="pt-BR"/>
              </w:rPr>
            </w:pPr>
          </w:p>
        </w:tc>
        <w:tc>
          <w:tcPr>
            <w:tcW w:w="851" w:type="dxa"/>
            <w:tcBorders>
              <w:top w:val="nil"/>
              <w:left w:val="nil"/>
              <w:bottom w:val="single" w:sz="4" w:space="0" w:color="auto"/>
              <w:right w:val="single" w:sz="4" w:space="0" w:color="auto"/>
            </w:tcBorders>
            <w:shd w:val="clear" w:color="000000" w:fill="FFFFFF"/>
            <w:noWrap/>
            <w:vAlign w:val="bottom"/>
            <w:hideMark/>
          </w:tcPr>
          <w:p w14:paraId="4AAB24D3" w14:textId="4A6703C2" w:rsidR="002A42E0" w:rsidRPr="00C9376D" w:rsidRDefault="002A42E0" w:rsidP="00C9376D">
            <w:pPr>
              <w:spacing w:after="0" w:line="240" w:lineRule="auto"/>
              <w:rPr>
                <w:rFonts w:ascii="Arial" w:eastAsia="Times New Roman" w:hAnsi="Arial" w:cs="Arial"/>
                <w:color w:val="000000"/>
                <w:sz w:val="20"/>
                <w:szCs w:val="20"/>
                <w:lang w:val="pt-BR"/>
              </w:rPr>
            </w:pPr>
          </w:p>
        </w:tc>
        <w:tc>
          <w:tcPr>
            <w:tcW w:w="995" w:type="dxa"/>
            <w:tcBorders>
              <w:top w:val="nil"/>
              <w:left w:val="nil"/>
              <w:bottom w:val="single" w:sz="4" w:space="0" w:color="auto"/>
              <w:right w:val="single" w:sz="4" w:space="0" w:color="auto"/>
            </w:tcBorders>
            <w:shd w:val="clear" w:color="000000" w:fill="FFFFFF"/>
            <w:noWrap/>
            <w:vAlign w:val="bottom"/>
            <w:hideMark/>
          </w:tcPr>
          <w:p w14:paraId="22B0A046" w14:textId="6D07F899" w:rsidR="002A42E0" w:rsidRPr="00C9376D" w:rsidRDefault="002A42E0" w:rsidP="00C9376D">
            <w:pPr>
              <w:spacing w:after="0" w:line="240" w:lineRule="auto"/>
              <w:jc w:val="center"/>
              <w:rPr>
                <w:rFonts w:ascii="Arial" w:eastAsia="Times New Roman" w:hAnsi="Arial" w:cs="Arial"/>
                <w:color w:val="000000"/>
                <w:sz w:val="20"/>
                <w:szCs w:val="20"/>
                <w:lang w:val="pt-BR"/>
              </w:rPr>
            </w:pPr>
          </w:p>
        </w:tc>
        <w:tc>
          <w:tcPr>
            <w:tcW w:w="992" w:type="dxa"/>
            <w:tcBorders>
              <w:top w:val="nil"/>
              <w:left w:val="nil"/>
              <w:bottom w:val="single" w:sz="4" w:space="0" w:color="auto"/>
              <w:right w:val="single" w:sz="4" w:space="0" w:color="auto"/>
            </w:tcBorders>
            <w:shd w:val="clear" w:color="000000" w:fill="FFFFFF"/>
            <w:noWrap/>
            <w:vAlign w:val="bottom"/>
            <w:hideMark/>
          </w:tcPr>
          <w:p w14:paraId="6D016D4D" w14:textId="65D8FE97" w:rsidR="002A42E0" w:rsidRPr="00C9376D" w:rsidRDefault="002A42E0" w:rsidP="00C9376D">
            <w:pPr>
              <w:spacing w:after="0" w:line="240" w:lineRule="auto"/>
              <w:jc w:val="center"/>
              <w:rPr>
                <w:rFonts w:ascii="Arial" w:eastAsia="Times New Roman" w:hAnsi="Arial" w:cs="Arial"/>
                <w:color w:val="000000"/>
                <w:sz w:val="20"/>
                <w:szCs w:val="20"/>
                <w:lang w:val="pt-BR"/>
              </w:rPr>
            </w:pPr>
          </w:p>
        </w:tc>
        <w:tc>
          <w:tcPr>
            <w:tcW w:w="992" w:type="dxa"/>
            <w:tcBorders>
              <w:top w:val="nil"/>
              <w:left w:val="nil"/>
              <w:bottom w:val="single" w:sz="4" w:space="0" w:color="auto"/>
              <w:right w:val="single" w:sz="4" w:space="0" w:color="auto"/>
            </w:tcBorders>
            <w:shd w:val="clear" w:color="000000" w:fill="FFFFFF"/>
            <w:noWrap/>
            <w:vAlign w:val="bottom"/>
            <w:hideMark/>
          </w:tcPr>
          <w:p w14:paraId="6ACB14F0" w14:textId="50ABCE2E" w:rsidR="002A42E0" w:rsidRPr="00C9376D" w:rsidRDefault="002A42E0" w:rsidP="00C9376D">
            <w:pPr>
              <w:spacing w:after="0" w:line="240" w:lineRule="auto"/>
              <w:jc w:val="center"/>
              <w:rPr>
                <w:rFonts w:ascii="Arial" w:eastAsia="Times New Roman" w:hAnsi="Arial" w:cs="Arial"/>
                <w:color w:val="000000"/>
                <w:sz w:val="20"/>
                <w:szCs w:val="20"/>
                <w:lang w:val="pt-BR"/>
              </w:rPr>
            </w:pPr>
          </w:p>
        </w:tc>
      </w:tr>
      <w:tr w:rsidR="002A42E0" w:rsidRPr="00615EB6" w14:paraId="202B0A0B" w14:textId="77777777" w:rsidTr="00AE7F59">
        <w:trPr>
          <w:trHeight w:val="257"/>
        </w:trPr>
        <w:tc>
          <w:tcPr>
            <w:tcW w:w="4251" w:type="dxa"/>
            <w:tcBorders>
              <w:top w:val="nil"/>
              <w:left w:val="single" w:sz="4" w:space="0" w:color="auto"/>
              <w:bottom w:val="single" w:sz="4" w:space="0" w:color="auto"/>
              <w:right w:val="single" w:sz="4" w:space="0" w:color="auto"/>
            </w:tcBorders>
            <w:shd w:val="clear" w:color="auto" w:fill="auto"/>
            <w:vAlign w:val="center"/>
            <w:hideMark/>
          </w:tcPr>
          <w:p w14:paraId="6F9EACEC" w14:textId="77777777" w:rsidR="002A42E0" w:rsidRPr="00C9376D" w:rsidRDefault="002A42E0" w:rsidP="002A42E0">
            <w:pPr>
              <w:spacing w:after="0" w:line="240" w:lineRule="auto"/>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Em R$ milhões valores constantes de 2017</w:t>
            </w:r>
          </w:p>
        </w:tc>
        <w:tc>
          <w:tcPr>
            <w:tcW w:w="850" w:type="dxa"/>
            <w:tcBorders>
              <w:top w:val="nil"/>
              <w:left w:val="nil"/>
              <w:bottom w:val="single" w:sz="4" w:space="0" w:color="auto"/>
              <w:right w:val="single" w:sz="4" w:space="0" w:color="auto"/>
            </w:tcBorders>
            <w:shd w:val="clear" w:color="000000" w:fill="FFFFFF"/>
            <w:noWrap/>
            <w:vAlign w:val="bottom"/>
            <w:hideMark/>
          </w:tcPr>
          <w:p w14:paraId="355CD6B7" w14:textId="6A11A70E" w:rsidR="002A42E0" w:rsidRPr="00C9376D" w:rsidRDefault="002A42E0" w:rsidP="002A42E0">
            <w:pPr>
              <w:spacing w:after="0" w:line="240" w:lineRule="auto"/>
              <w:rPr>
                <w:rFonts w:ascii="Arial" w:eastAsia="Times New Roman" w:hAnsi="Arial" w:cs="Arial"/>
                <w:color w:val="000000"/>
                <w:sz w:val="20"/>
                <w:szCs w:val="20"/>
                <w:lang w:val="pt-BR"/>
              </w:rPr>
            </w:pPr>
          </w:p>
        </w:tc>
        <w:tc>
          <w:tcPr>
            <w:tcW w:w="850" w:type="dxa"/>
            <w:tcBorders>
              <w:top w:val="nil"/>
              <w:left w:val="nil"/>
              <w:bottom w:val="single" w:sz="4" w:space="0" w:color="auto"/>
              <w:right w:val="single" w:sz="4" w:space="0" w:color="auto"/>
            </w:tcBorders>
            <w:shd w:val="clear" w:color="000000" w:fill="FFFFFF"/>
            <w:noWrap/>
            <w:vAlign w:val="bottom"/>
            <w:hideMark/>
          </w:tcPr>
          <w:p w14:paraId="45A6036C" w14:textId="4242B6F4" w:rsidR="002A42E0" w:rsidRPr="00C9376D" w:rsidRDefault="002A42E0" w:rsidP="00C9376D">
            <w:pPr>
              <w:spacing w:after="0" w:line="240" w:lineRule="auto"/>
              <w:rPr>
                <w:rFonts w:ascii="Arial" w:eastAsia="Times New Roman" w:hAnsi="Arial" w:cs="Arial"/>
                <w:color w:val="000000"/>
                <w:sz w:val="20"/>
                <w:szCs w:val="20"/>
                <w:lang w:val="pt-BR"/>
              </w:rPr>
            </w:pPr>
          </w:p>
        </w:tc>
        <w:tc>
          <w:tcPr>
            <w:tcW w:w="851" w:type="dxa"/>
            <w:tcBorders>
              <w:top w:val="nil"/>
              <w:left w:val="nil"/>
              <w:bottom w:val="single" w:sz="4" w:space="0" w:color="auto"/>
              <w:right w:val="single" w:sz="4" w:space="0" w:color="auto"/>
            </w:tcBorders>
            <w:shd w:val="clear" w:color="000000" w:fill="FFFFFF"/>
            <w:noWrap/>
            <w:vAlign w:val="bottom"/>
            <w:hideMark/>
          </w:tcPr>
          <w:p w14:paraId="0CDE1104" w14:textId="14717394" w:rsidR="002A42E0" w:rsidRPr="00C9376D" w:rsidRDefault="002A42E0" w:rsidP="00C9376D">
            <w:pPr>
              <w:spacing w:after="0" w:line="240" w:lineRule="auto"/>
              <w:rPr>
                <w:rFonts w:ascii="Arial" w:eastAsia="Times New Roman" w:hAnsi="Arial" w:cs="Arial"/>
                <w:color w:val="000000"/>
                <w:sz w:val="20"/>
                <w:szCs w:val="20"/>
                <w:lang w:val="pt-BR"/>
              </w:rPr>
            </w:pPr>
          </w:p>
        </w:tc>
        <w:tc>
          <w:tcPr>
            <w:tcW w:w="995" w:type="dxa"/>
            <w:tcBorders>
              <w:top w:val="nil"/>
              <w:left w:val="nil"/>
              <w:bottom w:val="single" w:sz="4" w:space="0" w:color="auto"/>
              <w:right w:val="single" w:sz="4" w:space="0" w:color="auto"/>
            </w:tcBorders>
            <w:shd w:val="clear" w:color="000000" w:fill="FFFFFF"/>
            <w:noWrap/>
            <w:vAlign w:val="bottom"/>
            <w:hideMark/>
          </w:tcPr>
          <w:p w14:paraId="3E3F8492" w14:textId="5F6BAC70" w:rsidR="002A42E0" w:rsidRPr="00C9376D" w:rsidRDefault="002A42E0" w:rsidP="00C9376D">
            <w:pPr>
              <w:spacing w:after="0" w:line="240" w:lineRule="auto"/>
              <w:rPr>
                <w:rFonts w:ascii="Arial" w:eastAsia="Times New Roman" w:hAnsi="Arial" w:cs="Arial"/>
                <w:color w:val="000000"/>
                <w:sz w:val="20"/>
                <w:szCs w:val="20"/>
                <w:lang w:val="pt-BR"/>
              </w:rPr>
            </w:pPr>
          </w:p>
        </w:tc>
        <w:tc>
          <w:tcPr>
            <w:tcW w:w="992" w:type="dxa"/>
            <w:tcBorders>
              <w:top w:val="nil"/>
              <w:left w:val="nil"/>
              <w:bottom w:val="single" w:sz="4" w:space="0" w:color="auto"/>
              <w:right w:val="single" w:sz="4" w:space="0" w:color="auto"/>
            </w:tcBorders>
            <w:shd w:val="clear" w:color="000000" w:fill="FFFFFF"/>
            <w:noWrap/>
            <w:vAlign w:val="bottom"/>
            <w:hideMark/>
          </w:tcPr>
          <w:p w14:paraId="25CD9EC5" w14:textId="40C31CF4" w:rsidR="002A42E0" w:rsidRPr="00C9376D" w:rsidRDefault="002A42E0" w:rsidP="00C9376D">
            <w:pPr>
              <w:spacing w:after="0" w:line="240" w:lineRule="auto"/>
              <w:rPr>
                <w:rFonts w:ascii="Arial" w:eastAsia="Times New Roman" w:hAnsi="Arial" w:cs="Arial"/>
                <w:color w:val="000000"/>
                <w:sz w:val="20"/>
                <w:szCs w:val="20"/>
                <w:lang w:val="pt-BR"/>
              </w:rPr>
            </w:pPr>
          </w:p>
        </w:tc>
        <w:tc>
          <w:tcPr>
            <w:tcW w:w="992" w:type="dxa"/>
            <w:tcBorders>
              <w:top w:val="nil"/>
              <w:left w:val="nil"/>
              <w:bottom w:val="single" w:sz="4" w:space="0" w:color="auto"/>
              <w:right w:val="single" w:sz="4" w:space="0" w:color="auto"/>
            </w:tcBorders>
            <w:shd w:val="clear" w:color="000000" w:fill="FFFFFF"/>
            <w:noWrap/>
            <w:vAlign w:val="bottom"/>
            <w:hideMark/>
          </w:tcPr>
          <w:p w14:paraId="5C50BB37" w14:textId="183A956F" w:rsidR="002A42E0" w:rsidRPr="00C9376D" w:rsidRDefault="002A42E0" w:rsidP="00C9376D">
            <w:pPr>
              <w:spacing w:after="0" w:line="240" w:lineRule="auto"/>
              <w:rPr>
                <w:rFonts w:ascii="Arial" w:eastAsia="Times New Roman" w:hAnsi="Arial" w:cs="Arial"/>
                <w:color w:val="000000"/>
                <w:sz w:val="20"/>
                <w:szCs w:val="20"/>
                <w:lang w:val="pt-BR"/>
              </w:rPr>
            </w:pPr>
          </w:p>
        </w:tc>
      </w:tr>
      <w:tr w:rsidR="002A42E0" w:rsidRPr="00C9376D" w14:paraId="5B77D7CD" w14:textId="77777777" w:rsidTr="00AE7F59">
        <w:trPr>
          <w:trHeight w:val="288"/>
        </w:trPr>
        <w:tc>
          <w:tcPr>
            <w:tcW w:w="4251" w:type="dxa"/>
            <w:tcBorders>
              <w:top w:val="nil"/>
              <w:left w:val="single" w:sz="4" w:space="0" w:color="auto"/>
              <w:bottom w:val="single" w:sz="4" w:space="0" w:color="auto"/>
              <w:right w:val="single" w:sz="4" w:space="0" w:color="auto"/>
            </w:tcBorders>
            <w:shd w:val="clear" w:color="000000" w:fill="FFFFFF"/>
            <w:vAlign w:val="bottom"/>
            <w:hideMark/>
          </w:tcPr>
          <w:p w14:paraId="2E2D1267" w14:textId="77777777" w:rsidR="002A42E0" w:rsidRPr="00C9376D" w:rsidRDefault="002A42E0" w:rsidP="002A42E0">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Optimista</w:t>
            </w:r>
          </w:p>
        </w:tc>
        <w:tc>
          <w:tcPr>
            <w:tcW w:w="850" w:type="dxa"/>
            <w:tcBorders>
              <w:top w:val="nil"/>
              <w:left w:val="nil"/>
              <w:bottom w:val="single" w:sz="4" w:space="0" w:color="auto"/>
              <w:right w:val="single" w:sz="4" w:space="0" w:color="auto"/>
            </w:tcBorders>
            <w:shd w:val="clear" w:color="000000" w:fill="FFFFFF"/>
            <w:noWrap/>
            <w:vAlign w:val="bottom"/>
            <w:hideMark/>
          </w:tcPr>
          <w:p w14:paraId="1227BB0F" w14:textId="1A942819"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1.465</w:t>
            </w:r>
          </w:p>
        </w:tc>
        <w:tc>
          <w:tcPr>
            <w:tcW w:w="850" w:type="dxa"/>
            <w:tcBorders>
              <w:top w:val="nil"/>
              <w:left w:val="nil"/>
              <w:bottom w:val="single" w:sz="4" w:space="0" w:color="auto"/>
              <w:right w:val="single" w:sz="4" w:space="0" w:color="auto"/>
            </w:tcBorders>
            <w:shd w:val="clear" w:color="000000" w:fill="FFFFFF"/>
            <w:noWrap/>
            <w:vAlign w:val="bottom"/>
            <w:hideMark/>
          </w:tcPr>
          <w:p w14:paraId="193FE66C" w14:textId="7F995AA2"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2.500</w:t>
            </w:r>
          </w:p>
        </w:tc>
        <w:tc>
          <w:tcPr>
            <w:tcW w:w="851" w:type="dxa"/>
            <w:tcBorders>
              <w:top w:val="nil"/>
              <w:left w:val="nil"/>
              <w:bottom w:val="single" w:sz="4" w:space="0" w:color="auto"/>
              <w:right w:val="single" w:sz="4" w:space="0" w:color="auto"/>
            </w:tcBorders>
            <w:shd w:val="clear" w:color="000000" w:fill="FFFFFF"/>
            <w:noWrap/>
            <w:vAlign w:val="bottom"/>
            <w:hideMark/>
          </w:tcPr>
          <w:p w14:paraId="43778B03" w14:textId="5B9128A8"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3.659</w:t>
            </w:r>
          </w:p>
        </w:tc>
        <w:tc>
          <w:tcPr>
            <w:tcW w:w="995" w:type="dxa"/>
            <w:tcBorders>
              <w:top w:val="nil"/>
              <w:left w:val="nil"/>
              <w:bottom w:val="single" w:sz="4" w:space="0" w:color="auto"/>
              <w:right w:val="single" w:sz="4" w:space="0" w:color="auto"/>
            </w:tcBorders>
            <w:shd w:val="clear" w:color="000000" w:fill="FFFFFF"/>
            <w:noWrap/>
            <w:vAlign w:val="bottom"/>
            <w:hideMark/>
          </w:tcPr>
          <w:p w14:paraId="5C1CBA65" w14:textId="487E5045"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2.195</w:t>
            </w:r>
          </w:p>
        </w:tc>
        <w:tc>
          <w:tcPr>
            <w:tcW w:w="992" w:type="dxa"/>
            <w:tcBorders>
              <w:top w:val="nil"/>
              <w:left w:val="nil"/>
              <w:bottom w:val="single" w:sz="4" w:space="0" w:color="auto"/>
              <w:right w:val="single" w:sz="4" w:space="0" w:color="auto"/>
            </w:tcBorders>
            <w:shd w:val="clear" w:color="000000" w:fill="FFFFFF"/>
            <w:noWrap/>
            <w:vAlign w:val="bottom"/>
            <w:hideMark/>
          </w:tcPr>
          <w:p w14:paraId="55279965"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149,8%</w:t>
            </w:r>
          </w:p>
        </w:tc>
        <w:tc>
          <w:tcPr>
            <w:tcW w:w="992" w:type="dxa"/>
            <w:tcBorders>
              <w:top w:val="nil"/>
              <w:left w:val="nil"/>
              <w:bottom w:val="single" w:sz="4" w:space="0" w:color="auto"/>
              <w:right w:val="single" w:sz="4" w:space="0" w:color="auto"/>
            </w:tcBorders>
            <w:shd w:val="clear" w:color="000000" w:fill="FFFFFF"/>
            <w:noWrap/>
            <w:vAlign w:val="bottom"/>
            <w:hideMark/>
          </w:tcPr>
          <w:p w14:paraId="6B349653"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4,7%</w:t>
            </w:r>
          </w:p>
        </w:tc>
      </w:tr>
      <w:tr w:rsidR="002A42E0" w:rsidRPr="00C9376D" w14:paraId="791C9C5A" w14:textId="77777777" w:rsidTr="00AE7F59">
        <w:trPr>
          <w:trHeight w:val="288"/>
        </w:trPr>
        <w:tc>
          <w:tcPr>
            <w:tcW w:w="4251" w:type="dxa"/>
            <w:tcBorders>
              <w:top w:val="nil"/>
              <w:left w:val="single" w:sz="4" w:space="0" w:color="auto"/>
              <w:bottom w:val="single" w:sz="4" w:space="0" w:color="auto"/>
              <w:right w:val="single" w:sz="4" w:space="0" w:color="auto"/>
            </w:tcBorders>
            <w:shd w:val="clear" w:color="000000" w:fill="FFFFFF"/>
            <w:vAlign w:val="bottom"/>
            <w:hideMark/>
          </w:tcPr>
          <w:p w14:paraId="1F9EB1CF" w14:textId="77777777" w:rsidR="002A42E0" w:rsidRPr="00C9376D" w:rsidRDefault="002A42E0" w:rsidP="002A42E0">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Intermediário</w:t>
            </w:r>
          </w:p>
        </w:tc>
        <w:tc>
          <w:tcPr>
            <w:tcW w:w="850" w:type="dxa"/>
            <w:tcBorders>
              <w:top w:val="nil"/>
              <w:left w:val="nil"/>
              <w:bottom w:val="single" w:sz="4" w:space="0" w:color="auto"/>
              <w:right w:val="single" w:sz="4" w:space="0" w:color="auto"/>
            </w:tcBorders>
            <w:shd w:val="clear" w:color="000000" w:fill="FFFFFF"/>
            <w:noWrap/>
            <w:vAlign w:val="bottom"/>
            <w:hideMark/>
          </w:tcPr>
          <w:p w14:paraId="26181FFA" w14:textId="7D6CE545"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1.465</w:t>
            </w:r>
          </w:p>
        </w:tc>
        <w:tc>
          <w:tcPr>
            <w:tcW w:w="850" w:type="dxa"/>
            <w:tcBorders>
              <w:top w:val="nil"/>
              <w:left w:val="nil"/>
              <w:bottom w:val="single" w:sz="4" w:space="0" w:color="auto"/>
              <w:right w:val="single" w:sz="4" w:space="0" w:color="auto"/>
            </w:tcBorders>
            <w:shd w:val="clear" w:color="000000" w:fill="FFFFFF"/>
            <w:noWrap/>
            <w:vAlign w:val="bottom"/>
            <w:hideMark/>
          </w:tcPr>
          <w:p w14:paraId="068F8221" w14:textId="407C7D60"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2.221</w:t>
            </w:r>
          </w:p>
        </w:tc>
        <w:tc>
          <w:tcPr>
            <w:tcW w:w="851" w:type="dxa"/>
            <w:tcBorders>
              <w:top w:val="nil"/>
              <w:left w:val="nil"/>
              <w:bottom w:val="single" w:sz="4" w:space="0" w:color="auto"/>
              <w:right w:val="single" w:sz="4" w:space="0" w:color="auto"/>
            </w:tcBorders>
            <w:shd w:val="clear" w:color="000000" w:fill="FFFFFF"/>
            <w:noWrap/>
            <w:vAlign w:val="bottom"/>
            <w:hideMark/>
          </w:tcPr>
          <w:p w14:paraId="4A7FEA54" w14:textId="171C99B3"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2.854</w:t>
            </w:r>
          </w:p>
        </w:tc>
        <w:tc>
          <w:tcPr>
            <w:tcW w:w="995" w:type="dxa"/>
            <w:tcBorders>
              <w:top w:val="nil"/>
              <w:left w:val="nil"/>
              <w:bottom w:val="single" w:sz="4" w:space="0" w:color="auto"/>
              <w:right w:val="single" w:sz="4" w:space="0" w:color="auto"/>
            </w:tcBorders>
            <w:shd w:val="clear" w:color="000000" w:fill="FFFFFF"/>
            <w:noWrap/>
            <w:vAlign w:val="bottom"/>
            <w:hideMark/>
          </w:tcPr>
          <w:p w14:paraId="284D7727" w14:textId="41C7726A"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1.389</w:t>
            </w:r>
          </w:p>
        </w:tc>
        <w:tc>
          <w:tcPr>
            <w:tcW w:w="992" w:type="dxa"/>
            <w:tcBorders>
              <w:top w:val="nil"/>
              <w:left w:val="nil"/>
              <w:bottom w:val="single" w:sz="4" w:space="0" w:color="auto"/>
              <w:right w:val="single" w:sz="4" w:space="0" w:color="auto"/>
            </w:tcBorders>
            <w:shd w:val="clear" w:color="000000" w:fill="FFFFFF"/>
            <w:noWrap/>
            <w:vAlign w:val="bottom"/>
            <w:hideMark/>
          </w:tcPr>
          <w:p w14:paraId="3EE0D674"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94,8%</w:t>
            </w:r>
          </w:p>
        </w:tc>
        <w:tc>
          <w:tcPr>
            <w:tcW w:w="992" w:type="dxa"/>
            <w:tcBorders>
              <w:top w:val="nil"/>
              <w:left w:val="nil"/>
              <w:bottom w:val="single" w:sz="4" w:space="0" w:color="auto"/>
              <w:right w:val="single" w:sz="4" w:space="0" w:color="auto"/>
            </w:tcBorders>
            <w:shd w:val="clear" w:color="000000" w:fill="FFFFFF"/>
            <w:noWrap/>
            <w:vAlign w:val="bottom"/>
            <w:hideMark/>
          </w:tcPr>
          <w:p w14:paraId="528FFE53"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3,4%</w:t>
            </w:r>
          </w:p>
        </w:tc>
      </w:tr>
      <w:tr w:rsidR="002A42E0" w:rsidRPr="00C9376D" w14:paraId="41BD53D9" w14:textId="77777777" w:rsidTr="00AE7F59">
        <w:trPr>
          <w:trHeight w:val="288"/>
        </w:trPr>
        <w:tc>
          <w:tcPr>
            <w:tcW w:w="4251" w:type="dxa"/>
            <w:tcBorders>
              <w:top w:val="nil"/>
              <w:left w:val="single" w:sz="4" w:space="0" w:color="auto"/>
              <w:bottom w:val="single" w:sz="4" w:space="0" w:color="auto"/>
              <w:right w:val="single" w:sz="4" w:space="0" w:color="auto"/>
            </w:tcBorders>
            <w:shd w:val="clear" w:color="000000" w:fill="FFFFFF"/>
            <w:vAlign w:val="bottom"/>
            <w:hideMark/>
          </w:tcPr>
          <w:p w14:paraId="59A71F9B" w14:textId="77777777" w:rsidR="002A42E0" w:rsidRPr="00C9376D" w:rsidRDefault="002A42E0" w:rsidP="002A42E0">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Pessimista</w:t>
            </w:r>
          </w:p>
        </w:tc>
        <w:tc>
          <w:tcPr>
            <w:tcW w:w="850" w:type="dxa"/>
            <w:tcBorders>
              <w:top w:val="nil"/>
              <w:left w:val="nil"/>
              <w:bottom w:val="single" w:sz="4" w:space="0" w:color="auto"/>
              <w:right w:val="single" w:sz="4" w:space="0" w:color="auto"/>
            </w:tcBorders>
            <w:shd w:val="clear" w:color="000000" w:fill="FFFFFF"/>
            <w:noWrap/>
            <w:vAlign w:val="bottom"/>
            <w:hideMark/>
          </w:tcPr>
          <w:p w14:paraId="7B746156" w14:textId="29D1F40B"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1.465</w:t>
            </w:r>
          </w:p>
        </w:tc>
        <w:tc>
          <w:tcPr>
            <w:tcW w:w="850" w:type="dxa"/>
            <w:tcBorders>
              <w:top w:val="nil"/>
              <w:left w:val="nil"/>
              <w:bottom w:val="single" w:sz="4" w:space="0" w:color="auto"/>
              <w:right w:val="single" w:sz="4" w:space="0" w:color="auto"/>
            </w:tcBorders>
            <w:shd w:val="clear" w:color="000000" w:fill="FFFFFF"/>
            <w:noWrap/>
            <w:vAlign w:val="bottom"/>
            <w:hideMark/>
          </w:tcPr>
          <w:p w14:paraId="3AC70CE4" w14:textId="44BC76B4"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1.972</w:t>
            </w:r>
          </w:p>
        </w:tc>
        <w:tc>
          <w:tcPr>
            <w:tcW w:w="851" w:type="dxa"/>
            <w:tcBorders>
              <w:top w:val="nil"/>
              <w:left w:val="nil"/>
              <w:bottom w:val="single" w:sz="4" w:space="0" w:color="auto"/>
              <w:right w:val="single" w:sz="4" w:space="0" w:color="auto"/>
            </w:tcBorders>
            <w:shd w:val="clear" w:color="000000" w:fill="FFFFFF"/>
            <w:noWrap/>
            <w:vAlign w:val="bottom"/>
            <w:hideMark/>
          </w:tcPr>
          <w:p w14:paraId="014648FE" w14:textId="2DCD62CA"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2.221</w:t>
            </w:r>
          </w:p>
        </w:tc>
        <w:tc>
          <w:tcPr>
            <w:tcW w:w="995" w:type="dxa"/>
            <w:tcBorders>
              <w:top w:val="nil"/>
              <w:left w:val="nil"/>
              <w:bottom w:val="single" w:sz="4" w:space="0" w:color="auto"/>
              <w:right w:val="single" w:sz="4" w:space="0" w:color="auto"/>
            </w:tcBorders>
            <w:shd w:val="clear" w:color="000000" w:fill="FFFFFF"/>
            <w:noWrap/>
            <w:vAlign w:val="bottom"/>
            <w:hideMark/>
          </w:tcPr>
          <w:p w14:paraId="006AFAAA" w14:textId="2F4FF241"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756</w:t>
            </w:r>
          </w:p>
        </w:tc>
        <w:tc>
          <w:tcPr>
            <w:tcW w:w="992" w:type="dxa"/>
            <w:tcBorders>
              <w:top w:val="nil"/>
              <w:left w:val="nil"/>
              <w:bottom w:val="single" w:sz="4" w:space="0" w:color="auto"/>
              <w:right w:val="single" w:sz="4" w:space="0" w:color="auto"/>
            </w:tcBorders>
            <w:shd w:val="clear" w:color="000000" w:fill="FFFFFF"/>
            <w:noWrap/>
            <w:vAlign w:val="bottom"/>
            <w:hideMark/>
          </w:tcPr>
          <w:p w14:paraId="231EFCB0"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51,6%</w:t>
            </w:r>
          </w:p>
        </w:tc>
        <w:tc>
          <w:tcPr>
            <w:tcW w:w="992" w:type="dxa"/>
            <w:tcBorders>
              <w:top w:val="nil"/>
              <w:left w:val="nil"/>
              <w:bottom w:val="single" w:sz="4" w:space="0" w:color="auto"/>
              <w:right w:val="single" w:sz="4" w:space="0" w:color="auto"/>
            </w:tcBorders>
            <w:shd w:val="clear" w:color="000000" w:fill="FFFFFF"/>
            <w:noWrap/>
            <w:vAlign w:val="bottom"/>
            <w:hideMark/>
          </w:tcPr>
          <w:p w14:paraId="76D0C25D"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2,1%</w:t>
            </w:r>
          </w:p>
        </w:tc>
      </w:tr>
      <w:tr w:rsidR="002A42E0" w:rsidRPr="00615EB6" w14:paraId="60721A25" w14:textId="77777777" w:rsidTr="00AE7F59">
        <w:trPr>
          <w:trHeight w:val="389"/>
        </w:trPr>
        <w:tc>
          <w:tcPr>
            <w:tcW w:w="4251" w:type="dxa"/>
            <w:tcBorders>
              <w:top w:val="nil"/>
              <w:left w:val="single" w:sz="4" w:space="0" w:color="auto"/>
              <w:bottom w:val="single" w:sz="4" w:space="0" w:color="auto"/>
              <w:right w:val="single" w:sz="4" w:space="0" w:color="auto"/>
            </w:tcBorders>
            <w:shd w:val="clear" w:color="auto" w:fill="auto"/>
            <w:vAlign w:val="center"/>
            <w:hideMark/>
          </w:tcPr>
          <w:p w14:paraId="174676D7" w14:textId="23F6BAED" w:rsidR="002A42E0" w:rsidRPr="00C9376D" w:rsidRDefault="001B6F28" w:rsidP="002A42E0">
            <w:pPr>
              <w:spacing w:after="0" w:line="240" w:lineRule="auto"/>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 xml:space="preserve">Em </w:t>
            </w:r>
            <w:r w:rsidR="002A42E0" w:rsidRPr="00C9376D">
              <w:rPr>
                <w:rFonts w:ascii="Arial" w:eastAsia="Times New Roman" w:hAnsi="Arial" w:cs="Arial"/>
                <w:color w:val="000000"/>
                <w:sz w:val="20"/>
                <w:szCs w:val="20"/>
                <w:lang w:val="pt-BR"/>
              </w:rPr>
              <w:t>US$ milhões valores constantes de 2017</w:t>
            </w:r>
          </w:p>
        </w:tc>
        <w:tc>
          <w:tcPr>
            <w:tcW w:w="850" w:type="dxa"/>
            <w:tcBorders>
              <w:top w:val="nil"/>
              <w:left w:val="nil"/>
              <w:bottom w:val="single" w:sz="4" w:space="0" w:color="auto"/>
              <w:right w:val="single" w:sz="4" w:space="0" w:color="auto"/>
            </w:tcBorders>
            <w:shd w:val="clear" w:color="000000" w:fill="FFFFFF"/>
            <w:noWrap/>
            <w:vAlign w:val="bottom"/>
            <w:hideMark/>
          </w:tcPr>
          <w:p w14:paraId="0549C2C4" w14:textId="290D8593"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850" w:type="dxa"/>
            <w:tcBorders>
              <w:top w:val="nil"/>
              <w:left w:val="nil"/>
              <w:bottom w:val="single" w:sz="4" w:space="0" w:color="auto"/>
              <w:right w:val="single" w:sz="4" w:space="0" w:color="auto"/>
            </w:tcBorders>
            <w:shd w:val="clear" w:color="000000" w:fill="FFFFFF"/>
            <w:noWrap/>
            <w:vAlign w:val="bottom"/>
            <w:hideMark/>
          </w:tcPr>
          <w:p w14:paraId="79C19691" w14:textId="06CA29B4"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851" w:type="dxa"/>
            <w:tcBorders>
              <w:top w:val="nil"/>
              <w:left w:val="nil"/>
              <w:bottom w:val="single" w:sz="4" w:space="0" w:color="auto"/>
              <w:right w:val="single" w:sz="4" w:space="0" w:color="auto"/>
            </w:tcBorders>
            <w:shd w:val="clear" w:color="000000" w:fill="FFFFFF"/>
            <w:noWrap/>
            <w:vAlign w:val="bottom"/>
            <w:hideMark/>
          </w:tcPr>
          <w:p w14:paraId="12BA2FD1" w14:textId="14AE94F1"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5" w:type="dxa"/>
            <w:tcBorders>
              <w:top w:val="nil"/>
              <w:left w:val="nil"/>
              <w:bottom w:val="single" w:sz="4" w:space="0" w:color="auto"/>
              <w:right w:val="single" w:sz="4" w:space="0" w:color="auto"/>
            </w:tcBorders>
            <w:shd w:val="clear" w:color="000000" w:fill="FFFFFF"/>
            <w:noWrap/>
            <w:vAlign w:val="bottom"/>
            <w:hideMark/>
          </w:tcPr>
          <w:p w14:paraId="0BC91136" w14:textId="08949E06"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2" w:type="dxa"/>
            <w:tcBorders>
              <w:top w:val="nil"/>
              <w:left w:val="nil"/>
              <w:bottom w:val="single" w:sz="4" w:space="0" w:color="auto"/>
              <w:right w:val="single" w:sz="4" w:space="0" w:color="auto"/>
            </w:tcBorders>
            <w:shd w:val="clear" w:color="000000" w:fill="FFFFFF"/>
            <w:noWrap/>
            <w:vAlign w:val="bottom"/>
            <w:hideMark/>
          </w:tcPr>
          <w:p w14:paraId="3BA60581" w14:textId="487EEFB2"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2" w:type="dxa"/>
            <w:tcBorders>
              <w:top w:val="nil"/>
              <w:left w:val="nil"/>
              <w:bottom w:val="single" w:sz="4" w:space="0" w:color="auto"/>
              <w:right w:val="single" w:sz="4" w:space="0" w:color="auto"/>
            </w:tcBorders>
            <w:shd w:val="clear" w:color="000000" w:fill="FFFFFF"/>
            <w:noWrap/>
            <w:vAlign w:val="bottom"/>
            <w:hideMark/>
          </w:tcPr>
          <w:p w14:paraId="6B2E0B3D" w14:textId="48BE5D40" w:rsidR="002A42E0" w:rsidRPr="00C9376D" w:rsidRDefault="002A42E0" w:rsidP="00C9376D">
            <w:pPr>
              <w:spacing w:after="0" w:line="240" w:lineRule="auto"/>
              <w:jc w:val="right"/>
              <w:rPr>
                <w:rFonts w:ascii="Arial" w:eastAsia="Times New Roman" w:hAnsi="Arial" w:cs="Arial"/>
                <w:color w:val="000000"/>
                <w:sz w:val="20"/>
                <w:szCs w:val="20"/>
                <w:lang w:val="pt-BR"/>
              </w:rPr>
            </w:pPr>
          </w:p>
        </w:tc>
      </w:tr>
      <w:tr w:rsidR="002A42E0" w:rsidRPr="00C9376D" w14:paraId="2BA27AAC" w14:textId="77777777" w:rsidTr="00AE7F59">
        <w:trPr>
          <w:trHeight w:val="288"/>
        </w:trPr>
        <w:tc>
          <w:tcPr>
            <w:tcW w:w="4251" w:type="dxa"/>
            <w:tcBorders>
              <w:top w:val="nil"/>
              <w:left w:val="single" w:sz="4" w:space="0" w:color="auto"/>
              <w:bottom w:val="single" w:sz="4" w:space="0" w:color="auto"/>
              <w:right w:val="single" w:sz="4" w:space="0" w:color="auto"/>
            </w:tcBorders>
            <w:shd w:val="clear" w:color="000000" w:fill="FFFFFF"/>
            <w:vAlign w:val="bottom"/>
            <w:hideMark/>
          </w:tcPr>
          <w:p w14:paraId="1461E85E" w14:textId="77777777" w:rsidR="002A42E0" w:rsidRPr="00C9376D" w:rsidRDefault="002A42E0" w:rsidP="002A42E0">
            <w:pPr>
              <w:spacing w:after="0" w:line="240" w:lineRule="auto"/>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Cenários</w:t>
            </w:r>
          </w:p>
        </w:tc>
        <w:tc>
          <w:tcPr>
            <w:tcW w:w="850" w:type="dxa"/>
            <w:tcBorders>
              <w:top w:val="nil"/>
              <w:left w:val="nil"/>
              <w:bottom w:val="single" w:sz="4" w:space="0" w:color="auto"/>
              <w:right w:val="single" w:sz="4" w:space="0" w:color="auto"/>
            </w:tcBorders>
            <w:shd w:val="clear" w:color="000000" w:fill="FFFFFF"/>
            <w:noWrap/>
            <w:vAlign w:val="bottom"/>
          </w:tcPr>
          <w:p w14:paraId="0B1C1958" w14:textId="1003DE14"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850" w:type="dxa"/>
            <w:tcBorders>
              <w:top w:val="nil"/>
              <w:left w:val="nil"/>
              <w:bottom w:val="single" w:sz="4" w:space="0" w:color="auto"/>
              <w:right w:val="single" w:sz="4" w:space="0" w:color="auto"/>
            </w:tcBorders>
            <w:shd w:val="clear" w:color="000000" w:fill="FFFFFF"/>
            <w:noWrap/>
            <w:vAlign w:val="bottom"/>
          </w:tcPr>
          <w:p w14:paraId="50050B7A" w14:textId="0A418E7C"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851" w:type="dxa"/>
            <w:tcBorders>
              <w:top w:val="nil"/>
              <w:left w:val="nil"/>
              <w:bottom w:val="single" w:sz="4" w:space="0" w:color="auto"/>
              <w:right w:val="single" w:sz="4" w:space="0" w:color="auto"/>
            </w:tcBorders>
            <w:shd w:val="clear" w:color="000000" w:fill="FFFFFF"/>
            <w:noWrap/>
            <w:vAlign w:val="bottom"/>
          </w:tcPr>
          <w:p w14:paraId="6C961E3C" w14:textId="0366651C"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5" w:type="dxa"/>
            <w:tcBorders>
              <w:top w:val="nil"/>
              <w:left w:val="nil"/>
              <w:bottom w:val="single" w:sz="4" w:space="0" w:color="auto"/>
              <w:right w:val="single" w:sz="4" w:space="0" w:color="auto"/>
            </w:tcBorders>
            <w:shd w:val="clear" w:color="000000" w:fill="FFFFFF"/>
            <w:noWrap/>
            <w:vAlign w:val="bottom"/>
          </w:tcPr>
          <w:p w14:paraId="5612D89C" w14:textId="1DAFFC15"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2" w:type="dxa"/>
            <w:tcBorders>
              <w:top w:val="nil"/>
              <w:left w:val="nil"/>
              <w:bottom w:val="single" w:sz="4" w:space="0" w:color="auto"/>
              <w:right w:val="single" w:sz="4" w:space="0" w:color="auto"/>
            </w:tcBorders>
            <w:shd w:val="clear" w:color="000000" w:fill="FFFFFF"/>
            <w:noWrap/>
            <w:vAlign w:val="bottom"/>
          </w:tcPr>
          <w:p w14:paraId="2C0CB968" w14:textId="32270322"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2" w:type="dxa"/>
            <w:tcBorders>
              <w:top w:val="nil"/>
              <w:left w:val="nil"/>
              <w:bottom w:val="single" w:sz="4" w:space="0" w:color="auto"/>
              <w:right w:val="single" w:sz="4" w:space="0" w:color="auto"/>
            </w:tcBorders>
            <w:shd w:val="clear" w:color="000000" w:fill="FFFFFF"/>
            <w:noWrap/>
            <w:vAlign w:val="bottom"/>
          </w:tcPr>
          <w:p w14:paraId="7F31915C" w14:textId="3CCA262B" w:rsidR="002A42E0" w:rsidRPr="00C9376D" w:rsidRDefault="002A42E0" w:rsidP="00C9376D">
            <w:pPr>
              <w:spacing w:after="0" w:line="240" w:lineRule="auto"/>
              <w:jc w:val="right"/>
              <w:rPr>
                <w:rFonts w:ascii="Arial" w:eastAsia="Times New Roman" w:hAnsi="Arial" w:cs="Arial"/>
                <w:color w:val="000000"/>
                <w:sz w:val="20"/>
                <w:szCs w:val="20"/>
                <w:lang w:val="pt-BR"/>
              </w:rPr>
            </w:pPr>
          </w:p>
        </w:tc>
      </w:tr>
      <w:tr w:rsidR="002A42E0" w:rsidRPr="00C9376D" w14:paraId="44A858DC" w14:textId="77777777" w:rsidTr="00AE7F59">
        <w:trPr>
          <w:trHeight w:val="288"/>
        </w:trPr>
        <w:tc>
          <w:tcPr>
            <w:tcW w:w="4251" w:type="dxa"/>
            <w:tcBorders>
              <w:top w:val="nil"/>
              <w:left w:val="single" w:sz="4" w:space="0" w:color="auto"/>
              <w:bottom w:val="single" w:sz="4" w:space="0" w:color="auto"/>
              <w:right w:val="single" w:sz="4" w:space="0" w:color="auto"/>
            </w:tcBorders>
            <w:shd w:val="clear" w:color="000000" w:fill="FFFFFF"/>
            <w:vAlign w:val="bottom"/>
            <w:hideMark/>
          </w:tcPr>
          <w:p w14:paraId="1348E2E4" w14:textId="77777777" w:rsidR="002A42E0" w:rsidRPr="00C9376D" w:rsidRDefault="002A42E0" w:rsidP="002A42E0">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Optimista</w:t>
            </w:r>
          </w:p>
        </w:tc>
        <w:tc>
          <w:tcPr>
            <w:tcW w:w="850" w:type="dxa"/>
            <w:tcBorders>
              <w:top w:val="nil"/>
              <w:left w:val="nil"/>
              <w:bottom w:val="single" w:sz="4" w:space="0" w:color="auto"/>
              <w:right w:val="single" w:sz="4" w:space="0" w:color="auto"/>
            </w:tcBorders>
            <w:shd w:val="clear" w:color="000000" w:fill="FFFFFF"/>
            <w:noWrap/>
            <w:vAlign w:val="bottom"/>
            <w:hideMark/>
          </w:tcPr>
          <w:p w14:paraId="6E350676" w14:textId="7FC0149D"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458</w:t>
            </w:r>
          </w:p>
        </w:tc>
        <w:tc>
          <w:tcPr>
            <w:tcW w:w="850" w:type="dxa"/>
            <w:tcBorders>
              <w:top w:val="nil"/>
              <w:left w:val="nil"/>
              <w:bottom w:val="single" w:sz="4" w:space="0" w:color="auto"/>
              <w:right w:val="single" w:sz="4" w:space="0" w:color="auto"/>
            </w:tcBorders>
            <w:shd w:val="clear" w:color="000000" w:fill="FFFFFF"/>
            <w:noWrap/>
            <w:vAlign w:val="bottom"/>
            <w:hideMark/>
          </w:tcPr>
          <w:p w14:paraId="0345E192" w14:textId="7513B395"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781</w:t>
            </w:r>
          </w:p>
        </w:tc>
        <w:tc>
          <w:tcPr>
            <w:tcW w:w="851" w:type="dxa"/>
            <w:tcBorders>
              <w:top w:val="nil"/>
              <w:left w:val="nil"/>
              <w:bottom w:val="single" w:sz="4" w:space="0" w:color="auto"/>
              <w:right w:val="single" w:sz="4" w:space="0" w:color="auto"/>
            </w:tcBorders>
            <w:shd w:val="clear" w:color="000000" w:fill="FFFFFF"/>
            <w:noWrap/>
            <w:vAlign w:val="bottom"/>
            <w:hideMark/>
          </w:tcPr>
          <w:p w14:paraId="2AEB4587" w14:textId="74A840DE"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1.144</w:t>
            </w:r>
          </w:p>
        </w:tc>
        <w:tc>
          <w:tcPr>
            <w:tcW w:w="995" w:type="dxa"/>
            <w:tcBorders>
              <w:top w:val="nil"/>
              <w:left w:val="nil"/>
              <w:bottom w:val="single" w:sz="4" w:space="0" w:color="auto"/>
              <w:right w:val="single" w:sz="4" w:space="0" w:color="auto"/>
            </w:tcBorders>
            <w:shd w:val="clear" w:color="000000" w:fill="FFFFFF"/>
            <w:noWrap/>
            <w:vAlign w:val="bottom"/>
            <w:hideMark/>
          </w:tcPr>
          <w:p w14:paraId="1ED71B52" w14:textId="5CBC1415"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686</w:t>
            </w:r>
          </w:p>
        </w:tc>
        <w:tc>
          <w:tcPr>
            <w:tcW w:w="992" w:type="dxa"/>
            <w:tcBorders>
              <w:top w:val="nil"/>
              <w:left w:val="nil"/>
              <w:bottom w:val="single" w:sz="4" w:space="0" w:color="auto"/>
              <w:right w:val="single" w:sz="4" w:space="0" w:color="auto"/>
            </w:tcBorders>
            <w:shd w:val="clear" w:color="000000" w:fill="FFFFFF"/>
            <w:noWrap/>
            <w:vAlign w:val="bottom"/>
            <w:hideMark/>
          </w:tcPr>
          <w:p w14:paraId="3D3FEA03"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149,8%</w:t>
            </w:r>
          </w:p>
        </w:tc>
        <w:tc>
          <w:tcPr>
            <w:tcW w:w="992" w:type="dxa"/>
            <w:tcBorders>
              <w:top w:val="nil"/>
              <w:left w:val="nil"/>
              <w:bottom w:val="single" w:sz="4" w:space="0" w:color="auto"/>
              <w:right w:val="single" w:sz="4" w:space="0" w:color="auto"/>
            </w:tcBorders>
            <w:shd w:val="clear" w:color="000000" w:fill="FFFFFF"/>
            <w:noWrap/>
            <w:vAlign w:val="bottom"/>
            <w:hideMark/>
          </w:tcPr>
          <w:p w14:paraId="58014B08"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4,7%</w:t>
            </w:r>
          </w:p>
        </w:tc>
      </w:tr>
      <w:tr w:rsidR="002A42E0" w:rsidRPr="00C9376D" w14:paraId="39B3A62B" w14:textId="77777777" w:rsidTr="00AE7F59">
        <w:trPr>
          <w:trHeight w:val="288"/>
        </w:trPr>
        <w:tc>
          <w:tcPr>
            <w:tcW w:w="4251" w:type="dxa"/>
            <w:tcBorders>
              <w:top w:val="nil"/>
              <w:left w:val="single" w:sz="4" w:space="0" w:color="auto"/>
              <w:bottom w:val="single" w:sz="4" w:space="0" w:color="auto"/>
              <w:right w:val="single" w:sz="4" w:space="0" w:color="auto"/>
            </w:tcBorders>
            <w:shd w:val="clear" w:color="000000" w:fill="FFFFFF"/>
            <w:vAlign w:val="bottom"/>
            <w:hideMark/>
          </w:tcPr>
          <w:p w14:paraId="0965B96E" w14:textId="77777777" w:rsidR="002A42E0" w:rsidRPr="00C9376D" w:rsidRDefault="002A42E0" w:rsidP="002A42E0">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Intermediário</w:t>
            </w:r>
          </w:p>
        </w:tc>
        <w:tc>
          <w:tcPr>
            <w:tcW w:w="850" w:type="dxa"/>
            <w:tcBorders>
              <w:top w:val="nil"/>
              <w:left w:val="nil"/>
              <w:bottom w:val="single" w:sz="4" w:space="0" w:color="auto"/>
              <w:right w:val="single" w:sz="4" w:space="0" w:color="auto"/>
            </w:tcBorders>
            <w:shd w:val="clear" w:color="000000" w:fill="FFFFFF"/>
            <w:noWrap/>
            <w:vAlign w:val="bottom"/>
            <w:hideMark/>
          </w:tcPr>
          <w:p w14:paraId="1E876BB5" w14:textId="53603B19"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458</w:t>
            </w:r>
          </w:p>
        </w:tc>
        <w:tc>
          <w:tcPr>
            <w:tcW w:w="850" w:type="dxa"/>
            <w:tcBorders>
              <w:top w:val="nil"/>
              <w:left w:val="nil"/>
              <w:bottom w:val="single" w:sz="4" w:space="0" w:color="auto"/>
              <w:right w:val="single" w:sz="4" w:space="0" w:color="auto"/>
            </w:tcBorders>
            <w:shd w:val="clear" w:color="000000" w:fill="FFFFFF"/>
            <w:noWrap/>
            <w:vAlign w:val="bottom"/>
            <w:hideMark/>
          </w:tcPr>
          <w:p w14:paraId="4C3BC1D0" w14:textId="18ADAF15"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694</w:t>
            </w:r>
          </w:p>
        </w:tc>
        <w:tc>
          <w:tcPr>
            <w:tcW w:w="851" w:type="dxa"/>
            <w:tcBorders>
              <w:top w:val="nil"/>
              <w:left w:val="nil"/>
              <w:bottom w:val="single" w:sz="4" w:space="0" w:color="auto"/>
              <w:right w:val="single" w:sz="4" w:space="0" w:color="auto"/>
            </w:tcBorders>
            <w:shd w:val="clear" w:color="000000" w:fill="FFFFFF"/>
            <w:noWrap/>
            <w:vAlign w:val="bottom"/>
            <w:hideMark/>
          </w:tcPr>
          <w:p w14:paraId="2B873835" w14:textId="6AEDA39B"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892</w:t>
            </w:r>
          </w:p>
        </w:tc>
        <w:tc>
          <w:tcPr>
            <w:tcW w:w="995" w:type="dxa"/>
            <w:tcBorders>
              <w:top w:val="nil"/>
              <w:left w:val="nil"/>
              <w:bottom w:val="single" w:sz="4" w:space="0" w:color="auto"/>
              <w:right w:val="single" w:sz="4" w:space="0" w:color="auto"/>
            </w:tcBorders>
            <w:shd w:val="clear" w:color="000000" w:fill="FFFFFF"/>
            <w:noWrap/>
            <w:vAlign w:val="bottom"/>
            <w:hideMark/>
          </w:tcPr>
          <w:p w14:paraId="7D841574" w14:textId="2C7E1D6E"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434</w:t>
            </w:r>
          </w:p>
        </w:tc>
        <w:tc>
          <w:tcPr>
            <w:tcW w:w="992" w:type="dxa"/>
            <w:tcBorders>
              <w:top w:val="nil"/>
              <w:left w:val="nil"/>
              <w:bottom w:val="single" w:sz="4" w:space="0" w:color="auto"/>
              <w:right w:val="single" w:sz="4" w:space="0" w:color="auto"/>
            </w:tcBorders>
            <w:shd w:val="clear" w:color="000000" w:fill="FFFFFF"/>
            <w:noWrap/>
            <w:vAlign w:val="bottom"/>
            <w:hideMark/>
          </w:tcPr>
          <w:p w14:paraId="4F37F8ED"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94,8%</w:t>
            </w:r>
          </w:p>
        </w:tc>
        <w:tc>
          <w:tcPr>
            <w:tcW w:w="992" w:type="dxa"/>
            <w:tcBorders>
              <w:top w:val="nil"/>
              <w:left w:val="nil"/>
              <w:bottom w:val="single" w:sz="4" w:space="0" w:color="auto"/>
              <w:right w:val="single" w:sz="4" w:space="0" w:color="auto"/>
            </w:tcBorders>
            <w:shd w:val="clear" w:color="000000" w:fill="FFFFFF"/>
            <w:noWrap/>
            <w:vAlign w:val="bottom"/>
            <w:hideMark/>
          </w:tcPr>
          <w:p w14:paraId="31558A9E"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3,4%</w:t>
            </w:r>
          </w:p>
        </w:tc>
      </w:tr>
      <w:tr w:rsidR="002A42E0" w:rsidRPr="00C9376D" w14:paraId="0F6E47F8" w14:textId="77777777" w:rsidTr="00AE7F59">
        <w:trPr>
          <w:trHeight w:val="288"/>
        </w:trPr>
        <w:tc>
          <w:tcPr>
            <w:tcW w:w="4251" w:type="dxa"/>
            <w:tcBorders>
              <w:top w:val="nil"/>
              <w:left w:val="single" w:sz="4" w:space="0" w:color="auto"/>
              <w:bottom w:val="single" w:sz="4" w:space="0" w:color="auto"/>
              <w:right w:val="single" w:sz="4" w:space="0" w:color="auto"/>
            </w:tcBorders>
            <w:shd w:val="clear" w:color="000000" w:fill="FFFFFF"/>
            <w:vAlign w:val="bottom"/>
            <w:hideMark/>
          </w:tcPr>
          <w:p w14:paraId="3BFA8023" w14:textId="77777777" w:rsidR="002A42E0" w:rsidRPr="00C9376D" w:rsidRDefault="002A42E0" w:rsidP="002A42E0">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Pessimista</w:t>
            </w:r>
          </w:p>
        </w:tc>
        <w:tc>
          <w:tcPr>
            <w:tcW w:w="850" w:type="dxa"/>
            <w:tcBorders>
              <w:top w:val="nil"/>
              <w:left w:val="nil"/>
              <w:bottom w:val="single" w:sz="4" w:space="0" w:color="auto"/>
              <w:right w:val="single" w:sz="4" w:space="0" w:color="auto"/>
            </w:tcBorders>
            <w:shd w:val="clear" w:color="000000" w:fill="FFFFFF"/>
            <w:noWrap/>
            <w:vAlign w:val="bottom"/>
            <w:hideMark/>
          </w:tcPr>
          <w:p w14:paraId="14128141" w14:textId="3739DAC9"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458</w:t>
            </w:r>
          </w:p>
        </w:tc>
        <w:tc>
          <w:tcPr>
            <w:tcW w:w="850" w:type="dxa"/>
            <w:tcBorders>
              <w:top w:val="nil"/>
              <w:left w:val="nil"/>
              <w:bottom w:val="single" w:sz="4" w:space="0" w:color="auto"/>
              <w:right w:val="single" w:sz="4" w:space="0" w:color="auto"/>
            </w:tcBorders>
            <w:shd w:val="clear" w:color="000000" w:fill="FFFFFF"/>
            <w:noWrap/>
            <w:vAlign w:val="bottom"/>
            <w:hideMark/>
          </w:tcPr>
          <w:p w14:paraId="24F5597B" w14:textId="1E5D08AB"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616</w:t>
            </w:r>
          </w:p>
        </w:tc>
        <w:tc>
          <w:tcPr>
            <w:tcW w:w="851" w:type="dxa"/>
            <w:tcBorders>
              <w:top w:val="nil"/>
              <w:left w:val="nil"/>
              <w:bottom w:val="single" w:sz="4" w:space="0" w:color="auto"/>
              <w:right w:val="single" w:sz="4" w:space="0" w:color="auto"/>
            </w:tcBorders>
            <w:shd w:val="clear" w:color="000000" w:fill="FFFFFF"/>
            <w:noWrap/>
            <w:vAlign w:val="bottom"/>
            <w:hideMark/>
          </w:tcPr>
          <w:p w14:paraId="7376865E" w14:textId="0279BD28"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694</w:t>
            </w:r>
          </w:p>
        </w:tc>
        <w:tc>
          <w:tcPr>
            <w:tcW w:w="995" w:type="dxa"/>
            <w:tcBorders>
              <w:top w:val="nil"/>
              <w:left w:val="nil"/>
              <w:bottom w:val="single" w:sz="4" w:space="0" w:color="auto"/>
              <w:right w:val="single" w:sz="4" w:space="0" w:color="auto"/>
            </w:tcBorders>
            <w:shd w:val="clear" w:color="000000" w:fill="FFFFFF"/>
            <w:noWrap/>
            <w:vAlign w:val="bottom"/>
            <w:hideMark/>
          </w:tcPr>
          <w:p w14:paraId="250DB751" w14:textId="2FC719C1"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236</w:t>
            </w:r>
          </w:p>
        </w:tc>
        <w:tc>
          <w:tcPr>
            <w:tcW w:w="992" w:type="dxa"/>
            <w:tcBorders>
              <w:top w:val="nil"/>
              <w:left w:val="nil"/>
              <w:bottom w:val="single" w:sz="4" w:space="0" w:color="auto"/>
              <w:right w:val="single" w:sz="4" w:space="0" w:color="auto"/>
            </w:tcBorders>
            <w:shd w:val="clear" w:color="000000" w:fill="FFFFFF"/>
            <w:noWrap/>
            <w:vAlign w:val="bottom"/>
            <w:hideMark/>
          </w:tcPr>
          <w:p w14:paraId="1A3E58F3"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51,6%</w:t>
            </w:r>
          </w:p>
        </w:tc>
        <w:tc>
          <w:tcPr>
            <w:tcW w:w="992" w:type="dxa"/>
            <w:tcBorders>
              <w:top w:val="nil"/>
              <w:left w:val="nil"/>
              <w:bottom w:val="single" w:sz="4" w:space="0" w:color="auto"/>
              <w:right w:val="single" w:sz="4" w:space="0" w:color="auto"/>
            </w:tcBorders>
            <w:shd w:val="clear" w:color="000000" w:fill="FFFFFF"/>
            <w:noWrap/>
            <w:vAlign w:val="bottom"/>
            <w:hideMark/>
          </w:tcPr>
          <w:p w14:paraId="64E7106E"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2,1%</w:t>
            </w:r>
          </w:p>
        </w:tc>
      </w:tr>
      <w:tr w:rsidR="002A42E0" w:rsidRPr="00C9376D" w14:paraId="6EF3D628" w14:textId="77777777" w:rsidTr="00AE7F59">
        <w:trPr>
          <w:trHeight w:val="528"/>
        </w:trPr>
        <w:tc>
          <w:tcPr>
            <w:tcW w:w="4251" w:type="dxa"/>
            <w:tcBorders>
              <w:top w:val="nil"/>
              <w:left w:val="single" w:sz="4" w:space="0" w:color="auto"/>
              <w:bottom w:val="single" w:sz="4" w:space="0" w:color="auto"/>
              <w:right w:val="single" w:sz="4" w:space="0" w:color="auto"/>
            </w:tcBorders>
            <w:shd w:val="clear" w:color="auto" w:fill="auto"/>
            <w:vAlign w:val="center"/>
            <w:hideMark/>
          </w:tcPr>
          <w:p w14:paraId="14CBC02D" w14:textId="77777777" w:rsidR="002A42E0" w:rsidRPr="00C9376D" w:rsidRDefault="002A42E0" w:rsidP="002A42E0">
            <w:pPr>
              <w:spacing w:after="0" w:line="240" w:lineRule="auto"/>
              <w:rPr>
                <w:rFonts w:ascii="Arial" w:eastAsia="Times New Roman" w:hAnsi="Arial" w:cs="Arial"/>
                <w:b/>
                <w:bCs/>
                <w:i/>
                <w:iCs/>
                <w:color w:val="000000"/>
                <w:sz w:val="20"/>
                <w:szCs w:val="20"/>
                <w:lang w:val="pt-BR"/>
              </w:rPr>
            </w:pPr>
            <w:r w:rsidRPr="00C9376D">
              <w:rPr>
                <w:rFonts w:ascii="Arial" w:eastAsia="Times New Roman" w:hAnsi="Arial" w:cs="Arial"/>
                <w:b/>
                <w:bCs/>
                <w:i/>
                <w:iCs/>
                <w:color w:val="000000"/>
                <w:sz w:val="20"/>
                <w:szCs w:val="20"/>
                <w:lang w:val="pt-BR"/>
              </w:rPr>
              <w:t>Financiamentos Concedidos aos Municípios</w:t>
            </w:r>
          </w:p>
        </w:tc>
        <w:tc>
          <w:tcPr>
            <w:tcW w:w="850" w:type="dxa"/>
            <w:tcBorders>
              <w:top w:val="nil"/>
              <w:left w:val="nil"/>
              <w:bottom w:val="single" w:sz="4" w:space="0" w:color="auto"/>
              <w:right w:val="single" w:sz="4" w:space="0" w:color="auto"/>
            </w:tcBorders>
            <w:shd w:val="clear" w:color="000000" w:fill="FFFFFF"/>
            <w:noWrap/>
            <w:vAlign w:val="bottom"/>
            <w:hideMark/>
          </w:tcPr>
          <w:p w14:paraId="679831F9" w14:textId="0433E06D"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850" w:type="dxa"/>
            <w:tcBorders>
              <w:top w:val="nil"/>
              <w:left w:val="nil"/>
              <w:bottom w:val="single" w:sz="4" w:space="0" w:color="auto"/>
              <w:right w:val="single" w:sz="4" w:space="0" w:color="auto"/>
            </w:tcBorders>
            <w:shd w:val="clear" w:color="000000" w:fill="FFFFFF"/>
            <w:noWrap/>
            <w:vAlign w:val="bottom"/>
            <w:hideMark/>
          </w:tcPr>
          <w:p w14:paraId="54C1FD11" w14:textId="55356ADF"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851" w:type="dxa"/>
            <w:tcBorders>
              <w:top w:val="nil"/>
              <w:left w:val="nil"/>
              <w:bottom w:val="single" w:sz="4" w:space="0" w:color="auto"/>
              <w:right w:val="single" w:sz="4" w:space="0" w:color="auto"/>
            </w:tcBorders>
            <w:shd w:val="clear" w:color="000000" w:fill="FFFFFF"/>
            <w:noWrap/>
            <w:vAlign w:val="bottom"/>
            <w:hideMark/>
          </w:tcPr>
          <w:p w14:paraId="31164653" w14:textId="7D51CC78"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5" w:type="dxa"/>
            <w:tcBorders>
              <w:top w:val="nil"/>
              <w:left w:val="nil"/>
              <w:bottom w:val="single" w:sz="4" w:space="0" w:color="auto"/>
              <w:right w:val="single" w:sz="4" w:space="0" w:color="auto"/>
            </w:tcBorders>
            <w:shd w:val="clear" w:color="000000" w:fill="FFFFFF"/>
            <w:noWrap/>
            <w:vAlign w:val="bottom"/>
            <w:hideMark/>
          </w:tcPr>
          <w:p w14:paraId="3E94AD21" w14:textId="461E012B"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2" w:type="dxa"/>
            <w:tcBorders>
              <w:top w:val="nil"/>
              <w:left w:val="nil"/>
              <w:bottom w:val="single" w:sz="4" w:space="0" w:color="auto"/>
              <w:right w:val="single" w:sz="4" w:space="0" w:color="auto"/>
            </w:tcBorders>
            <w:shd w:val="clear" w:color="000000" w:fill="FFFFFF"/>
            <w:noWrap/>
            <w:vAlign w:val="bottom"/>
            <w:hideMark/>
          </w:tcPr>
          <w:p w14:paraId="68C28FB2" w14:textId="081FA5EB"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2" w:type="dxa"/>
            <w:tcBorders>
              <w:top w:val="nil"/>
              <w:left w:val="nil"/>
              <w:bottom w:val="single" w:sz="4" w:space="0" w:color="auto"/>
              <w:right w:val="single" w:sz="4" w:space="0" w:color="auto"/>
            </w:tcBorders>
            <w:shd w:val="clear" w:color="000000" w:fill="FFFFFF"/>
            <w:noWrap/>
            <w:vAlign w:val="bottom"/>
            <w:hideMark/>
          </w:tcPr>
          <w:p w14:paraId="0B0F8F29" w14:textId="412CCCF0" w:rsidR="002A42E0" w:rsidRPr="00C9376D" w:rsidRDefault="002A42E0" w:rsidP="00C9376D">
            <w:pPr>
              <w:spacing w:after="0" w:line="240" w:lineRule="auto"/>
              <w:jc w:val="right"/>
              <w:rPr>
                <w:rFonts w:ascii="Arial" w:eastAsia="Times New Roman" w:hAnsi="Arial" w:cs="Arial"/>
                <w:color w:val="000000"/>
                <w:sz w:val="20"/>
                <w:szCs w:val="20"/>
                <w:lang w:val="pt-BR"/>
              </w:rPr>
            </w:pPr>
          </w:p>
        </w:tc>
      </w:tr>
      <w:tr w:rsidR="002A42E0" w:rsidRPr="00615EB6" w14:paraId="4867965E" w14:textId="77777777" w:rsidTr="00AE7F59">
        <w:trPr>
          <w:trHeight w:val="377"/>
        </w:trPr>
        <w:tc>
          <w:tcPr>
            <w:tcW w:w="4251" w:type="dxa"/>
            <w:tcBorders>
              <w:top w:val="nil"/>
              <w:left w:val="single" w:sz="4" w:space="0" w:color="auto"/>
              <w:bottom w:val="single" w:sz="4" w:space="0" w:color="auto"/>
              <w:right w:val="single" w:sz="4" w:space="0" w:color="auto"/>
            </w:tcBorders>
            <w:shd w:val="clear" w:color="auto" w:fill="auto"/>
            <w:vAlign w:val="center"/>
            <w:hideMark/>
          </w:tcPr>
          <w:p w14:paraId="1B6BBA90" w14:textId="77777777" w:rsidR="002A42E0" w:rsidRPr="00C9376D" w:rsidRDefault="002A42E0" w:rsidP="002A42E0">
            <w:pPr>
              <w:spacing w:after="0" w:line="240" w:lineRule="auto"/>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Em R$ milhões valores constantes de 2017</w:t>
            </w:r>
          </w:p>
        </w:tc>
        <w:tc>
          <w:tcPr>
            <w:tcW w:w="850" w:type="dxa"/>
            <w:tcBorders>
              <w:top w:val="nil"/>
              <w:left w:val="nil"/>
              <w:bottom w:val="single" w:sz="4" w:space="0" w:color="auto"/>
              <w:right w:val="single" w:sz="4" w:space="0" w:color="auto"/>
            </w:tcBorders>
            <w:shd w:val="clear" w:color="000000" w:fill="FFFFFF"/>
            <w:noWrap/>
            <w:vAlign w:val="bottom"/>
            <w:hideMark/>
          </w:tcPr>
          <w:p w14:paraId="0EE0EDDF" w14:textId="6EBEDF3D"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850" w:type="dxa"/>
            <w:tcBorders>
              <w:top w:val="nil"/>
              <w:left w:val="nil"/>
              <w:bottom w:val="single" w:sz="4" w:space="0" w:color="auto"/>
              <w:right w:val="single" w:sz="4" w:space="0" w:color="auto"/>
            </w:tcBorders>
            <w:shd w:val="clear" w:color="000000" w:fill="FFFFFF"/>
            <w:noWrap/>
            <w:vAlign w:val="bottom"/>
            <w:hideMark/>
          </w:tcPr>
          <w:p w14:paraId="66124965" w14:textId="2B870F03"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851" w:type="dxa"/>
            <w:tcBorders>
              <w:top w:val="nil"/>
              <w:left w:val="nil"/>
              <w:bottom w:val="single" w:sz="4" w:space="0" w:color="auto"/>
              <w:right w:val="single" w:sz="4" w:space="0" w:color="auto"/>
            </w:tcBorders>
            <w:shd w:val="clear" w:color="000000" w:fill="FFFFFF"/>
            <w:noWrap/>
            <w:vAlign w:val="bottom"/>
            <w:hideMark/>
          </w:tcPr>
          <w:p w14:paraId="6696892C" w14:textId="7757B6A2"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5" w:type="dxa"/>
            <w:tcBorders>
              <w:top w:val="nil"/>
              <w:left w:val="nil"/>
              <w:bottom w:val="single" w:sz="4" w:space="0" w:color="auto"/>
              <w:right w:val="single" w:sz="4" w:space="0" w:color="auto"/>
            </w:tcBorders>
            <w:shd w:val="clear" w:color="000000" w:fill="FFFFFF"/>
            <w:noWrap/>
            <w:vAlign w:val="bottom"/>
            <w:hideMark/>
          </w:tcPr>
          <w:p w14:paraId="381942E3" w14:textId="7B066F2A"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2" w:type="dxa"/>
            <w:tcBorders>
              <w:top w:val="nil"/>
              <w:left w:val="nil"/>
              <w:bottom w:val="single" w:sz="4" w:space="0" w:color="auto"/>
              <w:right w:val="single" w:sz="4" w:space="0" w:color="auto"/>
            </w:tcBorders>
            <w:shd w:val="clear" w:color="000000" w:fill="FFFFFF"/>
            <w:noWrap/>
            <w:vAlign w:val="bottom"/>
            <w:hideMark/>
          </w:tcPr>
          <w:p w14:paraId="3C27D981" w14:textId="40E3AA73"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2" w:type="dxa"/>
            <w:tcBorders>
              <w:top w:val="nil"/>
              <w:left w:val="nil"/>
              <w:bottom w:val="single" w:sz="4" w:space="0" w:color="auto"/>
              <w:right w:val="single" w:sz="4" w:space="0" w:color="auto"/>
            </w:tcBorders>
            <w:shd w:val="clear" w:color="000000" w:fill="FFFFFF"/>
            <w:noWrap/>
            <w:vAlign w:val="bottom"/>
            <w:hideMark/>
          </w:tcPr>
          <w:p w14:paraId="5FCFF7F0" w14:textId="790ED1EB" w:rsidR="002A42E0" w:rsidRPr="00C9376D" w:rsidRDefault="002A42E0" w:rsidP="00C9376D">
            <w:pPr>
              <w:spacing w:after="0" w:line="240" w:lineRule="auto"/>
              <w:jc w:val="right"/>
              <w:rPr>
                <w:rFonts w:ascii="Arial" w:eastAsia="Times New Roman" w:hAnsi="Arial" w:cs="Arial"/>
                <w:color w:val="000000"/>
                <w:sz w:val="20"/>
                <w:szCs w:val="20"/>
                <w:lang w:val="pt-BR"/>
              </w:rPr>
            </w:pPr>
          </w:p>
        </w:tc>
      </w:tr>
      <w:tr w:rsidR="002A42E0" w:rsidRPr="00C9376D" w14:paraId="7ED57CCB" w14:textId="77777777" w:rsidTr="00AE7F59">
        <w:trPr>
          <w:trHeight w:val="288"/>
        </w:trPr>
        <w:tc>
          <w:tcPr>
            <w:tcW w:w="4251" w:type="dxa"/>
            <w:tcBorders>
              <w:top w:val="nil"/>
              <w:left w:val="single" w:sz="4" w:space="0" w:color="auto"/>
              <w:bottom w:val="single" w:sz="4" w:space="0" w:color="auto"/>
              <w:right w:val="single" w:sz="4" w:space="0" w:color="auto"/>
            </w:tcBorders>
            <w:shd w:val="clear" w:color="000000" w:fill="FFFFFF"/>
            <w:vAlign w:val="bottom"/>
            <w:hideMark/>
          </w:tcPr>
          <w:p w14:paraId="4900685E" w14:textId="77777777" w:rsidR="002A42E0" w:rsidRPr="00615EB6" w:rsidRDefault="002A42E0" w:rsidP="002A42E0">
            <w:pPr>
              <w:spacing w:after="0" w:line="240" w:lineRule="auto"/>
              <w:rPr>
                <w:rFonts w:ascii="Arial" w:eastAsia="Times New Roman" w:hAnsi="Arial" w:cs="Arial"/>
                <w:i/>
                <w:color w:val="000000"/>
                <w:sz w:val="20"/>
                <w:szCs w:val="20"/>
                <w:lang w:val="pt-BR"/>
              </w:rPr>
            </w:pPr>
            <w:r w:rsidRPr="00615EB6">
              <w:rPr>
                <w:rFonts w:ascii="Arial" w:eastAsia="Times New Roman" w:hAnsi="Arial" w:cs="Arial"/>
                <w:i/>
                <w:color w:val="000000"/>
                <w:sz w:val="20"/>
                <w:szCs w:val="20"/>
                <w:lang w:val="pt-BR"/>
              </w:rPr>
              <w:t>Cenários</w:t>
            </w:r>
          </w:p>
        </w:tc>
        <w:tc>
          <w:tcPr>
            <w:tcW w:w="850" w:type="dxa"/>
            <w:tcBorders>
              <w:top w:val="nil"/>
              <w:left w:val="nil"/>
              <w:bottom w:val="single" w:sz="4" w:space="0" w:color="auto"/>
              <w:right w:val="single" w:sz="4" w:space="0" w:color="auto"/>
            </w:tcBorders>
            <w:shd w:val="clear" w:color="000000" w:fill="FFFFFF"/>
            <w:noWrap/>
            <w:vAlign w:val="bottom"/>
          </w:tcPr>
          <w:p w14:paraId="2FB0BE48" w14:textId="656E729B"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850" w:type="dxa"/>
            <w:tcBorders>
              <w:top w:val="nil"/>
              <w:left w:val="nil"/>
              <w:bottom w:val="single" w:sz="4" w:space="0" w:color="auto"/>
              <w:right w:val="single" w:sz="4" w:space="0" w:color="auto"/>
            </w:tcBorders>
            <w:shd w:val="clear" w:color="000000" w:fill="FFFFFF"/>
            <w:noWrap/>
            <w:vAlign w:val="bottom"/>
          </w:tcPr>
          <w:p w14:paraId="2A80ABB8" w14:textId="09503784"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851" w:type="dxa"/>
            <w:tcBorders>
              <w:top w:val="nil"/>
              <w:left w:val="nil"/>
              <w:bottom w:val="single" w:sz="4" w:space="0" w:color="auto"/>
              <w:right w:val="single" w:sz="4" w:space="0" w:color="auto"/>
            </w:tcBorders>
            <w:shd w:val="clear" w:color="000000" w:fill="FFFFFF"/>
            <w:noWrap/>
            <w:vAlign w:val="bottom"/>
          </w:tcPr>
          <w:p w14:paraId="25488A56" w14:textId="3E02B7C1"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5" w:type="dxa"/>
            <w:tcBorders>
              <w:top w:val="nil"/>
              <w:left w:val="nil"/>
              <w:bottom w:val="single" w:sz="4" w:space="0" w:color="auto"/>
              <w:right w:val="single" w:sz="4" w:space="0" w:color="auto"/>
            </w:tcBorders>
            <w:shd w:val="clear" w:color="000000" w:fill="FFFFFF"/>
            <w:noWrap/>
            <w:vAlign w:val="bottom"/>
          </w:tcPr>
          <w:p w14:paraId="6AEFCC92" w14:textId="48C16313"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2" w:type="dxa"/>
            <w:tcBorders>
              <w:top w:val="nil"/>
              <w:left w:val="nil"/>
              <w:bottom w:val="single" w:sz="4" w:space="0" w:color="auto"/>
              <w:right w:val="single" w:sz="4" w:space="0" w:color="auto"/>
            </w:tcBorders>
            <w:shd w:val="clear" w:color="000000" w:fill="FFFFFF"/>
            <w:noWrap/>
            <w:vAlign w:val="bottom"/>
          </w:tcPr>
          <w:p w14:paraId="0C87FA3F" w14:textId="527AB6BD"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2" w:type="dxa"/>
            <w:tcBorders>
              <w:top w:val="nil"/>
              <w:left w:val="nil"/>
              <w:bottom w:val="single" w:sz="4" w:space="0" w:color="auto"/>
              <w:right w:val="single" w:sz="4" w:space="0" w:color="auto"/>
            </w:tcBorders>
            <w:shd w:val="clear" w:color="000000" w:fill="FFFFFF"/>
            <w:noWrap/>
            <w:vAlign w:val="bottom"/>
          </w:tcPr>
          <w:p w14:paraId="57980A71" w14:textId="7F6B4D20" w:rsidR="002A42E0" w:rsidRPr="00C9376D" w:rsidRDefault="002A42E0" w:rsidP="00C9376D">
            <w:pPr>
              <w:spacing w:after="0" w:line="240" w:lineRule="auto"/>
              <w:jc w:val="right"/>
              <w:rPr>
                <w:rFonts w:ascii="Arial" w:eastAsia="Times New Roman" w:hAnsi="Arial" w:cs="Arial"/>
                <w:color w:val="000000"/>
                <w:sz w:val="20"/>
                <w:szCs w:val="20"/>
                <w:lang w:val="pt-BR"/>
              </w:rPr>
            </w:pPr>
          </w:p>
        </w:tc>
      </w:tr>
      <w:tr w:rsidR="002A42E0" w:rsidRPr="00C9376D" w14:paraId="4386A7A7" w14:textId="77777777" w:rsidTr="00AE7F59">
        <w:trPr>
          <w:trHeight w:val="288"/>
        </w:trPr>
        <w:tc>
          <w:tcPr>
            <w:tcW w:w="4251" w:type="dxa"/>
            <w:tcBorders>
              <w:top w:val="nil"/>
              <w:left w:val="single" w:sz="4" w:space="0" w:color="auto"/>
              <w:bottom w:val="single" w:sz="4" w:space="0" w:color="auto"/>
              <w:right w:val="single" w:sz="4" w:space="0" w:color="auto"/>
            </w:tcBorders>
            <w:shd w:val="clear" w:color="000000" w:fill="FFFFFF"/>
            <w:vAlign w:val="bottom"/>
            <w:hideMark/>
          </w:tcPr>
          <w:p w14:paraId="5F217F97" w14:textId="77777777" w:rsidR="002A42E0" w:rsidRPr="00C9376D" w:rsidRDefault="002A42E0" w:rsidP="002A42E0">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Optimista</w:t>
            </w:r>
          </w:p>
        </w:tc>
        <w:tc>
          <w:tcPr>
            <w:tcW w:w="850" w:type="dxa"/>
            <w:tcBorders>
              <w:top w:val="nil"/>
              <w:left w:val="nil"/>
              <w:bottom w:val="single" w:sz="4" w:space="0" w:color="auto"/>
              <w:right w:val="single" w:sz="4" w:space="0" w:color="auto"/>
            </w:tcBorders>
            <w:shd w:val="clear" w:color="000000" w:fill="FFFFFF"/>
            <w:noWrap/>
            <w:vAlign w:val="bottom"/>
            <w:hideMark/>
          </w:tcPr>
          <w:p w14:paraId="2328A9D6" w14:textId="18B38936"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892</w:t>
            </w:r>
          </w:p>
        </w:tc>
        <w:tc>
          <w:tcPr>
            <w:tcW w:w="850" w:type="dxa"/>
            <w:tcBorders>
              <w:top w:val="nil"/>
              <w:left w:val="nil"/>
              <w:bottom w:val="single" w:sz="4" w:space="0" w:color="auto"/>
              <w:right w:val="single" w:sz="4" w:space="0" w:color="auto"/>
            </w:tcBorders>
            <w:shd w:val="clear" w:color="000000" w:fill="FFFFFF"/>
            <w:noWrap/>
            <w:vAlign w:val="bottom"/>
            <w:hideMark/>
          </w:tcPr>
          <w:p w14:paraId="6A083262" w14:textId="345CE61F"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1.522</w:t>
            </w:r>
          </w:p>
        </w:tc>
        <w:tc>
          <w:tcPr>
            <w:tcW w:w="851" w:type="dxa"/>
            <w:tcBorders>
              <w:top w:val="nil"/>
              <w:left w:val="nil"/>
              <w:bottom w:val="single" w:sz="4" w:space="0" w:color="auto"/>
              <w:right w:val="single" w:sz="4" w:space="0" w:color="auto"/>
            </w:tcBorders>
            <w:shd w:val="clear" w:color="000000" w:fill="FFFFFF"/>
            <w:noWrap/>
            <w:vAlign w:val="bottom"/>
            <w:hideMark/>
          </w:tcPr>
          <w:p w14:paraId="5781C9EB" w14:textId="5D449E8A"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2.228</w:t>
            </w:r>
          </w:p>
        </w:tc>
        <w:tc>
          <w:tcPr>
            <w:tcW w:w="995" w:type="dxa"/>
            <w:tcBorders>
              <w:top w:val="nil"/>
              <w:left w:val="nil"/>
              <w:bottom w:val="single" w:sz="4" w:space="0" w:color="auto"/>
              <w:right w:val="single" w:sz="4" w:space="0" w:color="auto"/>
            </w:tcBorders>
            <w:shd w:val="clear" w:color="000000" w:fill="FFFFFF"/>
            <w:noWrap/>
            <w:vAlign w:val="bottom"/>
            <w:hideMark/>
          </w:tcPr>
          <w:p w14:paraId="292C20ED" w14:textId="064DA02E"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1.336</w:t>
            </w:r>
          </w:p>
        </w:tc>
        <w:tc>
          <w:tcPr>
            <w:tcW w:w="992" w:type="dxa"/>
            <w:tcBorders>
              <w:top w:val="nil"/>
              <w:left w:val="nil"/>
              <w:bottom w:val="single" w:sz="4" w:space="0" w:color="auto"/>
              <w:right w:val="single" w:sz="4" w:space="0" w:color="auto"/>
            </w:tcBorders>
            <w:shd w:val="clear" w:color="000000" w:fill="FFFFFF"/>
            <w:noWrap/>
            <w:vAlign w:val="bottom"/>
            <w:hideMark/>
          </w:tcPr>
          <w:p w14:paraId="1CF7F4CC"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149,8%</w:t>
            </w:r>
          </w:p>
        </w:tc>
        <w:tc>
          <w:tcPr>
            <w:tcW w:w="992" w:type="dxa"/>
            <w:tcBorders>
              <w:top w:val="nil"/>
              <w:left w:val="nil"/>
              <w:bottom w:val="single" w:sz="4" w:space="0" w:color="auto"/>
              <w:right w:val="single" w:sz="4" w:space="0" w:color="auto"/>
            </w:tcBorders>
            <w:shd w:val="clear" w:color="000000" w:fill="FFFFFF"/>
            <w:noWrap/>
            <w:vAlign w:val="bottom"/>
            <w:hideMark/>
          </w:tcPr>
          <w:p w14:paraId="6F7701A2"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4,7%</w:t>
            </w:r>
          </w:p>
        </w:tc>
      </w:tr>
      <w:tr w:rsidR="002A42E0" w:rsidRPr="00C9376D" w14:paraId="17824431" w14:textId="77777777" w:rsidTr="00AE7F59">
        <w:trPr>
          <w:trHeight w:val="288"/>
        </w:trPr>
        <w:tc>
          <w:tcPr>
            <w:tcW w:w="4251" w:type="dxa"/>
            <w:tcBorders>
              <w:top w:val="nil"/>
              <w:left w:val="single" w:sz="4" w:space="0" w:color="auto"/>
              <w:bottom w:val="single" w:sz="4" w:space="0" w:color="auto"/>
              <w:right w:val="single" w:sz="4" w:space="0" w:color="auto"/>
            </w:tcBorders>
            <w:shd w:val="clear" w:color="000000" w:fill="FFFFFF"/>
            <w:vAlign w:val="bottom"/>
            <w:hideMark/>
          </w:tcPr>
          <w:p w14:paraId="1FDA78A1" w14:textId="77777777" w:rsidR="002A42E0" w:rsidRPr="00C9376D" w:rsidRDefault="002A42E0" w:rsidP="002A42E0">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Intermediário</w:t>
            </w:r>
          </w:p>
        </w:tc>
        <w:tc>
          <w:tcPr>
            <w:tcW w:w="850" w:type="dxa"/>
            <w:tcBorders>
              <w:top w:val="nil"/>
              <w:left w:val="nil"/>
              <w:bottom w:val="single" w:sz="4" w:space="0" w:color="auto"/>
              <w:right w:val="single" w:sz="4" w:space="0" w:color="auto"/>
            </w:tcBorders>
            <w:shd w:val="clear" w:color="000000" w:fill="FFFFFF"/>
            <w:noWrap/>
            <w:vAlign w:val="bottom"/>
            <w:hideMark/>
          </w:tcPr>
          <w:p w14:paraId="1B526C7E" w14:textId="274D2405"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892</w:t>
            </w:r>
          </w:p>
        </w:tc>
        <w:tc>
          <w:tcPr>
            <w:tcW w:w="850" w:type="dxa"/>
            <w:tcBorders>
              <w:top w:val="nil"/>
              <w:left w:val="nil"/>
              <w:bottom w:val="single" w:sz="4" w:space="0" w:color="auto"/>
              <w:right w:val="single" w:sz="4" w:space="0" w:color="auto"/>
            </w:tcBorders>
            <w:shd w:val="clear" w:color="000000" w:fill="FFFFFF"/>
            <w:noWrap/>
            <w:vAlign w:val="bottom"/>
            <w:hideMark/>
          </w:tcPr>
          <w:p w14:paraId="4418D37F" w14:textId="56A04293"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1.352</w:t>
            </w:r>
          </w:p>
        </w:tc>
        <w:tc>
          <w:tcPr>
            <w:tcW w:w="851" w:type="dxa"/>
            <w:tcBorders>
              <w:top w:val="nil"/>
              <w:left w:val="nil"/>
              <w:bottom w:val="single" w:sz="4" w:space="0" w:color="auto"/>
              <w:right w:val="single" w:sz="4" w:space="0" w:color="auto"/>
            </w:tcBorders>
            <w:shd w:val="clear" w:color="000000" w:fill="FFFFFF"/>
            <w:noWrap/>
            <w:vAlign w:val="bottom"/>
            <w:hideMark/>
          </w:tcPr>
          <w:p w14:paraId="0776920C" w14:textId="7BC2E931"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1.738</w:t>
            </w:r>
          </w:p>
        </w:tc>
        <w:tc>
          <w:tcPr>
            <w:tcW w:w="995" w:type="dxa"/>
            <w:tcBorders>
              <w:top w:val="nil"/>
              <w:left w:val="nil"/>
              <w:bottom w:val="single" w:sz="4" w:space="0" w:color="auto"/>
              <w:right w:val="single" w:sz="4" w:space="0" w:color="auto"/>
            </w:tcBorders>
            <w:shd w:val="clear" w:color="000000" w:fill="FFFFFF"/>
            <w:noWrap/>
            <w:vAlign w:val="bottom"/>
            <w:hideMark/>
          </w:tcPr>
          <w:p w14:paraId="6ACD80D7" w14:textId="4393FAAF"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846</w:t>
            </w:r>
          </w:p>
        </w:tc>
        <w:tc>
          <w:tcPr>
            <w:tcW w:w="992" w:type="dxa"/>
            <w:tcBorders>
              <w:top w:val="nil"/>
              <w:left w:val="nil"/>
              <w:bottom w:val="single" w:sz="4" w:space="0" w:color="auto"/>
              <w:right w:val="single" w:sz="4" w:space="0" w:color="auto"/>
            </w:tcBorders>
            <w:shd w:val="clear" w:color="000000" w:fill="FFFFFF"/>
            <w:noWrap/>
            <w:vAlign w:val="bottom"/>
            <w:hideMark/>
          </w:tcPr>
          <w:p w14:paraId="68D4B7EE"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94,8%</w:t>
            </w:r>
          </w:p>
        </w:tc>
        <w:tc>
          <w:tcPr>
            <w:tcW w:w="992" w:type="dxa"/>
            <w:tcBorders>
              <w:top w:val="nil"/>
              <w:left w:val="nil"/>
              <w:bottom w:val="single" w:sz="4" w:space="0" w:color="auto"/>
              <w:right w:val="single" w:sz="4" w:space="0" w:color="auto"/>
            </w:tcBorders>
            <w:shd w:val="clear" w:color="000000" w:fill="FFFFFF"/>
            <w:noWrap/>
            <w:vAlign w:val="bottom"/>
            <w:hideMark/>
          </w:tcPr>
          <w:p w14:paraId="43A1212B"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3,4%</w:t>
            </w:r>
          </w:p>
        </w:tc>
      </w:tr>
      <w:tr w:rsidR="002A42E0" w:rsidRPr="00C9376D" w14:paraId="3274BC29" w14:textId="77777777" w:rsidTr="00AE7F59">
        <w:trPr>
          <w:trHeight w:val="288"/>
        </w:trPr>
        <w:tc>
          <w:tcPr>
            <w:tcW w:w="4251" w:type="dxa"/>
            <w:tcBorders>
              <w:top w:val="nil"/>
              <w:left w:val="single" w:sz="4" w:space="0" w:color="auto"/>
              <w:bottom w:val="single" w:sz="4" w:space="0" w:color="auto"/>
              <w:right w:val="single" w:sz="4" w:space="0" w:color="auto"/>
            </w:tcBorders>
            <w:shd w:val="clear" w:color="000000" w:fill="FFFFFF"/>
            <w:vAlign w:val="bottom"/>
            <w:hideMark/>
          </w:tcPr>
          <w:p w14:paraId="7B7ECFE8" w14:textId="77777777" w:rsidR="002A42E0" w:rsidRPr="00C9376D" w:rsidRDefault="002A42E0" w:rsidP="002A42E0">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Pessimista</w:t>
            </w:r>
          </w:p>
        </w:tc>
        <w:tc>
          <w:tcPr>
            <w:tcW w:w="850" w:type="dxa"/>
            <w:tcBorders>
              <w:top w:val="nil"/>
              <w:left w:val="nil"/>
              <w:bottom w:val="single" w:sz="4" w:space="0" w:color="auto"/>
              <w:right w:val="single" w:sz="4" w:space="0" w:color="auto"/>
            </w:tcBorders>
            <w:shd w:val="clear" w:color="000000" w:fill="FFFFFF"/>
            <w:noWrap/>
            <w:vAlign w:val="bottom"/>
            <w:hideMark/>
          </w:tcPr>
          <w:p w14:paraId="4AFAFBC1" w14:textId="2D7656C5"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892</w:t>
            </w:r>
          </w:p>
        </w:tc>
        <w:tc>
          <w:tcPr>
            <w:tcW w:w="850" w:type="dxa"/>
            <w:tcBorders>
              <w:top w:val="nil"/>
              <w:left w:val="nil"/>
              <w:bottom w:val="single" w:sz="4" w:space="0" w:color="auto"/>
              <w:right w:val="single" w:sz="4" w:space="0" w:color="auto"/>
            </w:tcBorders>
            <w:shd w:val="clear" w:color="000000" w:fill="FFFFFF"/>
            <w:noWrap/>
            <w:vAlign w:val="bottom"/>
            <w:hideMark/>
          </w:tcPr>
          <w:p w14:paraId="1998FA5A" w14:textId="57FA9CE0"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1.201</w:t>
            </w:r>
          </w:p>
        </w:tc>
        <w:tc>
          <w:tcPr>
            <w:tcW w:w="851" w:type="dxa"/>
            <w:tcBorders>
              <w:top w:val="nil"/>
              <w:left w:val="nil"/>
              <w:bottom w:val="single" w:sz="4" w:space="0" w:color="auto"/>
              <w:right w:val="single" w:sz="4" w:space="0" w:color="auto"/>
            </w:tcBorders>
            <w:shd w:val="clear" w:color="000000" w:fill="FFFFFF"/>
            <w:noWrap/>
            <w:vAlign w:val="bottom"/>
            <w:hideMark/>
          </w:tcPr>
          <w:p w14:paraId="1CC8FD01" w14:textId="66FA24FC"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1.353</w:t>
            </w:r>
          </w:p>
        </w:tc>
        <w:tc>
          <w:tcPr>
            <w:tcW w:w="995" w:type="dxa"/>
            <w:tcBorders>
              <w:top w:val="nil"/>
              <w:left w:val="nil"/>
              <w:bottom w:val="single" w:sz="4" w:space="0" w:color="auto"/>
              <w:right w:val="single" w:sz="4" w:space="0" w:color="auto"/>
            </w:tcBorders>
            <w:shd w:val="clear" w:color="000000" w:fill="FFFFFF"/>
            <w:noWrap/>
            <w:vAlign w:val="bottom"/>
            <w:hideMark/>
          </w:tcPr>
          <w:p w14:paraId="659ECC94" w14:textId="116353F4"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461</w:t>
            </w:r>
          </w:p>
        </w:tc>
        <w:tc>
          <w:tcPr>
            <w:tcW w:w="992" w:type="dxa"/>
            <w:tcBorders>
              <w:top w:val="nil"/>
              <w:left w:val="nil"/>
              <w:bottom w:val="single" w:sz="4" w:space="0" w:color="auto"/>
              <w:right w:val="single" w:sz="4" w:space="0" w:color="auto"/>
            </w:tcBorders>
            <w:shd w:val="clear" w:color="000000" w:fill="FFFFFF"/>
            <w:noWrap/>
            <w:vAlign w:val="bottom"/>
            <w:hideMark/>
          </w:tcPr>
          <w:p w14:paraId="181B32F8"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51,6%</w:t>
            </w:r>
          </w:p>
        </w:tc>
        <w:tc>
          <w:tcPr>
            <w:tcW w:w="992" w:type="dxa"/>
            <w:tcBorders>
              <w:top w:val="nil"/>
              <w:left w:val="nil"/>
              <w:bottom w:val="single" w:sz="4" w:space="0" w:color="auto"/>
              <w:right w:val="single" w:sz="4" w:space="0" w:color="auto"/>
            </w:tcBorders>
            <w:shd w:val="clear" w:color="000000" w:fill="FFFFFF"/>
            <w:noWrap/>
            <w:vAlign w:val="bottom"/>
            <w:hideMark/>
          </w:tcPr>
          <w:p w14:paraId="667F0877"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2,1%</w:t>
            </w:r>
          </w:p>
        </w:tc>
      </w:tr>
      <w:tr w:rsidR="002A42E0" w:rsidRPr="00615EB6" w14:paraId="57B74CAB" w14:textId="77777777" w:rsidTr="00AE7F59">
        <w:trPr>
          <w:trHeight w:val="227"/>
        </w:trPr>
        <w:tc>
          <w:tcPr>
            <w:tcW w:w="4251" w:type="dxa"/>
            <w:tcBorders>
              <w:top w:val="nil"/>
              <w:left w:val="single" w:sz="4" w:space="0" w:color="auto"/>
              <w:bottom w:val="single" w:sz="4" w:space="0" w:color="auto"/>
              <w:right w:val="single" w:sz="4" w:space="0" w:color="auto"/>
            </w:tcBorders>
            <w:shd w:val="clear" w:color="auto" w:fill="auto"/>
            <w:vAlign w:val="center"/>
            <w:hideMark/>
          </w:tcPr>
          <w:p w14:paraId="43633F32" w14:textId="67A5741E" w:rsidR="002A42E0" w:rsidRPr="00C9376D" w:rsidRDefault="001B6F28" w:rsidP="002A42E0">
            <w:pPr>
              <w:spacing w:after="0" w:line="240" w:lineRule="auto"/>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 xml:space="preserve">Em </w:t>
            </w:r>
            <w:r w:rsidR="002A42E0" w:rsidRPr="00C9376D">
              <w:rPr>
                <w:rFonts w:ascii="Arial" w:eastAsia="Times New Roman" w:hAnsi="Arial" w:cs="Arial"/>
                <w:color w:val="000000"/>
                <w:sz w:val="20"/>
                <w:szCs w:val="20"/>
                <w:lang w:val="pt-BR"/>
              </w:rPr>
              <w:t>US$ milhões valores constantes de 2017</w:t>
            </w:r>
          </w:p>
        </w:tc>
        <w:tc>
          <w:tcPr>
            <w:tcW w:w="850" w:type="dxa"/>
            <w:tcBorders>
              <w:top w:val="nil"/>
              <w:left w:val="nil"/>
              <w:bottom w:val="single" w:sz="4" w:space="0" w:color="auto"/>
              <w:right w:val="single" w:sz="4" w:space="0" w:color="auto"/>
            </w:tcBorders>
            <w:shd w:val="clear" w:color="000000" w:fill="FFFFFF"/>
            <w:noWrap/>
            <w:vAlign w:val="bottom"/>
            <w:hideMark/>
          </w:tcPr>
          <w:p w14:paraId="517C33E2" w14:textId="2A9876CF"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850" w:type="dxa"/>
            <w:tcBorders>
              <w:top w:val="nil"/>
              <w:left w:val="nil"/>
              <w:bottom w:val="single" w:sz="4" w:space="0" w:color="auto"/>
              <w:right w:val="single" w:sz="4" w:space="0" w:color="auto"/>
            </w:tcBorders>
            <w:shd w:val="clear" w:color="000000" w:fill="FFFFFF"/>
            <w:noWrap/>
            <w:vAlign w:val="bottom"/>
            <w:hideMark/>
          </w:tcPr>
          <w:p w14:paraId="24DF5353" w14:textId="36129B65"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851" w:type="dxa"/>
            <w:tcBorders>
              <w:top w:val="nil"/>
              <w:left w:val="nil"/>
              <w:bottom w:val="single" w:sz="4" w:space="0" w:color="auto"/>
              <w:right w:val="single" w:sz="4" w:space="0" w:color="auto"/>
            </w:tcBorders>
            <w:shd w:val="clear" w:color="000000" w:fill="FFFFFF"/>
            <w:noWrap/>
            <w:vAlign w:val="bottom"/>
            <w:hideMark/>
          </w:tcPr>
          <w:p w14:paraId="268C520C" w14:textId="02E05460"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5" w:type="dxa"/>
            <w:tcBorders>
              <w:top w:val="nil"/>
              <w:left w:val="nil"/>
              <w:bottom w:val="single" w:sz="4" w:space="0" w:color="auto"/>
              <w:right w:val="single" w:sz="4" w:space="0" w:color="auto"/>
            </w:tcBorders>
            <w:shd w:val="clear" w:color="000000" w:fill="FFFFFF"/>
            <w:noWrap/>
            <w:vAlign w:val="bottom"/>
            <w:hideMark/>
          </w:tcPr>
          <w:p w14:paraId="7034675B" w14:textId="7311A2D1"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2" w:type="dxa"/>
            <w:tcBorders>
              <w:top w:val="nil"/>
              <w:left w:val="nil"/>
              <w:bottom w:val="single" w:sz="4" w:space="0" w:color="auto"/>
              <w:right w:val="single" w:sz="4" w:space="0" w:color="auto"/>
            </w:tcBorders>
            <w:shd w:val="clear" w:color="000000" w:fill="FFFFFF"/>
            <w:noWrap/>
            <w:vAlign w:val="bottom"/>
            <w:hideMark/>
          </w:tcPr>
          <w:p w14:paraId="256DF576" w14:textId="06A011C2"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2" w:type="dxa"/>
            <w:tcBorders>
              <w:top w:val="nil"/>
              <w:left w:val="nil"/>
              <w:bottom w:val="single" w:sz="4" w:space="0" w:color="auto"/>
              <w:right w:val="single" w:sz="4" w:space="0" w:color="auto"/>
            </w:tcBorders>
            <w:shd w:val="clear" w:color="000000" w:fill="FFFFFF"/>
            <w:noWrap/>
            <w:vAlign w:val="bottom"/>
            <w:hideMark/>
          </w:tcPr>
          <w:p w14:paraId="066E7CD3" w14:textId="45D60430" w:rsidR="002A42E0" w:rsidRPr="00C9376D" w:rsidRDefault="002A42E0" w:rsidP="00C9376D">
            <w:pPr>
              <w:spacing w:after="0" w:line="240" w:lineRule="auto"/>
              <w:jc w:val="right"/>
              <w:rPr>
                <w:rFonts w:ascii="Arial" w:eastAsia="Times New Roman" w:hAnsi="Arial" w:cs="Arial"/>
                <w:color w:val="000000"/>
                <w:sz w:val="20"/>
                <w:szCs w:val="20"/>
                <w:lang w:val="pt-BR"/>
              </w:rPr>
            </w:pPr>
          </w:p>
        </w:tc>
      </w:tr>
      <w:tr w:rsidR="002A42E0" w:rsidRPr="00C9376D" w14:paraId="624D48B0" w14:textId="77777777" w:rsidTr="00615EB6">
        <w:trPr>
          <w:trHeight w:val="288"/>
        </w:trPr>
        <w:tc>
          <w:tcPr>
            <w:tcW w:w="4251" w:type="dxa"/>
            <w:tcBorders>
              <w:top w:val="nil"/>
              <w:left w:val="single" w:sz="4" w:space="0" w:color="auto"/>
              <w:bottom w:val="single" w:sz="4" w:space="0" w:color="auto"/>
              <w:right w:val="single" w:sz="4" w:space="0" w:color="auto"/>
            </w:tcBorders>
            <w:shd w:val="clear" w:color="000000" w:fill="FFFFFF"/>
            <w:vAlign w:val="bottom"/>
            <w:hideMark/>
          </w:tcPr>
          <w:p w14:paraId="2E0527CB" w14:textId="77777777" w:rsidR="002A42E0" w:rsidRPr="00615EB6" w:rsidRDefault="002A42E0" w:rsidP="00615EB6">
            <w:pPr>
              <w:spacing w:after="0" w:line="240" w:lineRule="auto"/>
              <w:rPr>
                <w:rFonts w:ascii="Arial" w:eastAsia="Times New Roman" w:hAnsi="Arial" w:cs="Arial"/>
                <w:i/>
                <w:color w:val="000000"/>
                <w:sz w:val="20"/>
                <w:szCs w:val="20"/>
                <w:lang w:val="pt-BR"/>
              </w:rPr>
            </w:pPr>
            <w:r w:rsidRPr="00615EB6">
              <w:rPr>
                <w:rFonts w:ascii="Arial" w:eastAsia="Times New Roman" w:hAnsi="Arial" w:cs="Arial"/>
                <w:i/>
                <w:color w:val="000000"/>
                <w:sz w:val="20"/>
                <w:szCs w:val="20"/>
                <w:lang w:val="pt-BR"/>
              </w:rPr>
              <w:t>Cenários</w:t>
            </w:r>
          </w:p>
        </w:tc>
        <w:tc>
          <w:tcPr>
            <w:tcW w:w="850" w:type="dxa"/>
            <w:tcBorders>
              <w:top w:val="nil"/>
              <w:left w:val="nil"/>
              <w:bottom w:val="single" w:sz="4" w:space="0" w:color="auto"/>
              <w:right w:val="single" w:sz="4" w:space="0" w:color="auto"/>
            </w:tcBorders>
            <w:shd w:val="clear" w:color="000000" w:fill="FFFFFF"/>
            <w:noWrap/>
            <w:vAlign w:val="bottom"/>
          </w:tcPr>
          <w:p w14:paraId="16D47143" w14:textId="0680DE15"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850" w:type="dxa"/>
            <w:tcBorders>
              <w:top w:val="nil"/>
              <w:left w:val="nil"/>
              <w:bottom w:val="single" w:sz="4" w:space="0" w:color="auto"/>
              <w:right w:val="single" w:sz="4" w:space="0" w:color="auto"/>
            </w:tcBorders>
            <w:shd w:val="clear" w:color="000000" w:fill="FFFFFF"/>
            <w:noWrap/>
            <w:vAlign w:val="bottom"/>
          </w:tcPr>
          <w:p w14:paraId="6F09DAFF" w14:textId="18D46D6D"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851" w:type="dxa"/>
            <w:tcBorders>
              <w:top w:val="nil"/>
              <w:left w:val="nil"/>
              <w:bottom w:val="single" w:sz="4" w:space="0" w:color="auto"/>
              <w:right w:val="single" w:sz="4" w:space="0" w:color="auto"/>
            </w:tcBorders>
            <w:shd w:val="clear" w:color="000000" w:fill="FFFFFF"/>
            <w:noWrap/>
            <w:vAlign w:val="bottom"/>
          </w:tcPr>
          <w:p w14:paraId="682369A9" w14:textId="28769F01" w:rsidR="002A42E0" w:rsidRPr="00C9376D" w:rsidRDefault="002A42E0" w:rsidP="00C9376D">
            <w:pPr>
              <w:spacing w:after="0" w:line="240" w:lineRule="auto"/>
              <w:jc w:val="right"/>
              <w:rPr>
                <w:rFonts w:ascii="Arial" w:eastAsia="Times New Roman" w:hAnsi="Arial" w:cs="Arial"/>
                <w:color w:val="000000"/>
                <w:sz w:val="20"/>
                <w:szCs w:val="20"/>
                <w:lang w:val="pt-BR"/>
              </w:rPr>
            </w:pPr>
          </w:p>
        </w:tc>
        <w:tc>
          <w:tcPr>
            <w:tcW w:w="995" w:type="dxa"/>
            <w:tcBorders>
              <w:top w:val="nil"/>
              <w:left w:val="nil"/>
              <w:bottom w:val="single" w:sz="4" w:space="0" w:color="auto"/>
              <w:right w:val="single" w:sz="4" w:space="0" w:color="auto"/>
            </w:tcBorders>
            <w:shd w:val="clear" w:color="000000" w:fill="FFFFFF"/>
            <w:noWrap/>
            <w:vAlign w:val="bottom"/>
          </w:tcPr>
          <w:p w14:paraId="31997081" w14:textId="69BEA9E0" w:rsidR="002A42E0" w:rsidRPr="00615EB6" w:rsidRDefault="002A42E0" w:rsidP="00C9376D">
            <w:pPr>
              <w:spacing w:after="0" w:line="240" w:lineRule="auto"/>
              <w:jc w:val="right"/>
              <w:rPr>
                <w:rFonts w:ascii="Arial" w:eastAsia="Times New Roman" w:hAnsi="Arial" w:cs="Arial"/>
                <w:color w:val="000000"/>
                <w:sz w:val="20"/>
                <w:szCs w:val="20"/>
                <w:highlight w:val="yellow"/>
                <w:lang w:val="pt-BR"/>
              </w:rPr>
            </w:pPr>
          </w:p>
        </w:tc>
        <w:tc>
          <w:tcPr>
            <w:tcW w:w="992" w:type="dxa"/>
            <w:tcBorders>
              <w:top w:val="nil"/>
              <w:left w:val="nil"/>
              <w:bottom w:val="single" w:sz="4" w:space="0" w:color="auto"/>
              <w:right w:val="single" w:sz="4" w:space="0" w:color="auto"/>
            </w:tcBorders>
            <w:shd w:val="clear" w:color="000000" w:fill="FFFFFF"/>
            <w:noWrap/>
            <w:vAlign w:val="bottom"/>
          </w:tcPr>
          <w:p w14:paraId="667DE538" w14:textId="5287DF46" w:rsidR="002A42E0" w:rsidRPr="00615EB6" w:rsidRDefault="002A42E0" w:rsidP="00C9376D">
            <w:pPr>
              <w:spacing w:after="0" w:line="240" w:lineRule="auto"/>
              <w:jc w:val="right"/>
              <w:rPr>
                <w:rFonts w:ascii="Arial" w:eastAsia="Times New Roman" w:hAnsi="Arial" w:cs="Arial"/>
                <w:color w:val="000000"/>
                <w:sz w:val="20"/>
                <w:szCs w:val="20"/>
                <w:highlight w:val="yellow"/>
                <w:lang w:val="pt-BR"/>
              </w:rPr>
            </w:pPr>
          </w:p>
        </w:tc>
        <w:tc>
          <w:tcPr>
            <w:tcW w:w="992" w:type="dxa"/>
            <w:tcBorders>
              <w:top w:val="nil"/>
              <w:left w:val="nil"/>
              <w:bottom w:val="single" w:sz="4" w:space="0" w:color="auto"/>
              <w:right w:val="single" w:sz="4" w:space="0" w:color="auto"/>
            </w:tcBorders>
            <w:shd w:val="clear" w:color="000000" w:fill="FFFFFF"/>
            <w:noWrap/>
            <w:vAlign w:val="bottom"/>
          </w:tcPr>
          <w:p w14:paraId="06CF85D1" w14:textId="418D65A8" w:rsidR="002A42E0" w:rsidRPr="00615EB6" w:rsidRDefault="002A42E0" w:rsidP="00C9376D">
            <w:pPr>
              <w:spacing w:after="0" w:line="240" w:lineRule="auto"/>
              <w:jc w:val="right"/>
              <w:rPr>
                <w:rFonts w:ascii="Arial" w:eastAsia="Times New Roman" w:hAnsi="Arial" w:cs="Arial"/>
                <w:color w:val="000000"/>
                <w:sz w:val="20"/>
                <w:szCs w:val="20"/>
                <w:highlight w:val="yellow"/>
                <w:lang w:val="pt-BR"/>
              </w:rPr>
            </w:pPr>
          </w:p>
        </w:tc>
      </w:tr>
      <w:tr w:rsidR="002A42E0" w:rsidRPr="00C9376D" w14:paraId="19FBBE34" w14:textId="77777777" w:rsidTr="00AE7F59">
        <w:trPr>
          <w:trHeight w:val="288"/>
        </w:trPr>
        <w:tc>
          <w:tcPr>
            <w:tcW w:w="4251" w:type="dxa"/>
            <w:tcBorders>
              <w:top w:val="nil"/>
              <w:left w:val="single" w:sz="4" w:space="0" w:color="auto"/>
              <w:bottom w:val="single" w:sz="4" w:space="0" w:color="auto"/>
              <w:right w:val="single" w:sz="4" w:space="0" w:color="auto"/>
            </w:tcBorders>
            <w:shd w:val="clear" w:color="000000" w:fill="FFFFFF"/>
            <w:vAlign w:val="bottom"/>
            <w:hideMark/>
          </w:tcPr>
          <w:p w14:paraId="49EA76C2" w14:textId="77777777" w:rsidR="002A42E0" w:rsidRPr="00C9376D" w:rsidRDefault="002A42E0" w:rsidP="002A42E0">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Optimista</w:t>
            </w:r>
          </w:p>
        </w:tc>
        <w:tc>
          <w:tcPr>
            <w:tcW w:w="850" w:type="dxa"/>
            <w:tcBorders>
              <w:top w:val="nil"/>
              <w:left w:val="nil"/>
              <w:bottom w:val="single" w:sz="4" w:space="0" w:color="auto"/>
              <w:right w:val="single" w:sz="4" w:space="0" w:color="auto"/>
            </w:tcBorders>
            <w:shd w:val="clear" w:color="000000" w:fill="FFFFFF"/>
            <w:noWrap/>
            <w:vAlign w:val="bottom"/>
            <w:hideMark/>
          </w:tcPr>
          <w:p w14:paraId="42DABCC1" w14:textId="63BD9AE2"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279</w:t>
            </w:r>
          </w:p>
        </w:tc>
        <w:tc>
          <w:tcPr>
            <w:tcW w:w="850" w:type="dxa"/>
            <w:tcBorders>
              <w:top w:val="nil"/>
              <w:left w:val="nil"/>
              <w:bottom w:val="single" w:sz="4" w:space="0" w:color="auto"/>
              <w:right w:val="single" w:sz="4" w:space="0" w:color="auto"/>
            </w:tcBorders>
            <w:shd w:val="clear" w:color="000000" w:fill="FFFFFF"/>
            <w:noWrap/>
            <w:vAlign w:val="bottom"/>
            <w:hideMark/>
          </w:tcPr>
          <w:p w14:paraId="5C880E81" w14:textId="7B73C8A5"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476</w:t>
            </w:r>
          </w:p>
        </w:tc>
        <w:tc>
          <w:tcPr>
            <w:tcW w:w="851" w:type="dxa"/>
            <w:tcBorders>
              <w:top w:val="nil"/>
              <w:left w:val="nil"/>
              <w:bottom w:val="single" w:sz="4" w:space="0" w:color="auto"/>
              <w:right w:val="single" w:sz="4" w:space="0" w:color="auto"/>
            </w:tcBorders>
            <w:shd w:val="clear" w:color="000000" w:fill="FFFFFF"/>
            <w:noWrap/>
            <w:vAlign w:val="bottom"/>
            <w:hideMark/>
          </w:tcPr>
          <w:p w14:paraId="6AA15542" w14:textId="3CA70989"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696</w:t>
            </w:r>
          </w:p>
        </w:tc>
        <w:tc>
          <w:tcPr>
            <w:tcW w:w="995" w:type="dxa"/>
            <w:tcBorders>
              <w:top w:val="nil"/>
              <w:left w:val="nil"/>
              <w:bottom w:val="single" w:sz="4" w:space="0" w:color="auto"/>
              <w:right w:val="single" w:sz="4" w:space="0" w:color="auto"/>
            </w:tcBorders>
            <w:shd w:val="clear" w:color="000000" w:fill="FFFFFF"/>
            <w:noWrap/>
            <w:vAlign w:val="bottom"/>
            <w:hideMark/>
          </w:tcPr>
          <w:p w14:paraId="4A50C27B" w14:textId="3447F8B0"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418</w:t>
            </w:r>
          </w:p>
        </w:tc>
        <w:tc>
          <w:tcPr>
            <w:tcW w:w="992" w:type="dxa"/>
            <w:tcBorders>
              <w:top w:val="nil"/>
              <w:left w:val="nil"/>
              <w:bottom w:val="single" w:sz="4" w:space="0" w:color="auto"/>
              <w:right w:val="single" w:sz="4" w:space="0" w:color="auto"/>
            </w:tcBorders>
            <w:shd w:val="clear" w:color="000000" w:fill="FFFFFF"/>
            <w:noWrap/>
            <w:vAlign w:val="bottom"/>
            <w:hideMark/>
          </w:tcPr>
          <w:p w14:paraId="1741CC0B"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149,8%</w:t>
            </w:r>
          </w:p>
        </w:tc>
        <w:tc>
          <w:tcPr>
            <w:tcW w:w="992" w:type="dxa"/>
            <w:tcBorders>
              <w:top w:val="nil"/>
              <w:left w:val="nil"/>
              <w:bottom w:val="single" w:sz="4" w:space="0" w:color="auto"/>
              <w:right w:val="single" w:sz="4" w:space="0" w:color="auto"/>
            </w:tcBorders>
            <w:shd w:val="clear" w:color="000000" w:fill="FFFFFF"/>
            <w:noWrap/>
            <w:vAlign w:val="bottom"/>
            <w:hideMark/>
          </w:tcPr>
          <w:p w14:paraId="523D6FED"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4,7%</w:t>
            </w:r>
          </w:p>
        </w:tc>
      </w:tr>
      <w:tr w:rsidR="002A42E0" w:rsidRPr="00C9376D" w14:paraId="14EB5BF4" w14:textId="77777777" w:rsidTr="00AE7F59">
        <w:trPr>
          <w:trHeight w:val="288"/>
        </w:trPr>
        <w:tc>
          <w:tcPr>
            <w:tcW w:w="4251" w:type="dxa"/>
            <w:tcBorders>
              <w:top w:val="nil"/>
              <w:left w:val="single" w:sz="4" w:space="0" w:color="auto"/>
              <w:bottom w:val="single" w:sz="4" w:space="0" w:color="auto"/>
              <w:right w:val="single" w:sz="4" w:space="0" w:color="auto"/>
            </w:tcBorders>
            <w:shd w:val="clear" w:color="000000" w:fill="FFFFFF"/>
            <w:vAlign w:val="bottom"/>
            <w:hideMark/>
          </w:tcPr>
          <w:p w14:paraId="69BC81F7" w14:textId="77777777" w:rsidR="002A42E0" w:rsidRPr="00C9376D" w:rsidRDefault="002A42E0" w:rsidP="002A42E0">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Intermediário</w:t>
            </w:r>
          </w:p>
        </w:tc>
        <w:tc>
          <w:tcPr>
            <w:tcW w:w="850" w:type="dxa"/>
            <w:tcBorders>
              <w:top w:val="nil"/>
              <w:left w:val="nil"/>
              <w:bottom w:val="single" w:sz="4" w:space="0" w:color="auto"/>
              <w:right w:val="single" w:sz="4" w:space="0" w:color="auto"/>
            </w:tcBorders>
            <w:shd w:val="clear" w:color="000000" w:fill="FFFFFF"/>
            <w:noWrap/>
            <w:vAlign w:val="bottom"/>
            <w:hideMark/>
          </w:tcPr>
          <w:p w14:paraId="7FD2DFF5" w14:textId="133C6939"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279</w:t>
            </w:r>
          </w:p>
        </w:tc>
        <w:tc>
          <w:tcPr>
            <w:tcW w:w="850" w:type="dxa"/>
            <w:tcBorders>
              <w:top w:val="nil"/>
              <w:left w:val="nil"/>
              <w:bottom w:val="single" w:sz="4" w:space="0" w:color="auto"/>
              <w:right w:val="single" w:sz="4" w:space="0" w:color="auto"/>
            </w:tcBorders>
            <w:shd w:val="clear" w:color="000000" w:fill="FFFFFF"/>
            <w:noWrap/>
            <w:vAlign w:val="bottom"/>
            <w:hideMark/>
          </w:tcPr>
          <w:p w14:paraId="57E6A42D" w14:textId="7A5572DE"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423</w:t>
            </w:r>
          </w:p>
        </w:tc>
        <w:tc>
          <w:tcPr>
            <w:tcW w:w="851" w:type="dxa"/>
            <w:tcBorders>
              <w:top w:val="nil"/>
              <w:left w:val="nil"/>
              <w:bottom w:val="single" w:sz="4" w:space="0" w:color="auto"/>
              <w:right w:val="single" w:sz="4" w:space="0" w:color="auto"/>
            </w:tcBorders>
            <w:shd w:val="clear" w:color="000000" w:fill="FFFFFF"/>
            <w:noWrap/>
            <w:vAlign w:val="bottom"/>
            <w:hideMark/>
          </w:tcPr>
          <w:p w14:paraId="46353B06" w14:textId="3D3F2884"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543</w:t>
            </w:r>
          </w:p>
        </w:tc>
        <w:tc>
          <w:tcPr>
            <w:tcW w:w="995" w:type="dxa"/>
            <w:tcBorders>
              <w:top w:val="nil"/>
              <w:left w:val="nil"/>
              <w:bottom w:val="single" w:sz="4" w:space="0" w:color="auto"/>
              <w:right w:val="single" w:sz="4" w:space="0" w:color="auto"/>
            </w:tcBorders>
            <w:shd w:val="clear" w:color="000000" w:fill="FFFFFF"/>
            <w:noWrap/>
            <w:vAlign w:val="bottom"/>
            <w:hideMark/>
          </w:tcPr>
          <w:p w14:paraId="03262582" w14:textId="7BC1EE12"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264</w:t>
            </w:r>
          </w:p>
        </w:tc>
        <w:tc>
          <w:tcPr>
            <w:tcW w:w="992" w:type="dxa"/>
            <w:tcBorders>
              <w:top w:val="nil"/>
              <w:left w:val="nil"/>
              <w:bottom w:val="single" w:sz="4" w:space="0" w:color="auto"/>
              <w:right w:val="single" w:sz="4" w:space="0" w:color="auto"/>
            </w:tcBorders>
            <w:shd w:val="clear" w:color="000000" w:fill="FFFFFF"/>
            <w:noWrap/>
            <w:vAlign w:val="bottom"/>
            <w:hideMark/>
          </w:tcPr>
          <w:p w14:paraId="697994E9"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94,8%</w:t>
            </w:r>
          </w:p>
        </w:tc>
        <w:tc>
          <w:tcPr>
            <w:tcW w:w="992" w:type="dxa"/>
            <w:tcBorders>
              <w:top w:val="nil"/>
              <w:left w:val="nil"/>
              <w:bottom w:val="single" w:sz="4" w:space="0" w:color="auto"/>
              <w:right w:val="single" w:sz="4" w:space="0" w:color="auto"/>
            </w:tcBorders>
            <w:shd w:val="clear" w:color="000000" w:fill="FFFFFF"/>
            <w:noWrap/>
            <w:vAlign w:val="bottom"/>
            <w:hideMark/>
          </w:tcPr>
          <w:p w14:paraId="7852A0AF"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3,4%</w:t>
            </w:r>
          </w:p>
        </w:tc>
      </w:tr>
      <w:tr w:rsidR="002A42E0" w:rsidRPr="00C9376D" w14:paraId="3B832AB7" w14:textId="77777777" w:rsidTr="00AE7F59">
        <w:trPr>
          <w:trHeight w:val="288"/>
        </w:trPr>
        <w:tc>
          <w:tcPr>
            <w:tcW w:w="4251" w:type="dxa"/>
            <w:tcBorders>
              <w:top w:val="nil"/>
              <w:left w:val="single" w:sz="4" w:space="0" w:color="auto"/>
              <w:bottom w:val="single" w:sz="4" w:space="0" w:color="auto"/>
              <w:right w:val="single" w:sz="4" w:space="0" w:color="auto"/>
            </w:tcBorders>
            <w:shd w:val="clear" w:color="000000" w:fill="FFFFFF"/>
            <w:vAlign w:val="bottom"/>
            <w:hideMark/>
          </w:tcPr>
          <w:p w14:paraId="24335537" w14:textId="77777777" w:rsidR="002A42E0" w:rsidRPr="00C9376D" w:rsidRDefault="002A42E0" w:rsidP="002A42E0">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Pessimista</w:t>
            </w:r>
          </w:p>
        </w:tc>
        <w:tc>
          <w:tcPr>
            <w:tcW w:w="850" w:type="dxa"/>
            <w:tcBorders>
              <w:top w:val="nil"/>
              <w:left w:val="nil"/>
              <w:bottom w:val="single" w:sz="4" w:space="0" w:color="auto"/>
              <w:right w:val="single" w:sz="4" w:space="0" w:color="auto"/>
            </w:tcBorders>
            <w:shd w:val="clear" w:color="000000" w:fill="FFFFFF"/>
            <w:noWrap/>
            <w:vAlign w:val="bottom"/>
            <w:hideMark/>
          </w:tcPr>
          <w:p w14:paraId="6058F3F3" w14:textId="76DE6CA4"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279</w:t>
            </w:r>
          </w:p>
        </w:tc>
        <w:tc>
          <w:tcPr>
            <w:tcW w:w="850" w:type="dxa"/>
            <w:tcBorders>
              <w:top w:val="nil"/>
              <w:left w:val="nil"/>
              <w:bottom w:val="single" w:sz="4" w:space="0" w:color="auto"/>
              <w:right w:val="single" w:sz="4" w:space="0" w:color="auto"/>
            </w:tcBorders>
            <w:shd w:val="clear" w:color="000000" w:fill="FFFFFF"/>
            <w:noWrap/>
            <w:vAlign w:val="bottom"/>
            <w:hideMark/>
          </w:tcPr>
          <w:p w14:paraId="4F938A5E" w14:textId="01BC2C75"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375</w:t>
            </w:r>
          </w:p>
        </w:tc>
        <w:tc>
          <w:tcPr>
            <w:tcW w:w="851" w:type="dxa"/>
            <w:tcBorders>
              <w:top w:val="nil"/>
              <w:left w:val="nil"/>
              <w:bottom w:val="single" w:sz="4" w:space="0" w:color="auto"/>
              <w:right w:val="single" w:sz="4" w:space="0" w:color="auto"/>
            </w:tcBorders>
            <w:shd w:val="clear" w:color="000000" w:fill="FFFFFF"/>
            <w:noWrap/>
            <w:vAlign w:val="bottom"/>
            <w:hideMark/>
          </w:tcPr>
          <w:p w14:paraId="6A3010DC" w14:textId="72088388"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423</w:t>
            </w:r>
          </w:p>
        </w:tc>
        <w:tc>
          <w:tcPr>
            <w:tcW w:w="995" w:type="dxa"/>
            <w:tcBorders>
              <w:top w:val="nil"/>
              <w:left w:val="nil"/>
              <w:bottom w:val="single" w:sz="4" w:space="0" w:color="auto"/>
              <w:right w:val="single" w:sz="4" w:space="0" w:color="auto"/>
            </w:tcBorders>
            <w:shd w:val="clear" w:color="000000" w:fill="FFFFFF"/>
            <w:noWrap/>
            <w:vAlign w:val="bottom"/>
            <w:hideMark/>
          </w:tcPr>
          <w:p w14:paraId="5103CA85" w14:textId="72EAA249"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144</w:t>
            </w:r>
          </w:p>
        </w:tc>
        <w:tc>
          <w:tcPr>
            <w:tcW w:w="992" w:type="dxa"/>
            <w:tcBorders>
              <w:top w:val="nil"/>
              <w:left w:val="nil"/>
              <w:bottom w:val="single" w:sz="4" w:space="0" w:color="auto"/>
              <w:right w:val="single" w:sz="4" w:space="0" w:color="auto"/>
            </w:tcBorders>
            <w:shd w:val="clear" w:color="000000" w:fill="FFFFFF"/>
            <w:noWrap/>
            <w:vAlign w:val="bottom"/>
            <w:hideMark/>
          </w:tcPr>
          <w:p w14:paraId="197D4129"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51,6%</w:t>
            </w:r>
          </w:p>
        </w:tc>
        <w:tc>
          <w:tcPr>
            <w:tcW w:w="992" w:type="dxa"/>
            <w:tcBorders>
              <w:top w:val="nil"/>
              <w:left w:val="nil"/>
              <w:bottom w:val="single" w:sz="4" w:space="0" w:color="auto"/>
              <w:right w:val="single" w:sz="4" w:space="0" w:color="auto"/>
            </w:tcBorders>
            <w:shd w:val="clear" w:color="000000" w:fill="FFFFFF"/>
            <w:noWrap/>
            <w:vAlign w:val="bottom"/>
            <w:hideMark/>
          </w:tcPr>
          <w:p w14:paraId="75398A7F" w14:textId="77777777" w:rsidR="002A42E0" w:rsidRPr="00C9376D" w:rsidRDefault="002A42E0" w:rsidP="00C9376D">
            <w:pPr>
              <w:spacing w:after="0" w:line="240" w:lineRule="auto"/>
              <w:jc w:val="right"/>
              <w:rPr>
                <w:rFonts w:ascii="Arial" w:eastAsia="Times New Roman" w:hAnsi="Arial" w:cs="Arial"/>
                <w:color w:val="000000"/>
                <w:sz w:val="20"/>
                <w:szCs w:val="20"/>
                <w:lang w:val="pt-BR"/>
              </w:rPr>
            </w:pPr>
            <w:r w:rsidRPr="00C9376D">
              <w:rPr>
                <w:rFonts w:ascii="Arial" w:eastAsia="Times New Roman" w:hAnsi="Arial" w:cs="Arial"/>
                <w:color w:val="000000"/>
                <w:sz w:val="20"/>
                <w:szCs w:val="20"/>
                <w:lang w:val="pt-BR"/>
              </w:rPr>
              <w:t>2,1%</w:t>
            </w:r>
          </w:p>
        </w:tc>
      </w:tr>
    </w:tbl>
    <w:p w14:paraId="6D23B599" w14:textId="7E0DA80C" w:rsidR="001C0519" w:rsidRPr="00CA2760" w:rsidRDefault="003A7569" w:rsidP="006942D2">
      <w:pPr>
        <w:spacing w:line="360" w:lineRule="auto"/>
        <w:rPr>
          <w:rFonts w:ascii="Times New Roman" w:hAnsi="Times New Roman" w:cs="Times New Roman"/>
          <w:b/>
          <w:sz w:val="24"/>
          <w:szCs w:val="24"/>
          <w:lang w:val="pt-BR"/>
        </w:rPr>
      </w:pPr>
      <w:r w:rsidRPr="00CA2760">
        <w:rPr>
          <w:rFonts w:ascii="Times New Roman" w:hAnsi="Times New Roman" w:cs="Times New Roman"/>
          <w:sz w:val="24"/>
          <w:szCs w:val="24"/>
          <w:lang w:val="pt-BR"/>
        </w:rPr>
        <w:t>Fonte:  Simulações do</w:t>
      </w:r>
      <w:r w:rsidR="00447B14" w:rsidRPr="00CA2760">
        <w:rPr>
          <w:rFonts w:ascii="Times New Roman" w:hAnsi="Times New Roman" w:cs="Times New Roman"/>
          <w:sz w:val="24"/>
          <w:szCs w:val="24"/>
          <w:lang w:val="pt-BR"/>
        </w:rPr>
        <w:t>s</w:t>
      </w:r>
      <w:r w:rsidRPr="00CA2760">
        <w:rPr>
          <w:rFonts w:ascii="Times New Roman" w:hAnsi="Times New Roman" w:cs="Times New Roman"/>
          <w:sz w:val="24"/>
          <w:szCs w:val="24"/>
          <w:lang w:val="pt-BR"/>
        </w:rPr>
        <w:t xml:space="preserve"> autores</w:t>
      </w:r>
      <w:r w:rsidR="00A044F9" w:rsidRPr="00CA2760">
        <w:rPr>
          <w:rFonts w:ascii="Times New Roman" w:hAnsi="Times New Roman" w:cs="Times New Roman"/>
          <w:sz w:val="24"/>
          <w:szCs w:val="24"/>
          <w:lang w:val="pt-BR"/>
        </w:rPr>
        <w:t xml:space="preserve"> com os dados das tabelas anteriores</w:t>
      </w:r>
      <w:r w:rsidRPr="00CA2760">
        <w:rPr>
          <w:rFonts w:ascii="Times New Roman" w:hAnsi="Times New Roman" w:cs="Times New Roman"/>
          <w:sz w:val="24"/>
          <w:szCs w:val="24"/>
          <w:lang w:val="pt-BR"/>
        </w:rPr>
        <w:t>.</w:t>
      </w:r>
      <w:r w:rsidR="001C0519" w:rsidRPr="00CA2760">
        <w:rPr>
          <w:rFonts w:ascii="Times New Roman" w:hAnsi="Times New Roman" w:cs="Times New Roman"/>
          <w:b/>
          <w:sz w:val="24"/>
          <w:szCs w:val="24"/>
          <w:lang w:val="pt-BR"/>
        </w:rPr>
        <w:br w:type="page"/>
      </w:r>
    </w:p>
    <w:bookmarkEnd w:id="25"/>
    <w:p w14:paraId="5ACC1DCD" w14:textId="69EFB929" w:rsidR="001C0519" w:rsidRPr="00CA2760" w:rsidRDefault="001C0519" w:rsidP="001C0519">
      <w:pPr>
        <w:spacing w:after="0" w:line="240" w:lineRule="auto"/>
        <w:rPr>
          <w:rFonts w:ascii="Times New Roman" w:hAnsi="Times New Roman" w:cs="Times New Roman"/>
          <w:sz w:val="24"/>
          <w:szCs w:val="24"/>
          <w:lang w:val="pt-BR"/>
        </w:rPr>
      </w:pPr>
      <w:r w:rsidRPr="00A47D27">
        <w:rPr>
          <w:rFonts w:ascii="Times New Roman" w:hAnsi="Times New Roman" w:cs="Times New Roman"/>
          <w:sz w:val="24"/>
          <w:szCs w:val="24"/>
          <w:lang w:val="pt-BR"/>
        </w:rPr>
        <w:lastRenderedPageBreak/>
        <w:t xml:space="preserve">Gráfico </w:t>
      </w:r>
      <w:r w:rsidR="00081CDA" w:rsidRPr="00A47D27">
        <w:rPr>
          <w:rFonts w:ascii="Times New Roman" w:hAnsi="Times New Roman" w:cs="Times New Roman"/>
          <w:sz w:val="24"/>
          <w:szCs w:val="24"/>
          <w:lang w:val="pt-BR"/>
        </w:rPr>
        <w:t>4</w:t>
      </w:r>
      <w:r w:rsidRPr="00A47D27">
        <w:rPr>
          <w:rFonts w:ascii="Times New Roman" w:hAnsi="Times New Roman" w:cs="Times New Roman"/>
          <w:sz w:val="24"/>
          <w:szCs w:val="24"/>
          <w:lang w:val="pt-BR"/>
        </w:rPr>
        <w:t xml:space="preserve">.  FDU:  Projeções de </w:t>
      </w:r>
      <w:r w:rsidR="003A2464">
        <w:rPr>
          <w:rFonts w:ascii="Times New Roman" w:hAnsi="Times New Roman" w:cs="Times New Roman"/>
          <w:sz w:val="24"/>
          <w:szCs w:val="24"/>
          <w:lang w:val="pt-BR"/>
        </w:rPr>
        <w:t>PL</w:t>
      </w:r>
      <w:r w:rsidRPr="00A47D27">
        <w:rPr>
          <w:rFonts w:ascii="Times New Roman" w:hAnsi="Times New Roman" w:cs="Times New Roman"/>
          <w:sz w:val="24"/>
          <w:szCs w:val="24"/>
          <w:lang w:val="pt-BR"/>
        </w:rPr>
        <w:t xml:space="preserve"> </w:t>
      </w:r>
      <w:r w:rsidR="00FB47D0" w:rsidRPr="00A47D27">
        <w:rPr>
          <w:rFonts w:ascii="Times New Roman" w:hAnsi="Times New Roman" w:cs="Times New Roman"/>
          <w:sz w:val="24"/>
          <w:szCs w:val="24"/>
          <w:lang w:val="pt-BR"/>
        </w:rPr>
        <w:t xml:space="preserve">nos </w:t>
      </w:r>
      <w:r w:rsidRPr="00A47D27">
        <w:rPr>
          <w:rFonts w:ascii="Times New Roman" w:hAnsi="Times New Roman" w:cs="Times New Roman"/>
          <w:sz w:val="24"/>
          <w:szCs w:val="24"/>
          <w:lang w:val="pt-BR"/>
        </w:rPr>
        <w:t>cenários:  2018-2038</w:t>
      </w:r>
    </w:p>
    <w:p w14:paraId="63A01FF5" w14:textId="4C0C576F" w:rsidR="001C0519" w:rsidRPr="00CA2760" w:rsidRDefault="006942D2" w:rsidP="001C0519">
      <w:pPr>
        <w:spacing w:after="0" w:line="240"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Em </w:t>
      </w:r>
      <w:r w:rsidR="001C0519" w:rsidRPr="001C0519">
        <w:rPr>
          <w:rFonts w:ascii="Times New Roman" w:hAnsi="Times New Roman" w:cs="Times New Roman"/>
          <w:sz w:val="24"/>
          <w:szCs w:val="24"/>
          <w:lang w:val="pt-BR"/>
        </w:rPr>
        <w:t>R$ milhões valores constantes de 2017</w:t>
      </w:r>
    </w:p>
    <w:p w14:paraId="1CCD5A75" w14:textId="4F513E64" w:rsidR="001C0519" w:rsidRDefault="006876F4" w:rsidP="006876F4">
      <w:pPr>
        <w:spacing w:line="240" w:lineRule="auto"/>
        <w:rPr>
          <w:noProof/>
        </w:rPr>
      </w:pPr>
      <w:r>
        <w:rPr>
          <w:noProof/>
        </w:rPr>
        <w:drawing>
          <wp:inline distT="0" distB="0" distL="0" distR="0" wp14:anchorId="7AD357E5" wp14:editId="18DFD6AB">
            <wp:extent cx="4572000" cy="3252788"/>
            <wp:effectExtent l="0" t="0" r="0" b="5080"/>
            <wp:docPr id="41" name="Chart 41">
              <a:extLst xmlns:a="http://schemas.openxmlformats.org/drawingml/2006/main">
                <a:ext uri="{FF2B5EF4-FFF2-40B4-BE49-F238E27FC236}">
                  <a16:creationId xmlns:a16="http://schemas.microsoft.com/office/drawing/2014/main" id="{6E63BF37-B992-4891-9E6C-06B21C6A88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950683" w14:textId="477306D5" w:rsidR="0059794A" w:rsidRPr="00CA2760" w:rsidRDefault="0059794A" w:rsidP="0059794A">
      <w:pPr>
        <w:spacing w:line="240" w:lineRule="auto"/>
        <w:rPr>
          <w:rFonts w:ascii="Times New Roman" w:hAnsi="Times New Roman" w:cs="Times New Roman"/>
          <w:lang w:val="pt-BR"/>
        </w:rPr>
      </w:pPr>
      <w:r w:rsidRPr="00CA2760">
        <w:rPr>
          <w:rFonts w:ascii="Times New Roman" w:hAnsi="Times New Roman" w:cs="Times New Roman"/>
          <w:lang w:val="pt-BR"/>
        </w:rPr>
        <w:t>Fonte:  Simulações dos autores.</w:t>
      </w:r>
    </w:p>
    <w:p w14:paraId="06BDEC82" w14:textId="73933954" w:rsidR="001C0519" w:rsidRPr="00CA2760" w:rsidRDefault="001C0519" w:rsidP="001C0519">
      <w:pPr>
        <w:spacing w:after="0" w:line="240" w:lineRule="auto"/>
        <w:rPr>
          <w:rFonts w:ascii="Times New Roman" w:hAnsi="Times New Roman" w:cs="Times New Roman"/>
          <w:sz w:val="24"/>
          <w:szCs w:val="24"/>
          <w:lang w:val="pt-BR"/>
        </w:rPr>
      </w:pPr>
      <w:r w:rsidRPr="00A47D27">
        <w:rPr>
          <w:rFonts w:ascii="Times New Roman" w:hAnsi="Times New Roman" w:cs="Times New Roman"/>
          <w:sz w:val="24"/>
          <w:szCs w:val="24"/>
          <w:lang w:val="pt-BR"/>
        </w:rPr>
        <w:t xml:space="preserve">Gráfico </w:t>
      </w:r>
      <w:r w:rsidR="00081CDA" w:rsidRPr="00A47D27">
        <w:rPr>
          <w:rFonts w:ascii="Times New Roman" w:hAnsi="Times New Roman" w:cs="Times New Roman"/>
          <w:sz w:val="24"/>
          <w:szCs w:val="24"/>
          <w:lang w:val="pt-BR"/>
        </w:rPr>
        <w:t>5</w:t>
      </w:r>
      <w:r w:rsidRPr="00A47D27">
        <w:rPr>
          <w:rFonts w:ascii="Times New Roman" w:hAnsi="Times New Roman" w:cs="Times New Roman"/>
          <w:sz w:val="24"/>
          <w:szCs w:val="24"/>
          <w:lang w:val="pt-BR"/>
        </w:rPr>
        <w:t>.  FDU:</w:t>
      </w:r>
      <w:r w:rsidRPr="001C0519">
        <w:rPr>
          <w:rFonts w:ascii="Times New Roman" w:hAnsi="Times New Roman" w:cs="Times New Roman"/>
          <w:sz w:val="24"/>
          <w:szCs w:val="24"/>
          <w:lang w:val="pt-BR"/>
        </w:rPr>
        <w:t xml:space="preserve"> Proje</w:t>
      </w:r>
      <w:r w:rsidRPr="00CA2760">
        <w:rPr>
          <w:rFonts w:ascii="Times New Roman" w:hAnsi="Times New Roman" w:cs="Times New Roman"/>
          <w:sz w:val="24"/>
          <w:szCs w:val="24"/>
          <w:lang w:val="pt-BR"/>
        </w:rPr>
        <w:t>ç</w:t>
      </w:r>
      <w:r w:rsidRPr="001C0519">
        <w:rPr>
          <w:rFonts w:ascii="Times New Roman" w:hAnsi="Times New Roman" w:cs="Times New Roman"/>
          <w:sz w:val="24"/>
          <w:szCs w:val="24"/>
          <w:lang w:val="pt-BR"/>
        </w:rPr>
        <w:t xml:space="preserve">ões de Financiamentos Concedidos aos Municípios </w:t>
      </w:r>
      <w:r w:rsidR="00FB47D0">
        <w:rPr>
          <w:rFonts w:ascii="Times New Roman" w:hAnsi="Times New Roman" w:cs="Times New Roman"/>
          <w:sz w:val="24"/>
          <w:szCs w:val="24"/>
          <w:lang w:val="pt-BR"/>
        </w:rPr>
        <w:t xml:space="preserve">nos </w:t>
      </w:r>
      <w:r w:rsidRPr="001C0519">
        <w:rPr>
          <w:rFonts w:ascii="Times New Roman" w:hAnsi="Times New Roman" w:cs="Times New Roman"/>
          <w:sz w:val="24"/>
          <w:szCs w:val="24"/>
          <w:lang w:val="pt-BR"/>
        </w:rPr>
        <w:t>cenários: 2018-2038</w:t>
      </w:r>
    </w:p>
    <w:p w14:paraId="4238EAF1" w14:textId="10DB935F" w:rsidR="006876F4" w:rsidRPr="00CA2760" w:rsidRDefault="006876F4" w:rsidP="001C0519">
      <w:pPr>
        <w:spacing w:after="0" w:line="240"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Em </w:t>
      </w:r>
      <w:r w:rsidR="001C0519" w:rsidRPr="001C0519">
        <w:rPr>
          <w:rFonts w:ascii="Times New Roman" w:hAnsi="Times New Roman" w:cs="Times New Roman"/>
          <w:sz w:val="24"/>
          <w:szCs w:val="24"/>
          <w:lang w:val="pt-BR"/>
        </w:rPr>
        <w:t>R$ milhões valores constantes de 2017</w:t>
      </w:r>
    </w:p>
    <w:p w14:paraId="29D3F304" w14:textId="0A276849" w:rsidR="001C0519" w:rsidRPr="00CA2760" w:rsidRDefault="006876F4" w:rsidP="0059794A">
      <w:pPr>
        <w:spacing w:after="0" w:line="240" w:lineRule="auto"/>
        <w:rPr>
          <w:rFonts w:ascii="Times New Roman" w:hAnsi="Times New Roman" w:cs="Times New Roman"/>
          <w:b/>
          <w:sz w:val="24"/>
          <w:szCs w:val="24"/>
          <w:lang w:val="pt-BR"/>
        </w:rPr>
      </w:pPr>
      <w:r>
        <w:rPr>
          <w:noProof/>
        </w:rPr>
        <w:drawing>
          <wp:inline distT="0" distB="0" distL="0" distR="0" wp14:anchorId="24D86B19" wp14:editId="29A743AA">
            <wp:extent cx="4853940" cy="3246120"/>
            <wp:effectExtent l="0" t="0" r="3810" b="11430"/>
            <wp:docPr id="36" name="Chart 36">
              <a:extLst xmlns:a="http://schemas.openxmlformats.org/drawingml/2006/main">
                <a:ext uri="{FF2B5EF4-FFF2-40B4-BE49-F238E27FC236}">
                  <a16:creationId xmlns:a16="http://schemas.microsoft.com/office/drawing/2014/main" id="{A9CD9D0B-787F-48A5-A81C-C48F99BC8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DE47CB" w14:textId="4B1058EC" w:rsidR="0059794A" w:rsidRPr="00A47D27" w:rsidRDefault="0059794A" w:rsidP="004604C0">
      <w:pPr>
        <w:spacing w:after="0" w:line="240" w:lineRule="auto"/>
        <w:rPr>
          <w:rFonts w:ascii="Times New Roman" w:hAnsi="Times New Roman" w:cs="Times New Roman"/>
          <w:sz w:val="24"/>
          <w:szCs w:val="24"/>
          <w:lang w:val="pt-BR"/>
        </w:rPr>
      </w:pPr>
      <w:r w:rsidRPr="00A47D27">
        <w:rPr>
          <w:rFonts w:ascii="Times New Roman" w:hAnsi="Times New Roman" w:cs="Times New Roman"/>
          <w:lang w:val="pt-BR"/>
        </w:rPr>
        <w:t>Fonte:  Simulações dos autores.</w:t>
      </w:r>
      <w:r w:rsidR="004604C0">
        <w:rPr>
          <w:rFonts w:ascii="Times New Roman" w:hAnsi="Times New Roman" w:cs="Times New Roman"/>
          <w:lang w:val="pt-BR"/>
        </w:rPr>
        <w:t xml:space="preserve"> </w:t>
      </w:r>
      <w:r w:rsidRPr="00A47D27">
        <w:rPr>
          <w:rFonts w:ascii="Times New Roman" w:hAnsi="Times New Roman" w:cs="Times New Roman"/>
          <w:sz w:val="24"/>
          <w:szCs w:val="24"/>
          <w:lang w:val="pt-BR"/>
        </w:rPr>
        <w:br w:type="page"/>
      </w:r>
    </w:p>
    <w:p w14:paraId="4EDA40D9" w14:textId="61BE6916" w:rsidR="00D639F1" w:rsidRPr="00214997" w:rsidRDefault="00595CB8" w:rsidP="00D639F1">
      <w:pPr>
        <w:spacing w:line="360" w:lineRule="auto"/>
        <w:jc w:val="center"/>
        <w:rPr>
          <w:rFonts w:ascii="Times New Roman" w:hAnsi="Times New Roman" w:cs="Times New Roman"/>
          <w:b/>
          <w:sz w:val="24"/>
          <w:szCs w:val="24"/>
          <w:lang w:val="pt-BR"/>
        </w:rPr>
      </w:pPr>
      <w:r>
        <w:rPr>
          <w:rFonts w:ascii="Times New Roman" w:eastAsia="Times New Roman" w:hAnsi="Times New Roman" w:cs="Times New Roman"/>
          <w:b/>
          <w:sz w:val="24"/>
          <w:szCs w:val="24"/>
          <w:lang w:val="pt-BR" w:eastAsia="pt-BR"/>
        </w:rPr>
        <w:lastRenderedPageBreak/>
        <w:t>As simulações</w:t>
      </w:r>
      <w:r w:rsidR="00F53AA8">
        <w:rPr>
          <w:rFonts w:ascii="Times New Roman" w:eastAsia="Times New Roman" w:hAnsi="Times New Roman" w:cs="Times New Roman"/>
          <w:b/>
          <w:sz w:val="24"/>
          <w:szCs w:val="24"/>
          <w:lang w:val="pt-BR" w:eastAsia="pt-BR"/>
        </w:rPr>
        <w:t xml:space="preserve"> com o método </w:t>
      </w:r>
      <w:r w:rsidR="00D639F1" w:rsidRPr="00214997">
        <w:rPr>
          <w:rFonts w:ascii="Times New Roman" w:hAnsi="Times New Roman" w:cs="Times New Roman"/>
          <w:b/>
          <w:sz w:val="24"/>
          <w:szCs w:val="24"/>
          <w:lang w:val="pt-BR"/>
        </w:rPr>
        <w:t>Monte Carlo</w:t>
      </w:r>
    </w:p>
    <w:p w14:paraId="25F69DEC" w14:textId="54CBD590" w:rsidR="00D639F1" w:rsidRDefault="00D639F1" w:rsidP="00D639F1">
      <w:pPr>
        <w:shd w:val="clear" w:color="auto" w:fill="FFFFFF"/>
        <w:spacing w:line="360" w:lineRule="auto"/>
        <w:rPr>
          <w:rFonts w:ascii="Times New Roman" w:eastAsia="Times New Roman" w:hAnsi="Times New Roman" w:cs="Times New Roman"/>
          <w:sz w:val="24"/>
          <w:szCs w:val="24"/>
          <w:lang w:val="pt-BR" w:eastAsia="pt-BR"/>
        </w:rPr>
      </w:pPr>
      <w:r w:rsidRPr="00214997">
        <w:rPr>
          <w:rFonts w:ascii="Times New Roman" w:eastAsia="Times New Roman" w:hAnsi="Times New Roman" w:cs="Times New Roman"/>
          <w:sz w:val="24"/>
          <w:szCs w:val="24"/>
          <w:lang w:val="pt-BR" w:eastAsia="pt-BR"/>
        </w:rPr>
        <w:t>Um</w:t>
      </w:r>
      <w:r>
        <w:rPr>
          <w:rFonts w:ascii="Times New Roman" w:eastAsia="Times New Roman" w:hAnsi="Times New Roman" w:cs="Times New Roman"/>
          <w:sz w:val="24"/>
          <w:szCs w:val="24"/>
          <w:lang w:val="pt-BR" w:eastAsia="pt-BR"/>
        </w:rPr>
        <w:t>a</w:t>
      </w:r>
      <w:r w:rsidRPr="00214997">
        <w:rPr>
          <w:rFonts w:ascii="Times New Roman" w:eastAsia="Times New Roman" w:hAnsi="Times New Roman" w:cs="Times New Roman"/>
          <w:sz w:val="24"/>
          <w:szCs w:val="24"/>
          <w:lang w:val="pt-BR" w:eastAsia="pt-BR"/>
        </w:rPr>
        <w:t xml:space="preserve"> d</w:t>
      </w:r>
      <w:r>
        <w:rPr>
          <w:rFonts w:ascii="Times New Roman" w:eastAsia="Times New Roman" w:hAnsi="Times New Roman" w:cs="Times New Roman"/>
          <w:sz w:val="24"/>
          <w:szCs w:val="24"/>
          <w:lang w:val="pt-BR" w:eastAsia="pt-BR"/>
        </w:rPr>
        <w:t>a</w:t>
      </w:r>
      <w:r w:rsidRPr="00214997">
        <w:rPr>
          <w:rFonts w:ascii="Times New Roman" w:eastAsia="Times New Roman" w:hAnsi="Times New Roman" w:cs="Times New Roman"/>
          <w:sz w:val="24"/>
          <w:szCs w:val="24"/>
          <w:lang w:val="pt-BR" w:eastAsia="pt-BR"/>
        </w:rPr>
        <w:t xml:space="preserve">s </w:t>
      </w:r>
      <w:r w:rsidRPr="00D21EE1">
        <w:rPr>
          <w:rFonts w:ascii="Times New Roman" w:eastAsia="Times New Roman" w:hAnsi="Times New Roman" w:cs="Times New Roman"/>
          <w:sz w:val="24"/>
          <w:szCs w:val="24"/>
          <w:lang w:val="pt-BR" w:eastAsia="pt-BR"/>
        </w:rPr>
        <w:t>limitações</w:t>
      </w:r>
      <w:r w:rsidRPr="00214997">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d</w:t>
      </w:r>
      <w:r w:rsidRPr="00214997">
        <w:rPr>
          <w:rFonts w:ascii="Times New Roman" w:eastAsia="Times New Roman" w:hAnsi="Times New Roman" w:cs="Times New Roman"/>
          <w:sz w:val="24"/>
          <w:szCs w:val="24"/>
          <w:lang w:val="pt-BR" w:eastAsia="pt-BR"/>
        </w:rPr>
        <w:t>a análise de cenário</w:t>
      </w:r>
      <w:r>
        <w:rPr>
          <w:rFonts w:ascii="Times New Roman" w:eastAsia="Times New Roman" w:hAnsi="Times New Roman" w:cs="Times New Roman"/>
          <w:sz w:val="24"/>
          <w:szCs w:val="24"/>
          <w:lang w:val="pt-BR" w:eastAsia="pt-BR"/>
        </w:rPr>
        <w:t>s</w:t>
      </w:r>
      <w:r w:rsidRPr="00214997">
        <w:rPr>
          <w:rFonts w:ascii="Times New Roman" w:eastAsia="Times New Roman" w:hAnsi="Times New Roman" w:cs="Times New Roman"/>
          <w:sz w:val="24"/>
          <w:szCs w:val="24"/>
          <w:lang w:val="pt-BR" w:eastAsia="pt-BR"/>
        </w:rPr>
        <w:t xml:space="preserve"> é que o analista </w:t>
      </w:r>
      <w:r>
        <w:rPr>
          <w:rFonts w:ascii="Times New Roman" w:eastAsia="Times New Roman" w:hAnsi="Times New Roman" w:cs="Times New Roman"/>
          <w:sz w:val="24"/>
          <w:szCs w:val="24"/>
          <w:lang w:val="pt-BR" w:eastAsia="pt-BR"/>
        </w:rPr>
        <w:t>precisa</w:t>
      </w:r>
      <w:r w:rsidRPr="00214997">
        <w:rPr>
          <w:rFonts w:ascii="Times New Roman" w:eastAsia="Times New Roman" w:hAnsi="Times New Roman" w:cs="Times New Roman"/>
          <w:sz w:val="24"/>
          <w:szCs w:val="24"/>
          <w:lang w:val="pt-BR" w:eastAsia="pt-BR"/>
        </w:rPr>
        <w:t xml:space="preserve"> especificar valores para cada uma das</w:t>
      </w:r>
      <w:r>
        <w:rPr>
          <w:rFonts w:ascii="Times New Roman" w:eastAsia="Times New Roman" w:hAnsi="Times New Roman" w:cs="Times New Roman"/>
          <w:sz w:val="24"/>
          <w:szCs w:val="24"/>
          <w:lang w:val="pt-BR" w:eastAsia="pt-BR"/>
        </w:rPr>
        <w:t xml:space="preserve"> </w:t>
      </w:r>
      <w:r w:rsidRPr="00D21EE1">
        <w:rPr>
          <w:rFonts w:ascii="Times New Roman" w:eastAsia="Times New Roman" w:hAnsi="Times New Roman" w:cs="Times New Roman"/>
          <w:i/>
          <w:sz w:val="24"/>
          <w:szCs w:val="24"/>
          <w:lang w:val="pt-BR" w:eastAsia="pt-BR"/>
        </w:rPr>
        <w:t>input variables</w:t>
      </w:r>
      <w:r w:rsidRPr="00214997">
        <w:rPr>
          <w:rFonts w:ascii="Times New Roman" w:eastAsia="Times New Roman" w:hAnsi="Times New Roman" w:cs="Times New Roman"/>
          <w:sz w:val="24"/>
          <w:szCs w:val="24"/>
          <w:lang w:val="pt-BR" w:eastAsia="pt-BR"/>
        </w:rPr>
        <w:t xml:space="preserve">, embora saibamos que esses valores geralmente </w:t>
      </w:r>
      <w:r>
        <w:rPr>
          <w:rFonts w:ascii="Times New Roman" w:eastAsia="Times New Roman" w:hAnsi="Times New Roman" w:cs="Times New Roman"/>
          <w:sz w:val="24"/>
          <w:szCs w:val="24"/>
          <w:lang w:val="pt-BR" w:eastAsia="pt-BR"/>
        </w:rPr>
        <w:t>possuem um intervalo de grande amplitude</w:t>
      </w:r>
      <w:r w:rsidRPr="00214997">
        <w:rPr>
          <w:rFonts w:ascii="Times New Roman" w:eastAsia="Times New Roman" w:hAnsi="Times New Roman" w:cs="Times New Roman"/>
          <w:sz w:val="24"/>
          <w:szCs w:val="24"/>
          <w:lang w:val="pt-BR" w:eastAsia="pt-BR"/>
        </w:rPr>
        <w:t xml:space="preserve">. Uma forma alternativa de análise de cenários envolve o uso de distribuições de probabilidades </w:t>
      </w:r>
      <w:r>
        <w:rPr>
          <w:rFonts w:ascii="Times New Roman" w:eastAsia="Times New Roman" w:hAnsi="Times New Roman" w:cs="Times New Roman"/>
          <w:sz w:val="24"/>
          <w:szCs w:val="24"/>
          <w:lang w:val="pt-BR" w:eastAsia="pt-BR"/>
        </w:rPr>
        <w:t>na definição das</w:t>
      </w:r>
      <w:r w:rsidRPr="00214997">
        <w:rPr>
          <w:rFonts w:ascii="Times New Roman" w:eastAsia="Times New Roman" w:hAnsi="Times New Roman" w:cs="Times New Roman"/>
          <w:sz w:val="24"/>
          <w:szCs w:val="24"/>
          <w:lang w:val="pt-BR" w:eastAsia="pt-BR"/>
        </w:rPr>
        <w:t xml:space="preserve"> </w:t>
      </w:r>
      <w:r w:rsidR="00332B2E" w:rsidRPr="005205CD">
        <w:rPr>
          <w:rFonts w:ascii="Times New Roman" w:eastAsia="Times New Roman" w:hAnsi="Times New Roman" w:cs="Times New Roman"/>
          <w:i/>
          <w:sz w:val="24"/>
          <w:szCs w:val="24"/>
          <w:lang w:val="pt-BR" w:eastAsia="pt-BR"/>
        </w:rPr>
        <w:t>input variables</w:t>
      </w:r>
      <w:r>
        <w:rPr>
          <w:rFonts w:ascii="Times New Roman" w:eastAsia="Times New Roman" w:hAnsi="Times New Roman" w:cs="Times New Roman"/>
          <w:sz w:val="24"/>
          <w:szCs w:val="24"/>
          <w:lang w:val="pt-BR" w:eastAsia="pt-BR"/>
        </w:rPr>
        <w:t>,</w:t>
      </w:r>
      <w:r w:rsidRPr="00214997">
        <w:rPr>
          <w:rFonts w:ascii="Times New Roman" w:eastAsia="Times New Roman" w:hAnsi="Times New Roman" w:cs="Times New Roman"/>
          <w:sz w:val="24"/>
          <w:szCs w:val="24"/>
          <w:lang w:val="pt-BR" w:eastAsia="pt-BR"/>
        </w:rPr>
        <w:t xml:space="preserve"> através da simulação de Monte Carlo (</w:t>
      </w:r>
      <w:r>
        <w:rPr>
          <w:rFonts w:ascii="Times New Roman" w:eastAsia="Times New Roman" w:hAnsi="Times New Roman" w:cs="Times New Roman"/>
          <w:sz w:val="24"/>
          <w:szCs w:val="24"/>
          <w:lang w:val="pt-BR" w:eastAsia="pt-BR"/>
        </w:rPr>
        <w:t>World Bank,</w:t>
      </w:r>
      <w:r w:rsidRPr="00214997">
        <w:rPr>
          <w:rFonts w:ascii="Times New Roman" w:eastAsia="Times New Roman" w:hAnsi="Times New Roman" w:cs="Times New Roman"/>
          <w:sz w:val="24"/>
          <w:szCs w:val="24"/>
          <w:lang w:val="pt-BR" w:eastAsia="pt-BR"/>
        </w:rPr>
        <w:t xml:space="preserve"> 2005). </w:t>
      </w:r>
    </w:p>
    <w:p w14:paraId="01153F74" w14:textId="4AEE57B2" w:rsidR="00D639F1" w:rsidRDefault="00D639F1" w:rsidP="00D639F1">
      <w:pPr>
        <w:shd w:val="clear" w:color="auto" w:fill="FFFFFF"/>
        <w:spacing w:line="360" w:lineRule="auto"/>
        <w:rPr>
          <w:rFonts w:ascii="Times New Roman" w:eastAsia="Times New Roman" w:hAnsi="Times New Roman" w:cs="Times New Roman"/>
          <w:sz w:val="24"/>
          <w:szCs w:val="24"/>
          <w:lang w:val="pt-BR" w:eastAsia="pt-BR"/>
        </w:rPr>
      </w:pPr>
      <w:r w:rsidRPr="009F0E28">
        <w:rPr>
          <w:rFonts w:ascii="Times New Roman" w:eastAsia="Times New Roman" w:hAnsi="Times New Roman" w:cs="Times New Roman"/>
          <w:sz w:val="24"/>
          <w:szCs w:val="24"/>
          <w:lang w:val="pt-BR" w:eastAsia="pt-BR"/>
        </w:rPr>
        <w:t xml:space="preserve">Na simulação de Monte Carlo, primeiro selecionamos uma distribuição de probabilidade (por exemplo, normal, triangular, etc.) que representa adequadamente a distribuição de cada uma das </w:t>
      </w:r>
      <w:r w:rsidR="00332B2E" w:rsidRPr="005205CD">
        <w:rPr>
          <w:rFonts w:ascii="Times New Roman" w:eastAsia="Times New Roman" w:hAnsi="Times New Roman" w:cs="Times New Roman"/>
          <w:i/>
          <w:sz w:val="24"/>
          <w:szCs w:val="24"/>
          <w:lang w:val="pt-BR" w:eastAsia="pt-BR"/>
        </w:rPr>
        <w:t>input variables</w:t>
      </w:r>
      <w:r w:rsidRPr="005205CD">
        <w:rPr>
          <w:rFonts w:ascii="Times New Roman" w:eastAsia="Times New Roman" w:hAnsi="Times New Roman" w:cs="Times New Roman"/>
          <w:i/>
          <w:sz w:val="24"/>
          <w:szCs w:val="24"/>
          <w:lang w:val="pt-BR" w:eastAsia="pt-BR"/>
        </w:rPr>
        <w:t xml:space="preserve"> </w:t>
      </w:r>
      <w:r>
        <w:rPr>
          <w:rFonts w:ascii="Times New Roman" w:eastAsia="Times New Roman" w:hAnsi="Times New Roman" w:cs="Times New Roman"/>
          <w:sz w:val="24"/>
          <w:szCs w:val="24"/>
          <w:lang w:val="pt-BR" w:eastAsia="pt-BR"/>
        </w:rPr>
        <w:t>pertinentes ao modelo financeiro</w:t>
      </w:r>
      <w:r w:rsidRPr="009F0E28">
        <w:rPr>
          <w:rFonts w:ascii="Times New Roman" w:eastAsia="Times New Roman" w:hAnsi="Times New Roman" w:cs="Times New Roman"/>
          <w:sz w:val="24"/>
          <w:szCs w:val="24"/>
          <w:lang w:val="pt-BR" w:eastAsia="pt-BR"/>
        </w:rPr>
        <w:t xml:space="preserve">. Quando os dados estão disponíveis, isso pode envolver </w:t>
      </w:r>
      <w:r w:rsidRPr="006564B8">
        <w:rPr>
          <w:rFonts w:ascii="Times New Roman" w:eastAsia="Times New Roman" w:hAnsi="Times New Roman" w:cs="Times New Roman"/>
          <w:sz w:val="24"/>
          <w:szCs w:val="24"/>
          <w:lang w:val="pt-BR" w:eastAsia="pt-BR"/>
        </w:rPr>
        <w:t xml:space="preserve">uma análise empírica das distribuições destas variáveis. Em seguida, usamos um software que possua simulações Monte Carlo (no nosso caso, Crystal Ball) para gerar a distribuição de probabilidade através de amostragem aleatória repetida, utilizando os parâmetros selecionados (e.g., as médias e desvios padrão) de cada uma das </w:t>
      </w:r>
      <w:r w:rsidR="00332B2E" w:rsidRPr="00615EB6">
        <w:rPr>
          <w:rFonts w:ascii="Times New Roman" w:eastAsia="Times New Roman" w:hAnsi="Times New Roman" w:cs="Times New Roman"/>
          <w:i/>
          <w:sz w:val="24"/>
          <w:szCs w:val="24"/>
          <w:lang w:val="pt-BR" w:eastAsia="pt-BR"/>
        </w:rPr>
        <w:t>input variables</w:t>
      </w:r>
      <w:r w:rsidRPr="006564B8">
        <w:rPr>
          <w:rFonts w:ascii="Times New Roman" w:eastAsia="Times New Roman" w:hAnsi="Times New Roman" w:cs="Times New Roman"/>
          <w:sz w:val="24"/>
          <w:szCs w:val="24"/>
          <w:lang w:val="pt-BR" w:eastAsia="pt-BR"/>
        </w:rPr>
        <w:t>.  Ao tomar um número muito grande de amostras, a distribuição de probabilidade simulada para a variável aproxima-se da escolhida pelo analista.</w:t>
      </w:r>
    </w:p>
    <w:p w14:paraId="272FFB04" w14:textId="50BCABB1" w:rsidR="00D639F1" w:rsidRPr="00214997" w:rsidRDefault="00D639F1" w:rsidP="00D639F1">
      <w:pPr>
        <w:shd w:val="clear" w:color="auto" w:fill="FFFFFF"/>
        <w:spacing w:line="360" w:lineRule="auto"/>
        <w:rPr>
          <w:rFonts w:ascii="Times New Roman" w:eastAsia="Times New Roman" w:hAnsi="Times New Roman" w:cs="Times New Roman"/>
          <w:sz w:val="24"/>
          <w:szCs w:val="24"/>
          <w:lang w:val="pt-BR" w:eastAsia="pt-BR"/>
        </w:rPr>
      </w:pPr>
      <w:r w:rsidRPr="009F0E28">
        <w:rPr>
          <w:rFonts w:ascii="Times New Roman" w:eastAsia="Times New Roman" w:hAnsi="Times New Roman" w:cs="Times New Roman"/>
          <w:sz w:val="24"/>
          <w:szCs w:val="24"/>
          <w:lang w:val="pt-BR" w:eastAsia="pt-BR"/>
        </w:rPr>
        <w:t xml:space="preserve">O </w:t>
      </w:r>
      <w:r>
        <w:rPr>
          <w:rFonts w:ascii="Times New Roman" w:eastAsia="Times New Roman" w:hAnsi="Times New Roman" w:cs="Times New Roman"/>
          <w:sz w:val="24"/>
          <w:szCs w:val="24"/>
          <w:lang w:val="pt-BR" w:eastAsia="pt-BR"/>
        </w:rPr>
        <w:t>Crystal Ball</w:t>
      </w:r>
      <w:r w:rsidRPr="009F0E28">
        <w:rPr>
          <w:rFonts w:ascii="Times New Roman" w:eastAsia="Times New Roman" w:hAnsi="Times New Roman" w:cs="Times New Roman"/>
          <w:sz w:val="24"/>
          <w:szCs w:val="24"/>
          <w:lang w:val="pt-BR" w:eastAsia="pt-BR"/>
        </w:rPr>
        <w:t xml:space="preserve"> usa essas distribuições geradas </w:t>
      </w:r>
      <w:r>
        <w:rPr>
          <w:rFonts w:ascii="Times New Roman" w:eastAsia="Times New Roman" w:hAnsi="Times New Roman" w:cs="Times New Roman"/>
          <w:sz w:val="24"/>
          <w:szCs w:val="24"/>
          <w:lang w:val="pt-BR" w:eastAsia="pt-BR"/>
        </w:rPr>
        <w:t xml:space="preserve">através </w:t>
      </w:r>
      <w:r w:rsidRPr="009F0E28">
        <w:rPr>
          <w:rFonts w:ascii="Times New Roman" w:eastAsia="Times New Roman" w:hAnsi="Times New Roman" w:cs="Times New Roman"/>
          <w:sz w:val="24"/>
          <w:szCs w:val="24"/>
          <w:lang w:val="pt-BR" w:eastAsia="pt-BR"/>
        </w:rPr>
        <w:t xml:space="preserve">das </w:t>
      </w:r>
      <w:r w:rsidR="00332B2E" w:rsidRPr="00615EB6">
        <w:rPr>
          <w:rFonts w:ascii="Times New Roman" w:eastAsia="Times New Roman" w:hAnsi="Times New Roman" w:cs="Times New Roman"/>
          <w:i/>
          <w:sz w:val="24"/>
          <w:szCs w:val="24"/>
          <w:lang w:val="pt-BR" w:eastAsia="pt-BR"/>
        </w:rPr>
        <w:t>input variables</w:t>
      </w:r>
      <w:r w:rsidRPr="009F0E28">
        <w:rPr>
          <w:rFonts w:ascii="Times New Roman" w:eastAsia="Times New Roman" w:hAnsi="Times New Roman" w:cs="Times New Roman"/>
          <w:sz w:val="24"/>
          <w:szCs w:val="24"/>
          <w:lang w:val="pt-BR" w:eastAsia="pt-BR"/>
        </w:rPr>
        <w:t xml:space="preserve"> para</w:t>
      </w:r>
      <w:r>
        <w:rPr>
          <w:rFonts w:ascii="Times New Roman" w:eastAsia="Times New Roman" w:hAnsi="Times New Roman" w:cs="Times New Roman"/>
          <w:sz w:val="24"/>
          <w:szCs w:val="24"/>
          <w:lang w:val="pt-BR" w:eastAsia="pt-BR"/>
        </w:rPr>
        <w:t xml:space="preserve"> produzir</w:t>
      </w:r>
      <w:r w:rsidRPr="009F0E28">
        <w:rPr>
          <w:rFonts w:ascii="Times New Roman" w:eastAsia="Times New Roman" w:hAnsi="Times New Roman" w:cs="Times New Roman"/>
          <w:sz w:val="24"/>
          <w:szCs w:val="24"/>
          <w:lang w:val="pt-BR" w:eastAsia="pt-BR"/>
        </w:rPr>
        <w:t xml:space="preserve"> uma distribui</w:t>
      </w:r>
      <w:r>
        <w:rPr>
          <w:rFonts w:ascii="Times New Roman" w:eastAsia="Times New Roman" w:hAnsi="Times New Roman" w:cs="Times New Roman"/>
          <w:sz w:val="24"/>
          <w:szCs w:val="24"/>
          <w:lang w:val="pt-BR" w:eastAsia="pt-BR"/>
        </w:rPr>
        <w:t>ç</w:t>
      </w:r>
      <w:r w:rsidRPr="009F0E28">
        <w:rPr>
          <w:rFonts w:ascii="Times New Roman" w:eastAsia="Times New Roman" w:hAnsi="Times New Roman" w:cs="Times New Roman"/>
          <w:sz w:val="24"/>
          <w:szCs w:val="24"/>
          <w:lang w:val="pt-BR" w:eastAsia="pt-BR"/>
        </w:rPr>
        <w:t xml:space="preserve">ão de probabilidade para cada uma das </w:t>
      </w:r>
      <w:r w:rsidRPr="00D21EE1">
        <w:rPr>
          <w:rFonts w:ascii="Times New Roman" w:eastAsia="Times New Roman" w:hAnsi="Times New Roman" w:cs="Times New Roman"/>
          <w:i/>
          <w:sz w:val="24"/>
          <w:szCs w:val="24"/>
          <w:lang w:val="pt-BR" w:eastAsia="pt-BR"/>
        </w:rPr>
        <w:t>output variables</w:t>
      </w:r>
      <w:r w:rsidRPr="009F0E28">
        <w:rPr>
          <w:rFonts w:ascii="Times New Roman" w:eastAsia="Times New Roman" w:hAnsi="Times New Roman" w:cs="Times New Roman"/>
          <w:sz w:val="24"/>
          <w:szCs w:val="24"/>
          <w:lang w:val="pt-BR" w:eastAsia="pt-BR"/>
        </w:rPr>
        <w:t xml:space="preserve">.  Em nosso caso, as </w:t>
      </w:r>
      <w:r w:rsidR="00332B2E" w:rsidRPr="00615EB6">
        <w:rPr>
          <w:rFonts w:ascii="Times New Roman" w:eastAsia="Times New Roman" w:hAnsi="Times New Roman" w:cs="Times New Roman"/>
          <w:i/>
          <w:sz w:val="24"/>
          <w:szCs w:val="24"/>
          <w:lang w:val="pt-BR" w:eastAsia="pt-BR"/>
        </w:rPr>
        <w:t>input variables</w:t>
      </w:r>
      <w:r w:rsidRPr="009F0E28">
        <w:rPr>
          <w:rFonts w:ascii="Times New Roman" w:eastAsia="Times New Roman" w:hAnsi="Times New Roman" w:cs="Times New Roman"/>
          <w:sz w:val="24"/>
          <w:szCs w:val="24"/>
          <w:lang w:val="pt-BR" w:eastAsia="pt-BR"/>
        </w:rPr>
        <w:t xml:space="preserve"> são, obviamente, aquelas </w:t>
      </w:r>
      <w:r>
        <w:rPr>
          <w:rFonts w:ascii="Times New Roman" w:eastAsia="Times New Roman" w:hAnsi="Times New Roman" w:cs="Times New Roman"/>
          <w:sz w:val="24"/>
          <w:szCs w:val="24"/>
          <w:lang w:val="pt-BR" w:eastAsia="pt-BR"/>
        </w:rPr>
        <w:t xml:space="preserve">quatro </w:t>
      </w:r>
      <w:r w:rsidRPr="009F0E28">
        <w:rPr>
          <w:rFonts w:ascii="Times New Roman" w:eastAsia="Times New Roman" w:hAnsi="Times New Roman" w:cs="Times New Roman"/>
          <w:sz w:val="24"/>
          <w:szCs w:val="24"/>
          <w:lang w:val="pt-BR" w:eastAsia="pt-BR"/>
        </w:rPr>
        <w:t xml:space="preserve">usadas em nosso modelo financeiro (consulte a tabela </w:t>
      </w:r>
      <w:r w:rsidR="00A877C8">
        <w:rPr>
          <w:rFonts w:ascii="Times New Roman" w:eastAsia="Times New Roman" w:hAnsi="Times New Roman" w:cs="Times New Roman"/>
          <w:sz w:val="24"/>
          <w:szCs w:val="24"/>
          <w:lang w:val="pt-BR" w:eastAsia="pt-BR"/>
        </w:rPr>
        <w:t>13</w:t>
      </w:r>
      <w:r w:rsidRPr="009F0E28">
        <w:rPr>
          <w:rFonts w:ascii="Times New Roman" w:eastAsia="Times New Roman" w:hAnsi="Times New Roman" w:cs="Times New Roman"/>
          <w:sz w:val="24"/>
          <w:szCs w:val="24"/>
          <w:lang w:val="pt-BR" w:eastAsia="pt-BR"/>
        </w:rPr>
        <w:t>)</w:t>
      </w:r>
      <w:r>
        <w:rPr>
          <w:rFonts w:ascii="Times New Roman" w:eastAsia="Times New Roman" w:hAnsi="Times New Roman" w:cs="Times New Roman"/>
          <w:sz w:val="24"/>
          <w:szCs w:val="24"/>
          <w:lang w:val="pt-BR" w:eastAsia="pt-BR"/>
        </w:rPr>
        <w:t>,</w:t>
      </w:r>
      <w:r w:rsidRPr="009F0E28">
        <w:rPr>
          <w:rFonts w:ascii="Times New Roman" w:eastAsia="Times New Roman" w:hAnsi="Times New Roman" w:cs="Times New Roman"/>
          <w:sz w:val="24"/>
          <w:szCs w:val="24"/>
          <w:lang w:val="pt-BR" w:eastAsia="pt-BR"/>
        </w:rPr>
        <w:t xml:space="preserve"> e as </w:t>
      </w:r>
      <w:r w:rsidR="00332B2E" w:rsidRPr="00615EB6">
        <w:rPr>
          <w:rFonts w:ascii="Times New Roman" w:eastAsia="Times New Roman" w:hAnsi="Times New Roman" w:cs="Times New Roman"/>
          <w:i/>
          <w:sz w:val="24"/>
          <w:szCs w:val="24"/>
          <w:lang w:val="pt-BR" w:eastAsia="pt-BR"/>
        </w:rPr>
        <w:t>output variables</w:t>
      </w:r>
      <w:r w:rsidRPr="009F0E28">
        <w:rPr>
          <w:rFonts w:ascii="Times New Roman" w:eastAsia="Times New Roman" w:hAnsi="Times New Roman" w:cs="Times New Roman"/>
          <w:sz w:val="24"/>
          <w:szCs w:val="24"/>
          <w:lang w:val="pt-BR" w:eastAsia="pt-BR"/>
        </w:rPr>
        <w:t xml:space="preserve"> são:  </w:t>
      </w:r>
      <w:r w:rsidR="003A2464">
        <w:rPr>
          <w:rFonts w:ascii="Times New Roman" w:eastAsia="Times New Roman" w:hAnsi="Times New Roman" w:cs="Times New Roman"/>
          <w:sz w:val="24"/>
          <w:szCs w:val="24"/>
          <w:lang w:val="pt-BR" w:eastAsia="pt-BR"/>
        </w:rPr>
        <w:t>PL</w:t>
      </w:r>
      <w:r w:rsidRPr="00214997">
        <w:rPr>
          <w:rFonts w:ascii="Times New Roman" w:eastAsia="Times New Roman" w:hAnsi="Times New Roman" w:cs="Times New Roman"/>
          <w:sz w:val="24"/>
          <w:szCs w:val="24"/>
          <w:lang w:val="pt-BR" w:eastAsia="pt-BR"/>
        </w:rPr>
        <w:t xml:space="preserve"> e Financiamentos Concedidos aos Municípios</w:t>
      </w:r>
      <w:r>
        <w:rPr>
          <w:rFonts w:ascii="Times New Roman" w:eastAsia="Times New Roman" w:hAnsi="Times New Roman" w:cs="Times New Roman"/>
          <w:sz w:val="24"/>
          <w:szCs w:val="24"/>
          <w:lang w:val="pt-BR" w:eastAsia="pt-BR"/>
        </w:rPr>
        <w:t xml:space="preserve"> em 2038</w:t>
      </w:r>
      <w:r w:rsidRPr="00214997">
        <w:rPr>
          <w:rFonts w:ascii="Times New Roman" w:eastAsia="Times New Roman" w:hAnsi="Times New Roman" w:cs="Times New Roman"/>
          <w:sz w:val="24"/>
          <w:szCs w:val="24"/>
          <w:lang w:val="pt-BR" w:eastAsia="pt-BR"/>
        </w:rPr>
        <w:t xml:space="preserve">. </w:t>
      </w:r>
    </w:p>
    <w:p w14:paraId="76BD92EE" w14:textId="137FFF93" w:rsidR="00D639F1" w:rsidRPr="00214997" w:rsidRDefault="00D639F1" w:rsidP="00D639F1">
      <w:pPr>
        <w:shd w:val="clear" w:color="auto" w:fill="FFFFFF"/>
        <w:spacing w:after="0" w:line="360" w:lineRule="auto"/>
        <w:rPr>
          <w:rFonts w:ascii="Times New Roman" w:eastAsia="Times New Roman" w:hAnsi="Times New Roman" w:cs="Times New Roman"/>
          <w:sz w:val="24"/>
          <w:szCs w:val="24"/>
          <w:lang w:val="pt-BR" w:eastAsia="pt-BR"/>
        </w:rPr>
      </w:pPr>
      <w:r w:rsidRPr="007A7E08">
        <w:rPr>
          <w:rFonts w:ascii="Times New Roman" w:eastAsia="Times New Roman" w:hAnsi="Times New Roman" w:cs="Times New Roman"/>
          <w:sz w:val="24"/>
          <w:szCs w:val="24"/>
          <w:lang w:val="pt-BR" w:eastAsia="pt-BR"/>
        </w:rPr>
        <w:t>Neste caso,</w:t>
      </w:r>
      <w:r>
        <w:rPr>
          <w:rFonts w:ascii="Times New Roman" w:eastAsia="Times New Roman" w:hAnsi="Times New Roman" w:cs="Times New Roman"/>
          <w:sz w:val="24"/>
          <w:szCs w:val="24"/>
          <w:lang w:val="pt-BR" w:eastAsia="pt-BR"/>
        </w:rPr>
        <w:t xml:space="preserve"> programamos </w:t>
      </w:r>
      <w:r w:rsidRPr="007A7E08">
        <w:rPr>
          <w:rFonts w:ascii="Times New Roman" w:eastAsia="Times New Roman" w:hAnsi="Times New Roman" w:cs="Times New Roman"/>
          <w:sz w:val="24"/>
          <w:szCs w:val="24"/>
          <w:lang w:val="pt-BR" w:eastAsia="pt-BR"/>
        </w:rPr>
        <w:t xml:space="preserve">o Crystal Ball para gerar uma distribuição normal de cada uma das quatro </w:t>
      </w:r>
      <w:r w:rsidR="00332B2E" w:rsidRPr="00615EB6">
        <w:rPr>
          <w:rFonts w:ascii="Times New Roman" w:eastAsia="Times New Roman" w:hAnsi="Times New Roman" w:cs="Times New Roman"/>
          <w:i/>
          <w:sz w:val="24"/>
          <w:szCs w:val="24"/>
          <w:lang w:val="pt-BR" w:eastAsia="pt-BR"/>
        </w:rPr>
        <w:t>input variables</w:t>
      </w:r>
      <w:r>
        <w:rPr>
          <w:rFonts w:ascii="Times New Roman" w:eastAsia="Times New Roman" w:hAnsi="Times New Roman" w:cs="Times New Roman"/>
          <w:sz w:val="24"/>
          <w:szCs w:val="24"/>
          <w:lang w:val="pt-BR" w:eastAsia="pt-BR"/>
        </w:rPr>
        <w:t>,</w:t>
      </w:r>
      <w:r w:rsidRPr="007A7E08">
        <w:rPr>
          <w:rFonts w:ascii="Times New Roman" w:eastAsia="Times New Roman" w:hAnsi="Times New Roman" w:cs="Times New Roman"/>
          <w:sz w:val="24"/>
          <w:szCs w:val="24"/>
          <w:lang w:val="pt-BR" w:eastAsia="pt-BR"/>
        </w:rPr>
        <w:t xml:space="preserve"> utilizando </w:t>
      </w:r>
      <w:r w:rsidRPr="00214997">
        <w:rPr>
          <w:rFonts w:ascii="Times New Roman" w:eastAsia="Times New Roman" w:hAnsi="Times New Roman" w:cs="Times New Roman"/>
          <w:sz w:val="24"/>
          <w:szCs w:val="24"/>
          <w:lang w:val="pt-BR" w:eastAsia="pt-BR"/>
        </w:rPr>
        <w:t xml:space="preserve">as médias e desvios padrão da tabela </w:t>
      </w:r>
      <w:r w:rsidR="00A877C8">
        <w:rPr>
          <w:rFonts w:ascii="Times New Roman" w:eastAsia="Times New Roman" w:hAnsi="Times New Roman" w:cs="Times New Roman"/>
          <w:sz w:val="24"/>
          <w:szCs w:val="24"/>
          <w:lang w:val="pt-BR" w:eastAsia="pt-BR"/>
        </w:rPr>
        <w:t>13</w:t>
      </w:r>
      <w:r>
        <w:rPr>
          <w:rFonts w:ascii="Times New Roman" w:eastAsia="Times New Roman" w:hAnsi="Times New Roman" w:cs="Times New Roman"/>
          <w:sz w:val="24"/>
          <w:szCs w:val="24"/>
          <w:lang w:val="pt-BR" w:eastAsia="pt-BR"/>
        </w:rPr>
        <w:t xml:space="preserve">. </w:t>
      </w:r>
      <w:r w:rsidRPr="00214997">
        <w:rPr>
          <w:rFonts w:ascii="Times New Roman" w:eastAsia="Times New Roman" w:hAnsi="Times New Roman" w:cs="Times New Roman"/>
          <w:sz w:val="24"/>
          <w:szCs w:val="24"/>
          <w:lang w:val="pt-BR" w:eastAsia="pt-BR"/>
        </w:rPr>
        <w:t xml:space="preserve"> Em seguida,</w:t>
      </w:r>
      <w:r>
        <w:rPr>
          <w:rFonts w:ascii="Times New Roman" w:eastAsia="Times New Roman" w:hAnsi="Times New Roman" w:cs="Times New Roman"/>
          <w:sz w:val="24"/>
          <w:szCs w:val="24"/>
          <w:lang w:val="pt-BR" w:eastAsia="pt-BR"/>
        </w:rPr>
        <w:t xml:space="preserve"> o Crystal Ball simula 100.000 iterações para gerar </w:t>
      </w:r>
      <w:r w:rsidRPr="007A7E08">
        <w:rPr>
          <w:rFonts w:ascii="Times New Roman" w:eastAsia="Times New Roman" w:hAnsi="Times New Roman" w:cs="Times New Roman"/>
          <w:sz w:val="24"/>
          <w:szCs w:val="24"/>
          <w:lang w:val="pt-BR" w:eastAsia="pt-BR"/>
        </w:rPr>
        <w:t>as distribuições</w:t>
      </w:r>
      <w:r w:rsidRPr="00214997">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 xml:space="preserve">normais </w:t>
      </w:r>
      <w:r w:rsidRPr="00214997">
        <w:rPr>
          <w:rFonts w:ascii="Times New Roman" w:eastAsia="Times New Roman" w:hAnsi="Times New Roman" w:cs="Times New Roman"/>
          <w:sz w:val="24"/>
          <w:szCs w:val="24"/>
          <w:lang w:val="pt-BR" w:eastAsia="pt-BR"/>
        </w:rPr>
        <w:t>de probabilidade</w:t>
      </w:r>
      <w:r>
        <w:rPr>
          <w:rFonts w:ascii="Times New Roman" w:eastAsia="Times New Roman" w:hAnsi="Times New Roman" w:cs="Times New Roman"/>
          <w:sz w:val="24"/>
          <w:szCs w:val="24"/>
          <w:lang w:val="pt-BR" w:eastAsia="pt-BR"/>
        </w:rPr>
        <w:t xml:space="preserve">. O </w:t>
      </w:r>
      <w:r w:rsidRPr="00214997">
        <w:rPr>
          <w:rFonts w:ascii="Times New Roman" w:eastAsia="Times New Roman" w:hAnsi="Times New Roman" w:cs="Times New Roman"/>
          <w:sz w:val="24"/>
          <w:szCs w:val="24"/>
          <w:lang w:val="pt-BR" w:eastAsia="pt-BR"/>
        </w:rPr>
        <w:t xml:space="preserve">Gráfico </w:t>
      </w:r>
      <w:r w:rsidR="00A877C8">
        <w:rPr>
          <w:rFonts w:ascii="Times New Roman" w:eastAsia="Times New Roman" w:hAnsi="Times New Roman" w:cs="Times New Roman"/>
          <w:sz w:val="24"/>
          <w:szCs w:val="24"/>
          <w:lang w:val="pt-BR" w:eastAsia="pt-BR"/>
        </w:rPr>
        <w:t>6</w:t>
      </w:r>
      <w:r w:rsidRPr="00214997">
        <w:rPr>
          <w:rFonts w:ascii="Times New Roman" w:eastAsia="Times New Roman" w:hAnsi="Times New Roman" w:cs="Times New Roman"/>
          <w:sz w:val="24"/>
          <w:szCs w:val="24"/>
          <w:lang w:val="pt-BR" w:eastAsia="pt-BR"/>
        </w:rPr>
        <w:t xml:space="preserve"> most</w:t>
      </w:r>
      <w:r>
        <w:rPr>
          <w:rFonts w:ascii="Times New Roman" w:eastAsia="Times New Roman" w:hAnsi="Times New Roman" w:cs="Times New Roman"/>
          <w:sz w:val="24"/>
          <w:szCs w:val="24"/>
          <w:lang w:val="pt-BR" w:eastAsia="pt-BR"/>
        </w:rPr>
        <w:t>r</w:t>
      </w:r>
      <w:r w:rsidRPr="00214997">
        <w:rPr>
          <w:rFonts w:ascii="Times New Roman" w:eastAsia="Times New Roman" w:hAnsi="Times New Roman" w:cs="Times New Roman"/>
          <w:sz w:val="24"/>
          <w:szCs w:val="24"/>
          <w:lang w:val="pt-BR" w:eastAsia="pt-BR"/>
        </w:rPr>
        <w:t xml:space="preserve">a a distribuição normal </w:t>
      </w:r>
      <w:r>
        <w:rPr>
          <w:rFonts w:ascii="Times New Roman" w:eastAsia="Times New Roman" w:hAnsi="Times New Roman" w:cs="Times New Roman"/>
          <w:sz w:val="24"/>
          <w:szCs w:val="24"/>
          <w:lang w:val="pt-BR" w:eastAsia="pt-BR"/>
        </w:rPr>
        <w:t xml:space="preserve">gerada com a média (5,87%) e desvio padrão (1,76%) </w:t>
      </w:r>
      <w:r w:rsidRPr="00214997">
        <w:rPr>
          <w:rFonts w:ascii="Times New Roman" w:eastAsia="Times New Roman" w:hAnsi="Times New Roman" w:cs="Times New Roman"/>
          <w:sz w:val="24"/>
          <w:szCs w:val="24"/>
          <w:lang w:val="pt-BR" w:eastAsia="pt-BR"/>
        </w:rPr>
        <w:t xml:space="preserve">da </w:t>
      </w:r>
      <w:r w:rsidR="00A877C8" w:rsidRPr="00150880">
        <w:rPr>
          <w:rFonts w:ascii="Times New Roman" w:eastAsia="Times New Roman" w:hAnsi="Times New Roman" w:cs="Times New Roman"/>
          <w:i/>
          <w:sz w:val="24"/>
          <w:szCs w:val="24"/>
          <w:lang w:val="pt-BR" w:eastAsia="pt-BR"/>
        </w:rPr>
        <w:t>input variable</w:t>
      </w:r>
      <w:r w:rsidRPr="00214997">
        <w:rPr>
          <w:rFonts w:ascii="Times New Roman" w:eastAsia="Times New Roman" w:hAnsi="Times New Roman" w:cs="Times New Roman"/>
          <w:sz w:val="24"/>
          <w:szCs w:val="24"/>
          <w:lang w:val="pt-BR" w:eastAsia="pt-BR"/>
        </w:rPr>
        <w:t xml:space="preserve">: Taxa real de juros dos Financiamentos Concedidos aos Municípios.  </w:t>
      </w:r>
      <w:r w:rsidRPr="001F5F72">
        <w:rPr>
          <w:rFonts w:ascii="Times New Roman" w:eastAsia="Times New Roman" w:hAnsi="Times New Roman" w:cs="Times New Roman"/>
          <w:sz w:val="24"/>
          <w:szCs w:val="24"/>
          <w:lang w:val="pt-BR" w:eastAsia="pt-BR"/>
        </w:rPr>
        <w:t xml:space="preserve">O eixo horizontal mostra </w:t>
      </w:r>
      <w:r>
        <w:rPr>
          <w:rFonts w:ascii="Times New Roman" w:eastAsia="Times New Roman" w:hAnsi="Times New Roman" w:cs="Times New Roman"/>
          <w:sz w:val="24"/>
          <w:szCs w:val="24"/>
          <w:lang w:val="pt-BR" w:eastAsia="pt-BR"/>
        </w:rPr>
        <w:t>o percentual d</w:t>
      </w:r>
      <w:r w:rsidRPr="001F5F72">
        <w:rPr>
          <w:rFonts w:ascii="Times New Roman" w:eastAsia="Times New Roman" w:hAnsi="Times New Roman" w:cs="Times New Roman"/>
          <w:sz w:val="24"/>
          <w:szCs w:val="24"/>
          <w:lang w:val="pt-BR" w:eastAsia="pt-BR"/>
        </w:rPr>
        <w:t xml:space="preserve">a taxa real de juros, e o eixo vertical a </w:t>
      </w:r>
      <w:r w:rsidR="00ED16DF" w:rsidRPr="001F5F72">
        <w:rPr>
          <w:rFonts w:ascii="Times New Roman" w:eastAsia="Times New Roman" w:hAnsi="Times New Roman" w:cs="Times New Roman"/>
          <w:sz w:val="24"/>
          <w:szCs w:val="24"/>
          <w:lang w:val="pt-BR" w:eastAsia="pt-BR"/>
        </w:rPr>
        <w:t>frequência</w:t>
      </w:r>
      <w:r w:rsidRPr="001F5F72">
        <w:rPr>
          <w:rFonts w:ascii="Times New Roman" w:eastAsia="Times New Roman" w:hAnsi="Times New Roman" w:cs="Times New Roman"/>
          <w:sz w:val="24"/>
          <w:szCs w:val="24"/>
          <w:lang w:val="pt-BR" w:eastAsia="pt-BR"/>
        </w:rPr>
        <w:t xml:space="preserve"> das taxas geradas nas simulações. </w:t>
      </w:r>
      <w:r>
        <w:rPr>
          <w:rFonts w:ascii="Times New Roman" w:eastAsia="Times New Roman" w:hAnsi="Times New Roman" w:cs="Times New Roman"/>
          <w:sz w:val="24"/>
          <w:szCs w:val="24"/>
          <w:lang w:val="pt-BR" w:eastAsia="pt-BR"/>
        </w:rPr>
        <w:t xml:space="preserve"> Da mesma maneira, as d</w:t>
      </w:r>
      <w:r w:rsidRPr="00D727C2">
        <w:rPr>
          <w:rFonts w:ascii="Times New Roman" w:eastAsia="Times New Roman" w:hAnsi="Times New Roman" w:cs="Times New Roman"/>
          <w:sz w:val="24"/>
          <w:szCs w:val="24"/>
          <w:lang w:val="pt-BR" w:eastAsia="pt-BR"/>
        </w:rPr>
        <w:t xml:space="preserve">istribuições normais </w:t>
      </w:r>
      <w:r>
        <w:rPr>
          <w:rFonts w:ascii="Times New Roman" w:eastAsia="Times New Roman" w:hAnsi="Times New Roman" w:cs="Times New Roman"/>
          <w:sz w:val="24"/>
          <w:szCs w:val="24"/>
          <w:lang w:val="pt-BR" w:eastAsia="pt-BR"/>
        </w:rPr>
        <w:t xml:space="preserve">de probabilidade </w:t>
      </w:r>
      <w:r w:rsidRPr="00D727C2">
        <w:rPr>
          <w:rFonts w:ascii="Times New Roman" w:eastAsia="Times New Roman" w:hAnsi="Times New Roman" w:cs="Times New Roman"/>
          <w:sz w:val="24"/>
          <w:szCs w:val="24"/>
          <w:lang w:val="pt-BR" w:eastAsia="pt-BR"/>
        </w:rPr>
        <w:t xml:space="preserve">para as três </w:t>
      </w:r>
      <w:r w:rsidR="00332B2E" w:rsidRPr="00615EB6">
        <w:rPr>
          <w:rFonts w:ascii="Times New Roman" w:eastAsia="Times New Roman" w:hAnsi="Times New Roman" w:cs="Times New Roman"/>
          <w:i/>
          <w:sz w:val="24"/>
          <w:szCs w:val="24"/>
          <w:lang w:val="pt-BR" w:eastAsia="pt-BR"/>
        </w:rPr>
        <w:t>input variables</w:t>
      </w:r>
      <w:r w:rsidRPr="00D727C2">
        <w:rPr>
          <w:rFonts w:ascii="Times New Roman" w:eastAsia="Times New Roman" w:hAnsi="Times New Roman" w:cs="Times New Roman"/>
          <w:sz w:val="24"/>
          <w:szCs w:val="24"/>
          <w:lang w:val="pt-BR" w:eastAsia="pt-BR"/>
        </w:rPr>
        <w:t xml:space="preserve"> restantes também foram geradas usando suas médias e desvios padrão.</w:t>
      </w:r>
      <w:r w:rsidRPr="00214997">
        <w:rPr>
          <w:rFonts w:ascii="Times New Roman" w:eastAsia="Times New Roman" w:hAnsi="Times New Roman" w:cs="Times New Roman"/>
          <w:sz w:val="24"/>
          <w:szCs w:val="24"/>
          <w:lang w:val="pt-BR" w:eastAsia="pt-BR"/>
        </w:rPr>
        <w:br w:type="page"/>
      </w:r>
    </w:p>
    <w:p w14:paraId="61BAAEEE" w14:textId="71DCD1BC" w:rsidR="00D639F1" w:rsidRPr="00730758" w:rsidRDefault="00D639F1" w:rsidP="00D639F1">
      <w:pPr>
        <w:shd w:val="clear" w:color="auto" w:fill="FFFFFF"/>
        <w:spacing w:after="0" w:line="240" w:lineRule="auto"/>
        <w:rPr>
          <w:rFonts w:ascii="Times New Roman" w:eastAsia="Times New Roman" w:hAnsi="Times New Roman" w:cs="Times New Roman"/>
          <w:sz w:val="24"/>
          <w:szCs w:val="24"/>
          <w:lang w:val="pt-BR" w:eastAsia="pt-BR"/>
        </w:rPr>
      </w:pPr>
      <w:r w:rsidRPr="00214997">
        <w:rPr>
          <w:rFonts w:ascii="Times New Roman" w:eastAsia="Times New Roman" w:hAnsi="Times New Roman" w:cs="Times New Roman"/>
          <w:sz w:val="24"/>
          <w:szCs w:val="24"/>
          <w:lang w:val="pt-BR" w:eastAsia="pt-BR"/>
        </w:rPr>
        <w:lastRenderedPageBreak/>
        <w:t xml:space="preserve">Gráfico </w:t>
      </w:r>
      <w:r w:rsidR="00A877C8">
        <w:rPr>
          <w:rFonts w:ascii="Times New Roman" w:eastAsia="Times New Roman" w:hAnsi="Times New Roman" w:cs="Times New Roman"/>
          <w:sz w:val="24"/>
          <w:szCs w:val="24"/>
          <w:lang w:val="pt-BR" w:eastAsia="pt-BR"/>
        </w:rPr>
        <w:t>6</w:t>
      </w:r>
      <w:r w:rsidRPr="00214997">
        <w:rPr>
          <w:rFonts w:ascii="Times New Roman" w:eastAsia="Times New Roman" w:hAnsi="Times New Roman" w:cs="Times New Roman"/>
          <w:sz w:val="24"/>
          <w:szCs w:val="24"/>
          <w:lang w:val="pt-BR" w:eastAsia="pt-BR"/>
        </w:rPr>
        <w:t xml:space="preserve">. Distribuição normal </w:t>
      </w:r>
      <w:r>
        <w:rPr>
          <w:rFonts w:ascii="Times New Roman" w:eastAsia="Times New Roman" w:hAnsi="Times New Roman" w:cs="Times New Roman"/>
          <w:sz w:val="24"/>
          <w:szCs w:val="24"/>
          <w:lang w:val="pt-BR" w:eastAsia="pt-BR"/>
        </w:rPr>
        <w:t xml:space="preserve">de probabilidade </w:t>
      </w:r>
      <w:r w:rsidRPr="00214997">
        <w:rPr>
          <w:rFonts w:ascii="Times New Roman" w:eastAsia="Times New Roman" w:hAnsi="Times New Roman" w:cs="Times New Roman"/>
          <w:sz w:val="24"/>
          <w:szCs w:val="24"/>
          <w:lang w:val="pt-BR" w:eastAsia="pt-BR"/>
        </w:rPr>
        <w:t xml:space="preserve">gerada utilizando a média e desvio padrão da </w:t>
      </w:r>
      <w:r w:rsidR="00A877C8" w:rsidRPr="00150880">
        <w:rPr>
          <w:rFonts w:ascii="Times New Roman" w:eastAsia="Times New Roman" w:hAnsi="Times New Roman" w:cs="Times New Roman"/>
          <w:i/>
          <w:sz w:val="24"/>
          <w:szCs w:val="24"/>
          <w:lang w:val="pt-BR" w:eastAsia="pt-BR"/>
        </w:rPr>
        <w:t>input variable</w:t>
      </w:r>
      <w:r w:rsidRPr="00730758">
        <w:rPr>
          <w:rFonts w:ascii="Times New Roman" w:eastAsia="Times New Roman" w:hAnsi="Times New Roman" w:cs="Times New Roman"/>
          <w:sz w:val="24"/>
          <w:szCs w:val="24"/>
          <w:lang w:val="pt-BR" w:eastAsia="pt-BR"/>
        </w:rPr>
        <w:t>: Taxa real de juros dos Financiamentos Concedidos aos Municípios</w:t>
      </w:r>
    </w:p>
    <w:p w14:paraId="51D5C96F" w14:textId="77777777" w:rsidR="00D639F1" w:rsidRDefault="00D639F1" w:rsidP="00D639F1">
      <w:pPr>
        <w:shd w:val="clear" w:color="auto" w:fill="FFFFFF"/>
        <w:spacing w:after="0" w:line="240" w:lineRule="auto"/>
        <w:rPr>
          <w:rFonts w:ascii="Times New Roman" w:eastAsia="Times New Roman" w:hAnsi="Times New Roman" w:cs="Times New Roman"/>
          <w:sz w:val="24"/>
          <w:szCs w:val="24"/>
          <w:lang w:val="pt-BR" w:eastAsia="pt-BR"/>
        </w:rPr>
      </w:pPr>
      <w:r>
        <w:rPr>
          <w:noProof/>
        </w:rPr>
        <w:drawing>
          <wp:inline distT="0" distB="0" distL="0" distR="0" wp14:anchorId="15A5DB0E" wp14:editId="16D165AE">
            <wp:extent cx="5943600" cy="32327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232785"/>
                    </a:xfrm>
                    <a:prstGeom prst="rect">
                      <a:avLst/>
                    </a:prstGeom>
                  </pic:spPr>
                </pic:pic>
              </a:graphicData>
            </a:graphic>
          </wp:inline>
        </w:drawing>
      </w:r>
      <w:r w:rsidRPr="0000094D">
        <w:rPr>
          <w:rFonts w:ascii="Times New Roman" w:eastAsia="Times New Roman" w:hAnsi="Times New Roman" w:cs="Times New Roman"/>
          <w:sz w:val="24"/>
          <w:szCs w:val="24"/>
          <w:lang w:val="pt-BR" w:eastAsia="pt-BR"/>
        </w:rPr>
        <w:t xml:space="preserve"> </w:t>
      </w:r>
    </w:p>
    <w:p w14:paraId="119D9386" w14:textId="77777777" w:rsidR="00D639F1" w:rsidRPr="00214997" w:rsidRDefault="00D639F1" w:rsidP="00D639F1">
      <w:pPr>
        <w:shd w:val="clear" w:color="auto" w:fill="FFFFFF"/>
        <w:spacing w:line="360" w:lineRule="auto"/>
        <w:rPr>
          <w:rFonts w:ascii="Times New Roman" w:eastAsia="Times New Roman" w:hAnsi="Times New Roman" w:cs="Times New Roman"/>
          <w:sz w:val="24"/>
          <w:szCs w:val="24"/>
          <w:lang w:val="pt-BR" w:eastAsia="pt-BR"/>
        </w:rPr>
      </w:pPr>
      <w:r w:rsidRPr="00214997">
        <w:rPr>
          <w:rFonts w:ascii="Times New Roman" w:eastAsia="Times New Roman" w:hAnsi="Times New Roman" w:cs="Times New Roman"/>
          <w:sz w:val="24"/>
          <w:szCs w:val="24"/>
          <w:lang w:val="pt-BR" w:eastAsia="pt-BR"/>
        </w:rPr>
        <w:t>Fonte:  Simulações dos autores.</w:t>
      </w:r>
    </w:p>
    <w:p w14:paraId="65313A3E" w14:textId="3F671D52" w:rsidR="00D639F1" w:rsidRPr="00730758" w:rsidRDefault="00D639F1" w:rsidP="00D639F1">
      <w:pPr>
        <w:shd w:val="clear" w:color="auto" w:fill="FFFFFF"/>
        <w:spacing w:after="0" w:line="360" w:lineRule="auto"/>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 xml:space="preserve">Os Gráficos </w:t>
      </w:r>
      <w:r w:rsidRPr="00214997">
        <w:rPr>
          <w:rFonts w:ascii="Times New Roman" w:eastAsia="Times New Roman" w:hAnsi="Times New Roman" w:cs="Times New Roman"/>
          <w:sz w:val="24"/>
          <w:szCs w:val="24"/>
          <w:lang w:val="pt-BR" w:eastAsia="pt-BR"/>
        </w:rPr>
        <w:t>1 e 2 mostram a</w:t>
      </w:r>
      <w:r>
        <w:rPr>
          <w:rFonts w:ascii="Times New Roman" w:eastAsia="Times New Roman" w:hAnsi="Times New Roman" w:cs="Times New Roman"/>
          <w:sz w:val="24"/>
          <w:szCs w:val="24"/>
          <w:lang w:val="pt-BR" w:eastAsia="pt-BR"/>
        </w:rPr>
        <w:t>s</w:t>
      </w:r>
      <w:r w:rsidRPr="00214997">
        <w:rPr>
          <w:rFonts w:ascii="Times New Roman" w:eastAsia="Times New Roman" w:hAnsi="Times New Roman" w:cs="Times New Roman"/>
          <w:sz w:val="24"/>
          <w:szCs w:val="24"/>
          <w:lang w:val="pt-BR" w:eastAsia="pt-BR"/>
        </w:rPr>
        <w:t xml:space="preserve"> distribuiç</w:t>
      </w:r>
      <w:r>
        <w:rPr>
          <w:rFonts w:ascii="Times New Roman" w:eastAsia="Times New Roman" w:hAnsi="Times New Roman" w:cs="Times New Roman"/>
          <w:sz w:val="24"/>
          <w:szCs w:val="24"/>
          <w:lang w:val="pt-BR" w:eastAsia="pt-BR"/>
        </w:rPr>
        <w:t xml:space="preserve">ões </w:t>
      </w:r>
      <w:r w:rsidRPr="00214997">
        <w:rPr>
          <w:rFonts w:ascii="Times New Roman" w:eastAsia="Times New Roman" w:hAnsi="Times New Roman" w:cs="Times New Roman"/>
          <w:sz w:val="24"/>
          <w:szCs w:val="24"/>
          <w:lang w:val="pt-BR" w:eastAsia="pt-BR"/>
        </w:rPr>
        <w:t xml:space="preserve">de probabilidade para </w:t>
      </w:r>
      <w:r w:rsidR="00A877C8">
        <w:rPr>
          <w:rFonts w:ascii="Times New Roman" w:eastAsia="Times New Roman" w:hAnsi="Times New Roman" w:cs="Times New Roman"/>
          <w:sz w:val="24"/>
          <w:szCs w:val="24"/>
          <w:lang w:val="pt-BR" w:eastAsia="pt-BR"/>
        </w:rPr>
        <w:t>PL</w:t>
      </w:r>
      <w:r w:rsidRPr="00214997">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 xml:space="preserve">e </w:t>
      </w:r>
      <w:r w:rsidRPr="00730758">
        <w:rPr>
          <w:rFonts w:ascii="Times New Roman" w:eastAsia="Times New Roman" w:hAnsi="Times New Roman" w:cs="Times New Roman"/>
          <w:sz w:val="24"/>
          <w:szCs w:val="24"/>
          <w:lang w:val="pt-BR" w:eastAsia="pt-BR"/>
        </w:rPr>
        <w:t>Financiamentos Concedidos aos Municípios em 2038.  Os resultados para 2038 indicam que com um grau de 90% de certeza (a parte da distribuição na cor azul):</w:t>
      </w:r>
    </w:p>
    <w:p w14:paraId="2C945010" w14:textId="2EEBFED3" w:rsidR="00D639F1" w:rsidRPr="00730758" w:rsidRDefault="00D639F1" w:rsidP="00D639F1">
      <w:pPr>
        <w:pStyle w:val="ListParagraph"/>
        <w:numPr>
          <w:ilvl w:val="0"/>
          <w:numId w:val="39"/>
        </w:numPr>
        <w:shd w:val="clear" w:color="auto" w:fill="FFFFFF"/>
        <w:spacing w:after="0" w:line="360" w:lineRule="auto"/>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 xml:space="preserve">O </w:t>
      </w:r>
      <w:r w:rsidR="00A877C8">
        <w:rPr>
          <w:rFonts w:ascii="Times New Roman" w:eastAsia="Times New Roman" w:hAnsi="Times New Roman" w:cs="Times New Roman"/>
          <w:sz w:val="24"/>
          <w:szCs w:val="24"/>
          <w:lang w:val="pt-BR" w:eastAsia="pt-BR"/>
        </w:rPr>
        <w:t>PL</w:t>
      </w:r>
      <w:r w:rsidRPr="00730758">
        <w:rPr>
          <w:rFonts w:ascii="Times New Roman" w:eastAsia="Times New Roman" w:hAnsi="Times New Roman" w:cs="Times New Roman"/>
          <w:sz w:val="24"/>
          <w:szCs w:val="24"/>
          <w:lang w:val="pt-BR" w:eastAsia="pt-BR"/>
        </w:rPr>
        <w:t xml:space="preserve"> será superior a R$2,</w:t>
      </w:r>
      <w:r w:rsidR="008A2F7B">
        <w:rPr>
          <w:rFonts w:ascii="Times New Roman" w:eastAsia="Times New Roman" w:hAnsi="Times New Roman" w:cs="Times New Roman"/>
          <w:sz w:val="24"/>
          <w:szCs w:val="24"/>
          <w:lang w:val="pt-BR" w:eastAsia="pt-BR"/>
        </w:rPr>
        <w:t>28</w:t>
      </w:r>
      <w:r w:rsidRPr="00730758">
        <w:rPr>
          <w:rFonts w:ascii="Times New Roman" w:eastAsia="Times New Roman" w:hAnsi="Times New Roman" w:cs="Times New Roman"/>
          <w:sz w:val="24"/>
          <w:szCs w:val="24"/>
          <w:lang w:val="pt-BR" w:eastAsia="pt-BR"/>
        </w:rPr>
        <w:t xml:space="preserve"> bilhões (Gráfico 1)</w:t>
      </w:r>
    </w:p>
    <w:p w14:paraId="50D05319" w14:textId="26E7E4F5" w:rsidR="00D639F1" w:rsidRPr="00730758" w:rsidRDefault="00D639F1" w:rsidP="00D639F1">
      <w:pPr>
        <w:pStyle w:val="ListParagraph"/>
        <w:numPr>
          <w:ilvl w:val="0"/>
          <w:numId w:val="38"/>
        </w:numPr>
        <w:shd w:val="clear" w:color="auto" w:fill="FFFFFF"/>
        <w:spacing w:after="0" w:line="360" w:lineRule="auto"/>
        <w:rPr>
          <w:rFonts w:ascii="Times New Roman" w:eastAsia="Times New Roman" w:hAnsi="Times New Roman" w:cs="Times New Roman"/>
          <w:sz w:val="24"/>
          <w:szCs w:val="24"/>
          <w:lang w:val="pt-BR" w:eastAsia="pt-BR"/>
        </w:rPr>
      </w:pPr>
      <w:r w:rsidRPr="00730758">
        <w:rPr>
          <w:rFonts w:ascii="Times New Roman" w:eastAsia="Times New Roman" w:hAnsi="Times New Roman" w:cs="Times New Roman"/>
          <w:sz w:val="24"/>
          <w:szCs w:val="24"/>
          <w:lang w:val="pt-BR" w:eastAsia="pt-BR"/>
        </w:rPr>
        <w:t>Os Financiamentos Concedidos aos Municípios excederão R$1,</w:t>
      </w:r>
      <w:r w:rsidR="008A2F7B">
        <w:rPr>
          <w:rFonts w:ascii="Times New Roman" w:eastAsia="Times New Roman" w:hAnsi="Times New Roman" w:cs="Times New Roman"/>
          <w:sz w:val="24"/>
          <w:szCs w:val="24"/>
          <w:lang w:val="pt-BR" w:eastAsia="pt-BR"/>
        </w:rPr>
        <w:t>39</w:t>
      </w:r>
      <w:r w:rsidRPr="00730758">
        <w:rPr>
          <w:rFonts w:ascii="Times New Roman" w:eastAsia="Times New Roman" w:hAnsi="Times New Roman" w:cs="Times New Roman"/>
          <w:sz w:val="24"/>
          <w:szCs w:val="24"/>
          <w:lang w:val="pt-BR" w:eastAsia="pt-BR"/>
        </w:rPr>
        <w:t xml:space="preserve"> bilhões (Gráfico </w:t>
      </w:r>
      <w:r w:rsidR="00A877C8">
        <w:rPr>
          <w:rFonts w:ascii="Times New Roman" w:eastAsia="Times New Roman" w:hAnsi="Times New Roman" w:cs="Times New Roman"/>
          <w:sz w:val="24"/>
          <w:szCs w:val="24"/>
          <w:lang w:val="pt-BR" w:eastAsia="pt-BR"/>
        </w:rPr>
        <w:t>8</w:t>
      </w:r>
      <w:r w:rsidRPr="00730758">
        <w:rPr>
          <w:rFonts w:ascii="Times New Roman" w:eastAsia="Times New Roman" w:hAnsi="Times New Roman" w:cs="Times New Roman"/>
          <w:sz w:val="24"/>
          <w:szCs w:val="24"/>
          <w:lang w:val="pt-BR" w:eastAsia="pt-BR"/>
        </w:rPr>
        <w:t xml:space="preserve">).  </w:t>
      </w:r>
    </w:p>
    <w:p w14:paraId="6310C564" w14:textId="77777777" w:rsidR="00D639F1" w:rsidRDefault="00D639F1" w:rsidP="00D639F1">
      <w:pPr>
        <w:shd w:val="clear" w:color="auto" w:fill="FFFFFF"/>
        <w:spacing w:after="0" w:line="240" w:lineRule="auto"/>
        <w:rPr>
          <w:rFonts w:ascii="Times New Roman" w:eastAsia="Times New Roman" w:hAnsi="Times New Roman" w:cs="Times New Roman"/>
          <w:sz w:val="24"/>
          <w:szCs w:val="24"/>
          <w:lang w:val="pt-BR" w:eastAsia="pt-BR"/>
        </w:rPr>
      </w:pPr>
    </w:p>
    <w:p w14:paraId="157168F8" w14:textId="77777777" w:rsidR="00D639F1" w:rsidRDefault="00D639F1" w:rsidP="00D639F1">
      <w:pPr>
        <w:spacing w:after="160" w:line="259" w:lineRule="auto"/>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br w:type="page"/>
      </w:r>
    </w:p>
    <w:p w14:paraId="3AD4AB31" w14:textId="67F4A5B9" w:rsidR="00D639F1" w:rsidRDefault="00D639F1" w:rsidP="00D639F1">
      <w:pPr>
        <w:shd w:val="clear" w:color="auto" w:fill="FFFFFF"/>
        <w:spacing w:after="0" w:line="240" w:lineRule="auto"/>
        <w:rPr>
          <w:rFonts w:ascii="Times New Roman" w:eastAsia="Times New Roman" w:hAnsi="Times New Roman" w:cs="Times New Roman"/>
          <w:sz w:val="24"/>
          <w:szCs w:val="24"/>
          <w:lang w:val="pt-BR" w:eastAsia="pt-BR"/>
        </w:rPr>
      </w:pPr>
      <w:r w:rsidRPr="00214997">
        <w:rPr>
          <w:rFonts w:ascii="Times New Roman" w:eastAsia="Times New Roman" w:hAnsi="Times New Roman" w:cs="Times New Roman"/>
          <w:sz w:val="24"/>
          <w:szCs w:val="24"/>
          <w:lang w:val="pt-BR" w:eastAsia="pt-BR"/>
        </w:rPr>
        <w:lastRenderedPageBreak/>
        <w:t xml:space="preserve">Gráfico </w:t>
      </w:r>
      <w:r w:rsidR="00A877C8">
        <w:rPr>
          <w:rFonts w:ascii="Times New Roman" w:eastAsia="Times New Roman" w:hAnsi="Times New Roman" w:cs="Times New Roman"/>
          <w:sz w:val="24"/>
          <w:szCs w:val="24"/>
          <w:lang w:val="pt-BR" w:eastAsia="pt-BR"/>
        </w:rPr>
        <w:t>7</w:t>
      </w:r>
      <w:r w:rsidRPr="00214997">
        <w:rPr>
          <w:rFonts w:ascii="Times New Roman" w:eastAsia="Times New Roman" w:hAnsi="Times New Roman" w:cs="Times New Roman"/>
          <w:sz w:val="24"/>
          <w:szCs w:val="24"/>
          <w:lang w:val="pt-BR" w:eastAsia="pt-BR"/>
        </w:rPr>
        <w:t xml:space="preserve">. Simulação do valor do </w:t>
      </w:r>
      <w:r w:rsidR="00A877C8">
        <w:rPr>
          <w:rFonts w:ascii="Times New Roman" w:eastAsia="Times New Roman" w:hAnsi="Times New Roman" w:cs="Times New Roman"/>
          <w:sz w:val="24"/>
          <w:szCs w:val="24"/>
          <w:lang w:val="pt-BR" w:eastAsia="pt-BR"/>
        </w:rPr>
        <w:t>PL</w:t>
      </w:r>
      <w:r w:rsidRPr="00214997">
        <w:rPr>
          <w:rFonts w:ascii="Times New Roman" w:eastAsia="Times New Roman" w:hAnsi="Times New Roman" w:cs="Times New Roman"/>
          <w:sz w:val="24"/>
          <w:szCs w:val="24"/>
          <w:lang w:val="pt-BR" w:eastAsia="pt-BR"/>
        </w:rPr>
        <w:t xml:space="preserve"> em 2038:  90% </w:t>
      </w:r>
      <w:r>
        <w:rPr>
          <w:rFonts w:ascii="Times New Roman" w:eastAsia="Times New Roman" w:hAnsi="Times New Roman" w:cs="Times New Roman"/>
          <w:sz w:val="24"/>
          <w:szCs w:val="24"/>
          <w:lang w:val="pt-BR" w:eastAsia="pt-BR"/>
        </w:rPr>
        <w:t xml:space="preserve">de certeza de que o valor </w:t>
      </w:r>
      <w:r w:rsidRPr="0007220E">
        <w:rPr>
          <w:rFonts w:ascii="Times New Roman" w:eastAsia="Times New Roman" w:hAnsi="Times New Roman" w:cs="Times New Roman"/>
          <w:sz w:val="24"/>
          <w:szCs w:val="24"/>
          <w:lang w:val="pt-BR" w:eastAsia="pt-BR"/>
        </w:rPr>
        <w:t>seria superior</w:t>
      </w:r>
      <w:r>
        <w:rPr>
          <w:rFonts w:ascii="Times New Roman" w:eastAsia="Times New Roman" w:hAnsi="Times New Roman" w:cs="Times New Roman"/>
          <w:sz w:val="24"/>
          <w:szCs w:val="24"/>
          <w:lang w:val="pt-BR" w:eastAsia="pt-BR"/>
        </w:rPr>
        <w:t xml:space="preserve"> a</w:t>
      </w:r>
      <w:r w:rsidRPr="00214997">
        <w:rPr>
          <w:rFonts w:ascii="Times New Roman" w:eastAsia="Times New Roman" w:hAnsi="Times New Roman" w:cs="Times New Roman"/>
          <w:sz w:val="24"/>
          <w:szCs w:val="24"/>
          <w:lang w:val="pt-BR" w:eastAsia="pt-BR"/>
        </w:rPr>
        <w:t xml:space="preserve"> R$2,2 bilhões</w:t>
      </w:r>
    </w:p>
    <w:p w14:paraId="0BB83A04" w14:textId="4B706C91" w:rsidR="00D639F1" w:rsidRPr="00214997" w:rsidRDefault="00ED16DF" w:rsidP="00D639F1">
      <w:pPr>
        <w:spacing w:after="0" w:line="240" w:lineRule="auto"/>
        <w:rPr>
          <w:rFonts w:ascii="Times New Roman" w:eastAsia="Times New Roman" w:hAnsi="Times New Roman" w:cs="Times New Roman"/>
          <w:sz w:val="24"/>
          <w:szCs w:val="24"/>
          <w:lang w:val="pt-BR" w:eastAsia="pt-BR"/>
        </w:rPr>
      </w:pPr>
      <w:r>
        <w:rPr>
          <w:rFonts w:ascii="Times New Roman" w:hAnsi="Times New Roman" w:cs="Times New Roman"/>
          <w:color w:val="000000"/>
          <w:sz w:val="24"/>
          <w:szCs w:val="24"/>
          <w:lang w:val="pt-BR"/>
        </w:rPr>
        <w:t xml:space="preserve">Em </w:t>
      </w:r>
      <w:r w:rsidR="00D639F1" w:rsidRPr="00695893">
        <w:rPr>
          <w:rFonts w:ascii="Times New Roman" w:hAnsi="Times New Roman" w:cs="Times New Roman"/>
          <w:color w:val="000000"/>
          <w:sz w:val="24"/>
          <w:szCs w:val="24"/>
          <w:lang w:val="pt-BR"/>
        </w:rPr>
        <w:t xml:space="preserve">R$ </w:t>
      </w:r>
      <w:r w:rsidR="00D639F1">
        <w:rPr>
          <w:rFonts w:ascii="Times New Roman" w:hAnsi="Times New Roman" w:cs="Times New Roman"/>
          <w:color w:val="000000"/>
          <w:sz w:val="24"/>
          <w:szCs w:val="24"/>
          <w:lang w:val="pt-BR"/>
        </w:rPr>
        <w:t>m</w:t>
      </w:r>
      <w:r w:rsidR="00D639F1" w:rsidRPr="00695893">
        <w:rPr>
          <w:rFonts w:ascii="Times New Roman" w:hAnsi="Times New Roman" w:cs="Times New Roman"/>
          <w:color w:val="000000"/>
          <w:sz w:val="24"/>
          <w:szCs w:val="24"/>
          <w:lang w:val="pt-BR"/>
        </w:rPr>
        <w:t>ilhões</w:t>
      </w:r>
      <w:r w:rsidR="00D639F1">
        <w:rPr>
          <w:rFonts w:ascii="Times New Roman" w:hAnsi="Times New Roman" w:cs="Times New Roman"/>
          <w:color w:val="000000"/>
          <w:sz w:val="24"/>
          <w:szCs w:val="24"/>
          <w:lang w:val="pt-BR"/>
        </w:rPr>
        <w:t xml:space="preserve"> </w:t>
      </w:r>
      <w:r>
        <w:rPr>
          <w:rFonts w:ascii="Times New Roman" w:hAnsi="Times New Roman" w:cs="Times New Roman"/>
          <w:color w:val="000000"/>
          <w:sz w:val="24"/>
          <w:szCs w:val="24"/>
          <w:lang w:val="pt-BR"/>
        </w:rPr>
        <w:t>valor constante de 2017</w:t>
      </w:r>
    </w:p>
    <w:p w14:paraId="35965C4F" w14:textId="21117FFD" w:rsidR="00D639F1" w:rsidRPr="00214997" w:rsidRDefault="00ED16DF" w:rsidP="00D639F1">
      <w:pPr>
        <w:shd w:val="clear" w:color="auto" w:fill="FFFFFF"/>
        <w:spacing w:after="0" w:line="240" w:lineRule="auto"/>
        <w:rPr>
          <w:rFonts w:ascii="Times New Roman" w:eastAsia="Times New Roman" w:hAnsi="Times New Roman" w:cs="Times New Roman"/>
          <w:sz w:val="24"/>
          <w:szCs w:val="24"/>
          <w:lang w:val="pt-BR" w:eastAsia="pt-BR"/>
        </w:rPr>
      </w:pPr>
      <w:r>
        <w:rPr>
          <w:noProof/>
        </w:rPr>
        <w:drawing>
          <wp:inline distT="0" distB="0" distL="0" distR="0" wp14:anchorId="3767DC1C" wp14:editId="34C77B0D">
            <wp:extent cx="5943600" cy="32327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232785"/>
                    </a:xfrm>
                    <a:prstGeom prst="rect">
                      <a:avLst/>
                    </a:prstGeom>
                  </pic:spPr>
                </pic:pic>
              </a:graphicData>
            </a:graphic>
          </wp:inline>
        </w:drawing>
      </w:r>
    </w:p>
    <w:p w14:paraId="646006A8" w14:textId="77777777" w:rsidR="00D639F1" w:rsidRPr="00214997" w:rsidRDefault="00D639F1" w:rsidP="00D639F1">
      <w:pPr>
        <w:shd w:val="clear" w:color="auto" w:fill="FFFFFF"/>
        <w:spacing w:after="0" w:line="360" w:lineRule="auto"/>
        <w:rPr>
          <w:rFonts w:ascii="Times New Roman" w:eastAsia="Times New Roman" w:hAnsi="Times New Roman" w:cs="Times New Roman"/>
          <w:sz w:val="24"/>
          <w:szCs w:val="24"/>
          <w:lang w:val="pt-BR" w:eastAsia="pt-BR"/>
        </w:rPr>
      </w:pPr>
      <w:r w:rsidRPr="00214997">
        <w:rPr>
          <w:rFonts w:ascii="Times New Roman" w:eastAsia="Times New Roman" w:hAnsi="Times New Roman" w:cs="Times New Roman"/>
          <w:sz w:val="24"/>
          <w:szCs w:val="24"/>
          <w:lang w:val="pt-BR" w:eastAsia="pt-BR"/>
        </w:rPr>
        <w:t>Fonte:  Simulações dos autores.</w:t>
      </w:r>
    </w:p>
    <w:p w14:paraId="336B5B55" w14:textId="77777777" w:rsidR="00F9252C" w:rsidRDefault="00F9252C" w:rsidP="00D639F1">
      <w:pPr>
        <w:shd w:val="clear" w:color="auto" w:fill="FFFFFF"/>
        <w:spacing w:after="0" w:line="240" w:lineRule="auto"/>
        <w:rPr>
          <w:rFonts w:ascii="Times New Roman" w:eastAsia="Times New Roman" w:hAnsi="Times New Roman" w:cs="Times New Roman"/>
          <w:sz w:val="24"/>
          <w:szCs w:val="24"/>
          <w:lang w:val="pt-BR" w:eastAsia="pt-BR"/>
        </w:rPr>
      </w:pPr>
    </w:p>
    <w:p w14:paraId="52EC5191" w14:textId="7D2B1ECC" w:rsidR="00D639F1" w:rsidRDefault="00D639F1" w:rsidP="00D639F1">
      <w:pPr>
        <w:shd w:val="clear" w:color="auto" w:fill="FFFFFF"/>
        <w:spacing w:after="0" w:line="240" w:lineRule="auto"/>
        <w:rPr>
          <w:rFonts w:ascii="Times New Roman" w:eastAsia="Times New Roman" w:hAnsi="Times New Roman" w:cs="Times New Roman"/>
          <w:sz w:val="24"/>
          <w:szCs w:val="24"/>
          <w:lang w:val="pt-BR" w:eastAsia="pt-BR"/>
        </w:rPr>
      </w:pPr>
      <w:r w:rsidRPr="00214997">
        <w:rPr>
          <w:rFonts w:ascii="Times New Roman" w:eastAsia="Times New Roman" w:hAnsi="Times New Roman" w:cs="Times New Roman"/>
          <w:sz w:val="24"/>
          <w:szCs w:val="24"/>
          <w:lang w:val="pt-BR" w:eastAsia="pt-BR"/>
        </w:rPr>
        <w:t xml:space="preserve">Gráfico </w:t>
      </w:r>
      <w:r w:rsidR="00A877C8">
        <w:rPr>
          <w:rFonts w:ascii="Times New Roman" w:eastAsia="Times New Roman" w:hAnsi="Times New Roman" w:cs="Times New Roman"/>
          <w:sz w:val="24"/>
          <w:szCs w:val="24"/>
          <w:lang w:val="pt-BR" w:eastAsia="pt-BR"/>
        </w:rPr>
        <w:t>8</w:t>
      </w:r>
      <w:r w:rsidRPr="00214997">
        <w:rPr>
          <w:rFonts w:ascii="Times New Roman" w:eastAsia="Times New Roman" w:hAnsi="Times New Roman" w:cs="Times New Roman"/>
          <w:sz w:val="24"/>
          <w:szCs w:val="24"/>
          <w:lang w:val="pt-BR" w:eastAsia="pt-BR"/>
        </w:rPr>
        <w:t>. Simulação do valor do</w:t>
      </w:r>
      <w:r>
        <w:rPr>
          <w:rFonts w:ascii="Times New Roman" w:eastAsia="Times New Roman" w:hAnsi="Times New Roman" w:cs="Times New Roman"/>
          <w:sz w:val="24"/>
          <w:szCs w:val="24"/>
          <w:lang w:val="pt-BR" w:eastAsia="pt-BR"/>
        </w:rPr>
        <w:t>s</w:t>
      </w:r>
      <w:r w:rsidRPr="00214997">
        <w:rPr>
          <w:rFonts w:ascii="Times New Roman" w:eastAsia="Times New Roman" w:hAnsi="Times New Roman" w:cs="Times New Roman"/>
          <w:sz w:val="24"/>
          <w:szCs w:val="24"/>
          <w:lang w:val="pt-BR" w:eastAsia="pt-BR"/>
        </w:rPr>
        <w:t xml:space="preserve"> Financiamentos Concedidos aos Municípios em 2038:  90% </w:t>
      </w:r>
      <w:r>
        <w:rPr>
          <w:rFonts w:ascii="Times New Roman" w:eastAsia="Times New Roman" w:hAnsi="Times New Roman" w:cs="Times New Roman"/>
          <w:sz w:val="24"/>
          <w:szCs w:val="24"/>
          <w:lang w:val="pt-BR" w:eastAsia="pt-BR"/>
        </w:rPr>
        <w:t xml:space="preserve">de certeza de que o valor seria superior </w:t>
      </w:r>
      <w:r w:rsidRPr="00730758">
        <w:rPr>
          <w:rFonts w:ascii="Times New Roman" w:eastAsia="Times New Roman" w:hAnsi="Times New Roman" w:cs="Times New Roman"/>
          <w:sz w:val="24"/>
          <w:szCs w:val="24"/>
          <w:lang w:val="pt-BR" w:eastAsia="pt-BR"/>
        </w:rPr>
        <w:t>a R$1,3 bilhões</w:t>
      </w:r>
    </w:p>
    <w:p w14:paraId="168424B2" w14:textId="77777777" w:rsidR="00ED16DF" w:rsidRPr="00214997" w:rsidRDefault="00ED16DF" w:rsidP="00ED16DF">
      <w:pPr>
        <w:spacing w:after="0" w:line="240" w:lineRule="auto"/>
        <w:rPr>
          <w:rFonts w:ascii="Times New Roman" w:eastAsia="Times New Roman" w:hAnsi="Times New Roman" w:cs="Times New Roman"/>
          <w:sz w:val="24"/>
          <w:szCs w:val="24"/>
          <w:lang w:val="pt-BR" w:eastAsia="pt-BR"/>
        </w:rPr>
      </w:pPr>
      <w:r>
        <w:rPr>
          <w:rFonts w:ascii="Times New Roman" w:hAnsi="Times New Roman" w:cs="Times New Roman"/>
          <w:color w:val="000000"/>
          <w:sz w:val="24"/>
          <w:szCs w:val="24"/>
          <w:lang w:val="pt-BR"/>
        </w:rPr>
        <w:t xml:space="preserve">Em </w:t>
      </w:r>
      <w:r w:rsidRPr="00695893">
        <w:rPr>
          <w:rFonts w:ascii="Times New Roman" w:hAnsi="Times New Roman" w:cs="Times New Roman"/>
          <w:color w:val="000000"/>
          <w:sz w:val="24"/>
          <w:szCs w:val="24"/>
          <w:lang w:val="pt-BR"/>
        </w:rPr>
        <w:t xml:space="preserve">R$ </w:t>
      </w:r>
      <w:r>
        <w:rPr>
          <w:rFonts w:ascii="Times New Roman" w:hAnsi="Times New Roman" w:cs="Times New Roman"/>
          <w:color w:val="000000"/>
          <w:sz w:val="24"/>
          <w:szCs w:val="24"/>
          <w:lang w:val="pt-BR"/>
        </w:rPr>
        <w:t>m</w:t>
      </w:r>
      <w:r w:rsidRPr="00695893">
        <w:rPr>
          <w:rFonts w:ascii="Times New Roman" w:hAnsi="Times New Roman" w:cs="Times New Roman"/>
          <w:color w:val="000000"/>
          <w:sz w:val="24"/>
          <w:szCs w:val="24"/>
          <w:lang w:val="pt-BR"/>
        </w:rPr>
        <w:t>ilhões</w:t>
      </w:r>
      <w:r>
        <w:rPr>
          <w:rFonts w:ascii="Times New Roman" w:hAnsi="Times New Roman" w:cs="Times New Roman"/>
          <w:color w:val="000000"/>
          <w:sz w:val="24"/>
          <w:szCs w:val="24"/>
          <w:lang w:val="pt-BR"/>
        </w:rPr>
        <w:t xml:space="preserve"> valor constante de 2017</w:t>
      </w:r>
    </w:p>
    <w:p w14:paraId="1D0C1F17" w14:textId="24D34147" w:rsidR="00D639F1" w:rsidRDefault="00ED16DF" w:rsidP="00D639F1">
      <w:pPr>
        <w:shd w:val="clear" w:color="auto" w:fill="FFFFFF"/>
        <w:spacing w:after="0" w:line="240" w:lineRule="auto"/>
        <w:rPr>
          <w:rFonts w:ascii="Times New Roman" w:eastAsia="Times New Roman" w:hAnsi="Times New Roman" w:cs="Times New Roman"/>
          <w:sz w:val="24"/>
          <w:szCs w:val="24"/>
          <w:lang w:val="pt-BR" w:eastAsia="pt-BR"/>
        </w:rPr>
      </w:pPr>
      <w:r>
        <w:rPr>
          <w:noProof/>
        </w:rPr>
        <w:drawing>
          <wp:inline distT="0" distB="0" distL="0" distR="0" wp14:anchorId="577C0593" wp14:editId="0A10D445">
            <wp:extent cx="5943600" cy="32531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53105"/>
                    </a:xfrm>
                    <a:prstGeom prst="rect">
                      <a:avLst/>
                    </a:prstGeom>
                  </pic:spPr>
                </pic:pic>
              </a:graphicData>
            </a:graphic>
          </wp:inline>
        </w:drawing>
      </w:r>
    </w:p>
    <w:p w14:paraId="7511799D" w14:textId="512872A6" w:rsidR="00D639F1" w:rsidRPr="00214997" w:rsidRDefault="00D639F1" w:rsidP="00D639F1">
      <w:pPr>
        <w:shd w:val="clear" w:color="auto" w:fill="FFFFFF"/>
        <w:spacing w:after="0" w:line="240" w:lineRule="auto"/>
        <w:rPr>
          <w:rFonts w:ascii="Times New Roman" w:eastAsia="Times New Roman" w:hAnsi="Times New Roman" w:cs="Times New Roman"/>
          <w:sz w:val="24"/>
          <w:szCs w:val="24"/>
          <w:lang w:val="pt-BR" w:eastAsia="pt-BR"/>
        </w:rPr>
      </w:pPr>
      <w:r w:rsidRPr="00214997">
        <w:rPr>
          <w:rFonts w:ascii="Times New Roman" w:eastAsia="Times New Roman" w:hAnsi="Times New Roman" w:cs="Times New Roman"/>
          <w:sz w:val="24"/>
          <w:szCs w:val="24"/>
          <w:lang w:val="pt-BR" w:eastAsia="pt-BR"/>
        </w:rPr>
        <w:t>Fonte:  Simulações dos autores.</w:t>
      </w:r>
    </w:p>
    <w:p w14:paraId="786CC4C4" w14:textId="6C1E4EE6" w:rsidR="00D639F1" w:rsidRPr="00A108D1" w:rsidRDefault="00D639F1" w:rsidP="00D639F1">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A </w:t>
      </w:r>
      <w:r w:rsidRPr="00A108D1">
        <w:rPr>
          <w:rFonts w:ascii="Times New Roman" w:hAnsi="Times New Roman" w:cs="Times New Roman"/>
          <w:sz w:val="24"/>
          <w:szCs w:val="24"/>
          <w:lang w:val="pt-BR"/>
        </w:rPr>
        <w:t>Tabela 1</w:t>
      </w:r>
      <w:r w:rsidR="003300AA">
        <w:rPr>
          <w:rFonts w:ascii="Times New Roman" w:hAnsi="Times New Roman" w:cs="Times New Roman"/>
          <w:sz w:val="24"/>
          <w:szCs w:val="24"/>
          <w:lang w:val="pt-BR"/>
        </w:rPr>
        <w:t>5</w:t>
      </w:r>
      <w:r w:rsidRPr="00A108D1">
        <w:rPr>
          <w:rFonts w:ascii="Times New Roman" w:hAnsi="Times New Roman" w:cs="Times New Roman"/>
          <w:sz w:val="24"/>
          <w:szCs w:val="24"/>
          <w:lang w:val="pt-BR"/>
        </w:rPr>
        <w:t xml:space="preserve"> faz uma comparação </w:t>
      </w:r>
      <w:r>
        <w:rPr>
          <w:rFonts w:ascii="Times New Roman" w:hAnsi="Times New Roman" w:cs="Times New Roman"/>
          <w:sz w:val="24"/>
          <w:szCs w:val="24"/>
          <w:lang w:val="pt-BR"/>
        </w:rPr>
        <w:t xml:space="preserve">entre </w:t>
      </w:r>
      <w:r w:rsidRPr="00A108D1">
        <w:rPr>
          <w:rFonts w:ascii="Times New Roman" w:hAnsi="Times New Roman" w:cs="Times New Roman"/>
          <w:sz w:val="24"/>
          <w:szCs w:val="24"/>
          <w:lang w:val="pt-BR"/>
        </w:rPr>
        <w:t xml:space="preserve">as estimativas de </w:t>
      </w:r>
      <w:r w:rsidR="003300AA">
        <w:rPr>
          <w:rFonts w:ascii="Times New Roman" w:hAnsi="Times New Roman" w:cs="Times New Roman"/>
          <w:sz w:val="24"/>
          <w:szCs w:val="24"/>
          <w:lang w:val="pt-BR"/>
        </w:rPr>
        <w:t>PL</w:t>
      </w:r>
      <w:r w:rsidRPr="00A108D1">
        <w:rPr>
          <w:rFonts w:ascii="Times New Roman" w:hAnsi="Times New Roman" w:cs="Times New Roman"/>
          <w:sz w:val="24"/>
          <w:szCs w:val="24"/>
          <w:lang w:val="pt-BR"/>
        </w:rPr>
        <w:t xml:space="preserve"> e Financiamentos Concedidos aos Municípios </w:t>
      </w:r>
      <w:r>
        <w:rPr>
          <w:rFonts w:ascii="Times New Roman" w:hAnsi="Times New Roman" w:cs="Times New Roman"/>
          <w:sz w:val="24"/>
          <w:szCs w:val="24"/>
          <w:lang w:val="pt-BR"/>
        </w:rPr>
        <w:t>d</w:t>
      </w:r>
      <w:r w:rsidRPr="00A108D1">
        <w:rPr>
          <w:rFonts w:ascii="Times New Roman" w:hAnsi="Times New Roman" w:cs="Times New Roman"/>
          <w:sz w:val="24"/>
          <w:szCs w:val="24"/>
          <w:lang w:val="pt-BR"/>
        </w:rPr>
        <w:t xml:space="preserve">os </w:t>
      </w:r>
      <w:r w:rsidRPr="0007220E">
        <w:rPr>
          <w:rFonts w:ascii="Times New Roman" w:hAnsi="Times New Roman" w:cs="Times New Roman"/>
          <w:sz w:val="24"/>
          <w:szCs w:val="24"/>
          <w:lang w:val="pt-BR"/>
        </w:rPr>
        <w:t>três cenários</w:t>
      </w:r>
      <w:r w:rsidRPr="00A108D1">
        <w:rPr>
          <w:rFonts w:ascii="Times New Roman" w:hAnsi="Times New Roman" w:cs="Times New Roman"/>
          <w:sz w:val="24"/>
          <w:szCs w:val="24"/>
          <w:lang w:val="pt-BR"/>
        </w:rPr>
        <w:t xml:space="preserve"> </w:t>
      </w:r>
      <w:r>
        <w:rPr>
          <w:rFonts w:ascii="Times New Roman" w:hAnsi="Times New Roman" w:cs="Times New Roman"/>
          <w:sz w:val="24"/>
          <w:szCs w:val="24"/>
          <w:lang w:val="pt-BR"/>
        </w:rPr>
        <w:t>(optimista, intermediário e pessimista) com as simulações</w:t>
      </w:r>
      <w:r w:rsidRPr="00A108D1">
        <w:rPr>
          <w:rFonts w:ascii="Times New Roman" w:hAnsi="Times New Roman" w:cs="Times New Roman"/>
          <w:sz w:val="24"/>
          <w:szCs w:val="24"/>
          <w:lang w:val="pt-BR"/>
        </w:rPr>
        <w:t xml:space="preserve"> de Monte Carlo</w:t>
      </w:r>
      <w:r>
        <w:rPr>
          <w:rFonts w:ascii="Times New Roman" w:hAnsi="Times New Roman" w:cs="Times New Roman"/>
          <w:sz w:val="24"/>
          <w:szCs w:val="24"/>
          <w:lang w:val="pt-BR"/>
        </w:rPr>
        <w:t xml:space="preserve">, utilizando um grau de certeza de </w:t>
      </w:r>
      <w:r w:rsidRPr="0007220E">
        <w:rPr>
          <w:rFonts w:ascii="Times New Roman" w:hAnsi="Times New Roman" w:cs="Times New Roman"/>
          <w:sz w:val="24"/>
          <w:szCs w:val="24"/>
          <w:lang w:val="pt-BR"/>
        </w:rPr>
        <w:t>50% e 90%,</w:t>
      </w:r>
      <w:r>
        <w:rPr>
          <w:rFonts w:ascii="Times New Roman" w:hAnsi="Times New Roman" w:cs="Times New Roman"/>
          <w:sz w:val="24"/>
          <w:szCs w:val="24"/>
          <w:lang w:val="pt-BR"/>
        </w:rPr>
        <w:t xml:space="preserve"> respectivamente</w:t>
      </w:r>
      <w:r w:rsidRPr="00A108D1">
        <w:rPr>
          <w:rFonts w:ascii="Times New Roman" w:hAnsi="Times New Roman" w:cs="Times New Roman"/>
          <w:sz w:val="24"/>
          <w:szCs w:val="24"/>
          <w:lang w:val="pt-BR"/>
        </w:rPr>
        <w:t xml:space="preserve">.  </w:t>
      </w:r>
      <w:r w:rsidRPr="00443EE6">
        <w:rPr>
          <w:rFonts w:ascii="Times New Roman" w:hAnsi="Times New Roman" w:cs="Times New Roman"/>
          <w:sz w:val="24"/>
          <w:szCs w:val="24"/>
          <w:lang w:val="pt-BR"/>
        </w:rPr>
        <w:t>Em geral, as estimativas com grau de certeza de 90% nas simulações Monte Carlo são semelhantes</w:t>
      </w:r>
      <w:r>
        <w:rPr>
          <w:rFonts w:ascii="Times New Roman" w:hAnsi="Times New Roman" w:cs="Times New Roman"/>
          <w:sz w:val="24"/>
          <w:szCs w:val="24"/>
          <w:lang w:val="pt-BR"/>
        </w:rPr>
        <w:t xml:space="preserve"> aos resultados</w:t>
      </w:r>
      <w:r w:rsidRPr="00443EE6">
        <w:rPr>
          <w:rFonts w:ascii="Times New Roman" w:hAnsi="Times New Roman" w:cs="Times New Roman"/>
          <w:sz w:val="24"/>
          <w:szCs w:val="24"/>
          <w:lang w:val="pt-BR"/>
        </w:rPr>
        <w:t xml:space="preserve"> </w:t>
      </w:r>
      <w:r>
        <w:rPr>
          <w:rFonts w:ascii="Times New Roman" w:hAnsi="Times New Roman" w:cs="Times New Roman"/>
          <w:sz w:val="24"/>
          <w:szCs w:val="24"/>
          <w:lang w:val="pt-BR"/>
        </w:rPr>
        <w:t>com os</w:t>
      </w:r>
      <w:r w:rsidRPr="00443EE6">
        <w:rPr>
          <w:rFonts w:ascii="Times New Roman" w:hAnsi="Times New Roman" w:cs="Times New Roman"/>
          <w:sz w:val="24"/>
          <w:szCs w:val="24"/>
          <w:lang w:val="pt-BR"/>
        </w:rPr>
        <w:t xml:space="preserve"> cenários pessimistas, e </w:t>
      </w:r>
      <w:r>
        <w:rPr>
          <w:rFonts w:ascii="Times New Roman" w:hAnsi="Times New Roman" w:cs="Times New Roman"/>
          <w:sz w:val="24"/>
          <w:szCs w:val="24"/>
          <w:lang w:val="pt-BR"/>
        </w:rPr>
        <w:t xml:space="preserve">os </w:t>
      </w:r>
      <w:r w:rsidRPr="00443EE6">
        <w:rPr>
          <w:rFonts w:ascii="Times New Roman" w:hAnsi="Times New Roman" w:cs="Times New Roman"/>
          <w:sz w:val="24"/>
          <w:szCs w:val="24"/>
          <w:lang w:val="pt-BR"/>
        </w:rPr>
        <w:t xml:space="preserve">com grau de certeza de </w:t>
      </w:r>
      <w:r w:rsidRPr="0007220E">
        <w:rPr>
          <w:rFonts w:ascii="Times New Roman" w:hAnsi="Times New Roman" w:cs="Times New Roman"/>
          <w:sz w:val="24"/>
          <w:szCs w:val="24"/>
          <w:lang w:val="pt-BR"/>
        </w:rPr>
        <w:t>50%</w:t>
      </w:r>
      <w:r w:rsidRPr="00443EE6">
        <w:rPr>
          <w:rFonts w:ascii="Times New Roman" w:hAnsi="Times New Roman" w:cs="Times New Roman"/>
          <w:sz w:val="24"/>
          <w:szCs w:val="24"/>
          <w:lang w:val="pt-BR"/>
        </w:rPr>
        <w:t xml:space="preserve">, aproximam </w:t>
      </w:r>
      <w:r w:rsidR="003300AA">
        <w:rPr>
          <w:rFonts w:ascii="Times New Roman" w:hAnsi="Times New Roman" w:cs="Times New Roman"/>
          <w:sz w:val="24"/>
          <w:szCs w:val="24"/>
          <w:lang w:val="pt-BR"/>
        </w:rPr>
        <w:t xml:space="preserve">aos </w:t>
      </w:r>
      <w:r w:rsidRPr="00443EE6">
        <w:rPr>
          <w:rFonts w:ascii="Times New Roman" w:hAnsi="Times New Roman" w:cs="Times New Roman"/>
          <w:sz w:val="24"/>
          <w:szCs w:val="24"/>
          <w:lang w:val="pt-BR"/>
        </w:rPr>
        <w:t>dos cenários intermediários.</w:t>
      </w:r>
    </w:p>
    <w:p w14:paraId="7FC59CEB" w14:textId="61C5B986" w:rsidR="00D639F1" w:rsidRDefault="00D639F1" w:rsidP="00D639F1">
      <w:pPr>
        <w:spacing w:after="0" w:line="240" w:lineRule="auto"/>
        <w:rPr>
          <w:rFonts w:ascii="Times New Roman" w:hAnsi="Times New Roman" w:cs="Times New Roman"/>
          <w:sz w:val="24"/>
          <w:szCs w:val="24"/>
          <w:lang w:val="pt-BR"/>
        </w:rPr>
      </w:pPr>
      <w:r w:rsidRPr="0007220E">
        <w:rPr>
          <w:rFonts w:ascii="Times New Roman" w:hAnsi="Times New Roman" w:cs="Times New Roman"/>
          <w:sz w:val="24"/>
          <w:szCs w:val="24"/>
          <w:lang w:val="pt-BR"/>
        </w:rPr>
        <w:t>Tabela 1</w:t>
      </w:r>
      <w:r w:rsidR="003300AA">
        <w:rPr>
          <w:rFonts w:ascii="Times New Roman" w:hAnsi="Times New Roman" w:cs="Times New Roman"/>
          <w:sz w:val="24"/>
          <w:szCs w:val="24"/>
          <w:lang w:val="pt-BR"/>
        </w:rPr>
        <w:t>5</w:t>
      </w:r>
      <w:r w:rsidRPr="0007220E">
        <w:rPr>
          <w:rFonts w:ascii="Times New Roman" w:hAnsi="Times New Roman" w:cs="Times New Roman"/>
          <w:sz w:val="24"/>
          <w:szCs w:val="24"/>
          <w:lang w:val="pt-BR"/>
        </w:rPr>
        <w:t xml:space="preserve">. Comparação das estimativas de </w:t>
      </w:r>
      <w:r w:rsidR="00E67A4F">
        <w:rPr>
          <w:rFonts w:ascii="Times New Roman" w:hAnsi="Times New Roman" w:cs="Times New Roman"/>
          <w:sz w:val="24"/>
          <w:szCs w:val="24"/>
          <w:lang w:val="pt-BR"/>
        </w:rPr>
        <w:t>PL</w:t>
      </w:r>
      <w:r w:rsidRPr="0007220E">
        <w:rPr>
          <w:rFonts w:ascii="Times New Roman" w:hAnsi="Times New Roman" w:cs="Times New Roman"/>
          <w:sz w:val="24"/>
          <w:szCs w:val="24"/>
          <w:lang w:val="pt-BR"/>
        </w:rPr>
        <w:t xml:space="preserve"> e Financiamentos Concedidos aos Municípios com os três cenários e estimativas de Monte Carlo com 50%</w:t>
      </w:r>
      <w:r w:rsidRPr="0030307F">
        <w:rPr>
          <w:rFonts w:ascii="Times New Roman" w:eastAsia="Times New Roman" w:hAnsi="Times New Roman" w:cs="Times New Roman"/>
          <w:sz w:val="24"/>
          <w:szCs w:val="24"/>
          <w:lang w:val="pt-BR" w:eastAsia="pt-BR"/>
        </w:rPr>
        <w:t xml:space="preserve"> e 90% de certeza</w:t>
      </w:r>
      <w:r>
        <w:rPr>
          <w:rFonts w:ascii="Times New Roman" w:eastAsia="Times New Roman" w:hAnsi="Times New Roman" w:cs="Times New Roman"/>
          <w:sz w:val="24"/>
          <w:szCs w:val="24"/>
          <w:lang w:val="pt-BR" w:eastAsia="pt-BR"/>
        </w:rPr>
        <w:t>:</w:t>
      </w:r>
      <w:r w:rsidRPr="00CA2760">
        <w:rPr>
          <w:rFonts w:ascii="Times New Roman" w:hAnsi="Times New Roman" w:cs="Times New Roman"/>
          <w:sz w:val="24"/>
          <w:szCs w:val="24"/>
          <w:lang w:val="pt-BR"/>
        </w:rPr>
        <w:t xml:space="preserve"> 2018/ 2038</w:t>
      </w:r>
    </w:p>
    <w:p w14:paraId="5B21DE2D" w14:textId="77777777" w:rsidR="00D639F1" w:rsidRDefault="00D639F1" w:rsidP="00D639F1">
      <w:pPr>
        <w:spacing w:after="0" w:line="240" w:lineRule="auto"/>
        <w:rPr>
          <w:rFonts w:ascii="Arial" w:eastAsia="Times New Roman" w:hAnsi="Arial" w:cs="Arial"/>
          <w:color w:val="000000"/>
          <w:sz w:val="20"/>
          <w:szCs w:val="20"/>
          <w:lang w:val="pt-BR"/>
        </w:rPr>
      </w:pPr>
      <w:r w:rsidRPr="00CA2760">
        <w:rPr>
          <w:rFonts w:ascii="Arial" w:eastAsia="Times New Roman" w:hAnsi="Arial" w:cs="Arial"/>
          <w:color w:val="000000"/>
          <w:sz w:val="20"/>
          <w:szCs w:val="20"/>
          <w:lang w:val="pt-BR"/>
        </w:rPr>
        <w:t xml:space="preserve">R$ </w:t>
      </w:r>
      <w:r>
        <w:rPr>
          <w:rFonts w:ascii="Arial" w:eastAsia="Times New Roman" w:hAnsi="Arial" w:cs="Arial"/>
          <w:color w:val="000000"/>
          <w:sz w:val="20"/>
          <w:szCs w:val="20"/>
          <w:lang w:val="pt-BR"/>
        </w:rPr>
        <w:t>m</w:t>
      </w:r>
      <w:r w:rsidRPr="00CA2760">
        <w:rPr>
          <w:rFonts w:ascii="Arial" w:eastAsia="Times New Roman" w:hAnsi="Arial" w:cs="Arial"/>
          <w:color w:val="000000"/>
          <w:sz w:val="20"/>
          <w:szCs w:val="20"/>
          <w:lang w:val="pt-BR"/>
        </w:rPr>
        <w:t xml:space="preserve">ilhões </w:t>
      </w:r>
      <w:r>
        <w:rPr>
          <w:rFonts w:ascii="Arial" w:eastAsia="Times New Roman" w:hAnsi="Arial" w:cs="Arial"/>
          <w:color w:val="000000"/>
          <w:sz w:val="20"/>
          <w:szCs w:val="20"/>
          <w:lang w:val="pt-BR"/>
        </w:rPr>
        <w:t xml:space="preserve">em </w:t>
      </w:r>
      <w:r w:rsidRPr="00CA2760">
        <w:rPr>
          <w:rFonts w:ascii="Arial" w:eastAsia="Times New Roman" w:hAnsi="Arial" w:cs="Arial"/>
          <w:color w:val="000000"/>
          <w:sz w:val="20"/>
          <w:szCs w:val="20"/>
          <w:lang w:val="pt-BR"/>
        </w:rPr>
        <w:t>valores constantes de 2017</w:t>
      </w:r>
    </w:p>
    <w:tbl>
      <w:tblPr>
        <w:tblW w:w="9214" w:type="dxa"/>
        <w:tblInd w:w="-10" w:type="dxa"/>
        <w:tblLook w:val="04A0" w:firstRow="1" w:lastRow="0" w:firstColumn="1" w:lastColumn="0" w:noHBand="0" w:noVBand="1"/>
      </w:tblPr>
      <w:tblGrid>
        <w:gridCol w:w="2977"/>
        <w:gridCol w:w="1134"/>
        <w:gridCol w:w="1276"/>
        <w:gridCol w:w="1276"/>
        <w:gridCol w:w="1275"/>
        <w:gridCol w:w="1276"/>
      </w:tblGrid>
      <w:tr w:rsidR="00780E00" w:rsidRPr="00780E00" w14:paraId="64F27CC9" w14:textId="77777777" w:rsidTr="00780E00">
        <w:trPr>
          <w:trHeight w:val="300"/>
        </w:trPr>
        <w:tc>
          <w:tcPr>
            <w:tcW w:w="297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3F1A11E" w14:textId="77777777" w:rsidR="00780E00" w:rsidRPr="00780E00" w:rsidRDefault="00780E00" w:rsidP="00780E00">
            <w:pPr>
              <w:spacing w:after="0" w:line="240" w:lineRule="auto"/>
              <w:rPr>
                <w:rFonts w:ascii="Arial" w:eastAsia="Times New Roman" w:hAnsi="Arial" w:cs="Arial"/>
                <w:b/>
                <w:bCs/>
                <w:color w:val="000000"/>
                <w:sz w:val="20"/>
                <w:szCs w:val="20"/>
                <w:lang w:val="pt-BR"/>
              </w:rPr>
            </w:pPr>
            <w:r w:rsidRPr="00780E00">
              <w:rPr>
                <w:rFonts w:ascii="Arial" w:eastAsia="Times New Roman" w:hAnsi="Arial" w:cs="Arial"/>
                <w:b/>
                <w:bCs/>
                <w:color w:val="000000"/>
                <w:sz w:val="20"/>
                <w:szCs w:val="20"/>
                <w:lang w:val="pt-BR"/>
              </w:rPr>
              <w:t>Variáveis e Cenários</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7BEC2B4" w14:textId="77777777" w:rsidR="00780E00" w:rsidRPr="00780E00" w:rsidRDefault="00780E00" w:rsidP="00780E00">
            <w:pPr>
              <w:spacing w:after="0" w:line="240" w:lineRule="auto"/>
              <w:jc w:val="right"/>
              <w:rPr>
                <w:rFonts w:ascii="Arial" w:eastAsia="Times New Roman" w:hAnsi="Arial" w:cs="Arial"/>
                <w:b/>
                <w:bCs/>
                <w:color w:val="000000"/>
                <w:sz w:val="20"/>
                <w:szCs w:val="20"/>
                <w:lang w:val="pt-BR"/>
              </w:rPr>
            </w:pPr>
            <w:r w:rsidRPr="00780E00">
              <w:rPr>
                <w:rFonts w:ascii="Arial" w:eastAsia="Times New Roman" w:hAnsi="Arial" w:cs="Arial"/>
                <w:b/>
                <w:bCs/>
                <w:color w:val="000000"/>
                <w:sz w:val="20"/>
                <w:szCs w:val="20"/>
                <w:lang w:val="pt-BR"/>
              </w:rPr>
              <w:t> 2018</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40662E" w14:textId="77777777" w:rsidR="00780E00" w:rsidRPr="00780E00" w:rsidRDefault="00780E00" w:rsidP="00780E00">
            <w:pPr>
              <w:spacing w:after="0" w:line="240" w:lineRule="auto"/>
              <w:jc w:val="right"/>
              <w:rPr>
                <w:rFonts w:ascii="Arial" w:eastAsia="Times New Roman" w:hAnsi="Arial" w:cs="Arial"/>
                <w:b/>
                <w:bCs/>
                <w:color w:val="000000"/>
                <w:sz w:val="20"/>
                <w:szCs w:val="20"/>
                <w:lang w:val="pt-BR"/>
              </w:rPr>
            </w:pPr>
            <w:r w:rsidRPr="00780E00">
              <w:rPr>
                <w:rFonts w:ascii="Arial" w:eastAsia="Times New Roman" w:hAnsi="Arial" w:cs="Arial"/>
                <w:b/>
                <w:bCs/>
                <w:color w:val="000000"/>
                <w:sz w:val="20"/>
                <w:szCs w:val="20"/>
                <w:lang w:val="pt-BR"/>
              </w:rPr>
              <w:t> 2038</w:t>
            </w:r>
          </w:p>
        </w:tc>
        <w:tc>
          <w:tcPr>
            <w:tcW w:w="382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9CD70A" w14:textId="77777777" w:rsidR="00780E00" w:rsidRPr="00780E00" w:rsidRDefault="00780E00" w:rsidP="00780E00">
            <w:pPr>
              <w:spacing w:after="0" w:line="240" w:lineRule="auto"/>
              <w:rPr>
                <w:rFonts w:ascii="Arial" w:eastAsia="Times New Roman" w:hAnsi="Arial" w:cs="Arial"/>
                <w:b/>
                <w:bCs/>
                <w:color w:val="000000"/>
                <w:sz w:val="20"/>
                <w:szCs w:val="20"/>
                <w:lang w:val="pt-BR"/>
              </w:rPr>
            </w:pPr>
            <w:r w:rsidRPr="00780E00">
              <w:rPr>
                <w:rFonts w:ascii="Arial" w:eastAsia="Times New Roman" w:hAnsi="Arial" w:cs="Arial"/>
                <w:b/>
                <w:bCs/>
                <w:color w:val="000000"/>
                <w:sz w:val="20"/>
                <w:szCs w:val="20"/>
                <w:lang w:val="pt-BR"/>
              </w:rPr>
              <w:t>Variação 2018/ 2038  </w:t>
            </w:r>
          </w:p>
        </w:tc>
      </w:tr>
      <w:tr w:rsidR="00780E00" w:rsidRPr="00780E00" w14:paraId="1D110CCC" w14:textId="77777777" w:rsidTr="00780E00">
        <w:trPr>
          <w:trHeight w:val="300"/>
        </w:trPr>
        <w:tc>
          <w:tcPr>
            <w:tcW w:w="2977" w:type="dxa"/>
            <w:vMerge/>
            <w:tcBorders>
              <w:top w:val="single" w:sz="8" w:space="0" w:color="auto"/>
              <w:left w:val="single" w:sz="8" w:space="0" w:color="auto"/>
              <w:bottom w:val="single" w:sz="8" w:space="0" w:color="000000"/>
              <w:right w:val="single" w:sz="8" w:space="0" w:color="auto"/>
            </w:tcBorders>
            <w:vAlign w:val="center"/>
            <w:hideMark/>
          </w:tcPr>
          <w:p w14:paraId="45AA2946" w14:textId="77777777" w:rsidR="00780E00" w:rsidRPr="00780E00" w:rsidRDefault="00780E00" w:rsidP="00780E00">
            <w:pPr>
              <w:spacing w:after="0" w:line="240" w:lineRule="auto"/>
              <w:rPr>
                <w:rFonts w:ascii="Arial" w:eastAsia="Times New Roman" w:hAnsi="Arial" w:cs="Arial"/>
                <w:b/>
                <w:bCs/>
                <w:color w:val="000000"/>
                <w:sz w:val="20"/>
                <w:szCs w:val="20"/>
                <w:lang w:val="pt-BR"/>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BFE3EBE" w14:textId="77777777" w:rsidR="00780E00" w:rsidRPr="00780E00" w:rsidRDefault="00780E00" w:rsidP="00780E00">
            <w:pPr>
              <w:spacing w:after="0" w:line="240" w:lineRule="auto"/>
              <w:rPr>
                <w:rFonts w:ascii="Arial" w:eastAsia="Times New Roman" w:hAnsi="Arial" w:cs="Arial"/>
                <w:b/>
                <w:bCs/>
                <w:color w:val="000000"/>
                <w:sz w:val="20"/>
                <w:szCs w:val="20"/>
                <w:lang w:val="pt-BR"/>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3B9D078" w14:textId="77777777" w:rsidR="00780E00" w:rsidRPr="00780E00" w:rsidRDefault="00780E00" w:rsidP="00780E00">
            <w:pPr>
              <w:spacing w:after="0" w:line="240" w:lineRule="auto"/>
              <w:rPr>
                <w:rFonts w:ascii="Arial" w:eastAsia="Times New Roman" w:hAnsi="Arial" w:cs="Arial"/>
                <w:b/>
                <w:bCs/>
                <w:color w:val="000000"/>
                <w:sz w:val="20"/>
                <w:szCs w:val="20"/>
                <w:lang w:val="pt-BR"/>
              </w:rPr>
            </w:pPr>
          </w:p>
        </w:tc>
        <w:tc>
          <w:tcPr>
            <w:tcW w:w="1276" w:type="dxa"/>
            <w:tcBorders>
              <w:top w:val="nil"/>
              <w:left w:val="nil"/>
              <w:bottom w:val="single" w:sz="8" w:space="0" w:color="auto"/>
              <w:right w:val="single" w:sz="8" w:space="0" w:color="auto"/>
            </w:tcBorders>
            <w:shd w:val="clear" w:color="auto" w:fill="auto"/>
            <w:noWrap/>
            <w:vAlign w:val="center"/>
            <w:hideMark/>
          </w:tcPr>
          <w:p w14:paraId="1A7F7672" w14:textId="77777777" w:rsidR="00780E00" w:rsidRPr="00780E00" w:rsidRDefault="00780E00" w:rsidP="00780E00">
            <w:pPr>
              <w:spacing w:after="0" w:line="240" w:lineRule="auto"/>
              <w:jc w:val="center"/>
              <w:rPr>
                <w:rFonts w:ascii="Arial" w:eastAsia="Times New Roman" w:hAnsi="Arial" w:cs="Arial"/>
                <w:b/>
                <w:bCs/>
                <w:color w:val="000000"/>
                <w:sz w:val="20"/>
                <w:szCs w:val="20"/>
                <w:lang w:val="pt-BR"/>
              </w:rPr>
            </w:pPr>
            <w:r w:rsidRPr="00780E00">
              <w:rPr>
                <w:rFonts w:ascii="Arial" w:eastAsia="Times New Roman" w:hAnsi="Arial" w:cs="Arial"/>
                <w:b/>
                <w:bCs/>
                <w:color w:val="000000"/>
                <w:sz w:val="20"/>
                <w:szCs w:val="20"/>
                <w:lang w:val="pt-BR"/>
              </w:rPr>
              <w:t>Absoluto</w:t>
            </w:r>
          </w:p>
        </w:tc>
        <w:tc>
          <w:tcPr>
            <w:tcW w:w="1275" w:type="dxa"/>
            <w:tcBorders>
              <w:top w:val="nil"/>
              <w:left w:val="nil"/>
              <w:bottom w:val="single" w:sz="8" w:space="0" w:color="auto"/>
              <w:right w:val="single" w:sz="8" w:space="0" w:color="auto"/>
            </w:tcBorders>
            <w:shd w:val="clear" w:color="auto" w:fill="auto"/>
            <w:noWrap/>
            <w:vAlign w:val="center"/>
            <w:hideMark/>
          </w:tcPr>
          <w:p w14:paraId="26EFA7A4" w14:textId="77777777" w:rsidR="00780E00" w:rsidRPr="00780E00" w:rsidRDefault="00780E00" w:rsidP="00780E00">
            <w:pPr>
              <w:spacing w:after="0" w:line="240" w:lineRule="auto"/>
              <w:jc w:val="center"/>
              <w:rPr>
                <w:rFonts w:ascii="Arial" w:eastAsia="Times New Roman" w:hAnsi="Arial" w:cs="Arial"/>
                <w:b/>
                <w:bCs/>
                <w:color w:val="000000"/>
                <w:sz w:val="20"/>
                <w:szCs w:val="20"/>
                <w:lang w:val="pt-BR"/>
              </w:rPr>
            </w:pPr>
            <w:r w:rsidRPr="00780E00">
              <w:rPr>
                <w:rFonts w:ascii="Arial" w:eastAsia="Times New Roman" w:hAnsi="Arial" w:cs="Arial"/>
                <w:b/>
                <w:bCs/>
                <w:color w:val="000000"/>
                <w:sz w:val="20"/>
                <w:szCs w:val="20"/>
                <w:lang w:val="pt-BR"/>
              </w:rPr>
              <w:t>%</w:t>
            </w:r>
          </w:p>
        </w:tc>
        <w:tc>
          <w:tcPr>
            <w:tcW w:w="1276" w:type="dxa"/>
            <w:tcBorders>
              <w:top w:val="nil"/>
              <w:left w:val="nil"/>
              <w:bottom w:val="single" w:sz="8" w:space="0" w:color="auto"/>
              <w:right w:val="single" w:sz="8" w:space="0" w:color="auto"/>
            </w:tcBorders>
            <w:shd w:val="clear" w:color="auto" w:fill="auto"/>
            <w:noWrap/>
            <w:vAlign w:val="center"/>
            <w:hideMark/>
          </w:tcPr>
          <w:p w14:paraId="52FF0935" w14:textId="77777777" w:rsidR="00780E00" w:rsidRPr="00780E00" w:rsidRDefault="00780E00" w:rsidP="00780E00">
            <w:pPr>
              <w:spacing w:after="0" w:line="240" w:lineRule="auto"/>
              <w:jc w:val="center"/>
              <w:rPr>
                <w:rFonts w:ascii="Arial" w:eastAsia="Times New Roman" w:hAnsi="Arial" w:cs="Arial"/>
                <w:b/>
                <w:bCs/>
                <w:color w:val="000000"/>
                <w:sz w:val="20"/>
                <w:szCs w:val="20"/>
                <w:lang w:val="pt-BR"/>
              </w:rPr>
            </w:pPr>
            <w:r w:rsidRPr="00780E00">
              <w:rPr>
                <w:rFonts w:ascii="Arial" w:eastAsia="Times New Roman" w:hAnsi="Arial" w:cs="Arial"/>
                <w:b/>
                <w:bCs/>
                <w:color w:val="000000"/>
                <w:sz w:val="20"/>
                <w:szCs w:val="20"/>
                <w:lang w:val="pt-BR"/>
              </w:rPr>
              <w:t>% anual</w:t>
            </w:r>
          </w:p>
        </w:tc>
      </w:tr>
      <w:tr w:rsidR="00780E00" w:rsidRPr="00780E00" w14:paraId="7D9C2EC1" w14:textId="77777777" w:rsidTr="00780E00">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3224C015" w14:textId="77777777" w:rsidR="00780E00" w:rsidRPr="00780E00" w:rsidRDefault="00780E00" w:rsidP="00780E00">
            <w:pPr>
              <w:spacing w:after="0" w:line="240" w:lineRule="auto"/>
              <w:rPr>
                <w:rFonts w:ascii="Arial" w:eastAsia="Times New Roman" w:hAnsi="Arial" w:cs="Arial"/>
                <w:b/>
                <w:bCs/>
                <w:i/>
                <w:iCs/>
                <w:color w:val="000000"/>
                <w:sz w:val="20"/>
                <w:szCs w:val="20"/>
                <w:lang w:val="pt-BR"/>
              </w:rPr>
            </w:pPr>
            <w:r w:rsidRPr="00780E00">
              <w:rPr>
                <w:rFonts w:ascii="Arial" w:eastAsia="Times New Roman" w:hAnsi="Arial" w:cs="Arial"/>
                <w:b/>
                <w:bCs/>
                <w:i/>
                <w:iCs/>
                <w:color w:val="000000"/>
                <w:sz w:val="20"/>
                <w:szCs w:val="20"/>
                <w:lang w:val="pt-BR"/>
              </w:rPr>
              <w:t>Patrimônio Líquido</w:t>
            </w:r>
          </w:p>
        </w:tc>
        <w:tc>
          <w:tcPr>
            <w:tcW w:w="1134" w:type="dxa"/>
            <w:tcBorders>
              <w:top w:val="nil"/>
              <w:left w:val="nil"/>
              <w:bottom w:val="single" w:sz="8" w:space="0" w:color="auto"/>
              <w:right w:val="single" w:sz="8" w:space="0" w:color="auto"/>
            </w:tcBorders>
            <w:shd w:val="clear" w:color="auto" w:fill="auto"/>
            <w:noWrap/>
            <w:vAlign w:val="center"/>
            <w:hideMark/>
          </w:tcPr>
          <w:p w14:paraId="46E9B487" w14:textId="77777777" w:rsidR="00780E00" w:rsidRPr="00780E00" w:rsidRDefault="00780E00" w:rsidP="00780E00">
            <w:pPr>
              <w:spacing w:after="0" w:line="240" w:lineRule="auto"/>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 </w:t>
            </w:r>
          </w:p>
        </w:tc>
        <w:tc>
          <w:tcPr>
            <w:tcW w:w="1276" w:type="dxa"/>
            <w:tcBorders>
              <w:top w:val="nil"/>
              <w:left w:val="nil"/>
              <w:bottom w:val="single" w:sz="8" w:space="0" w:color="auto"/>
              <w:right w:val="single" w:sz="8" w:space="0" w:color="auto"/>
            </w:tcBorders>
            <w:shd w:val="clear" w:color="auto" w:fill="auto"/>
            <w:noWrap/>
            <w:vAlign w:val="center"/>
            <w:hideMark/>
          </w:tcPr>
          <w:p w14:paraId="0EBF8327" w14:textId="77777777" w:rsidR="00780E00" w:rsidRPr="00780E00" w:rsidRDefault="00780E00" w:rsidP="00780E00">
            <w:pPr>
              <w:spacing w:after="0" w:line="240" w:lineRule="auto"/>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 </w:t>
            </w:r>
          </w:p>
        </w:tc>
        <w:tc>
          <w:tcPr>
            <w:tcW w:w="1276" w:type="dxa"/>
            <w:tcBorders>
              <w:top w:val="nil"/>
              <w:left w:val="nil"/>
              <w:bottom w:val="single" w:sz="8" w:space="0" w:color="auto"/>
              <w:right w:val="single" w:sz="8" w:space="0" w:color="auto"/>
            </w:tcBorders>
            <w:shd w:val="clear" w:color="auto" w:fill="auto"/>
            <w:noWrap/>
            <w:vAlign w:val="center"/>
            <w:hideMark/>
          </w:tcPr>
          <w:p w14:paraId="6417160E" w14:textId="77777777" w:rsidR="00780E00" w:rsidRPr="00780E00" w:rsidRDefault="00780E00" w:rsidP="00780E00">
            <w:pPr>
              <w:spacing w:after="0" w:line="240" w:lineRule="auto"/>
              <w:jc w:val="center"/>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 </w:t>
            </w:r>
          </w:p>
        </w:tc>
        <w:tc>
          <w:tcPr>
            <w:tcW w:w="1275" w:type="dxa"/>
            <w:tcBorders>
              <w:top w:val="nil"/>
              <w:left w:val="nil"/>
              <w:bottom w:val="single" w:sz="8" w:space="0" w:color="auto"/>
              <w:right w:val="single" w:sz="8" w:space="0" w:color="auto"/>
            </w:tcBorders>
            <w:shd w:val="clear" w:color="auto" w:fill="auto"/>
            <w:noWrap/>
            <w:vAlign w:val="center"/>
            <w:hideMark/>
          </w:tcPr>
          <w:p w14:paraId="64B5FB57" w14:textId="77777777" w:rsidR="00780E00" w:rsidRPr="00780E00" w:rsidRDefault="00780E00" w:rsidP="00780E00">
            <w:pPr>
              <w:spacing w:after="0" w:line="240" w:lineRule="auto"/>
              <w:jc w:val="center"/>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 </w:t>
            </w:r>
          </w:p>
        </w:tc>
        <w:tc>
          <w:tcPr>
            <w:tcW w:w="1276" w:type="dxa"/>
            <w:tcBorders>
              <w:top w:val="nil"/>
              <w:left w:val="nil"/>
              <w:bottom w:val="single" w:sz="8" w:space="0" w:color="auto"/>
              <w:right w:val="single" w:sz="8" w:space="0" w:color="auto"/>
            </w:tcBorders>
            <w:shd w:val="clear" w:color="auto" w:fill="auto"/>
            <w:noWrap/>
            <w:vAlign w:val="center"/>
            <w:hideMark/>
          </w:tcPr>
          <w:p w14:paraId="347813CB" w14:textId="77777777" w:rsidR="00780E00" w:rsidRPr="00780E00" w:rsidRDefault="00780E00" w:rsidP="00780E00">
            <w:pPr>
              <w:spacing w:after="0" w:line="240" w:lineRule="auto"/>
              <w:jc w:val="center"/>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 </w:t>
            </w:r>
          </w:p>
        </w:tc>
      </w:tr>
      <w:tr w:rsidR="00780E00" w:rsidRPr="00780E00" w14:paraId="6BE28AD9" w14:textId="77777777" w:rsidTr="00780E00">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BBAA469" w14:textId="77777777" w:rsidR="00780E00" w:rsidRPr="00780E00" w:rsidRDefault="00780E00" w:rsidP="00780E00">
            <w:pPr>
              <w:spacing w:after="0" w:line="240" w:lineRule="auto"/>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Cenários</w:t>
            </w:r>
          </w:p>
        </w:tc>
        <w:tc>
          <w:tcPr>
            <w:tcW w:w="1134" w:type="dxa"/>
            <w:tcBorders>
              <w:top w:val="nil"/>
              <w:left w:val="nil"/>
              <w:bottom w:val="single" w:sz="8" w:space="0" w:color="auto"/>
              <w:right w:val="single" w:sz="8" w:space="0" w:color="auto"/>
            </w:tcBorders>
            <w:shd w:val="clear" w:color="auto" w:fill="auto"/>
            <w:noWrap/>
            <w:vAlign w:val="center"/>
            <w:hideMark/>
          </w:tcPr>
          <w:p w14:paraId="72424B8C" w14:textId="77777777" w:rsidR="00780E00" w:rsidRPr="00780E00" w:rsidRDefault="00780E00" w:rsidP="00780E00">
            <w:pPr>
              <w:spacing w:after="0" w:line="240" w:lineRule="auto"/>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 </w:t>
            </w:r>
          </w:p>
        </w:tc>
        <w:tc>
          <w:tcPr>
            <w:tcW w:w="1276" w:type="dxa"/>
            <w:tcBorders>
              <w:top w:val="nil"/>
              <w:left w:val="nil"/>
              <w:bottom w:val="single" w:sz="8" w:space="0" w:color="auto"/>
              <w:right w:val="single" w:sz="8" w:space="0" w:color="auto"/>
            </w:tcBorders>
            <w:shd w:val="clear" w:color="auto" w:fill="auto"/>
            <w:noWrap/>
            <w:vAlign w:val="center"/>
            <w:hideMark/>
          </w:tcPr>
          <w:p w14:paraId="7459405A" w14:textId="77777777" w:rsidR="00780E00" w:rsidRPr="00780E00" w:rsidRDefault="00780E00" w:rsidP="00780E00">
            <w:pPr>
              <w:spacing w:after="0" w:line="240" w:lineRule="auto"/>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 </w:t>
            </w:r>
          </w:p>
        </w:tc>
        <w:tc>
          <w:tcPr>
            <w:tcW w:w="1276" w:type="dxa"/>
            <w:tcBorders>
              <w:top w:val="nil"/>
              <w:left w:val="nil"/>
              <w:bottom w:val="single" w:sz="8" w:space="0" w:color="auto"/>
              <w:right w:val="single" w:sz="8" w:space="0" w:color="auto"/>
            </w:tcBorders>
            <w:shd w:val="clear" w:color="auto" w:fill="auto"/>
            <w:noWrap/>
            <w:vAlign w:val="center"/>
            <w:hideMark/>
          </w:tcPr>
          <w:p w14:paraId="1F06BEB3" w14:textId="77777777" w:rsidR="00780E00" w:rsidRPr="00780E00" w:rsidRDefault="00780E00" w:rsidP="00780E00">
            <w:pPr>
              <w:spacing w:after="0" w:line="240" w:lineRule="auto"/>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 </w:t>
            </w:r>
          </w:p>
        </w:tc>
        <w:tc>
          <w:tcPr>
            <w:tcW w:w="1275" w:type="dxa"/>
            <w:tcBorders>
              <w:top w:val="nil"/>
              <w:left w:val="nil"/>
              <w:bottom w:val="single" w:sz="8" w:space="0" w:color="auto"/>
              <w:right w:val="single" w:sz="8" w:space="0" w:color="auto"/>
            </w:tcBorders>
            <w:shd w:val="clear" w:color="auto" w:fill="auto"/>
            <w:noWrap/>
            <w:vAlign w:val="center"/>
            <w:hideMark/>
          </w:tcPr>
          <w:p w14:paraId="60CE9232" w14:textId="77777777" w:rsidR="00780E00" w:rsidRPr="00780E00" w:rsidRDefault="00780E00" w:rsidP="00780E00">
            <w:pPr>
              <w:spacing w:after="0" w:line="240" w:lineRule="auto"/>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 </w:t>
            </w:r>
          </w:p>
        </w:tc>
        <w:tc>
          <w:tcPr>
            <w:tcW w:w="1276" w:type="dxa"/>
            <w:tcBorders>
              <w:top w:val="nil"/>
              <w:left w:val="nil"/>
              <w:bottom w:val="single" w:sz="8" w:space="0" w:color="auto"/>
              <w:right w:val="single" w:sz="8" w:space="0" w:color="auto"/>
            </w:tcBorders>
            <w:shd w:val="clear" w:color="auto" w:fill="auto"/>
            <w:noWrap/>
            <w:vAlign w:val="center"/>
            <w:hideMark/>
          </w:tcPr>
          <w:p w14:paraId="6FCB78B4" w14:textId="77777777" w:rsidR="00780E00" w:rsidRPr="00780E00" w:rsidRDefault="00780E00" w:rsidP="00780E00">
            <w:pPr>
              <w:spacing w:after="0" w:line="240" w:lineRule="auto"/>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 </w:t>
            </w:r>
          </w:p>
        </w:tc>
      </w:tr>
      <w:tr w:rsidR="00780E00" w:rsidRPr="00780E00" w14:paraId="290D163A" w14:textId="77777777" w:rsidTr="00780E00">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CF5919A"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Optimista</w:t>
            </w:r>
          </w:p>
        </w:tc>
        <w:tc>
          <w:tcPr>
            <w:tcW w:w="1134" w:type="dxa"/>
            <w:tcBorders>
              <w:top w:val="nil"/>
              <w:left w:val="nil"/>
              <w:bottom w:val="single" w:sz="8" w:space="0" w:color="auto"/>
              <w:right w:val="single" w:sz="8" w:space="0" w:color="auto"/>
            </w:tcBorders>
            <w:shd w:val="clear" w:color="auto" w:fill="auto"/>
            <w:noWrap/>
            <w:vAlign w:val="center"/>
            <w:hideMark/>
          </w:tcPr>
          <w:p w14:paraId="23DFBB01" w14:textId="1E2BB39E"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1.465</w:t>
            </w:r>
          </w:p>
        </w:tc>
        <w:tc>
          <w:tcPr>
            <w:tcW w:w="1276" w:type="dxa"/>
            <w:tcBorders>
              <w:top w:val="nil"/>
              <w:left w:val="nil"/>
              <w:bottom w:val="single" w:sz="8" w:space="0" w:color="auto"/>
              <w:right w:val="single" w:sz="8" w:space="0" w:color="auto"/>
            </w:tcBorders>
            <w:shd w:val="clear" w:color="auto" w:fill="auto"/>
            <w:noWrap/>
            <w:vAlign w:val="center"/>
            <w:hideMark/>
          </w:tcPr>
          <w:p w14:paraId="5915EB28" w14:textId="638929DB"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3.659</w:t>
            </w:r>
          </w:p>
        </w:tc>
        <w:tc>
          <w:tcPr>
            <w:tcW w:w="1276" w:type="dxa"/>
            <w:tcBorders>
              <w:top w:val="nil"/>
              <w:left w:val="nil"/>
              <w:bottom w:val="single" w:sz="8" w:space="0" w:color="auto"/>
              <w:right w:val="single" w:sz="8" w:space="0" w:color="auto"/>
            </w:tcBorders>
            <w:shd w:val="clear" w:color="auto" w:fill="auto"/>
            <w:noWrap/>
            <w:vAlign w:val="center"/>
            <w:hideMark/>
          </w:tcPr>
          <w:p w14:paraId="38EB368C" w14:textId="1AECF412"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2.195</w:t>
            </w:r>
          </w:p>
        </w:tc>
        <w:tc>
          <w:tcPr>
            <w:tcW w:w="1275" w:type="dxa"/>
            <w:tcBorders>
              <w:top w:val="nil"/>
              <w:left w:val="nil"/>
              <w:bottom w:val="single" w:sz="8" w:space="0" w:color="auto"/>
              <w:right w:val="single" w:sz="8" w:space="0" w:color="auto"/>
            </w:tcBorders>
            <w:shd w:val="clear" w:color="auto" w:fill="auto"/>
            <w:noWrap/>
            <w:vAlign w:val="center"/>
            <w:hideMark/>
          </w:tcPr>
          <w:p w14:paraId="32986A9B"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149,8%</w:t>
            </w:r>
          </w:p>
        </w:tc>
        <w:tc>
          <w:tcPr>
            <w:tcW w:w="1276" w:type="dxa"/>
            <w:tcBorders>
              <w:top w:val="nil"/>
              <w:left w:val="nil"/>
              <w:bottom w:val="single" w:sz="8" w:space="0" w:color="auto"/>
              <w:right w:val="single" w:sz="8" w:space="0" w:color="auto"/>
            </w:tcBorders>
            <w:shd w:val="clear" w:color="auto" w:fill="auto"/>
            <w:noWrap/>
            <w:vAlign w:val="center"/>
            <w:hideMark/>
          </w:tcPr>
          <w:p w14:paraId="1C3E9CAB"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4,7%</w:t>
            </w:r>
          </w:p>
        </w:tc>
      </w:tr>
      <w:tr w:rsidR="00780E00" w:rsidRPr="00780E00" w14:paraId="1ECC824F" w14:textId="77777777" w:rsidTr="00780E00">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761A7B32"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Intermediário</w:t>
            </w:r>
          </w:p>
        </w:tc>
        <w:tc>
          <w:tcPr>
            <w:tcW w:w="1134" w:type="dxa"/>
            <w:tcBorders>
              <w:top w:val="nil"/>
              <w:left w:val="nil"/>
              <w:bottom w:val="single" w:sz="8" w:space="0" w:color="auto"/>
              <w:right w:val="single" w:sz="8" w:space="0" w:color="auto"/>
            </w:tcBorders>
            <w:shd w:val="clear" w:color="auto" w:fill="auto"/>
            <w:noWrap/>
            <w:vAlign w:val="center"/>
            <w:hideMark/>
          </w:tcPr>
          <w:p w14:paraId="70F51BFB" w14:textId="03AE1343"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1.465</w:t>
            </w:r>
          </w:p>
        </w:tc>
        <w:tc>
          <w:tcPr>
            <w:tcW w:w="1276" w:type="dxa"/>
            <w:tcBorders>
              <w:top w:val="nil"/>
              <w:left w:val="nil"/>
              <w:bottom w:val="single" w:sz="8" w:space="0" w:color="auto"/>
              <w:right w:val="single" w:sz="8" w:space="0" w:color="auto"/>
            </w:tcBorders>
            <w:shd w:val="clear" w:color="auto" w:fill="auto"/>
            <w:noWrap/>
            <w:vAlign w:val="center"/>
            <w:hideMark/>
          </w:tcPr>
          <w:p w14:paraId="063F5EE7" w14:textId="0ED6A443"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2.854</w:t>
            </w:r>
          </w:p>
        </w:tc>
        <w:tc>
          <w:tcPr>
            <w:tcW w:w="1276" w:type="dxa"/>
            <w:tcBorders>
              <w:top w:val="nil"/>
              <w:left w:val="nil"/>
              <w:bottom w:val="single" w:sz="8" w:space="0" w:color="auto"/>
              <w:right w:val="single" w:sz="8" w:space="0" w:color="auto"/>
            </w:tcBorders>
            <w:shd w:val="clear" w:color="auto" w:fill="auto"/>
            <w:noWrap/>
            <w:vAlign w:val="center"/>
            <w:hideMark/>
          </w:tcPr>
          <w:p w14:paraId="48287AFD" w14:textId="1955F85C"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1.389</w:t>
            </w:r>
          </w:p>
        </w:tc>
        <w:tc>
          <w:tcPr>
            <w:tcW w:w="1275" w:type="dxa"/>
            <w:tcBorders>
              <w:top w:val="nil"/>
              <w:left w:val="nil"/>
              <w:bottom w:val="single" w:sz="8" w:space="0" w:color="auto"/>
              <w:right w:val="single" w:sz="8" w:space="0" w:color="auto"/>
            </w:tcBorders>
            <w:shd w:val="clear" w:color="auto" w:fill="auto"/>
            <w:noWrap/>
            <w:vAlign w:val="center"/>
            <w:hideMark/>
          </w:tcPr>
          <w:p w14:paraId="54032928"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94,8%</w:t>
            </w:r>
          </w:p>
        </w:tc>
        <w:tc>
          <w:tcPr>
            <w:tcW w:w="1276" w:type="dxa"/>
            <w:tcBorders>
              <w:top w:val="nil"/>
              <w:left w:val="nil"/>
              <w:bottom w:val="single" w:sz="8" w:space="0" w:color="auto"/>
              <w:right w:val="single" w:sz="8" w:space="0" w:color="auto"/>
            </w:tcBorders>
            <w:shd w:val="clear" w:color="auto" w:fill="auto"/>
            <w:noWrap/>
            <w:vAlign w:val="center"/>
            <w:hideMark/>
          </w:tcPr>
          <w:p w14:paraId="184EB6EE"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3,4%</w:t>
            </w:r>
          </w:p>
        </w:tc>
      </w:tr>
      <w:tr w:rsidR="00780E00" w:rsidRPr="00780E00" w14:paraId="4F29D28E" w14:textId="77777777" w:rsidTr="00780E00">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26AFCCDE" w14:textId="77777777"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Pessimista</w:t>
            </w:r>
          </w:p>
        </w:tc>
        <w:tc>
          <w:tcPr>
            <w:tcW w:w="1134" w:type="dxa"/>
            <w:tcBorders>
              <w:top w:val="nil"/>
              <w:left w:val="nil"/>
              <w:bottom w:val="single" w:sz="8" w:space="0" w:color="auto"/>
              <w:right w:val="single" w:sz="8" w:space="0" w:color="auto"/>
            </w:tcBorders>
            <w:shd w:val="clear" w:color="auto" w:fill="auto"/>
            <w:noWrap/>
            <w:vAlign w:val="center"/>
            <w:hideMark/>
          </w:tcPr>
          <w:p w14:paraId="41533505" w14:textId="4676AF4B"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1.465</w:t>
            </w:r>
          </w:p>
        </w:tc>
        <w:tc>
          <w:tcPr>
            <w:tcW w:w="1276" w:type="dxa"/>
            <w:tcBorders>
              <w:top w:val="nil"/>
              <w:left w:val="nil"/>
              <w:bottom w:val="single" w:sz="8" w:space="0" w:color="auto"/>
              <w:right w:val="single" w:sz="8" w:space="0" w:color="auto"/>
            </w:tcBorders>
            <w:shd w:val="clear" w:color="auto" w:fill="auto"/>
            <w:noWrap/>
            <w:vAlign w:val="center"/>
            <w:hideMark/>
          </w:tcPr>
          <w:p w14:paraId="3025C886" w14:textId="44A687CE"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2.221</w:t>
            </w:r>
          </w:p>
        </w:tc>
        <w:tc>
          <w:tcPr>
            <w:tcW w:w="1276" w:type="dxa"/>
            <w:tcBorders>
              <w:top w:val="nil"/>
              <w:left w:val="nil"/>
              <w:bottom w:val="single" w:sz="8" w:space="0" w:color="auto"/>
              <w:right w:val="single" w:sz="8" w:space="0" w:color="auto"/>
            </w:tcBorders>
            <w:shd w:val="clear" w:color="auto" w:fill="auto"/>
            <w:noWrap/>
            <w:vAlign w:val="center"/>
            <w:hideMark/>
          </w:tcPr>
          <w:p w14:paraId="348A9000" w14:textId="7F3B8155"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756</w:t>
            </w:r>
          </w:p>
        </w:tc>
        <w:tc>
          <w:tcPr>
            <w:tcW w:w="1275" w:type="dxa"/>
            <w:tcBorders>
              <w:top w:val="nil"/>
              <w:left w:val="nil"/>
              <w:bottom w:val="single" w:sz="8" w:space="0" w:color="auto"/>
              <w:right w:val="single" w:sz="8" w:space="0" w:color="auto"/>
            </w:tcBorders>
            <w:shd w:val="clear" w:color="auto" w:fill="auto"/>
            <w:noWrap/>
            <w:vAlign w:val="center"/>
            <w:hideMark/>
          </w:tcPr>
          <w:p w14:paraId="42C3293D" w14:textId="77777777"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51,6%</w:t>
            </w:r>
          </w:p>
        </w:tc>
        <w:tc>
          <w:tcPr>
            <w:tcW w:w="1276" w:type="dxa"/>
            <w:tcBorders>
              <w:top w:val="nil"/>
              <w:left w:val="nil"/>
              <w:bottom w:val="single" w:sz="8" w:space="0" w:color="auto"/>
              <w:right w:val="single" w:sz="8" w:space="0" w:color="auto"/>
            </w:tcBorders>
            <w:shd w:val="clear" w:color="auto" w:fill="auto"/>
            <w:noWrap/>
            <w:vAlign w:val="center"/>
            <w:hideMark/>
          </w:tcPr>
          <w:p w14:paraId="5411EFD0" w14:textId="77777777"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2,1%</w:t>
            </w:r>
          </w:p>
        </w:tc>
      </w:tr>
      <w:tr w:rsidR="00780E00" w:rsidRPr="00780E00" w14:paraId="15E006DB" w14:textId="77777777" w:rsidTr="00780E00">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127F832E" w14:textId="77777777" w:rsidR="00780E00" w:rsidRPr="00780E00" w:rsidRDefault="00780E00" w:rsidP="00780E00">
            <w:pPr>
              <w:spacing w:after="0" w:line="240" w:lineRule="auto"/>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Monte Carlo</w:t>
            </w:r>
          </w:p>
        </w:tc>
        <w:tc>
          <w:tcPr>
            <w:tcW w:w="1134" w:type="dxa"/>
            <w:tcBorders>
              <w:top w:val="nil"/>
              <w:left w:val="nil"/>
              <w:bottom w:val="single" w:sz="8" w:space="0" w:color="auto"/>
              <w:right w:val="single" w:sz="8" w:space="0" w:color="auto"/>
            </w:tcBorders>
            <w:shd w:val="clear" w:color="auto" w:fill="auto"/>
            <w:noWrap/>
            <w:vAlign w:val="bottom"/>
            <w:hideMark/>
          </w:tcPr>
          <w:p w14:paraId="40D83D46" w14:textId="28DD9583" w:rsidR="00780E00" w:rsidRPr="00780E00" w:rsidRDefault="00780E00" w:rsidP="00780E00">
            <w:pPr>
              <w:spacing w:after="0" w:line="240" w:lineRule="auto"/>
              <w:rPr>
                <w:rFonts w:ascii="Calibri" w:eastAsia="Times New Roman" w:hAnsi="Calibri" w:cs="Calibri"/>
                <w:color w:val="000000"/>
                <w:lang w:val="pt-BR"/>
              </w:rPr>
            </w:pPr>
          </w:p>
        </w:tc>
        <w:tc>
          <w:tcPr>
            <w:tcW w:w="1276" w:type="dxa"/>
            <w:tcBorders>
              <w:top w:val="nil"/>
              <w:left w:val="nil"/>
              <w:bottom w:val="single" w:sz="8" w:space="0" w:color="auto"/>
              <w:right w:val="single" w:sz="8" w:space="0" w:color="auto"/>
            </w:tcBorders>
            <w:shd w:val="clear" w:color="auto" w:fill="auto"/>
            <w:noWrap/>
            <w:vAlign w:val="bottom"/>
            <w:hideMark/>
          </w:tcPr>
          <w:p w14:paraId="42B37DCC" w14:textId="57BD9157" w:rsidR="00780E00" w:rsidRPr="00780E00" w:rsidRDefault="00780E00" w:rsidP="00780E00">
            <w:pPr>
              <w:spacing w:after="0" w:line="240" w:lineRule="auto"/>
              <w:rPr>
                <w:rFonts w:ascii="Calibri" w:eastAsia="Times New Roman" w:hAnsi="Calibri" w:cs="Calibri"/>
                <w:color w:val="000000"/>
                <w:lang w:val="pt-BR"/>
              </w:rPr>
            </w:pPr>
          </w:p>
        </w:tc>
        <w:tc>
          <w:tcPr>
            <w:tcW w:w="1276" w:type="dxa"/>
            <w:tcBorders>
              <w:top w:val="nil"/>
              <w:left w:val="nil"/>
              <w:bottom w:val="single" w:sz="8" w:space="0" w:color="auto"/>
              <w:right w:val="single" w:sz="8" w:space="0" w:color="auto"/>
            </w:tcBorders>
            <w:shd w:val="clear" w:color="auto" w:fill="auto"/>
            <w:noWrap/>
            <w:vAlign w:val="bottom"/>
            <w:hideMark/>
          </w:tcPr>
          <w:p w14:paraId="7AEDCD01" w14:textId="1E7D8CC6" w:rsidR="00780E00" w:rsidRPr="00780E00" w:rsidRDefault="00780E00" w:rsidP="00780E00">
            <w:pPr>
              <w:spacing w:after="0" w:line="240" w:lineRule="auto"/>
              <w:rPr>
                <w:rFonts w:ascii="Calibri" w:eastAsia="Times New Roman" w:hAnsi="Calibri" w:cs="Calibri"/>
                <w:color w:val="000000"/>
                <w:lang w:val="pt-BR"/>
              </w:rPr>
            </w:pPr>
          </w:p>
        </w:tc>
        <w:tc>
          <w:tcPr>
            <w:tcW w:w="1275" w:type="dxa"/>
            <w:tcBorders>
              <w:top w:val="nil"/>
              <w:left w:val="nil"/>
              <w:bottom w:val="single" w:sz="8" w:space="0" w:color="auto"/>
              <w:right w:val="single" w:sz="8" w:space="0" w:color="auto"/>
            </w:tcBorders>
            <w:shd w:val="clear" w:color="auto" w:fill="auto"/>
            <w:noWrap/>
            <w:vAlign w:val="bottom"/>
            <w:hideMark/>
          </w:tcPr>
          <w:p w14:paraId="0FDE8DA9" w14:textId="518E5D6C" w:rsidR="00780E00" w:rsidRPr="00780E00" w:rsidRDefault="00780E00" w:rsidP="00780E00">
            <w:pPr>
              <w:spacing w:after="0" w:line="240" w:lineRule="auto"/>
              <w:rPr>
                <w:rFonts w:ascii="Calibri" w:eastAsia="Times New Roman" w:hAnsi="Calibri" w:cs="Calibri"/>
                <w:color w:val="000000"/>
                <w:lang w:val="pt-BR"/>
              </w:rPr>
            </w:pPr>
          </w:p>
        </w:tc>
        <w:tc>
          <w:tcPr>
            <w:tcW w:w="1276" w:type="dxa"/>
            <w:tcBorders>
              <w:top w:val="nil"/>
              <w:left w:val="nil"/>
              <w:bottom w:val="single" w:sz="8" w:space="0" w:color="auto"/>
              <w:right w:val="single" w:sz="8" w:space="0" w:color="auto"/>
            </w:tcBorders>
            <w:shd w:val="clear" w:color="auto" w:fill="auto"/>
            <w:noWrap/>
            <w:vAlign w:val="bottom"/>
            <w:hideMark/>
          </w:tcPr>
          <w:p w14:paraId="67ED4E41" w14:textId="5DA2DBBD" w:rsidR="00780E00" w:rsidRPr="00780E00" w:rsidRDefault="00780E00" w:rsidP="00780E00">
            <w:pPr>
              <w:spacing w:after="0" w:line="240" w:lineRule="auto"/>
              <w:rPr>
                <w:rFonts w:ascii="Calibri" w:eastAsia="Times New Roman" w:hAnsi="Calibri" w:cs="Calibri"/>
                <w:color w:val="000000"/>
                <w:lang w:val="pt-BR"/>
              </w:rPr>
            </w:pPr>
          </w:p>
        </w:tc>
      </w:tr>
      <w:tr w:rsidR="00780E00" w:rsidRPr="00780E00" w14:paraId="735770DA" w14:textId="77777777" w:rsidTr="00780E00">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4E73C0F8" w14:textId="77777777"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90% de certeza</w:t>
            </w:r>
          </w:p>
        </w:tc>
        <w:tc>
          <w:tcPr>
            <w:tcW w:w="1134" w:type="dxa"/>
            <w:tcBorders>
              <w:top w:val="nil"/>
              <w:left w:val="nil"/>
              <w:bottom w:val="single" w:sz="8" w:space="0" w:color="auto"/>
              <w:right w:val="single" w:sz="8" w:space="0" w:color="auto"/>
            </w:tcBorders>
            <w:shd w:val="clear" w:color="auto" w:fill="auto"/>
            <w:noWrap/>
            <w:vAlign w:val="center"/>
            <w:hideMark/>
          </w:tcPr>
          <w:p w14:paraId="49BED9E3" w14:textId="77777777"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1.465</w:t>
            </w:r>
          </w:p>
        </w:tc>
        <w:tc>
          <w:tcPr>
            <w:tcW w:w="1276" w:type="dxa"/>
            <w:tcBorders>
              <w:top w:val="nil"/>
              <w:left w:val="nil"/>
              <w:bottom w:val="single" w:sz="8" w:space="0" w:color="auto"/>
              <w:right w:val="single" w:sz="8" w:space="0" w:color="auto"/>
            </w:tcBorders>
            <w:shd w:val="clear" w:color="auto" w:fill="auto"/>
            <w:noWrap/>
            <w:vAlign w:val="center"/>
            <w:hideMark/>
          </w:tcPr>
          <w:p w14:paraId="39B9B39B" w14:textId="68BCD019"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2.280</w:t>
            </w:r>
          </w:p>
        </w:tc>
        <w:tc>
          <w:tcPr>
            <w:tcW w:w="1276" w:type="dxa"/>
            <w:tcBorders>
              <w:top w:val="nil"/>
              <w:left w:val="nil"/>
              <w:bottom w:val="single" w:sz="8" w:space="0" w:color="auto"/>
              <w:right w:val="single" w:sz="8" w:space="0" w:color="auto"/>
            </w:tcBorders>
            <w:shd w:val="clear" w:color="auto" w:fill="auto"/>
            <w:noWrap/>
            <w:vAlign w:val="center"/>
            <w:hideMark/>
          </w:tcPr>
          <w:p w14:paraId="242C087E" w14:textId="282E1B36"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815</w:t>
            </w:r>
          </w:p>
        </w:tc>
        <w:tc>
          <w:tcPr>
            <w:tcW w:w="1275" w:type="dxa"/>
            <w:tcBorders>
              <w:top w:val="nil"/>
              <w:left w:val="nil"/>
              <w:bottom w:val="single" w:sz="8" w:space="0" w:color="auto"/>
              <w:right w:val="single" w:sz="8" w:space="0" w:color="auto"/>
            </w:tcBorders>
            <w:shd w:val="clear" w:color="auto" w:fill="auto"/>
            <w:noWrap/>
            <w:vAlign w:val="center"/>
            <w:hideMark/>
          </w:tcPr>
          <w:p w14:paraId="484E92AE" w14:textId="77777777"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55,6%</w:t>
            </w:r>
          </w:p>
        </w:tc>
        <w:tc>
          <w:tcPr>
            <w:tcW w:w="1276" w:type="dxa"/>
            <w:tcBorders>
              <w:top w:val="nil"/>
              <w:left w:val="nil"/>
              <w:bottom w:val="single" w:sz="8" w:space="0" w:color="auto"/>
              <w:right w:val="single" w:sz="8" w:space="0" w:color="auto"/>
            </w:tcBorders>
            <w:shd w:val="clear" w:color="auto" w:fill="auto"/>
            <w:noWrap/>
            <w:vAlign w:val="center"/>
            <w:hideMark/>
          </w:tcPr>
          <w:p w14:paraId="095DECF0" w14:textId="77777777"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2,2%</w:t>
            </w:r>
          </w:p>
        </w:tc>
      </w:tr>
      <w:tr w:rsidR="00780E00" w:rsidRPr="00780E00" w14:paraId="52DD5A05" w14:textId="77777777" w:rsidTr="00780E00">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7C9147D7"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50% de certeza</w:t>
            </w:r>
          </w:p>
        </w:tc>
        <w:tc>
          <w:tcPr>
            <w:tcW w:w="1134" w:type="dxa"/>
            <w:tcBorders>
              <w:top w:val="nil"/>
              <w:left w:val="nil"/>
              <w:bottom w:val="single" w:sz="8" w:space="0" w:color="auto"/>
              <w:right w:val="single" w:sz="8" w:space="0" w:color="auto"/>
            </w:tcBorders>
            <w:shd w:val="clear" w:color="auto" w:fill="auto"/>
            <w:noWrap/>
            <w:vAlign w:val="center"/>
            <w:hideMark/>
          </w:tcPr>
          <w:p w14:paraId="6C7DEBA1"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1.465</w:t>
            </w:r>
          </w:p>
        </w:tc>
        <w:tc>
          <w:tcPr>
            <w:tcW w:w="1276" w:type="dxa"/>
            <w:tcBorders>
              <w:top w:val="nil"/>
              <w:left w:val="nil"/>
              <w:bottom w:val="single" w:sz="8" w:space="0" w:color="auto"/>
              <w:right w:val="single" w:sz="8" w:space="0" w:color="auto"/>
            </w:tcBorders>
            <w:shd w:val="clear" w:color="auto" w:fill="auto"/>
            <w:noWrap/>
            <w:vAlign w:val="center"/>
            <w:hideMark/>
          </w:tcPr>
          <w:p w14:paraId="35C56850" w14:textId="3C09F428"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2.857</w:t>
            </w:r>
          </w:p>
        </w:tc>
        <w:tc>
          <w:tcPr>
            <w:tcW w:w="1276" w:type="dxa"/>
            <w:tcBorders>
              <w:top w:val="nil"/>
              <w:left w:val="nil"/>
              <w:bottom w:val="single" w:sz="8" w:space="0" w:color="auto"/>
              <w:right w:val="single" w:sz="8" w:space="0" w:color="auto"/>
            </w:tcBorders>
            <w:shd w:val="clear" w:color="auto" w:fill="auto"/>
            <w:noWrap/>
            <w:vAlign w:val="center"/>
            <w:hideMark/>
          </w:tcPr>
          <w:p w14:paraId="713FA365" w14:textId="39A39AE6"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1.392</w:t>
            </w:r>
          </w:p>
        </w:tc>
        <w:tc>
          <w:tcPr>
            <w:tcW w:w="1275" w:type="dxa"/>
            <w:tcBorders>
              <w:top w:val="nil"/>
              <w:left w:val="nil"/>
              <w:bottom w:val="single" w:sz="8" w:space="0" w:color="auto"/>
              <w:right w:val="single" w:sz="8" w:space="0" w:color="auto"/>
            </w:tcBorders>
            <w:shd w:val="clear" w:color="auto" w:fill="auto"/>
            <w:noWrap/>
            <w:vAlign w:val="center"/>
            <w:hideMark/>
          </w:tcPr>
          <w:p w14:paraId="316C4DD5"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95,0%</w:t>
            </w:r>
          </w:p>
        </w:tc>
        <w:tc>
          <w:tcPr>
            <w:tcW w:w="1276" w:type="dxa"/>
            <w:tcBorders>
              <w:top w:val="nil"/>
              <w:left w:val="nil"/>
              <w:bottom w:val="single" w:sz="8" w:space="0" w:color="auto"/>
              <w:right w:val="single" w:sz="8" w:space="0" w:color="auto"/>
            </w:tcBorders>
            <w:shd w:val="clear" w:color="auto" w:fill="auto"/>
            <w:noWrap/>
            <w:vAlign w:val="center"/>
            <w:hideMark/>
          </w:tcPr>
          <w:p w14:paraId="22F2ACD6"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3,4%</w:t>
            </w:r>
          </w:p>
        </w:tc>
      </w:tr>
      <w:tr w:rsidR="00780E00" w:rsidRPr="00780E00" w14:paraId="6B083853" w14:textId="77777777" w:rsidTr="00780E00">
        <w:trPr>
          <w:trHeight w:val="54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10D34836" w14:textId="77777777" w:rsidR="00780E00" w:rsidRPr="00780E00" w:rsidRDefault="00780E00" w:rsidP="00780E00">
            <w:pPr>
              <w:spacing w:after="0" w:line="240" w:lineRule="auto"/>
              <w:rPr>
                <w:rFonts w:ascii="Arial" w:eastAsia="Times New Roman" w:hAnsi="Arial" w:cs="Arial"/>
                <w:b/>
                <w:bCs/>
                <w:i/>
                <w:iCs/>
                <w:color w:val="000000"/>
                <w:sz w:val="20"/>
                <w:szCs w:val="20"/>
                <w:lang w:val="pt-BR"/>
              </w:rPr>
            </w:pPr>
            <w:r w:rsidRPr="00780E00">
              <w:rPr>
                <w:rFonts w:ascii="Arial" w:eastAsia="Times New Roman" w:hAnsi="Arial" w:cs="Arial"/>
                <w:b/>
                <w:bCs/>
                <w:i/>
                <w:iCs/>
                <w:color w:val="000000"/>
                <w:sz w:val="20"/>
                <w:szCs w:val="20"/>
                <w:lang w:val="pt-BR"/>
              </w:rPr>
              <w:t>Financiamentos Concedidos aos Municípios</w:t>
            </w:r>
          </w:p>
        </w:tc>
        <w:tc>
          <w:tcPr>
            <w:tcW w:w="1134" w:type="dxa"/>
            <w:tcBorders>
              <w:top w:val="nil"/>
              <w:left w:val="nil"/>
              <w:bottom w:val="single" w:sz="8" w:space="0" w:color="auto"/>
              <w:right w:val="single" w:sz="8" w:space="0" w:color="auto"/>
            </w:tcBorders>
            <w:shd w:val="clear" w:color="auto" w:fill="auto"/>
            <w:noWrap/>
            <w:vAlign w:val="bottom"/>
            <w:hideMark/>
          </w:tcPr>
          <w:p w14:paraId="148603A8" w14:textId="547A3455" w:rsidR="00780E00" w:rsidRPr="00780E00" w:rsidRDefault="00780E00" w:rsidP="00780E00">
            <w:pPr>
              <w:spacing w:after="0" w:line="240" w:lineRule="auto"/>
              <w:rPr>
                <w:rFonts w:ascii="Calibri" w:eastAsia="Times New Roman" w:hAnsi="Calibri" w:cs="Calibri"/>
                <w:color w:val="000000"/>
                <w:lang w:val="pt-BR"/>
              </w:rPr>
            </w:pPr>
          </w:p>
        </w:tc>
        <w:tc>
          <w:tcPr>
            <w:tcW w:w="1276" w:type="dxa"/>
            <w:tcBorders>
              <w:top w:val="nil"/>
              <w:left w:val="nil"/>
              <w:bottom w:val="single" w:sz="8" w:space="0" w:color="auto"/>
              <w:right w:val="single" w:sz="8" w:space="0" w:color="auto"/>
            </w:tcBorders>
            <w:shd w:val="clear" w:color="auto" w:fill="auto"/>
            <w:noWrap/>
            <w:vAlign w:val="bottom"/>
            <w:hideMark/>
          </w:tcPr>
          <w:p w14:paraId="7446F4CF" w14:textId="6F36855B" w:rsidR="00780E00" w:rsidRPr="00780E00" w:rsidRDefault="00780E00" w:rsidP="00780E00">
            <w:pPr>
              <w:spacing w:after="0" w:line="240" w:lineRule="auto"/>
              <w:rPr>
                <w:rFonts w:ascii="Calibri" w:eastAsia="Times New Roman" w:hAnsi="Calibri" w:cs="Calibri"/>
                <w:color w:val="000000"/>
                <w:lang w:val="pt-BR"/>
              </w:rPr>
            </w:pPr>
          </w:p>
        </w:tc>
        <w:tc>
          <w:tcPr>
            <w:tcW w:w="1276" w:type="dxa"/>
            <w:tcBorders>
              <w:top w:val="nil"/>
              <w:left w:val="nil"/>
              <w:bottom w:val="single" w:sz="8" w:space="0" w:color="auto"/>
              <w:right w:val="single" w:sz="8" w:space="0" w:color="auto"/>
            </w:tcBorders>
            <w:shd w:val="clear" w:color="auto" w:fill="auto"/>
            <w:noWrap/>
            <w:vAlign w:val="bottom"/>
            <w:hideMark/>
          </w:tcPr>
          <w:p w14:paraId="612A8C8D" w14:textId="19A6E427" w:rsidR="00780E00" w:rsidRPr="00780E00" w:rsidRDefault="00780E00" w:rsidP="00780E00">
            <w:pPr>
              <w:spacing w:after="0" w:line="240" w:lineRule="auto"/>
              <w:rPr>
                <w:rFonts w:ascii="Calibri" w:eastAsia="Times New Roman" w:hAnsi="Calibri" w:cs="Calibri"/>
                <w:color w:val="000000"/>
                <w:lang w:val="pt-BR"/>
              </w:rPr>
            </w:pPr>
          </w:p>
        </w:tc>
        <w:tc>
          <w:tcPr>
            <w:tcW w:w="1275" w:type="dxa"/>
            <w:tcBorders>
              <w:top w:val="nil"/>
              <w:left w:val="nil"/>
              <w:bottom w:val="single" w:sz="8" w:space="0" w:color="auto"/>
              <w:right w:val="single" w:sz="8" w:space="0" w:color="auto"/>
            </w:tcBorders>
            <w:shd w:val="clear" w:color="auto" w:fill="auto"/>
            <w:noWrap/>
            <w:vAlign w:val="bottom"/>
            <w:hideMark/>
          </w:tcPr>
          <w:p w14:paraId="385EF808" w14:textId="328B7BD1" w:rsidR="00780E00" w:rsidRPr="00780E00" w:rsidRDefault="00780E00" w:rsidP="00780E00">
            <w:pPr>
              <w:spacing w:after="0" w:line="240" w:lineRule="auto"/>
              <w:rPr>
                <w:rFonts w:ascii="Calibri" w:eastAsia="Times New Roman" w:hAnsi="Calibri" w:cs="Calibri"/>
                <w:color w:val="000000"/>
                <w:lang w:val="pt-BR"/>
              </w:rPr>
            </w:pPr>
          </w:p>
        </w:tc>
        <w:tc>
          <w:tcPr>
            <w:tcW w:w="1276" w:type="dxa"/>
            <w:tcBorders>
              <w:top w:val="nil"/>
              <w:left w:val="nil"/>
              <w:bottom w:val="single" w:sz="8" w:space="0" w:color="auto"/>
              <w:right w:val="single" w:sz="8" w:space="0" w:color="auto"/>
            </w:tcBorders>
            <w:shd w:val="clear" w:color="auto" w:fill="auto"/>
            <w:noWrap/>
            <w:vAlign w:val="bottom"/>
            <w:hideMark/>
          </w:tcPr>
          <w:p w14:paraId="2E5E1995" w14:textId="2C19DDFD" w:rsidR="00780E00" w:rsidRPr="00780E00" w:rsidRDefault="00780E00" w:rsidP="00780E00">
            <w:pPr>
              <w:spacing w:after="0" w:line="240" w:lineRule="auto"/>
              <w:rPr>
                <w:rFonts w:ascii="Calibri" w:eastAsia="Times New Roman" w:hAnsi="Calibri" w:cs="Calibri"/>
                <w:color w:val="000000"/>
                <w:lang w:val="pt-BR"/>
              </w:rPr>
            </w:pPr>
          </w:p>
        </w:tc>
      </w:tr>
      <w:tr w:rsidR="00780E00" w:rsidRPr="00780E00" w14:paraId="3F9648AB" w14:textId="77777777" w:rsidTr="00780E00">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3565C821" w14:textId="77777777" w:rsidR="00780E00" w:rsidRPr="00780E00" w:rsidRDefault="00780E00" w:rsidP="00780E00">
            <w:pPr>
              <w:spacing w:after="0" w:line="240" w:lineRule="auto"/>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Cenários</w:t>
            </w:r>
          </w:p>
        </w:tc>
        <w:tc>
          <w:tcPr>
            <w:tcW w:w="1134" w:type="dxa"/>
            <w:tcBorders>
              <w:top w:val="nil"/>
              <w:left w:val="nil"/>
              <w:bottom w:val="single" w:sz="8" w:space="0" w:color="auto"/>
              <w:right w:val="single" w:sz="8" w:space="0" w:color="auto"/>
            </w:tcBorders>
            <w:shd w:val="clear" w:color="auto" w:fill="auto"/>
            <w:noWrap/>
            <w:vAlign w:val="center"/>
            <w:hideMark/>
          </w:tcPr>
          <w:p w14:paraId="1CBB7D1F" w14:textId="7765FD50" w:rsidR="00780E00" w:rsidRPr="00780E00" w:rsidRDefault="00780E00" w:rsidP="00780E00">
            <w:pPr>
              <w:spacing w:after="0" w:line="240" w:lineRule="auto"/>
              <w:rPr>
                <w:rFonts w:ascii="Arial" w:eastAsia="Times New Roman" w:hAnsi="Arial" w:cs="Arial"/>
                <w:color w:val="000000"/>
                <w:sz w:val="20"/>
                <w:szCs w:val="20"/>
                <w:lang w:val="pt-BR"/>
              </w:rPr>
            </w:pPr>
          </w:p>
        </w:tc>
        <w:tc>
          <w:tcPr>
            <w:tcW w:w="1276" w:type="dxa"/>
            <w:tcBorders>
              <w:top w:val="nil"/>
              <w:left w:val="nil"/>
              <w:bottom w:val="single" w:sz="8" w:space="0" w:color="auto"/>
              <w:right w:val="single" w:sz="8" w:space="0" w:color="auto"/>
            </w:tcBorders>
            <w:shd w:val="clear" w:color="auto" w:fill="auto"/>
            <w:noWrap/>
            <w:vAlign w:val="center"/>
            <w:hideMark/>
          </w:tcPr>
          <w:p w14:paraId="5FBBCDA6" w14:textId="1EB3CE11" w:rsidR="00780E00" w:rsidRPr="00780E00" w:rsidRDefault="00780E00" w:rsidP="00780E00">
            <w:pPr>
              <w:spacing w:after="0" w:line="240" w:lineRule="auto"/>
              <w:rPr>
                <w:rFonts w:ascii="Arial" w:eastAsia="Times New Roman" w:hAnsi="Arial" w:cs="Arial"/>
                <w:color w:val="000000"/>
                <w:sz w:val="20"/>
                <w:szCs w:val="20"/>
                <w:lang w:val="pt-BR"/>
              </w:rPr>
            </w:pPr>
          </w:p>
        </w:tc>
        <w:tc>
          <w:tcPr>
            <w:tcW w:w="1276" w:type="dxa"/>
            <w:tcBorders>
              <w:top w:val="nil"/>
              <w:left w:val="nil"/>
              <w:bottom w:val="single" w:sz="8" w:space="0" w:color="auto"/>
              <w:right w:val="single" w:sz="8" w:space="0" w:color="auto"/>
            </w:tcBorders>
            <w:shd w:val="clear" w:color="auto" w:fill="auto"/>
            <w:noWrap/>
            <w:vAlign w:val="center"/>
            <w:hideMark/>
          </w:tcPr>
          <w:p w14:paraId="42CD4CC5" w14:textId="72F51A25" w:rsidR="00780E00" w:rsidRPr="00780E00" w:rsidRDefault="00780E00" w:rsidP="00780E00">
            <w:pPr>
              <w:spacing w:after="0" w:line="240" w:lineRule="auto"/>
              <w:rPr>
                <w:rFonts w:ascii="Arial" w:eastAsia="Times New Roman" w:hAnsi="Arial" w:cs="Arial"/>
                <w:color w:val="000000"/>
                <w:sz w:val="20"/>
                <w:szCs w:val="20"/>
                <w:lang w:val="pt-BR"/>
              </w:rPr>
            </w:pPr>
          </w:p>
        </w:tc>
        <w:tc>
          <w:tcPr>
            <w:tcW w:w="1275" w:type="dxa"/>
            <w:tcBorders>
              <w:top w:val="nil"/>
              <w:left w:val="nil"/>
              <w:bottom w:val="single" w:sz="8" w:space="0" w:color="auto"/>
              <w:right w:val="single" w:sz="8" w:space="0" w:color="auto"/>
            </w:tcBorders>
            <w:shd w:val="clear" w:color="auto" w:fill="auto"/>
            <w:noWrap/>
            <w:vAlign w:val="center"/>
            <w:hideMark/>
          </w:tcPr>
          <w:p w14:paraId="5906F7E2" w14:textId="3FF8F195" w:rsidR="00780E00" w:rsidRPr="00780E00" w:rsidRDefault="00780E00" w:rsidP="00780E00">
            <w:pPr>
              <w:spacing w:after="0" w:line="240" w:lineRule="auto"/>
              <w:rPr>
                <w:rFonts w:ascii="Arial" w:eastAsia="Times New Roman" w:hAnsi="Arial" w:cs="Arial"/>
                <w:color w:val="000000"/>
                <w:sz w:val="20"/>
                <w:szCs w:val="20"/>
                <w:lang w:val="pt-BR"/>
              </w:rPr>
            </w:pPr>
          </w:p>
        </w:tc>
        <w:tc>
          <w:tcPr>
            <w:tcW w:w="1276" w:type="dxa"/>
            <w:tcBorders>
              <w:top w:val="nil"/>
              <w:left w:val="nil"/>
              <w:bottom w:val="single" w:sz="8" w:space="0" w:color="auto"/>
              <w:right w:val="single" w:sz="8" w:space="0" w:color="auto"/>
            </w:tcBorders>
            <w:shd w:val="clear" w:color="auto" w:fill="auto"/>
            <w:noWrap/>
            <w:vAlign w:val="center"/>
            <w:hideMark/>
          </w:tcPr>
          <w:p w14:paraId="7B607C87" w14:textId="4C58A996" w:rsidR="00780E00" w:rsidRPr="00780E00" w:rsidRDefault="00780E00" w:rsidP="00780E00">
            <w:pPr>
              <w:spacing w:after="0" w:line="240" w:lineRule="auto"/>
              <w:rPr>
                <w:rFonts w:ascii="Arial" w:eastAsia="Times New Roman" w:hAnsi="Arial" w:cs="Arial"/>
                <w:color w:val="000000"/>
                <w:sz w:val="20"/>
                <w:szCs w:val="20"/>
                <w:lang w:val="pt-BR"/>
              </w:rPr>
            </w:pPr>
          </w:p>
        </w:tc>
      </w:tr>
      <w:tr w:rsidR="00780E00" w:rsidRPr="00780E00" w14:paraId="3016AC5E" w14:textId="77777777" w:rsidTr="00780E00">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036EAB41"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Optimista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AC9C01" w14:textId="0C8D1B4D"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892</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43E99F77" w14:textId="3DC3D7FC"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2.228</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74976E8C" w14:textId="1D8CCC65"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1.336</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078D449"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149,8%</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6674F638"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4,7%</w:t>
            </w:r>
          </w:p>
        </w:tc>
      </w:tr>
      <w:tr w:rsidR="00780E00" w:rsidRPr="00780E00" w14:paraId="40583D05" w14:textId="77777777" w:rsidTr="00780E00">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70DF6CCF"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Intermediário</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465E3929" w14:textId="09384874"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892</w:t>
            </w:r>
          </w:p>
        </w:tc>
        <w:tc>
          <w:tcPr>
            <w:tcW w:w="1276" w:type="dxa"/>
            <w:tcBorders>
              <w:top w:val="nil"/>
              <w:left w:val="nil"/>
              <w:bottom w:val="single" w:sz="4" w:space="0" w:color="auto"/>
              <w:right w:val="single" w:sz="4" w:space="0" w:color="auto"/>
            </w:tcBorders>
            <w:shd w:val="clear" w:color="000000" w:fill="FFFFFF"/>
            <w:noWrap/>
            <w:vAlign w:val="bottom"/>
            <w:hideMark/>
          </w:tcPr>
          <w:p w14:paraId="27C3AC64" w14:textId="3382436F"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1.738</w:t>
            </w:r>
          </w:p>
        </w:tc>
        <w:tc>
          <w:tcPr>
            <w:tcW w:w="1276" w:type="dxa"/>
            <w:tcBorders>
              <w:top w:val="nil"/>
              <w:left w:val="nil"/>
              <w:bottom w:val="single" w:sz="4" w:space="0" w:color="auto"/>
              <w:right w:val="single" w:sz="4" w:space="0" w:color="auto"/>
            </w:tcBorders>
            <w:shd w:val="clear" w:color="000000" w:fill="FFFFFF"/>
            <w:noWrap/>
            <w:vAlign w:val="bottom"/>
            <w:hideMark/>
          </w:tcPr>
          <w:p w14:paraId="18B951A5" w14:textId="6400D04F"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846</w:t>
            </w:r>
          </w:p>
        </w:tc>
        <w:tc>
          <w:tcPr>
            <w:tcW w:w="1275" w:type="dxa"/>
            <w:tcBorders>
              <w:top w:val="nil"/>
              <w:left w:val="nil"/>
              <w:bottom w:val="single" w:sz="4" w:space="0" w:color="auto"/>
              <w:right w:val="single" w:sz="4" w:space="0" w:color="auto"/>
            </w:tcBorders>
            <w:shd w:val="clear" w:color="000000" w:fill="FFFFFF"/>
            <w:noWrap/>
            <w:vAlign w:val="bottom"/>
            <w:hideMark/>
          </w:tcPr>
          <w:p w14:paraId="187DEE33"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94,8%</w:t>
            </w:r>
          </w:p>
        </w:tc>
        <w:tc>
          <w:tcPr>
            <w:tcW w:w="1276" w:type="dxa"/>
            <w:tcBorders>
              <w:top w:val="nil"/>
              <w:left w:val="nil"/>
              <w:bottom w:val="single" w:sz="4" w:space="0" w:color="auto"/>
              <w:right w:val="single" w:sz="4" w:space="0" w:color="auto"/>
            </w:tcBorders>
            <w:shd w:val="clear" w:color="000000" w:fill="FFFFFF"/>
            <w:noWrap/>
            <w:vAlign w:val="bottom"/>
            <w:hideMark/>
          </w:tcPr>
          <w:p w14:paraId="3227EA67"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3,4%</w:t>
            </w:r>
          </w:p>
        </w:tc>
      </w:tr>
      <w:tr w:rsidR="00780E00" w:rsidRPr="00780E00" w14:paraId="5DC56081" w14:textId="77777777" w:rsidTr="00780E00">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1429CD39" w14:textId="77777777"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Pessimista</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22B2C678" w14:textId="7B1677C7"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892</w:t>
            </w:r>
          </w:p>
        </w:tc>
        <w:tc>
          <w:tcPr>
            <w:tcW w:w="1276" w:type="dxa"/>
            <w:tcBorders>
              <w:top w:val="nil"/>
              <w:left w:val="nil"/>
              <w:bottom w:val="single" w:sz="4" w:space="0" w:color="auto"/>
              <w:right w:val="single" w:sz="4" w:space="0" w:color="auto"/>
            </w:tcBorders>
            <w:shd w:val="clear" w:color="000000" w:fill="FFFFFF"/>
            <w:noWrap/>
            <w:vAlign w:val="bottom"/>
            <w:hideMark/>
          </w:tcPr>
          <w:p w14:paraId="3F74BD5D" w14:textId="243877B3"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1.353</w:t>
            </w:r>
          </w:p>
        </w:tc>
        <w:tc>
          <w:tcPr>
            <w:tcW w:w="1276" w:type="dxa"/>
            <w:tcBorders>
              <w:top w:val="nil"/>
              <w:left w:val="nil"/>
              <w:bottom w:val="single" w:sz="4" w:space="0" w:color="auto"/>
              <w:right w:val="single" w:sz="4" w:space="0" w:color="auto"/>
            </w:tcBorders>
            <w:shd w:val="clear" w:color="000000" w:fill="FFFFFF"/>
            <w:noWrap/>
            <w:vAlign w:val="bottom"/>
            <w:hideMark/>
          </w:tcPr>
          <w:p w14:paraId="7C917578" w14:textId="0C6EDDEF"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461</w:t>
            </w:r>
          </w:p>
        </w:tc>
        <w:tc>
          <w:tcPr>
            <w:tcW w:w="1275" w:type="dxa"/>
            <w:tcBorders>
              <w:top w:val="nil"/>
              <w:left w:val="nil"/>
              <w:bottom w:val="single" w:sz="4" w:space="0" w:color="auto"/>
              <w:right w:val="single" w:sz="4" w:space="0" w:color="auto"/>
            </w:tcBorders>
            <w:shd w:val="clear" w:color="000000" w:fill="FFFFFF"/>
            <w:noWrap/>
            <w:vAlign w:val="bottom"/>
            <w:hideMark/>
          </w:tcPr>
          <w:p w14:paraId="735470E1" w14:textId="77777777"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51,6%</w:t>
            </w:r>
          </w:p>
        </w:tc>
        <w:tc>
          <w:tcPr>
            <w:tcW w:w="1276" w:type="dxa"/>
            <w:tcBorders>
              <w:top w:val="nil"/>
              <w:left w:val="nil"/>
              <w:bottom w:val="single" w:sz="4" w:space="0" w:color="auto"/>
              <w:right w:val="single" w:sz="4" w:space="0" w:color="auto"/>
            </w:tcBorders>
            <w:shd w:val="clear" w:color="000000" w:fill="FFFFFF"/>
            <w:noWrap/>
            <w:vAlign w:val="bottom"/>
            <w:hideMark/>
          </w:tcPr>
          <w:p w14:paraId="097B6459" w14:textId="77777777"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2,1%</w:t>
            </w:r>
          </w:p>
        </w:tc>
      </w:tr>
      <w:tr w:rsidR="00780E00" w:rsidRPr="00780E00" w14:paraId="1668E8FD" w14:textId="77777777" w:rsidTr="00780E00">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78141B36" w14:textId="77777777" w:rsidR="00780E00" w:rsidRPr="00780E00" w:rsidRDefault="00780E00" w:rsidP="00780E00">
            <w:pPr>
              <w:spacing w:after="0" w:line="240" w:lineRule="auto"/>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Monte Carlo</w:t>
            </w:r>
          </w:p>
        </w:tc>
        <w:tc>
          <w:tcPr>
            <w:tcW w:w="1134" w:type="dxa"/>
            <w:tcBorders>
              <w:top w:val="nil"/>
              <w:left w:val="nil"/>
              <w:bottom w:val="single" w:sz="8" w:space="0" w:color="auto"/>
              <w:right w:val="single" w:sz="8" w:space="0" w:color="auto"/>
            </w:tcBorders>
            <w:shd w:val="clear" w:color="auto" w:fill="auto"/>
            <w:noWrap/>
            <w:vAlign w:val="bottom"/>
            <w:hideMark/>
          </w:tcPr>
          <w:p w14:paraId="3664EB77" w14:textId="1444DFA9" w:rsidR="00780E00" w:rsidRPr="00780E00" w:rsidRDefault="00780E00" w:rsidP="00780E00">
            <w:pPr>
              <w:spacing w:after="0" w:line="240" w:lineRule="auto"/>
              <w:jc w:val="right"/>
              <w:rPr>
                <w:rFonts w:ascii="Calibri" w:eastAsia="Times New Roman" w:hAnsi="Calibri" w:cs="Calibri"/>
                <w:color w:val="000000"/>
                <w:lang w:val="pt-BR"/>
              </w:rPr>
            </w:pPr>
          </w:p>
        </w:tc>
        <w:tc>
          <w:tcPr>
            <w:tcW w:w="1276" w:type="dxa"/>
            <w:tcBorders>
              <w:top w:val="nil"/>
              <w:left w:val="nil"/>
              <w:bottom w:val="single" w:sz="8" w:space="0" w:color="auto"/>
              <w:right w:val="single" w:sz="8" w:space="0" w:color="auto"/>
            </w:tcBorders>
            <w:shd w:val="clear" w:color="auto" w:fill="auto"/>
            <w:noWrap/>
            <w:vAlign w:val="bottom"/>
            <w:hideMark/>
          </w:tcPr>
          <w:p w14:paraId="58AA1004" w14:textId="314514F6" w:rsidR="00780E00" w:rsidRPr="00780E00" w:rsidRDefault="00780E00" w:rsidP="00780E00">
            <w:pPr>
              <w:spacing w:after="0" w:line="240" w:lineRule="auto"/>
              <w:jc w:val="right"/>
              <w:rPr>
                <w:rFonts w:ascii="Calibri" w:eastAsia="Times New Roman" w:hAnsi="Calibri" w:cs="Calibri"/>
                <w:color w:val="000000"/>
                <w:lang w:val="pt-BR"/>
              </w:rPr>
            </w:pPr>
          </w:p>
        </w:tc>
        <w:tc>
          <w:tcPr>
            <w:tcW w:w="1276" w:type="dxa"/>
            <w:tcBorders>
              <w:top w:val="nil"/>
              <w:left w:val="nil"/>
              <w:bottom w:val="single" w:sz="8" w:space="0" w:color="auto"/>
              <w:right w:val="single" w:sz="8" w:space="0" w:color="auto"/>
            </w:tcBorders>
            <w:shd w:val="clear" w:color="auto" w:fill="auto"/>
            <w:noWrap/>
            <w:vAlign w:val="bottom"/>
            <w:hideMark/>
          </w:tcPr>
          <w:p w14:paraId="0F3556DA" w14:textId="4241EE8B" w:rsidR="00780E00" w:rsidRPr="00780E00" w:rsidRDefault="00780E00" w:rsidP="00780E00">
            <w:pPr>
              <w:spacing w:after="0" w:line="240" w:lineRule="auto"/>
              <w:jc w:val="right"/>
              <w:rPr>
                <w:rFonts w:ascii="Calibri" w:eastAsia="Times New Roman" w:hAnsi="Calibri" w:cs="Calibri"/>
                <w:color w:val="000000"/>
                <w:lang w:val="pt-BR"/>
              </w:rPr>
            </w:pPr>
          </w:p>
        </w:tc>
        <w:tc>
          <w:tcPr>
            <w:tcW w:w="1275" w:type="dxa"/>
            <w:tcBorders>
              <w:top w:val="nil"/>
              <w:left w:val="nil"/>
              <w:bottom w:val="single" w:sz="8" w:space="0" w:color="auto"/>
              <w:right w:val="single" w:sz="8" w:space="0" w:color="auto"/>
            </w:tcBorders>
            <w:shd w:val="clear" w:color="auto" w:fill="auto"/>
            <w:noWrap/>
            <w:vAlign w:val="bottom"/>
            <w:hideMark/>
          </w:tcPr>
          <w:p w14:paraId="0C51A42B" w14:textId="766927C7" w:rsidR="00780E00" w:rsidRPr="00780E00" w:rsidRDefault="00780E00" w:rsidP="00780E00">
            <w:pPr>
              <w:spacing w:after="0" w:line="240" w:lineRule="auto"/>
              <w:jc w:val="right"/>
              <w:rPr>
                <w:rFonts w:ascii="Calibri" w:eastAsia="Times New Roman" w:hAnsi="Calibri" w:cs="Calibri"/>
                <w:color w:val="000000"/>
                <w:lang w:val="pt-BR"/>
              </w:rPr>
            </w:pPr>
          </w:p>
        </w:tc>
        <w:tc>
          <w:tcPr>
            <w:tcW w:w="1276" w:type="dxa"/>
            <w:tcBorders>
              <w:top w:val="nil"/>
              <w:left w:val="nil"/>
              <w:bottom w:val="single" w:sz="8" w:space="0" w:color="auto"/>
              <w:right w:val="single" w:sz="8" w:space="0" w:color="auto"/>
            </w:tcBorders>
            <w:shd w:val="clear" w:color="auto" w:fill="auto"/>
            <w:noWrap/>
            <w:vAlign w:val="bottom"/>
            <w:hideMark/>
          </w:tcPr>
          <w:p w14:paraId="3313B73A" w14:textId="3B2802F7" w:rsidR="00780E00" w:rsidRPr="00780E00" w:rsidRDefault="00780E00" w:rsidP="00780E00">
            <w:pPr>
              <w:spacing w:after="0" w:line="240" w:lineRule="auto"/>
              <w:jc w:val="right"/>
              <w:rPr>
                <w:rFonts w:ascii="Calibri" w:eastAsia="Times New Roman" w:hAnsi="Calibri" w:cs="Calibri"/>
                <w:color w:val="000000"/>
                <w:lang w:val="pt-BR"/>
              </w:rPr>
            </w:pPr>
          </w:p>
        </w:tc>
      </w:tr>
      <w:tr w:rsidR="00780E00" w:rsidRPr="00780E00" w14:paraId="313DD434" w14:textId="77777777" w:rsidTr="00780E00">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51BEFF3C" w14:textId="77777777"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90% de certeza</w:t>
            </w:r>
          </w:p>
        </w:tc>
        <w:tc>
          <w:tcPr>
            <w:tcW w:w="1134" w:type="dxa"/>
            <w:tcBorders>
              <w:top w:val="nil"/>
              <w:left w:val="nil"/>
              <w:bottom w:val="single" w:sz="8" w:space="0" w:color="auto"/>
              <w:right w:val="single" w:sz="8" w:space="0" w:color="auto"/>
            </w:tcBorders>
            <w:shd w:val="clear" w:color="auto" w:fill="auto"/>
            <w:noWrap/>
            <w:vAlign w:val="center"/>
            <w:hideMark/>
          </w:tcPr>
          <w:p w14:paraId="27528C05" w14:textId="77777777"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892</w:t>
            </w:r>
          </w:p>
        </w:tc>
        <w:tc>
          <w:tcPr>
            <w:tcW w:w="1276" w:type="dxa"/>
            <w:tcBorders>
              <w:top w:val="nil"/>
              <w:left w:val="nil"/>
              <w:bottom w:val="single" w:sz="8" w:space="0" w:color="auto"/>
              <w:right w:val="single" w:sz="8" w:space="0" w:color="auto"/>
            </w:tcBorders>
            <w:shd w:val="clear" w:color="auto" w:fill="auto"/>
            <w:noWrap/>
            <w:vAlign w:val="center"/>
            <w:hideMark/>
          </w:tcPr>
          <w:p w14:paraId="24D272E3" w14:textId="77777777"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1.388</w:t>
            </w:r>
          </w:p>
        </w:tc>
        <w:tc>
          <w:tcPr>
            <w:tcW w:w="1276" w:type="dxa"/>
            <w:tcBorders>
              <w:top w:val="nil"/>
              <w:left w:val="nil"/>
              <w:bottom w:val="single" w:sz="8" w:space="0" w:color="auto"/>
              <w:right w:val="single" w:sz="8" w:space="0" w:color="auto"/>
            </w:tcBorders>
            <w:shd w:val="clear" w:color="auto" w:fill="auto"/>
            <w:noWrap/>
            <w:vAlign w:val="center"/>
            <w:hideMark/>
          </w:tcPr>
          <w:p w14:paraId="388E247D" w14:textId="54B8E09C"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496</w:t>
            </w:r>
          </w:p>
        </w:tc>
        <w:tc>
          <w:tcPr>
            <w:tcW w:w="1275" w:type="dxa"/>
            <w:tcBorders>
              <w:top w:val="nil"/>
              <w:left w:val="nil"/>
              <w:bottom w:val="single" w:sz="8" w:space="0" w:color="auto"/>
              <w:right w:val="single" w:sz="8" w:space="0" w:color="auto"/>
            </w:tcBorders>
            <w:shd w:val="clear" w:color="auto" w:fill="auto"/>
            <w:noWrap/>
            <w:vAlign w:val="center"/>
            <w:hideMark/>
          </w:tcPr>
          <w:p w14:paraId="401AA7D3" w14:textId="77777777"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55,6%</w:t>
            </w:r>
          </w:p>
        </w:tc>
        <w:tc>
          <w:tcPr>
            <w:tcW w:w="1276" w:type="dxa"/>
            <w:tcBorders>
              <w:top w:val="nil"/>
              <w:left w:val="nil"/>
              <w:bottom w:val="single" w:sz="8" w:space="0" w:color="auto"/>
              <w:right w:val="single" w:sz="8" w:space="0" w:color="auto"/>
            </w:tcBorders>
            <w:shd w:val="clear" w:color="auto" w:fill="auto"/>
            <w:noWrap/>
            <w:vAlign w:val="center"/>
            <w:hideMark/>
          </w:tcPr>
          <w:p w14:paraId="59A53061" w14:textId="77777777" w:rsidR="00780E00" w:rsidRPr="00B05122" w:rsidRDefault="00780E00" w:rsidP="00780E00">
            <w:pPr>
              <w:spacing w:after="0" w:line="240" w:lineRule="auto"/>
              <w:jc w:val="right"/>
              <w:rPr>
                <w:rFonts w:ascii="Arial" w:eastAsia="Times New Roman" w:hAnsi="Arial" w:cs="Arial"/>
                <w:color w:val="000000"/>
                <w:sz w:val="20"/>
                <w:szCs w:val="20"/>
                <w:lang w:val="pt-BR"/>
              </w:rPr>
            </w:pPr>
            <w:r w:rsidRPr="00B05122">
              <w:rPr>
                <w:rFonts w:ascii="Arial" w:eastAsia="Times New Roman" w:hAnsi="Arial" w:cs="Arial"/>
                <w:color w:val="000000"/>
                <w:sz w:val="20"/>
                <w:szCs w:val="20"/>
                <w:lang w:val="pt-BR"/>
              </w:rPr>
              <w:t>2,2%</w:t>
            </w:r>
          </w:p>
        </w:tc>
      </w:tr>
      <w:tr w:rsidR="00780E00" w:rsidRPr="00780E00" w14:paraId="1F5D1C19" w14:textId="77777777" w:rsidTr="00780E00">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2C029600"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50% de certeza</w:t>
            </w:r>
          </w:p>
        </w:tc>
        <w:tc>
          <w:tcPr>
            <w:tcW w:w="1134" w:type="dxa"/>
            <w:tcBorders>
              <w:top w:val="nil"/>
              <w:left w:val="nil"/>
              <w:bottom w:val="single" w:sz="8" w:space="0" w:color="auto"/>
              <w:right w:val="single" w:sz="8" w:space="0" w:color="auto"/>
            </w:tcBorders>
            <w:shd w:val="clear" w:color="auto" w:fill="auto"/>
            <w:noWrap/>
            <w:vAlign w:val="center"/>
            <w:hideMark/>
          </w:tcPr>
          <w:p w14:paraId="7A413FEF"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892</w:t>
            </w:r>
          </w:p>
        </w:tc>
        <w:tc>
          <w:tcPr>
            <w:tcW w:w="1276" w:type="dxa"/>
            <w:tcBorders>
              <w:top w:val="nil"/>
              <w:left w:val="nil"/>
              <w:bottom w:val="single" w:sz="8" w:space="0" w:color="auto"/>
              <w:right w:val="single" w:sz="8" w:space="0" w:color="auto"/>
            </w:tcBorders>
            <w:shd w:val="clear" w:color="auto" w:fill="auto"/>
            <w:noWrap/>
            <w:vAlign w:val="center"/>
            <w:hideMark/>
          </w:tcPr>
          <w:p w14:paraId="343EAE09"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1.740</w:t>
            </w:r>
          </w:p>
        </w:tc>
        <w:tc>
          <w:tcPr>
            <w:tcW w:w="1276" w:type="dxa"/>
            <w:tcBorders>
              <w:top w:val="nil"/>
              <w:left w:val="nil"/>
              <w:bottom w:val="single" w:sz="8" w:space="0" w:color="auto"/>
              <w:right w:val="single" w:sz="8" w:space="0" w:color="auto"/>
            </w:tcBorders>
            <w:shd w:val="clear" w:color="auto" w:fill="auto"/>
            <w:noWrap/>
            <w:vAlign w:val="center"/>
            <w:hideMark/>
          </w:tcPr>
          <w:p w14:paraId="63A74CA2" w14:textId="23671684"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848</w:t>
            </w:r>
          </w:p>
        </w:tc>
        <w:tc>
          <w:tcPr>
            <w:tcW w:w="1275" w:type="dxa"/>
            <w:tcBorders>
              <w:top w:val="nil"/>
              <w:left w:val="nil"/>
              <w:bottom w:val="single" w:sz="8" w:space="0" w:color="auto"/>
              <w:right w:val="single" w:sz="8" w:space="0" w:color="auto"/>
            </w:tcBorders>
            <w:shd w:val="clear" w:color="auto" w:fill="auto"/>
            <w:noWrap/>
            <w:vAlign w:val="center"/>
            <w:hideMark/>
          </w:tcPr>
          <w:p w14:paraId="2433D9FD"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95,1%</w:t>
            </w:r>
          </w:p>
        </w:tc>
        <w:tc>
          <w:tcPr>
            <w:tcW w:w="1276" w:type="dxa"/>
            <w:tcBorders>
              <w:top w:val="nil"/>
              <w:left w:val="nil"/>
              <w:bottom w:val="single" w:sz="8" w:space="0" w:color="auto"/>
              <w:right w:val="single" w:sz="8" w:space="0" w:color="auto"/>
            </w:tcBorders>
            <w:shd w:val="clear" w:color="auto" w:fill="auto"/>
            <w:noWrap/>
            <w:vAlign w:val="center"/>
            <w:hideMark/>
          </w:tcPr>
          <w:p w14:paraId="743E9167" w14:textId="77777777" w:rsidR="00780E00" w:rsidRPr="00780E00" w:rsidRDefault="00780E00" w:rsidP="00780E00">
            <w:pPr>
              <w:spacing w:after="0" w:line="240" w:lineRule="auto"/>
              <w:jc w:val="right"/>
              <w:rPr>
                <w:rFonts w:ascii="Arial" w:eastAsia="Times New Roman" w:hAnsi="Arial" w:cs="Arial"/>
                <w:color w:val="000000"/>
                <w:sz w:val="20"/>
                <w:szCs w:val="20"/>
                <w:lang w:val="pt-BR"/>
              </w:rPr>
            </w:pPr>
            <w:r w:rsidRPr="00780E00">
              <w:rPr>
                <w:rFonts w:ascii="Arial" w:eastAsia="Times New Roman" w:hAnsi="Arial" w:cs="Arial"/>
                <w:color w:val="000000"/>
                <w:sz w:val="20"/>
                <w:szCs w:val="20"/>
                <w:lang w:val="pt-BR"/>
              </w:rPr>
              <w:t>3,4%</w:t>
            </w:r>
          </w:p>
        </w:tc>
      </w:tr>
    </w:tbl>
    <w:p w14:paraId="00E96A76" w14:textId="087FFA81" w:rsidR="00D639F1" w:rsidRPr="00CA2760" w:rsidRDefault="00D639F1" w:rsidP="00D639F1">
      <w:pPr>
        <w:spacing w:line="360" w:lineRule="auto"/>
        <w:rPr>
          <w:rFonts w:ascii="Times New Roman" w:hAnsi="Times New Roman" w:cs="Times New Roman"/>
          <w:sz w:val="24"/>
          <w:szCs w:val="24"/>
          <w:lang w:val="pt-BR"/>
        </w:rPr>
      </w:pPr>
      <w:r w:rsidRPr="0007220E">
        <w:rPr>
          <w:rFonts w:ascii="Times New Roman" w:hAnsi="Times New Roman" w:cs="Times New Roman"/>
          <w:sz w:val="24"/>
          <w:szCs w:val="24"/>
          <w:lang w:val="pt-BR"/>
        </w:rPr>
        <w:t>Fonte:  Simulações dos autores com os dados das tabelas</w:t>
      </w:r>
      <w:r w:rsidRPr="00CA2760">
        <w:rPr>
          <w:rFonts w:ascii="Times New Roman" w:hAnsi="Times New Roman" w:cs="Times New Roman"/>
          <w:sz w:val="24"/>
          <w:szCs w:val="24"/>
          <w:lang w:val="pt-BR"/>
        </w:rPr>
        <w:t xml:space="preserve"> anteriores.</w:t>
      </w:r>
    </w:p>
    <w:p w14:paraId="2F532CBA" w14:textId="1C48BCAA" w:rsidR="001B4BBF" w:rsidRPr="00301473" w:rsidRDefault="001B22E4" w:rsidP="00301473">
      <w:pPr>
        <w:shd w:val="clear" w:color="auto" w:fill="FFFFFF"/>
        <w:rPr>
          <w:rFonts w:ascii="Times New Roman" w:eastAsia="Times New Roman" w:hAnsi="Times New Roman" w:cs="Times New Roman"/>
          <w:b/>
          <w:sz w:val="24"/>
          <w:szCs w:val="24"/>
          <w:lang w:val="pt-PT" w:eastAsia="pt-BR"/>
        </w:rPr>
      </w:pPr>
      <w:r>
        <w:rPr>
          <w:rFonts w:ascii="Times New Roman" w:eastAsia="Times New Roman" w:hAnsi="Times New Roman" w:cs="Times New Roman"/>
          <w:b/>
          <w:sz w:val="24"/>
          <w:szCs w:val="24"/>
          <w:lang w:val="pt-PT" w:eastAsia="pt-BR"/>
        </w:rPr>
        <w:t>Os r</w:t>
      </w:r>
      <w:r w:rsidR="00FB47D0" w:rsidRPr="00301473">
        <w:rPr>
          <w:rFonts w:ascii="Times New Roman" w:eastAsia="Times New Roman" w:hAnsi="Times New Roman" w:cs="Times New Roman"/>
          <w:b/>
          <w:sz w:val="24"/>
          <w:szCs w:val="24"/>
          <w:lang w:val="pt-PT" w:eastAsia="pt-BR"/>
        </w:rPr>
        <w:t>equisitos relativos ao funcionamento e manutenção dos investimentos municipais</w:t>
      </w:r>
    </w:p>
    <w:p w14:paraId="36CC193E" w14:textId="60CB5457" w:rsidR="00FB47D0" w:rsidRPr="00301473" w:rsidRDefault="00FB47D0" w:rsidP="00FB47D0">
      <w:pPr>
        <w:shd w:val="clear" w:color="auto" w:fill="FFFFFF"/>
        <w:rPr>
          <w:rFonts w:ascii="Times New Roman" w:eastAsia="Times New Roman" w:hAnsi="Times New Roman" w:cs="Times New Roman"/>
          <w:sz w:val="24"/>
          <w:szCs w:val="24"/>
          <w:lang w:val="pt-PT" w:eastAsia="pt-BR"/>
        </w:rPr>
      </w:pPr>
      <w:r w:rsidRPr="00301473">
        <w:rPr>
          <w:rFonts w:ascii="Times New Roman" w:eastAsia="Times New Roman" w:hAnsi="Times New Roman" w:cs="Times New Roman"/>
          <w:sz w:val="24"/>
          <w:szCs w:val="24"/>
          <w:lang w:val="pt-PT" w:eastAsia="pt-BR"/>
        </w:rPr>
        <w:t>Tanto a carta consulta quanto o ROP detalham os requisitos para o funcionamento e manutenção adequados dos projetos municipais. O SFM requer um plano de operação e manutenção das intervenções</w:t>
      </w:r>
      <w:r w:rsidR="00EB07E0" w:rsidRPr="00301473">
        <w:rPr>
          <w:rFonts w:ascii="Times New Roman" w:eastAsia="Times New Roman" w:hAnsi="Times New Roman" w:cs="Times New Roman"/>
          <w:sz w:val="24"/>
          <w:szCs w:val="24"/>
          <w:lang w:val="pt-PT" w:eastAsia="pt-BR"/>
        </w:rPr>
        <w:t>, onde</w:t>
      </w:r>
      <w:r w:rsidRPr="00301473">
        <w:rPr>
          <w:rFonts w:ascii="Times New Roman" w:eastAsia="Times New Roman" w:hAnsi="Times New Roman" w:cs="Times New Roman"/>
          <w:sz w:val="24"/>
          <w:szCs w:val="24"/>
          <w:lang w:val="pt-PT" w:eastAsia="pt-BR"/>
        </w:rPr>
        <w:t>:</w:t>
      </w:r>
    </w:p>
    <w:p w14:paraId="6527D158" w14:textId="77777777" w:rsidR="001B4BBF" w:rsidRPr="00CA2760" w:rsidRDefault="001B4BBF" w:rsidP="001B4BBF">
      <w:pPr>
        <w:spacing w:line="360" w:lineRule="auto"/>
        <w:ind w:left="720" w:right="102"/>
        <w:rPr>
          <w:rFonts w:ascii="Times New Roman" w:eastAsia="Arial" w:hAnsi="Times New Roman" w:cs="Times New Roman"/>
          <w:sz w:val="24"/>
          <w:szCs w:val="24"/>
          <w:lang w:val="pt-BR"/>
        </w:rPr>
      </w:pPr>
      <w:r w:rsidRPr="00CA2760">
        <w:rPr>
          <w:rFonts w:ascii="Times New Roman" w:eastAsia="Arial" w:hAnsi="Times New Roman" w:cs="Times New Roman"/>
          <w:sz w:val="24"/>
          <w:szCs w:val="24"/>
          <w:lang w:val="pt-BR"/>
        </w:rPr>
        <w:t>Municípios:</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Beneficiários</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dos</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financiamentos,</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por</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meio</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dos</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quais</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implementam</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ações</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voltadas</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ao</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Desenvolvimento</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Urbano</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e</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Fortalecimento</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Institucional,</w:t>
      </w:r>
      <w:r w:rsidRPr="00CA2760">
        <w:rPr>
          <w:rFonts w:ascii="Times New Roman" w:eastAsia="Arial" w:hAnsi="Times New Roman" w:cs="Times New Roman"/>
          <w:spacing w:val="9"/>
          <w:sz w:val="24"/>
          <w:szCs w:val="24"/>
          <w:lang w:val="pt-BR"/>
        </w:rPr>
        <w:t xml:space="preserve"> </w:t>
      </w:r>
      <w:r w:rsidRPr="002C6180">
        <w:rPr>
          <w:rFonts w:ascii="Times New Roman" w:eastAsia="Arial" w:hAnsi="Times New Roman" w:cs="Times New Roman"/>
          <w:sz w:val="24"/>
          <w:szCs w:val="24"/>
          <w:lang w:val="pt-BR"/>
        </w:rPr>
        <w:t>desde</w:t>
      </w:r>
      <w:r w:rsidRPr="002C6180">
        <w:rPr>
          <w:rFonts w:ascii="Times New Roman" w:eastAsia="Arial" w:hAnsi="Times New Roman" w:cs="Times New Roman"/>
          <w:spacing w:val="9"/>
          <w:sz w:val="24"/>
          <w:szCs w:val="24"/>
          <w:lang w:val="pt-BR"/>
        </w:rPr>
        <w:t xml:space="preserve"> </w:t>
      </w:r>
      <w:r w:rsidRPr="002C6180">
        <w:rPr>
          <w:rFonts w:ascii="Times New Roman" w:eastAsia="Arial" w:hAnsi="Times New Roman" w:cs="Times New Roman"/>
          <w:sz w:val="24"/>
          <w:szCs w:val="24"/>
          <w:lang w:val="pt-BR"/>
        </w:rPr>
        <w:t>que</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lastRenderedPageBreak/>
        <w:t>atendam</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os</w:t>
      </w:r>
      <w:r w:rsidRPr="00CA2760">
        <w:rPr>
          <w:rFonts w:ascii="Times New Roman" w:eastAsia="Arial" w:hAnsi="Times New Roman" w:cs="Times New Roman"/>
          <w:spacing w:val="9"/>
          <w:sz w:val="24"/>
          <w:szCs w:val="24"/>
          <w:lang w:val="pt-BR"/>
        </w:rPr>
        <w:t xml:space="preserve"> </w:t>
      </w:r>
      <w:r w:rsidRPr="00CA2760">
        <w:rPr>
          <w:rFonts w:ascii="Times New Roman" w:eastAsia="Arial" w:hAnsi="Times New Roman" w:cs="Times New Roman"/>
          <w:sz w:val="24"/>
          <w:szCs w:val="24"/>
          <w:lang w:val="pt-BR"/>
        </w:rPr>
        <w:t xml:space="preserve">critérios de elegibilidade estabelecidos no ROP e </w:t>
      </w:r>
      <w:r w:rsidRPr="002C6180">
        <w:rPr>
          <w:rFonts w:ascii="Times New Roman" w:eastAsia="Arial" w:hAnsi="Times New Roman" w:cs="Times New Roman"/>
          <w:sz w:val="24"/>
          <w:szCs w:val="24"/>
          <w:lang w:val="pt-BR"/>
        </w:rPr>
        <w:t>são responsáveis</w:t>
      </w:r>
      <w:r w:rsidRPr="00CA2760">
        <w:rPr>
          <w:rFonts w:ascii="Times New Roman" w:eastAsia="Arial" w:hAnsi="Times New Roman" w:cs="Times New Roman"/>
          <w:sz w:val="24"/>
          <w:szCs w:val="24"/>
          <w:lang w:val="pt-BR"/>
        </w:rPr>
        <w:t xml:space="preserve"> pela elaboração, licitação, fiscalização, operação, administração e manutenção dos projetos.</w:t>
      </w:r>
    </w:p>
    <w:p w14:paraId="43971082" w14:textId="7FDD2256" w:rsidR="001B4BBF" w:rsidRPr="00CA2760" w:rsidRDefault="001B4BBF" w:rsidP="001B4BBF">
      <w:pPr>
        <w:spacing w:before="39" w:line="360" w:lineRule="auto"/>
        <w:ind w:left="720" w:right="102"/>
        <w:rPr>
          <w:rFonts w:ascii="Times New Roman" w:eastAsia="Arial" w:hAnsi="Times New Roman" w:cs="Times New Roman"/>
          <w:sz w:val="24"/>
          <w:szCs w:val="24"/>
          <w:lang w:val="pt-BR"/>
        </w:rPr>
      </w:pPr>
      <w:r w:rsidRPr="00CA2760">
        <w:rPr>
          <w:rFonts w:ascii="Times New Roman" w:eastAsia="Arial" w:hAnsi="Times New Roman" w:cs="Times New Roman"/>
          <w:sz w:val="24"/>
          <w:szCs w:val="24"/>
          <w:lang w:val="pt-BR"/>
        </w:rPr>
        <w:t xml:space="preserve">O PARANACIDADE, durante três anos, após a emissão do Termo de Recebimento Definitivo dos projetos do Componente de </w:t>
      </w:r>
      <w:r w:rsidR="0084383C" w:rsidRPr="00CA2760">
        <w:rPr>
          <w:rFonts w:ascii="Times New Roman" w:eastAsia="Arial" w:hAnsi="Times New Roman" w:cs="Times New Roman"/>
          <w:sz w:val="24"/>
          <w:szCs w:val="24"/>
          <w:lang w:val="pt-BR"/>
        </w:rPr>
        <w:t>Infraestrutura</w:t>
      </w:r>
      <w:r w:rsidRPr="00CA2760">
        <w:rPr>
          <w:rFonts w:ascii="Times New Roman" w:eastAsia="Arial" w:hAnsi="Times New Roman" w:cs="Times New Roman"/>
          <w:sz w:val="24"/>
          <w:szCs w:val="24"/>
          <w:lang w:val="pt-BR"/>
        </w:rPr>
        <w:t xml:space="preserve">, realiza, </w:t>
      </w:r>
      <w:r w:rsidRPr="002C6180">
        <w:rPr>
          <w:rFonts w:ascii="Times New Roman" w:eastAsia="Arial" w:hAnsi="Times New Roman" w:cs="Times New Roman"/>
          <w:sz w:val="24"/>
          <w:szCs w:val="24"/>
          <w:lang w:val="pt-BR"/>
        </w:rPr>
        <w:t>amostralmente</w:t>
      </w:r>
      <w:r w:rsidRPr="00CA2760">
        <w:rPr>
          <w:rFonts w:ascii="Times New Roman" w:eastAsia="Arial" w:hAnsi="Times New Roman" w:cs="Times New Roman"/>
          <w:sz w:val="24"/>
          <w:szCs w:val="24"/>
          <w:lang w:val="pt-BR"/>
        </w:rPr>
        <w:t xml:space="preserve">, </w:t>
      </w:r>
      <w:r w:rsidR="0084383C" w:rsidRPr="00CA2760">
        <w:rPr>
          <w:rFonts w:ascii="Times New Roman" w:eastAsia="Arial" w:hAnsi="Times New Roman" w:cs="Times New Roman"/>
          <w:sz w:val="24"/>
          <w:szCs w:val="24"/>
          <w:lang w:val="pt-BR"/>
        </w:rPr>
        <w:t>conforme</w:t>
      </w:r>
      <w:r w:rsidRPr="00CA2760">
        <w:rPr>
          <w:rFonts w:ascii="Times New Roman" w:eastAsia="Arial" w:hAnsi="Times New Roman" w:cs="Times New Roman"/>
          <w:sz w:val="24"/>
          <w:szCs w:val="24"/>
          <w:lang w:val="pt-BR"/>
        </w:rPr>
        <w:t xml:space="preserve"> o Plano de Operação</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e</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Manutenção</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das</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Intervenções,</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o</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acompanhamento</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dos</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projetos</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municipais</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em</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conformidade</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com</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questionário</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de</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monitoramento</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e</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recomenda</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ao</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Município</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a</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adoção</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das</w:t>
      </w:r>
      <w:r w:rsidRPr="00CA2760">
        <w:rPr>
          <w:rFonts w:ascii="Times New Roman" w:eastAsia="Arial" w:hAnsi="Times New Roman" w:cs="Times New Roman"/>
          <w:spacing w:val="6"/>
          <w:sz w:val="24"/>
          <w:szCs w:val="24"/>
          <w:lang w:val="pt-BR"/>
        </w:rPr>
        <w:t xml:space="preserve"> </w:t>
      </w:r>
      <w:r w:rsidRPr="00CA2760">
        <w:rPr>
          <w:rFonts w:ascii="Times New Roman" w:eastAsia="Arial" w:hAnsi="Times New Roman" w:cs="Times New Roman"/>
          <w:sz w:val="24"/>
          <w:szCs w:val="24"/>
          <w:lang w:val="pt-BR"/>
        </w:rPr>
        <w:t>ações e medidas corretivas para a adequada administração, operação e manutenção das obras quando pertinente.</w:t>
      </w:r>
    </w:p>
    <w:p w14:paraId="0258500F" w14:textId="796B4023" w:rsidR="002A5C38" w:rsidRPr="002C6180" w:rsidRDefault="002A5C38" w:rsidP="002A5C38">
      <w:pPr>
        <w:shd w:val="clear" w:color="auto" w:fill="FFFFFF"/>
        <w:rPr>
          <w:rFonts w:ascii="Times New Roman" w:eastAsia="Times New Roman" w:hAnsi="Times New Roman" w:cs="Times New Roman"/>
          <w:sz w:val="24"/>
          <w:szCs w:val="24"/>
          <w:lang w:val="pt-BR"/>
        </w:rPr>
      </w:pPr>
      <w:r w:rsidRPr="002C6180">
        <w:rPr>
          <w:rFonts w:ascii="Times New Roman" w:eastAsia="Times New Roman" w:hAnsi="Times New Roman" w:cs="Times New Roman"/>
          <w:sz w:val="24"/>
          <w:szCs w:val="24"/>
          <w:lang w:val="pt-BR"/>
        </w:rPr>
        <w:t xml:space="preserve">O </w:t>
      </w:r>
      <w:r w:rsidR="002C6180" w:rsidRPr="002C6180">
        <w:rPr>
          <w:rFonts w:ascii="Times New Roman" w:eastAsia="Times New Roman" w:hAnsi="Times New Roman" w:cs="Times New Roman"/>
          <w:sz w:val="24"/>
          <w:szCs w:val="24"/>
          <w:lang w:val="pt-BR"/>
        </w:rPr>
        <w:t>ROP</w:t>
      </w:r>
      <w:r w:rsidR="002C6180">
        <w:rPr>
          <w:rFonts w:ascii="Times New Roman" w:eastAsia="Times New Roman" w:hAnsi="Times New Roman" w:cs="Times New Roman"/>
          <w:sz w:val="24"/>
          <w:szCs w:val="24"/>
          <w:lang w:val="pt-BR"/>
        </w:rPr>
        <w:t xml:space="preserve"> </w:t>
      </w:r>
      <w:r w:rsidRPr="002C6180">
        <w:rPr>
          <w:rFonts w:ascii="Times New Roman" w:eastAsia="Times New Roman" w:hAnsi="Times New Roman" w:cs="Times New Roman"/>
          <w:sz w:val="24"/>
          <w:szCs w:val="24"/>
          <w:lang w:val="pt-BR"/>
        </w:rPr>
        <w:t>fornece os</w:t>
      </w:r>
      <w:r w:rsidR="002C6180">
        <w:rPr>
          <w:rFonts w:ascii="Times New Roman" w:eastAsia="Times New Roman" w:hAnsi="Times New Roman" w:cs="Times New Roman"/>
          <w:sz w:val="24"/>
          <w:szCs w:val="24"/>
          <w:lang w:val="pt-BR"/>
        </w:rPr>
        <w:t xml:space="preserve"> seguintes</w:t>
      </w:r>
      <w:r w:rsidRPr="002C6180">
        <w:rPr>
          <w:rFonts w:ascii="Times New Roman" w:eastAsia="Times New Roman" w:hAnsi="Times New Roman" w:cs="Times New Roman"/>
          <w:sz w:val="24"/>
          <w:szCs w:val="24"/>
          <w:lang w:val="pt-BR"/>
        </w:rPr>
        <w:t xml:space="preserve"> requisitos para manutenção</w:t>
      </w:r>
      <w:r w:rsidR="007C7DA3" w:rsidRPr="002C6180">
        <w:rPr>
          <w:rFonts w:ascii="Times New Roman" w:eastAsia="Times New Roman" w:hAnsi="Times New Roman" w:cs="Times New Roman"/>
          <w:sz w:val="24"/>
          <w:szCs w:val="24"/>
          <w:lang w:val="pt-BR"/>
        </w:rPr>
        <w:t>, sendo</w:t>
      </w:r>
      <w:r w:rsidRPr="002C6180">
        <w:rPr>
          <w:rFonts w:ascii="Times New Roman" w:eastAsia="Times New Roman" w:hAnsi="Times New Roman" w:cs="Times New Roman"/>
          <w:sz w:val="24"/>
          <w:szCs w:val="24"/>
          <w:lang w:val="pt-BR"/>
        </w:rPr>
        <w:t>:</w:t>
      </w:r>
    </w:p>
    <w:p w14:paraId="4B5C08E6" w14:textId="4C77B899" w:rsidR="001B4BBF" w:rsidRPr="00CA2760" w:rsidRDefault="001B4BBF" w:rsidP="00541FE8">
      <w:pPr>
        <w:pStyle w:val="Paragraph"/>
        <w:numPr>
          <w:ilvl w:val="1"/>
          <w:numId w:val="22"/>
        </w:numPr>
        <w:spacing w:line="360" w:lineRule="auto"/>
        <w:ind w:left="720" w:hanging="720"/>
        <w:jc w:val="left"/>
        <w:rPr>
          <w:szCs w:val="24"/>
          <w:lang w:val="pt-BR"/>
        </w:rPr>
      </w:pPr>
      <w:r w:rsidRPr="00CA2760">
        <w:rPr>
          <w:szCs w:val="24"/>
          <w:lang w:val="pt-BR"/>
        </w:rPr>
        <w:t xml:space="preserve">O Mutuário e o Órgão Executor se comprometem a: (i) conservar adequadamente as obras compreendidas no Programa, nas condições de operação em que se encontravam no momento da conclusão das mesmas, dentro de um nível compatível com os serviços que devem prestar, e de acordo com as normas técnicas geralmente aceitas; e (ii) apresentar ao </w:t>
      </w:r>
      <w:r w:rsidRPr="002C6180">
        <w:rPr>
          <w:szCs w:val="24"/>
          <w:lang w:val="pt-BR"/>
        </w:rPr>
        <w:t>Banco</w:t>
      </w:r>
      <w:r w:rsidRPr="00CA2760">
        <w:rPr>
          <w:szCs w:val="24"/>
          <w:lang w:val="pt-BR"/>
        </w:rPr>
        <w:t xml:space="preserve"> </w:t>
      </w:r>
      <w:r w:rsidR="0044101B">
        <w:rPr>
          <w:szCs w:val="24"/>
          <w:lang w:val="pt-BR"/>
        </w:rPr>
        <w:t xml:space="preserve">o </w:t>
      </w:r>
      <w:r w:rsidRPr="00CA2760">
        <w:rPr>
          <w:szCs w:val="24"/>
          <w:lang w:val="pt-BR"/>
        </w:rPr>
        <w:t xml:space="preserve">Plano e Relatórios de Operação e Manutenção das Intervenções (ANEXO VI) durante a execução do Programa e o primeiro Relatório Anual de Operação e Manutenção das Intervenções deverá corresponder ao exercício fiscal seguinte ao da entrada em operação da primeira obra do Programa. O </w:t>
      </w:r>
      <w:r w:rsidRPr="002C6180">
        <w:rPr>
          <w:szCs w:val="24"/>
          <w:lang w:val="pt-BR"/>
        </w:rPr>
        <w:t>Banco</w:t>
      </w:r>
      <w:r w:rsidRPr="00CA2760">
        <w:rPr>
          <w:szCs w:val="24"/>
          <w:lang w:val="pt-BR"/>
        </w:rPr>
        <w:t xml:space="preserve"> irá analisar e, se necessário, solicitará que sejam tomadas medidas para melhorias.</w:t>
      </w:r>
    </w:p>
    <w:p w14:paraId="064D2B02" w14:textId="78442002" w:rsidR="007F277B" w:rsidRDefault="001B4BBF" w:rsidP="007F277B">
      <w:pPr>
        <w:pStyle w:val="Paragraph"/>
        <w:spacing w:line="360" w:lineRule="auto"/>
        <w:jc w:val="left"/>
        <w:rPr>
          <w:szCs w:val="24"/>
          <w:lang w:val="pt-BR"/>
        </w:rPr>
      </w:pPr>
      <w:r w:rsidRPr="00CA2760">
        <w:rPr>
          <w:color w:val="000000"/>
          <w:szCs w:val="24"/>
          <w:lang w:val="pt-BR"/>
        </w:rPr>
        <w:t>O Relatório Anual de Operação e Manutenção</w:t>
      </w:r>
      <w:r w:rsidRPr="00CA2760">
        <w:rPr>
          <w:szCs w:val="24"/>
          <w:lang w:val="pt-BR"/>
        </w:rPr>
        <w:t xml:space="preserve"> deverá incluir: (i) os detalhes da organização responsável pela manutenção, o pessoal encarregado e o número, tipo e estado dos equipamentos destinados à manutenção; (ii) a localização, o tamanho e o estado das instalações destinadas à reparação e armazenagem, bem como dos acampamentos de manutenção; (iii) a informação relativa aos recursos que serão investidos em manutenção durante o ano corrente e o montante dos que serão incluídos na proposta orçamentária do ano seguinte;  e (iv) uma avaliação sobre as condições da manutenção, baseado no sistema de suficiência estabelecido pelo Mutuário.</w:t>
      </w:r>
    </w:p>
    <w:p w14:paraId="4D70EB81" w14:textId="77777777" w:rsidR="00981D6A" w:rsidRPr="00A47D27" w:rsidRDefault="00981D6A" w:rsidP="007F277B">
      <w:pPr>
        <w:pStyle w:val="Paragraph"/>
        <w:spacing w:line="360" w:lineRule="auto"/>
        <w:jc w:val="left"/>
        <w:rPr>
          <w:color w:val="000000"/>
          <w:szCs w:val="24"/>
          <w:lang w:val="pt-BR"/>
        </w:rPr>
      </w:pPr>
    </w:p>
    <w:p w14:paraId="6BDD2B73" w14:textId="470FC207" w:rsidR="00656665" w:rsidRPr="00A47D27" w:rsidRDefault="00656665">
      <w:pPr>
        <w:rPr>
          <w:rFonts w:ascii="Times New Roman" w:eastAsia="Times New Roman" w:hAnsi="Times New Roman" w:cs="Times New Roman"/>
          <w:sz w:val="24"/>
          <w:szCs w:val="24"/>
          <w:lang w:val="pt-BR"/>
        </w:rPr>
      </w:pPr>
      <w:r w:rsidRPr="00A47D27">
        <w:rPr>
          <w:szCs w:val="24"/>
          <w:lang w:val="pt-BR"/>
        </w:rPr>
        <w:br w:type="page"/>
      </w:r>
    </w:p>
    <w:p w14:paraId="72821B61" w14:textId="24885BD9" w:rsidR="009358D3" w:rsidRPr="005707C2" w:rsidRDefault="001B22E4" w:rsidP="00D17683">
      <w:pPr>
        <w:pStyle w:val="BodyText"/>
        <w:spacing w:line="360" w:lineRule="auto"/>
        <w:jc w:val="center"/>
        <w:rPr>
          <w:rFonts w:ascii="Times New Roman" w:eastAsia="Calibri" w:hAnsi="Times New Roman" w:cs="Times New Roman"/>
          <w:b/>
          <w:sz w:val="24"/>
          <w:szCs w:val="24"/>
          <w:u w:val="single"/>
          <w:lang w:val="pt-BR"/>
        </w:rPr>
      </w:pPr>
      <w:r w:rsidRPr="005707C2">
        <w:rPr>
          <w:rFonts w:ascii="Times New Roman" w:hAnsi="Times New Roman" w:cs="Times New Roman"/>
          <w:b/>
          <w:sz w:val="24"/>
          <w:szCs w:val="24"/>
          <w:u w:val="single"/>
          <w:lang w:val="pt-BR"/>
        </w:rPr>
        <w:lastRenderedPageBreak/>
        <w:t xml:space="preserve">Capítulo </w:t>
      </w:r>
      <w:r w:rsidR="007F277B" w:rsidRPr="005707C2">
        <w:rPr>
          <w:rFonts w:ascii="Times New Roman" w:hAnsi="Times New Roman" w:cs="Times New Roman"/>
          <w:b/>
          <w:sz w:val="24"/>
          <w:szCs w:val="24"/>
          <w:u w:val="single"/>
          <w:lang w:val="pt-BR"/>
        </w:rPr>
        <w:t xml:space="preserve">IV.  </w:t>
      </w:r>
      <w:r w:rsidR="009358D3" w:rsidRPr="005707C2">
        <w:rPr>
          <w:rFonts w:ascii="Times New Roman" w:eastAsia="Calibri" w:hAnsi="Times New Roman" w:cs="Times New Roman"/>
          <w:b/>
          <w:sz w:val="24"/>
          <w:szCs w:val="24"/>
          <w:u w:val="single"/>
          <w:lang w:val="pt-BR"/>
        </w:rPr>
        <w:t>Prospecção de Novos instrumentos</w:t>
      </w:r>
    </w:p>
    <w:p w14:paraId="38555331" w14:textId="634FA6D5" w:rsidR="00B87A9B" w:rsidRPr="00CA2760" w:rsidRDefault="00B87A9B" w:rsidP="00B87A9B">
      <w:pPr>
        <w:pStyle w:val="BodyText"/>
        <w:spacing w:line="360" w:lineRule="auto"/>
        <w:rPr>
          <w:rFonts w:ascii="Times New Roman" w:eastAsia="Calibri" w:hAnsi="Times New Roman"/>
          <w:sz w:val="24"/>
          <w:szCs w:val="24"/>
          <w:lang w:val="pt-BR"/>
        </w:rPr>
      </w:pPr>
      <w:r w:rsidRPr="00CA2760">
        <w:rPr>
          <w:rFonts w:ascii="Times New Roman" w:eastAsia="Calibri" w:hAnsi="Times New Roman"/>
          <w:sz w:val="24"/>
          <w:szCs w:val="24"/>
          <w:lang w:val="pt-BR"/>
        </w:rPr>
        <w:t>Nest</w:t>
      </w:r>
      <w:r w:rsidR="0059794A" w:rsidRPr="00CA2760">
        <w:rPr>
          <w:rFonts w:ascii="Times New Roman" w:eastAsia="Calibri" w:hAnsi="Times New Roman"/>
          <w:sz w:val="24"/>
          <w:szCs w:val="24"/>
          <w:lang w:val="pt-BR"/>
        </w:rPr>
        <w:t>e</w:t>
      </w:r>
      <w:r w:rsidRPr="00CA2760">
        <w:rPr>
          <w:rFonts w:ascii="Times New Roman" w:eastAsia="Calibri" w:hAnsi="Times New Roman"/>
          <w:sz w:val="24"/>
          <w:szCs w:val="24"/>
          <w:lang w:val="pt-BR"/>
        </w:rPr>
        <w:t xml:space="preserve"> capítulo, avaliaremos de maneira prospectiva a possibilidade de criação de instrumentos financeiros que permitam a alavancagem de recursos do setor privado no financiamento de infraestrutura municipal.  A análise </w:t>
      </w:r>
      <w:r w:rsidR="001B22E4">
        <w:rPr>
          <w:rFonts w:ascii="Times New Roman" w:eastAsia="Calibri" w:hAnsi="Times New Roman"/>
          <w:sz w:val="24"/>
          <w:szCs w:val="24"/>
          <w:lang w:val="pt-BR"/>
        </w:rPr>
        <w:t>destas</w:t>
      </w:r>
      <w:r w:rsidRPr="00CA2760">
        <w:rPr>
          <w:rFonts w:ascii="Times New Roman" w:eastAsia="Calibri" w:hAnsi="Times New Roman"/>
          <w:sz w:val="24"/>
          <w:szCs w:val="24"/>
          <w:lang w:val="pt-BR"/>
        </w:rPr>
        <w:t xml:space="preserve"> opções é </w:t>
      </w:r>
      <w:r w:rsidR="001B22E4">
        <w:rPr>
          <w:rFonts w:ascii="Times New Roman" w:eastAsia="Calibri" w:hAnsi="Times New Roman"/>
          <w:sz w:val="24"/>
          <w:szCs w:val="24"/>
          <w:lang w:val="pt-BR"/>
        </w:rPr>
        <w:t>apenas</w:t>
      </w:r>
      <w:r w:rsidR="001B22E4" w:rsidRPr="00CA2760">
        <w:rPr>
          <w:rFonts w:ascii="Times New Roman" w:eastAsia="Calibri" w:hAnsi="Times New Roman"/>
          <w:sz w:val="24"/>
          <w:szCs w:val="24"/>
          <w:lang w:val="pt-BR"/>
        </w:rPr>
        <w:t xml:space="preserve"> </w:t>
      </w:r>
      <w:r w:rsidRPr="00CA2760">
        <w:rPr>
          <w:rFonts w:ascii="Times New Roman" w:eastAsia="Calibri" w:hAnsi="Times New Roman"/>
          <w:sz w:val="24"/>
          <w:szCs w:val="24"/>
          <w:lang w:val="pt-BR"/>
        </w:rPr>
        <w:t>de caráter prospectiv</w:t>
      </w:r>
      <w:r w:rsidR="001B22E4">
        <w:rPr>
          <w:rFonts w:ascii="Times New Roman" w:eastAsia="Calibri" w:hAnsi="Times New Roman"/>
          <w:sz w:val="24"/>
          <w:szCs w:val="24"/>
          <w:lang w:val="pt-BR"/>
        </w:rPr>
        <w:t>o</w:t>
      </w:r>
      <w:r w:rsidRPr="00CA2760">
        <w:rPr>
          <w:rFonts w:ascii="Times New Roman" w:eastAsia="Calibri" w:hAnsi="Times New Roman"/>
          <w:sz w:val="24"/>
          <w:szCs w:val="24"/>
          <w:lang w:val="pt-BR"/>
        </w:rPr>
        <w:t xml:space="preserve"> de forma a identificar oportunidades ou entraves no desenvolvimento destes instrumentos conforme a legislação vigente no Brasil e às normas específicas do Banco Central que regem o funcionamento das Agências de Fomento. Durante a execução do Programa serão desenvolvidas outras consultorias para o desenvolvimento </w:t>
      </w:r>
      <w:r w:rsidR="001B22E4">
        <w:rPr>
          <w:rFonts w:ascii="Times New Roman" w:eastAsia="Calibri" w:hAnsi="Times New Roman"/>
          <w:sz w:val="24"/>
          <w:szCs w:val="24"/>
          <w:lang w:val="pt-BR"/>
        </w:rPr>
        <w:t>operacional</w:t>
      </w:r>
      <w:r w:rsidR="001B22E4" w:rsidRPr="00CA2760">
        <w:rPr>
          <w:rFonts w:ascii="Times New Roman" w:eastAsia="Calibri" w:hAnsi="Times New Roman"/>
          <w:sz w:val="24"/>
          <w:szCs w:val="24"/>
          <w:lang w:val="pt-BR"/>
        </w:rPr>
        <w:t xml:space="preserve"> </w:t>
      </w:r>
      <w:r w:rsidRPr="00CA2760">
        <w:rPr>
          <w:rFonts w:ascii="Times New Roman" w:eastAsia="Calibri" w:hAnsi="Times New Roman"/>
          <w:sz w:val="24"/>
          <w:szCs w:val="24"/>
          <w:lang w:val="pt-BR"/>
        </w:rPr>
        <w:t>específico dos instrumentos identificados neste estudo.</w:t>
      </w:r>
    </w:p>
    <w:p w14:paraId="0AF323EE" w14:textId="6027B718" w:rsidR="007F277B" w:rsidRPr="00CA2760" w:rsidRDefault="007F277B" w:rsidP="00D63050">
      <w:pPr>
        <w:autoSpaceDE w:val="0"/>
        <w:autoSpaceDN w:val="0"/>
        <w:adjustRightInd w:val="0"/>
        <w:spacing w:before="240" w:line="360" w:lineRule="auto"/>
        <w:jc w:val="center"/>
        <w:rPr>
          <w:rFonts w:ascii="Times New Roman" w:hAnsi="Times New Roman" w:cs="Times New Roman"/>
          <w:b/>
          <w:sz w:val="24"/>
          <w:szCs w:val="24"/>
          <w:highlight w:val="yellow"/>
          <w:lang w:val="pt-BR"/>
        </w:rPr>
      </w:pPr>
      <w:r w:rsidRPr="00CA2760">
        <w:rPr>
          <w:rFonts w:ascii="Times New Roman" w:hAnsi="Times New Roman" w:cs="Times New Roman"/>
          <w:b/>
          <w:sz w:val="24"/>
          <w:szCs w:val="24"/>
          <w:lang w:val="pt-BR"/>
        </w:rPr>
        <w:t>As condições de financiamento</w:t>
      </w:r>
      <w:r w:rsidR="00A03390">
        <w:rPr>
          <w:rFonts w:ascii="Times New Roman" w:hAnsi="Times New Roman" w:cs="Times New Roman"/>
          <w:b/>
          <w:sz w:val="24"/>
          <w:szCs w:val="24"/>
          <w:lang w:val="pt-BR"/>
        </w:rPr>
        <w:t xml:space="preserve"> d</w:t>
      </w:r>
      <w:r w:rsidR="001B22E4">
        <w:rPr>
          <w:rFonts w:ascii="Times New Roman" w:hAnsi="Times New Roman" w:cs="Times New Roman"/>
          <w:b/>
          <w:sz w:val="24"/>
          <w:szCs w:val="24"/>
          <w:lang w:val="pt-BR"/>
        </w:rPr>
        <w:t>a</w:t>
      </w:r>
      <w:r w:rsidR="00A03390">
        <w:rPr>
          <w:rFonts w:ascii="Times New Roman" w:hAnsi="Times New Roman" w:cs="Times New Roman"/>
          <w:b/>
          <w:sz w:val="24"/>
          <w:szCs w:val="24"/>
          <w:lang w:val="pt-BR"/>
        </w:rPr>
        <w:t xml:space="preserve"> </w:t>
      </w:r>
      <w:r w:rsidR="001B22E4">
        <w:rPr>
          <w:rFonts w:ascii="Times New Roman" w:hAnsi="Times New Roman" w:cs="Times New Roman"/>
          <w:b/>
          <w:sz w:val="24"/>
          <w:szCs w:val="24"/>
          <w:lang w:val="pt-BR"/>
        </w:rPr>
        <w:t>m</w:t>
      </w:r>
      <w:r w:rsidR="00A03390">
        <w:rPr>
          <w:rFonts w:ascii="Times New Roman" w:hAnsi="Times New Roman" w:cs="Times New Roman"/>
          <w:b/>
          <w:sz w:val="24"/>
          <w:szCs w:val="24"/>
          <w:lang w:val="pt-BR"/>
        </w:rPr>
        <w:t xml:space="preserve">atriz de </w:t>
      </w:r>
      <w:r w:rsidR="001B22E4">
        <w:rPr>
          <w:rFonts w:ascii="Times New Roman" w:hAnsi="Times New Roman" w:cs="Times New Roman"/>
          <w:b/>
          <w:sz w:val="24"/>
          <w:szCs w:val="24"/>
          <w:lang w:val="pt-BR"/>
        </w:rPr>
        <w:t>f</w:t>
      </w:r>
      <w:r w:rsidR="00A03390">
        <w:rPr>
          <w:rFonts w:ascii="Times New Roman" w:hAnsi="Times New Roman" w:cs="Times New Roman"/>
          <w:b/>
          <w:sz w:val="24"/>
          <w:szCs w:val="24"/>
          <w:lang w:val="pt-BR"/>
        </w:rPr>
        <w:t>inanciamento</w:t>
      </w:r>
    </w:p>
    <w:p w14:paraId="2CB6122A" w14:textId="77777777" w:rsidR="007F277B" w:rsidRPr="00CA2760" w:rsidRDefault="007F277B" w:rsidP="007F277B">
      <w:pPr>
        <w:autoSpaceDE w:val="0"/>
        <w:autoSpaceDN w:val="0"/>
        <w:adjustRightInd w:val="0"/>
        <w:spacing w:after="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As condições de financiamento que poderiam variar são:</w:t>
      </w:r>
    </w:p>
    <w:p w14:paraId="5FE3B1A5" w14:textId="77777777" w:rsidR="007F277B" w:rsidRPr="00CA2760" w:rsidRDefault="007F277B" w:rsidP="00541FE8">
      <w:pPr>
        <w:pStyle w:val="ListParagraph"/>
        <w:numPr>
          <w:ilvl w:val="0"/>
          <w:numId w:val="3"/>
        </w:numPr>
        <w:spacing w:after="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Juros</w:t>
      </w:r>
    </w:p>
    <w:p w14:paraId="3D22DF5B" w14:textId="77777777" w:rsidR="007F277B" w:rsidRPr="00CA2760" w:rsidRDefault="007F277B" w:rsidP="00541FE8">
      <w:pPr>
        <w:pStyle w:val="ListParagraph"/>
        <w:numPr>
          <w:ilvl w:val="0"/>
          <w:numId w:val="3"/>
        </w:numPr>
        <w:spacing w:after="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Prazo</w:t>
      </w:r>
    </w:p>
    <w:p w14:paraId="7DDF8CC8" w14:textId="77777777" w:rsidR="007F277B" w:rsidRPr="00CA2760" w:rsidRDefault="007F277B" w:rsidP="00541FE8">
      <w:pPr>
        <w:pStyle w:val="ListParagraph"/>
        <w:numPr>
          <w:ilvl w:val="0"/>
          <w:numId w:val="3"/>
        </w:numPr>
        <w:spacing w:after="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Carência</w:t>
      </w:r>
    </w:p>
    <w:p w14:paraId="0428D5FD" w14:textId="77777777" w:rsidR="007F277B" w:rsidRPr="00CA2760" w:rsidRDefault="007F277B" w:rsidP="00D63050">
      <w:pPr>
        <w:pStyle w:val="ListParagraph"/>
        <w:numPr>
          <w:ilvl w:val="0"/>
          <w:numId w:val="3"/>
        </w:numPr>
        <w:spacing w:after="0" w:line="72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do custo total financiado</w:t>
      </w:r>
    </w:p>
    <w:p w14:paraId="4496D194" w14:textId="7482F339" w:rsidR="00644DFC" w:rsidRDefault="007F277B" w:rsidP="007F277B">
      <w:p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Também, uma taxa de compromisso poderia ser cobrada sobre a parcela do empréstimo, não desembolsado, para servir como um incentivo </w:t>
      </w:r>
      <w:r w:rsidR="001B22E4">
        <w:rPr>
          <w:rFonts w:ascii="Times New Roman" w:hAnsi="Times New Roman" w:cs="Times New Roman"/>
          <w:sz w:val="24"/>
          <w:szCs w:val="24"/>
          <w:lang w:val="pt-BR"/>
        </w:rPr>
        <w:t>na utilização</w:t>
      </w:r>
      <w:r w:rsidRPr="00CA2760">
        <w:rPr>
          <w:rFonts w:ascii="Times New Roman" w:hAnsi="Times New Roman" w:cs="Times New Roman"/>
          <w:sz w:val="24"/>
          <w:szCs w:val="24"/>
          <w:lang w:val="pt-BR"/>
        </w:rPr>
        <w:t xml:space="preserve"> </w:t>
      </w:r>
      <w:r w:rsidR="001B22E4">
        <w:rPr>
          <w:rFonts w:ascii="Times New Roman" w:hAnsi="Times New Roman" w:cs="Times New Roman"/>
          <w:sz w:val="24"/>
          <w:szCs w:val="24"/>
          <w:lang w:val="pt-BR"/>
        </w:rPr>
        <w:t>d</w:t>
      </w:r>
      <w:r w:rsidRPr="00CA2760">
        <w:rPr>
          <w:rFonts w:ascii="Times New Roman" w:hAnsi="Times New Roman" w:cs="Times New Roman"/>
          <w:sz w:val="24"/>
          <w:szCs w:val="24"/>
          <w:lang w:val="pt-BR"/>
        </w:rPr>
        <w:t xml:space="preserve">os recursos em tempo hábil.  Outra opção seria </w:t>
      </w:r>
      <w:r w:rsidR="001B22E4">
        <w:rPr>
          <w:rFonts w:ascii="Times New Roman" w:hAnsi="Times New Roman" w:cs="Times New Roman"/>
          <w:sz w:val="24"/>
          <w:szCs w:val="24"/>
          <w:lang w:val="pt-BR"/>
        </w:rPr>
        <w:t>a cobrança de</w:t>
      </w:r>
      <w:r w:rsidRPr="00CA2760">
        <w:rPr>
          <w:rFonts w:ascii="Times New Roman" w:hAnsi="Times New Roman" w:cs="Times New Roman"/>
          <w:sz w:val="24"/>
          <w:szCs w:val="24"/>
          <w:lang w:val="pt-BR"/>
        </w:rPr>
        <w:t xml:space="preserve"> taxas para estruturação, processamento da aplicação, </w:t>
      </w:r>
      <w:r w:rsidR="00981D6A" w:rsidRPr="00CA2760">
        <w:rPr>
          <w:rFonts w:ascii="Times New Roman" w:hAnsi="Times New Roman" w:cs="Times New Roman"/>
          <w:sz w:val="24"/>
          <w:szCs w:val="24"/>
          <w:lang w:val="pt-BR"/>
        </w:rPr>
        <w:t xml:space="preserve">etc. </w:t>
      </w:r>
      <w:r w:rsidR="00BA5D24">
        <w:rPr>
          <w:rFonts w:ascii="Times New Roman" w:hAnsi="Times New Roman" w:cs="Times New Roman"/>
          <w:sz w:val="24"/>
          <w:szCs w:val="24"/>
          <w:lang w:val="pt-BR"/>
        </w:rPr>
        <w:t xml:space="preserve"> </w:t>
      </w:r>
      <w:r w:rsidR="00644DFC">
        <w:rPr>
          <w:rFonts w:ascii="Times New Roman" w:hAnsi="Times New Roman" w:cs="Times New Roman"/>
          <w:sz w:val="24"/>
          <w:szCs w:val="24"/>
          <w:lang w:val="pt-BR"/>
        </w:rPr>
        <w:t>F</w:t>
      </w:r>
      <w:r w:rsidR="00644DFC" w:rsidRPr="00644DFC">
        <w:rPr>
          <w:rFonts w:ascii="Times New Roman" w:hAnsi="Times New Roman" w:cs="Times New Roman"/>
          <w:sz w:val="24"/>
          <w:szCs w:val="24"/>
          <w:lang w:val="pt-BR"/>
        </w:rPr>
        <w:t xml:space="preserve">inalmente, como discutiremos a seguir, o compromisso </w:t>
      </w:r>
      <w:r w:rsidR="001B22E4">
        <w:rPr>
          <w:rFonts w:ascii="Times New Roman" w:hAnsi="Times New Roman" w:cs="Times New Roman"/>
          <w:sz w:val="24"/>
          <w:szCs w:val="24"/>
          <w:lang w:val="pt-BR"/>
        </w:rPr>
        <w:t xml:space="preserve">para financiamento de </w:t>
      </w:r>
      <w:r w:rsidR="00644DFC" w:rsidRPr="00644DFC">
        <w:rPr>
          <w:rFonts w:ascii="Times New Roman" w:hAnsi="Times New Roman" w:cs="Times New Roman"/>
          <w:sz w:val="24"/>
          <w:szCs w:val="24"/>
          <w:lang w:val="pt-BR"/>
        </w:rPr>
        <w:t xml:space="preserve">um programa de investimentos mais amplo por um período mais longo também pode servir como um </w:t>
      </w:r>
      <w:r w:rsidR="001B22E4">
        <w:rPr>
          <w:rFonts w:ascii="Times New Roman" w:hAnsi="Times New Roman" w:cs="Times New Roman"/>
          <w:sz w:val="24"/>
          <w:szCs w:val="24"/>
          <w:lang w:val="pt-BR"/>
        </w:rPr>
        <w:t xml:space="preserve">importante </w:t>
      </w:r>
      <w:r w:rsidR="00644DFC" w:rsidRPr="00644DFC">
        <w:rPr>
          <w:rFonts w:ascii="Times New Roman" w:hAnsi="Times New Roman" w:cs="Times New Roman"/>
          <w:sz w:val="24"/>
          <w:szCs w:val="24"/>
          <w:lang w:val="pt-BR"/>
        </w:rPr>
        <w:t>incentivo.</w:t>
      </w:r>
    </w:p>
    <w:p w14:paraId="06D3D940" w14:textId="6A79A388" w:rsidR="007F277B" w:rsidRPr="00A03390" w:rsidRDefault="00981D6A" w:rsidP="00A03390">
      <w:pPr>
        <w:autoSpaceDE w:val="0"/>
        <w:autoSpaceDN w:val="0"/>
        <w:adjustRightInd w:val="0"/>
        <w:spacing w:line="360" w:lineRule="auto"/>
        <w:rPr>
          <w:rFonts w:ascii="Times New Roman" w:hAnsi="Times New Roman" w:cs="Times New Roman"/>
          <w:sz w:val="24"/>
          <w:szCs w:val="24"/>
          <w:lang w:val="pt-BR"/>
        </w:rPr>
      </w:pPr>
      <w:r w:rsidRPr="007451C3">
        <w:rPr>
          <w:rFonts w:ascii="Times New Roman" w:hAnsi="Times New Roman" w:cs="Times New Roman"/>
          <w:sz w:val="24"/>
          <w:szCs w:val="24"/>
          <w:lang w:val="pt-BR"/>
        </w:rPr>
        <w:t>Como</w:t>
      </w:r>
      <w:r w:rsidR="007F277B" w:rsidRPr="007451C3">
        <w:rPr>
          <w:rFonts w:ascii="Times New Roman" w:hAnsi="Times New Roman" w:cs="Times New Roman"/>
          <w:sz w:val="24"/>
          <w:szCs w:val="24"/>
          <w:lang w:val="pt-BR"/>
        </w:rPr>
        <w:t xml:space="preserve"> visto na </w:t>
      </w:r>
      <w:r w:rsidR="00F24802" w:rsidRPr="00A47D27">
        <w:rPr>
          <w:rFonts w:ascii="Times New Roman" w:hAnsi="Times New Roman" w:cs="Times New Roman"/>
          <w:sz w:val="24"/>
          <w:szCs w:val="24"/>
          <w:lang w:val="pt-BR"/>
        </w:rPr>
        <w:t xml:space="preserve">tabela </w:t>
      </w:r>
      <w:r w:rsidR="00A11679">
        <w:rPr>
          <w:rFonts w:ascii="Times New Roman" w:hAnsi="Times New Roman" w:cs="Times New Roman"/>
          <w:sz w:val="24"/>
          <w:szCs w:val="24"/>
          <w:lang w:val="pt-BR"/>
        </w:rPr>
        <w:t>12</w:t>
      </w:r>
      <w:r w:rsidR="007F277B" w:rsidRPr="007451C3">
        <w:rPr>
          <w:rFonts w:ascii="Times New Roman" w:hAnsi="Times New Roman" w:cs="Times New Roman"/>
          <w:sz w:val="24"/>
          <w:szCs w:val="24"/>
          <w:lang w:val="pt-BR"/>
        </w:rPr>
        <w:t xml:space="preserve">, as taxas dos juros dos empréstimos para </w:t>
      </w:r>
      <w:r w:rsidR="00F24802" w:rsidRPr="007451C3">
        <w:rPr>
          <w:rFonts w:ascii="Times New Roman" w:hAnsi="Times New Roman" w:cs="Times New Roman"/>
          <w:sz w:val="24"/>
          <w:szCs w:val="24"/>
          <w:lang w:val="pt-BR"/>
        </w:rPr>
        <w:t xml:space="preserve">os </w:t>
      </w:r>
      <w:r w:rsidR="007F277B" w:rsidRPr="007451C3">
        <w:rPr>
          <w:rFonts w:ascii="Times New Roman" w:hAnsi="Times New Roman" w:cs="Times New Roman"/>
          <w:sz w:val="24"/>
          <w:szCs w:val="24"/>
          <w:lang w:val="pt-BR"/>
        </w:rPr>
        <w:t>municípios já foram modificadas</w:t>
      </w:r>
      <w:r w:rsidR="00A03390" w:rsidRPr="007451C3">
        <w:rPr>
          <w:rFonts w:ascii="Times New Roman" w:hAnsi="Times New Roman" w:cs="Times New Roman"/>
          <w:sz w:val="24"/>
          <w:szCs w:val="24"/>
          <w:lang w:val="pt-BR"/>
        </w:rPr>
        <w:t xml:space="preserve"> para variar segundo </w:t>
      </w:r>
      <w:r w:rsidR="00E940EA" w:rsidRPr="007451C3">
        <w:rPr>
          <w:rFonts w:ascii="Times New Roman" w:hAnsi="Times New Roman" w:cs="Times New Roman"/>
          <w:sz w:val="24"/>
          <w:szCs w:val="24"/>
          <w:lang w:val="pt-BR"/>
        </w:rPr>
        <w:t xml:space="preserve">o </w:t>
      </w:r>
      <w:r w:rsidR="00A03390" w:rsidRPr="007451C3">
        <w:rPr>
          <w:rFonts w:ascii="Times New Roman" w:hAnsi="Times New Roman" w:cs="Times New Roman"/>
          <w:sz w:val="24"/>
          <w:szCs w:val="24"/>
          <w:lang w:val="pt-BR"/>
        </w:rPr>
        <w:t>tamanho da população dos municípios</w:t>
      </w:r>
      <w:r w:rsidR="007F277B" w:rsidRPr="007451C3">
        <w:rPr>
          <w:rFonts w:ascii="Times New Roman" w:hAnsi="Times New Roman" w:cs="Times New Roman"/>
          <w:sz w:val="24"/>
          <w:szCs w:val="24"/>
          <w:lang w:val="pt-BR"/>
        </w:rPr>
        <w:t>.</w:t>
      </w:r>
      <w:r w:rsidR="00A03390" w:rsidRPr="007451C3">
        <w:rPr>
          <w:rFonts w:ascii="Times New Roman" w:hAnsi="Times New Roman" w:cs="Times New Roman"/>
          <w:sz w:val="24"/>
          <w:szCs w:val="24"/>
          <w:lang w:val="pt-BR"/>
        </w:rPr>
        <w:t xml:space="preserve"> </w:t>
      </w:r>
      <w:r w:rsidR="007F277B" w:rsidRPr="007451C3">
        <w:rPr>
          <w:rFonts w:ascii="Times New Roman" w:hAnsi="Times New Roman" w:cs="Times New Roman"/>
          <w:sz w:val="24"/>
          <w:szCs w:val="24"/>
          <w:lang w:val="pt-BR"/>
        </w:rPr>
        <w:t>Para a definição das condições dos empréstimos, a</w:t>
      </w:r>
      <w:r w:rsidR="007F277B" w:rsidRPr="00A03390">
        <w:rPr>
          <w:rFonts w:ascii="Times New Roman" w:hAnsi="Times New Roman" w:cs="Times New Roman"/>
          <w:sz w:val="24"/>
          <w:szCs w:val="24"/>
          <w:lang w:val="pt-BR"/>
        </w:rPr>
        <w:t xml:space="preserve"> matriz de financiamento poderá </w:t>
      </w:r>
      <w:r w:rsidR="00A03390">
        <w:rPr>
          <w:rFonts w:ascii="Times New Roman" w:hAnsi="Times New Roman" w:cs="Times New Roman"/>
          <w:sz w:val="24"/>
          <w:szCs w:val="24"/>
          <w:lang w:val="pt-BR"/>
        </w:rPr>
        <w:t xml:space="preserve">também </w:t>
      </w:r>
      <w:r w:rsidR="007F277B" w:rsidRPr="00A03390">
        <w:rPr>
          <w:rFonts w:ascii="Times New Roman" w:hAnsi="Times New Roman" w:cs="Times New Roman"/>
          <w:sz w:val="24"/>
          <w:szCs w:val="24"/>
          <w:lang w:val="pt-BR"/>
        </w:rPr>
        <w:t xml:space="preserve">considerar variáveis, tais </w:t>
      </w:r>
      <w:r w:rsidRPr="00A03390">
        <w:rPr>
          <w:rFonts w:ascii="Times New Roman" w:hAnsi="Times New Roman" w:cs="Times New Roman"/>
          <w:sz w:val="24"/>
          <w:szCs w:val="24"/>
          <w:lang w:val="pt-BR"/>
        </w:rPr>
        <w:t xml:space="preserve">como: </w:t>
      </w:r>
    </w:p>
    <w:p w14:paraId="08422F04" w14:textId="77777777" w:rsidR="007F277B" w:rsidRPr="00CA2760" w:rsidRDefault="007F277B" w:rsidP="00541FE8">
      <w:pPr>
        <w:pStyle w:val="ListParagraph"/>
        <w:numPr>
          <w:ilvl w:val="0"/>
          <w:numId w:val="3"/>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Indicadores Econômicos e Sociais</w:t>
      </w:r>
    </w:p>
    <w:p w14:paraId="6E1259DB" w14:textId="77777777" w:rsidR="007F277B" w:rsidRPr="00CA2760" w:rsidRDefault="007F277B" w:rsidP="00541FE8">
      <w:pPr>
        <w:pStyle w:val="ListParagraph"/>
        <w:numPr>
          <w:ilvl w:val="1"/>
          <w:numId w:val="3"/>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PIB municipal per capita do IBGE</w:t>
      </w:r>
    </w:p>
    <w:p w14:paraId="510E299C" w14:textId="77777777" w:rsidR="007F277B" w:rsidRPr="00CA2760" w:rsidRDefault="007F277B" w:rsidP="00541FE8">
      <w:pPr>
        <w:pStyle w:val="ListParagraph"/>
        <w:numPr>
          <w:ilvl w:val="1"/>
          <w:numId w:val="3"/>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lastRenderedPageBreak/>
        <w:t>Índice Firjan de Desenvolvimento Municipal (IFDM)</w:t>
      </w:r>
      <w:r w:rsidRPr="00CA2760">
        <w:rPr>
          <w:rStyle w:val="FootnoteReference"/>
          <w:rFonts w:ascii="Times New Roman" w:hAnsi="Times New Roman" w:cs="Times New Roman"/>
          <w:sz w:val="24"/>
          <w:szCs w:val="24"/>
          <w:lang w:val="pt-BR"/>
        </w:rPr>
        <w:footnoteReference w:id="10"/>
      </w:r>
    </w:p>
    <w:p w14:paraId="275F13AD" w14:textId="5D53252C" w:rsidR="007F277B" w:rsidRPr="00CA2760" w:rsidRDefault="007F277B" w:rsidP="00541FE8">
      <w:pPr>
        <w:pStyle w:val="ListParagraph"/>
        <w:numPr>
          <w:ilvl w:val="1"/>
          <w:numId w:val="3"/>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Outros indicadores sociais do IBGE ou </w:t>
      </w:r>
      <w:r w:rsidR="00764A00">
        <w:rPr>
          <w:rFonts w:ascii="Times New Roman" w:hAnsi="Times New Roman" w:cs="Times New Roman"/>
          <w:sz w:val="24"/>
          <w:szCs w:val="24"/>
          <w:lang w:val="pt-BR"/>
        </w:rPr>
        <w:t xml:space="preserve">de </w:t>
      </w:r>
      <w:r w:rsidRPr="00CA2760">
        <w:rPr>
          <w:rFonts w:ascii="Times New Roman" w:hAnsi="Times New Roman" w:cs="Times New Roman"/>
          <w:sz w:val="24"/>
          <w:szCs w:val="24"/>
          <w:lang w:val="pt-BR"/>
        </w:rPr>
        <w:t>outras entidades.</w:t>
      </w:r>
    </w:p>
    <w:p w14:paraId="05828AB3" w14:textId="77777777" w:rsidR="007F277B" w:rsidRPr="00CA2760" w:rsidRDefault="007F277B" w:rsidP="00541FE8">
      <w:pPr>
        <w:pStyle w:val="ListParagraph"/>
        <w:numPr>
          <w:ilvl w:val="0"/>
          <w:numId w:val="3"/>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A tipologia de obra a ser financiada:</w:t>
      </w:r>
    </w:p>
    <w:p w14:paraId="7C0FA700" w14:textId="77777777" w:rsidR="007F277B" w:rsidRPr="00CA2760" w:rsidRDefault="007F277B" w:rsidP="00541FE8">
      <w:pPr>
        <w:pStyle w:val="ListParagraph"/>
        <w:numPr>
          <w:ilvl w:val="1"/>
          <w:numId w:val="3"/>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Infraestrutura viária</w:t>
      </w:r>
    </w:p>
    <w:p w14:paraId="7F86B11E" w14:textId="77777777" w:rsidR="007F277B" w:rsidRPr="00CA2760" w:rsidRDefault="007F277B" w:rsidP="00541FE8">
      <w:pPr>
        <w:pStyle w:val="ListParagraph"/>
        <w:numPr>
          <w:ilvl w:val="1"/>
          <w:numId w:val="3"/>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Mobiliário urbano</w:t>
      </w:r>
    </w:p>
    <w:p w14:paraId="6D45D17E" w14:textId="77777777" w:rsidR="007F277B" w:rsidRPr="00CA2760" w:rsidRDefault="007F277B" w:rsidP="00541FE8">
      <w:pPr>
        <w:pStyle w:val="ListParagraph"/>
        <w:numPr>
          <w:ilvl w:val="1"/>
          <w:numId w:val="3"/>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Melhoria de bairros</w:t>
      </w:r>
    </w:p>
    <w:p w14:paraId="2A82C9E2" w14:textId="77777777" w:rsidR="007F277B" w:rsidRPr="00CA2760" w:rsidRDefault="007F277B" w:rsidP="00541FE8">
      <w:pPr>
        <w:pStyle w:val="ListParagraph"/>
        <w:numPr>
          <w:ilvl w:val="1"/>
          <w:numId w:val="3"/>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Postos de saúde</w:t>
      </w:r>
    </w:p>
    <w:p w14:paraId="3835AEE6" w14:textId="578382A7" w:rsidR="00A03390" w:rsidRDefault="007F277B" w:rsidP="00A03390">
      <w:pPr>
        <w:pStyle w:val="ListParagraph"/>
        <w:numPr>
          <w:ilvl w:val="1"/>
          <w:numId w:val="3"/>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Educação, etc.</w:t>
      </w:r>
      <w:r w:rsidR="00981D6A">
        <w:rPr>
          <w:rFonts w:ascii="Times New Roman" w:hAnsi="Times New Roman" w:cs="Times New Roman"/>
          <w:sz w:val="24"/>
          <w:szCs w:val="24"/>
          <w:lang w:val="pt-BR"/>
        </w:rPr>
        <w:t xml:space="preserve"> </w:t>
      </w:r>
    </w:p>
    <w:p w14:paraId="11E0344E" w14:textId="21ED84E4" w:rsidR="003921DD" w:rsidRDefault="007F277B" w:rsidP="00A03390">
      <w:pPr>
        <w:autoSpaceDE w:val="0"/>
        <w:autoSpaceDN w:val="0"/>
        <w:adjustRightInd w:val="0"/>
        <w:spacing w:line="360" w:lineRule="auto"/>
        <w:rPr>
          <w:rFonts w:ascii="Times New Roman" w:hAnsi="Times New Roman" w:cs="Times New Roman"/>
          <w:sz w:val="24"/>
          <w:szCs w:val="24"/>
          <w:lang w:val="pt-BR"/>
        </w:rPr>
      </w:pPr>
      <w:r w:rsidRPr="00A03390">
        <w:rPr>
          <w:rFonts w:ascii="Times New Roman" w:hAnsi="Times New Roman" w:cs="Times New Roman"/>
          <w:sz w:val="24"/>
          <w:szCs w:val="24"/>
          <w:lang w:val="pt-BR"/>
        </w:rPr>
        <w:t xml:space="preserve">Entre os indicadores mais interessantes, são aqueles que analisaremos agora </w:t>
      </w:r>
      <w:r w:rsidR="00E940EA">
        <w:rPr>
          <w:rFonts w:ascii="Times New Roman" w:hAnsi="Times New Roman" w:cs="Times New Roman"/>
          <w:sz w:val="24"/>
          <w:szCs w:val="24"/>
          <w:lang w:val="pt-BR"/>
        </w:rPr>
        <w:t xml:space="preserve">e </w:t>
      </w:r>
      <w:r w:rsidRPr="00A03390">
        <w:rPr>
          <w:rFonts w:ascii="Times New Roman" w:hAnsi="Times New Roman" w:cs="Times New Roman"/>
          <w:sz w:val="24"/>
          <w:szCs w:val="24"/>
          <w:lang w:val="pt-BR"/>
        </w:rPr>
        <w:t xml:space="preserve">que forneceriam incentivos para: </w:t>
      </w:r>
    </w:p>
    <w:p w14:paraId="033EB9A8" w14:textId="7C09F000" w:rsidR="007F277B" w:rsidRPr="00644DFC" w:rsidRDefault="007F277B" w:rsidP="00644DFC">
      <w:pPr>
        <w:pStyle w:val="ListParagraph"/>
        <w:numPr>
          <w:ilvl w:val="0"/>
          <w:numId w:val="36"/>
        </w:numPr>
        <w:autoSpaceDE w:val="0"/>
        <w:autoSpaceDN w:val="0"/>
        <w:adjustRightInd w:val="0"/>
        <w:spacing w:line="360" w:lineRule="auto"/>
        <w:rPr>
          <w:rFonts w:ascii="Times New Roman" w:hAnsi="Times New Roman" w:cs="Times New Roman"/>
          <w:sz w:val="24"/>
          <w:szCs w:val="24"/>
          <w:lang w:val="pt-BR"/>
        </w:rPr>
      </w:pPr>
      <w:r w:rsidRPr="00644DFC">
        <w:rPr>
          <w:rFonts w:ascii="Times New Roman" w:hAnsi="Times New Roman" w:cs="Times New Roman"/>
          <w:sz w:val="24"/>
          <w:szCs w:val="24"/>
          <w:lang w:val="pt-BR"/>
        </w:rPr>
        <w:t>Melhora</w:t>
      </w:r>
      <w:r w:rsidR="00E940EA">
        <w:rPr>
          <w:rFonts w:ascii="Times New Roman" w:hAnsi="Times New Roman" w:cs="Times New Roman"/>
          <w:sz w:val="24"/>
          <w:szCs w:val="24"/>
          <w:lang w:val="pt-BR"/>
        </w:rPr>
        <w:t>mentos</w:t>
      </w:r>
      <w:r w:rsidRPr="00644DFC">
        <w:rPr>
          <w:rFonts w:ascii="Times New Roman" w:hAnsi="Times New Roman" w:cs="Times New Roman"/>
          <w:sz w:val="24"/>
          <w:szCs w:val="24"/>
          <w:lang w:val="pt-BR"/>
        </w:rPr>
        <w:t xml:space="preserve"> </w:t>
      </w:r>
      <w:r w:rsidR="00E940EA">
        <w:rPr>
          <w:rFonts w:ascii="Times New Roman" w:hAnsi="Times New Roman" w:cs="Times New Roman"/>
          <w:sz w:val="24"/>
          <w:szCs w:val="24"/>
          <w:lang w:val="pt-BR"/>
        </w:rPr>
        <w:t>n</w:t>
      </w:r>
      <w:r w:rsidRPr="00644DFC">
        <w:rPr>
          <w:rFonts w:ascii="Times New Roman" w:hAnsi="Times New Roman" w:cs="Times New Roman"/>
          <w:sz w:val="24"/>
          <w:szCs w:val="24"/>
          <w:lang w:val="pt-BR"/>
        </w:rPr>
        <w:t>o desempenho financeiro municipal tais como indicadores de esforço</w:t>
      </w:r>
      <w:r w:rsidR="00E940EA">
        <w:rPr>
          <w:rFonts w:ascii="Times New Roman" w:hAnsi="Times New Roman" w:cs="Times New Roman"/>
          <w:sz w:val="24"/>
          <w:szCs w:val="24"/>
          <w:lang w:val="pt-BR"/>
        </w:rPr>
        <w:t>s</w:t>
      </w:r>
      <w:r w:rsidRPr="00644DFC">
        <w:rPr>
          <w:rFonts w:ascii="Times New Roman" w:hAnsi="Times New Roman" w:cs="Times New Roman"/>
          <w:sz w:val="24"/>
          <w:szCs w:val="24"/>
          <w:lang w:val="pt-BR"/>
        </w:rPr>
        <w:t xml:space="preserve"> fisca</w:t>
      </w:r>
      <w:r w:rsidR="00E940EA">
        <w:rPr>
          <w:rFonts w:ascii="Times New Roman" w:hAnsi="Times New Roman" w:cs="Times New Roman"/>
          <w:sz w:val="24"/>
          <w:szCs w:val="24"/>
          <w:lang w:val="pt-BR"/>
        </w:rPr>
        <w:t>is</w:t>
      </w:r>
      <w:r w:rsidRPr="00644DFC">
        <w:rPr>
          <w:rFonts w:ascii="Times New Roman" w:hAnsi="Times New Roman" w:cs="Times New Roman"/>
          <w:sz w:val="24"/>
          <w:szCs w:val="24"/>
          <w:lang w:val="pt-BR"/>
        </w:rPr>
        <w:t xml:space="preserve"> (e.g., receitas próprias/PIB</w:t>
      </w:r>
      <w:r w:rsidR="00A11679">
        <w:rPr>
          <w:rFonts w:ascii="Times New Roman" w:hAnsi="Times New Roman" w:cs="Times New Roman"/>
          <w:sz w:val="24"/>
          <w:szCs w:val="24"/>
          <w:lang w:val="pt-BR"/>
        </w:rPr>
        <w:t xml:space="preserve"> </w:t>
      </w:r>
      <w:r w:rsidRPr="00644DFC">
        <w:rPr>
          <w:rFonts w:ascii="Times New Roman" w:hAnsi="Times New Roman" w:cs="Times New Roman"/>
          <w:sz w:val="24"/>
          <w:szCs w:val="24"/>
          <w:lang w:val="pt-BR"/>
        </w:rPr>
        <w:t>per capita) e capacidade de endividamento (analisada na seção anterior).</w:t>
      </w:r>
    </w:p>
    <w:p w14:paraId="18650FF7" w14:textId="71CF5265" w:rsidR="007F277B" w:rsidRPr="00CA2760" w:rsidRDefault="007F277B" w:rsidP="00541FE8">
      <w:pPr>
        <w:pStyle w:val="ListParagraph"/>
        <w:numPr>
          <w:ilvl w:val="0"/>
          <w:numId w:val="3"/>
        </w:num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Utiliza</w:t>
      </w:r>
      <w:r w:rsidR="00E940EA">
        <w:rPr>
          <w:rFonts w:ascii="Times New Roman" w:hAnsi="Times New Roman" w:cs="Times New Roman"/>
          <w:sz w:val="24"/>
          <w:szCs w:val="24"/>
          <w:lang w:val="pt-BR"/>
        </w:rPr>
        <w:t>ção</w:t>
      </w:r>
      <w:r w:rsidRPr="00CA2760">
        <w:rPr>
          <w:rFonts w:ascii="Times New Roman" w:hAnsi="Times New Roman" w:cs="Times New Roman"/>
          <w:sz w:val="24"/>
          <w:szCs w:val="24"/>
          <w:lang w:val="pt-BR"/>
        </w:rPr>
        <w:t xml:space="preserve"> </w:t>
      </w:r>
      <w:r w:rsidR="00E940EA">
        <w:rPr>
          <w:rFonts w:ascii="Times New Roman" w:hAnsi="Times New Roman" w:cs="Times New Roman"/>
          <w:sz w:val="24"/>
          <w:szCs w:val="24"/>
          <w:lang w:val="pt-BR"/>
        </w:rPr>
        <w:t xml:space="preserve">de </w:t>
      </w:r>
      <w:r w:rsidRPr="00CA2760">
        <w:rPr>
          <w:rFonts w:ascii="Times New Roman" w:hAnsi="Times New Roman" w:cs="Times New Roman"/>
          <w:sz w:val="24"/>
          <w:szCs w:val="24"/>
          <w:lang w:val="pt-BR"/>
        </w:rPr>
        <w:t>um processo de planejamento mais integrado nos projetos de infraestrutura municipal.</w:t>
      </w:r>
    </w:p>
    <w:p w14:paraId="78223778" w14:textId="3998D9CA" w:rsidR="007F277B" w:rsidRPr="00CA2760" w:rsidRDefault="007F277B" w:rsidP="00541FE8">
      <w:pPr>
        <w:pStyle w:val="ListParagraph"/>
        <w:numPr>
          <w:ilvl w:val="0"/>
          <w:numId w:val="3"/>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Empreg</w:t>
      </w:r>
      <w:r w:rsidR="00E940EA">
        <w:rPr>
          <w:rFonts w:ascii="Times New Roman" w:hAnsi="Times New Roman" w:cs="Times New Roman"/>
          <w:sz w:val="24"/>
          <w:szCs w:val="24"/>
          <w:lang w:val="pt-BR"/>
        </w:rPr>
        <w:t>o</w:t>
      </w:r>
      <w:r w:rsidRPr="00CA2760">
        <w:rPr>
          <w:rFonts w:ascii="Times New Roman" w:hAnsi="Times New Roman" w:cs="Times New Roman"/>
          <w:sz w:val="24"/>
          <w:szCs w:val="24"/>
          <w:lang w:val="pt-BR"/>
        </w:rPr>
        <w:t xml:space="preserve"> </w:t>
      </w:r>
      <w:r w:rsidR="00E940EA">
        <w:rPr>
          <w:rFonts w:ascii="Times New Roman" w:hAnsi="Times New Roman" w:cs="Times New Roman"/>
          <w:sz w:val="24"/>
          <w:szCs w:val="24"/>
          <w:lang w:val="pt-BR"/>
        </w:rPr>
        <w:t>d</w:t>
      </w:r>
      <w:r w:rsidRPr="00CA2760">
        <w:rPr>
          <w:rFonts w:ascii="Times New Roman" w:hAnsi="Times New Roman" w:cs="Times New Roman"/>
          <w:sz w:val="24"/>
          <w:szCs w:val="24"/>
          <w:lang w:val="pt-BR"/>
        </w:rPr>
        <w:t>os instrumentos de captura de valor permitidos pelo Estatuto da Cidade.</w:t>
      </w:r>
    </w:p>
    <w:p w14:paraId="53B6E50A" w14:textId="51991777" w:rsidR="007F277B" w:rsidRPr="00CA2760" w:rsidRDefault="007F277B" w:rsidP="007F277B">
      <w:pPr>
        <w:spacing w:before="24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Vamos agora discutir estes três</w:t>
      </w:r>
      <w:r w:rsidR="00644DFC">
        <w:rPr>
          <w:rFonts w:ascii="Times New Roman" w:hAnsi="Times New Roman" w:cs="Times New Roman"/>
          <w:sz w:val="24"/>
          <w:szCs w:val="24"/>
          <w:lang w:val="pt-BR"/>
        </w:rPr>
        <w:t xml:space="preserve"> tipos de</w:t>
      </w:r>
      <w:r w:rsidRPr="00CA2760">
        <w:rPr>
          <w:rFonts w:ascii="Times New Roman" w:hAnsi="Times New Roman" w:cs="Times New Roman"/>
          <w:sz w:val="24"/>
          <w:szCs w:val="24"/>
          <w:lang w:val="pt-BR"/>
        </w:rPr>
        <w:t xml:space="preserve"> </w:t>
      </w:r>
      <w:r w:rsidR="00644DFC">
        <w:rPr>
          <w:rFonts w:ascii="Times New Roman" w:hAnsi="Times New Roman" w:cs="Times New Roman"/>
          <w:sz w:val="24"/>
          <w:szCs w:val="24"/>
          <w:lang w:val="pt-BR"/>
        </w:rPr>
        <w:t>incentivos</w:t>
      </w:r>
      <w:r w:rsidRPr="00CA2760">
        <w:rPr>
          <w:rFonts w:ascii="Times New Roman" w:hAnsi="Times New Roman" w:cs="Times New Roman"/>
          <w:sz w:val="24"/>
          <w:szCs w:val="24"/>
          <w:lang w:val="pt-BR"/>
        </w:rPr>
        <w:t>.</w:t>
      </w:r>
    </w:p>
    <w:p w14:paraId="2A7D8095" w14:textId="37E7DFD8" w:rsidR="007F277B" w:rsidRPr="00CA2760" w:rsidRDefault="007F277B" w:rsidP="00D63050">
      <w:pPr>
        <w:spacing w:before="240" w:after="0" w:line="360" w:lineRule="auto"/>
        <w:jc w:val="center"/>
        <w:rPr>
          <w:rFonts w:ascii="Times New Roman" w:hAnsi="Times New Roman" w:cs="Times New Roman"/>
          <w:b/>
          <w:sz w:val="24"/>
          <w:szCs w:val="24"/>
          <w:lang w:val="pt-BR"/>
        </w:rPr>
      </w:pPr>
      <w:r w:rsidRPr="00CA2760">
        <w:rPr>
          <w:rFonts w:ascii="Times New Roman" w:hAnsi="Times New Roman" w:cs="Times New Roman"/>
          <w:b/>
          <w:sz w:val="24"/>
          <w:szCs w:val="24"/>
          <w:lang w:val="pt-BR"/>
        </w:rPr>
        <w:t>Incentivos para melhora</w:t>
      </w:r>
      <w:r w:rsidR="005544D3">
        <w:rPr>
          <w:rFonts w:ascii="Times New Roman" w:hAnsi="Times New Roman" w:cs="Times New Roman"/>
          <w:b/>
          <w:sz w:val="24"/>
          <w:szCs w:val="24"/>
          <w:lang w:val="pt-BR"/>
        </w:rPr>
        <w:t>mento</w:t>
      </w:r>
      <w:r w:rsidR="00A12A05">
        <w:rPr>
          <w:rFonts w:ascii="Times New Roman" w:hAnsi="Times New Roman" w:cs="Times New Roman"/>
          <w:b/>
          <w:sz w:val="24"/>
          <w:szCs w:val="24"/>
          <w:lang w:val="pt-BR"/>
        </w:rPr>
        <w:t>s</w:t>
      </w:r>
      <w:r w:rsidRPr="00CA2760">
        <w:rPr>
          <w:rFonts w:ascii="Times New Roman" w:hAnsi="Times New Roman" w:cs="Times New Roman"/>
          <w:b/>
          <w:sz w:val="24"/>
          <w:szCs w:val="24"/>
          <w:lang w:val="pt-BR"/>
        </w:rPr>
        <w:t xml:space="preserve"> </w:t>
      </w:r>
      <w:r w:rsidR="00A12A05">
        <w:rPr>
          <w:rFonts w:ascii="Times New Roman" w:hAnsi="Times New Roman" w:cs="Times New Roman"/>
          <w:b/>
          <w:sz w:val="24"/>
          <w:szCs w:val="24"/>
          <w:lang w:val="pt-BR"/>
        </w:rPr>
        <w:t>n</w:t>
      </w:r>
      <w:r w:rsidRPr="00CA2760">
        <w:rPr>
          <w:rFonts w:ascii="Times New Roman" w:hAnsi="Times New Roman" w:cs="Times New Roman"/>
          <w:b/>
          <w:sz w:val="24"/>
          <w:szCs w:val="24"/>
          <w:lang w:val="pt-BR"/>
        </w:rPr>
        <w:t>o desempenho financeiro dos municípios</w:t>
      </w:r>
    </w:p>
    <w:p w14:paraId="2BBAA6B4" w14:textId="659F5964" w:rsidR="007F277B" w:rsidRPr="00CA2760" w:rsidRDefault="007F277B" w:rsidP="00D91C24">
      <w:pPr>
        <w:spacing w:before="24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No mercado privado de crédito municipal nos EUA e Europa, as condições dos créditos dependem do desempenho financeiro do município.  No caso dos EUA, a taxa de juros dos títulos municipais seria menor e com </w:t>
      </w:r>
      <w:r w:rsidR="00A12A05">
        <w:rPr>
          <w:rFonts w:ascii="Times New Roman" w:hAnsi="Times New Roman" w:cs="Times New Roman"/>
          <w:sz w:val="24"/>
          <w:szCs w:val="24"/>
          <w:lang w:val="pt-BR"/>
        </w:rPr>
        <w:t xml:space="preserve">maior </w:t>
      </w:r>
      <w:r w:rsidRPr="00CA2760">
        <w:rPr>
          <w:rFonts w:ascii="Times New Roman" w:hAnsi="Times New Roman" w:cs="Times New Roman"/>
          <w:sz w:val="24"/>
          <w:szCs w:val="24"/>
          <w:lang w:val="pt-BR"/>
        </w:rPr>
        <w:t xml:space="preserve">prazo para municípios que possuem </w:t>
      </w:r>
      <w:r w:rsidR="00332509">
        <w:rPr>
          <w:rFonts w:ascii="Times New Roman" w:hAnsi="Times New Roman" w:cs="Times New Roman"/>
          <w:sz w:val="24"/>
          <w:szCs w:val="24"/>
          <w:lang w:val="pt-BR"/>
        </w:rPr>
        <w:t xml:space="preserve">os </w:t>
      </w:r>
      <w:r w:rsidRPr="00CA2760">
        <w:rPr>
          <w:rFonts w:ascii="Times New Roman" w:hAnsi="Times New Roman" w:cs="Times New Roman"/>
          <w:sz w:val="24"/>
          <w:szCs w:val="24"/>
          <w:lang w:val="pt-BR"/>
        </w:rPr>
        <w:t xml:space="preserve">melhores </w:t>
      </w:r>
      <w:r w:rsidR="003C2B7A" w:rsidRPr="003C2B7A">
        <w:rPr>
          <w:rFonts w:ascii="Times New Roman" w:hAnsi="Times New Roman" w:cs="Times New Roman"/>
          <w:i/>
          <w:sz w:val="24"/>
          <w:szCs w:val="24"/>
          <w:lang w:val="pt-BR"/>
        </w:rPr>
        <w:t>ratings</w:t>
      </w:r>
      <w:r w:rsidR="00A12A05" w:rsidRPr="003C2B7A">
        <w:rPr>
          <w:rFonts w:ascii="Times New Roman" w:hAnsi="Times New Roman" w:cs="Times New Roman"/>
          <w:i/>
          <w:sz w:val="24"/>
          <w:szCs w:val="24"/>
          <w:lang w:val="pt-BR"/>
        </w:rPr>
        <w:t xml:space="preserve"> </w:t>
      </w:r>
      <w:r w:rsidRPr="00CA2760">
        <w:rPr>
          <w:rFonts w:ascii="Times New Roman" w:hAnsi="Times New Roman" w:cs="Times New Roman"/>
          <w:sz w:val="24"/>
          <w:szCs w:val="24"/>
          <w:lang w:val="pt-BR"/>
        </w:rPr>
        <w:t xml:space="preserve">das </w:t>
      </w:r>
      <w:r w:rsidRPr="00B05122">
        <w:rPr>
          <w:rFonts w:ascii="Times New Roman" w:hAnsi="Times New Roman" w:cs="Times New Roman"/>
          <w:i/>
          <w:sz w:val="24"/>
          <w:szCs w:val="24"/>
          <w:lang w:val="pt-BR"/>
        </w:rPr>
        <w:t xml:space="preserve">agências </w:t>
      </w:r>
      <w:r w:rsidR="003C2B7A" w:rsidRPr="00B05122">
        <w:rPr>
          <w:rFonts w:ascii="Times New Roman" w:hAnsi="Times New Roman" w:cs="Times New Roman"/>
          <w:i/>
          <w:sz w:val="24"/>
          <w:szCs w:val="24"/>
          <w:lang w:val="pt-BR"/>
        </w:rPr>
        <w:t>classificadoras</w:t>
      </w:r>
      <w:r w:rsidRPr="00CA2760">
        <w:rPr>
          <w:rFonts w:ascii="Times New Roman" w:hAnsi="Times New Roman" w:cs="Times New Roman"/>
          <w:sz w:val="24"/>
          <w:szCs w:val="24"/>
          <w:lang w:val="pt-BR"/>
        </w:rPr>
        <w:t xml:space="preserve"> (e.g., Moody’s, S &amp; P e Fitch).  Por isso mesmo, os municípios procuram melhorar ou pelo menos manter suas avaliações.  Assim sendo, </w:t>
      </w:r>
      <w:r w:rsidR="003C2B7A">
        <w:rPr>
          <w:rFonts w:ascii="Times New Roman" w:hAnsi="Times New Roman" w:cs="Times New Roman"/>
          <w:sz w:val="24"/>
          <w:szCs w:val="24"/>
          <w:lang w:val="pt-BR"/>
        </w:rPr>
        <w:t>no</w:t>
      </w:r>
      <w:r w:rsidR="007D7304" w:rsidRPr="007D7304">
        <w:rPr>
          <w:rFonts w:ascii="Times New Roman" w:hAnsi="Times New Roman" w:cs="Times New Roman"/>
          <w:sz w:val="24"/>
          <w:szCs w:val="24"/>
          <w:lang w:val="pt-BR"/>
        </w:rPr>
        <w:t xml:space="preserve"> Paraná III</w:t>
      </w:r>
      <w:r w:rsidR="003C2B7A">
        <w:rPr>
          <w:rFonts w:ascii="Times New Roman" w:hAnsi="Times New Roman" w:cs="Times New Roman"/>
          <w:sz w:val="24"/>
          <w:szCs w:val="24"/>
          <w:lang w:val="pt-BR"/>
        </w:rPr>
        <w:t xml:space="preserve">, o SFM pretende </w:t>
      </w:r>
      <w:r w:rsidR="007D7304" w:rsidRPr="007D7304">
        <w:rPr>
          <w:rFonts w:ascii="Times New Roman" w:hAnsi="Times New Roman" w:cs="Times New Roman"/>
          <w:sz w:val="24"/>
          <w:szCs w:val="24"/>
          <w:lang w:val="pt-BR"/>
        </w:rPr>
        <w:t>classifica</w:t>
      </w:r>
      <w:r w:rsidR="003C2B7A">
        <w:rPr>
          <w:rFonts w:ascii="Times New Roman" w:hAnsi="Times New Roman" w:cs="Times New Roman"/>
          <w:sz w:val="24"/>
          <w:szCs w:val="24"/>
          <w:lang w:val="pt-BR"/>
        </w:rPr>
        <w:t>r</w:t>
      </w:r>
      <w:r w:rsidR="007D7304" w:rsidRPr="007D7304">
        <w:rPr>
          <w:rFonts w:ascii="Times New Roman" w:hAnsi="Times New Roman" w:cs="Times New Roman"/>
          <w:sz w:val="24"/>
          <w:szCs w:val="24"/>
          <w:lang w:val="pt-BR"/>
        </w:rPr>
        <w:t xml:space="preserve"> os municípios com base em seu desempenho financeiro (A, B, etc.). Municípios com classificações mais favoráveis receberão melhores termos do que um com classificação C (por exemplo, menor interesse ou prazo mais longo).  </w:t>
      </w:r>
      <w:r w:rsidRPr="00CA2760">
        <w:rPr>
          <w:rFonts w:ascii="Times New Roman" w:hAnsi="Times New Roman" w:cs="Times New Roman"/>
          <w:sz w:val="24"/>
          <w:szCs w:val="24"/>
          <w:lang w:val="pt-BR"/>
        </w:rPr>
        <w:t xml:space="preserve">A </w:t>
      </w:r>
      <w:r w:rsidRPr="00A47D27">
        <w:rPr>
          <w:rFonts w:ascii="Times New Roman" w:hAnsi="Times New Roman" w:cs="Times New Roman"/>
          <w:sz w:val="24"/>
          <w:szCs w:val="24"/>
          <w:lang w:val="pt-BR"/>
        </w:rPr>
        <w:t xml:space="preserve">Tabela </w:t>
      </w:r>
      <w:r w:rsidR="005162AA">
        <w:rPr>
          <w:rFonts w:ascii="Times New Roman" w:hAnsi="Times New Roman" w:cs="Times New Roman"/>
          <w:sz w:val="24"/>
          <w:szCs w:val="24"/>
          <w:lang w:val="pt-BR"/>
        </w:rPr>
        <w:t>16</w:t>
      </w:r>
      <w:r w:rsidRPr="007451C3">
        <w:rPr>
          <w:rFonts w:ascii="Times New Roman" w:hAnsi="Times New Roman" w:cs="Times New Roman"/>
          <w:sz w:val="24"/>
          <w:szCs w:val="24"/>
          <w:lang w:val="pt-BR"/>
        </w:rPr>
        <w:t xml:space="preserve"> mostra</w:t>
      </w:r>
      <w:r w:rsidRPr="00CA2760">
        <w:rPr>
          <w:rFonts w:ascii="Times New Roman" w:hAnsi="Times New Roman" w:cs="Times New Roman"/>
          <w:sz w:val="24"/>
          <w:szCs w:val="24"/>
          <w:lang w:val="pt-BR"/>
        </w:rPr>
        <w:t xml:space="preserve"> a </w:t>
      </w:r>
      <w:r w:rsidR="007D7304">
        <w:rPr>
          <w:rFonts w:ascii="Times New Roman" w:hAnsi="Times New Roman" w:cs="Times New Roman"/>
          <w:sz w:val="24"/>
          <w:szCs w:val="24"/>
          <w:lang w:val="pt-BR"/>
        </w:rPr>
        <w:t>alternativa</w:t>
      </w:r>
      <w:r w:rsidRPr="00CA2760">
        <w:rPr>
          <w:rFonts w:ascii="Times New Roman" w:hAnsi="Times New Roman" w:cs="Times New Roman"/>
          <w:sz w:val="24"/>
          <w:szCs w:val="24"/>
          <w:lang w:val="pt-BR"/>
        </w:rPr>
        <w:t xml:space="preserve"> para desenvolver os parâmetros de uma matriz de financiamento desta natureza</w:t>
      </w:r>
      <w:r w:rsidR="003921DD">
        <w:rPr>
          <w:rFonts w:ascii="Times New Roman" w:hAnsi="Times New Roman" w:cs="Times New Roman"/>
          <w:sz w:val="24"/>
          <w:szCs w:val="24"/>
          <w:lang w:val="pt-BR"/>
        </w:rPr>
        <w:t xml:space="preserve"> </w:t>
      </w:r>
      <w:r w:rsidR="003921DD">
        <w:rPr>
          <w:rFonts w:ascii="Times New Roman" w:hAnsi="Times New Roman" w:cs="Times New Roman"/>
          <w:sz w:val="24"/>
          <w:szCs w:val="24"/>
          <w:lang w:val="pt-BR"/>
        </w:rPr>
        <w:lastRenderedPageBreak/>
        <w:t xml:space="preserve">utilizando os níveis </w:t>
      </w:r>
      <w:r w:rsidR="00A12A05">
        <w:rPr>
          <w:rFonts w:ascii="Times New Roman" w:hAnsi="Times New Roman" w:cs="Times New Roman"/>
          <w:sz w:val="24"/>
          <w:szCs w:val="24"/>
          <w:lang w:val="pt-BR"/>
        </w:rPr>
        <w:t xml:space="preserve">de </w:t>
      </w:r>
      <w:r w:rsidR="003921DD">
        <w:rPr>
          <w:rFonts w:ascii="Times New Roman" w:hAnsi="Times New Roman" w:cs="Times New Roman"/>
          <w:sz w:val="24"/>
          <w:szCs w:val="24"/>
          <w:lang w:val="pt-BR"/>
        </w:rPr>
        <w:t xml:space="preserve">risco </w:t>
      </w:r>
      <w:r w:rsidR="00A12A05">
        <w:rPr>
          <w:rFonts w:ascii="Times New Roman" w:hAnsi="Times New Roman" w:cs="Times New Roman"/>
          <w:sz w:val="24"/>
          <w:szCs w:val="24"/>
          <w:lang w:val="pt-BR"/>
        </w:rPr>
        <w:t xml:space="preserve">estabelecidos pelo </w:t>
      </w:r>
      <w:r w:rsidR="003921DD">
        <w:rPr>
          <w:rFonts w:ascii="Times New Roman" w:hAnsi="Times New Roman" w:cs="Times New Roman"/>
          <w:sz w:val="24"/>
          <w:szCs w:val="24"/>
          <w:lang w:val="pt-BR"/>
        </w:rPr>
        <w:t>Banco Central (</w:t>
      </w:r>
      <w:r w:rsidR="003921DD" w:rsidRPr="003921DD">
        <w:rPr>
          <w:rFonts w:ascii="Times New Roman" w:hAnsi="Times New Roman" w:cs="Times New Roman"/>
          <w:sz w:val="24"/>
          <w:szCs w:val="24"/>
          <w:lang w:val="pt-BR"/>
        </w:rPr>
        <w:t>Resolução nº 2.682)</w:t>
      </w:r>
      <w:r w:rsidRPr="00CA2760">
        <w:rPr>
          <w:rFonts w:ascii="Times New Roman" w:hAnsi="Times New Roman" w:cs="Times New Roman"/>
          <w:sz w:val="24"/>
          <w:szCs w:val="24"/>
          <w:lang w:val="pt-BR"/>
        </w:rPr>
        <w:t xml:space="preserve">.  </w:t>
      </w:r>
      <w:r w:rsidR="00A12A05">
        <w:rPr>
          <w:rFonts w:ascii="Times New Roman" w:hAnsi="Times New Roman" w:cs="Times New Roman"/>
          <w:sz w:val="24"/>
          <w:szCs w:val="24"/>
          <w:lang w:val="pt-BR"/>
        </w:rPr>
        <w:t>D</w:t>
      </w:r>
      <w:r w:rsidRPr="00CA2760">
        <w:rPr>
          <w:rFonts w:ascii="Times New Roman" w:hAnsi="Times New Roman" w:cs="Times New Roman"/>
          <w:sz w:val="24"/>
          <w:szCs w:val="24"/>
          <w:lang w:val="pt-BR"/>
        </w:rPr>
        <w:t>esta maneira, o projeto poderia oferecer incentivos importantes para a manutenção de disciplina fiscal nos municípios.</w:t>
      </w:r>
      <w:r w:rsidR="003921DD">
        <w:rPr>
          <w:rFonts w:ascii="Times New Roman" w:hAnsi="Times New Roman" w:cs="Times New Roman"/>
          <w:sz w:val="24"/>
          <w:szCs w:val="24"/>
          <w:lang w:val="pt-BR"/>
        </w:rPr>
        <w:t xml:space="preserve"> </w:t>
      </w:r>
    </w:p>
    <w:p w14:paraId="329A0150" w14:textId="70942AF0" w:rsidR="007F277B" w:rsidRPr="00CA2760" w:rsidRDefault="007F277B" w:rsidP="007F277B">
      <w:pPr>
        <w:spacing w:before="240" w:after="0" w:line="24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Tabela </w:t>
      </w:r>
      <w:r w:rsidR="005162AA">
        <w:rPr>
          <w:rFonts w:ascii="Times New Roman" w:hAnsi="Times New Roman" w:cs="Times New Roman"/>
          <w:sz w:val="24"/>
          <w:szCs w:val="24"/>
          <w:lang w:val="pt-BR"/>
        </w:rPr>
        <w:t>16</w:t>
      </w:r>
      <w:r w:rsidRPr="00CA2760">
        <w:rPr>
          <w:rFonts w:ascii="Times New Roman" w:hAnsi="Times New Roman" w:cs="Times New Roman"/>
          <w:sz w:val="24"/>
          <w:szCs w:val="24"/>
          <w:lang w:val="pt-BR"/>
        </w:rPr>
        <w:t xml:space="preserve">.  Uma Matriz de Financiamento Utilizando Avaliações das Agências </w:t>
      </w:r>
      <w:r w:rsidR="005162AA">
        <w:rPr>
          <w:rFonts w:ascii="Times New Roman" w:hAnsi="Times New Roman" w:cs="Times New Roman"/>
          <w:sz w:val="24"/>
          <w:szCs w:val="24"/>
          <w:lang w:val="pt-BR"/>
        </w:rPr>
        <w:t>Classificadoras</w:t>
      </w:r>
    </w:p>
    <w:tbl>
      <w:tblPr>
        <w:tblStyle w:val="TableGrid"/>
        <w:tblW w:w="0" w:type="auto"/>
        <w:tblInd w:w="108" w:type="dxa"/>
        <w:tblLook w:val="04A0" w:firstRow="1" w:lastRow="0" w:firstColumn="1" w:lastColumn="0" w:noHBand="0" w:noVBand="1"/>
      </w:tblPr>
      <w:tblGrid>
        <w:gridCol w:w="4460"/>
        <w:gridCol w:w="1439"/>
        <w:gridCol w:w="1439"/>
        <w:gridCol w:w="1439"/>
      </w:tblGrid>
      <w:tr w:rsidR="007F277B" w:rsidRPr="00CA2760" w14:paraId="7D62B67B" w14:textId="77777777" w:rsidTr="007F277B">
        <w:trPr>
          <w:trHeight w:val="340"/>
        </w:trPr>
        <w:tc>
          <w:tcPr>
            <w:tcW w:w="4460" w:type="dxa"/>
            <w:vAlign w:val="center"/>
          </w:tcPr>
          <w:p w14:paraId="59311D32" w14:textId="5223CE92" w:rsidR="007F277B" w:rsidRPr="00CA2760" w:rsidRDefault="003921DD" w:rsidP="007F277B">
            <w:pPr>
              <w:rPr>
                <w:rFonts w:ascii="Times New Roman" w:hAnsi="Times New Roman" w:cs="Times New Roman"/>
                <w:sz w:val="24"/>
                <w:szCs w:val="24"/>
                <w:lang w:val="pt-BR"/>
              </w:rPr>
            </w:pPr>
            <w:r>
              <w:rPr>
                <w:rFonts w:ascii="Times New Roman" w:hAnsi="Times New Roman" w:cs="Times New Roman"/>
                <w:b/>
                <w:sz w:val="24"/>
                <w:szCs w:val="24"/>
                <w:lang w:val="pt-BR"/>
              </w:rPr>
              <w:t>Níveis de risco</w:t>
            </w:r>
          </w:p>
        </w:tc>
        <w:tc>
          <w:tcPr>
            <w:tcW w:w="1439" w:type="dxa"/>
            <w:vAlign w:val="center"/>
          </w:tcPr>
          <w:p w14:paraId="4C39FDC6" w14:textId="77777777" w:rsidR="007F277B" w:rsidRPr="00CA2760" w:rsidRDefault="007F277B" w:rsidP="007F277B">
            <w:pPr>
              <w:jc w:val="center"/>
              <w:rPr>
                <w:rFonts w:ascii="Times New Roman" w:hAnsi="Times New Roman" w:cs="Times New Roman"/>
                <w:sz w:val="24"/>
                <w:szCs w:val="24"/>
                <w:lang w:val="pt-BR"/>
              </w:rPr>
            </w:pPr>
            <w:r w:rsidRPr="00CA2760">
              <w:rPr>
                <w:rFonts w:ascii="Times New Roman" w:hAnsi="Times New Roman" w:cs="Times New Roman"/>
                <w:sz w:val="24"/>
                <w:szCs w:val="24"/>
                <w:lang w:val="pt-BR"/>
              </w:rPr>
              <w:t>Juros</w:t>
            </w:r>
          </w:p>
        </w:tc>
        <w:tc>
          <w:tcPr>
            <w:tcW w:w="1439" w:type="dxa"/>
            <w:vAlign w:val="center"/>
          </w:tcPr>
          <w:p w14:paraId="67C9835F" w14:textId="77777777" w:rsidR="007F277B" w:rsidRPr="00CA2760" w:rsidRDefault="007F277B" w:rsidP="007F277B">
            <w:pPr>
              <w:jc w:val="center"/>
              <w:rPr>
                <w:rFonts w:ascii="Times New Roman" w:hAnsi="Times New Roman" w:cs="Times New Roman"/>
                <w:sz w:val="24"/>
                <w:szCs w:val="24"/>
                <w:lang w:val="pt-BR"/>
              </w:rPr>
            </w:pPr>
            <w:r w:rsidRPr="00CA2760">
              <w:rPr>
                <w:rFonts w:ascii="Times New Roman" w:hAnsi="Times New Roman" w:cs="Times New Roman"/>
                <w:sz w:val="24"/>
                <w:szCs w:val="24"/>
                <w:lang w:val="pt-BR"/>
              </w:rPr>
              <w:t>Prazo</w:t>
            </w:r>
          </w:p>
        </w:tc>
        <w:tc>
          <w:tcPr>
            <w:tcW w:w="1439" w:type="dxa"/>
            <w:vAlign w:val="center"/>
          </w:tcPr>
          <w:p w14:paraId="38C1C9AD" w14:textId="77777777" w:rsidR="007F277B" w:rsidRPr="00CA2760" w:rsidRDefault="007F277B" w:rsidP="007F277B">
            <w:pPr>
              <w:jc w:val="center"/>
              <w:rPr>
                <w:rFonts w:ascii="Times New Roman" w:hAnsi="Times New Roman" w:cs="Times New Roman"/>
                <w:sz w:val="24"/>
                <w:szCs w:val="24"/>
                <w:lang w:val="pt-BR"/>
              </w:rPr>
            </w:pPr>
            <w:r w:rsidRPr="00CA2760">
              <w:rPr>
                <w:rFonts w:ascii="Times New Roman" w:hAnsi="Times New Roman" w:cs="Times New Roman"/>
                <w:sz w:val="24"/>
                <w:szCs w:val="24"/>
                <w:lang w:val="pt-BR"/>
              </w:rPr>
              <w:t>% financiado</w:t>
            </w:r>
          </w:p>
        </w:tc>
      </w:tr>
      <w:tr w:rsidR="007F277B" w:rsidRPr="00CA2760" w14:paraId="1B4820B3" w14:textId="77777777" w:rsidTr="007F277B">
        <w:trPr>
          <w:trHeight w:val="340"/>
        </w:trPr>
        <w:tc>
          <w:tcPr>
            <w:tcW w:w="4460" w:type="dxa"/>
            <w:vAlign w:val="center"/>
          </w:tcPr>
          <w:p w14:paraId="4EFF7535" w14:textId="3CC20C38" w:rsidR="007F277B" w:rsidRPr="00CA2760" w:rsidRDefault="007F277B" w:rsidP="007F277B">
            <w:pPr>
              <w:rPr>
                <w:rFonts w:ascii="Times New Roman" w:hAnsi="Times New Roman" w:cs="Times New Roman"/>
                <w:sz w:val="24"/>
                <w:szCs w:val="24"/>
                <w:lang w:val="pt-BR"/>
              </w:rPr>
            </w:pPr>
            <w:r w:rsidRPr="00CA2760">
              <w:rPr>
                <w:rFonts w:ascii="Times New Roman" w:hAnsi="Times New Roman" w:cs="Times New Roman"/>
                <w:sz w:val="24"/>
                <w:szCs w:val="24"/>
                <w:lang w:val="pt-BR"/>
              </w:rPr>
              <w:t>A</w:t>
            </w:r>
          </w:p>
        </w:tc>
        <w:tc>
          <w:tcPr>
            <w:tcW w:w="1439" w:type="dxa"/>
            <w:vAlign w:val="center"/>
          </w:tcPr>
          <w:p w14:paraId="39405B14" w14:textId="77777777" w:rsidR="007F277B" w:rsidRPr="00CA2760" w:rsidRDefault="007F277B" w:rsidP="007F277B">
            <w:pPr>
              <w:jc w:val="center"/>
              <w:rPr>
                <w:rFonts w:ascii="Times New Roman" w:hAnsi="Times New Roman" w:cs="Times New Roman"/>
                <w:sz w:val="24"/>
                <w:szCs w:val="24"/>
                <w:lang w:val="pt-BR"/>
              </w:rPr>
            </w:pPr>
          </w:p>
        </w:tc>
        <w:tc>
          <w:tcPr>
            <w:tcW w:w="1439" w:type="dxa"/>
          </w:tcPr>
          <w:p w14:paraId="74F2EC86" w14:textId="77777777" w:rsidR="007F277B" w:rsidRPr="00CA2760" w:rsidRDefault="007F277B" w:rsidP="007F277B">
            <w:pPr>
              <w:jc w:val="center"/>
              <w:rPr>
                <w:rFonts w:ascii="Times New Roman" w:hAnsi="Times New Roman" w:cs="Times New Roman"/>
                <w:sz w:val="24"/>
                <w:szCs w:val="24"/>
                <w:lang w:val="pt-BR"/>
              </w:rPr>
            </w:pPr>
          </w:p>
        </w:tc>
        <w:tc>
          <w:tcPr>
            <w:tcW w:w="1439" w:type="dxa"/>
          </w:tcPr>
          <w:p w14:paraId="2668BDDA" w14:textId="77777777" w:rsidR="007F277B" w:rsidRPr="00CA2760" w:rsidRDefault="007F277B" w:rsidP="007F277B">
            <w:pPr>
              <w:jc w:val="center"/>
              <w:rPr>
                <w:rFonts w:ascii="Times New Roman" w:hAnsi="Times New Roman" w:cs="Times New Roman"/>
                <w:sz w:val="24"/>
                <w:szCs w:val="24"/>
                <w:lang w:val="pt-BR"/>
              </w:rPr>
            </w:pPr>
          </w:p>
        </w:tc>
      </w:tr>
      <w:tr w:rsidR="007F277B" w:rsidRPr="00CA2760" w14:paraId="5D00A9FD" w14:textId="77777777" w:rsidTr="007F277B">
        <w:trPr>
          <w:trHeight w:val="340"/>
        </w:trPr>
        <w:tc>
          <w:tcPr>
            <w:tcW w:w="4460" w:type="dxa"/>
            <w:vAlign w:val="center"/>
          </w:tcPr>
          <w:p w14:paraId="391B37F6" w14:textId="00DB556B" w:rsidR="007F277B" w:rsidRPr="00CA2760" w:rsidRDefault="003C2B7A" w:rsidP="007F277B">
            <w:pPr>
              <w:rPr>
                <w:rFonts w:ascii="Times New Roman" w:hAnsi="Times New Roman" w:cs="Times New Roman"/>
                <w:sz w:val="24"/>
                <w:szCs w:val="24"/>
                <w:lang w:val="pt-BR"/>
              </w:rPr>
            </w:pPr>
            <w:r>
              <w:rPr>
                <w:rFonts w:ascii="Times New Roman" w:hAnsi="Times New Roman" w:cs="Times New Roman"/>
                <w:sz w:val="24"/>
                <w:szCs w:val="24"/>
                <w:lang w:val="pt-BR"/>
              </w:rPr>
              <w:t>B</w:t>
            </w:r>
            <w:r w:rsidR="007F277B" w:rsidRPr="00CA2760">
              <w:rPr>
                <w:rFonts w:ascii="Times New Roman" w:hAnsi="Times New Roman" w:cs="Times New Roman"/>
                <w:sz w:val="24"/>
                <w:szCs w:val="24"/>
                <w:lang w:val="pt-BR"/>
              </w:rPr>
              <w:t xml:space="preserve"> </w:t>
            </w:r>
          </w:p>
        </w:tc>
        <w:tc>
          <w:tcPr>
            <w:tcW w:w="1439" w:type="dxa"/>
            <w:vAlign w:val="center"/>
          </w:tcPr>
          <w:p w14:paraId="643EB666" w14:textId="77777777" w:rsidR="007F277B" w:rsidRPr="00CA2760" w:rsidRDefault="007F277B" w:rsidP="007F277B">
            <w:pPr>
              <w:jc w:val="center"/>
              <w:rPr>
                <w:rFonts w:ascii="Times New Roman" w:hAnsi="Times New Roman" w:cs="Times New Roman"/>
                <w:sz w:val="24"/>
                <w:szCs w:val="24"/>
                <w:lang w:val="pt-BR"/>
              </w:rPr>
            </w:pPr>
          </w:p>
        </w:tc>
        <w:tc>
          <w:tcPr>
            <w:tcW w:w="1439" w:type="dxa"/>
          </w:tcPr>
          <w:p w14:paraId="54E865AF" w14:textId="77777777" w:rsidR="007F277B" w:rsidRPr="00CA2760" w:rsidRDefault="007F277B" w:rsidP="007F277B">
            <w:pPr>
              <w:jc w:val="center"/>
              <w:rPr>
                <w:rFonts w:ascii="Times New Roman" w:hAnsi="Times New Roman" w:cs="Times New Roman"/>
                <w:sz w:val="24"/>
                <w:szCs w:val="24"/>
                <w:lang w:val="pt-BR"/>
              </w:rPr>
            </w:pPr>
          </w:p>
        </w:tc>
        <w:tc>
          <w:tcPr>
            <w:tcW w:w="1439" w:type="dxa"/>
          </w:tcPr>
          <w:p w14:paraId="7291C35D" w14:textId="77777777" w:rsidR="007F277B" w:rsidRPr="00CA2760" w:rsidRDefault="007F277B" w:rsidP="007F277B">
            <w:pPr>
              <w:jc w:val="center"/>
              <w:rPr>
                <w:rFonts w:ascii="Times New Roman" w:hAnsi="Times New Roman" w:cs="Times New Roman"/>
                <w:sz w:val="24"/>
                <w:szCs w:val="24"/>
                <w:lang w:val="pt-BR"/>
              </w:rPr>
            </w:pPr>
          </w:p>
        </w:tc>
      </w:tr>
      <w:tr w:rsidR="007F277B" w:rsidRPr="00CA2760" w14:paraId="7021A837" w14:textId="77777777" w:rsidTr="007F277B">
        <w:trPr>
          <w:trHeight w:val="340"/>
        </w:trPr>
        <w:tc>
          <w:tcPr>
            <w:tcW w:w="4460" w:type="dxa"/>
            <w:vAlign w:val="center"/>
          </w:tcPr>
          <w:p w14:paraId="7D863BA1" w14:textId="1A13039C" w:rsidR="007F277B" w:rsidRPr="00CA2760" w:rsidRDefault="003921DD" w:rsidP="007F277B">
            <w:pPr>
              <w:rPr>
                <w:rFonts w:ascii="Times New Roman" w:hAnsi="Times New Roman" w:cs="Times New Roman"/>
                <w:sz w:val="24"/>
                <w:szCs w:val="24"/>
                <w:lang w:val="pt-BR"/>
              </w:rPr>
            </w:pPr>
            <w:r>
              <w:rPr>
                <w:rFonts w:ascii="Times New Roman" w:hAnsi="Times New Roman" w:cs="Times New Roman"/>
                <w:sz w:val="24"/>
                <w:szCs w:val="24"/>
                <w:lang w:val="pt-BR"/>
              </w:rPr>
              <w:t>C</w:t>
            </w:r>
            <w:r w:rsidR="007F277B" w:rsidRPr="00CA2760">
              <w:rPr>
                <w:rFonts w:ascii="Times New Roman" w:hAnsi="Times New Roman" w:cs="Times New Roman"/>
                <w:sz w:val="24"/>
                <w:szCs w:val="24"/>
                <w:lang w:val="pt-BR"/>
              </w:rPr>
              <w:t xml:space="preserve"> </w:t>
            </w:r>
          </w:p>
        </w:tc>
        <w:tc>
          <w:tcPr>
            <w:tcW w:w="1439" w:type="dxa"/>
            <w:vAlign w:val="center"/>
          </w:tcPr>
          <w:p w14:paraId="21AA7ED5" w14:textId="77777777" w:rsidR="007F277B" w:rsidRPr="00CA2760" w:rsidRDefault="007F277B" w:rsidP="007F277B">
            <w:pPr>
              <w:jc w:val="center"/>
              <w:rPr>
                <w:rFonts w:ascii="Times New Roman" w:hAnsi="Times New Roman" w:cs="Times New Roman"/>
                <w:sz w:val="24"/>
                <w:szCs w:val="24"/>
                <w:lang w:val="pt-BR"/>
              </w:rPr>
            </w:pPr>
          </w:p>
        </w:tc>
        <w:tc>
          <w:tcPr>
            <w:tcW w:w="1439" w:type="dxa"/>
          </w:tcPr>
          <w:p w14:paraId="24D08839" w14:textId="77777777" w:rsidR="007F277B" w:rsidRPr="00CA2760" w:rsidRDefault="007F277B" w:rsidP="007F277B">
            <w:pPr>
              <w:jc w:val="center"/>
              <w:rPr>
                <w:rFonts w:ascii="Times New Roman" w:hAnsi="Times New Roman" w:cs="Times New Roman"/>
                <w:sz w:val="24"/>
                <w:szCs w:val="24"/>
                <w:lang w:val="pt-BR"/>
              </w:rPr>
            </w:pPr>
          </w:p>
        </w:tc>
        <w:tc>
          <w:tcPr>
            <w:tcW w:w="1439" w:type="dxa"/>
          </w:tcPr>
          <w:p w14:paraId="6F06BA30" w14:textId="77777777" w:rsidR="007F277B" w:rsidRPr="00CA2760" w:rsidRDefault="007F277B" w:rsidP="007F277B">
            <w:pPr>
              <w:jc w:val="center"/>
              <w:rPr>
                <w:rFonts w:ascii="Times New Roman" w:hAnsi="Times New Roman" w:cs="Times New Roman"/>
                <w:sz w:val="24"/>
                <w:szCs w:val="24"/>
                <w:lang w:val="pt-BR"/>
              </w:rPr>
            </w:pPr>
          </w:p>
        </w:tc>
      </w:tr>
      <w:tr w:rsidR="007F277B" w:rsidRPr="00CA2760" w14:paraId="1D7C03A6" w14:textId="77777777" w:rsidTr="007F277B">
        <w:trPr>
          <w:trHeight w:val="340"/>
        </w:trPr>
        <w:tc>
          <w:tcPr>
            <w:tcW w:w="4460" w:type="dxa"/>
            <w:vAlign w:val="center"/>
          </w:tcPr>
          <w:p w14:paraId="563F2BA8" w14:textId="15004023" w:rsidR="007F277B" w:rsidRPr="00CA2760" w:rsidRDefault="003921DD" w:rsidP="007F277B">
            <w:pPr>
              <w:rPr>
                <w:rFonts w:ascii="Times New Roman" w:hAnsi="Times New Roman" w:cs="Times New Roman"/>
                <w:sz w:val="24"/>
                <w:szCs w:val="24"/>
                <w:lang w:val="pt-BR"/>
              </w:rPr>
            </w:pPr>
            <w:r>
              <w:rPr>
                <w:rFonts w:ascii="Times New Roman" w:hAnsi="Times New Roman" w:cs="Times New Roman"/>
                <w:sz w:val="24"/>
                <w:szCs w:val="24"/>
                <w:lang w:val="pt-BR"/>
              </w:rPr>
              <w:t>D</w:t>
            </w:r>
          </w:p>
        </w:tc>
        <w:tc>
          <w:tcPr>
            <w:tcW w:w="1439" w:type="dxa"/>
            <w:vAlign w:val="center"/>
          </w:tcPr>
          <w:p w14:paraId="507AB89A" w14:textId="77777777" w:rsidR="007F277B" w:rsidRPr="00CA2760" w:rsidRDefault="007F277B" w:rsidP="007F277B">
            <w:pPr>
              <w:jc w:val="center"/>
              <w:rPr>
                <w:rFonts w:ascii="Times New Roman" w:hAnsi="Times New Roman" w:cs="Times New Roman"/>
                <w:sz w:val="24"/>
                <w:szCs w:val="24"/>
                <w:lang w:val="pt-BR"/>
              </w:rPr>
            </w:pPr>
          </w:p>
        </w:tc>
        <w:tc>
          <w:tcPr>
            <w:tcW w:w="1439" w:type="dxa"/>
          </w:tcPr>
          <w:p w14:paraId="0F08CD5B" w14:textId="77777777" w:rsidR="007F277B" w:rsidRPr="00CA2760" w:rsidRDefault="007F277B" w:rsidP="007F277B">
            <w:pPr>
              <w:jc w:val="center"/>
              <w:rPr>
                <w:rFonts w:ascii="Times New Roman" w:hAnsi="Times New Roman" w:cs="Times New Roman"/>
                <w:sz w:val="24"/>
                <w:szCs w:val="24"/>
                <w:lang w:val="pt-BR"/>
              </w:rPr>
            </w:pPr>
          </w:p>
        </w:tc>
        <w:tc>
          <w:tcPr>
            <w:tcW w:w="1439" w:type="dxa"/>
          </w:tcPr>
          <w:p w14:paraId="5FBAD4A1" w14:textId="77777777" w:rsidR="007F277B" w:rsidRPr="00CA2760" w:rsidRDefault="007F277B" w:rsidP="007F277B">
            <w:pPr>
              <w:jc w:val="center"/>
              <w:rPr>
                <w:rFonts w:ascii="Times New Roman" w:hAnsi="Times New Roman" w:cs="Times New Roman"/>
                <w:sz w:val="24"/>
                <w:szCs w:val="24"/>
                <w:lang w:val="pt-BR"/>
              </w:rPr>
            </w:pPr>
          </w:p>
        </w:tc>
      </w:tr>
      <w:tr w:rsidR="007F277B" w:rsidRPr="00CA2760" w14:paraId="7D60B297" w14:textId="77777777" w:rsidTr="007F277B">
        <w:trPr>
          <w:trHeight w:val="340"/>
        </w:trPr>
        <w:tc>
          <w:tcPr>
            <w:tcW w:w="4460" w:type="dxa"/>
            <w:vAlign w:val="center"/>
          </w:tcPr>
          <w:p w14:paraId="39A4C502" w14:textId="77777777" w:rsidR="007F277B" w:rsidRPr="00CA2760" w:rsidRDefault="007F277B" w:rsidP="007F277B">
            <w:pPr>
              <w:rPr>
                <w:rFonts w:ascii="Times New Roman" w:hAnsi="Times New Roman" w:cs="Times New Roman"/>
                <w:sz w:val="24"/>
                <w:szCs w:val="24"/>
                <w:lang w:val="pt-BR"/>
              </w:rPr>
            </w:pPr>
            <w:r w:rsidRPr="00CA2760">
              <w:rPr>
                <w:rFonts w:ascii="Times New Roman" w:hAnsi="Times New Roman" w:cs="Times New Roman"/>
                <w:sz w:val="24"/>
                <w:szCs w:val="24"/>
                <w:lang w:val="pt-BR"/>
              </w:rPr>
              <w:t>Etc.</w:t>
            </w:r>
          </w:p>
        </w:tc>
        <w:tc>
          <w:tcPr>
            <w:tcW w:w="1439" w:type="dxa"/>
            <w:vAlign w:val="center"/>
          </w:tcPr>
          <w:p w14:paraId="01269F11" w14:textId="77777777" w:rsidR="007F277B" w:rsidRPr="00CA2760" w:rsidRDefault="007F277B" w:rsidP="007F277B">
            <w:pPr>
              <w:jc w:val="center"/>
              <w:rPr>
                <w:rFonts w:ascii="Times New Roman" w:hAnsi="Times New Roman" w:cs="Times New Roman"/>
                <w:sz w:val="24"/>
                <w:szCs w:val="24"/>
                <w:lang w:val="pt-BR"/>
              </w:rPr>
            </w:pPr>
          </w:p>
        </w:tc>
        <w:tc>
          <w:tcPr>
            <w:tcW w:w="1439" w:type="dxa"/>
          </w:tcPr>
          <w:p w14:paraId="41B111A3" w14:textId="77777777" w:rsidR="007F277B" w:rsidRPr="00CA2760" w:rsidRDefault="007F277B" w:rsidP="007F277B">
            <w:pPr>
              <w:jc w:val="center"/>
              <w:rPr>
                <w:rFonts w:ascii="Times New Roman" w:hAnsi="Times New Roman" w:cs="Times New Roman"/>
                <w:sz w:val="24"/>
                <w:szCs w:val="24"/>
                <w:lang w:val="pt-BR"/>
              </w:rPr>
            </w:pPr>
          </w:p>
        </w:tc>
        <w:tc>
          <w:tcPr>
            <w:tcW w:w="1439" w:type="dxa"/>
          </w:tcPr>
          <w:p w14:paraId="40FE787A" w14:textId="77777777" w:rsidR="007F277B" w:rsidRPr="00CA2760" w:rsidRDefault="007F277B" w:rsidP="007F277B">
            <w:pPr>
              <w:jc w:val="center"/>
              <w:rPr>
                <w:rFonts w:ascii="Times New Roman" w:hAnsi="Times New Roman" w:cs="Times New Roman"/>
                <w:sz w:val="24"/>
                <w:szCs w:val="24"/>
                <w:lang w:val="pt-BR"/>
              </w:rPr>
            </w:pPr>
          </w:p>
        </w:tc>
      </w:tr>
    </w:tbl>
    <w:p w14:paraId="01B035A2" w14:textId="79B22F23" w:rsidR="007F277B" w:rsidRPr="00CA2760" w:rsidRDefault="007F277B" w:rsidP="007F277B">
      <w:pPr>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Fonte:  </w:t>
      </w:r>
      <w:r w:rsidR="003921DD">
        <w:rPr>
          <w:rFonts w:ascii="Times New Roman" w:hAnsi="Times New Roman" w:cs="Times New Roman"/>
          <w:sz w:val="24"/>
          <w:szCs w:val="24"/>
          <w:lang w:val="pt-BR"/>
        </w:rPr>
        <w:t>Banco Central (</w:t>
      </w:r>
      <w:r w:rsidR="003921DD" w:rsidRPr="003921DD">
        <w:rPr>
          <w:rFonts w:ascii="Times New Roman" w:hAnsi="Times New Roman" w:cs="Times New Roman"/>
          <w:sz w:val="24"/>
          <w:szCs w:val="24"/>
          <w:lang w:val="pt-BR"/>
        </w:rPr>
        <w:t>Resolução nº 2.682)</w:t>
      </w:r>
      <w:r w:rsidR="003921DD" w:rsidRPr="00CA2760">
        <w:rPr>
          <w:rFonts w:ascii="Times New Roman" w:hAnsi="Times New Roman" w:cs="Times New Roman"/>
          <w:sz w:val="24"/>
          <w:szCs w:val="24"/>
          <w:lang w:val="pt-BR"/>
        </w:rPr>
        <w:t>.</w:t>
      </w:r>
    </w:p>
    <w:p w14:paraId="5F8E97D6" w14:textId="77777777" w:rsidR="007C711E" w:rsidRDefault="007F277B" w:rsidP="009E6880">
      <w:pPr>
        <w:spacing w:before="240" w:after="0" w:line="360" w:lineRule="auto"/>
        <w:jc w:val="center"/>
        <w:rPr>
          <w:rFonts w:ascii="Times New Roman" w:hAnsi="Times New Roman" w:cs="Times New Roman"/>
          <w:b/>
          <w:sz w:val="24"/>
          <w:szCs w:val="24"/>
          <w:lang w:val="pt-BR"/>
        </w:rPr>
      </w:pPr>
      <w:r w:rsidRPr="00CA2760">
        <w:rPr>
          <w:rFonts w:ascii="Times New Roman" w:hAnsi="Times New Roman" w:cs="Times New Roman"/>
          <w:b/>
          <w:sz w:val="24"/>
          <w:szCs w:val="24"/>
          <w:lang w:val="pt-BR"/>
        </w:rPr>
        <w:t xml:space="preserve">Incentivos para </w:t>
      </w:r>
      <w:r w:rsidR="00A12A05">
        <w:rPr>
          <w:rFonts w:ascii="Times New Roman" w:hAnsi="Times New Roman" w:cs="Times New Roman"/>
          <w:b/>
          <w:sz w:val="24"/>
          <w:szCs w:val="24"/>
          <w:lang w:val="pt-BR"/>
        </w:rPr>
        <w:t xml:space="preserve">utilização de </w:t>
      </w:r>
      <w:r w:rsidRPr="00CA2760">
        <w:rPr>
          <w:rFonts w:ascii="Times New Roman" w:hAnsi="Times New Roman" w:cs="Times New Roman"/>
          <w:b/>
          <w:sz w:val="24"/>
          <w:szCs w:val="24"/>
          <w:lang w:val="pt-BR"/>
        </w:rPr>
        <w:t xml:space="preserve">um processo de planejamento </w:t>
      </w:r>
    </w:p>
    <w:p w14:paraId="1BE201AD" w14:textId="5B657D8E" w:rsidR="0005602F" w:rsidRDefault="007F277B" w:rsidP="009E6880">
      <w:pPr>
        <w:spacing w:line="360" w:lineRule="auto"/>
        <w:jc w:val="center"/>
        <w:rPr>
          <w:rFonts w:ascii="Times New Roman" w:hAnsi="Times New Roman" w:cs="Times New Roman"/>
          <w:b/>
          <w:sz w:val="24"/>
          <w:szCs w:val="24"/>
          <w:lang w:val="pt-BR"/>
        </w:rPr>
      </w:pPr>
      <w:r w:rsidRPr="00CA2760">
        <w:rPr>
          <w:rFonts w:ascii="Times New Roman" w:hAnsi="Times New Roman" w:cs="Times New Roman"/>
          <w:b/>
          <w:sz w:val="24"/>
          <w:szCs w:val="24"/>
          <w:lang w:val="pt-BR"/>
        </w:rPr>
        <w:t xml:space="preserve">mais integrado </w:t>
      </w:r>
      <w:r w:rsidR="00A12A05">
        <w:rPr>
          <w:rFonts w:ascii="Times New Roman" w:hAnsi="Times New Roman" w:cs="Times New Roman"/>
          <w:b/>
          <w:sz w:val="24"/>
          <w:szCs w:val="24"/>
          <w:lang w:val="pt-BR"/>
        </w:rPr>
        <w:t>aos</w:t>
      </w:r>
      <w:r w:rsidR="00A12A05" w:rsidRPr="00CA2760">
        <w:rPr>
          <w:rFonts w:ascii="Times New Roman" w:hAnsi="Times New Roman" w:cs="Times New Roman"/>
          <w:b/>
          <w:sz w:val="24"/>
          <w:szCs w:val="24"/>
          <w:lang w:val="pt-BR"/>
        </w:rPr>
        <w:t xml:space="preserve"> </w:t>
      </w:r>
      <w:r w:rsidRPr="00CA2760">
        <w:rPr>
          <w:rFonts w:ascii="Times New Roman" w:hAnsi="Times New Roman" w:cs="Times New Roman"/>
          <w:b/>
          <w:sz w:val="24"/>
          <w:szCs w:val="24"/>
          <w:lang w:val="pt-BR"/>
        </w:rPr>
        <w:t>projetos de infraestrutura</w:t>
      </w:r>
    </w:p>
    <w:p w14:paraId="693321CB" w14:textId="59F8A262" w:rsidR="007F277B" w:rsidRPr="00CA2760" w:rsidRDefault="003C5F83" w:rsidP="003C5F83">
      <w:pPr>
        <w:spacing w:before="240" w:after="240" w:line="360" w:lineRule="auto"/>
        <w:rPr>
          <w:rFonts w:ascii="Times New Roman" w:hAnsi="Times New Roman" w:cs="Times New Roman"/>
          <w:sz w:val="24"/>
          <w:szCs w:val="24"/>
          <w:lang w:val="pt-BR"/>
        </w:rPr>
      </w:pPr>
      <w:r>
        <w:rPr>
          <w:rFonts w:ascii="Times New Roman" w:hAnsi="Times New Roman" w:cs="Times New Roman"/>
          <w:sz w:val="24"/>
          <w:szCs w:val="24"/>
          <w:lang w:val="pt-BR"/>
        </w:rPr>
        <w:t>M</w:t>
      </w:r>
      <w:r w:rsidRPr="001E44A2">
        <w:rPr>
          <w:rFonts w:ascii="Times New Roman" w:hAnsi="Times New Roman" w:cs="Times New Roman"/>
          <w:sz w:val="24"/>
          <w:szCs w:val="24"/>
          <w:lang w:val="pt-BR"/>
        </w:rPr>
        <w:t>uitos especialistas defendem</w:t>
      </w:r>
      <w:r>
        <w:rPr>
          <w:rFonts w:ascii="Times New Roman" w:hAnsi="Times New Roman" w:cs="Times New Roman"/>
          <w:sz w:val="24"/>
          <w:szCs w:val="24"/>
          <w:lang w:val="pt-BR"/>
        </w:rPr>
        <w:t xml:space="preserve"> </w:t>
      </w:r>
      <w:r w:rsidRPr="001E44A2">
        <w:rPr>
          <w:rFonts w:ascii="Times New Roman" w:hAnsi="Times New Roman" w:cs="Times New Roman"/>
          <w:sz w:val="24"/>
          <w:szCs w:val="24"/>
          <w:lang w:val="pt-BR"/>
        </w:rPr>
        <w:t>um planejamento de investimento</w:t>
      </w:r>
      <w:r>
        <w:rPr>
          <w:rFonts w:ascii="Times New Roman" w:hAnsi="Times New Roman" w:cs="Times New Roman"/>
          <w:sz w:val="24"/>
          <w:szCs w:val="24"/>
          <w:lang w:val="pt-BR"/>
        </w:rPr>
        <w:t xml:space="preserve"> </w:t>
      </w:r>
      <w:r w:rsidRPr="001E44A2">
        <w:rPr>
          <w:rFonts w:ascii="Times New Roman" w:hAnsi="Times New Roman" w:cs="Times New Roman"/>
          <w:sz w:val="24"/>
          <w:szCs w:val="24"/>
          <w:lang w:val="pt-BR"/>
        </w:rPr>
        <w:t xml:space="preserve">municipal mais sistemático e integrado, incluindo </w:t>
      </w:r>
      <w:r>
        <w:rPr>
          <w:rFonts w:ascii="Times New Roman" w:hAnsi="Times New Roman" w:cs="Times New Roman"/>
          <w:sz w:val="24"/>
          <w:szCs w:val="24"/>
          <w:lang w:val="pt-BR"/>
        </w:rPr>
        <w:t xml:space="preserve">Garson (2009), </w:t>
      </w:r>
      <w:r w:rsidRPr="001E44A2">
        <w:rPr>
          <w:rFonts w:ascii="Times New Roman" w:hAnsi="Times New Roman" w:cs="Times New Roman"/>
          <w:sz w:val="24"/>
          <w:szCs w:val="24"/>
          <w:lang w:val="pt-BR"/>
        </w:rPr>
        <w:t>Vogt (2007)</w:t>
      </w:r>
      <w:r>
        <w:rPr>
          <w:rFonts w:ascii="Times New Roman" w:hAnsi="Times New Roman" w:cs="Times New Roman"/>
          <w:sz w:val="24"/>
          <w:szCs w:val="24"/>
          <w:lang w:val="pt-BR"/>
        </w:rPr>
        <w:t>, Elmer (2005)</w:t>
      </w:r>
      <w:r w:rsidRPr="001E44A2">
        <w:rPr>
          <w:rFonts w:ascii="Times New Roman" w:hAnsi="Times New Roman" w:cs="Times New Roman"/>
          <w:sz w:val="24"/>
          <w:szCs w:val="24"/>
          <w:lang w:val="pt-BR"/>
        </w:rPr>
        <w:t xml:space="preserve"> e Kitchen (2004).  </w:t>
      </w:r>
      <w:r>
        <w:rPr>
          <w:rFonts w:ascii="Times New Roman" w:hAnsi="Times New Roman" w:cs="Times New Roman"/>
          <w:sz w:val="24"/>
          <w:szCs w:val="24"/>
          <w:lang w:val="pt-BR"/>
        </w:rPr>
        <w:t xml:space="preserve">Uma </w:t>
      </w:r>
      <w:r w:rsidR="007F277B" w:rsidRPr="00CA2760">
        <w:rPr>
          <w:rFonts w:ascii="Times New Roman" w:hAnsi="Times New Roman" w:cs="Times New Roman"/>
          <w:sz w:val="24"/>
          <w:szCs w:val="24"/>
          <w:lang w:val="pt-BR"/>
        </w:rPr>
        <w:t xml:space="preserve">proposta </w:t>
      </w:r>
      <w:r>
        <w:rPr>
          <w:rFonts w:ascii="Times New Roman" w:hAnsi="Times New Roman" w:cs="Times New Roman"/>
          <w:sz w:val="24"/>
          <w:szCs w:val="24"/>
          <w:lang w:val="pt-BR"/>
        </w:rPr>
        <w:t>seria</w:t>
      </w:r>
      <w:r w:rsidR="007F277B" w:rsidRPr="00CA2760">
        <w:rPr>
          <w:rFonts w:ascii="Times New Roman" w:hAnsi="Times New Roman" w:cs="Times New Roman"/>
          <w:sz w:val="24"/>
          <w:szCs w:val="24"/>
          <w:lang w:val="pt-BR"/>
        </w:rPr>
        <w:t xml:space="preserve"> de incentivar </w:t>
      </w:r>
      <w:r w:rsidR="00E6754F">
        <w:rPr>
          <w:rFonts w:ascii="Times New Roman" w:hAnsi="Times New Roman" w:cs="Times New Roman"/>
          <w:sz w:val="24"/>
          <w:szCs w:val="24"/>
          <w:lang w:val="pt-BR"/>
        </w:rPr>
        <w:t>a utilização de um</w:t>
      </w:r>
      <w:r w:rsidR="00E6754F" w:rsidRPr="00CA2760">
        <w:rPr>
          <w:rFonts w:ascii="Times New Roman" w:hAnsi="Times New Roman" w:cs="Times New Roman"/>
          <w:sz w:val="24"/>
          <w:szCs w:val="24"/>
          <w:lang w:val="pt-BR"/>
        </w:rPr>
        <w:t xml:space="preserve"> </w:t>
      </w:r>
      <w:r w:rsidR="007F277B" w:rsidRPr="00CA2760">
        <w:rPr>
          <w:rFonts w:ascii="Times New Roman" w:hAnsi="Times New Roman" w:cs="Times New Roman"/>
          <w:sz w:val="24"/>
          <w:szCs w:val="24"/>
          <w:lang w:val="pt-BR"/>
        </w:rPr>
        <w:t xml:space="preserve">processo de planejamento mais integrado </w:t>
      </w:r>
      <w:r w:rsidR="00E6754F">
        <w:rPr>
          <w:rFonts w:ascii="Times New Roman" w:hAnsi="Times New Roman" w:cs="Times New Roman"/>
          <w:sz w:val="24"/>
          <w:szCs w:val="24"/>
          <w:lang w:val="pt-BR"/>
        </w:rPr>
        <w:t>aos</w:t>
      </w:r>
      <w:r w:rsidR="00E6754F" w:rsidRPr="00CA2760">
        <w:rPr>
          <w:rFonts w:ascii="Times New Roman" w:hAnsi="Times New Roman" w:cs="Times New Roman"/>
          <w:sz w:val="24"/>
          <w:szCs w:val="24"/>
          <w:lang w:val="pt-BR"/>
        </w:rPr>
        <w:t xml:space="preserve"> </w:t>
      </w:r>
      <w:r w:rsidR="007F277B" w:rsidRPr="00CA2760">
        <w:rPr>
          <w:rFonts w:ascii="Times New Roman" w:hAnsi="Times New Roman" w:cs="Times New Roman"/>
          <w:sz w:val="24"/>
          <w:szCs w:val="24"/>
          <w:lang w:val="pt-BR"/>
        </w:rPr>
        <w:t>projetos de infraestrutura nos municípios</w:t>
      </w:r>
      <w:r>
        <w:rPr>
          <w:rFonts w:ascii="Times New Roman" w:hAnsi="Times New Roman" w:cs="Times New Roman"/>
          <w:sz w:val="24"/>
          <w:szCs w:val="24"/>
          <w:lang w:val="pt-BR"/>
        </w:rPr>
        <w:t xml:space="preserve">, </w:t>
      </w:r>
      <w:r w:rsidR="00E6754F">
        <w:rPr>
          <w:rFonts w:ascii="Times New Roman" w:hAnsi="Times New Roman" w:cs="Times New Roman"/>
          <w:sz w:val="24"/>
          <w:szCs w:val="24"/>
          <w:lang w:val="pt-BR"/>
        </w:rPr>
        <w:t xml:space="preserve">gerando uma melhoria na eficiência destes investimentos, </w:t>
      </w:r>
      <w:r>
        <w:rPr>
          <w:rFonts w:ascii="Times New Roman" w:hAnsi="Times New Roman" w:cs="Times New Roman"/>
          <w:sz w:val="24"/>
          <w:szCs w:val="24"/>
          <w:lang w:val="pt-BR"/>
        </w:rPr>
        <w:t xml:space="preserve">especialmente </w:t>
      </w:r>
      <w:r w:rsidR="00E6754F">
        <w:rPr>
          <w:rFonts w:ascii="Times New Roman" w:hAnsi="Times New Roman" w:cs="Times New Roman"/>
          <w:sz w:val="24"/>
          <w:szCs w:val="24"/>
          <w:lang w:val="pt-BR"/>
        </w:rPr>
        <w:t xml:space="preserve">para </w:t>
      </w:r>
      <w:r>
        <w:rPr>
          <w:rFonts w:ascii="Times New Roman" w:hAnsi="Times New Roman" w:cs="Times New Roman"/>
          <w:sz w:val="24"/>
          <w:szCs w:val="24"/>
          <w:lang w:val="pt-BR"/>
        </w:rPr>
        <w:t>os</w:t>
      </w:r>
      <w:r w:rsidR="007F277B" w:rsidRPr="00CA2760">
        <w:rPr>
          <w:rFonts w:ascii="Times New Roman" w:hAnsi="Times New Roman" w:cs="Times New Roman"/>
          <w:sz w:val="24"/>
          <w:szCs w:val="24"/>
          <w:lang w:val="pt-BR"/>
        </w:rPr>
        <w:t xml:space="preserve"> </w:t>
      </w:r>
      <w:r w:rsidR="00E6754F">
        <w:rPr>
          <w:rFonts w:ascii="Times New Roman" w:hAnsi="Times New Roman" w:cs="Times New Roman"/>
          <w:sz w:val="24"/>
          <w:szCs w:val="24"/>
          <w:lang w:val="pt-BR"/>
        </w:rPr>
        <w:t xml:space="preserve">municípios </w:t>
      </w:r>
      <w:r w:rsidR="007F277B" w:rsidRPr="00CA2760">
        <w:rPr>
          <w:rFonts w:ascii="Times New Roman" w:hAnsi="Times New Roman" w:cs="Times New Roman"/>
          <w:sz w:val="24"/>
          <w:szCs w:val="24"/>
          <w:lang w:val="pt-BR"/>
        </w:rPr>
        <w:t>com mais de 50.000 habitantes</w:t>
      </w:r>
      <w:r w:rsidR="00A47D27">
        <w:rPr>
          <w:rFonts w:ascii="Times New Roman" w:hAnsi="Times New Roman" w:cs="Times New Roman"/>
          <w:sz w:val="24"/>
          <w:szCs w:val="24"/>
          <w:lang w:val="pt-BR"/>
        </w:rPr>
        <w:t>.</w:t>
      </w:r>
      <w:r w:rsidR="007F277B" w:rsidRPr="00CA2760">
        <w:rPr>
          <w:rFonts w:ascii="Times New Roman" w:hAnsi="Times New Roman" w:cs="Times New Roman"/>
          <w:sz w:val="24"/>
          <w:szCs w:val="24"/>
          <w:lang w:val="pt-BR"/>
        </w:rPr>
        <w:t xml:space="preserve"> </w:t>
      </w:r>
      <w:r w:rsidR="007F277B" w:rsidRPr="00CA2760">
        <w:rPr>
          <w:rFonts w:ascii="Times New Roman" w:hAnsi="Times New Roman" w:cs="Times New Roman"/>
          <w:i/>
          <w:sz w:val="24"/>
          <w:szCs w:val="24"/>
          <w:lang w:val="pt-BR"/>
        </w:rPr>
        <w:t>Capital budgeting</w:t>
      </w:r>
      <w:r w:rsidR="007F277B" w:rsidRPr="00CA2760">
        <w:rPr>
          <w:rFonts w:ascii="Times New Roman" w:hAnsi="Times New Roman" w:cs="Times New Roman"/>
          <w:sz w:val="24"/>
          <w:szCs w:val="24"/>
          <w:lang w:val="pt-BR"/>
        </w:rPr>
        <w:t xml:space="preserve"> (como utilizado em muitos municípios nos países desenvolvidos)</w:t>
      </w:r>
      <w:r w:rsidRPr="00CA2760">
        <w:rPr>
          <w:rFonts w:ascii="Times New Roman" w:hAnsi="Times New Roman" w:cs="Times New Roman"/>
          <w:sz w:val="24"/>
          <w:szCs w:val="24"/>
          <w:lang w:val="pt-BR"/>
        </w:rPr>
        <w:t xml:space="preserve"> </w:t>
      </w:r>
      <w:r w:rsidR="007F277B" w:rsidRPr="00CA2760">
        <w:rPr>
          <w:rFonts w:ascii="Times New Roman" w:hAnsi="Times New Roman" w:cs="Times New Roman"/>
          <w:sz w:val="24"/>
          <w:szCs w:val="24"/>
          <w:lang w:val="pt-BR"/>
        </w:rPr>
        <w:t xml:space="preserve">poderia ser </w:t>
      </w:r>
      <w:r w:rsidR="00E6754F">
        <w:rPr>
          <w:rFonts w:ascii="Times New Roman" w:hAnsi="Times New Roman" w:cs="Times New Roman"/>
          <w:sz w:val="24"/>
          <w:szCs w:val="24"/>
          <w:lang w:val="pt-BR"/>
        </w:rPr>
        <w:t>utilizado como modelo com esse intuito</w:t>
      </w:r>
      <w:r w:rsidR="007F277B" w:rsidRPr="00CA2760">
        <w:rPr>
          <w:rFonts w:ascii="Times New Roman" w:hAnsi="Times New Roman" w:cs="Times New Roman"/>
          <w:sz w:val="24"/>
          <w:szCs w:val="24"/>
          <w:lang w:val="pt-BR"/>
        </w:rPr>
        <w:t>.  O</w:t>
      </w:r>
      <w:r w:rsidR="007F277B" w:rsidRPr="00CA2760">
        <w:rPr>
          <w:rFonts w:ascii="Times New Roman" w:hAnsi="Times New Roman" w:cs="Times New Roman"/>
          <w:i/>
          <w:sz w:val="24"/>
          <w:szCs w:val="24"/>
          <w:lang w:val="pt-BR"/>
        </w:rPr>
        <w:t xml:space="preserve"> capital budget</w:t>
      </w:r>
      <w:r w:rsidR="00E6754F">
        <w:rPr>
          <w:rFonts w:ascii="Times New Roman" w:hAnsi="Times New Roman" w:cs="Times New Roman"/>
          <w:i/>
          <w:sz w:val="24"/>
          <w:szCs w:val="24"/>
          <w:lang w:val="pt-BR"/>
        </w:rPr>
        <w:t>ing</w:t>
      </w:r>
      <w:r w:rsidR="007F277B" w:rsidRPr="00CA2760">
        <w:rPr>
          <w:rFonts w:ascii="Times New Roman" w:hAnsi="Times New Roman" w:cs="Times New Roman"/>
          <w:sz w:val="24"/>
          <w:szCs w:val="24"/>
          <w:lang w:val="pt-BR"/>
        </w:rPr>
        <w:t xml:space="preserve"> (daqui por diante, Programa de Investimento Municipal) </w:t>
      </w:r>
      <w:r w:rsidR="007F277B" w:rsidRPr="00332E0B">
        <w:rPr>
          <w:rFonts w:ascii="Times New Roman" w:hAnsi="Times New Roman" w:cs="Times New Roman"/>
          <w:sz w:val="24"/>
          <w:szCs w:val="24"/>
          <w:lang w:val="pt-BR"/>
        </w:rPr>
        <w:t xml:space="preserve">transforma o </w:t>
      </w:r>
      <w:r w:rsidR="00E6754F" w:rsidRPr="00332E0B">
        <w:rPr>
          <w:rFonts w:ascii="Times New Roman" w:hAnsi="Times New Roman" w:cs="Times New Roman"/>
          <w:sz w:val="24"/>
          <w:szCs w:val="24"/>
          <w:lang w:val="pt-BR"/>
        </w:rPr>
        <w:t>P</w:t>
      </w:r>
      <w:r w:rsidR="007F277B" w:rsidRPr="00332E0B">
        <w:rPr>
          <w:rFonts w:ascii="Times New Roman" w:hAnsi="Times New Roman" w:cs="Times New Roman"/>
          <w:sz w:val="24"/>
          <w:szCs w:val="24"/>
          <w:lang w:val="pt-BR"/>
        </w:rPr>
        <w:t xml:space="preserve">lano </w:t>
      </w:r>
      <w:r w:rsidR="00E6754F" w:rsidRPr="00332E0B">
        <w:rPr>
          <w:rFonts w:ascii="Times New Roman" w:hAnsi="Times New Roman" w:cs="Times New Roman"/>
          <w:sz w:val="24"/>
          <w:szCs w:val="24"/>
          <w:lang w:val="pt-BR"/>
        </w:rPr>
        <w:t>D</w:t>
      </w:r>
      <w:r w:rsidR="007F277B" w:rsidRPr="00332E0B">
        <w:rPr>
          <w:rFonts w:ascii="Times New Roman" w:hAnsi="Times New Roman" w:cs="Times New Roman"/>
          <w:sz w:val="24"/>
          <w:szCs w:val="24"/>
          <w:lang w:val="pt-BR"/>
        </w:rPr>
        <w:t>iretor (que é mais abstrato e de longo prazo) em um programa de investimento concreto a médio prazo (por exemplo, de quatro anos).  O Programa de Investimento Municipal seria diferente do Plano Plurianual Municipal (PP</w:t>
      </w:r>
      <w:r w:rsidR="007F418E">
        <w:rPr>
          <w:rFonts w:ascii="Times New Roman" w:hAnsi="Times New Roman" w:cs="Times New Roman"/>
          <w:sz w:val="24"/>
          <w:szCs w:val="24"/>
          <w:lang w:val="pt-BR"/>
        </w:rPr>
        <w:t>M</w:t>
      </w:r>
      <w:r w:rsidR="007F277B" w:rsidRPr="00332E0B">
        <w:rPr>
          <w:rFonts w:ascii="Times New Roman" w:hAnsi="Times New Roman" w:cs="Times New Roman"/>
          <w:sz w:val="24"/>
          <w:szCs w:val="24"/>
          <w:lang w:val="pt-BR"/>
        </w:rPr>
        <w:t xml:space="preserve">), </w:t>
      </w:r>
      <w:r w:rsidR="002F6675" w:rsidRPr="00332E0B">
        <w:rPr>
          <w:rFonts w:ascii="Times New Roman" w:hAnsi="Times New Roman" w:cs="Times New Roman"/>
          <w:sz w:val="24"/>
          <w:szCs w:val="24"/>
          <w:lang w:val="pt-BR"/>
        </w:rPr>
        <w:t xml:space="preserve">já que focalizaria principalmente nos </w:t>
      </w:r>
      <w:r w:rsidR="002F6675">
        <w:rPr>
          <w:rFonts w:ascii="Times New Roman" w:hAnsi="Times New Roman" w:cs="Times New Roman"/>
          <w:sz w:val="24"/>
          <w:szCs w:val="24"/>
          <w:lang w:val="pt-BR"/>
        </w:rPr>
        <w:t>custos de construção, operação e manutenção em infraestrutura</w:t>
      </w:r>
      <w:r w:rsidR="007F277B" w:rsidRPr="00332E0B">
        <w:rPr>
          <w:rFonts w:ascii="Times New Roman" w:hAnsi="Times New Roman" w:cs="Times New Roman"/>
          <w:sz w:val="24"/>
          <w:szCs w:val="24"/>
          <w:lang w:val="pt-BR"/>
        </w:rPr>
        <w:t xml:space="preserve"> e </w:t>
      </w:r>
      <w:r w:rsidR="00E6754F" w:rsidRPr="00332E0B">
        <w:rPr>
          <w:rFonts w:ascii="Times New Roman" w:hAnsi="Times New Roman" w:cs="Times New Roman"/>
          <w:sz w:val="24"/>
          <w:szCs w:val="24"/>
          <w:lang w:val="pt-BR"/>
        </w:rPr>
        <w:t>suas formas de</w:t>
      </w:r>
      <w:r w:rsidR="007F277B" w:rsidRPr="00332E0B">
        <w:rPr>
          <w:rFonts w:ascii="Times New Roman" w:hAnsi="Times New Roman" w:cs="Times New Roman"/>
          <w:sz w:val="24"/>
          <w:szCs w:val="24"/>
          <w:lang w:val="pt-BR"/>
        </w:rPr>
        <w:t xml:space="preserve"> financiamento, enquanto </w:t>
      </w:r>
      <w:r w:rsidR="007F418E">
        <w:rPr>
          <w:rFonts w:ascii="Times New Roman" w:hAnsi="Times New Roman" w:cs="Times New Roman"/>
          <w:sz w:val="24"/>
          <w:szCs w:val="24"/>
          <w:lang w:val="pt-BR"/>
        </w:rPr>
        <w:t xml:space="preserve">que </w:t>
      </w:r>
      <w:r w:rsidR="007F277B" w:rsidRPr="00332E0B">
        <w:rPr>
          <w:rFonts w:ascii="Times New Roman" w:hAnsi="Times New Roman" w:cs="Times New Roman"/>
          <w:sz w:val="24"/>
          <w:szCs w:val="24"/>
          <w:lang w:val="pt-BR"/>
        </w:rPr>
        <w:t xml:space="preserve">o </w:t>
      </w:r>
      <w:r w:rsidR="007F418E">
        <w:rPr>
          <w:rFonts w:ascii="Times New Roman" w:hAnsi="Times New Roman" w:cs="Times New Roman"/>
          <w:sz w:val="24"/>
          <w:szCs w:val="24"/>
          <w:lang w:val="pt-BR"/>
        </w:rPr>
        <w:t>PPM</w:t>
      </w:r>
      <w:r w:rsidR="007F418E" w:rsidRPr="00332E0B">
        <w:rPr>
          <w:rFonts w:ascii="Times New Roman" w:hAnsi="Times New Roman" w:cs="Times New Roman"/>
          <w:sz w:val="24"/>
          <w:szCs w:val="24"/>
          <w:lang w:val="pt-BR"/>
        </w:rPr>
        <w:t xml:space="preserve"> </w:t>
      </w:r>
      <w:r w:rsidR="007F277B" w:rsidRPr="00332E0B">
        <w:rPr>
          <w:rFonts w:ascii="Times New Roman" w:hAnsi="Times New Roman" w:cs="Times New Roman"/>
          <w:sz w:val="24"/>
          <w:szCs w:val="24"/>
          <w:lang w:val="pt-BR"/>
        </w:rPr>
        <w:t>trata</w:t>
      </w:r>
      <w:r w:rsidR="002F6675">
        <w:rPr>
          <w:rFonts w:ascii="Times New Roman" w:hAnsi="Times New Roman" w:cs="Times New Roman"/>
          <w:sz w:val="24"/>
          <w:szCs w:val="24"/>
          <w:lang w:val="pt-BR"/>
        </w:rPr>
        <w:t xml:space="preserve"> </w:t>
      </w:r>
      <w:r w:rsidR="00150880">
        <w:rPr>
          <w:rFonts w:ascii="Times New Roman" w:hAnsi="Times New Roman" w:cs="Times New Roman"/>
          <w:sz w:val="24"/>
          <w:szCs w:val="24"/>
          <w:lang w:val="pt-BR"/>
        </w:rPr>
        <w:t xml:space="preserve">de </w:t>
      </w:r>
      <w:r w:rsidR="002F6675">
        <w:rPr>
          <w:rFonts w:ascii="Times New Roman" w:hAnsi="Times New Roman" w:cs="Times New Roman"/>
          <w:sz w:val="24"/>
          <w:szCs w:val="24"/>
          <w:lang w:val="pt-BR"/>
        </w:rPr>
        <w:t>todas</w:t>
      </w:r>
      <w:r w:rsidR="00E6754F" w:rsidRPr="00332E0B">
        <w:rPr>
          <w:rFonts w:ascii="Times New Roman" w:hAnsi="Times New Roman" w:cs="Times New Roman"/>
          <w:sz w:val="24"/>
          <w:szCs w:val="24"/>
          <w:lang w:val="pt-BR"/>
        </w:rPr>
        <w:t xml:space="preserve"> as</w:t>
      </w:r>
      <w:r w:rsidR="007F277B" w:rsidRPr="00332E0B">
        <w:rPr>
          <w:rFonts w:ascii="Times New Roman" w:hAnsi="Times New Roman" w:cs="Times New Roman"/>
          <w:sz w:val="24"/>
          <w:szCs w:val="24"/>
          <w:lang w:val="pt-BR"/>
        </w:rPr>
        <w:t xml:space="preserve"> despesas tanto de capital como correntes</w:t>
      </w:r>
      <w:r w:rsidR="00150880">
        <w:rPr>
          <w:rFonts w:ascii="Times New Roman" w:hAnsi="Times New Roman" w:cs="Times New Roman"/>
          <w:sz w:val="24"/>
          <w:szCs w:val="24"/>
          <w:lang w:val="pt-BR"/>
        </w:rPr>
        <w:t>.</w:t>
      </w:r>
      <w:r w:rsidR="002F6675">
        <w:rPr>
          <w:rFonts w:ascii="Times New Roman" w:hAnsi="Times New Roman" w:cs="Times New Roman"/>
          <w:sz w:val="24"/>
          <w:szCs w:val="24"/>
          <w:lang w:val="pt-BR"/>
        </w:rPr>
        <w:t xml:space="preserve"> </w:t>
      </w:r>
    </w:p>
    <w:p w14:paraId="57A8E1C6" w14:textId="6FCAF0C8" w:rsidR="003C5F83" w:rsidRDefault="007F277B" w:rsidP="003A09DE">
      <w:pPr>
        <w:autoSpaceDE w:val="0"/>
        <w:autoSpaceDN w:val="0"/>
        <w:adjustRightInd w:val="0"/>
        <w:spacing w:after="0" w:line="360" w:lineRule="auto"/>
        <w:rPr>
          <w:rFonts w:ascii="Times New Roman" w:hAnsi="Times New Roman" w:cs="Times New Roman"/>
          <w:sz w:val="24"/>
          <w:szCs w:val="24"/>
          <w:lang w:val="pt-BR"/>
        </w:rPr>
      </w:pPr>
      <w:r w:rsidRPr="003A09DE">
        <w:rPr>
          <w:rFonts w:ascii="Times New Roman" w:hAnsi="Times New Roman" w:cs="Times New Roman"/>
          <w:sz w:val="24"/>
          <w:szCs w:val="24"/>
          <w:lang w:val="pt-BR"/>
        </w:rPr>
        <w:t xml:space="preserve">O SFM poderia financiar </w:t>
      </w:r>
      <w:r w:rsidR="002F6675">
        <w:rPr>
          <w:rFonts w:ascii="Times New Roman" w:hAnsi="Times New Roman" w:cs="Times New Roman"/>
          <w:sz w:val="24"/>
          <w:szCs w:val="24"/>
          <w:lang w:val="pt-BR"/>
        </w:rPr>
        <w:t>uma parcela d</w:t>
      </w:r>
      <w:r w:rsidRPr="003A09DE">
        <w:rPr>
          <w:rFonts w:ascii="Times New Roman" w:hAnsi="Times New Roman" w:cs="Times New Roman"/>
          <w:sz w:val="24"/>
          <w:szCs w:val="24"/>
          <w:lang w:val="pt-BR"/>
        </w:rPr>
        <w:t>o Programa de Investimento Municipal em vez de projetos individuais</w:t>
      </w:r>
      <w:r w:rsidR="003C5F83" w:rsidRPr="003A09DE">
        <w:rPr>
          <w:rFonts w:ascii="Times New Roman" w:hAnsi="Times New Roman" w:cs="Times New Roman"/>
          <w:sz w:val="24"/>
          <w:szCs w:val="24"/>
          <w:lang w:val="pt-BR"/>
        </w:rPr>
        <w:t xml:space="preserve"> nos municípios</w:t>
      </w:r>
      <w:r w:rsidRPr="003A09DE">
        <w:rPr>
          <w:rFonts w:ascii="Times New Roman" w:hAnsi="Times New Roman" w:cs="Times New Roman"/>
          <w:sz w:val="24"/>
          <w:szCs w:val="24"/>
          <w:lang w:val="pt-BR"/>
        </w:rPr>
        <w:t xml:space="preserve">.  A matriz de financiamento destes programas poderia incluir incentivos para diferentes elementos das políticas de desenvolvimento urbano do estado (e.g., </w:t>
      </w:r>
      <w:r w:rsidR="003C5F83" w:rsidRPr="001A2B95">
        <w:rPr>
          <w:rFonts w:ascii="Times New Roman" w:hAnsi="Times New Roman" w:cs="Times New Roman"/>
          <w:sz w:val="24"/>
          <w:szCs w:val="24"/>
          <w:lang w:val="pt-BR"/>
        </w:rPr>
        <w:t>uso</w:t>
      </w:r>
      <w:r w:rsidRPr="001A2B95">
        <w:rPr>
          <w:rFonts w:ascii="Times New Roman" w:hAnsi="Times New Roman" w:cs="Times New Roman"/>
          <w:sz w:val="24"/>
          <w:szCs w:val="24"/>
          <w:lang w:val="pt-BR"/>
        </w:rPr>
        <w:t xml:space="preserve"> dos instrumentos de captura de valor, melhoria de bairros, etc.).</w:t>
      </w:r>
      <w:r w:rsidR="003C5F83" w:rsidRPr="00B46CC2">
        <w:rPr>
          <w:rFonts w:ascii="Times New Roman" w:hAnsi="Times New Roman" w:cs="Times New Roman"/>
          <w:sz w:val="24"/>
          <w:szCs w:val="24"/>
          <w:lang w:val="pt-BR"/>
        </w:rPr>
        <w:t xml:space="preserve">  Um dos </w:t>
      </w:r>
      <w:r w:rsidR="003C5F83" w:rsidRPr="00A426E1">
        <w:rPr>
          <w:rFonts w:ascii="Times New Roman" w:hAnsi="Times New Roman" w:cs="Times New Roman"/>
          <w:sz w:val="24"/>
          <w:szCs w:val="24"/>
          <w:lang w:val="pt-BR"/>
        </w:rPr>
        <w:t xml:space="preserve">incentivos para o </w:t>
      </w:r>
      <w:r w:rsidR="003C5F83" w:rsidRPr="00A426E1">
        <w:rPr>
          <w:rFonts w:ascii="Times New Roman" w:hAnsi="Times New Roman" w:cs="Times New Roman"/>
          <w:sz w:val="24"/>
          <w:szCs w:val="24"/>
          <w:lang w:val="pt-BR"/>
        </w:rPr>
        <w:lastRenderedPageBreak/>
        <w:t xml:space="preserve">município seria ter um compromisso de financiamento </w:t>
      </w:r>
      <w:r w:rsidR="003A09DE" w:rsidRPr="00F40E6F">
        <w:rPr>
          <w:rFonts w:ascii="Times New Roman" w:hAnsi="Times New Roman" w:cs="Times New Roman"/>
          <w:sz w:val="24"/>
          <w:szCs w:val="24"/>
          <w:lang w:val="pt-BR"/>
        </w:rPr>
        <w:t>a</w:t>
      </w:r>
      <w:r w:rsidR="003A09DE" w:rsidRPr="000C3BEC">
        <w:rPr>
          <w:rFonts w:ascii="Times New Roman" w:hAnsi="Times New Roman" w:cs="Times New Roman"/>
          <w:sz w:val="24"/>
          <w:szCs w:val="24"/>
          <w:lang w:val="pt-BR"/>
        </w:rPr>
        <w:t xml:space="preserve"> </w:t>
      </w:r>
      <w:r w:rsidR="003C5F83" w:rsidRPr="000C3BEC">
        <w:rPr>
          <w:rFonts w:ascii="Times New Roman" w:hAnsi="Times New Roman" w:cs="Times New Roman"/>
          <w:sz w:val="24"/>
          <w:szCs w:val="24"/>
          <w:lang w:val="pt-BR"/>
        </w:rPr>
        <w:t xml:space="preserve">longo prazo por parte do SFM </w:t>
      </w:r>
      <w:r w:rsidR="003A09DE" w:rsidRPr="007451C3">
        <w:rPr>
          <w:rFonts w:ascii="Times New Roman" w:hAnsi="Times New Roman" w:cs="Times New Roman"/>
          <w:sz w:val="24"/>
          <w:szCs w:val="24"/>
          <w:lang w:val="pt-BR"/>
        </w:rPr>
        <w:t xml:space="preserve">para </w:t>
      </w:r>
      <w:r w:rsidR="003C5F83" w:rsidRPr="007451C3">
        <w:rPr>
          <w:rFonts w:ascii="Times New Roman" w:hAnsi="Times New Roman" w:cs="Times New Roman"/>
          <w:sz w:val="24"/>
          <w:szCs w:val="24"/>
          <w:lang w:val="pt-BR"/>
        </w:rPr>
        <w:t xml:space="preserve">todos os </w:t>
      </w:r>
      <w:r w:rsidR="003C5F83" w:rsidRPr="00332E0B">
        <w:rPr>
          <w:rFonts w:ascii="Times New Roman" w:hAnsi="Times New Roman" w:cs="Times New Roman"/>
          <w:sz w:val="24"/>
          <w:szCs w:val="24"/>
          <w:lang w:val="pt-BR"/>
        </w:rPr>
        <w:t xml:space="preserve">projetos incluídos no </w:t>
      </w:r>
      <w:r w:rsidR="003A09DE" w:rsidRPr="00332E0B">
        <w:rPr>
          <w:rFonts w:ascii="Times New Roman" w:hAnsi="Times New Roman" w:cs="Times New Roman"/>
          <w:sz w:val="24"/>
          <w:szCs w:val="24"/>
          <w:lang w:val="pt-BR"/>
        </w:rPr>
        <w:t>P</w:t>
      </w:r>
      <w:r w:rsidR="003C5F83" w:rsidRPr="00332E0B">
        <w:rPr>
          <w:rFonts w:ascii="Times New Roman" w:hAnsi="Times New Roman" w:cs="Times New Roman"/>
          <w:sz w:val="24"/>
          <w:szCs w:val="24"/>
          <w:lang w:val="pt-BR"/>
        </w:rPr>
        <w:t xml:space="preserve">lano de </w:t>
      </w:r>
      <w:r w:rsidR="003A09DE" w:rsidRPr="00332E0B">
        <w:rPr>
          <w:rFonts w:ascii="Times New Roman" w:hAnsi="Times New Roman" w:cs="Times New Roman"/>
          <w:sz w:val="24"/>
          <w:szCs w:val="24"/>
          <w:lang w:val="pt-BR"/>
        </w:rPr>
        <w:t>I</w:t>
      </w:r>
      <w:r w:rsidR="003C5F83" w:rsidRPr="00332E0B">
        <w:rPr>
          <w:rFonts w:ascii="Times New Roman" w:hAnsi="Times New Roman" w:cs="Times New Roman"/>
          <w:sz w:val="24"/>
          <w:szCs w:val="24"/>
          <w:lang w:val="pt-BR"/>
        </w:rPr>
        <w:t>nvestimento</w:t>
      </w:r>
      <w:r w:rsidR="00332E0B" w:rsidRPr="00332E0B">
        <w:rPr>
          <w:rFonts w:ascii="Times New Roman" w:hAnsi="Times New Roman" w:cs="Times New Roman"/>
          <w:sz w:val="24"/>
          <w:szCs w:val="24"/>
          <w:lang w:val="pt-BR"/>
        </w:rPr>
        <w:t xml:space="preserve"> Municipal</w:t>
      </w:r>
      <w:r w:rsidR="003C5F83" w:rsidRPr="00332E0B">
        <w:rPr>
          <w:rFonts w:ascii="Times New Roman" w:hAnsi="Times New Roman" w:cs="Times New Roman"/>
          <w:sz w:val="24"/>
          <w:szCs w:val="24"/>
          <w:lang w:val="pt-BR"/>
        </w:rPr>
        <w:t>, desde que continuem a atender aos indicadores de desempenho fiscal incluídos no plano.  O não</w:t>
      </w:r>
      <w:r w:rsidR="003C5F83" w:rsidRPr="003A09DE">
        <w:rPr>
          <w:rFonts w:ascii="Times New Roman" w:hAnsi="Times New Roman" w:cs="Times New Roman"/>
          <w:sz w:val="24"/>
          <w:szCs w:val="24"/>
          <w:lang w:val="pt-BR"/>
        </w:rPr>
        <w:t xml:space="preserve"> cumprimento dos indicadores de desempenho interromperia o financiamento </w:t>
      </w:r>
      <w:r w:rsidR="00640348">
        <w:rPr>
          <w:rFonts w:ascii="Times New Roman" w:hAnsi="Times New Roman" w:cs="Times New Roman"/>
          <w:sz w:val="24"/>
          <w:szCs w:val="24"/>
          <w:lang w:val="pt-BR"/>
        </w:rPr>
        <w:t>dos</w:t>
      </w:r>
      <w:r w:rsidR="00640348" w:rsidRPr="003A09DE">
        <w:rPr>
          <w:rFonts w:ascii="Times New Roman" w:hAnsi="Times New Roman" w:cs="Times New Roman"/>
          <w:sz w:val="24"/>
          <w:szCs w:val="24"/>
          <w:lang w:val="pt-BR"/>
        </w:rPr>
        <w:t xml:space="preserve"> </w:t>
      </w:r>
      <w:r w:rsidR="003C5F83" w:rsidRPr="003A09DE">
        <w:rPr>
          <w:rFonts w:ascii="Times New Roman" w:hAnsi="Times New Roman" w:cs="Times New Roman"/>
          <w:sz w:val="24"/>
          <w:szCs w:val="24"/>
          <w:lang w:val="pt-BR"/>
        </w:rPr>
        <w:t>projetos que não foram iniciados</w:t>
      </w:r>
      <w:r w:rsidR="003C5F83" w:rsidRPr="001A2B95">
        <w:rPr>
          <w:rFonts w:ascii="Times New Roman" w:hAnsi="Times New Roman" w:cs="Times New Roman"/>
          <w:sz w:val="24"/>
          <w:szCs w:val="24"/>
          <w:lang w:val="pt-BR"/>
        </w:rPr>
        <w:t>, mais não para os que já foram iniciados</w:t>
      </w:r>
      <w:r w:rsidR="00F40FEC" w:rsidRPr="00B46CC2">
        <w:rPr>
          <w:rFonts w:ascii="Times New Roman" w:hAnsi="Times New Roman" w:cs="Times New Roman"/>
          <w:sz w:val="24"/>
          <w:szCs w:val="24"/>
          <w:lang w:val="pt-BR"/>
        </w:rPr>
        <w:t xml:space="preserve"> para </w:t>
      </w:r>
      <w:r w:rsidR="00640348">
        <w:rPr>
          <w:rFonts w:ascii="Times New Roman" w:hAnsi="Times New Roman" w:cs="Times New Roman"/>
          <w:sz w:val="24"/>
          <w:szCs w:val="24"/>
          <w:lang w:val="pt-BR"/>
        </w:rPr>
        <w:t>que estes não fiquem</w:t>
      </w:r>
      <w:r w:rsidR="00F40FEC" w:rsidRPr="00A426E1">
        <w:rPr>
          <w:rFonts w:ascii="Times New Roman" w:hAnsi="Times New Roman" w:cs="Times New Roman"/>
          <w:sz w:val="24"/>
          <w:szCs w:val="24"/>
          <w:lang w:val="pt-BR"/>
        </w:rPr>
        <w:t xml:space="preserve"> inacabados</w:t>
      </w:r>
      <w:r w:rsidR="003C5F83" w:rsidRPr="00A426E1">
        <w:rPr>
          <w:rFonts w:ascii="Times New Roman" w:hAnsi="Times New Roman" w:cs="Times New Roman"/>
          <w:sz w:val="24"/>
          <w:szCs w:val="24"/>
          <w:lang w:val="pt-BR"/>
        </w:rPr>
        <w:t>.</w:t>
      </w:r>
    </w:p>
    <w:p w14:paraId="7D6A04F7" w14:textId="77777777" w:rsidR="003A09DE" w:rsidRPr="00332E0B" w:rsidRDefault="003A09DE" w:rsidP="00332E0B">
      <w:pPr>
        <w:autoSpaceDE w:val="0"/>
        <w:autoSpaceDN w:val="0"/>
        <w:adjustRightInd w:val="0"/>
        <w:spacing w:after="0" w:line="360" w:lineRule="auto"/>
        <w:rPr>
          <w:rFonts w:ascii="Times New Roman" w:hAnsi="Times New Roman" w:cs="Times New Roman"/>
          <w:sz w:val="16"/>
          <w:szCs w:val="16"/>
          <w:lang w:val="pt-BR"/>
        </w:rPr>
      </w:pPr>
    </w:p>
    <w:p w14:paraId="1AB58A74" w14:textId="77777777" w:rsidR="007F277B" w:rsidRPr="00CA2760" w:rsidRDefault="007F277B" w:rsidP="009E6880">
      <w:pPr>
        <w:spacing w:line="360" w:lineRule="auto"/>
        <w:jc w:val="center"/>
        <w:rPr>
          <w:rFonts w:ascii="Times New Roman" w:hAnsi="Times New Roman" w:cs="Times New Roman"/>
          <w:sz w:val="24"/>
          <w:szCs w:val="24"/>
          <w:lang w:val="pt-BR"/>
        </w:rPr>
      </w:pPr>
      <w:r w:rsidRPr="00CA2760">
        <w:rPr>
          <w:rFonts w:ascii="Times New Roman" w:hAnsi="Times New Roman" w:cs="Times New Roman"/>
          <w:b/>
          <w:sz w:val="24"/>
          <w:szCs w:val="24"/>
          <w:lang w:val="pt-BR"/>
        </w:rPr>
        <w:t>Incentivos para a utilização dos instrumentos de captura do valor criado pelos investimentos e outras ações municipais</w:t>
      </w:r>
    </w:p>
    <w:p w14:paraId="67420EC0" w14:textId="77777777" w:rsidR="0077254B" w:rsidRDefault="007F277B" w:rsidP="0077254B">
      <w:pPr>
        <w:spacing w:line="360" w:lineRule="auto"/>
        <w:rPr>
          <w:rFonts w:ascii="Times New Roman" w:hAnsi="Times New Roman" w:cs="Times New Roman"/>
          <w:sz w:val="24"/>
          <w:szCs w:val="24"/>
          <w:lang w:val="pt-BR"/>
        </w:rPr>
      </w:pPr>
      <w:r w:rsidRPr="00332E0B">
        <w:rPr>
          <w:rFonts w:ascii="Times New Roman" w:hAnsi="Times New Roman" w:cs="Times New Roman"/>
          <w:sz w:val="24"/>
          <w:szCs w:val="24"/>
          <w:lang w:val="pt-BR"/>
        </w:rPr>
        <w:t>O Programa de Investimento Municipal também poderia ser uma forma de incentivar o uso dos</w:t>
      </w:r>
      <w:r w:rsidRPr="00CA2760">
        <w:rPr>
          <w:rFonts w:ascii="Times New Roman" w:hAnsi="Times New Roman" w:cs="Times New Roman"/>
          <w:sz w:val="24"/>
          <w:szCs w:val="24"/>
          <w:lang w:val="pt-BR"/>
        </w:rPr>
        <w:t xml:space="preserve"> instrumentos de captura de valor viabilizados pelo Estatuto da Cidade, como será discutido agora.</w:t>
      </w:r>
      <w:r w:rsidR="0077254B">
        <w:rPr>
          <w:rFonts w:ascii="Times New Roman" w:hAnsi="Times New Roman" w:cs="Times New Roman"/>
          <w:sz w:val="24"/>
          <w:szCs w:val="24"/>
          <w:lang w:val="pt-BR"/>
        </w:rPr>
        <w:t xml:space="preserve">  </w:t>
      </w:r>
      <w:r w:rsidR="0077254B" w:rsidRPr="001E44A2">
        <w:rPr>
          <w:rFonts w:ascii="Times New Roman" w:hAnsi="Times New Roman" w:cs="Times New Roman"/>
          <w:sz w:val="24"/>
          <w:szCs w:val="24"/>
          <w:lang w:val="pt-BR"/>
        </w:rPr>
        <w:t xml:space="preserve">Estudos recentes </w:t>
      </w:r>
      <w:r w:rsidR="0077254B">
        <w:rPr>
          <w:rFonts w:ascii="Times New Roman" w:hAnsi="Times New Roman" w:cs="Times New Roman"/>
          <w:sz w:val="24"/>
          <w:szCs w:val="24"/>
          <w:lang w:val="pt-BR"/>
        </w:rPr>
        <w:t>do</w:t>
      </w:r>
      <w:r w:rsidR="0077254B" w:rsidRPr="001E44A2">
        <w:rPr>
          <w:rFonts w:ascii="Times New Roman" w:hAnsi="Times New Roman" w:cs="Times New Roman"/>
          <w:sz w:val="24"/>
          <w:szCs w:val="24"/>
          <w:lang w:val="pt-BR"/>
        </w:rPr>
        <w:t xml:space="preserve"> BID e </w:t>
      </w:r>
      <w:r w:rsidR="0077254B">
        <w:rPr>
          <w:rFonts w:ascii="Times New Roman" w:hAnsi="Times New Roman" w:cs="Times New Roman"/>
          <w:sz w:val="24"/>
          <w:szCs w:val="24"/>
          <w:lang w:val="pt-BR"/>
        </w:rPr>
        <w:t xml:space="preserve">de </w:t>
      </w:r>
      <w:r w:rsidR="0077254B" w:rsidRPr="001E44A2">
        <w:rPr>
          <w:rFonts w:ascii="Times New Roman" w:hAnsi="Times New Roman" w:cs="Times New Roman"/>
          <w:sz w:val="24"/>
          <w:szCs w:val="24"/>
          <w:lang w:val="pt-BR"/>
        </w:rPr>
        <w:t xml:space="preserve">outras </w:t>
      </w:r>
      <w:r w:rsidR="0077254B">
        <w:rPr>
          <w:rFonts w:ascii="Times New Roman" w:hAnsi="Times New Roman" w:cs="Times New Roman"/>
          <w:sz w:val="24"/>
          <w:szCs w:val="24"/>
          <w:lang w:val="pt-BR"/>
        </w:rPr>
        <w:t>instituições</w:t>
      </w:r>
      <w:r w:rsidR="0077254B" w:rsidRPr="001E44A2">
        <w:rPr>
          <w:rFonts w:ascii="Times New Roman" w:hAnsi="Times New Roman" w:cs="Times New Roman"/>
          <w:sz w:val="24"/>
          <w:szCs w:val="24"/>
          <w:lang w:val="pt-BR"/>
        </w:rPr>
        <w:t xml:space="preserve"> destacam a importância </w:t>
      </w:r>
      <w:r w:rsidR="0077254B">
        <w:rPr>
          <w:rFonts w:ascii="Times New Roman" w:hAnsi="Times New Roman" w:cs="Times New Roman"/>
          <w:sz w:val="24"/>
          <w:szCs w:val="24"/>
          <w:lang w:val="pt-BR"/>
        </w:rPr>
        <w:t>da</w:t>
      </w:r>
      <w:r w:rsidR="0077254B" w:rsidRPr="001E44A2">
        <w:rPr>
          <w:rFonts w:ascii="Times New Roman" w:hAnsi="Times New Roman" w:cs="Times New Roman"/>
          <w:sz w:val="24"/>
          <w:szCs w:val="24"/>
          <w:lang w:val="pt-BR"/>
        </w:rPr>
        <w:t xml:space="preserve"> captura de valor gerado pelas intervenções públicas </w:t>
      </w:r>
      <w:r w:rsidR="0077254B">
        <w:rPr>
          <w:rFonts w:ascii="Times New Roman" w:hAnsi="Times New Roman" w:cs="Times New Roman"/>
          <w:sz w:val="24"/>
          <w:szCs w:val="24"/>
          <w:lang w:val="pt-BR"/>
        </w:rPr>
        <w:t>para financiar</w:t>
      </w:r>
      <w:r w:rsidR="0077254B" w:rsidRPr="001E44A2">
        <w:rPr>
          <w:rFonts w:ascii="Times New Roman" w:hAnsi="Times New Roman" w:cs="Times New Roman"/>
          <w:sz w:val="24"/>
          <w:szCs w:val="24"/>
          <w:lang w:val="pt-BR"/>
        </w:rPr>
        <w:t xml:space="preserve"> investimentos em infraestrutura necessários para </w:t>
      </w:r>
      <w:r w:rsidR="0077254B">
        <w:rPr>
          <w:rFonts w:ascii="Times New Roman" w:hAnsi="Times New Roman" w:cs="Times New Roman"/>
          <w:sz w:val="24"/>
          <w:szCs w:val="24"/>
          <w:lang w:val="pt-BR"/>
        </w:rPr>
        <w:t xml:space="preserve">o </w:t>
      </w:r>
      <w:r w:rsidR="0077254B" w:rsidRPr="001E44A2">
        <w:rPr>
          <w:rFonts w:ascii="Times New Roman" w:hAnsi="Times New Roman" w:cs="Times New Roman"/>
          <w:sz w:val="24"/>
          <w:szCs w:val="24"/>
          <w:lang w:val="pt-BR"/>
        </w:rPr>
        <w:t>desenvolvimento sustentável (Blanco et al. 2016 e Blanco et al. 2016</w:t>
      </w:r>
      <w:r w:rsidR="0077254B">
        <w:rPr>
          <w:rFonts w:ascii="Times New Roman" w:hAnsi="Times New Roman" w:cs="Times New Roman"/>
          <w:sz w:val="24"/>
          <w:szCs w:val="24"/>
          <w:lang w:val="pt-BR"/>
        </w:rPr>
        <w:t>b</w:t>
      </w:r>
      <w:r w:rsidR="0077254B" w:rsidRPr="001E44A2">
        <w:rPr>
          <w:rFonts w:ascii="Times New Roman" w:hAnsi="Times New Roman" w:cs="Times New Roman"/>
          <w:sz w:val="24"/>
          <w:szCs w:val="24"/>
          <w:lang w:val="pt-BR"/>
        </w:rPr>
        <w:t xml:space="preserve">, Smolka 2014).  </w:t>
      </w:r>
    </w:p>
    <w:p w14:paraId="4CA92CEC" w14:textId="448C4044" w:rsidR="0077254B" w:rsidRPr="001E44A2" w:rsidRDefault="0077254B" w:rsidP="0077254B">
      <w:pPr>
        <w:spacing w:line="360" w:lineRule="auto"/>
        <w:rPr>
          <w:rFonts w:ascii="Times New Roman" w:hAnsi="Times New Roman" w:cs="Times New Roman"/>
          <w:sz w:val="24"/>
          <w:szCs w:val="24"/>
          <w:lang w:val="pt-BR"/>
        </w:rPr>
      </w:pPr>
      <w:r w:rsidRPr="001E44A2">
        <w:rPr>
          <w:rFonts w:ascii="Times New Roman" w:hAnsi="Times New Roman" w:cs="Times New Roman"/>
          <w:sz w:val="24"/>
          <w:szCs w:val="24"/>
          <w:lang w:val="pt-BR"/>
        </w:rPr>
        <w:t>Os projetos municipais de desenvolvimento criados pelo BID no estado do Paraná foram bem-sucedidos no incentivo à captura de valor de investimentos municipais através das contribuições de melhoria e também d</w:t>
      </w:r>
      <w:r>
        <w:rPr>
          <w:rFonts w:ascii="Times New Roman" w:hAnsi="Times New Roman" w:cs="Times New Roman"/>
          <w:sz w:val="24"/>
          <w:szCs w:val="24"/>
          <w:lang w:val="pt-BR"/>
        </w:rPr>
        <w:t>o</w:t>
      </w:r>
      <w:r w:rsidRPr="001E44A2">
        <w:rPr>
          <w:rFonts w:ascii="Times New Roman" w:hAnsi="Times New Roman" w:cs="Times New Roman"/>
          <w:sz w:val="24"/>
          <w:szCs w:val="24"/>
          <w:lang w:val="pt-BR"/>
        </w:rPr>
        <w:t xml:space="preserve"> financiamento de modernização dos cadastros utilizados na cobrança dos impostos sobre o valor e a transferência de imóveis urbanos (I</w:t>
      </w:r>
      <w:r w:rsidR="00C8169D">
        <w:rPr>
          <w:rFonts w:ascii="Times New Roman" w:hAnsi="Times New Roman" w:cs="Times New Roman"/>
          <w:sz w:val="24"/>
          <w:szCs w:val="24"/>
          <w:lang w:val="pt-BR"/>
        </w:rPr>
        <w:t xml:space="preserve">mposto </w:t>
      </w:r>
      <w:r w:rsidRPr="001E44A2">
        <w:rPr>
          <w:rFonts w:ascii="Times New Roman" w:hAnsi="Times New Roman" w:cs="Times New Roman"/>
          <w:sz w:val="24"/>
          <w:szCs w:val="24"/>
          <w:lang w:val="pt-BR"/>
        </w:rPr>
        <w:t>P</w:t>
      </w:r>
      <w:r w:rsidR="00C8169D">
        <w:rPr>
          <w:rFonts w:ascii="Times New Roman" w:hAnsi="Times New Roman" w:cs="Times New Roman"/>
          <w:sz w:val="24"/>
          <w:szCs w:val="24"/>
          <w:lang w:val="pt-BR"/>
        </w:rPr>
        <w:t xml:space="preserve">redial e </w:t>
      </w:r>
      <w:r w:rsidRPr="001E44A2">
        <w:rPr>
          <w:rFonts w:ascii="Times New Roman" w:hAnsi="Times New Roman" w:cs="Times New Roman"/>
          <w:sz w:val="24"/>
          <w:szCs w:val="24"/>
          <w:lang w:val="pt-BR"/>
        </w:rPr>
        <w:t>T</w:t>
      </w:r>
      <w:r w:rsidR="00C8169D">
        <w:rPr>
          <w:rFonts w:ascii="Times New Roman" w:hAnsi="Times New Roman" w:cs="Times New Roman"/>
          <w:sz w:val="24"/>
          <w:szCs w:val="24"/>
          <w:lang w:val="pt-BR"/>
        </w:rPr>
        <w:t xml:space="preserve">erritorial </w:t>
      </w:r>
      <w:r w:rsidRPr="001E44A2">
        <w:rPr>
          <w:rFonts w:ascii="Times New Roman" w:hAnsi="Times New Roman" w:cs="Times New Roman"/>
          <w:sz w:val="24"/>
          <w:szCs w:val="24"/>
          <w:lang w:val="pt-BR"/>
        </w:rPr>
        <w:t>U</w:t>
      </w:r>
      <w:r w:rsidR="00C8169D">
        <w:rPr>
          <w:rFonts w:ascii="Times New Roman" w:hAnsi="Times New Roman" w:cs="Times New Roman"/>
          <w:sz w:val="24"/>
          <w:szCs w:val="24"/>
          <w:lang w:val="pt-BR"/>
        </w:rPr>
        <w:t>rbano -- IPTU</w:t>
      </w:r>
      <w:r w:rsidRPr="001E44A2">
        <w:rPr>
          <w:rFonts w:ascii="Times New Roman" w:hAnsi="Times New Roman" w:cs="Times New Roman"/>
          <w:sz w:val="24"/>
          <w:szCs w:val="24"/>
          <w:lang w:val="pt-BR"/>
        </w:rPr>
        <w:t xml:space="preserve"> e </w:t>
      </w:r>
      <w:r w:rsidR="002C50A3">
        <w:rPr>
          <w:rFonts w:ascii="Times New Roman" w:hAnsi="Times New Roman" w:cs="Times New Roman"/>
          <w:sz w:val="24"/>
          <w:szCs w:val="24"/>
          <w:lang w:val="pt-BR"/>
        </w:rPr>
        <w:t xml:space="preserve">o </w:t>
      </w:r>
      <w:r w:rsidRPr="001E44A2">
        <w:rPr>
          <w:rFonts w:ascii="Times New Roman" w:hAnsi="Times New Roman" w:cs="Times New Roman"/>
          <w:sz w:val="24"/>
          <w:szCs w:val="24"/>
          <w:lang w:val="pt-BR"/>
        </w:rPr>
        <w:t>I</w:t>
      </w:r>
      <w:r w:rsidR="00C8169D">
        <w:rPr>
          <w:rFonts w:ascii="Times New Roman" w:hAnsi="Times New Roman" w:cs="Times New Roman"/>
          <w:sz w:val="24"/>
          <w:szCs w:val="24"/>
          <w:lang w:val="pt-BR"/>
        </w:rPr>
        <w:t xml:space="preserve">mposto sobre a </w:t>
      </w:r>
      <w:r w:rsidRPr="001E44A2">
        <w:rPr>
          <w:rFonts w:ascii="Times New Roman" w:hAnsi="Times New Roman" w:cs="Times New Roman"/>
          <w:sz w:val="24"/>
          <w:szCs w:val="24"/>
          <w:lang w:val="pt-BR"/>
        </w:rPr>
        <w:t>T</w:t>
      </w:r>
      <w:r w:rsidR="00C8169D">
        <w:rPr>
          <w:rFonts w:ascii="Times New Roman" w:hAnsi="Times New Roman" w:cs="Times New Roman"/>
          <w:sz w:val="24"/>
          <w:szCs w:val="24"/>
          <w:lang w:val="pt-BR"/>
        </w:rPr>
        <w:t xml:space="preserve">ransmissão de </w:t>
      </w:r>
      <w:r w:rsidRPr="001E44A2">
        <w:rPr>
          <w:rFonts w:ascii="Times New Roman" w:hAnsi="Times New Roman" w:cs="Times New Roman"/>
          <w:sz w:val="24"/>
          <w:szCs w:val="24"/>
          <w:lang w:val="pt-BR"/>
        </w:rPr>
        <w:t>B</w:t>
      </w:r>
      <w:r w:rsidR="00C8169D">
        <w:rPr>
          <w:rFonts w:ascii="Times New Roman" w:hAnsi="Times New Roman" w:cs="Times New Roman"/>
          <w:sz w:val="24"/>
          <w:szCs w:val="24"/>
          <w:lang w:val="pt-BR"/>
        </w:rPr>
        <w:t xml:space="preserve">ens </w:t>
      </w:r>
      <w:r w:rsidRPr="001E44A2">
        <w:rPr>
          <w:rFonts w:ascii="Times New Roman" w:hAnsi="Times New Roman" w:cs="Times New Roman"/>
          <w:sz w:val="24"/>
          <w:szCs w:val="24"/>
          <w:lang w:val="pt-BR"/>
        </w:rPr>
        <w:t>I</w:t>
      </w:r>
      <w:r w:rsidR="00C8169D">
        <w:rPr>
          <w:rFonts w:ascii="Times New Roman" w:hAnsi="Times New Roman" w:cs="Times New Roman"/>
          <w:sz w:val="24"/>
          <w:szCs w:val="24"/>
          <w:lang w:val="pt-BR"/>
        </w:rPr>
        <w:t>móveis</w:t>
      </w:r>
      <w:r w:rsidR="002C50A3">
        <w:rPr>
          <w:rFonts w:ascii="Times New Roman" w:hAnsi="Times New Roman" w:cs="Times New Roman"/>
          <w:sz w:val="24"/>
          <w:szCs w:val="24"/>
          <w:lang w:val="pt-BR"/>
        </w:rPr>
        <w:t>- ITBI</w:t>
      </w:r>
      <w:r w:rsidRPr="001E44A2">
        <w:rPr>
          <w:rFonts w:ascii="Times New Roman" w:hAnsi="Times New Roman" w:cs="Times New Roman"/>
          <w:sz w:val="24"/>
          <w:szCs w:val="24"/>
          <w:lang w:val="pt-BR"/>
        </w:rPr>
        <w:t xml:space="preserve">). De acordo com Pereira et al (2012), </w:t>
      </w:r>
      <w:r>
        <w:rPr>
          <w:rFonts w:ascii="Times New Roman" w:hAnsi="Times New Roman" w:cs="Times New Roman"/>
          <w:sz w:val="24"/>
          <w:szCs w:val="24"/>
          <w:lang w:val="pt-BR"/>
        </w:rPr>
        <w:t>o</w:t>
      </w:r>
      <w:r w:rsidRPr="001E44A2">
        <w:rPr>
          <w:rFonts w:ascii="Times New Roman" w:hAnsi="Times New Roman" w:cs="Times New Roman"/>
          <w:sz w:val="24"/>
          <w:szCs w:val="24"/>
          <w:lang w:val="pt-BR"/>
        </w:rPr>
        <w:t xml:space="preserve"> Paranacidade fez um esforço concentrado no aumento da utilização de contribuições de melhoria pelos municípios participantes, exigindo a recuperação de custos e fornecendo assistência técnica (por exemplo</w:t>
      </w:r>
      <w:r w:rsidRPr="001E44A2">
        <w:rPr>
          <w:rStyle w:val="ts-alignment-element"/>
          <w:rFonts w:ascii="Times New Roman" w:hAnsi="Times New Roman" w:cs="Times New Roman"/>
          <w:sz w:val="24"/>
          <w:szCs w:val="24"/>
          <w:lang w:val="pt-BR"/>
        </w:rPr>
        <w:t>,</w:t>
      </w:r>
      <w:r w:rsidRPr="001E44A2">
        <w:rPr>
          <w:rFonts w:ascii="Times New Roman" w:hAnsi="Times New Roman" w:cs="Times New Roman"/>
          <w:sz w:val="24"/>
          <w:szCs w:val="24"/>
          <w:lang w:val="pt-BR"/>
        </w:rPr>
        <w:t xml:space="preserve"> </w:t>
      </w:r>
      <w:r w:rsidRPr="001E44A2">
        <w:rPr>
          <w:rStyle w:val="ts-alignment-element"/>
          <w:rFonts w:ascii="Times New Roman" w:hAnsi="Times New Roman" w:cs="Times New Roman"/>
          <w:sz w:val="24"/>
          <w:szCs w:val="24"/>
          <w:lang w:val="pt-BR"/>
        </w:rPr>
        <w:t>desenvolvendo</w:t>
      </w:r>
      <w:r w:rsidRPr="001E44A2">
        <w:rPr>
          <w:rFonts w:ascii="Times New Roman" w:hAnsi="Times New Roman" w:cs="Times New Roman"/>
          <w:sz w:val="24"/>
          <w:szCs w:val="24"/>
          <w:lang w:val="pt-BR"/>
        </w:rPr>
        <w:t xml:space="preserve"> </w:t>
      </w:r>
      <w:r w:rsidRPr="001E44A2">
        <w:rPr>
          <w:rStyle w:val="ts-alignment-element"/>
          <w:rFonts w:ascii="Times New Roman" w:hAnsi="Times New Roman" w:cs="Times New Roman"/>
          <w:sz w:val="24"/>
          <w:szCs w:val="24"/>
          <w:lang w:val="pt-BR"/>
        </w:rPr>
        <w:t>um</w:t>
      </w:r>
      <w:r w:rsidRPr="001E44A2">
        <w:rPr>
          <w:rFonts w:ascii="Times New Roman" w:hAnsi="Times New Roman" w:cs="Times New Roman"/>
          <w:sz w:val="24"/>
          <w:szCs w:val="24"/>
          <w:lang w:val="pt-BR"/>
        </w:rPr>
        <w:t xml:space="preserve"> </w:t>
      </w:r>
      <w:r w:rsidRPr="001E44A2">
        <w:rPr>
          <w:rStyle w:val="ts-alignment-element"/>
          <w:rFonts w:ascii="Times New Roman" w:hAnsi="Times New Roman" w:cs="Times New Roman"/>
          <w:sz w:val="24"/>
          <w:szCs w:val="24"/>
          <w:lang w:val="pt-BR"/>
        </w:rPr>
        <w:t>manual</w:t>
      </w:r>
      <w:r w:rsidRPr="001E44A2">
        <w:rPr>
          <w:rFonts w:ascii="Times New Roman" w:hAnsi="Times New Roman" w:cs="Times New Roman"/>
          <w:sz w:val="24"/>
          <w:szCs w:val="24"/>
          <w:lang w:val="pt-BR"/>
        </w:rPr>
        <w:t xml:space="preserve"> </w:t>
      </w:r>
      <w:r w:rsidRPr="001E44A2">
        <w:rPr>
          <w:rStyle w:val="ts-alignment-element"/>
          <w:rFonts w:ascii="Times New Roman" w:hAnsi="Times New Roman" w:cs="Times New Roman"/>
          <w:sz w:val="24"/>
          <w:szCs w:val="24"/>
          <w:lang w:val="pt-BR"/>
        </w:rPr>
        <w:t>e</w:t>
      </w:r>
      <w:r w:rsidRPr="001E44A2">
        <w:rPr>
          <w:rFonts w:ascii="Times New Roman" w:hAnsi="Times New Roman" w:cs="Times New Roman"/>
          <w:sz w:val="24"/>
          <w:szCs w:val="24"/>
          <w:lang w:val="pt-BR"/>
        </w:rPr>
        <w:t xml:space="preserve"> </w:t>
      </w:r>
      <w:r w:rsidRPr="001E44A2">
        <w:rPr>
          <w:rStyle w:val="ts-alignment-element"/>
          <w:rFonts w:ascii="Times New Roman" w:hAnsi="Times New Roman" w:cs="Times New Roman"/>
          <w:sz w:val="24"/>
          <w:szCs w:val="24"/>
          <w:lang w:val="pt-BR"/>
        </w:rPr>
        <w:t>oferecendo</w:t>
      </w:r>
      <w:r w:rsidRPr="001E44A2">
        <w:rPr>
          <w:rFonts w:ascii="Times New Roman" w:hAnsi="Times New Roman" w:cs="Times New Roman"/>
          <w:sz w:val="24"/>
          <w:szCs w:val="24"/>
          <w:lang w:val="pt-BR"/>
        </w:rPr>
        <w:t xml:space="preserve"> </w:t>
      </w:r>
      <w:r w:rsidRPr="001E44A2">
        <w:rPr>
          <w:rStyle w:val="ts-alignment-element"/>
          <w:rFonts w:ascii="Times New Roman" w:hAnsi="Times New Roman" w:cs="Times New Roman"/>
          <w:sz w:val="24"/>
          <w:szCs w:val="24"/>
          <w:lang w:val="pt-BR"/>
        </w:rPr>
        <w:t xml:space="preserve">cursos).  </w:t>
      </w:r>
      <w:r w:rsidRPr="001E44A2">
        <w:rPr>
          <w:rFonts w:ascii="Times New Roman" w:hAnsi="Times New Roman" w:cs="Times New Roman"/>
          <w:sz w:val="24"/>
          <w:szCs w:val="24"/>
          <w:lang w:val="pt-BR"/>
        </w:rPr>
        <w:t xml:space="preserve">Devido, em grande parte, a esses esforços, </w:t>
      </w:r>
      <w:r w:rsidR="002E3D8F">
        <w:rPr>
          <w:rFonts w:ascii="Times New Roman" w:hAnsi="Times New Roman" w:cs="Times New Roman"/>
          <w:sz w:val="24"/>
          <w:szCs w:val="24"/>
          <w:lang w:val="pt-BR"/>
        </w:rPr>
        <w:t>o</w:t>
      </w:r>
      <w:r>
        <w:rPr>
          <w:rFonts w:ascii="Times New Roman" w:hAnsi="Times New Roman" w:cs="Times New Roman"/>
          <w:sz w:val="24"/>
          <w:szCs w:val="24"/>
          <w:lang w:val="pt-BR"/>
        </w:rPr>
        <w:t xml:space="preserve"> </w:t>
      </w:r>
      <w:r w:rsidRPr="001E44A2">
        <w:rPr>
          <w:rFonts w:ascii="Times New Roman" w:hAnsi="Times New Roman" w:cs="Times New Roman"/>
          <w:sz w:val="24"/>
          <w:szCs w:val="24"/>
          <w:lang w:val="pt-BR"/>
        </w:rPr>
        <w:t xml:space="preserve">Paraná se classificou em segundo lugar, abaixo apenas de São Paulo entre os </w:t>
      </w:r>
      <w:r w:rsidR="002E3D8F">
        <w:rPr>
          <w:rFonts w:ascii="Times New Roman" w:hAnsi="Times New Roman" w:cs="Times New Roman"/>
          <w:sz w:val="24"/>
          <w:szCs w:val="24"/>
          <w:lang w:val="pt-BR"/>
        </w:rPr>
        <w:t>e</w:t>
      </w:r>
      <w:r w:rsidRPr="001E44A2">
        <w:rPr>
          <w:rFonts w:ascii="Times New Roman" w:hAnsi="Times New Roman" w:cs="Times New Roman"/>
          <w:sz w:val="24"/>
          <w:szCs w:val="24"/>
          <w:lang w:val="pt-BR"/>
        </w:rPr>
        <w:t xml:space="preserve">stados brasileiros </w:t>
      </w:r>
      <w:r>
        <w:rPr>
          <w:rFonts w:ascii="Times New Roman" w:hAnsi="Times New Roman" w:cs="Times New Roman"/>
          <w:sz w:val="24"/>
          <w:szCs w:val="24"/>
          <w:lang w:val="pt-BR"/>
        </w:rPr>
        <w:t xml:space="preserve">na </w:t>
      </w:r>
      <w:r w:rsidRPr="001E44A2">
        <w:rPr>
          <w:rFonts w:ascii="Times New Roman" w:hAnsi="Times New Roman" w:cs="Times New Roman"/>
          <w:sz w:val="24"/>
          <w:szCs w:val="24"/>
          <w:lang w:val="pt-BR"/>
        </w:rPr>
        <w:t>cobrança de contribuições de melhoria entre o período de 2000-2010, com um arrecadamento total de US$77</w:t>
      </w:r>
      <w:r w:rsidR="002C50A3">
        <w:rPr>
          <w:rFonts w:ascii="Times New Roman" w:hAnsi="Times New Roman" w:cs="Times New Roman"/>
          <w:sz w:val="24"/>
          <w:szCs w:val="24"/>
          <w:lang w:val="pt-BR"/>
        </w:rPr>
        <w:t>,</w:t>
      </w:r>
      <w:r w:rsidRPr="001E44A2">
        <w:rPr>
          <w:rFonts w:ascii="Times New Roman" w:hAnsi="Times New Roman" w:cs="Times New Roman"/>
          <w:sz w:val="24"/>
          <w:szCs w:val="24"/>
          <w:lang w:val="pt-BR"/>
        </w:rPr>
        <w:t xml:space="preserve">2 milhões. No entanto, as receitas de contribuições de melhoria per capita no Paraná eram </w:t>
      </w:r>
      <w:r>
        <w:rPr>
          <w:rFonts w:ascii="Times New Roman" w:hAnsi="Times New Roman" w:cs="Times New Roman"/>
          <w:sz w:val="24"/>
          <w:szCs w:val="24"/>
          <w:lang w:val="pt-BR"/>
        </w:rPr>
        <w:t xml:space="preserve">proporcionalmente </w:t>
      </w:r>
      <w:r w:rsidRPr="001E44A2">
        <w:rPr>
          <w:rFonts w:ascii="Times New Roman" w:hAnsi="Times New Roman" w:cs="Times New Roman"/>
          <w:sz w:val="24"/>
          <w:szCs w:val="24"/>
          <w:lang w:val="pt-BR"/>
        </w:rPr>
        <w:t>muito maiores, já que sua população é cerca de um quarto do município de São Paulo.</w:t>
      </w:r>
    </w:p>
    <w:p w14:paraId="0C5ECFE2" w14:textId="07A04597" w:rsidR="007F277B" w:rsidRPr="00CA2760" w:rsidRDefault="007F277B" w:rsidP="007F277B">
      <w:pPr>
        <w:autoSpaceDE w:val="0"/>
        <w:autoSpaceDN w:val="0"/>
        <w:adjustRightInd w:val="0"/>
        <w:spacing w:line="360" w:lineRule="auto"/>
        <w:rPr>
          <w:rFonts w:ascii="Times New Roman" w:hAnsi="Times New Roman" w:cs="Times New Roman"/>
          <w:sz w:val="24"/>
          <w:szCs w:val="24"/>
          <w:lang w:val="pt-BR"/>
        </w:rPr>
      </w:pPr>
      <w:r w:rsidRPr="00332E0B">
        <w:rPr>
          <w:rFonts w:ascii="Times New Roman" w:hAnsi="Times New Roman" w:cs="Times New Roman"/>
          <w:sz w:val="24"/>
          <w:szCs w:val="24"/>
        </w:rPr>
        <w:t xml:space="preserve">Uma das </w:t>
      </w:r>
      <w:r w:rsidR="002E3D8F" w:rsidRPr="00332E0B">
        <w:rPr>
          <w:rFonts w:ascii="Times New Roman" w:hAnsi="Times New Roman" w:cs="Times New Roman"/>
          <w:sz w:val="24"/>
          <w:szCs w:val="24"/>
        </w:rPr>
        <w:t>pr</w:t>
      </w:r>
      <w:r w:rsidR="002E3D8F" w:rsidRPr="002E3D8F">
        <w:rPr>
          <w:rFonts w:ascii="Times New Roman" w:hAnsi="Times New Roman" w:cs="Times New Roman"/>
          <w:sz w:val="24"/>
          <w:szCs w:val="24"/>
        </w:rPr>
        <w:t>inci</w:t>
      </w:r>
      <w:r w:rsidR="002E3D8F" w:rsidRPr="001A2B95">
        <w:rPr>
          <w:rFonts w:ascii="Times New Roman" w:hAnsi="Times New Roman" w:cs="Times New Roman"/>
          <w:sz w:val="24"/>
          <w:szCs w:val="24"/>
        </w:rPr>
        <w:t xml:space="preserve">pais </w:t>
      </w:r>
      <w:r w:rsidRPr="00332E0B">
        <w:rPr>
          <w:rFonts w:ascii="Times New Roman" w:hAnsi="Times New Roman" w:cs="Times New Roman"/>
          <w:sz w:val="24"/>
          <w:szCs w:val="24"/>
        </w:rPr>
        <w:t xml:space="preserve">razões para o sucesso </w:t>
      </w:r>
      <w:r w:rsidR="002E3D8F" w:rsidRPr="00332E0B">
        <w:rPr>
          <w:rFonts w:ascii="Times New Roman" w:hAnsi="Times New Roman" w:cs="Times New Roman"/>
          <w:sz w:val="24"/>
          <w:szCs w:val="24"/>
        </w:rPr>
        <w:t>d</w:t>
      </w:r>
      <w:r w:rsidRPr="00332E0B">
        <w:rPr>
          <w:rFonts w:ascii="Times New Roman" w:hAnsi="Times New Roman" w:cs="Times New Roman"/>
          <w:sz w:val="24"/>
          <w:szCs w:val="24"/>
        </w:rPr>
        <w:t>o Paraná</w:t>
      </w:r>
      <w:r w:rsidR="00150880">
        <w:rPr>
          <w:rFonts w:ascii="Times New Roman" w:hAnsi="Times New Roman" w:cs="Times New Roman"/>
          <w:sz w:val="24"/>
          <w:szCs w:val="24"/>
        </w:rPr>
        <w:t xml:space="preserve"> </w:t>
      </w:r>
      <w:r w:rsidR="00150880" w:rsidRPr="00150880">
        <w:rPr>
          <w:rFonts w:ascii="Times New Roman" w:hAnsi="Times New Roman" w:cs="Times New Roman"/>
          <w:sz w:val="24"/>
          <w:szCs w:val="24"/>
        </w:rPr>
        <w:t>I foi</w:t>
      </w:r>
      <w:r w:rsidRPr="00150880">
        <w:rPr>
          <w:rFonts w:ascii="Times New Roman" w:hAnsi="Times New Roman" w:cs="Times New Roman"/>
          <w:sz w:val="24"/>
          <w:szCs w:val="24"/>
        </w:rPr>
        <w:t xml:space="preserve"> </w:t>
      </w:r>
      <w:r w:rsidR="00150880" w:rsidRPr="00150880">
        <w:rPr>
          <w:rFonts w:ascii="Times New Roman" w:hAnsi="Times New Roman" w:cs="Times New Roman"/>
          <w:sz w:val="24"/>
          <w:szCs w:val="24"/>
        </w:rPr>
        <w:t xml:space="preserve">devido </w:t>
      </w:r>
      <w:r w:rsidRPr="00150880">
        <w:rPr>
          <w:rFonts w:ascii="Times New Roman" w:hAnsi="Times New Roman" w:cs="Times New Roman"/>
          <w:sz w:val="24"/>
          <w:szCs w:val="24"/>
        </w:rPr>
        <w:t>a arrecadação</w:t>
      </w:r>
      <w:r w:rsidRPr="00332E0B">
        <w:rPr>
          <w:rFonts w:ascii="Times New Roman" w:hAnsi="Times New Roman" w:cs="Times New Roman"/>
          <w:sz w:val="24"/>
          <w:szCs w:val="24"/>
        </w:rPr>
        <w:t xml:space="preserve"> da contribuição de </w:t>
      </w:r>
      <w:r w:rsidRPr="00150880">
        <w:rPr>
          <w:rFonts w:ascii="Times New Roman" w:hAnsi="Times New Roman" w:cs="Times New Roman"/>
          <w:sz w:val="24"/>
          <w:szCs w:val="24"/>
        </w:rPr>
        <w:t>melhoria:</w:t>
      </w:r>
      <w:r w:rsidRPr="00332E0B">
        <w:rPr>
          <w:rFonts w:ascii="Times New Roman" w:hAnsi="Times New Roman" w:cs="Times New Roman"/>
          <w:sz w:val="24"/>
          <w:szCs w:val="24"/>
        </w:rPr>
        <w:t xml:space="preserve"> </w:t>
      </w:r>
      <w:r w:rsidRPr="002E3D8F">
        <w:rPr>
          <w:rFonts w:ascii="Times New Roman" w:hAnsi="Times New Roman" w:cs="Times New Roman"/>
          <w:sz w:val="24"/>
          <w:szCs w:val="24"/>
        </w:rPr>
        <w:t xml:space="preserve"> “The</w:t>
      </w:r>
      <w:r w:rsidRPr="00522FE4">
        <w:rPr>
          <w:rFonts w:ascii="Times New Roman" w:hAnsi="Times New Roman" w:cs="Times New Roman"/>
          <w:sz w:val="24"/>
          <w:szCs w:val="24"/>
        </w:rPr>
        <w:t xml:space="preserve"> requirements under phase one of the Paraná Urbano program with respect to cost recovery for investments and operating and maintenance costs, along with the goals for </w:t>
      </w:r>
      <w:r w:rsidRPr="00522FE4">
        <w:rPr>
          <w:rFonts w:ascii="Times New Roman" w:hAnsi="Times New Roman" w:cs="Times New Roman"/>
          <w:sz w:val="24"/>
          <w:szCs w:val="24"/>
        </w:rPr>
        <w:lastRenderedPageBreak/>
        <w:t xml:space="preserve">launching and collecting all municipal levies and institutional strengthening, enabled municipalities to increase their fiscal effort and reduce their reliance on transfers.” </w:t>
      </w:r>
      <w:r w:rsidRPr="00CA2760">
        <w:rPr>
          <w:rFonts w:ascii="Times New Roman" w:hAnsi="Times New Roman" w:cs="Times New Roman"/>
          <w:sz w:val="24"/>
          <w:szCs w:val="24"/>
          <w:lang w:val="pt-BR"/>
        </w:rPr>
        <w:t>(IDB 2002)</w:t>
      </w:r>
    </w:p>
    <w:p w14:paraId="068AAC07" w14:textId="57842509" w:rsidR="007F277B" w:rsidRPr="00CA2760" w:rsidRDefault="007F277B" w:rsidP="007F277B">
      <w:pPr>
        <w:spacing w:after="12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O </w:t>
      </w:r>
      <w:r w:rsidRPr="00332E0B">
        <w:rPr>
          <w:rFonts w:ascii="Times New Roman" w:hAnsi="Times New Roman" w:cs="Times New Roman"/>
          <w:sz w:val="24"/>
          <w:szCs w:val="24"/>
          <w:lang w:val="pt-BR"/>
        </w:rPr>
        <w:t>uso dos instrumentos de captura do valor permitiria o autofinanciamento parcial dos Programas de Investimento Municipal.  Como</w:t>
      </w:r>
      <w:r w:rsidRPr="00CA2760">
        <w:rPr>
          <w:rFonts w:ascii="Times New Roman" w:hAnsi="Times New Roman" w:cs="Times New Roman"/>
          <w:sz w:val="24"/>
          <w:szCs w:val="24"/>
          <w:lang w:val="pt-BR"/>
        </w:rPr>
        <w:t xml:space="preserve"> o Gráfico </w:t>
      </w:r>
      <w:r w:rsidR="00C61BEE">
        <w:rPr>
          <w:rFonts w:ascii="Times New Roman" w:hAnsi="Times New Roman" w:cs="Times New Roman"/>
          <w:sz w:val="24"/>
          <w:szCs w:val="24"/>
          <w:lang w:val="pt-BR"/>
        </w:rPr>
        <w:t>9</w:t>
      </w:r>
      <w:r w:rsidRPr="00CA2760">
        <w:rPr>
          <w:rFonts w:ascii="Times New Roman" w:hAnsi="Times New Roman" w:cs="Times New Roman"/>
          <w:sz w:val="24"/>
          <w:szCs w:val="24"/>
          <w:lang w:val="pt-BR"/>
        </w:rPr>
        <w:t xml:space="preserve"> mostra, esta estratégia de financiamento visa às seguintes etapas (</w:t>
      </w:r>
      <w:r w:rsidR="005B1C33">
        <w:rPr>
          <w:rFonts w:ascii="Times New Roman" w:hAnsi="Times New Roman" w:cs="Times New Roman"/>
          <w:sz w:val="24"/>
          <w:szCs w:val="24"/>
          <w:lang w:val="pt-BR"/>
        </w:rPr>
        <w:t>Blanco et al. 2016</w:t>
      </w:r>
      <w:r w:rsidRPr="00CA2760">
        <w:rPr>
          <w:rFonts w:ascii="Times New Roman" w:hAnsi="Times New Roman" w:cs="Times New Roman"/>
          <w:sz w:val="24"/>
          <w:szCs w:val="24"/>
          <w:lang w:val="pt-BR"/>
        </w:rPr>
        <w:t>):</w:t>
      </w:r>
    </w:p>
    <w:p w14:paraId="43C8E419" w14:textId="261C28B4" w:rsidR="002F6675" w:rsidRPr="00453BB3" w:rsidRDefault="002E3D8F" w:rsidP="002F6675">
      <w:pPr>
        <w:pStyle w:val="ListParagraph"/>
        <w:numPr>
          <w:ilvl w:val="0"/>
          <w:numId w:val="12"/>
        </w:numPr>
        <w:spacing w:after="120" w:line="360" w:lineRule="auto"/>
        <w:ind w:left="993"/>
        <w:rPr>
          <w:rFonts w:ascii="Times New Roman" w:hAnsi="Times New Roman" w:cs="Times New Roman"/>
          <w:sz w:val="24"/>
          <w:szCs w:val="24"/>
          <w:lang w:val="pt-BR"/>
        </w:rPr>
      </w:pPr>
      <w:r w:rsidRPr="002F6675">
        <w:rPr>
          <w:rFonts w:ascii="Times New Roman" w:hAnsi="Times New Roman" w:cs="Times New Roman"/>
          <w:sz w:val="24"/>
          <w:szCs w:val="24"/>
          <w:lang w:val="pt-BR"/>
        </w:rPr>
        <w:t xml:space="preserve">Proporcionar uma valorização no </w:t>
      </w:r>
      <w:r w:rsidR="007F277B" w:rsidRPr="002F6675">
        <w:rPr>
          <w:rFonts w:ascii="Times New Roman" w:hAnsi="Times New Roman" w:cs="Times New Roman"/>
          <w:sz w:val="24"/>
          <w:szCs w:val="24"/>
          <w:lang w:val="pt-BR"/>
        </w:rPr>
        <w:t xml:space="preserve">mercado imobiliário </w:t>
      </w:r>
      <w:r w:rsidRPr="002F6675">
        <w:rPr>
          <w:rFonts w:ascii="Times New Roman" w:hAnsi="Times New Roman" w:cs="Times New Roman"/>
          <w:sz w:val="24"/>
          <w:szCs w:val="24"/>
          <w:lang w:val="pt-BR"/>
        </w:rPr>
        <w:t xml:space="preserve">para </w:t>
      </w:r>
      <w:r w:rsidR="007F277B" w:rsidRPr="00C7001E">
        <w:rPr>
          <w:rFonts w:ascii="Times New Roman" w:hAnsi="Times New Roman" w:cs="Times New Roman"/>
          <w:sz w:val="24"/>
          <w:szCs w:val="24"/>
          <w:lang w:val="pt-BR"/>
        </w:rPr>
        <w:t xml:space="preserve">os terrenos e edifícios existentes e incentivar a nova construção </w:t>
      </w:r>
      <w:r w:rsidR="002F6675" w:rsidRPr="00453BB3">
        <w:rPr>
          <w:rFonts w:ascii="Times New Roman" w:hAnsi="Times New Roman" w:cs="Times New Roman"/>
          <w:sz w:val="24"/>
          <w:szCs w:val="24"/>
          <w:lang w:val="pt-BR"/>
        </w:rPr>
        <w:t>através de intervenções tais como:</w:t>
      </w:r>
    </w:p>
    <w:p w14:paraId="0CE37850" w14:textId="77777777" w:rsidR="002F6675" w:rsidRPr="00332E0B" w:rsidRDefault="002F6675" w:rsidP="002F6675">
      <w:pPr>
        <w:pStyle w:val="ListParagraph"/>
        <w:numPr>
          <w:ilvl w:val="0"/>
          <w:numId w:val="13"/>
        </w:numPr>
        <w:spacing w:after="12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Realizar investimentos em </w:t>
      </w:r>
      <w:r w:rsidRPr="00332E0B">
        <w:rPr>
          <w:rFonts w:ascii="Times New Roman" w:hAnsi="Times New Roman" w:cs="Times New Roman"/>
          <w:sz w:val="24"/>
          <w:szCs w:val="24"/>
          <w:lang w:val="pt-BR"/>
        </w:rPr>
        <w:t>infraestrutura e serviços públicos (transporte, saneamento, etc.), inclusive com recursos do projeto do BID.</w:t>
      </w:r>
    </w:p>
    <w:p w14:paraId="0D8B57C1" w14:textId="77777777" w:rsidR="002F6675" w:rsidRPr="00CA2760" w:rsidRDefault="002F6675" w:rsidP="002F6675">
      <w:pPr>
        <w:pStyle w:val="ListParagraph"/>
        <w:numPr>
          <w:ilvl w:val="0"/>
          <w:numId w:val="13"/>
        </w:numPr>
        <w:spacing w:after="12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Preservar edifícios históricos.</w:t>
      </w:r>
    </w:p>
    <w:p w14:paraId="35B22D8D" w14:textId="77777777" w:rsidR="002F6675" w:rsidRPr="00CA2760" w:rsidRDefault="002F6675" w:rsidP="002F6675">
      <w:pPr>
        <w:pStyle w:val="ListParagraph"/>
        <w:numPr>
          <w:ilvl w:val="0"/>
          <w:numId w:val="13"/>
        </w:numPr>
        <w:spacing w:after="12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Solucionar problemas sociais através de programas de habitação social, emprego e renda, etc.</w:t>
      </w:r>
    </w:p>
    <w:p w14:paraId="0F8A5B09" w14:textId="6DF61631" w:rsidR="002F6675" w:rsidRPr="00CA2760" w:rsidRDefault="002F6675" w:rsidP="002F6675">
      <w:pPr>
        <w:pStyle w:val="ListParagraph"/>
        <w:numPr>
          <w:ilvl w:val="0"/>
          <w:numId w:val="13"/>
        </w:numPr>
        <w:spacing w:after="120" w:line="360" w:lineRule="auto"/>
        <w:rPr>
          <w:rFonts w:ascii="Times New Roman" w:hAnsi="Times New Roman" w:cs="Times New Roman"/>
          <w:sz w:val="24"/>
          <w:szCs w:val="24"/>
          <w:lang w:val="pt-BR"/>
        </w:rPr>
      </w:pPr>
      <w:r w:rsidRPr="00E332E4">
        <w:rPr>
          <w:rFonts w:ascii="Times New Roman" w:hAnsi="Times New Roman" w:cs="Times New Roman"/>
          <w:sz w:val="24"/>
          <w:szCs w:val="24"/>
          <w:lang w:val="pt-BR"/>
        </w:rPr>
        <w:t>Usar o planejamento e controle do uso d</w:t>
      </w:r>
      <w:r w:rsidR="00980437">
        <w:rPr>
          <w:rFonts w:ascii="Times New Roman" w:hAnsi="Times New Roman" w:cs="Times New Roman"/>
          <w:sz w:val="24"/>
          <w:szCs w:val="24"/>
          <w:lang w:val="pt-BR"/>
        </w:rPr>
        <w:t>o solo</w:t>
      </w:r>
      <w:r w:rsidRPr="00E332E4">
        <w:rPr>
          <w:rFonts w:ascii="Times New Roman" w:hAnsi="Times New Roman" w:cs="Times New Roman"/>
          <w:sz w:val="24"/>
          <w:szCs w:val="24"/>
          <w:lang w:val="pt-BR"/>
        </w:rPr>
        <w:t xml:space="preserve"> (por exemplo, controle de densidade e zoneamento) para gerar efeitos positivos</w:t>
      </w:r>
      <w:r w:rsidR="00980437">
        <w:rPr>
          <w:rFonts w:ascii="Times New Roman" w:hAnsi="Times New Roman" w:cs="Times New Roman"/>
          <w:sz w:val="24"/>
          <w:szCs w:val="24"/>
          <w:lang w:val="pt-BR"/>
        </w:rPr>
        <w:t xml:space="preserve"> na vizinhança</w:t>
      </w:r>
      <w:r w:rsidRPr="00E332E4">
        <w:rPr>
          <w:rFonts w:ascii="Times New Roman" w:hAnsi="Times New Roman" w:cs="Times New Roman"/>
          <w:sz w:val="24"/>
          <w:szCs w:val="24"/>
          <w:lang w:val="pt-BR"/>
        </w:rPr>
        <w:t xml:space="preserve"> e reduzir os impactos </w:t>
      </w:r>
      <w:r w:rsidR="002F53C9" w:rsidRPr="00E332E4">
        <w:rPr>
          <w:rFonts w:ascii="Times New Roman" w:hAnsi="Times New Roman" w:cs="Times New Roman"/>
          <w:sz w:val="24"/>
          <w:szCs w:val="24"/>
          <w:lang w:val="pt-BR"/>
        </w:rPr>
        <w:t>negativos.</w:t>
      </w:r>
    </w:p>
    <w:p w14:paraId="4C29D478" w14:textId="7DF97F27" w:rsidR="007F277B" w:rsidRPr="00CA2760" w:rsidRDefault="007F277B" w:rsidP="00541FE8">
      <w:pPr>
        <w:pStyle w:val="ListParagraph"/>
        <w:numPr>
          <w:ilvl w:val="0"/>
          <w:numId w:val="12"/>
        </w:numPr>
        <w:spacing w:after="120" w:line="360" w:lineRule="auto"/>
        <w:ind w:left="993"/>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Captar uma parcela da valorização </w:t>
      </w:r>
      <w:r w:rsidR="001A2B95">
        <w:rPr>
          <w:rFonts w:ascii="Times New Roman" w:hAnsi="Times New Roman" w:cs="Times New Roman"/>
          <w:sz w:val="24"/>
          <w:szCs w:val="24"/>
          <w:lang w:val="pt-BR"/>
        </w:rPr>
        <w:t xml:space="preserve">do solo </w:t>
      </w:r>
      <w:r w:rsidRPr="00CA2760">
        <w:rPr>
          <w:rFonts w:ascii="Times New Roman" w:hAnsi="Times New Roman" w:cs="Times New Roman"/>
          <w:sz w:val="24"/>
          <w:szCs w:val="24"/>
          <w:lang w:val="pt-BR"/>
        </w:rPr>
        <w:t>gerada pelos investimentos e outras intervenções para financiar obras de infraestrutura e serviços públicos.</w:t>
      </w:r>
    </w:p>
    <w:p w14:paraId="44B32426" w14:textId="6EDFF52F" w:rsidR="005B1C33" w:rsidRDefault="007F277B" w:rsidP="007F277B">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A captura da valorização provocada (etapa 2</w:t>
      </w:r>
      <w:r w:rsidR="002E3D8F">
        <w:rPr>
          <w:rFonts w:ascii="Times New Roman" w:hAnsi="Times New Roman" w:cs="Times New Roman"/>
          <w:sz w:val="24"/>
          <w:szCs w:val="24"/>
          <w:lang w:val="pt-BR"/>
        </w:rPr>
        <w:t xml:space="preserve"> no gráfico </w:t>
      </w:r>
      <w:r w:rsidR="00C61BEE">
        <w:rPr>
          <w:rFonts w:ascii="Times New Roman" w:hAnsi="Times New Roman" w:cs="Times New Roman"/>
          <w:sz w:val="24"/>
          <w:szCs w:val="24"/>
          <w:lang w:val="pt-BR"/>
        </w:rPr>
        <w:t>9</w:t>
      </w:r>
      <w:r w:rsidRPr="00CA2760">
        <w:rPr>
          <w:rFonts w:ascii="Times New Roman" w:hAnsi="Times New Roman" w:cs="Times New Roman"/>
          <w:sz w:val="24"/>
          <w:szCs w:val="24"/>
          <w:lang w:val="pt-BR"/>
        </w:rPr>
        <w:t xml:space="preserve">) geraria recursos para novos investimentos e </w:t>
      </w:r>
      <w:r w:rsidR="002E3D8F">
        <w:rPr>
          <w:rFonts w:ascii="Times New Roman" w:hAnsi="Times New Roman" w:cs="Times New Roman"/>
          <w:sz w:val="24"/>
          <w:szCs w:val="24"/>
          <w:lang w:val="pt-BR"/>
        </w:rPr>
        <w:t xml:space="preserve">consequente </w:t>
      </w:r>
      <w:r w:rsidRPr="00CA2760">
        <w:rPr>
          <w:rFonts w:ascii="Times New Roman" w:hAnsi="Times New Roman" w:cs="Times New Roman"/>
          <w:sz w:val="24"/>
          <w:szCs w:val="24"/>
          <w:lang w:val="pt-BR"/>
        </w:rPr>
        <w:t xml:space="preserve">valorização.  Ou seja, a captura deste valor poderia produzir uma retroalimentação (i.e., </w:t>
      </w:r>
      <w:r w:rsidRPr="00CA2760">
        <w:rPr>
          <w:rFonts w:ascii="Times New Roman" w:hAnsi="Times New Roman" w:cs="Times New Roman"/>
          <w:i/>
          <w:sz w:val="24"/>
          <w:szCs w:val="24"/>
          <w:lang w:val="pt-BR"/>
        </w:rPr>
        <w:t>feedback</w:t>
      </w:r>
      <w:r w:rsidRPr="00CA2760">
        <w:rPr>
          <w:rFonts w:ascii="Times New Roman" w:hAnsi="Times New Roman" w:cs="Times New Roman"/>
          <w:sz w:val="24"/>
          <w:szCs w:val="24"/>
          <w:lang w:val="pt-BR"/>
        </w:rPr>
        <w:t>) positiv</w:t>
      </w:r>
      <w:r w:rsidR="00C61BEE">
        <w:rPr>
          <w:rFonts w:ascii="Times New Roman" w:hAnsi="Times New Roman" w:cs="Times New Roman"/>
          <w:sz w:val="24"/>
          <w:szCs w:val="24"/>
          <w:lang w:val="pt-BR"/>
        </w:rPr>
        <w:t>a</w:t>
      </w:r>
      <w:r w:rsidRPr="00CA2760">
        <w:rPr>
          <w:rFonts w:ascii="Times New Roman" w:hAnsi="Times New Roman" w:cs="Times New Roman"/>
          <w:sz w:val="24"/>
          <w:szCs w:val="24"/>
          <w:lang w:val="pt-BR"/>
        </w:rPr>
        <w:t xml:space="preserve">, gerando assim um círculo virtuoso no desenvolvimento </w:t>
      </w:r>
      <w:r w:rsidR="002E3D8F">
        <w:rPr>
          <w:rFonts w:ascii="Times New Roman" w:hAnsi="Times New Roman" w:cs="Times New Roman"/>
          <w:sz w:val="24"/>
          <w:szCs w:val="24"/>
          <w:lang w:val="pt-BR"/>
        </w:rPr>
        <w:t>da área</w:t>
      </w:r>
      <w:r w:rsidRPr="00CA2760">
        <w:rPr>
          <w:rFonts w:ascii="Times New Roman" w:hAnsi="Times New Roman" w:cs="Times New Roman"/>
          <w:sz w:val="24"/>
          <w:szCs w:val="24"/>
          <w:lang w:val="pt-BR"/>
        </w:rPr>
        <w:t>.</w:t>
      </w:r>
    </w:p>
    <w:p w14:paraId="2F8ACD67" w14:textId="77777777" w:rsidR="00C7001E" w:rsidRPr="00E332E4" w:rsidRDefault="00C7001E" w:rsidP="00C7001E">
      <w:pPr>
        <w:rPr>
          <w:lang w:val="pt-BR"/>
        </w:rPr>
        <w:sectPr w:rsidR="00C7001E" w:rsidRPr="00E332E4">
          <w:pgSz w:w="12240" w:h="15840"/>
          <w:pgMar w:top="1440" w:right="1440" w:bottom="1440" w:left="1440" w:header="720" w:footer="720" w:gutter="0"/>
          <w:cols w:space="720"/>
          <w:docGrid w:linePitch="360"/>
        </w:sectPr>
      </w:pPr>
    </w:p>
    <w:p w14:paraId="7AF6C4BA" w14:textId="77777777" w:rsidR="00C7001E" w:rsidRPr="00E332E4" w:rsidRDefault="00C7001E" w:rsidP="00C7001E">
      <w:pPr>
        <w:rPr>
          <w:lang w:val="pt-BR"/>
        </w:rPr>
      </w:pPr>
    </w:p>
    <w:p w14:paraId="67E60B61" w14:textId="29B08800" w:rsidR="00C7001E" w:rsidRPr="0064117E" w:rsidRDefault="00C7001E" w:rsidP="00C7001E">
      <w:pPr>
        <w:rPr>
          <w:lang w:val="pt-BR"/>
        </w:rPr>
      </w:pPr>
      <w:r w:rsidRPr="001B6F50">
        <w:rPr>
          <w:rFonts w:ascii="Times New Roman" w:hAnsi="Times New Roman" w:cs="Times New Roman"/>
          <w:sz w:val="24"/>
          <w:szCs w:val="24"/>
          <w:lang w:val="pt-BR"/>
        </w:rPr>
        <w:t xml:space="preserve">Gráfico </w:t>
      </w:r>
      <w:r w:rsidR="00EB2601">
        <w:rPr>
          <w:rFonts w:ascii="Times New Roman" w:hAnsi="Times New Roman" w:cs="Times New Roman"/>
          <w:sz w:val="24"/>
          <w:szCs w:val="24"/>
          <w:lang w:val="pt-BR"/>
        </w:rPr>
        <w:t>9</w:t>
      </w:r>
      <w:r>
        <w:rPr>
          <w:rFonts w:ascii="Times New Roman" w:hAnsi="Times New Roman" w:cs="Times New Roman"/>
          <w:sz w:val="24"/>
          <w:szCs w:val="24"/>
          <w:lang w:val="pt-BR"/>
        </w:rPr>
        <w:t>.</w:t>
      </w:r>
      <w:r w:rsidRPr="001B6F50">
        <w:rPr>
          <w:rFonts w:ascii="Times New Roman" w:hAnsi="Times New Roman" w:cs="Times New Roman"/>
          <w:sz w:val="24"/>
          <w:szCs w:val="24"/>
          <w:lang w:val="pt-BR"/>
        </w:rPr>
        <w:t xml:space="preserve"> Financiamento de investimentos em infraestrutura por meio da captura do valor gerado por intervenções públicas</w:t>
      </w:r>
    </w:p>
    <w:p w14:paraId="7F4F7328" w14:textId="3F021CA9" w:rsidR="00C7001E" w:rsidRPr="00671719" w:rsidRDefault="00980437" w:rsidP="00C7001E">
      <w:pPr>
        <w:tabs>
          <w:tab w:val="left" w:pos="9214"/>
        </w:tabs>
        <w:rPr>
          <w:lang w:val="pt-BR"/>
        </w:rPr>
      </w:pPr>
      <w:r w:rsidRPr="00980437">
        <w:rPr>
          <w:noProof/>
        </w:rPr>
        <w:drawing>
          <wp:inline distT="0" distB="0" distL="0" distR="0" wp14:anchorId="7371CBC2" wp14:editId="3D2843EE">
            <wp:extent cx="9144000" cy="4393963"/>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4393963"/>
                    </a:xfrm>
                    <a:prstGeom prst="rect">
                      <a:avLst/>
                    </a:prstGeom>
                    <a:noFill/>
                    <a:ln>
                      <a:noFill/>
                    </a:ln>
                  </pic:spPr>
                </pic:pic>
              </a:graphicData>
            </a:graphic>
          </wp:inline>
        </w:drawing>
      </w:r>
    </w:p>
    <w:p w14:paraId="2601CD74" w14:textId="77777777" w:rsidR="00C7001E" w:rsidRPr="00671719" w:rsidRDefault="00C7001E" w:rsidP="00C7001E">
      <w:pPr>
        <w:rPr>
          <w:rFonts w:ascii="Times New Roman" w:hAnsi="Times New Roman" w:cs="Times New Roman"/>
          <w:bCs/>
          <w:sz w:val="24"/>
          <w:szCs w:val="24"/>
          <w:lang w:val="pt-BR"/>
        </w:rPr>
      </w:pPr>
      <w:r w:rsidRPr="00671719">
        <w:rPr>
          <w:rFonts w:ascii="Times New Roman" w:hAnsi="Times New Roman" w:cs="Times New Roman"/>
          <w:bCs/>
          <w:sz w:val="24"/>
          <w:szCs w:val="24"/>
          <w:lang w:val="pt-BR"/>
        </w:rPr>
        <w:t>Fonte: Vetter and Vetter (2018).</w:t>
      </w:r>
    </w:p>
    <w:p w14:paraId="2E33A1CD" w14:textId="77777777" w:rsidR="00C7001E" w:rsidRPr="00671719" w:rsidRDefault="00C7001E" w:rsidP="00C7001E">
      <w:pPr>
        <w:rPr>
          <w:rFonts w:ascii="Times New Roman" w:hAnsi="Times New Roman" w:cs="Times New Roman"/>
          <w:bCs/>
          <w:sz w:val="24"/>
          <w:szCs w:val="24"/>
          <w:lang w:val="pt-BR"/>
        </w:rPr>
      </w:pPr>
    </w:p>
    <w:p w14:paraId="0DD2F3F7" w14:textId="77777777" w:rsidR="00C7001E" w:rsidRPr="00671719" w:rsidRDefault="00C7001E" w:rsidP="00C7001E">
      <w:pPr>
        <w:rPr>
          <w:lang w:val="pt-BR"/>
        </w:rPr>
        <w:sectPr w:rsidR="00C7001E" w:rsidRPr="00671719" w:rsidSect="00A30A2F">
          <w:pgSz w:w="15840" w:h="12240" w:orient="landscape"/>
          <w:pgMar w:top="720" w:right="720" w:bottom="720" w:left="720" w:header="720" w:footer="720" w:gutter="0"/>
          <w:cols w:space="720"/>
          <w:docGrid w:linePitch="360"/>
        </w:sectPr>
      </w:pPr>
    </w:p>
    <w:p w14:paraId="70E610F0" w14:textId="77777777" w:rsidR="00C7001E" w:rsidRPr="00671719" w:rsidRDefault="00C7001E" w:rsidP="00C7001E">
      <w:pPr>
        <w:rPr>
          <w:lang w:val="pt-BR"/>
        </w:rPr>
      </w:pPr>
    </w:p>
    <w:p w14:paraId="32299537" w14:textId="2C9B6A50" w:rsidR="007F277B" w:rsidRDefault="007F277B" w:rsidP="001A2B95">
      <w:pPr>
        <w:autoSpaceDE w:val="0"/>
        <w:autoSpaceDN w:val="0"/>
        <w:adjustRightInd w:val="0"/>
        <w:spacing w:after="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O Estatuto da Cidade (Lei Federal nº. 10.257 de 10/7/2001) possibilitou o uso de um número de instrumentos legais que permitem ao poder público capturar a </w:t>
      </w:r>
      <w:r w:rsidRPr="00332E0B">
        <w:rPr>
          <w:rFonts w:ascii="Times New Roman" w:hAnsi="Times New Roman" w:cs="Times New Roman"/>
          <w:sz w:val="24"/>
          <w:szCs w:val="24"/>
          <w:lang w:val="pt-BR"/>
        </w:rPr>
        <w:t>valorização do solo urbano</w:t>
      </w:r>
      <w:r w:rsidRPr="00CA2760">
        <w:rPr>
          <w:rFonts w:ascii="Times New Roman" w:hAnsi="Times New Roman" w:cs="Times New Roman"/>
          <w:sz w:val="24"/>
          <w:szCs w:val="24"/>
          <w:lang w:val="pt-BR"/>
        </w:rPr>
        <w:t xml:space="preserve"> produzida pelos investimentos em infraestrutura urbana e também por outras intervenções </w:t>
      </w:r>
      <w:r w:rsidR="001A2B95">
        <w:rPr>
          <w:rFonts w:ascii="Times New Roman" w:hAnsi="Times New Roman" w:cs="Times New Roman"/>
          <w:sz w:val="24"/>
          <w:szCs w:val="24"/>
          <w:lang w:val="pt-BR"/>
        </w:rPr>
        <w:t>em seu uso</w:t>
      </w:r>
      <w:r w:rsidRPr="00CA2760">
        <w:rPr>
          <w:rFonts w:ascii="Times New Roman" w:hAnsi="Times New Roman" w:cs="Times New Roman"/>
          <w:sz w:val="24"/>
          <w:szCs w:val="24"/>
          <w:lang w:val="pt-BR"/>
        </w:rPr>
        <w:t xml:space="preserve"> (e.g., zoneamento e </w:t>
      </w:r>
      <w:r w:rsidR="00C7001E">
        <w:rPr>
          <w:rFonts w:ascii="Times New Roman" w:hAnsi="Times New Roman" w:cs="Times New Roman"/>
          <w:sz w:val="24"/>
          <w:szCs w:val="24"/>
          <w:lang w:val="pt-BR"/>
        </w:rPr>
        <w:t>controles de densidade</w:t>
      </w:r>
      <w:r w:rsidRPr="00CA2760">
        <w:rPr>
          <w:rFonts w:ascii="Times New Roman" w:hAnsi="Times New Roman" w:cs="Times New Roman"/>
          <w:sz w:val="24"/>
          <w:szCs w:val="24"/>
          <w:lang w:val="pt-BR"/>
        </w:rPr>
        <w:t>), incluindo</w:t>
      </w:r>
      <w:r w:rsidR="001A2B95">
        <w:rPr>
          <w:rFonts w:ascii="Times New Roman" w:hAnsi="Times New Roman" w:cs="Times New Roman"/>
          <w:sz w:val="24"/>
          <w:szCs w:val="24"/>
          <w:lang w:val="pt-BR"/>
        </w:rPr>
        <w:t xml:space="preserve"> por exemplo</w:t>
      </w:r>
      <w:r w:rsidRPr="00CA2760">
        <w:rPr>
          <w:rFonts w:ascii="Times New Roman" w:hAnsi="Times New Roman" w:cs="Times New Roman"/>
          <w:sz w:val="24"/>
          <w:szCs w:val="24"/>
          <w:lang w:val="pt-BR"/>
        </w:rPr>
        <w:t>:</w:t>
      </w:r>
      <w:r w:rsidR="005B1C33">
        <w:rPr>
          <w:rFonts w:ascii="Times New Roman" w:hAnsi="Times New Roman" w:cs="Times New Roman"/>
          <w:sz w:val="24"/>
          <w:szCs w:val="24"/>
          <w:lang w:val="pt-BR"/>
        </w:rPr>
        <w:t xml:space="preserve"> </w:t>
      </w:r>
      <w:r w:rsidRPr="00CA2760">
        <w:rPr>
          <w:rFonts w:ascii="Times New Roman" w:hAnsi="Times New Roman" w:cs="Times New Roman"/>
          <w:sz w:val="24"/>
          <w:szCs w:val="24"/>
          <w:lang w:val="pt-BR"/>
        </w:rPr>
        <w:t>IPTU, ITBI</w:t>
      </w:r>
      <w:r w:rsidR="001A2B95">
        <w:rPr>
          <w:rFonts w:ascii="Times New Roman" w:hAnsi="Times New Roman" w:cs="Times New Roman"/>
          <w:sz w:val="24"/>
          <w:szCs w:val="24"/>
          <w:lang w:val="pt-BR"/>
        </w:rPr>
        <w:t>,</w:t>
      </w:r>
      <w:r w:rsidRPr="00CA2760">
        <w:rPr>
          <w:rFonts w:ascii="Times New Roman" w:hAnsi="Times New Roman" w:cs="Times New Roman"/>
          <w:sz w:val="24"/>
          <w:szCs w:val="24"/>
          <w:lang w:val="pt-BR"/>
        </w:rPr>
        <w:t xml:space="preserve"> Contribuição de Melhoria</w:t>
      </w:r>
      <w:r w:rsidR="001A2B95">
        <w:rPr>
          <w:rFonts w:ascii="Times New Roman" w:hAnsi="Times New Roman" w:cs="Times New Roman"/>
          <w:sz w:val="24"/>
          <w:szCs w:val="24"/>
          <w:lang w:val="pt-BR"/>
        </w:rPr>
        <w:t xml:space="preserve">, </w:t>
      </w:r>
      <w:r w:rsidRPr="00CA2760">
        <w:rPr>
          <w:rFonts w:ascii="Times New Roman" w:hAnsi="Times New Roman" w:cs="Times New Roman"/>
          <w:sz w:val="24"/>
          <w:szCs w:val="24"/>
          <w:lang w:val="pt-BR"/>
        </w:rPr>
        <w:t>Outorga Onerosa e CEPACs (Certificados de Potencial Adicional de Construção)</w:t>
      </w:r>
      <w:r w:rsidR="005B1C33">
        <w:rPr>
          <w:rFonts w:ascii="Times New Roman" w:hAnsi="Times New Roman" w:cs="Times New Roman"/>
          <w:sz w:val="24"/>
          <w:szCs w:val="24"/>
          <w:lang w:val="pt-BR"/>
        </w:rPr>
        <w:t xml:space="preserve">.  </w:t>
      </w:r>
      <w:r w:rsidRPr="00CA2760">
        <w:rPr>
          <w:rFonts w:ascii="Times New Roman" w:hAnsi="Times New Roman" w:cs="Times New Roman"/>
          <w:sz w:val="24"/>
          <w:szCs w:val="24"/>
          <w:lang w:val="pt-BR"/>
        </w:rPr>
        <w:t>Estes instrumentos poderiam ser utilizados em conjunto com Parcerias Público-Privadas (PPPs) ou concessões</w:t>
      </w:r>
      <w:r w:rsidR="00C7001E">
        <w:rPr>
          <w:rFonts w:ascii="Times New Roman" w:hAnsi="Times New Roman" w:cs="Times New Roman"/>
          <w:sz w:val="24"/>
          <w:szCs w:val="24"/>
          <w:lang w:val="pt-BR"/>
        </w:rPr>
        <w:t xml:space="preserve"> (i.e., Project Finance)</w:t>
      </w:r>
      <w:r w:rsidRPr="00CA2760">
        <w:rPr>
          <w:rFonts w:ascii="Times New Roman" w:hAnsi="Times New Roman" w:cs="Times New Roman"/>
          <w:sz w:val="24"/>
          <w:szCs w:val="24"/>
          <w:lang w:val="pt-BR"/>
        </w:rPr>
        <w:t>. Uma das grandes vantagens destes instrumentos é oferecer maneiras de financiar infraestrutura sem aumentar o déficit ou endividamento municipal.  Ou seja, estes instrumentos auxiliam na criação de espaço fiscal para investimentos em infraestrutura municipal (Vetter e Vetter 2011).</w:t>
      </w:r>
    </w:p>
    <w:p w14:paraId="3D0FCC5D" w14:textId="77777777" w:rsidR="001A2B95" w:rsidRPr="00332E0B" w:rsidRDefault="001A2B95" w:rsidP="00332E0B">
      <w:pPr>
        <w:autoSpaceDE w:val="0"/>
        <w:autoSpaceDN w:val="0"/>
        <w:adjustRightInd w:val="0"/>
        <w:spacing w:after="0" w:line="360" w:lineRule="auto"/>
        <w:rPr>
          <w:rFonts w:ascii="MS Shell Dlg 2" w:hAnsi="MS Shell Dlg 2" w:cs="MS Shell Dlg 2"/>
          <w:sz w:val="16"/>
          <w:szCs w:val="16"/>
          <w:lang w:val="pt-BR"/>
        </w:rPr>
      </w:pPr>
    </w:p>
    <w:p w14:paraId="46216B2F" w14:textId="50991351" w:rsidR="005B1C33" w:rsidRPr="009E6880" w:rsidRDefault="007F277B" w:rsidP="005B1C33">
      <w:pPr>
        <w:spacing w:line="360" w:lineRule="auto"/>
        <w:ind w:left="-90"/>
        <w:rPr>
          <w:rFonts w:ascii="Times New Roman" w:hAnsi="Times New Roman" w:cs="Times New Roman"/>
          <w:b/>
          <w:sz w:val="24"/>
          <w:szCs w:val="24"/>
          <w:lang w:val="pt-BR"/>
        </w:rPr>
      </w:pPr>
      <w:r w:rsidRPr="009E6880">
        <w:rPr>
          <w:rFonts w:ascii="Times New Roman" w:hAnsi="Times New Roman" w:cs="Times New Roman"/>
          <w:b/>
          <w:sz w:val="24"/>
          <w:szCs w:val="24"/>
          <w:lang w:val="pt-BR"/>
        </w:rPr>
        <w:t>IPTU, ITBI e Contribuição de Melhoria</w:t>
      </w:r>
    </w:p>
    <w:p w14:paraId="070CF617" w14:textId="7F3D2676" w:rsidR="007F277B" w:rsidRPr="00CA2760" w:rsidRDefault="007F277B" w:rsidP="005B1C33">
      <w:pPr>
        <w:spacing w:line="360" w:lineRule="auto"/>
        <w:ind w:left="-90"/>
        <w:rPr>
          <w:rFonts w:ascii="Times New Roman" w:hAnsi="Times New Roman" w:cs="Times New Roman"/>
          <w:sz w:val="24"/>
          <w:szCs w:val="24"/>
          <w:u w:val="single"/>
          <w:lang w:val="pt-BR"/>
        </w:rPr>
      </w:pPr>
      <w:r w:rsidRPr="00CA2760">
        <w:rPr>
          <w:rFonts w:ascii="Times New Roman" w:hAnsi="Times New Roman" w:cs="Times New Roman"/>
          <w:sz w:val="24"/>
          <w:szCs w:val="24"/>
          <w:lang w:val="pt-BR"/>
        </w:rPr>
        <w:t xml:space="preserve">Os investimentos em infraestrutura urbana e outras intervenções públicas normalmente aumentam o valor dos imóveis e do solo urbano, o que possui um impacto positivo sobre a arrecadação do IPTU se as avaliações de valor venal </w:t>
      </w:r>
      <w:r w:rsidR="00DA2861">
        <w:rPr>
          <w:rFonts w:ascii="Times New Roman" w:hAnsi="Times New Roman" w:cs="Times New Roman"/>
          <w:sz w:val="24"/>
          <w:szCs w:val="24"/>
          <w:lang w:val="pt-BR"/>
        </w:rPr>
        <w:t xml:space="preserve">fossem periodicamente </w:t>
      </w:r>
      <w:r w:rsidRPr="00CA2760">
        <w:rPr>
          <w:rFonts w:ascii="Times New Roman" w:hAnsi="Times New Roman" w:cs="Times New Roman"/>
          <w:sz w:val="24"/>
          <w:szCs w:val="24"/>
          <w:lang w:val="pt-BR"/>
        </w:rPr>
        <w:t xml:space="preserve">atualizadas </w:t>
      </w:r>
      <w:r w:rsidR="00DA2861">
        <w:rPr>
          <w:rFonts w:ascii="Times New Roman" w:hAnsi="Times New Roman" w:cs="Times New Roman"/>
          <w:sz w:val="24"/>
          <w:szCs w:val="24"/>
          <w:lang w:val="pt-BR"/>
        </w:rPr>
        <w:t xml:space="preserve">de forma a refletir as mudanças de preço dos imóveis.  </w:t>
      </w:r>
      <w:r w:rsidRPr="00CA2760">
        <w:rPr>
          <w:rFonts w:ascii="Times New Roman" w:hAnsi="Times New Roman" w:cs="Times New Roman"/>
          <w:sz w:val="24"/>
          <w:szCs w:val="24"/>
          <w:lang w:val="pt-BR"/>
        </w:rPr>
        <w:t>Também, esperar-se-ia que o incremento dos valores imobiliários aumentaria a receita de ITBI, especialmente se as melhorias produzissem um aumento do número de transações imobiliárias em valor de mercado razoavelmente avaliado.</w:t>
      </w:r>
      <w:r w:rsidR="00F40FEC">
        <w:rPr>
          <w:rFonts w:ascii="Times New Roman" w:hAnsi="Times New Roman" w:cs="Times New Roman"/>
          <w:sz w:val="24"/>
          <w:szCs w:val="24"/>
          <w:lang w:val="pt-BR"/>
        </w:rPr>
        <w:t xml:space="preserve">  </w:t>
      </w:r>
      <w:r w:rsidRPr="00CA2760">
        <w:rPr>
          <w:rFonts w:ascii="Times New Roman" w:hAnsi="Times New Roman" w:cs="Times New Roman"/>
          <w:sz w:val="24"/>
          <w:szCs w:val="24"/>
          <w:lang w:val="pt-BR"/>
        </w:rPr>
        <w:t xml:space="preserve">Finalmente, como foi notado acima, existe a contribuição de melhoria como forma para </w:t>
      </w:r>
      <w:r w:rsidR="006E6A91">
        <w:rPr>
          <w:rFonts w:ascii="Times New Roman" w:hAnsi="Times New Roman" w:cs="Times New Roman"/>
          <w:sz w:val="24"/>
          <w:szCs w:val="24"/>
          <w:lang w:val="pt-BR"/>
        </w:rPr>
        <w:t xml:space="preserve">captar o valor gerado por </w:t>
      </w:r>
      <w:r w:rsidR="009A24DF">
        <w:rPr>
          <w:rFonts w:ascii="Times New Roman" w:hAnsi="Times New Roman" w:cs="Times New Roman"/>
          <w:sz w:val="24"/>
          <w:szCs w:val="24"/>
          <w:lang w:val="pt-BR"/>
        </w:rPr>
        <w:t xml:space="preserve">obras </w:t>
      </w:r>
      <w:r w:rsidRPr="00CA2760">
        <w:rPr>
          <w:rFonts w:ascii="Times New Roman" w:hAnsi="Times New Roman" w:cs="Times New Roman"/>
          <w:sz w:val="24"/>
          <w:szCs w:val="24"/>
          <w:lang w:val="pt-BR"/>
        </w:rPr>
        <w:t xml:space="preserve">tais como pavimentação de ruas e drenagem.  </w:t>
      </w:r>
    </w:p>
    <w:p w14:paraId="1749857C" w14:textId="77777777" w:rsidR="007F277B" w:rsidRPr="009E6880" w:rsidRDefault="007F277B" w:rsidP="007F277B">
      <w:pPr>
        <w:spacing w:line="360" w:lineRule="auto"/>
        <w:rPr>
          <w:rFonts w:ascii="Times New Roman" w:hAnsi="Times New Roman" w:cs="Times New Roman"/>
          <w:b/>
          <w:sz w:val="24"/>
          <w:szCs w:val="24"/>
          <w:lang w:val="pt-BR"/>
        </w:rPr>
      </w:pPr>
      <w:r w:rsidRPr="009E6880">
        <w:rPr>
          <w:rFonts w:ascii="Times New Roman" w:hAnsi="Times New Roman" w:cs="Times New Roman"/>
          <w:b/>
          <w:sz w:val="24"/>
          <w:szCs w:val="24"/>
          <w:lang w:val="pt-BR"/>
        </w:rPr>
        <w:t>Outorga Onerosa e CEPACs</w:t>
      </w:r>
    </w:p>
    <w:p w14:paraId="7A929134" w14:textId="146D1694" w:rsidR="007F277B" w:rsidRPr="00CA2760" w:rsidRDefault="007F277B" w:rsidP="007F277B">
      <w:p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A Outorga Onerosa e os CEPACs foram instituídos pelo Estatuto da Cidade (Lei Federal nº. 10.257 de 10/7/2001).  A outorga onerosa é definida como “a concessão, pelo Poder Público, de potencial construtivo adicional acima do resultante da aplicação do Coeficiente de Aproveitamento Básico, até o limite estabelecido pelo Coeficiente de Aproveitamento Máximo, de alteração de uso e parâmetros urbanísticos, mediante pagamento de contrapartida financeira;” (Art. 146).  Os CEPACs são valores mobiliários emitidos por uma prefeitura, definida pela lei como “uma forma de contrapartida financeira de outorga onerosa do potencial construtivo adicional, alteração de uso e parâmetros urbanísticos, para uso específico nas Operações Urbanas </w:t>
      </w:r>
      <w:r w:rsidRPr="00CA2760">
        <w:rPr>
          <w:rFonts w:ascii="Times New Roman" w:hAnsi="Times New Roman" w:cs="Times New Roman"/>
          <w:sz w:val="24"/>
          <w:szCs w:val="24"/>
          <w:lang w:val="pt-BR"/>
        </w:rPr>
        <w:lastRenderedPageBreak/>
        <w:t>Consorciadas.” (Art. 146).  O art. 32 da mesma lei define a Operação Urbana Consorciada como "o conjunto de intervenções e medidas coordenadas pelo Poder Público municipal, com a participação dos proprietários, moradores, usuários permanentes e investidores privados, com o objetivo de alcançar em uma área transformações urbanísticas estruturais, melhorias sociais e a valorização ambiental."</w:t>
      </w:r>
    </w:p>
    <w:p w14:paraId="25EDF6C1" w14:textId="3128B5B8" w:rsidR="00923900" w:rsidRDefault="007F277B" w:rsidP="005B1C33">
      <w:pPr>
        <w:autoSpaceDE w:val="0"/>
        <w:autoSpaceDN w:val="0"/>
        <w:adjustRightInd w:val="0"/>
        <w:spacing w:after="12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Assim sendo, os CEPACs representam um novo e engenhoso mecanismo de captura do valor gerado por um programa de desenvolvimento em uma Área Consorciada Urbana. </w:t>
      </w:r>
      <w:r w:rsidRPr="00CA2760">
        <w:rPr>
          <w:rFonts w:ascii="Times New Roman" w:eastAsia="SimSun" w:hAnsi="Times New Roman" w:cs="Times New Roman"/>
          <w:bCs/>
          <w:sz w:val="24"/>
          <w:szCs w:val="24"/>
          <w:lang w:val="pt-BR" w:eastAsia="zh-CN"/>
        </w:rPr>
        <w:t xml:space="preserve">A regulamentação dos </w:t>
      </w:r>
      <w:r w:rsidRPr="00CA2760">
        <w:rPr>
          <w:rFonts w:ascii="Times New Roman" w:hAnsi="Times New Roman" w:cs="Times New Roman"/>
          <w:sz w:val="24"/>
          <w:szCs w:val="24"/>
          <w:lang w:val="pt-BR"/>
        </w:rPr>
        <w:t xml:space="preserve">CEPACs pela CVM (Comissão de Valores Mobiliários) em 2003 representa um forte apoio para a credibilidade e transparência deste instrumento financeiro.  O Município de São Paulo tem utilizado CEPACs em várias áreas consorciadas urbanas, inclusive Água Espraiada e Faria Lima. Cada CEPAC corresponde ao direito de construir um determinado número de metros quadrados adicionais e seu preço </w:t>
      </w:r>
      <w:r w:rsidRPr="00CA2760">
        <w:rPr>
          <w:rFonts w:ascii="Times New Roman" w:eastAsia="SimSun" w:hAnsi="Times New Roman" w:cs="Times New Roman"/>
          <w:sz w:val="24"/>
          <w:szCs w:val="24"/>
          <w:lang w:val="pt-BR" w:eastAsia="zh-CN"/>
        </w:rPr>
        <w:t>é definido através de leilões públicos regulamentados pela CVM.  Assim sendo, os CEPACs resolvem um problema que tem impedido a venda de direitos de construção adicional durante décadas no Brasil:  A falta de um método confiável e transparente de determinar o valor destes direitos de construção adicional.</w:t>
      </w:r>
      <w:r w:rsidRPr="00CA2760">
        <w:rPr>
          <w:rStyle w:val="FootnoteReference"/>
          <w:rFonts w:ascii="Times New Roman" w:eastAsia="SimSun" w:hAnsi="Times New Roman" w:cs="Times New Roman"/>
          <w:bCs/>
          <w:sz w:val="24"/>
          <w:szCs w:val="24"/>
          <w:lang w:val="pt-BR" w:eastAsia="zh-CN"/>
        </w:rPr>
        <w:footnoteReference w:id="11"/>
      </w:r>
      <w:r w:rsidRPr="00CA2760">
        <w:rPr>
          <w:rFonts w:ascii="Times New Roman" w:eastAsia="SimSun" w:hAnsi="Times New Roman" w:cs="Times New Roman"/>
          <w:bCs/>
          <w:sz w:val="24"/>
          <w:szCs w:val="24"/>
          <w:lang w:val="pt-BR" w:eastAsia="zh-CN"/>
        </w:rPr>
        <w:t xml:space="preserve">  Uma vez que o município poderia emitir os CEPACs ao longo da implementação do programa, o poder público poderia</w:t>
      </w:r>
      <w:r w:rsidRPr="00CA2760">
        <w:rPr>
          <w:rFonts w:ascii="Times New Roman" w:eastAsia="SimSun" w:hAnsi="Times New Roman" w:cs="Times New Roman"/>
          <w:sz w:val="24"/>
          <w:szCs w:val="24"/>
          <w:lang w:val="pt-BR" w:eastAsia="zh-CN"/>
        </w:rPr>
        <w:t>, portanto, beneficiar-se da valorização na área através do aumento do valor dos CEPACs nos leilões.</w:t>
      </w:r>
      <w:r w:rsidR="0042288E">
        <w:rPr>
          <w:rFonts w:ascii="Times New Roman" w:eastAsia="SimSun" w:hAnsi="Times New Roman" w:cs="Times New Roman"/>
          <w:sz w:val="24"/>
          <w:szCs w:val="24"/>
          <w:lang w:val="pt-BR" w:eastAsia="zh-CN"/>
        </w:rPr>
        <w:t xml:space="preserve">  </w:t>
      </w:r>
      <w:r w:rsidRPr="00CA2760">
        <w:rPr>
          <w:rFonts w:ascii="Times New Roman" w:eastAsia="SimSun" w:hAnsi="Times New Roman" w:cs="Times New Roman"/>
          <w:sz w:val="24"/>
          <w:szCs w:val="24"/>
          <w:lang w:val="pt-BR" w:eastAsia="zh-CN"/>
        </w:rPr>
        <w:t xml:space="preserve">As receitas provenientes dos leilões de CEPACs oferecidos durante a implementação da operação urbana somente podem ser utilizadas na área consorciada, e são depositadas em uma conta especial, não no tesouro municipal.  Assim sendo, isto assegura aos investidores privados que a receita capturada na venda dos CEPACs será utilizada somente na valorização da área consorciada. </w:t>
      </w:r>
      <w:r w:rsidRPr="00CA2760">
        <w:rPr>
          <w:rFonts w:ascii="Times New Roman" w:hAnsi="Times New Roman" w:cs="Times New Roman"/>
          <w:sz w:val="24"/>
          <w:szCs w:val="24"/>
          <w:lang w:val="pt-BR"/>
        </w:rPr>
        <w:t>As leis e regulamentos utilizados para a emissão de CEPACs são:</w:t>
      </w:r>
    </w:p>
    <w:p w14:paraId="74206C8E" w14:textId="21E9EB20" w:rsidR="007F277B" w:rsidRPr="00CA2760" w:rsidRDefault="007F277B" w:rsidP="00923900">
      <w:pPr>
        <w:numPr>
          <w:ilvl w:val="0"/>
          <w:numId w:val="7"/>
        </w:numPr>
        <w:autoSpaceDE w:val="0"/>
        <w:autoSpaceDN w:val="0"/>
        <w:adjustRightInd w:val="0"/>
        <w:spacing w:after="12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O Plano Diretor do Município que define as Operações Urbanas Consorciadas. A Instrução 401 da CVM que dispõe sobre os registros de negociação e de distribuição pública de CEPACs na Bovespa.</w:t>
      </w:r>
    </w:p>
    <w:p w14:paraId="1AF167EB" w14:textId="77777777" w:rsidR="007F277B" w:rsidRPr="00CA2760" w:rsidRDefault="007F277B" w:rsidP="00541FE8">
      <w:pPr>
        <w:numPr>
          <w:ilvl w:val="0"/>
          <w:numId w:val="7"/>
        </w:numPr>
        <w:autoSpaceDE w:val="0"/>
        <w:autoSpaceDN w:val="0"/>
        <w:adjustRightInd w:val="0"/>
        <w:spacing w:after="12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lastRenderedPageBreak/>
        <w:t>Leis específicas que definem os limites espaciais e programa de desenvolvimento urbano de cada Operação Urbana Consorciada.</w:t>
      </w:r>
    </w:p>
    <w:p w14:paraId="3A2C5E3D" w14:textId="0E444030" w:rsidR="007F277B" w:rsidRDefault="007F277B" w:rsidP="007F277B">
      <w:pPr>
        <w:spacing w:before="240" w:after="12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Segundo estas regras, o município pode outorgar de forma onerosa, mediante entrega de CEPACs para a área consociada urbana: (i) o potencial adicional de construção e (ii) a modificação dos usos e parâmetros urbanísticos.</w:t>
      </w:r>
    </w:p>
    <w:p w14:paraId="53282905" w14:textId="448AE2B1" w:rsidR="007F277B" w:rsidRPr="00555EA3" w:rsidRDefault="00A30940" w:rsidP="007F277B">
      <w:pPr>
        <w:spacing w:before="240"/>
        <w:rPr>
          <w:rFonts w:ascii="Times New Roman" w:hAnsi="Times New Roman" w:cs="Times New Roman"/>
          <w:b/>
          <w:bCs/>
          <w:sz w:val="24"/>
          <w:szCs w:val="24"/>
          <w:lang w:val="pt-BR"/>
        </w:rPr>
      </w:pPr>
      <w:r w:rsidRPr="00555EA3">
        <w:rPr>
          <w:rFonts w:ascii="Times New Roman" w:hAnsi="Times New Roman" w:cs="Times New Roman"/>
          <w:b/>
          <w:bCs/>
          <w:sz w:val="24"/>
          <w:szCs w:val="24"/>
          <w:lang w:val="pt-BR"/>
        </w:rPr>
        <w:t>Qual o montante d</w:t>
      </w:r>
      <w:r w:rsidR="00352942" w:rsidRPr="00555EA3">
        <w:rPr>
          <w:rFonts w:ascii="Times New Roman" w:hAnsi="Times New Roman" w:cs="Times New Roman"/>
          <w:b/>
          <w:bCs/>
          <w:sz w:val="24"/>
          <w:szCs w:val="24"/>
          <w:lang w:val="pt-BR"/>
        </w:rPr>
        <w:t>a</w:t>
      </w:r>
      <w:r w:rsidRPr="00555EA3">
        <w:rPr>
          <w:rFonts w:ascii="Times New Roman" w:hAnsi="Times New Roman" w:cs="Times New Roman"/>
          <w:b/>
          <w:bCs/>
          <w:sz w:val="24"/>
          <w:szCs w:val="24"/>
          <w:lang w:val="pt-BR"/>
        </w:rPr>
        <w:t xml:space="preserve"> valorização a</w:t>
      </w:r>
      <w:r w:rsidR="007F277B" w:rsidRPr="00555EA3">
        <w:rPr>
          <w:rFonts w:ascii="Times New Roman" w:hAnsi="Times New Roman" w:cs="Times New Roman"/>
          <w:b/>
          <w:bCs/>
          <w:sz w:val="24"/>
          <w:szCs w:val="24"/>
          <w:lang w:val="pt-BR"/>
        </w:rPr>
        <w:t xml:space="preserve"> </w:t>
      </w:r>
      <w:r w:rsidR="009314F3" w:rsidRPr="00555EA3">
        <w:rPr>
          <w:rFonts w:ascii="Times New Roman" w:hAnsi="Times New Roman" w:cs="Times New Roman"/>
          <w:b/>
          <w:bCs/>
          <w:sz w:val="24"/>
          <w:szCs w:val="24"/>
          <w:lang w:val="pt-BR"/>
        </w:rPr>
        <w:t>ser capturado para o financiamento de</w:t>
      </w:r>
      <w:r w:rsidR="007F277B" w:rsidRPr="00555EA3">
        <w:rPr>
          <w:rFonts w:ascii="Times New Roman" w:hAnsi="Times New Roman" w:cs="Times New Roman"/>
          <w:b/>
          <w:bCs/>
          <w:sz w:val="24"/>
          <w:szCs w:val="24"/>
          <w:lang w:val="pt-BR"/>
        </w:rPr>
        <w:t xml:space="preserve"> investimentos em infraestrutura?</w:t>
      </w:r>
    </w:p>
    <w:p w14:paraId="46BA7D02" w14:textId="43F048C1" w:rsidR="007F277B" w:rsidRPr="00CA2760" w:rsidRDefault="00352942" w:rsidP="007F277B">
      <w:pPr>
        <w:pStyle w:val="Heading1"/>
        <w:spacing w:line="360" w:lineRule="auto"/>
        <w:ind w:left="0" w:firstLine="0"/>
        <w:rPr>
          <w:color w:val="auto"/>
          <w:sz w:val="24"/>
          <w:szCs w:val="24"/>
          <w:lang w:val="pt-BR"/>
        </w:rPr>
      </w:pPr>
      <w:r>
        <w:rPr>
          <w:bCs/>
          <w:color w:val="auto"/>
          <w:sz w:val="24"/>
          <w:szCs w:val="24"/>
          <w:lang w:val="pt-BR"/>
        </w:rPr>
        <w:t>Qual o montante de valorização gerado através dos</w:t>
      </w:r>
      <w:r w:rsidR="009314F3">
        <w:rPr>
          <w:bCs/>
          <w:color w:val="auto"/>
          <w:sz w:val="24"/>
          <w:szCs w:val="24"/>
          <w:lang w:val="pt-BR"/>
        </w:rPr>
        <w:t xml:space="preserve"> </w:t>
      </w:r>
      <w:r w:rsidR="00332E0B">
        <w:rPr>
          <w:bCs/>
          <w:color w:val="auto"/>
          <w:sz w:val="24"/>
          <w:szCs w:val="24"/>
          <w:lang w:val="pt-BR"/>
        </w:rPr>
        <w:t>i</w:t>
      </w:r>
      <w:r w:rsidR="007F277B" w:rsidRPr="00CA2760">
        <w:rPr>
          <w:bCs/>
          <w:color w:val="auto"/>
          <w:sz w:val="24"/>
          <w:szCs w:val="24"/>
          <w:lang w:val="pt-BR"/>
        </w:rPr>
        <w:t xml:space="preserve">nvestimentos em infraestrutura?  </w:t>
      </w:r>
      <w:r w:rsidR="007F277B" w:rsidRPr="00CA2760">
        <w:rPr>
          <w:color w:val="auto"/>
          <w:sz w:val="24"/>
          <w:szCs w:val="24"/>
          <w:lang w:val="pt-BR"/>
        </w:rPr>
        <w:t>De acordo com o Teorema de Henry George, sob algumas premissas bastante restritivas:</w:t>
      </w:r>
    </w:p>
    <w:p w14:paraId="7B5A878C" w14:textId="77777777" w:rsidR="007F277B" w:rsidRPr="00CA2760" w:rsidRDefault="007F277B" w:rsidP="007F277B">
      <w:pPr>
        <w:spacing w:line="360" w:lineRule="auto"/>
        <w:ind w:firstLine="720"/>
        <w:rPr>
          <w:rFonts w:ascii="Times New Roman" w:hAnsi="Times New Roman" w:cs="Times New Roman"/>
          <w:i/>
          <w:sz w:val="24"/>
          <w:szCs w:val="24"/>
          <w:lang w:val="pt-BR"/>
        </w:rPr>
      </w:pPr>
      <w:r w:rsidRPr="00CA2760">
        <w:rPr>
          <w:rFonts w:ascii="Times New Roman" w:hAnsi="Times New Roman" w:cs="Times New Roman"/>
          <w:i/>
          <w:sz w:val="24"/>
          <w:szCs w:val="24"/>
          <w:lang w:val="pt-BR"/>
        </w:rPr>
        <w:t>Incremento total do valor da terra = investimento público</w:t>
      </w:r>
    </w:p>
    <w:p w14:paraId="66AE107E" w14:textId="67F96EC2" w:rsidR="007F277B" w:rsidRPr="00CA2760" w:rsidRDefault="007F277B" w:rsidP="007F277B">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Este teorema é geralmente aceito em economia urbana (Fujita e Thisse 2002).  Desta forma, teoricamente, todos os gastos do governo podem ser financiados pela captura do valor gerado pelos investimentos públicos.  Embora Henry George tenha defendido um único imposto sobre a terra, há uma ampla gama de instrumentos para capturar este valor, inclusive contribuição de melhoria. Embora as premissas sejam restritivas, vamos supor que este teorema se aplica e, então, o incremento total do valor da terra é igual ao investimento público.  Em Reais ajustados ao valor constante de 2012,</w:t>
      </w:r>
      <w:r w:rsidRPr="00CA2760">
        <w:rPr>
          <w:rStyle w:val="FootnoteReference"/>
          <w:rFonts w:ascii="Times New Roman" w:hAnsi="Times New Roman" w:cs="Times New Roman"/>
          <w:sz w:val="24"/>
          <w:szCs w:val="24"/>
          <w:lang w:val="pt-BR"/>
        </w:rPr>
        <w:footnoteReference w:id="12"/>
      </w:r>
      <w:r w:rsidRPr="00CA2760">
        <w:rPr>
          <w:rFonts w:ascii="Times New Roman" w:hAnsi="Times New Roman" w:cs="Times New Roman"/>
          <w:sz w:val="24"/>
          <w:szCs w:val="24"/>
          <w:lang w:val="pt-BR"/>
        </w:rPr>
        <w:t xml:space="preserve"> todos os municípios brasileiros investiram um total de R$160 bilhões (US$82 bilhões)</w:t>
      </w:r>
      <w:r w:rsidRPr="00CA2760">
        <w:rPr>
          <w:rStyle w:val="FootnoteReference"/>
          <w:rFonts w:ascii="Times New Roman" w:hAnsi="Times New Roman" w:cs="Times New Roman"/>
          <w:sz w:val="24"/>
          <w:szCs w:val="24"/>
          <w:lang w:val="pt-BR"/>
        </w:rPr>
        <w:footnoteReference w:id="13"/>
      </w:r>
      <w:r w:rsidRPr="00CA2760">
        <w:rPr>
          <w:rFonts w:ascii="Times New Roman" w:hAnsi="Times New Roman" w:cs="Times New Roman"/>
          <w:sz w:val="24"/>
          <w:szCs w:val="24"/>
          <w:lang w:val="pt-BR"/>
        </w:rPr>
        <w:t xml:space="preserve"> em capital fixo durante o período de 2006-2010.  A média do investimento ao ano foi R$32 bilhões (US$16 bilhões).  Assim sendo, a captura de apenas 10% do valor desses investimentos poderia financiar cerca de US$1,6 bilhões por ano de infraestrutura urbana.</w:t>
      </w:r>
    </w:p>
    <w:p w14:paraId="3EBBAB9B" w14:textId="77777777" w:rsidR="007F277B" w:rsidRPr="009E6880" w:rsidRDefault="007F277B" w:rsidP="007F277B">
      <w:pPr>
        <w:spacing w:line="360" w:lineRule="auto"/>
        <w:rPr>
          <w:rFonts w:ascii="Times New Roman" w:hAnsi="Times New Roman" w:cs="Times New Roman"/>
          <w:b/>
          <w:sz w:val="24"/>
          <w:szCs w:val="24"/>
          <w:lang w:val="pt-BR"/>
        </w:rPr>
      </w:pPr>
      <w:r w:rsidRPr="009E6880">
        <w:rPr>
          <w:rFonts w:ascii="Times New Roman" w:hAnsi="Times New Roman" w:cs="Times New Roman"/>
          <w:b/>
          <w:sz w:val="24"/>
          <w:szCs w:val="24"/>
          <w:lang w:val="pt-BR"/>
        </w:rPr>
        <w:t>Os incentivos para utilizar os instrumentos de captura de valor</w:t>
      </w:r>
    </w:p>
    <w:p w14:paraId="40B3407C" w14:textId="68531B0C" w:rsidR="007F277B" w:rsidRPr="00CA2760" w:rsidRDefault="007F277B" w:rsidP="007F277B">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O Paraná III poderia oferecer melhores condições no financiamento dos Programas de Investimento Municipal que utilizam estes instrumentos.  Por exemplo, o SFM poderia financiar uma porcentagem maior de um Programa de Investimento Municipal que emprega os instrumentos de captura de valor, tais como contribuição de melhoria ou CEPACs, já que o </w:t>
      </w:r>
      <w:r w:rsidRPr="00CA2760">
        <w:rPr>
          <w:rFonts w:ascii="Times New Roman" w:hAnsi="Times New Roman" w:cs="Times New Roman"/>
          <w:sz w:val="24"/>
          <w:szCs w:val="24"/>
          <w:lang w:val="pt-BR"/>
        </w:rPr>
        <w:lastRenderedPageBreak/>
        <w:t>município está recuperando uma parcela do custo do investimento.  Uma alternativa seria de considerar os investimentos do setor privado em concessões ou PPPs fornecendo infraestrutura municipal com estes instrumentos como contrapartida municipal.</w:t>
      </w:r>
    </w:p>
    <w:p w14:paraId="37BDB375" w14:textId="671AE5E9" w:rsidR="007F277B" w:rsidRPr="00CA2760" w:rsidRDefault="007F277B" w:rsidP="007F277B">
      <w:pPr>
        <w:spacing w:line="360" w:lineRule="auto"/>
        <w:rPr>
          <w:rFonts w:ascii="Times New Roman" w:hAnsi="Times New Roman" w:cs="Times New Roman"/>
          <w:b/>
          <w:sz w:val="24"/>
          <w:szCs w:val="24"/>
          <w:lang w:val="pt-BR"/>
        </w:rPr>
      </w:pPr>
      <w:r w:rsidRPr="00CA2760">
        <w:rPr>
          <w:rFonts w:ascii="Times New Roman" w:hAnsi="Times New Roman" w:cs="Times New Roman"/>
          <w:sz w:val="24"/>
          <w:szCs w:val="24"/>
          <w:lang w:val="pt-BR"/>
        </w:rPr>
        <w:t xml:space="preserve">Uma estratégia desta natureza também forneceria incentivos para os municípios na preparação e uso de um Programa de Investimento Municipal e também para melhorar seu desempenho financeiro de forma que se torne elegível para conseguir financiamento do programa.  Assim, a estratégia poderia aumentar o papel dos municípios no desenvolvimento nacional, enquanto </w:t>
      </w:r>
      <w:r w:rsidR="00D76D73">
        <w:rPr>
          <w:rFonts w:ascii="Times New Roman" w:hAnsi="Times New Roman" w:cs="Times New Roman"/>
          <w:sz w:val="24"/>
          <w:szCs w:val="24"/>
          <w:lang w:val="pt-BR"/>
        </w:rPr>
        <w:t>que proporcionaria</w:t>
      </w:r>
      <w:r w:rsidR="00D76D73" w:rsidRPr="00CA2760">
        <w:rPr>
          <w:rFonts w:ascii="Times New Roman" w:hAnsi="Times New Roman" w:cs="Times New Roman"/>
          <w:sz w:val="24"/>
          <w:szCs w:val="24"/>
          <w:lang w:val="pt-BR"/>
        </w:rPr>
        <w:t xml:space="preserve"> </w:t>
      </w:r>
      <w:r w:rsidRPr="00CA2760">
        <w:rPr>
          <w:rFonts w:ascii="Times New Roman" w:hAnsi="Times New Roman" w:cs="Times New Roman"/>
          <w:sz w:val="24"/>
          <w:szCs w:val="24"/>
          <w:lang w:val="pt-BR"/>
        </w:rPr>
        <w:t>incentivos para manter a disciplina fiscal.</w:t>
      </w:r>
    </w:p>
    <w:p w14:paraId="5B8221A2" w14:textId="7311710D" w:rsidR="000D6D66" w:rsidRPr="000D6D66" w:rsidRDefault="000D6D66" w:rsidP="000D6D66">
      <w:pPr>
        <w:spacing w:line="360" w:lineRule="auto"/>
        <w:rPr>
          <w:rFonts w:ascii="Times New Roman" w:hAnsi="Times New Roman" w:cs="Times New Roman"/>
          <w:sz w:val="24"/>
          <w:szCs w:val="24"/>
          <w:u w:val="single"/>
          <w:lang w:val="pt-PT"/>
        </w:rPr>
      </w:pPr>
      <w:bookmarkStart w:id="26" w:name="_Hlk513444581"/>
      <w:r w:rsidRPr="000D6D66">
        <w:rPr>
          <w:rFonts w:ascii="Times New Roman" w:hAnsi="Times New Roman" w:cs="Times New Roman"/>
          <w:sz w:val="24"/>
          <w:szCs w:val="24"/>
          <w:u w:val="single"/>
          <w:lang w:val="pt-PT"/>
        </w:rPr>
        <w:t>A importância de um cadastro moderno como primeiro passo em uma estratégia de captura de valor</w:t>
      </w:r>
    </w:p>
    <w:bookmarkEnd w:id="26"/>
    <w:p w14:paraId="2A511B85" w14:textId="60122368" w:rsidR="000D6D66" w:rsidRDefault="000D6D66" w:rsidP="000D6D66">
      <w:pPr>
        <w:spacing w:line="360" w:lineRule="auto"/>
        <w:rPr>
          <w:rFonts w:ascii="Times New Roman" w:hAnsi="Times New Roman" w:cs="Times New Roman"/>
          <w:sz w:val="24"/>
          <w:szCs w:val="24"/>
          <w:lang w:val="pt-PT"/>
        </w:rPr>
      </w:pPr>
      <w:r w:rsidRPr="00E332E4">
        <w:rPr>
          <w:rFonts w:ascii="Times New Roman" w:hAnsi="Times New Roman" w:cs="Times New Roman"/>
          <w:sz w:val="24"/>
          <w:szCs w:val="24"/>
          <w:lang w:val="pt-PT"/>
        </w:rPr>
        <w:t>A moder</w:t>
      </w:r>
      <w:r>
        <w:rPr>
          <w:rFonts w:ascii="Times New Roman" w:hAnsi="Times New Roman" w:cs="Times New Roman"/>
          <w:sz w:val="24"/>
          <w:szCs w:val="24"/>
          <w:lang w:val="pt-PT"/>
        </w:rPr>
        <w:t>nização</w:t>
      </w:r>
      <w:r w:rsidRPr="00E332E4">
        <w:rPr>
          <w:rFonts w:ascii="Times New Roman" w:hAnsi="Times New Roman" w:cs="Times New Roman"/>
          <w:sz w:val="24"/>
          <w:szCs w:val="24"/>
          <w:lang w:val="pt-PT"/>
        </w:rPr>
        <w:t xml:space="preserve"> do </w:t>
      </w:r>
      <w:r>
        <w:rPr>
          <w:rFonts w:ascii="Times New Roman" w:hAnsi="Times New Roman" w:cs="Times New Roman"/>
          <w:sz w:val="24"/>
          <w:szCs w:val="24"/>
          <w:lang w:val="pt-PT"/>
        </w:rPr>
        <w:t>c</w:t>
      </w:r>
      <w:r w:rsidRPr="00E332E4">
        <w:rPr>
          <w:rFonts w:ascii="Times New Roman" w:hAnsi="Times New Roman" w:cs="Times New Roman"/>
          <w:sz w:val="24"/>
          <w:szCs w:val="24"/>
          <w:lang w:val="pt-PT"/>
        </w:rPr>
        <w:t>adastro pode efetivamente aumentar a receita do</w:t>
      </w:r>
      <w:r>
        <w:rPr>
          <w:rFonts w:ascii="Times New Roman" w:hAnsi="Times New Roman" w:cs="Times New Roman"/>
          <w:sz w:val="24"/>
          <w:szCs w:val="24"/>
          <w:lang w:val="pt-PT"/>
        </w:rPr>
        <w:t>s impostos sobre o valor imobiliário e sua transferência (IPTU e ITBI)</w:t>
      </w:r>
      <w:r w:rsidRPr="00E332E4">
        <w:rPr>
          <w:rFonts w:ascii="Times New Roman" w:hAnsi="Times New Roman" w:cs="Times New Roman"/>
          <w:sz w:val="24"/>
          <w:szCs w:val="24"/>
          <w:lang w:val="pt-PT"/>
        </w:rPr>
        <w:t>, fornecendo estimativas mais precisas dos valores cadastrais do estoque de terrenos e edifícios.</w:t>
      </w:r>
      <w:r>
        <w:rPr>
          <w:rStyle w:val="FootnoteReference"/>
          <w:rFonts w:ascii="Times New Roman" w:hAnsi="Times New Roman" w:cs="Times New Roman"/>
          <w:sz w:val="24"/>
          <w:szCs w:val="24"/>
          <w:lang w:val="pt-PT"/>
        </w:rPr>
        <w:footnoteReference w:id="14"/>
      </w:r>
      <w:r w:rsidRPr="00E332E4">
        <w:rPr>
          <w:rFonts w:ascii="Times New Roman" w:hAnsi="Times New Roman" w:cs="Times New Roman"/>
          <w:sz w:val="24"/>
          <w:szCs w:val="24"/>
          <w:lang w:val="pt-PT"/>
        </w:rPr>
        <w:t xml:space="preserve"> Ess</w:t>
      </w:r>
      <w:r>
        <w:rPr>
          <w:rFonts w:ascii="Times New Roman" w:hAnsi="Times New Roman" w:cs="Times New Roman"/>
          <w:sz w:val="24"/>
          <w:szCs w:val="24"/>
          <w:lang w:val="pt-PT"/>
        </w:rPr>
        <w:t>a</w:t>
      </w:r>
      <w:r w:rsidRPr="00E332E4">
        <w:rPr>
          <w:rFonts w:ascii="Times New Roman" w:hAnsi="Times New Roman" w:cs="Times New Roman"/>
          <w:sz w:val="24"/>
          <w:szCs w:val="24"/>
          <w:lang w:val="pt-PT"/>
        </w:rPr>
        <w:t xml:space="preserve">s </w:t>
      </w:r>
      <w:r>
        <w:rPr>
          <w:rFonts w:ascii="Times New Roman" w:hAnsi="Times New Roman" w:cs="Times New Roman"/>
          <w:sz w:val="24"/>
          <w:szCs w:val="24"/>
          <w:lang w:val="pt-PT"/>
        </w:rPr>
        <w:t>estimativas</w:t>
      </w:r>
      <w:r w:rsidRPr="00E332E4">
        <w:rPr>
          <w:rFonts w:ascii="Times New Roman" w:hAnsi="Times New Roman" w:cs="Times New Roman"/>
          <w:sz w:val="24"/>
          <w:szCs w:val="24"/>
          <w:lang w:val="pt-PT"/>
        </w:rPr>
        <w:t xml:space="preserve"> também podem ser usad</w:t>
      </w:r>
      <w:r w:rsidR="00555EA3">
        <w:rPr>
          <w:rFonts w:ascii="Times New Roman" w:hAnsi="Times New Roman" w:cs="Times New Roman"/>
          <w:sz w:val="24"/>
          <w:szCs w:val="24"/>
          <w:lang w:val="pt-PT"/>
        </w:rPr>
        <w:t>a</w:t>
      </w:r>
      <w:r w:rsidRPr="00E332E4">
        <w:rPr>
          <w:rFonts w:ascii="Times New Roman" w:hAnsi="Times New Roman" w:cs="Times New Roman"/>
          <w:sz w:val="24"/>
          <w:szCs w:val="24"/>
          <w:lang w:val="pt-PT"/>
        </w:rPr>
        <w:t xml:space="preserve">s para estimar os incrementos de valor necessários para </w:t>
      </w:r>
      <w:r>
        <w:rPr>
          <w:rFonts w:ascii="Times New Roman" w:hAnsi="Times New Roman" w:cs="Times New Roman"/>
          <w:sz w:val="24"/>
          <w:szCs w:val="24"/>
          <w:lang w:val="pt-PT"/>
        </w:rPr>
        <w:t>utiliza</w:t>
      </w:r>
      <w:r w:rsidR="00555EA3">
        <w:rPr>
          <w:rFonts w:ascii="Times New Roman" w:hAnsi="Times New Roman" w:cs="Times New Roman"/>
          <w:sz w:val="24"/>
          <w:szCs w:val="24"/>
          <w:lang w:val="pt-PT"/>
        </w:rPr>
        <w:t>ção de</w:t>
      </w:r>
      <w:r w:rsidRPr="00E332E4">
        <w:rPr>
          <w:rFonts w:ascii="Times New Roman" w:hAnsi="Times New Roman" w:cs="Times New Roman"/>
          <w:sz w:val="24"/>
          <w:szCs w:val="24"/>
          <w:lang w:val="pt-PT"/>
        </w:rPr>
        <w:t xml:space="preserve"> outros instrumentos de captura de valor, </w:t>
      </w:r>
      <w:r>
        <w:rPr>
          <w:rFonts w:ascii="Times New Roman" w:hAnsi="Times New Roman" w:cs="Times New Roman"/>
          <w:sz w:val="24"/>
          <w:szCs w:val="24"/>
          <w:lang w:val="pt-PT"/>
        </w:rPr>
        <w:t xml:space="preserve">tais </w:t>
      </w:r>
      <w:r w:rsidRPr="00E332E4">
        <w:rPr>
          <w:rFonts w:ascii="Times New Roman" w:hAnsi="Times New Roman" w:cs="Times New Roman"/>
          <w:sz w:val="24"/>
          <w:szCs w:val="24"/>
          <w:lang w:val="pt-PT"/>
        </w:rPr>
        <w:t xml:space="preserve">como </w:t>
      </w:r>
      <w:r>
        <w:rPr>
          <w:rFonts w:ascii="Times New Roman" w:hAnsi="Times New Roman" w:cs="Times New Roman"/>
          <w:sz w:val="24"/>
          <w:szCs w:val="24"/>
          <w:lang w:val="pt-PT"/>
        </w:rPr>
        <w:t>contribuição</w:t>
      </w:r>
      <w:r w:rsidRPr="00E332E4">
        <w:rPr>
          <w:rFonts w:ascii="Times New Roman" w:hAnsi="Times New Roman" w:cs="Times New Roman"/>
          <w:sz w:val="24"/>
          <w:szCs w:val="24"/>
          <w:lang w:val="pt-PT"/>
        </w:rPr>
        <w:t xml:space="preserve"> de melhoria</w:t>
      </w:r>
      <w:r>
        <w:rPr>
          <w:rFonts w:ascii="Times New Roman" w:hAnsi="Times New Roman" w:cs="Times New Roman"/>
          <w:sz w:val="24"/>
          <w:szCs w:val="24"/>
          <w:lang w:val="pt-PT"/>
        </w:rPr>
        <w:t xml:space="preserve">, </w:t>
      </w:r>
      <w:r w:rsidRPr="00555EA3">
        <w:rPr>
          <w:rFonts w:ascii="Times New Roman" w:hAnsi="Times New Roman" w:cs="Times New Roman"/>
          <w:sz w:val="24"/>
          <w:szCs w:val="24"/>
          <w:lang w:val="pt-BR"/>
        </w:rPr>
        <w:t>Outorga Onerosa e CEPACs</w:t>
      </w:r>
      <w:r w:rsidRPr="00555EA3">
        <w:rPr>
          <w:rFonts w:ascii="Times New Roman" w:hAnsi="Times New Roman" w:cs="Times New Roman"/>
          <w:sz w:val="24"/>
          <w:szCs w:val="24"/>
          <w:lang w:val="pt-PT"/>
        </w:rPr>
        <w:t>. Dessa forma</w:t>
      </w:r>
      <w:r w:rsidRPr="00E332E4">
        <w:rPr>
          <w:rFonts w:ascii="Times New Roman" w:hAnsi="Times New Roman" w:cs="Times New Roman"/>
          <w:sz w:val="24"/>
          <w:szCs w:val="24"/>
          <w:lang w:val="pt-PT"/>
        </w:rPr>
        <w:t xml:space="preserve">, um cadastro moderno pode fornecer as informações necessárias para o estudo do mercado imobiliário que é essencial para </w:t>
      </w:r>
      <w:r w:rsidR="00555EA3">
        <w:rPr>
          <w:rFonts w:ascii="Times New Roman" w:hAnsi="Times New Roman" w:cs="Times New Roman"/>
          <w:sz w:val="24"/>
          <w:szCs w:val="24"/>
          <w:lang w:val="pt-PT"/>
        </w:rPr>
        <w:t>a utilização d</w:t>
      </w:r>
      <w:r w:rsidRPr="00E332E4">
        <w:rPr>
          <w:rFonts w:ascii="Times New Roman" w:hAnsi="Times New Roman" w:cs="Times New Roman"/>
          <w:sz w:val="24"/>
          <w:szCs w:val="24"/>
          <w:lang w:val="pt-PT"/>
        </w:rPr>
        <w:t>os instrumentos de captura de valor, servindo, assim, como o primeiro passo para estabelecer o “círculo virtuoso”</w:t>
      </w:r>
      <w:r>
        <w:rPr>
          <w:rFonts w:ascii="Times New Roman" w:hAnsi="Times New Roman" w:cs="Times New Roman"/>
          <w:sz w:val="24"/>
          <w:szCs w:val="24"/>
          <w:lang w:val="pt-PT"/>
        </w:rPr>
        <w:t xml:space="preserve"> do Gráfico 6</w:t>
      </w:r>
      <w:r w:rsidRPr="00E332E4">
        <w:rPr>
          <w:rFonts w:ascii="Times New Roman" w:hAnsi="Times New Roman" w:cs="Times New Roman"/>
          <w:sz w:val="24"/>
          <w:szCs w:val="24"/>
          <w:lang w:val="pt-PT"/>
        </w:rPr>
        <w:t>. A rápida inovação tecnológica</w:t>
      </w:r>
      <w:r w:rsidR="00555EA3">
        <w:rPr>
          <w:rFonts w:ascii="Times New Roman" w:hAnsi="Times New Roman" w:cs="Times New Roman"/>
          <w:sz w:val="24"/>
          <w:szCs w:val="24"/>
          <w:lang w:val="pt-PT"/>
        </w:rPr>
        <w:t xml:space="preserve"> dos sistemas de informação geográfica</w:t>
      </w:r>
      <w:r w:rsidRPr="00E332E4">
        <w:rPr>
          <w:rFonts w:ascii="Times New Roman" w:hAnsi="Times New Roman" w:cs="Times New Roman"/>
          <w:sz w:val="24"/>
          <w:szCs w:val="24"/>
          <w:lang w:val="pt-PT"/>
        </w:rPr>
        <w:t xml:space="preserve"> permitirá uma análise muito mais detalhada e sofisticada d</w:t>
      </w:r>
      <w:r w:rsidR="00555EA3">
        <w:rPr>
          <w:rFonts w:ascii="Times New Roman" w:hAnsi="Times New Roman" w:cs="Times New Roman"/>
          <w:sz w:val="24"/>
          <w:szCs w:val="24"/>
          <w:lang w:val="pt-PT"/>
        </w:rPr>
        <w:t>a</w:t>
      </w:r>
      <w:r w:rsidRPr="00E332E4">
        <w:rPr>
          <w:rFonts w:ascii="Times New Roman" w:hAnsi="Times New Roman" w:cs="Times New Roman"/>
          <w:sz w:val="24"/>
          <w:szCs w:val="24"/>
          <w:lang w:val="pt-PT"/>
        </w:rPr>
        <w:t>s determinantes dos valores de propriedade a custos consideravelmente mais baixos.</w:t>
      </w:r>
    </w:p>
    <w:p w14:paraId="2FCB1A67" w14:textId="15BF3EBC" w:rsidR="007F277B" w:rsidRPr="00CA2760" w:rsidRDefault="00453BB3" w:rsidP="007F277B">
      <w:pPr>
        <w:spacing w:before="240"/>
        <w:rPr>
          <w:rFonts w:ascii="Times New Roman" w:hAnsi="Times New Roman" w:cs="Times New Roman"/>
          <w:b/>
          <w:sz w:val="24"/>
          <w:szCs w:val="24"/>
          <w:lang w:val="pt-BR"/>
        </w:rPr>
      </w:pPr>
      <w:bookmarkStart w:id="27" w:name="_Hlk513445080"/>
      <w:r>
        <w:rPr>
          <w:rFonts w:ascii="Times New Roman" w:hAnsi="Times New Roman" w:cs="Times New Roman"/>
          <w:b/>
          <w:sz w:val="24"/>
          <w:szCs w:val="24"/>
          <w:lang w:val="pt-BR"/>
        </w:rPr>
        <w:t>F</w:t>
      </w:r>
      <w:r w:rsidR="007F277B" w:rsidRPr="00453BB3">
        <w:rPr>
          <w:rFonts w:ascii="Times New Roman" w:hAnsi="Times New Roman" w:cs="Times New Roman"/>
          <w:b/>
          <w:sz w:val="24"/>
          <w:szCs w:val="24"/>
          <w:lang w:val="pt-BR"/>
        </w:rPr>
        <w:t>inanciamento específic</w:t>
      </w:r>
      <w:r w:rsidR="00555EA3">
        <w:rPr>
          <w:rFonts w:ascii="Times New Roman" w:hAnsi="Times New Roman" w:cs="Times New Roman"/>
          <w:b/>
          <w:sz w:val="24"/>
          <w:szCs w:val="24"/>
          <w:lang w:val="pt-BR"/>
        </w:rPr>
        <w:t>o</w:t>
      </w:r>
      <w:r w:rsidR="007F277B" w:rsidRPr="00453BB3">
        <w:rPr>
          <w:rFonts w:ascii="Times New Roman" w:hAnsi="Times New Roman" w:cs="Times New Roman"/>
          <w:b/>
          <w:sz w:val="24"/>
          <w:szCs w:val="24"/>
          <w:lang w:val="pt-BR"/>
        </w:rPr>
        <w:t xml:space="preserve"> para a preparação de projetos </w:t>
      </w:r>
      <w:r w:rsidR="00A63CDB">
        <w:rPr>
          <w:rFonts w:ascii="Times New Roman" w:hAnsi="Times New Roman" w:cs="Times New Roman"/>
          <w:b/>
          <w:sz w:val="24"/>
          <w:szCs w:val="24"/>
          <w:lang w:val="pt-BR"/>
        </w:rPr>
        <w:t>inovadores</w:t>
      </w:r>
    </w:p>
    <w:bookmarkEnd w:id="27"/>
    <w:p w14:paraId="1DC0BC88" w14:textId="41E538E1" w:rsidR="007F277B" w:rsidRPr="00CA2760" w:rsidRDefault="007F277B" w:rsidP="007F277B">
      <w:p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Uma maneira usual para financiar </w:t>
      </w:r>
      <w:r w:rsidR="001E75D3">
        <w:rPr>
          <w:rFonts w:ascii="Times New Roman" w:hAnsi="Times New Roman" w:cs="Times New Roman"/>
          <w:sz w:val="24"/>
          <w:szCs w:val="24"/>
          <w:lang w:val="pt-BR"/>
        </w:rPr>
        <w:t xml:space="preserve">a </w:t>
      </w:r>
      <w:r w:rsidRPr="00CA2760">
        <w:rPr>
          <w:rFonts w:ascii="Times New Roman" w:hAnsi="Times New Roman" w:cs="Times New Roman"/>
          <w:sz w:val="24"/>
          <w:szCs w:val="24"/>
          <w:lang w:val="pt-BR"/>
        </w:rPr>
        <w:t xml:space="preserve">preparação dos projetos municipais é através de recursos do componente de desenvolvimento institucional do projeto.  No entanto, há uma necessidade de um mecanismo para incentivar a elaboração de programas e projetos inovadores já que estes envolvem altos custos de pesquisa e desenvolvimento (e.g., na preparação de estudos técnicos e documentos legais e de licitação).  Os outros municípios poderiam aproveitar como </w:t>
      </w:r>
      <w:r w:rsidRPr="00CA2760">
        <w:rPr>
          <w:rFonts w:ascii="Times New Roman" w:hAnsi="Times New Roman" w:cs="Times New Roman"/>
          <w:i/>
          <w:sz w:val="24"/>
          <w:szCs w:val="24"/>
          <w:lang w:val="pt-BR"/>
        </w:rPr>
        <w:t>free riders</w:t>
      </w:r>
      <w:r w:rsidRPr="00CA2760">
        <w:rPr>
          <w:rFonts w:ascii="Times New Roman" w:hAnsi="Times New Roman" w:cs="Times New Roman"/>
          <w:sz w:val="24"/>
          <w:szCs w:val="24"/>
          <w:lang w:val="pt-BR"/>
        </w:rPr>
        <w:t xml:space="preserve"> os </w:t>
      </w:r>
      <w:r w:rsidRPr="00CA2760">
        <w:rPr>
          <w:rFonts w:ascii="Times New Roman" w:hAnsi="Times New Roman" w:cs="Times New Roman"/>
          <w:sz w:val="24"/>
          <w:szCs w:val="24"/>
          <w:lang w:val="pt-BR"/>
        </w:rPr>
        <w:lastRenderedPageBreak/>
        <w:t>benefícios deste processo de pesquisa e desenvolvimento dos municípios que geram as inovações.  Assim sendo, seria interessante desenvolver um programa de financiamento para a preparação de projetos inovadores (e.g., projetos utilizando mecanismos financeiros como CEPACs ou novas tecnologias) e também os primeiros Programas de Investimento Municipal.  Seria importante também avaliar projetos já implementados para identificar as melhores práticas e disseminar esta informação.</w:t>
      </w:r>
    </w:p>
    <w:p w14:paraId="4F5255D6" w14:textId="028BFAA0" w:rsidR="007F277B" w:rsidRPr="00CA2760" w:rsidRDefault="007F277B" w:rsidP="007F277B">
      <w:p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Esta Iniciativa seria uma forma de melhorar a contribuição dos projetos municipais para os objetivos do programa de desenvolvimento urbano do estado através da melhoria de sua qualidade.</w:t>
      </w:r>
    </w:p>
    <w:p w14:paraId="24B3C757" w14:textId="3EF0388D" w:rsidR="007F277B" w:rsidRPr="00CA2760" w:rsidRDefault="007F277B" w:rsidP="007F277B">
      <w:p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Há várias maneiras para financiar esta iniciativa.  Por exemplo, a iniciativa poderia ser financiada anualmente com uma porcentagem da carteira de crédito do FDU (1% desta carteira hoje seria equivalente a aproximadamente R</w:t>
      </w:r>
      <w:r w:rsidR="008C5690">
        <w:rPr>
          <w:rFonts w:ascii="Times New Roman" w:hAnsi="Times New Roman" w:cs="Times New Roman"/>
          <w:sz w:val="24"/>
          <w:szCs w:val="24"/>
          <w:lang w:val="pt-BR"/>
        </w:rPr>
        <w:t>$</w:t>
      </w:r>
      <w:r w:rsidRPr="00CA2760">
        <w:rPr>
          <w:rFonts w:ascii="Times New Roman" w:hAnsi="Times New Roman" w:cs="Times New Roman"/>
          <w:sz w:val="24"/>
          <w:szCs w:val="24"/>
          <w:lang w:val="pt-BR"/>
        </w:rPr>
        <w:t xml:space="preserve">6 milhões a.a.).  </w:t>
      </w:r>
    </w:p>
    <w:p w14:paraId="1FF30ADB" w14:textId="77777777" w:rsidR="007F277B" w:rsidRPr="00CA2760" w:rsidRDefault="007F277B" w:rsidP="007F277B">
      <w:p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Poderia haver um concurso periódico para selecionar propostas de projetos inovadores a serem financiados a fundo perdido.  Por exemplo, o concurso poderia financiar a fundo perdido a preparação:</w:t>
      </w:r>
    </w:p>
    <w:p w14:paraId="683A2731" w14:textId="77777777" w:rsidR="0090341D" w:rsidRPr="0090341D" w:rsidRDefault="007F277B" w:rsidP="0090341D">
      <w:pPr>
        <w:pStyle w:val="ListParagraph"/>
        <w:numPr>
          <w:ilvl w:val="0"/>
          <w:numId w:val="37"/>
        </w:numPr>
        <w:autoSpaceDE w:val="0"/>
        <w:autoSpaceDN w:val="0"/>
        <w:adjustRightInd w:val="0"/>
        <w:spacing w:line="360" w:lineRule="auto"/>
        <w:rPr>
          <w:rFonts w:ascii="Times New Roman" w:hAnsi="Times New Roman" w:cs="Times New Roman"/>
          <w:sz w:val="24"/>
          <w:szCs w:val="24"/>
          <w:lang w:val="pt-BR"/>
        </w:rPr>
      </w:pPr>
      <w:r w:rsidRPr="0090341D">
        <w:rPr>
          <w:rFonts w:ascii="Times New Roman" w:hAnsi="Times New Roman" w:cs="Times New Roman"/>
          <w:sz w:val="24"/>
          <w:szCs w:val="24"/>
          <w:lang w:val="pt-BR"/>
        </w:rPr>
        <w:t>De projetos inovadores em áreas inovadoras (e.g., a adaptação à mudança climática) ou com instrumentos novos de financiamento ou gestão.</w:t>
      </w:r>
    </w:p>
    <w:p w14:paraId="51EF2650" w14:textId="77777777" w:rsidR="0090341D" w:rsidRPr="0090341D" w:rsidRDefault="007F277B" w:rsidP="0090341D">
      <w:pPr>
        <w:pStyle w:val="ListParagraph"/>
        <w:numPr>
          <w:ilvl w:val="0"/>
          <w:numId w:val="37"/>
        </w:numPr>
        <w:autoSpaceDE w:val="0"/>
        <w:autoSpaceDN w:val="0"/>
        <w:adjustRightInd w:val="0"/>
        <w:spacing w:line="360" w:lineRule="auto"/>
        <w:rPr>
          <w:rFonts w:ascii="Times New Roman" w:hAnsi="Times New Roman" w:cs="Times New Roman"/>
          <w:sz w:val="24"/>
          <w:szCs w:val="24"/>
          <w:lang w:val="pt-BR"/>
        </w:rPr>
      </w:pPr>
      <w:r w:rsidRPr="0090341D">
        <w:rPr>
          <w:rFonts w:ascii="Times New Roman" w:hAnsi="Times New Roman" w:cs="Times New Roman"/>
          <w:sz w:val="24"/>
          <w:szCs w:val="24"/>
          <w:lang w:val="pt-BR"/>
        </w:rPr>
        <w:t>Dos primeiros Programas de Investimento Municipal.</w:t>
      </w:r>
    </w:p>
    <w:p w14:paraId="73936383" w14:textId="17F782A9" w:rsidR="00BE2F74" w:rsidRDefault="007F277B" w:rsidP="007F277B">
      <w:p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A Iniciativa também poderia identificar e disseminar</w:t>
      </w:r>
      <w:r w:rsidRPr="00CA2760" w:rsidDel="0004799A">
        <w:rPr>
          <w:rFonts w:ascii="Times New Roman" w:hAnsi="Times New Roman" w:cs="Times New Roman"/>
          <w:sz w:val="24"/>
          <w:szCs w:val="24"/>
          <w:lang w:val="pt-BR"/>
        </w:rPr>
        <w:t xml:space="preserve"> </w:t>
      </w:r>
      <w:r w:rsidRPr="00CA2760">
        <w:rPr>
          <w:rFonts w:ascii="Times New Roman" w:hAnsi="Times New Roman" w:cs="Times New Roman"/>
          <w:sz w:val="24"/>
          <w:szCs w:val="24"/>
          <w:lang w:val="pt-BR"/>
        </w:rPr>
        <w:t>as melhores práticas (ou seja, as lições da experiência) que podem coordenar seus esforços com o programa da Caixa</w:t>
      </w:r>
      <w:r w:rsidRPr="00CA2760" w:rsidDel="00B351FD">
        <w:rPr>
          <w:rFonts w:ascii="Times New Roman" w:hAnsi="Times New Roman" w:cs="Times New Roman"/>
          <w:sz w:val="24"/>
          <w:szCs w:val="24"/>
          <w:lang w:val="pt-BR"/>
        </w:rPr>
        <w:t xml:space="preserve"> </w:t>
      </w:r>
      <w:r w:rsidRPr="00CA2760">
        <w:rPr>
          <w:rFonts w:ascii="Times New Roman" w:hAnsi="Times New Roman" w:cs="Times New Roman"/>
          <w:sz w:val="24"/>
          <w:szCs w:val="24"/>
          <w:lang w:val="pt-BR"/>
        </w:rPr>
        <w:t xml:space="preserve">(Ver Quadro </w:t>
      </w:r>
      <w:r w:rsidR="005A6826">
        <w:rPr>
          <w:rFonts w:ascii="Times New Roman" w:hAnsi="Times New Roman" w:cs="Times New Roman"/>
          <w:sz w:val="24"/>
          <w:szCs w:val="24"/>
          <w:lang w:val="pt-BR"/>
        </w:rPr>
        <w:t>7</w:t>
      </w:r>
      <w:r w:rsidRPr="00CA2760">
        <w:rPr>
          <w:rFonts w:ascii="Times New Roman" w:hAnsi="Times New Roman" w:cs="Times New Roman"/>
          <w:sz w:val="24"/>
          <w:szCs w:val="24"/>
          <w:lang w:val="pt-BR"/>
        </w:rPr>
        <w:t>).</w:t>
      </w:r>
      <w:r w:rsidR="0020283D">
        <w:rPr>
          <w:rFonts w:ascii="Times New Roman" w:hAnsi="Times New Roman" w:cs="Times New Roman"/>
          <w:sz w:val="24"/>
          <w:szCs w:val="24"/>
          <w:lang w:val="pt-BR"/>
        </w:rPr>
        <w:t xml:space="preserve"> </w:t>
      </w:r>
    </w:p>
    <w:p w14:paraId="7E0598CC" w14:textId="57ADD49B" w:rsidR="00FA4240" w:rsidRDefault="00FA4240">
      <w:pPr>
        <w:rPr>
          <w:rFonts w:ascii="Times New Roman" w:hAnsi="Times New Roman" w:cs="Times New Roman"/>
          <w:sz w:val="24"/>
          <w:szCs w:val="24"/>
          <w:lang w:val="pt-BR"/>
        </w:rPr>
      </w:pPr>
      <w:r>
        <w:rPr>
          <w:rFonts w:ascii="Times New Roman" w:hAnsi="Times New Roman" w:cs="Times New Roman"/>
          <w:sz w:val="24"/>
          <w:szCs w:val="24"/>
          <w:lang w:val="pt-BR"/>
        </w:rPr>
        <w:br w:type="page"/>
      </w:r>
    </w:p>
    <w:p w14:paraId="42C21A3F" w14:textId="77777777" w:rsidR="007F277B" w:rsidRPr="00CA2760" w:rsidRDefault="007F277B" w:rsidP="007F277B">
      <w:pPr>
        <w:rPr>
          <w:rFonts w:ascii="Times New Roman" w:hAnsi="Times New Roman" w:cs="Times New Roman"/>
          <w:sz w:val="24"/>
          <w:szCs w:val="24"/>
          <w:lang w:val="pt-BR"/>
        </w:rPr>
      </w:pPr>
    </w:p>
    <w:tbl>
      <w:tblPr>
        <w:tblStyle w:val="TableGrid"/>
        <w:tblW w:w="0" w:type="auto"/>
        <w:tblLook w:val="04A0" w:firstRow="1" w:lastRow="0" w:firstColumn="1" w:lastColumn="0" w:noHBand="0" w:noVBand="1"/>
      </w:tblPr>
      <w:tblGrid>
        <w:gridCol w:w="9350"/>
      </w:tblGrid>
      <w:tr w:rsidR="007F277B" w:rsidRPr="00B05122" w14:paraId="7993D1A2" w14:textId="77777777" w:rsidTr="007F277B">
        <w:tc>
          <w:tcPr>
            <w:tcW w:w="9576" w:type="dxa"/>
          </w:tcPr>
          <w:p w14:paraId="37C3C37E" w14:textId="4F6C295C" w:rsidR="007F277B" w:rsidRPr="00CA2760" w:rsidRDefault="007F277B" w:rsidP="007F277B">
            <w:pPr>
              <w:jc w:val="center"/>
              <w:rPr>
                <w:rFonts w:ascii="Times New Roman" w:hAnsi="Times New Roman" w:cs="Times New Roman"/>
                <w:b/>
                <w:color w:val="333333"/>
                <w:sz w:val="24"/>
                <w:szCs w:val="24"/>
                <w:lang w:val="pt-BR"/>
              </w:rPr>
            </w:pPr>
            <w:r w:rsidRPr="00CA2760">
              <w:rPr>
                <w:rFonts w:ascii="Times New Roman" w:hAnsi="Times New Roman" w:cs="Times New Roman"/>
                <w:b/>
                <w:color w:val="333333"/>
                <w:sz w:val="24"/>
                <w:szCs w:val="24"/>
                <w:lang w:val="pt-BR"/>
              </w:rPr>
              <w:t xml:space="preserve">Quadro </w:t>
            </w:r>
            <w:r w:rsidR="00867954">
              <w:rPr>
                <w:rFonts w:ascii="Times New Roman" w:hAnsi="Times New Roman" w:cs="Times New Roman"/>
                <w:b/>
                <w:color w:val="333333"/>
                <w:sz w:val="24"/>
                <w:szCs w:val="24"/>
                <w:lang w:val="pt-BR"/>
              </w:rPr>
              <w:t>3</w:t>
            </w:r>
          </w:p>
          <w:p w14:paraId="6C2F9C80" w14:textId="037B87AA" w:rsidR="007F277B" w:rsidRPr="00CA2760" w:rsidRDefault="007F277B" w:rsidP="007F277B">
            <w:pPr>
              <w:jc w:val="center"/>
              <w:rPr>
                <w:rFonts w:ascii="Times New Roman" w:hAnsi="Times New Roman" w:cs="Times New Roman"/>
                <w:b/>
                <w:sz w:val="24"/>
                <w:szCs w:val="24"/>
                <w:lang w:val="pt-BR"/>
              </w:rPr>
            </w:pPr>
            <w:r w:rsidRPr="00CA2760">
              <w:rPr>
                <w:rFonts w:ascii="Times New Roman" w:hAnsi="Times New Roman" w:cs="Times New Roman"/>
                <w:b/>
                <w:color w:val="333333"/>
                <w:sz w:val="24"/>
                <w:szCs w:val="24"/>
                <w:lang w:val="pt-BR"/>
              </w:rPr>
              <w:t>Programa CAIXA Melhores Práticas em Gestão Local</w:t>
            </w:r>
            <w:r w:rsidR="00453BB3">
              <w:rPr>
                <w:rStyle w:val="FootnoteReference"/>
                <w:rFonts w:ascii="Times New Roman" w:hAnsi="Times New Roman" w:cs="Times New Roman"/>
                <w:b/>
                <w:color w:val="333333"/>
                <w:sz w:val="24"/>
                <w:szCs w:val="24"/>
                <w:lang w:val="pt-BR"/>
              </w:rPr>
              <w:footnoteReference w:id="15"/>
            </w:r>
          </w:p>
        </w:tc>
      </w:tr>
      <w:tr w:rsidR="007F277B" w:rsidRPr="00B05122" w14:paraId="066EAC18" w14:textId="77777777" w:rsidTr="007F277B">
        <w:trPr>
          <w:trHeight w:val="7222"/>
        </w:trPr>
        <w:tc>
          <w:tcPr>
            <w:tcW w:w="9576" w:type="dxa"/>
          </w:tcPr>
          <w:p w14:paraId="36DE2CDD" w14:textId="77777777" w:rsidR="007F277B" w:rsidRPr="00CA2760" w:rsidRDefault="007F277B" w:rsidP="007F277B">
            <w:pPr>
              <w:pStyle w:val="NormalWeb"/>
              <w:shd w:val="clear" w:color="auto" w:fill="FFFFFF"/>
              <w:spacing w:before="0" w:beforeAutospacing="0" w:after="240" w:afterAutospacing="0" w:line="276" w:lineRule="auto"/>
              <w:rPr>
                <w:color w:val="333333"/>
                <w:lang w:val="pt-BR"/>
              </w:rPr>
            </w:pPr>
            <w:r w:rsidRPr="00CA2760">
              <w:rPr>
                <w:color w:val="333333"/>
                <w:lang w:val="pt-BR"/>
              </w:rPr>
              <w:t>Fazer com que experiências bem-sucedidas para melhorar a qualidade de vida das pessoas sejam valorizadas e disseminadas por todo o país: esse é um dos objetivos do Programa CAIXA Melhores Práticas em Gestão Local.</w:t>
            </w:r>
          </w:p>
          <w:p w14:paraId="046BDB40" w14:textId="77777777" w:rsidR="007F277B" w:rsidRPr="00CA2760" w:rsidRDefault="007F277B" w:rsidP="007F277B">
            <w:pPr>
              <w:pStyle w:val="NormalWeb"/>
              <w:shd w:val="clear" w:color="auto" w:fill="FFFFFF"/>
              <w:spacing w:before="0" w:beforeAutospacing="0" w:after="240" w:afterAutospacing="0" w:line="276" w:lineRule="auto"/>
              <w:rPr>
                <w:color w:val="333333"/>
                <w:lang w:val="pt-BR"/>
              </w:rPr>
            </w:pPr>
            <w:r w:rsidRPr="00CA2760">
              <w:rPr>
                <w:color w:val="333333"/>
                <w:lang w:val="pt-BR"/>
              </w:rPr>
              <w:t>Iniciada em 1999, a ação tem como base o modelo do programa das Nações Unidas “As Melhores Práticas e Lideranças Locais” (</w:t>
            </w:r>
            <w:r w:rsidRPr="00CA2760">
              <w:rPr>
                <w:i/>
                <w:color w:val="333333"/>
                <w:lang w:val="pt-BR"/>
              </w:rPr>
              <w:t>Best Practices and Local Leadership Programme</w:t>
            </w:r>
            <w:r w:rsidRPr="00CA2760">
              <w:rPr>
                <w:color w:val="333333"/>
                <w:lang w:val="pt-BR"/>
              </w:rPr>
              <w:t>) coloca em prática a Agenda Habitat, documento das Nações Unidas que reúne diretrizes para criar padrões de vida sustentáveis em assentamentos urbanos.</w:t>
            </w:r>
          </w:p>
          <w:p w14:paraId="38C6EC3C" w14:textId="77777777" w:rsidR="007F277B" w:rsidRPr="00CA2760" w:rsidRDefault="007F277B" w:rsidP="007F277B">
            <w:pPr>
              <w:pStyle w:val="NormalWeb"/>
              <w:shd w:val="clear" w:color="auto" w:fill="FFFFFF"/>
              <w:spacing w:before="0" w:beforeAutospacing="0" w:after="240" w:afterAutospacing="0" w:line="276" w:lineRule="auto"/>
              <w:rPr>
                <w:color w:val="333333"/>
                <w:lang w:val="pt-BR"/>
              </w:rPr>
            </w:pPr>
            <w:r w:rsidRPr="00CA2760">
              <w:rPr>
                <w:color w:val="333333"/>
                <w:lang w:val="pt-BR"/>
              </w:rPr>
              <w:t>O programa identifica, documenta, avalia, seleciona, premia e divulga as melhores experiências de gestão local concretizadas com recursos financeiros ou apoio técnico da CAIXA por todo o Brasil. A ação tem como objetivo disseminar experiências sustentáveis voltadas ao desenvolvimento local e à inclusão social. São considerados projetos de diversas categorias – habitação, saneamento, meio ambiente, gestão urbana, infraestrutura e equidade de gênero, entre outros – realizados em cidades ou regiões rurais.</w:t>
            </w:r>
          </w:p>
          <w:p w14:paraId="4261864D" w14:textId="77777777" w:rsidR="007F277B" w:rsidRPr="00CA2760" w:rsidRDefault="007F277B" w:rsidP="007F277B">
            <w:pPr>
              <w:pStyle w:val="Heading4"/>
              <w:shd w:val="clear" w:color="auto" w:fill="FFFFFF"/>
              <w:spacing w:before="0" w:after="240" w:line="276" w:lineRule="auto"/>
              <w:outlineLvl w:val="3"/>
              <w:rPr>
                <w:rFonts w:ascii="Times New Roman" w:hAnsi="Times New Roman" w:cs="Times New Roman"/>
                <w:color w:val="333333"/>
                <w:sz w:val="24"/>
                <w:szCs w:val="24"/>
                <w:lang w:val="pt-BR"/>
              </w:rPr>
            </w:pPr>
            <w:r w:rsidRPr="00CA2760">
              <w:rPr>
                <w:rFonts w:ascii="Times New Roman" w:hAnsi="Times New Roman" w:cs="Times New Roman"/>
                <w:color w:val="333333"/>
                <w:sz w:val="24"/>
                <w:szCs w:val="24"/>
                <w:lang w:val="pt-BR"/>
              </w:rPr>
              <w:t>Como se qualifica a melhor prática na gestão local?</w:t>
            </w:r>
          </w:p>
          <w:p w14:paraId="3269FCE8" w14:textId="77777777" w:rsidR="007F277B" w:rsidRPr="00CA2760" w:rsidRDefault="007F277B" w:rsidP="007F277B">
            <w:pPr>
              <w:pStyle w:val="NormalWeb"/>
              <w:shd w:val="clear" w:color="auto" w:fill="FFFFFF"/>
              <w:spacing w:before="0" w:beforeAutospacing="0" w:after="240" w:afterAutospacing="0" w:line="276" w:lineRule="auto"/>
              <w:rPr>
                <w:color w:val="333333"/>
                <w:lang w:val="pt-BR"/>
              </w:rPr>
            </w:pPr>
            <w:r w:rsidRPr="00CA2760">
              <w:rPr>
                <w:color w:val="333333"/>
                <w:lang w:val="pt-BR"/>
              </w:rPr>
              <w:t>São projetos que resultam em melhorias concretas na qualidade de vida e no desenvolvimento sustentável de assentamentos, independentemente de localização regional, dimensão do projeto ou tipo de organização responsável.</w:t>
            </w:r>
          </w:p>
          <w:p w14:paraId="27182E51" w14:textId="77777777" w:rsidR="007F277B" w:rsidRPr="00CA2760" w:rsidRDefault="007F277B" w:rsidP="007F277B">
            <w:pPr>
              <w:pStyle w:val="Heading4"/>
              <w:shd w:val="clear" w:color="auto" w:fill="FFFFFF"/>
              <w:spacing w:before="0" w:after="240" w:line="276" w:lineRule="auto"/>
              <w:outlineLvl w:val="3"/>
              <w:rPr>
                <w:rFonts w:ascii="Times New Roman" w:hAnsi="Times New Roman" w:cs="Times New Roman"/>
                <w:color w:val="333333"/>
                <w:sz w:val="24"/>
                <w:szCs w:val="24"/>
                <w:lang w:val="pt-BR"/>
              </w:rPr>
            </w:pPr>
            <w:r w:rsidRPr="00CA2760">
              <w:rPr>
                <w:rFonts w:ascii="Times New Roman" w:hAnsi="Times New Roman" w:cs="Times New Roman"/>
                <w:color w:val="333333"/>
                <w:sz w:val="24"/>
                <w:szCs w:val="24"/>
                <w:lang w:val="pt-BR"/>
              </w:rPr>
              <w:t>O que acontece após a avaliação e premiação das melhores práticas?</w:t>
            </w:r>
          </w:p>
          <w:p w14:paraId="65B5B1B0" w14:textId="77777777" w:rsidR="007F277B" w:rsidRPr="00CA2760" w:rsidRDefault="007F277B" w:rsidP="007F277B">
            <w:pPr>
              <w:pStyle w:val="NormalWeb"/>
              <w:shd w:val="clear" w:color="auto" w:fill="FFFFFF"/>
              <w:spacing w:before="240" w:beforeAutospacing="0" w:after="240" w:afterAutospacing="0" w:line="276" w:lineRule="auto"/>
              <w:rPr>
                <w:lang w:val="pt-BR"/>
              </w:rPr>
            </w:pPr>
            <w:r w:rsidRPr="00CA2760">
              <w:rPr>
                <w:color w:val="333333"/>
                <w:lang w:val="pt-BR"/>
              </w:rPr>
              <w:t>Todas as práticas corretamente inscritas formam o acervo das práticas do Programa. O acervo está disponível e pode ser utilizado para criação e monitoramento de novos projetos. Grandes ideias podem incentivar e inspirar ações semelhantes e beneficiar mais e mais pessoas em todas as regiões do país.</w:t>
            </w:r>
          </w:p>
        </w:tc>
      </w:tr>
    </w:tbl>
    <w:p w14:paraId="5ECCD18F" w14:textId="77777777" w:rsidR="007F277B" w:rsidRPr="00CA2760" w:rsidRDefault="007F277B" w:rsidP="007F277B">
      <w:pPr>
        <w:pStyle w:val="NormalWeb"/>
        <w:shd w:val="clear" w:color="auto" w:fill="FFFFFF"/>
        <w:spacing w:before="0" w:beforeAutospacing="0" w:after="270" w:afterAutospacing="0" w:line="360" w:lineRule="atLeast"/>
        <w:rPr>
          <w:color w:val="333333"/>
          <w:lang w:val="pt-BR"/>
        </w:rPr>
      </w:pPr>
    </w:p>
    <w:p w14:paraId="220D5E13" w14:textId="573D0B4B" w:rsidR="007F277B" w:rsidRPr="00CA2760" w:rsidRDefault="00BC5C7A" w:rsidP="007F277B">
      <w:pPr>
        <w:autoSpaceDE w:val="0"/>
        <w:autoSpaceDN w:val="0"/>
        <w:adjustRightInd w:val="0"/>
        <w:spacing w:line="360" w:lineRule="auto"/>
        <w:jc w:val="center"/>
        <w:rPr>
          <w:rFonts w:ascii="Times New Roman" w:hAnsi="Times New Roman" w:cs="Times New Roman"/>
          <w:b/>
          <w:sz w:val="24"/>
          <w:szCs w:val="24"/>
          <w:lang w:val="pt-BR"/>
        </w:rPr>
      </w:pPr>
      <w:r>
        <w:rPr>
          <w:rFonts w:ascii="Times New Roman" w:hAnsi="Times New Roman" w:cs="Times New Roman"/>
          <w:b/>
          <w:sz w:val="24"/>
          <w:szCs w:val="24"/>
          <w:lang w:val="pt-BR"/>
        </w:rPr>
        <w:t>Outros</w:t>
      </w:r>
      <w:r w:rsidR="007F277B" w:rsidRPr="00CA2760">
        <w:rPr>
          <w:rFonts w:ascii="Times New Roman" w:hAnsi="Times New Roman" w:cs="Times New Roman"/>
          <w:b/>
          <w:sz w:val="24"/>
          <w:szCs w:val="24"/>
          <w:lang w:val="pt-BR"/>
        </w:rPr>
        <w:t xml:space="preserve"> </w:t>
      </w:r>
      <w:r w:rsidR="003505E1">
        <w:rPr>
          <w:rFonts w:ascii="Times New Roman" w:hAnsi="Times New Roman" w:cs="Times New Roman"/>
          <w:b/>
          <w:sz w:val="24"/>
          <w:szCs w:val="24"/>
          <w:lang w:val="pt-BR"/>
        </w:rPr>
        <w:t xml:space="preserve">novos </w:t>
      </w:r>
      <w:r w:rsidR="007F277B" w:rsidRPr="00CA2760">
        <w:rPr>
          <w:rFonts w:ascii="Times New Roman" w:hAnsi="Times New Roman" w:cs="Times New Roman"/>
          <w:b/>
          <w:sz w:val="24"/>
          <w:szCs w:val="24"/>
          <w:lang w:val="pt-BR"/>
        </w:rPr>
        <w:t>instrumentos</w:t>
      </w:r>
    </w:p>
    <w:p w14:paraId="75DEC662" w14:textId="3510450C" w:rsidR="007F277B" w:rsidRPr="00CA2760" w:rsidRDefault="00BC5C7A" w:rsidP="007F277B">
      <w:pPr>
        <w:autoSpaceDE w:val="0"/>
        <w:autoSpaceDN w:val="0"/>
        <w:adjustRightInd w:val="0"/>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Quais são outros </w:t>
      </w:r>
      <w:r w:rsidR="006E1350">
        <w:rPr>
          <w:rFonts w:ascii="Times New Roman" w:hAnsi="Times New Roman" w:cs="Times New Roman"/>
          <w:sz w:val="24"/>
          <w:szCs w:val="24"/>
          <w:lang w:val="pt-BR"/>
        </w:rPr>
        <w:t xml:space="preserve">novos </w:t>
      </w:r>
      <w:r w:rsidR="007F277B" w:rsidRPr="00CA2760">
        <w:rPr>
          <w:rFonts w:ascii="Times New Roman" w:hAnsi="Times New Roman" w:cs="Times New Roman"/>
          <w:sz w:val="24"/>
          <w:szCs w:val="24"/>
          <w:lang w:val="pt-BR"/>
        </w:rPr>
        <w:t>instrumentos financeiros que permit</w:t>
      </w:r>
      <w:r w:rsidR="00867954">
        <w:rPr>
          <w:rFonts w:ascii="Times New Roman" w:hAnsi="Times New Roman" w:cs="Times New Roman"/>
          <w:sz w:val="24"/>
          <w:szCs w:val="24"/>
          <w:lang w:val="pt-BR"/>
        </w:rPr>
        <w:t>e</w:t>
      </w:r>
      <w:r w:rsidR="007F277B" w:rsidRPr="00CA2760">
        <w:rPr>
          <w:rFonts w:ascii="Times New Roman" w:hAnsi="Times New Roman" w:cs="Times New Roman"/>
          <w:sz w:val="24"/>
          <w:szCs w:val="24"/>
          <w:lang w:val="pt-BR"/>
        </w:rPr>
        <w:t>m a alavancagem de recursos do setor privado no financiamento da infraestrutura municipal</w:t>
      </w:r>
      <w:r>
        <w:rPr>
          <w:rFonts w:ascii="Times New Roman" w:hAnsi="Times New Roman" w:cs="Times New Roman"/>
          <w:sz w:val="24"/>
          <w:szCs w:val="24"/>
          <w:lang w:val="pt-BR"/>
        </w:rPr>
        <w:t>?</w:t>
      </w:r>
      <w:r w:rsidR="007F277B" w:rsidRPr="00CA2760">
        <w:rPr>
          <w:rFonts w:ascii="Times New Roman" w:hAnsi="Times New Roman" w:cs="Times New Roman"/>
          <w:sz w:val="24"/>
          <w:szCs w:val="24"/>
          <w:lang w:val="pt-BR"/>
        </w:rPr>
        <w:t xml:space="preserve">  A análise destas opções é apenas de caráter preliminar de forma a identificar oportunidades ou entraves no desenvolvimento destes </w:t>
      </w:r>
      <w:r w:rsidR="007F277B" w:rsidRPr="00CA2760">
        <w:rPr>
          <w:rFonts w:ascii="Times New Roman" w:hAnsi="Times New Roman" w:cs="Times New Roman"/>
          <w:sz w:val="24"/>
          <w:szCs w:val="24"/>
          <w:lang w:val="pt-BR"/>
        </w:rPr>
        <w:lastRenderedPageBreak/>
        <w:t>instrumentos conforme a legislação vigente no Brasil e às normas específicas do Banco Central que regem o funcionamento das Agências de Fomento.  Durante a execução do Paraná III serão desenvolvidas outras consultorias para o desenvolvimento operativo específico dos instrumentos identificados.</w:t>
      </w:r>
    </w:p>
    <w:p w14:paraId="7E6D8260" w14:textId="77777777" w:rsidR="007F277B" w:rsidRPr="00CA2760" w:rsidRDefault="007F277B" w:rsidP="007F277B">
      <w:p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Existem várias alternativas para aumentar a participação do setor privado no financiamento de infraestrutura municipal no Paraná, incluindo:</w:t>
      </w:r>
    </w:p>
    <w:p w14:paraId="4A2FA8EA" w14:textId="77777777" w:rsidR="007F277B" w:rsidRPr="00CA2760" w:rsidRDefault="007F277B" w:rsidP="00541FE8">
      <w:pPr>
        <w:pStyle w:val="ListParagraph"/>
        <w:numPr>
          <w:ilvl w:val="0"/>
          <w:numId w:val="16"/>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Financiamento dos parceiros privados dos municípios em PPPs e concessões.</w:t>
      </w:r>
    </w:p>
    <w:p w14:paraId="21700595" w14:textId="77777777" w:rsidR="007F277B" w:rsidRPr="00CA2760" w:rsidRDefault="007F277B" w:rsidP="00541FE8">
      <w:pPr>
        <w:pStyle w:val="ListParagraph"/>
        <w:numPr>
          <w:ilvl w:val="0"/>
          <w:numId w:val="16"/>
        </w:num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Participação do setor privado no financiamento do SFM.</w:t>
      </w:r>
    </w:p>
    <w:p w14:paraId="6192E02C" w14:textId="77777777" w:rsidR="007F277B" w:rsidRPr="00CA2760" w:rsidRDefault="007F277B" w:rsidP="007F277B">
      <w:pPr>
        <w:autoSpaceDE w:val="0"/>
        <w:autoSpaceDN w:val="0"/>
        <w:adjustRightInd w:val="0"/>
        <w:spacing w:line="360" w:lineRule="auto"/>
        <w:rPr>
          <w:rFonts w:ascii="Times New Roman" w:hAnsi="Times New Roman" w:cs="Times New Roman"/>
          <w:b/>
          <w:sz w:val="24"/>
          <w:szCs w:val="24"/>
          <w:lang w:val="pt-BR"/>
        </w:rPr>
      </w:pPr>
      <w:r w:rsidRPr="00CA2760">
        <w:rPr>
          <w:rFonts w:ascii="Times New Roman" w:hAnsi="Times New Roman" w:cs="Times New Roman"/>
          <w:b/>
          <w:sz w:val="24"/>
          <w:szCs w:val="24"/>
          <w:lang w:val="pt-BR"/>
        </w:rPr>
        <w:t>Financiamento dos parceiros privados dos municípios</w:t>
      </w:r>
    </w:p>
    <w:p w14:paraId="0077D489" w14:textId="455D9025" w:rsidR="007F277B" w:rsidRPr="00CA2760" w:rsidRDefault="007F277B" w:rsidP="007F277B">
      <w:pPr>
        <w:spacing w:line="360" w:lineRule="auto"/>
        <w:rPr>
          <w:rFonts w:ascii="Times New Roman" w:eastAsia="Times New Roman" w:hAnsi="Times New Roman" w:cs="Times New Roman"/>
          <w:bCs/>
          <w:kern w:val="36"/>
          <w:sz w:val="24"/>
          <w:szCs w:val="24"/>
          <w:lang w:val="pt-BR"/>
        </w:rPr>
      </w:pPr>
      <w:r w:rsidRPr="00CA2760">
        <w:rPr>
          <w:rFonts w:ascii="Times New Roman" w:hAnsi="Times New Roman" w:cs="Times New Roman"/>
          <w:bCs/>
          <w:sz w:val="24"/>
          <w:szCs w:val="24"/>
          <w:lang w:val="pt-BR"/>
        </w:rPr>
        <w:t xml:space="preserve">Em muitos casos, como mostra o </w:t>
      </w:r>
      <w:r w:rsidRPr="006E6A91">
        <w:rPr>
          <w:rFonts w:ascii="Times New Roman" w:hAnsi="Times New Roman" w:cs="Times New Roman"/>
          <w:bCs/>
          <w:sz w:val="24"/>
          <w:szCs w:val="24"/>
          <w:lang w:val="pt-BR"/>
        </w:rPr>
        <w:t xml:space="preserve">Quadro </w:t>
      </w:r>
      <w:r w:rsidR="00867954">
        <w:rPr>
          <w:rFonts w:ascii="Times New Roman" w:hAnsi="Times New Roman" w:cs="Times New Roman"/>
          <w:bCs/>
          <w:sz w:val="24"/>
          <w:szCs w:val="24"/>
          <w:lang w:val="pt-BR"/>
        </w:rPr>
        <w:t>4</w:t>
      </w:r>
      <w:r w:rsidRPr="006E6A91">
        <w:rPr>
          <w:rFonts w:ascii="Times New Roman" w:hAnsi="Times New Roman" w:cs="Times New Roman"/>
          <w:bCs/>
          <w:sz w:val="24"/>
          <w:szCs w:val="24"/>
          <w:lang w:val="pt-BR"/>
        </w:rPr>
        <w:t>, o poder público</w:t>
      </w:r>
      <w:r w:rsidRPr="00CA2760">
        <w:rPr>
          <w:rFonts w:ascii="Times New Roman" w:hAnsi="Times New Roman" w:cs="Times New Roman"/>
          <w:bCs/>
          <w:sz w:val="24"/>
          <w:szCs w:val="24"/>
          <w:lang w:val="pt-BR"/>
        </w:rPr>
        <w:t xml:space="preserve"> poderia aumentar a oferta de infraestrutura e serviços públicos via parcerias com o setor privado como nos casos de </w:t>
      </w:r>
      <w:r w:rsidRPr="00CA2760">
        <w:rPr>
          <w:rFonts w:ascii="Times New Roman" w:hAnsi="Times New Roman" w:cs="Times New Roman"/>
          <w:sz w:val="24"/>
          <w:szCs w:val="24"/>
          <w:lang w:val="pt-BR"/>
        </w:rPr>
        <w:t>PPPs</w:t>
      </w:r>
      <w:r w:rsidRPr="00CA2760">
        <w:rPr>
          <w:rStyle w:val="FootnoteReference"/>
          <w:rFonts w:ascii="Times New Roman" w:hAnsi="Times New Roman" w:cs="Times New Roman"/>
          <w:sz w:val="24"/>
          <w:szCs w:val="24"/>
          <w:lang w:val="pt-BR"/>
        </w:rPr>
        <w:footnoteReference w:id="16"/>
      </w:r>
      <w:r w:rsidRPr="00CA2760">
        <w:rPr>
          <w:rFonts w:ascii="Times New Roman" w:hAnsi="Times New Roman" w:cs="Times New Roman"/>
          <w:sz w:val="24"/>
          <w:szCs w:val="24"/>
          <w:lang w:val="pt-BR"/>
        </w:rPr>
        <w:t xml:space="preserve">, concessões e leasing.  Embora a Fomento Paraná não possa financiar os parceiros privados dos municípios com os recursos do FDU, poderia fazê-lo com seus recursos próprios.  Também, o SFM poderia eventualmente oferecer serviços financeiros para estruturas de </w:t>
      </w:r>
      <w:r w:rsidRPr="00CA2760">
        <w:rPr>
          <w:rFonts w:ascii="Times New Roman" w:hAnsi="Times New Roman" w:cs="Times New Roman"/>
          <w:i/>
          <w:sz w:val="24"/>
          <w:szCs w:val="24"/>
          <w:lang w:val="pt-BR"/>
        </w:rPr>
        <w:t>project finance</w:t>
      </w:r>
      <w:r w:rsidRPr="00CA2760">
        <w:rPr>
          <w:rFonts w:ascii="Times New Roman" w:hAnsi="Times New Roman" w:cs="Times New Roman"/>
          <w:sz w:val="24"/>
          <w:szCs w:val="24"/>
          <w:lang w:val="pt-BR"/>
        </w:rPr>
        <w:t xml:space="preserve"> neste tipo de parceria, incluindo estruturação e sindicação, as vezes com </w:t>
      </w:r>
      <w:r w:rsidRPr="00CA2760">
        <w:rPr>
          <w:rFonts w:ascii="Times New Roman" w:hAnsi="Times New Roman" w:cs="Times New Roman"/>
          <w:i/>
          <w:sz w:val="24"/>
          <w:szCs w:val="24"/>
          <w:lang w:val="pt-BR"/>
        </w:rPr>
        <w:t xml:space="preserve">success fees </w:t>
      </w:r>
      <w:r w:rsidRPr="00CA2760">
        <w:rPr>
          <w:rFonts w:ascii="Times New Roman" w:hAnsi="Times New Roman" w:cs="Times New Roman"/>
          <w:sz w:val="24"/>
          <w:szCs w:val="24"/>
          <w:lang w:val="pt-BR"/>
        </w:rPr>
        <w:t xml:space="preserve">relacionadas aos </w:t>
      </w:r>
      <w:r w:rsidRPr="00555EA3">
        <w:rPr>
          <w:rFonts w:ascii="Times New Roman" w:hAnsi="Times New Roman" w:cs="Times New Roman"/>
          <w:sz w:val="24"/>
          <w:szCs w:val="24"/>
          <w:lang w:val="pt-BR"/>
        </w:rPr>
        <w:t>mesmos.</w:t>
      </w:r>
      <w:r w:rsidR="00D91C24" w:rsidRPr="00555EA3">
        <w:rPr>
          <w:rFonts w:ascii="Times New Roman" w:hAnsi="Times New Roman" w:cs="Times New Roman"/>
          <w:sz w:val="24"/>
          <w:szCs w:val="24"/>
          <w:lang w:val="pt-BR"/>
        </w:rPr>
        <w:t xml:space="preserve"> </w:t>
      </w:r>
      <w:r w:rsidRPr="00555EA3">
        <w:rPr>
          <w:rFonts w:ascii="Times New Roman" w:hAnsi="Times New Roman" w:cs="Times New Roman"/>
          <w:sz w:val="24"/>
          <w:szCs w:val="24"/>
          <w:lang w:val="pt-BR"/>
        </w:rPr>
        <w:t>N</w:t>
      </w:r>
      <w:r w:rsidR="00555EA3" w:rsidRPr="00555EA3">
        <w:rPr>
          <w:rFonts w:ascii="Times New Roman" w:hAnsi="Times New Roman" w:cs="Times New Roman"/>
          <w:sz w:val="24"/>
          <w:szCs w:val="24"/>
          <w:lang w:val="pt-BR"/>
        </w:rPr>
        <w:t>o</w:t>
      </w:r>
      <w:r w:rsidRPr="00555EA3">
        <w:rPr>
          <w:rFonts w:ascii="Times New Roman" w:hAnsi="Times New Roman" w:cs="Times New Roman"/>
          <w:sz w:val="24"/>
          <w:szCs w:val="24"/>
          <w:lang w:val="pt-BR"/>
        </w:rPr>
        <w:t xml:space="preserve"> exemplo de uma PPP municipal, a Prefeitura de São Paulo publicou um</w:t>
      </w:r>
      <w:r w:rsidR="0042288E" w:rsidRPr="00555EA3">
        <w:rPr>
          <w:rFonts w:ascii="Times New Roman" w:hAnsi="Times New Roman" w:cs="Times New Roman"/>
          <w:sz w:val="24"/>
          <w:szCs w:val="24"/>
          <w:lang w:val="pt-BR"/>
        </w:rPr>
        <w:t>a</w:t>
      </w:r>
      <w:r w:rsidRPr="00555EA3">
        <w:rPr>
          <w:rFonts w:ascii="Times New Roman" w:hAnsi="Times New Roman" w:cs="Times New Roman"/>
          <w:sz w:val="24"/>
          <w:szCs w:val="24"/>
          <w:lang w:val="pt-BR"/>
        </w:rPr>
        <w:t xml:space="preserve"> licitação pública para que a iniciativa privada apresentasse</w:t>
      </w:r>
      <w:r w:rsidRPr="00CA2760">
        <w:rPr>
          <w:rFonts w:ascii="Times New Roman" w:hAnsi="Times New Roman" w:cs="Times New Roman"/>
          <w:sz w:val="24"/>
          <w:szCs w:val="24"/>
          <w:lang w:val="pt-BR"/>
        </w:rPr>
        <w:t xml:space="preserve"> modelos de uma PPP para a melhoria em toda a rede de iluminação pública da cidade.  A empresa vencedora da concorrência ficará com a arrecadação da Contribuição para Custeio do Serviço de Iluminação Pública.  Também, o </w:t>
      </w:r>
      <w:r w:rsidRPr="00CA2760">
        <w:rPr>
          <w:rFonts w:ascii="Times New Roman" w:eastAsia="Times New Roman" w:hAnsi="Times New Roman" w:cs="Times New Roman"/>
          <w:bCs/>
          <w:kern w:val="36"/>
          <w:sz w:val="24"/>
          <w:szCs w:val="24"/>
          <w:lang w:val="pt-BR"/>
        </w:rPr>
        <w:t xml:space="preserve">Município do Rio de </w:t>
      </w:r>
      <w:r w:rsidRPr="00555EA3">
        <w:rPr>
          <w:rFonts w:ascii="Times New Roman" w:eastAsia="Times New Roman" w:hAnsi="Times New Roman" w:cs="Times New Roman"/>
          <w:bCs/>
          <w:kern w:val="36"/>
          <w:sz w:val="24"/>
          <w:szCs w:val="24"/>
          <w:lang w:val="pt-BR"/>
        </w:rPr>
        <w:t xml:space="preserve">Janeiro </w:t>
      </w:r>
      <w:r w:rsidR="00555EA3" w:rsidRPr="00555EA3">
        <w:rPr>
          <w:rFonts w:ascii="Times New Roman" w:eastAsia="Times New Roman" w:hAnsi="Times New Roman" w:cs="Times New Roman"/>
          <w:bCs/>
          <w:kern w:val="36"/>
          <w:sz w:val="24"/>
          <w:szCs w:val="24"/>
          <w:lang w:val="pt-BR"/>
        </w:rPr>
        <w:t>fez</w:t>
      </w:r>
      <w:r w:rsidRPr="00555EA3">
        <w:rPr>
          <w:rFonts w:ascii="Times New Roman" w:eastAsia="Times New Roman" w:hAnsi="Times New Roman" w:cs="Times New Roman"/>
          <w:bCs/>
          <w:kern w:val="36"/>
          <w:sz w:val="24"/>
          <w:szCs w:val="24"/>
          <w:lang w:val="pt-BR"/>
        </w:rPr>
        <w:t xml:space="preserve"> uma consulta</w:t>
      </w:r>
      <w:r w:rsidRPr="00CA2760">
        <w:rPr>
          <w:rFonts w:ascii="Times New Roman" w:eastAsia="Times New Roman" w:hAnsi="Times New Roman" w:cs="Times New Roman"/>
          <w:bCs/>
          <w:kern w:val="36"/>
          <w:sz w:val="24"/>
          <w:szCs w:val="24"/>
          <w:lang w:val="pt-BR"/>
        </w:rPr>
        <w:t xml:space="preserve"> pública de concessão para a gestão de estacionamentos públicos.</w:t>
      </w:r>
    </w:p>
    <w:p w14:paraId="7CE7FDAB" w14:textId="77777777" w:rsidR="00BE2F74" w:rsidRDefault="00BE2F74">
      <w:pPr>
        <w:rPr>
          <w:rFonts w:ascii="Times New Roman" w:hAnsi="Times New Roman" w:cs="Times New Roman"/>
          <w:sz w:val="24"/>
          <w:szCs w:val="24"/>
          <w:lang w:val="pt-BR"/>
        </w:rPr>
      </w:pPr>
      <w:r>
        <w:rPr>
          <w:rFonts w:ascii="Times New Roman" w:hAnsi="Times New Roman" w:cs="Times New Roman"/>
          <w:sz w:val="24"/>
          <w:szCs w:val="24"/>
          <w:lang w:val="pt-BR"/>
        </w:rPr>
        <w:br w:type="page"/>
      </w:r>
    </w:p>
    <w:p w14:paraId="1021331C" w14:textId="7C97C37E" w:rsidR="007F277B" w:rsidRPr="00CA2760" w:rsidRDefault="007F277B" w:rsidP="007F277B">
      <w:pPr>
        <w:spacing w:after="0" w:line="24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lastRenderedPageBreak/>
        <w:t xml:space="preserve">Quadro </w:t>
      </w:r>
      <w:r w:rsidR="009D70F8">
        <w:rPr>
          <w:rFonts w:ascii="Times New Roman" w:hAnsi="Times New Roman" w:cs="Times New Roman"/>
          <w:sz w:val="24"/>
          <w:szCs w:val="24"/>
          <w:lang w:val="pt-BR"/>
        </w:rPr>
        <w:t>4</w:t>
      </w:r>
      <w:r w:rsidRPr="00CA2760">
        <w:rPr>
          <w:rFonts w:ascii="Times New Roman" w:hAnsi="Times New Roman" w:cs="Times New Roman"/>
          <w:sz w:val="24"/>
          <w:szCs w:val="24"/>
          <w:lang w:val="pt-BR"/>
        </w:rPr>
        <w:t>.  Alguns exemplos de investimentos em infraestrutura municipal (</w:t>
      </w:r>
      <w:r w:rsidRPr="00CA2760">
        <w:rPr>
          <w:rFonts w:ascii="Times New Roman" w:hAnsi="Times New Roman" w:cs="Times New Roman"/>
          <w:i/>
          <w:sz w:val="24"/>
          <w:szCs w:val="24"/>
          <w:lang w:val="pt-BR"/>
        </w:rPr>
        <w:t xml:space="preserve">Project </w:t>
      </w:r>
      <w:r w:rsidR="006E1350">
        <w:rPr>
          <w:rFonts w:ascii="Times New Roman" w:hAnsi="Times New Roman" w:cs="Times New Roman"/>
          <w:i/>
          <w:sz w:val="24"/>
          <w:szCs w:val="24"/>
          <w:lang w:val="pt-BR"/>
        </w:rPr>
        <w:t>F</w:t>
      </w:r>
      <w:r w:rsidRPr="00CA2760">
        <w:rPr>
          <w:rFonts w:ascii="Times New Roman" w:hAnsi="Times New Roman" w:cs="Times New Roman"/>
          <w:i/>
          <w:sz w:val="24"/>
          <w:szCs w:val="24"/>
          <w:lang w:val="pt-BR"/>
        </w:rPr>
        <w:t>inance</w:t>
      </w:r>
      <w:r w:rsidRPr="00CA2760">
        <w:rPr>
          <w:rFonts w:ascii="Times New Roman" w:hAnsi="Times New Roman" w:cs="Times New Roman"/>
          <w:sz w:val="24"/>
          <w:szCs w:val="24"/>
          <w:lang w:val="pt-BR"/>
        </w:rPr>
        <w:t>)</w:t>
      </w:r>
      <w:r w:rsidR="00135EA1">
        <w:rPr>
          <w:rFonts w:ascii="Times New Roman" w:hAnsi="Times New Roman" w:cs="Times New Roman"/>
          <w:sz w:val="24"/>
          <w:szCs w:val="24"/>
          <w:lang w:val="pt-BR"/>
        </w:rPr>
        <w:t xml:space="preserve"> por</w:t>
      </w:r>
      <w:r w:rsidR="00135EA1" w:rsidRPr="00CA2760">
        <w:rPr>
          <w:rFonts w:ascii="Times New Roman" w:hAnsi="Times New Roman" w:cs="Times New Roman"/>
          <w:sz w:val="24"/>
          <w:szCs w:val="24"/>
          <w:lang w:val="pt-BR"/>
        </w:rPr>
        <w:t xml:space="preserve"> parceiros privados</w:t>
      </w:r>
    </w:p>
    <w:tbl>
      <w:tblPr>
        <w:tblStyle w:val="TableGrid"/>
        <w:tblW w:w="0" w:type="auto"/>
        <w:tblLook w:val="04A0" w:firstRow="1" w:lastRow="0" w:firstColumn="1" w:lastColumn="0" w:noHBand="0" w:noVBand="1"/>
      </w:tblPr>
      <w:tblGrid>
        <w:gridCol w:w="1524"/>
        <w:gridCol w:w="7826"/>
      </w:tblGrid>
      <w:tr w:rsidR="007F277B" w:rsidRPr="00CA2760" w14:paraId="20982B2C" w14:textId="77777777" w:rsidTr="007F277B">
        <w:tc>
          <w:tcPr>
            <w:tcW w:w="1526" w:type="dxa"/>
          </w:tcPr>
          <w:p w14:paraId="64B27A82" w14:textId="77777777" w:rsidR="007F277B" w:rsidRPr="00CA2760" w:rsidRDefault="007F277B" w:rsidP="007F277B">
            <w:pPr>
              <w:rPr>
                <w:rFonts w:ascii="Times New Roman" w:hAnsi="Times New Roman" w:cs="Times New Roman"/>
                <w:sz w:val="24"/>
                <w:szCs w:val="24"/>
                <w:lang w:val="pt-BR"/>
              </w:rPr>
            </w:pPr>
            <w:r w:rsidRPr="00CA2760">
              <w:rPr>
                <w:rFonts w:ascii="Times New Roman" w:hAnsi="Times New Roman" w:cs="Times New Roman"/>
                <w:sz w:val="24"/>
                <w:szCs w:val="24"/>
                <w:lang w:val="pt-BR"/>
              </w:rPr>
              <w:t>Instrumentos</w:t>
            </w:r>
          </w:p>
        </w:tc>
        <w:tc>
          <w:tcPr>
            <w:tcW w:w="8050" w:type="dxa"/>
          </w:tcPr>
          <w:p w14:paraId="2E12C18E" w14:textId="77777777" w:rsidR="007F277B" w:rsidRPr="00CA2760" w:rsidRDefault="007F277B" w:rsidP="007F277B">
            <w:pPr>
              <w:rPr>
                <w:rFonts w:ascii="Times New Roman" w:hAnsi="Times New Roman" w:cs="Times New Roman"/>
                <w:sz w:val="24"/>
                <w:szCs w:val="24"/>
                <w:lang w:val="pt-BR"/>
              </w:rPr>
            </w:pPr>
            <w:r w:rsidRPr="00CA2760">
              <w:rPr>
                <w:rFonts w:ascii="Times New Roman" w:hAnsi="Times New Roman" w:cs="Times New Roman"/>
                <w:sz w:val="24"/>
                <w:szCs w:val="24"/>
                <w:lang w:val="pt-BR"/>
              </w:rPr>
              <w:t>Exemplos</w:t>
            </w:r>
          </w:p>
        </w:tc>
      </w:tr>
      <w:tr w:rsidR="007F277B" w:rsidRPr="00B05122" w14:paraId="1264EADB" w14:textId="77777777" w:rsidTr="007F277B">
        <w:tc>
          <w:tcPr>
            <w:tcW w:w="1526" w:type="dxa"/>
          </w:tcPr>
          <w:p w14:paraId="08BCEE83" w14:textId="77777777" w:rsidR="007F277B" w:rsidRPr="00CA2760" w:rsidRDefault="007F277B" w:rsidP="007F277B">
            <w:pPr>
              <w:rPr>
                <w:rFonts w:ascii="Times New Roman" w:hAnsi="Times New Roman" w:cs="Times New Roman"/>
                <w:sz w:val="24"/>
                <w:szCs w:val="24"/>
                <w:lang w:val="pt-BR"/>
              </w:rPr>
            </w:pPr>
            <w:r w:rsidRPr="00CA2760">
              <w:rPr>
                <w:rFonts w:ascii="Times New Roman" w:hAnsi="Times New Roman" w:cs="Times New Roman"/>
                <w:sz w:val="24"/>
                <w:szCs w:val="24"/>
                <w:lang w:val="pt-BR"/>
              </w:rPr>
              <w:t>PPP</w:t>
            </w:r>
          </w:p>
        </w:tc>
        <w:tc>
          <w:tcPr>
            <w:tcW w:w="8050" w:type="dxa"/>
          </w:tcPr>
          <w:p w14:paraId="5316BB8E" w14:textId="77777777" w:rsidR="007F277B" w:rsidRPr="00CA2760" w:rsidRDefault="007F277B" w:rsidP="007F277B">
            <w:pPr>
              <w:rPr>
                <w:rFonts w:ascii="Times New Roman" w:eastAsia="Times New Roman" w:hAnsi="Times New Roman" w:cs="Times New Roman"/>
                <w:sz w:val="24"/>
                <w:szCs w:val="24"/>
                <w:lang w:val="pt-BR"/>
              </w:rPr>
            </w:pPr>
            <w:r w:rsidRPr="00CA2760">
              <w:rPr>
                <w:rFonts w:ascii="Times New Roman" w:eastAsia="Times New Roman" w:hAnsi="Times New Roman" w:cs="Times New Roman"/>
                <w:i/>
                <w:sz w:val="24"/>
                <w:szCs w:val="24"/>
                <w:lang w:val="pt-BR"/>
              </w:rPr>
              <w:t>Rio de Janeiro</w:t>
            </w:r>
            <w:r w:rsidRPr="00CA2760">
              <w:rPr>
                <w:rFonts w:ascii="Times New Roman" w:eastAsia="Times New Roman" w:hAnsi="Times New Roman" w:cs="Times New Roman"/>
                <w:sz w:val="24"/>
                <w:szCs w:val="24"/>
                <w:lang w:val="pt-BR"/>
              </w:rPr>
              <w:t>:  Porto Maravilha. A Companhia de Desenvolvimento Urbano da Região do Porto do Rio de Janeiro (CDURP) utilizou um contrato PPP na modalidade concessão administrativa para contratar as obras.</w:t>
            </w:r>
          </w:p>
          <w:p w14:paraId="2A26179F" w14:textId="77777777" w:rsidR="007F277B" w:rsidRPr="00CA2760" w:rsidRDefault="007F277B" w:rsidP="007F277B">
            <w:pPr>
              <w:rPr>
                <w:rFonts w:ascii="Times New Roman" w:hAnsi="Times New Roman" w:cs="Times New Roman"/>
                <w:sz w:val="24"/>
                <w:szCs w:val="24"/>
                <w:lang w:val="pt-BR"/>
              </w:rPr>
            </w:pPr>
            <w:r w:rsidRPr="00CA2760">
              <w:rPr>
                <w:rFonts w:ascii="Times New Roman" w:eastAsia="Times New Roman" w:hAnsi="Times New Roman" w:cs="Times New Roman"/>
                <w:i/>
                <w:sz w:val="24"/>
                <w:szCs w:val="24"/>
                <w:lang w:val="pt-BR"/>
              </w:rPr>
              <w:t>São Paulo</w:t>
            </w:r>
            <w:r w:rsidRPr="00CA2760">
              <w:rPr>
                <w:rFonts w:ascii="Times New Roman" w:eastAsia="Times New Roman" w:hAnsi="Times New Roman" w:cs="Times New Roman"/>
                <w:sz w:val="24"/>
                <w:szCs w:val="24"/>
                <w:lang w:val="pt-BR"/>
              </w:rPr>
              <w:t xml:space="preserve">:  </w:t>
            </w:r>
            <w:r w:rsidRPr="00CA2760">
              <w:rPr>
                <w:rFonts w:ascii="Times New Roman" w:hAnsi="Times New Roman" w:cs="Times New Roman"/>
                <w:sz w:val="24"/>
                <w:szCs w:val="24"/>
                <w:lang w:val="pt-BR"/>
              </w:rPr>
              <w:t>PPP para melhoria de toda a rede de iluminação pública da cidade</w:t>
            </w:r>
          </w:p>
        </w:tc>
      </w:tr>
      <w:tr w:rsidR="007F277B" w:rsidRPr="00B05122" w14:paraId="54184CEF" w14:textId="77777777" w:rsidTr="007F277B">
        <w:tc>
          <w:tcPr>
            <w:tcW w:w="1526" w:type="dxa"/>
          </w:tcPr>
          <w:p w14:paraId="4492A0F6" w14:textId="77777777" w:rsidR="007F277B" w:rsidRPr="00CA2760" w:rsidRDefault="007F277B" w:rsidP="007F277B">
            <w:pPr>
              <w:rPr>
                <w:rFonts w:ascii="Times New Roman" w:hAnsi="Times New Roman" w:cs="Times New Roman"/>
                <w:sz w:val="24"/>
                <w:szCs w:val="24"/>
                <w:lang w:val="pt-BR"/>
              </w:rPr>
            </w:pPr>
            <w:r w:rsidRPr="00CA2760">
              <w:rPr>
                <w:rFonts w:ascii="Times New Roman" w:hAnsi="Times New Roman" w:cs="Times New Roman"/>
                <w:sz w:val="24"/>
                <w:szCs w:val="24"/>
                <w:lang w:val="pt-BR"/>
              </w:rPr>
              <w:t>Concessões</w:t>
            </w:r>
          </w:p>
        </w:tc>
        <w:tc>
          <w:tcPr>
            <w:tcW w:w="8050" w:type="dxa"/>
          </w:tcPr>
          <w:p w14:paraId="4835C932" w14:textId="6BFF3A8F" w:rsidR="007F277B" w:rsidRPr="00CA2760" w:rsidRDefault="007F277B" w:rsidP="007F277B">
            <w:pPr>
              <w:autoSpaceDE w:val="0"/>
              <w:autoSpaceDN w:val="0"/>
              <w:adjustRightInd w:val="0"/>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Concessões municipais no setor de saneamento básico:  Niterói e Região dos </w:t>
            </w:r>
            <w:r w:rsidR="0042288E" w:rsidRPr="00CA2760">
              <w:rPr>
                <w:rFonts w:ascii="Times New Roman" w:hAnsi="Times New Roman" w:cs="Times New Roman"/>
                <w:sz w:val="24"/>
                <w:szCs w:val="24"/>
                <w:lang w:val="pt-BR"/>
              </w:rPr>
              <w:t>Lagos no</w:t>
            </w:r>
            <w:r w:rsidRPr="00CA2760">
              <w:rPr>
                <w:rFonts w:ascii="Times New Roman" w:hAnsi="Times New Roman" w:cs="Times New Roman"/>
                <w:sz w:val="24"/>
                <w:szCs w:val="24"/>
                <w:lang w:val="pt-BR"/>
              </w:rPr>
              <w:t xml:space="preserve"> Estado do Rio de Janeiro e Limeira (SP)</w:t>
            </w:r>
          </w:p>
          <w:p w14:paraId="5274561C" w14:textId="77777777" w:rsidR="007F277B" w:rsidRPr="00CA2760" w:rsidRDefault="007F277B" w:rsidP="007F277B">
            <w:pPr>
              <w:autoSpaceDE w:val="0"/>
              <w:autoSpaceDN w:val="0"/>
              <w:adjustRightInd w:val="0"/>
              <w:rPr>
                <w:rFonts w:ascii="Times New Roman" w:hAnsi="Times New Roman" w:cs="Times New Roman"/>
                <w:sz w:val="24"/>
                <w:szCs w:val="24"/>
                <w:lang w:val="pt-BR"/>
              </w:rPr>
            </w:pPr>
            <w:r w:rsidRPr="00CA2760">
              <w:rPr>
                <w:rFonts w:ascii="Times New Roman" w:hAnsi="Times New Roman" w:cs="Times New Roman"/>
                <w:sz w:val="24"/>
                <w:szCs w:val="24"/>
                <w:lang w:val="pt-BR"/>
              </w:rPr>
              <w:t>Também existem vários exemplos de PPPs na área de resíduos sólidos</w:t>
            </w:r>
          </w:p>
        </w:tc>
      </w:tr>
    </w:tbl>
    <w:p w14:paraId="434C41B8" w14:textId="77777777" w:rsidR="007F277B" w:rsidRPr="00CA2760" w:rsidRDefault="007F277B" w:rsidP="007F277B">
      <w:pPr>
        <w:rPr>
          <w:rFonts w:ascii="Times New Roman" w:hAnsi="Times New Roman" w:cs="Times New Roman"/>
          <w:sz w:val="24"/>
          <w:szCs w:val="24"/>
          <w:lang w:val="pt-BR"/>
        </w:rPr>
      </w:pPr>
    </w:p>
    <w:p w14:paraId="5F8201F7" w14:textId="77777777" w:rsidR="007F277B" w:rsidRPr="00CA2760" w:rsidRDefault="007F277B" w:rsidP="007F277B">
      <w:pPr>
        <w:spacing w:after="12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As PPPs e concessões normalmente utilizam estruturas de </w:t>
      </w:r>
      <w:r w:rsidRPr="00CA2760">
        <w:rPr>
          <w:rFonts w:ascii="Times New Roman" w:hAnsi="Times New Roman" w:cs="Times New Roman"/>
          <w:i/>
          <w:sz w:val="24"/>
          <w:szCs w:val="24"/>
          <w:lang w:val="pt-BR"/>
        </w:rPr>
        <w:t>project finance</w:t>
      </w:r>
      <w:r w:rsidRPr="00CA2760">
        <w:rPr>
          <w:rFonts w:ascii="Times New Roman" w:hAnsi="Times New Roman" w:cs="Times New Roman"/>
          <w:sz w:val="24"/>
          <w:szCs w:val="24"/>
          <w:lang w:val="pt-BR"/>
        </w:rPr>
        <w:t xml:space="preserve"> que envolvem a criação de uma Sociedade de Propósito Especifico (SPE) que é jurídica e economicamente independente e que tem como objetivo financiar em longo prazo projetos de infraestrutura e serviços públicos via dívida </w:t>
      </w:r>
      <w:r w:rsidRPr="00CA2760">
        <w:rPr>
          <w:rFonts w:ascii="Times New Roman" w:hAnsi="Times New Roman" w:cs="Times New Roman"/>
          <w:i/>
          <w:sz w:val="24"/>
          <w:szCs w:val="24"/>
          <w:lang w:val="pt-BR"/>
        </w:rPr>
        <w:t>non-recourse</w:t>
      </w:r>
      <w:r w:rsidRPr="00CA2760">
        <w:rPr>
          <w:rStyle w:val="FootnoteReference"/>
          <w:rFonts w:ascii="Times New Roman" w:hAnsi="Times New Roman" w:cs="Times New Roman"/>
          <w:b/>
          <w:sz w:val="24"/>
          <w:szCs w:val="24"/>
          <w:lang w:val="pt-BR"/>
        </w:rPr>
        <w:footnoteReference w:id="17"/>
      </w:r>
      <w:r w:rsidRPr="00CA2760">
        <w:rPr>
          <w:rFonts w:ascii="Times New Roman" w:hAnsi="Times New Roman" w:cs="Times New Roman"/>
          <w:b/>
          <w:i/>
          <w:sz w:val="24"/>
          <w:szCs w:val="24"/>
          <w:lang w:val="pt-BR"/>
        </w:rPr>
        <w:t xml:space="preserve"> </w:t>
      </w:r>
      <w:r w:rsidRPr="00CA2760">
        <w:rPr>
          <w:rFonts w:ascii="Times New Roman" w:hAnsi="Times New Roman" w:cs="Times New Roman"/>
          <w:sz w:val="24"/>
          <w:szCs w:val="24"/>
          <w:lang w:val="pt-BR"/>
        </w:rPr>
        <w:t xml:space="preserve">(ou </w:t>
      </w:r>
      <w:r w:rsidRPr="00CA2760">
        <w:rPr>
          <w:rFonts w:ascii="Times New Roman" w:hAnsi="Times New Roman" w:cs="Times New Roman"/>
          <w:i/>
          <w:sz w:val="24"/>
          <w:szCs w:val="24"/>
          <w:lang w:val="pt-BR"/>
        </w:rPr>
        <w:t>limited recourse)</w:t>
      </w:r>
      <w:r w:rsidRPr="00CA2760">
        <w:rPr>
          <w:rFonts w:ascii="Times New Roman" w:hAnsi="Times New Roman" w:cs="Times New Roman"/>
          <w:sz w:val="24"/>
          <w:szCs w:val="24"/>
          <w:lang w:val="pt-BR"/>
        </w:rPr>
        <w:t xml:space="preserve"> e capital próprio (</w:t>
      </w:r>
      <w:r w:rsidRPr="00CA2760">
        <w:rPr>
          <w:rFonts w:ascii="Times New Roman" w:hAnsi="Times New Roman" w:cs="Times New Roman"/>
          <w:i/>
          <w:sz w:val="24"/>
          <w:szCs w:val="24"/>
          <w:lang w:val="pt-BR"/>
        </w:rPr>
        <w:t>equity</w:t>
      </w:r>
      <w:r w:rsidRPr="00CA2760">
        <w:rPr>
          <w:rFonts w:ascii="Times New Roman" w:hAnsi="Times New Roman" w:cs="Times New Roman"/>
          <w:sz w:val="24"/>
          <w:szCs w:val="24"/>
          <w:lang w:val="pt-BR"/>
        </w:rPr>
        <w:t>) de um ou mais patrocinadores corporativos.</w:t>
      </w:r>
    </w:p>
    <w:p w14:paraId="19923D92" w14:textId="6533B946" w:rsidR="007F277B" w:rsidRPr="00CA2760" w:rsidRDefault="007F277B" w:rsidP="007F277B">
      <w:pPr>
        <w:spacing w:before="240" w:after="120"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Um relatório recente do Banco Mundial (2012) examina as garantias financeiras e não financeiras que </w:t>
      </w:r>
      <w:r w:rsidR="006E1350">
        <w:rPr>
          <w:rFonts w:ascii="Times New Roman" w:hAnsi="Times New Roman" w:cs="Times New Roman"/>
          <w:sz w:val="24"/>
          <w:szCs w:val="24"/>
          <w:lang w:val="pt-BR"/>
        </w:rPr>
        <w:t>reforçam</w:t>
      </w:r>
      <w:r w:rsidRPr="00CA2760">
        <w:rPr>
          <w:rFonts w:ascii="Times New Roman" w:hAnsi="Times New Roman" w:cs="Times New Roman"/>
          <w:sz w:val="24"/>
          <w:szCs w:val="24"/>
          <w:lang w:val="pt-BR"/>
        </w:rPr>
        <w:t xml:space="preserve"> projetos de infraestrutura desenvolvidos através de regimes de PPP na América Latina, analisando as experiências de</w:t>
      </w:r>
      <w:r w:rsidR="00135EA1">
        <w:rPr>
          <w:rFonts w:ascii="Times New Roman" w:hAnsi="Times New Roman" w:cs="Times New Roman"/>
          <w:sz w:val="24"/>
          <w:szCs w:val="24"/>
          <w:lang w:val="pt-BR"/>
        </w:rPr>
        <w:t xml:space="preserve"> países como</w:t>
      </w:r>
      <w:r w:rsidRPr="00CA2760">
        <w:rPr>
          <w:rFonts w:ascii="Times New Roman" w:hAnsi="Times New Roman" w:cs="Times New Roman"/>
          <w:sz w:val="24"/>
          <w:szCs w:val="24"/>
          <w:lang w:val="pt-BR"/>
        </w:rPr>
        <w:t xml:space="preserve"> Brasil, Colômbia, Chile, México e Peru.</w:t>
      </w:r>
    </w:p>
    <w:p w14:paraId="1A50BF8A" w14:textId="77777777" w:rsidR="007F277B" w:rsidRPr="00CA2760" w:rsidRDefault="007F277B" w:rsidP="007F277B">
      <w:pPr>
        <w:autoSpaceDE w:val="0"/>
        <w:autoSpaceDN w:val="0"/>
        <w:adjustRightInd w:val="0"/>
        <w:spacing w:before="240" w:line="360" w:lineRule="auto"/>
        <w:rPr>
          <w:rFonts w:ascii="Times New Roman" w:hAnsi="Times New Roman" w:cs="Times New Roman"/>
          <w:b/>
          <w:sz w:val="24"/>
          <w:szCs w:val="24"/>
          <w:lang w:val="pt-BR"/>
        </w:rPr>
      </w:pPr>
      <w:r w:rsidRPr="00CA2760">
        <w:rPr>
          <w:rFonts w:ascii="Times New Roman" w:hAnsi="Times New Roman" w:cs="Times New Roman"/>
          <w:b/>
          <w:sz w:val="24"/>
          <w:szCs w:val="24"/>
          <w:lang w:val="pt-BR"/>
        </w:rPr>
        <w:t>Participação do setor privado no financiamento do SFM</w:t>
      </w:r>
    </w:p>
    <w:p w14:paraId="2AA884A8" w14:textId="390A967B" w:rsidR="007F277B" w:rsidRPr="00CA2760" w:rsidRDefault="007F277B" w:rsidP="007F277B">
      <w:pPr>
        <w:autoSpaceDE w:val="0"/>
        <w:autoSpaceDN w:val="0"/>
        <w:adjustRightInd w:val="0"/>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Os municípios poderiam utilizar CEPACs ou os outros instrumentos analisados </w:t>
      </w:r>
      <w:r w:rsidR="00721876">
        <w:rPr>
          <w:rFonts w:ascii="Times New Roman" w:hAnsi="Times New Roman" w:cs="Times New Roman"/>
          <w:sz w:val="24"/>
          <w:szCs w:val="24"/>
          <w:lang w:val="pt-BR"/>
        </w:rPr>
        <w:t>neste capítulo</w:t>
      </w:r>
      <w:r w:rsidRPr="00CA2760">
        <w:rPr>
          <w:rFonts w:ascii="Times New Roman" w:hAnsi="Times New Roman" w:cs="Times New Roman"/>
          <w:sz w:val="24"/>
          <w:szCs w:val="24"/>
          <w:lang w:val="pt-BR"/>
        </w:rPr>
        <w:t xml:space="preserve"> para financiar a infraestrutura nas </w:t>
      </w:r>
      <w:r w:rsidRPr="00CA2760">
        <w:rPr>
          <w:rFonts w:ascii="Times New Roman" w:eastAsia="SimSun" w:hAnsi="Times New Roman" w:cs="Times New Roman"/>
          <w:sz w:val="24"/>
          <w:szCs w:val="24"/>
          <w:lang w:val="pt-BR" w:eastAsia="zh-CN"/>
        </w:rPr>
        <w:t>áreas consorciadas dos projetos</w:t>
      </w:r>
      <w:r w:rsidRPr="00CA2760">
        <w:rPr>
          <w:rFonts w:ascii="Times New Roman" w:hAnsi="Times New Roman" w:cs="Times New Roman"/>
          <w:sz w:val="24"/>
          <w:szCs w:val="24"/>
          <w:lang w:val="pt-BR"/>
        </w:rPr>
        <w:t xml:space="preserve">.  </w:t>
      </w:r>
      <w:r w:rsidRPr="00CA2760">
        <w:rPr>
          <w:rFonts w:ascii="Times New Roman" w:eastAsia="Times New Roman" w:hAnsi="Times New Roman" w:cs="Times New Roman"/>
          <w:sz w:val="24"/>
          <w:szCs w:val="24"/>
          <w:lang w:val="pt-BR"/>
        </w:rPr>
        <w:t xml:space="preserve">Por exemplo, a CDURP utilizou um contrato PPP na modalidade concessão administrativa para contratar as obras do Porto Maravilha.  A emissão de CEPACs gerou os recursos necessários para financiar os investimentos públicos na Operação Urbana Consorciada Porto Maravilha.  Neste caso, </w:t>
      </w:r>
      <w:r w:rsidR="00721876">
        <w:rPr>
          <w:rFonts w:ascii="Times New Roman" w:eastAsia="Times New Roman" w:hAnsi="Times New Roman" w:cs="Times New Roman"/>
          <w:sz w:val="24"/>
          <w:szCs w:val="24"/>
          <w:lang w:val="pt-BR"/>
        </w:rPr>
        <w:t xml:space="preserve">a </w:t>
      </w:r>
      <w:r w:rsidRPr="00CA2760">
        <w:rPr>
          <w:rFonts w:ascii="Times New Roman" w:eastAsia="Times New Roman" w:hAnsi="Times New Roman" w:cs="Times New Roman"/>
          <w:sz w:val="24"/>
          <w:szCs w:val="24"/>
          <w:lang w:val="pt-BR"/>
        </w:rPr>
        <w:t>Caixa, BNDES e outr</w:t>
      </w:r>
      <w:r w:rsidR="006E1350">
        <w:rPr>
          <w:rFonts w:ascii="Times New Roman" w:eastAsia="Times New Roman" w:hAnsi="Times New Roman" w:cs="Times New Roman"/>
          <w:sz w:val="24"/>
          <w:szCs w:val="24"/>
          <w:lang w:val="pt-BR"/>
        </w:rPr>
        <w:t>o</w:t>
      </w:r>
      <w:r w:rsidRPr="00CA2760">
        <w:rPr>
          <w:rFonts w:ascii="Times New Roman" w:eastAsia="Times New Roman" w:hAnsi="Times New Roman" w:cs="Times New Roman"/>
          <w:sz w:val="24"/>
          <w:szCs w:val="24"/>
          <w:lang w:val="pt-BR"/>
        </w:rPr>
        <w:t xml:space="preserve">s entes compararam os CEPACs. </w:t>
      </w:r>
      <w:r w:rsidRPr="00310C93">
        <w:rPr>
          <w:rFonts w:ascii="Times New Roman" w:hAnsi="Times New Roman" w:cs="Times New Roman"/>
          <w:sz w:val="24"/>
          <w:szCs w:val="24"/>
          <w:lang w:val="pt-BR"/>
        </w:rPr>
        <w:t xml:space="preserve">Conforme discutido </w:t>
      </w:r>
      <w:r w:rsidR="00310C93" w:rsidRPr="00555EA3">
        <w:rPr>
          <w:rFonts w:ascii="Times New Roman" w:hAnsi="Times New Roman" w:cs="Times New Roman"/>
          <w:sz w:val="24"/>
          <w:szCs w:val="24"/>
          <w:lang w:val="pt-BR"/>
        </w:rPr>
        <w:t>neste capítulo,</w:t>
      </w:r>
      <w:r w:rsidRPr="00310C93">
        <w:rPr>
          <w:rFonts w:ascii="Times New Roman" w:hAnsi="Times New Roman" w:cs="Times New Roman"/>
          <w:sz w:val="24"/>
          <w:szCs w:val="24"/>
          <w:lang w:val="pt-BR"/>
        </w:rPr>
        <w:t xml:space="preserve"> desenvolver estes projetos inovadores é demorado e caro</w:t>
      </w:r>
      <w:r w:rsidRPr="00CA2760">
        <w:rPr>
          <w:rFonts w:ascii="Times New Roman" w:hAnsi="Times New Roman" w:cs="Times New Roman"/>
          <w:sz w:val="24"/>
          <w:szCs w:val="24"/>
          <w:lang w:val="pt-BR"/>
        </w:rPr>
        <w:t xml:space="preserve">, especialmente para projetos com parceiros privados que requerem contratos legais complexos. Além dos CEPACs, existem outras maneiras para o setor privado financiar a infraestrutura municipal, incluindo securitização e diferentes tipos de </w:t>
      </w:r>
      <w:r w:rsidRPr="00CA2760">
        <w:rPr>
          <w:rFonts w:ascii="Times New Roman" w:hAnsi="Times New Roman" w:cs="Times New Roman"/>
          <w:sz w:val="24"/>
          <w:szCs w:val="24"/>
          <w:lang w:val="pt-BR"/>
        </w:rPr>
        <w:lastRenderedPageBreak/>
        <w:t>fundos de investimento.  Nos EUA, os governos subnacionais (</w:t>
      </w:r>
      <w:r w:rsidRPr="00CA2760">
        <w:rPr>
          <w:rFonts w:ascii="Times New Roman" w:hAnsi="Times New Roman" w:cs="Times New Roman"/>
          <w:i/>
          <w:sz w:val="24"/>
          <w:szCs w:val="24"/>
          <w:lang w:val="pt-BR"/>
        </w:rPr>
        <w:t>cities, counties, states, distritos</w:t>
      </w:r>
      <w:r w:rsidRPr="00CA2760">
        <w:rPr>
          <w:rFonts w:ascii="Times New Roman" w:hAnsi="Times New Roman" w:cs="Times New Roman"/>
          <w:sz w:val="24"/>
          <w:szCs w:val="24"/>
          <w:lang w:val="pt-BR"/>
        </w:rPr>
        <w:t>, etc.) normalmente emitem títulos no mercado de capitais, dado que os juros destas obrigações são isentos do imposto de renda nacional.  Na Europa, já que os juros normalmente não são isentos do imposto de renda, empréstimos de bancos aos governos subnacionais são mais comuns, exceto no caso de grandes projetos.  Os bancos europeus por sua vez, securitizam estes empréstimos subnacionais no mercado de capitais.</w:t>
      </w:r>
    </w:p>
    <w:p w14:paraId="4C466420" w14:textId="1AC67C30" w:rsidR="00BE2F74" w:rsidRDefault="007F277B" w:rsidP="00BC5C7A">
      <w:pPr>
        <w:autoSpaceDE w:val="0"/>
        <w:autoSpaceDN w:val="0"/>
        <w:adjustRightInd w:val="0"/>
        <w:spacing w:before="240" w:line="360" w:lineRule="auto"/>
        <w:rPr>
          <w:rFonts w:ascii="Times New Roman" w:hAnsi="Times New Roman" w:cs="Times New Roman"/>
          <w:sz w:val="24"/>
          <w:szCs w:val="24"/>
          <w:lang w:val="pt-BR"/>
        </w:rPr>
      </w:pPr>
      <w:r w:rsidRPr="00BC5C7A">
        <w:rPr>
          <w:rFonts w:ascii="Times New Roman" w:hAnsi="Times New Roman" w:cs="Times New Roman"/>
          <w:sz w:val="24"/>
          <w:szCs w:val="24"/>
          <w:lang w:val="pt-BR"/>
        </w:rPr>
        <w:t xml:space="preserve">No Brasil, as altas taxas de juros no mercado privado complicam o financiamento dos municípios via o mercado privado de capitais.  </w:t>
      </w:r>
      <w:r w:rsidR="00BC5C7A">
        <w:rPr>
          <w:rFonts w:ascii="Times New Roman" w:hAnsi="Times New Roman" w:cs="Times New Roman"/>
          <w:sz w:val="24"/>
          <w:szCs w:val="24"/>
          <w:lang w:val="pt-BR"/>
        </w:rPr>
        <w:t>A</w:t>
      </w:r>
      <w:r w:rsidRPr="00BC5C7A">
        <w:rPr>
          <w:rFonts w:ascii="Times New Roman" w:hAnsi="Times New Roman" w:cs="Times New Roman"/>
          <w:sz w:val="24"/>
          <w:szCs w:val="24"/>
          <w:lang w:val="pt-BR"/>
        </w:rPr>
        <w:t xml:space="preserve"> </w:t>
      </w:r>
      <w:r w:rsidR="0042288E" w:rsidRPr="00BC5C7A">
        <w:rPr>
          <w:rFonts w:ascii="Times New Roman" w:hAnsi="Times New Roman" w:cs="Times New Roman"/>
          <w:sz w:val="24"/>
          <w:szCs w:val="24"/>
          <w:lang w:val="pt-BR"/>
        </w:rPr>
        <w:t>TJLP é</w:t>
      </w:r>
      <w:r w:rsidRPr="00BC5C7A">
        <w:rPr>
          <w:rFonts w:ascii="Times New Roman" w:hAnsi="Times New Roman" w:cs="Times New Roman"/>
          <w:sz w:val="24"/>
          <w:szCs w:val="24"/>
          <w:lang w:val="pt-BR"/>
        </w:rPr>
        <w:t xml:space="preserve"> muito menos volátil do que a taxa S</w:t>
      </w:r>
      <w:r w:rsidR="002F058E">
        <w:rPr>
          <w:rFonts w:ascii="Times New Roman" w:hAnsi="Times New Roman" w:cs="Times New Roman"/>
          <w:sz w:val="24"/>
          <w:szCs w:val="24"/>
          <w:lang w:val="pt-BR"/>
        </w:rPr>
        <w:t xml:space="preserve">istema </w:t>
      </w:r>
      <w:r w:rsidRPr="00BC5C7A">
        <w:rPr>
          <w:rFonts w:ascii="Times New Roman" w:hAnsi="Times New Roman" w:cs="Times New Roman"/>
          <w:sz w:val="24"/>
          <w:szCs w:val="24"/>
          <w:lang w:val="pt-BR"/>
        </w:rPr>
        <w:t>E</w:t>
      </w:r>
      <w:r w:rsidR="002F058E">
        <w:rPr>
          <w:rFonts w:ascii="Times New Roman" w:hAnsi="Times New Roman" w:cs="Times New Roman"/>
          <w:sz w:val="24"/>
          <w:szCs w:val="24"/>
          <w:lang w:val="pt-BR"/>
        </w:rPr>
        <w:t xml:space="preserve">special de </w:t>
      </w:r>
      <w:r w:rsidRPr="00BC5C7A">
        <w:rPr>
          <w:rFonts w:ascii="Times New Roman" w:hAnsi="Times New Roman" w:cs="Times New Roman"/>
          <w:sz w:val="24"/>
          <w:szCs w:val="24"/>
          <w:lang w:val="pt-BR"/>
        </w:rPr>
        <w:t>L</w:t>
      </w:r>
      <w:r w:rsidR="002F058E">
        <w:rPr>
          <w:rFonts w:ascii="Times New Roman" w:hAnsi="Times New Roman" w:cs="Times New Roman"/>
          <w:sz w:val="24"/>
          <w:szCs w:val="24"/>
          <w:lang w:val="pt-BR"/>
        </w:rPr>
        <w:t xml:space="preserve">iquidação e de </w:t>
      </w:r>
      <w:r w:rsidRPr="00BC5C7A">
        <w:rPr>
          <w:rFonts w:ascii="Times New Roman" w:hAnsi="Times New Roman" w:cs="Times New Roman"/>
          <w:sz w:val="24"/>
          <w:szCs w:val="24"/>
          <w:lang w:val="pt-BR"/>
        </w:rPr>
        <w:t>C</w:t>
      </w:r>
      <w:r w:rsidR="002F058E">
        <w:rPr>
          <w:rFonts w:ascii="Times New Roman" w:hAnsi="Times New Roman" w:cs="Times New Roman"/>
          <w:sz w:val="24"/>
          <w:szCs w:val="24"/>
          <w:lang w:val="pt-BR"/>
        </w:rPr>
        <w:t>ustódia</w:t>
      </w:r>
      <w:r w:rsidR="002F7DA7">
        <w:rPr>
          <w:rFonts w:ascii="Times New Roman" w:hAnsi="Times New Roman" w:cs="Times New Roman"/>
          <w:sz w:val="24"/>
          <w:szCs w:val="24"/>
          <w:lang w:val="pt-BR"/>
        </w:rPr>
        <w:t xml:space="preserve"> - SELIC</w:t>
      </w:r>
      <w:r w:rsidRPr="00BC5C7A">
        <w:rPr>
          <w:rFonts w:ascii="Times New Roman" w:hAnsi="Times New Roman" w:cs="Times New Roman"/>
          <w:sz w:val="24"/>
          <w:szCs w:val="24"/>
          <w:lang w:val="pt-BR"/>
        </w:rPr>
        <w:t xml:space="preserve"> (equivalente ao Fed Rate americano)</w:t>
      </w:r>
      <w:r w:rsidR="00BC5C7A">
        <w:rPr>
          <w:rFonts w:ascii="Times New Roman" w:hAnsi="Times New Roman" w:cs="Times New Roman"/>
          <w:sz w:val="24"/>
          <w:szCs w:val="24"/>
          <w:lang w:val="pt-BR"/>
        </w:rPr>
        <w:t>.</w:t>
      </w:r>
      <w:r w:rsidRPr="00BC5C7A">
        <w:rPr>
          <w:rFonts w:ascii="Times New Roman" w:hAnsi="Times New Roman" w:cs="Times New Roman"/>
          <w:sz w:val="24"/>
          <w:szCs w:val="24"/>
          <w:lang w:val="pt-BR"/>
        </w:rPr>
        <w:t xml:space="preserve">  Então, uma securitização dos pagamentos dos empréstimos municipais talvez fosse interessante para fundos de pensão, porém provavelmente com um</w:t>
      </w:r>
      <w:r w:rsidR="006E1350">
        <w:rPr>
          <w:rFonts w:ascii="Times New Roman" w:hAnsi="Times New Roman" w:cs="Times New Roman"/>
          <w:sz w:val="24"/>
          <w:szCs w:val="24"/>
          <w:lang w:val="pt-BR"/>
        </w:rPr>
        <w:t>a taxa de</w:t>
      </w:r>
      <w:r w:rsidRPr="00BC5C7A">
        <w:rPr>
          <w:rFonts w:ascii="Times New Roman" w:hAnsi="Times New Roman" w:cs="Times New Roman"/>
          <w:sz w:val="24"/>
          <w:szCs w:val="24"/>
          <w:lang w:val="pt-BR"/>
        </w:rPr>
        <w:t xml:space="preserve"> desconto.  Ou, talvez a CAIXA ou o BNDES tivessem interesse em investir na securitização com seus recursos de FGTS ou FAT.</w:t>
      </w:r>
      <w:r w:rsidR="00BC5C7A">
        <w:rPr>
          <w:rFonts w:ascii="Times New Roman" w:hAnsi="Times New Roman" w:cs="Times New Roman"/>
          <w:sz w:val="24"/>
          <w:szCs w:val="24"/>
          <w:lang w:val="pt-BR"/>
        </w:rPr>
        <w:t xml:space="preserve">  </w:t>
      </w:r>
      <w:r w:rsidRPr="00BC5C7A">
        <w:rPr>
          <w:rFonts w:ascii="Times New Roman" w:hAnsi="Times New Roman" w:cs="Times New Roman"/>
          <w:sz w:val="24"/>
          <w:szCs w:val="24"/>
          <w:lang w:val="pt-BR"/>
        </w:rPr>
        <w:t xml:space="preserve">A equipe da Fomento Paraná está começando um estudo de diferentes alternativas para estes tipos de operações dentro do mercado financeiro brasileiro com uma análise dos retornos do FDU nos últimos anos, porém ainda não identificou quais seriam os instrumentos mais adequados a política financeira local. </w:t>
      </w:r>
    </w:p>
    <w:p w14:paraId="08B33E29" w14:textId="77777777" w:rsidR="00BE2F74" w:rsidRDefault="00BE2F74" w:rsidP="00BC5C7A">
      <w:pPr>
        <w:autoSpaceDE w:val="0"/>
        <w:autoSpaceDN w:val="0"/>
        <w:adjustRightInd w:val="0"/>
        <w:spacing w:before="240" w:line="360" w:lineRule="auto"/>
        <w:rPr>
          <w:rFonts w:ascii="Times New Roman" w:eastAsia="Times New Roman" w:hAnsi="Times New Roman" w:cs="Times New Roman"/>
          <w:bCs/>
          <w:color w:val="333333"/>
          <w:sz w:val="24"/>
          <w:szCs w:val="24"/>
          <w:bdr w:val="none" w:sz="0" w:space="0" w:color="auto" w:frame="1"/>
          <w:shd w:val="clear" w:color="auto" w:fill="FFFFFF"/>
          <w:lang w:val="pt-BR"/>
        </w:rPr>
      </w:pPr>
    </w:p>
    <w:p w14:paraId="246B17D5" w14:textId="10D21DEE" w:rsidR="007F277B" w:rsidRPr="009E6880" w:rsidRDefault="007C711E" w:rsidP="00D91C24">
      <w:pPr>
        <w:spacing w:line="360" w:lineRule="auto"/>
        <w:jc w:val="center"/>
        <w:rPr>
          <w:rFonts w:ascii="Times New Roman" w:hAnsi="Times New Roman" w:cs="Times New Roman"/>
          <w:b/>
          <w:sz w:val="24"/>
          <w:szCs w:val="24"/>
          <w:u w:val="single"/>
          <w:lang w:val="pt-BR"/>
        </w:rPr>
      </w:pPr>
      <w:r w:rsidRPr="009E6880">
        <w:rPr>
          <w:rFonts w:ascii="Times New Roman" w:hAnsi="Times New Roman" w:cs="Times New Roman"/>
          <w:b/>
          <w:sz w:val="24"/>
          <w:szCs w:val="24"/>
          <w:u w:val="single"/>
          <w:lang w:val="pt-BR"/>
        </w:rPr>
        <w:t>Uma nota final</w:t>
      </w:r>
    </w:p>
    <w:p w14:paraId="3B7E02FF" w14:textId="14D3E7F6" w:rsidR="007F277B" w:rsidRPr="00CA2760" w:rsidRDefault="007F277B" w:rsidP="007F277B">
      <w:pPr>
        <w:autoSpaceDE w:val="0"/>
        <w:autoSpaceDN w:val="0"/>
        <w:adjustRightInd w:val="0"/>
        <w:spacing w:line="360" w:lineRule="auto"/>
        <w:rPr>
          <w:rFonts w:ascii="Times New Roman" w:hAnsi="Times New Roman" w:cs="Times New Roman"/>
          <w:b/>
          <w:sz w:val="24"/>
          <w:szCs w:val="24"/>
          <w:lang w:val="pt-BR"/>
        </w:rPr>
      </w:pPr>
      <w:r w:rsidRPr="00CA2760">
        <w:rPr>
          <w:rFonts w:ascii="Times New Roman" w:hAnsi="Times New Roman" w:cs="Times New Roman"/>
          <w:sz w:val="24"/>
          <w:szCs w:val="24"/>
          <w:lang w:val="pt-BR"/>
        </w:rPr>
        <w:t xml:space="preserve">Paraná III apresenta uma excelente oportunidade de desenvolver um novo modelo de financiamento de desenvolvimento urbano, que poderia ser utilizado eventualmente por outros estados no Brasil e internacionalmente, como foi o caso com os projetos Paraná I e II.  Desta forma, o projeto Paraná III poderia marcar o início de uma nova geração de projetos de desenvolvimento municipal </w:t>
      </w:r>
      <w:r w:rsidR="004742ED">
        <w:rPr>
          <w:rFonts w:ascii="Times New Roman" w:hAnsi="Times New Roman" w:cs="Times New Roman"/>
          <w:sz w:val="24"/>
          <w:szCs w:val="24"/>
          <w:lang w:val="pt-BR"/>
        </w:rPr>
        <w:t xml:space="preserve">sustentável, </w:t>
      </w:r>
      <w:r w:rsidRPr="00CA2760">
        <w:rPr>
          <w:rFonts w:ascii="Times New Roman" w:hAnsi="Times New Roman" w:cs="Times New Roman"/>
          <w:sz w:val="24"/>
          <w:szCs w:val="24"/>
          <w:lang w:val="pt-BR"/>
        </w:rPr>
        <w:t>com instituições financeiras mais sólidas e</w:t>
      </w:r>
      <w:r w:rsidR="00727B63">
        <w:rPr>
          <w:rFonts w:ascii="Times New Roman" w:hAnsi="Times New Roman" w:cs="Times New Roman"/>
          <w:sz w:val="24"/>
          <w:szCs w:val="24"/>
          <w:lang w:val="pt-BR"/>
        </w:rPr>
        <w:t>,</w:t>
      </w:r>
      <w:r w:rsidRPr="00CA2760">
        <w:rPr>
          <w:rFonts w:ascii="Times New Roman" w:hAnsi="Times New Roman" w:cs="Times New Roman"/>
          <w:sz w:val="24"/>
          <w:szCs w:val="24"/>
          <w:lang w:val="pt-BR"/>
        </w:rPr>
        <w:t xml:space="preserve"> </w:t>
      </w:r>
      <w:r w:rsidR="00727B63">
        <w:rPr>
          <w:rFonts w:ascii="Times New Roman" w:hAnsi="Times New Roman" w:cs="Times New Roman"/>
          <w:sz w:val="24"/>
          <w:szCs w:val="24"/>
          <w:lang w:val="pt-BR"/>
        </w:rPr>
        <w:t xml:space="preserve">principalmente, com </w:t>
      </w:r>
      <w:r w:rsidRPr="00CA2760">
        <w:rPr>
          <w:rFonts w:ascii="Times New Roman" w:hAnsi="Times New Roman" w:cs="Times New Roman"/>
          <w:sz w:val="24"/>
          <w:szCs w:val="24"/>
          <w:lang w:val="pt-BR"/>
        </w:rPr>
        <w:t xml:space="preserve">incentivos para maior esforço fiscal por parte dos municípios, melhor integração nos investimentos municipais, aumento do uso dos instrumentos de captura de valor, </w:t>
      </w:r>
      <w:r w:rsidR="004742ED">
        <w:rPr>
          <w:rFonts w:ascii="Times New Roman" w:hAnsi="Times New Roman" w:cs="Times New Roman"/>
          <w:sz w:val="24"/>
          <w:szCs w:val="24"/>
          <w:lang w:val="pt-BR"/>
        </w:rPr>
        <w:t xml:space="preserve">preocupação com os aspectos de interesse social </w:t>
      </w:r>
      <w:r w:rsidRPr="00CA2760">
        <w:rPr>
          <w:rFonts w:ascii="Times New Roman" w:hAnsi="Times New Roman" w:cs="Times New Roman"/>
          <w:sz w:val="24"/>
          <w:szCs w:val="24"/>
          <w:lang w:val="pt-BR"/>
        </w:rPr>
        <w:t>e aumento da participação do setor privado na provisão de infraestrutura municipal e de seu financiamento.</w:t>
      </w:r>
    </w:p>
    <w:p w14:paraId="16C1A643" w14:textId="77777777" w:rsidR="001B4BBF" w:rsidRPr="00CA2760" w:rsidRDefault="001B4BBF" w:rsidP="001B4BBF">
      <w:pPr>
        <w:spacing w:line="360" w:lineRule="auto"/>
        <w:rPr>
          <w:rFonts w:ascii="Times New Roman" w:hAnsi="Times New Roman" w:cs="Times New Roman"/>
          <w:b/>
          <w:sz w:val="24"/>
          <w:szCs w:val="24"/>
          <w:u w:val="single"/>
          <w:lang w:val="pt-BR"/>
        </w:rPr>
      </w:pPr>
      <w:r w:rsidRPr="00CA2760">
        <w:rPr>
          <w:rFonts w:ascii="Times New Roman" w:hAnsi="Times New Roman" w:cs="Times New Roman"/>
          <w:b/>
          <w:sz w:val="24"/>
          <w:szCs w:val="24"/>
          <w:u w:val="single"/>
          <w:lang w:val="pt-BR"/>
        </w:rPr>
        <w:br w:type="page"/>
      </w:r>
    </w:p>
    <w:p w14:paraId="322D61F5" w14:textId="767C20FD" w:rsidR="006E2DDA" w:rsidRDefault="006E2DDA" w:rsidP="001B4BBF">
      <w:pPr>
        <w:spacing w:line="360" w:lineRule="auto"/>
        <w:jc w:val="center"/>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ANEXOS</w:t>
      </w:r>
    </w:p>
    <w:p w14:paraId="7697D314" w14:textId="765B9343" w:rsidR="001B4BBF" w:rsidRPr="00CA2760" w:rsidRDefault="004A6A63" w:rsidP="001B4BBF">
      <w:pPr>
        <w:spacing w:line="360" w:lineRule="auto"/>
        <w:jc w:val="center"/>
        <w:rPr>
          <w:rFonts w:ascii="Times New Roman" w:hAnsi="Times New Roman" w:cs="Times New Roman"/>
          <w:b/>
          <w:sz w:val="24"/>
          <w:szCs w:val="24"/>
          <w:lang w:val="pt-BR"/>
        </w:rPr>
      </w:pPr>
      <w:r w:rsidRPr="00CA2760">
        <w:rPr>
          <w:rFonts w:ascii="Times New Roman" w:hAnsi="Times New Roman" w:cs="Times New Roman"/>
          <w:b/>
          <w:sz w:val="24"/>
          <w:szCs w:val="24"/>
          <w:lang w:val="pt-BR"/>
        </w:rPr>
        <w:t xml:space="preserve">Anexo </w:t>
      </w:r>
      <w:r w:rsidR="007A0D99" w:rsidRPr="00CA2760">
        <w:rPr>
          <w:rFonts w:ascii="Times New Roman" w:hAnsi="Times New Roman" w:cs="Times New Roman"/>
          <w:b/>
          <w:sz w:val="24"/>
          <w:szCs w:val="24"/>
          <w:lang w:val="pt-BR"/>
        </w:rPr>
        <w:t>A</w:t>
      </w:r>
    </w:p>
    <w:p w14:paraId="6EC1FFDC" w14:textId="3F691CF9" w:rsidR="007A0D99" w:rsidRPr="00555EA3" w:rsidRDefault="007A0D99" w:rsidP="007A0D99">
      <w:pPr>
        <w:spacing w:line="480" w:lineRule="auto"/>
        <w:jc w:val="center"/>
        <w:rPr>
          <w:rFonts w:ascii="Times New Roman" w:hAnsi="Times New Roman" w:cs="Times New Roman"/>
          <w:b/>
          <w:sz w:val="24"/>
          <w:szCs w:val="24"/>
          <w:lang w:val="pt-BR"/>
        </w:rPr>
      </w:pPr>
      <w:r w:rsidRPr="00555EA3">
        <w:rPr>
          <w:rFonts w:ascii="Times New Roman" w:hAnsi="Times New Roman" w:cs="Times New Roman"/>
          <w:b/>
          <w:sz w:val="24"/>
          <w:szCs w:val="24"/>
          <w:lang w:val="pt-BR"/>
        </w:rPr>
        <w:t>Juros sobre o Capital Próprio</w:t>
      </w:r>
      <w:r w:rsidRPr="00555EA3">
        <w:rPr>
          <w:rFonts w:ascii="Times New Roman" w:eastAsia="Times New Roman" w:hAnsi="Times New Roman" w:cs="Times New Roman"/>
          <w:b/>
          <w:color w:val="000000"/>
          <w:sz w:val="24"/>
          <w:szCs w:val="24"/>
          <w:lang w:val="pt-BR" w:eastAsia="pt-BR"/>
        </w:rPr>
        <w:t xml:space="preserve">:  </w:t>
      </w:r>
      <w:r w:rsidRPr="00555EA3">
        <w:rPr>
          <w:rFonts w:ascii="Times New Roman" w:hAnsi="Times New Roman" w:cs="Times New Roman"/>
          <w:b/>
          <w:sz w:val="24"/>
          <w:szCs w:val="24"/>
          <w:lang w:val="pt-BR"/>
        </w:rPr>
        <w:t>Cotações relevantes de leis e regulamentos</w:t>
      </w:r>
    </w:p>
    <w:p w14:paraId="2381828D" w14:textId="2D8E5C5B" w:rsidR="007A0D99" w:rsidRPr="00555EA3" w:rsidRDefault="007A0D99" w:rsidP="007A0D99">
      <w:pPr>
        <w:pStyle w:val="ListParagraph"/>
        <w:numPr>
          <w:ilvl w:val="0"/>
          <w:numId w:val="32"/>
        </w:numPr>
        <w:spacing w:after="0" w:line="360" w:lineRule="auto"/>
        <w:rPr>
          <w:rFonts w:ascii="Times New Roman" w:eastAsia="Times New Roman" w:hAnsi="Times New Roman" w:cs="Times New Roman"/>
          <w:b/>
          <w:color w:val="000000"/>
          <w:sz w:val="24"/>
          <w:szCs w:val="24"/>
          <w:lang w:val="pt-BR" w:eastAsia="pt-BR"/>
        </w:rPr>
      </w:pPr>
      <w:r w:rsidRPr="00555EA3">
        <w:rPr>
          <w:rFonts w:ascii="Times New Roman" w:eastAsia="Times New Roman" w:hAnsi="Times New Roman" w:cs="Times New Roman"/>
          <w:b/>
          <w:color w:val="000000"/>
          <w:sz w:val="24"/>
          <w:szCs w:val="24"/>
          <w:lang w:val="pt-BR" w:eastAsia="pt-BR"/>
        </w:rPr>
        <w:t xml:space="preserve">Legislação sobre </w:t>
      </w:r>
      <w:r w:rsidRPr="00555EA3">
        <w:rPr>
          <w:rFonts w:ascii="Times New Roman" w:hAnsi="Times New Roman" w:cs="Times New Roman"/>
          <w:b/>
          <w:sz w:val="24"/>
          <w:szCs w:val="24"/>
          <w:lang w:val="pt-BR"/>
        </w:rPr>
        <w:t>os Juros sobre o Capital Próprio</w:t>
      </w:r>
      <w:r w:rsidRPr="00555EA3">
        <w:rPr>
          <w:rFonts w:ascii="Times New Roman" w:eastAsia="Times New Roman" w:hAnsi="Times New Roman" w:cs="Times New Roman"/>
          <w:b/>
          <w:color w:val="000000"/>
          <w:sz w:val="24"/>
          <w:szCs w:val="24"/>
          <w:lang w:val="pt-BR" w:eastAsia="pt-BR"/>
        </w:rPr>
        <w:t xml:space="preserve"> </w:t>
      </w:r>
      <w:r w:rsidR="007E66F8" w:rsidRPr="00555EA3">
        <w:rPr>
          <w:rFonts w:ascii="Times New Roman" w:eastAsia="Times New Roman" w:hAnsi="Times New Roman" w:cs="Times New Roman"/>
          <w:b/>
          <w:color w:val="000000"/>
          <w:sz w:val="24"/>
          <w:szCs w:val="24"/>
          <w:lang w:val="pt-BR" w:eastAsia="pt-BR"/>
        </w:rPr>
        <w:t>(</w:t>
      </w:r>
      <w:r w:rsidRPr="00555EA3">
        <w:rPr>
          <w:rFonts w:ascii="Times New Roman" w:eastAsia="Times New Roman" w:hAnsi="Times New Roman" w:cs="Times New Roman"/>
          <w:b/>
          <w:color w:val="000000"/>
          <w:sz w:val="24"/>
          <w:szCs w:val="24"/>
          <w:lang w:val="pt-BR" w:eastAsia="pt-BR"/>
        </w:rPr>
        <w:t>JCP</w:t>
      </w:r>
      <w:r w:rsidR="007E66F8" w:rsidRPr="00555EA3">
        <w:rPr>
          <w:rFonts w:ascii="Times New Roman" w:eastAsia="Times New Roman" w:hAnsi="Times New Roman" w:cs="Times New Roman"/>
          <w:b/>
          <w:color w:val="000000"/>
          <w:sz w:val="24"/>
          <w:szCs w:val="24"/>
          <w:lang w:val="pt-BR" w:eastAsia="pt-BR"/>
        </w:rPr>
        <w:t>)</w:t>
      </w:r>
      <w:r w:rsidRPr="00555EA3">
        <w:rPr>
          <w:rFonts w:ascii="Times New Roman" w:eastAsia="Times New Roman" w:hAnsi="Times New Roman" w:cs="Times New Roman"/>
          <w:b/>
          <w:color w:val="000000"/>
          <w:sz w:val="24"/>
          <w:szCs w:val="24"/>
          <w:lang w:val="pt-BR" w:eastAsia="pt-BR"/>
        </w:rPr>
        <w:t>:</w:t>
      </w:r>
      <w:r w:rsidRPr="00555EA3">
        <w:rPr>
          <w:rFonts w:ascii="Times New Roman" w:hAnsi="Times New Roman" w:cs="Times New Roman"/>
          <w:bCs/>
          <w:color w:val="000000"/>
          <w:sz w:val="24"/>
          <w:szCs w:val="24"/>
          <w:shd w:val="clear" w:color="auto" w:fill="FFFFFF"/>
          <w:lang w:val="pt-BR"/>
        </w:rPr>
        <w:t xml:space="preserve"> </w:t>
      </w:r>
    </w:p>
    <w:p w14:paraId="3A7A16CB" w14:textId="77777777" w:rsidR="007A0D99" w:rsidRPr="00D91C24" w:rsidRDefault="007A0D99" w:rsidP="007A0D99">
      <w:pPr>
        <w:spacing w:after="0" w:line="360" w:lineRule="auto"/>
        <w:rPr>
          <w:rFonts w:ascii="Times New Roman" w:eastAsia="Times New Roman" w:hAnsi="Times New Roman" w:cs="Times New Roman"/>
          <w:b/>
          <w:color w:val="000000"/>
          <w:sz w:val="24"/>
          <w:szCs w:val="24"/>
          <w:lang w:val="pt-BR" w:eastAsia="pt-BR"/>
        </w:rPr>
      </w:pPr>
      <w:r w:rsidRPr="00CA2760">
        <w:rPr>
          <w:rFonts w:ascii="Times New Roman" w:eastAsia="Times New Roman" w:hAnsi="Times New Roman" w:cs="Times New Roman"/>
          <w:b/>
          <w:color w:val="000000"/>
          <w:sz w:val="24"/>
          <w:szCs w:val="24"/>
          <w:lang w:val="pt-BR" w:eastAsia="pt-BR"/>
        </w:rPr>
        <w:t>-</w:t>
      </w:r>
      <w:r w:rsidRPr="00D91C24">
        <w:rPr>
          <w:rFonts w:ascii="Times New Roman" w:eastAsia="Times New Roman" w:hAnsi="Times New Roman" w:cs="Times New Roman"/>
          <w:b/>
          <w:color w:val="000000"/>
          <w:sz w:val="24"/>
          <w:szCs w:val="24"/>
          <w:lang w:val="pt-BR" w:eastAsia="pt-BR"/>
        </w:rPr>
        <w:t>Taxa: art. 9º da Lei nº 9.249, de 26 de dezembro de 1995 (anexo: Lei 9249)</w:t>
      </w:r>
    </w:p>
    <w:p w14:paraId="78C92CBB"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Art. 9º A pessoa jurídica poderá deduzir, para efeitos da apuração do lucro real, os juros pagos ou creditados individualizadamente a titular, sócios ou acionistas, a título de remuneração do capital próprio, calculados sobre as contas do patrimônio líquido e limitados à variação, pro rata dia, da Taxa de Juros de Longo Prazo - TJLP.</w:t>
      </w:r>
    </w:p>
    <w:p w14:paraId="58C5EA9B" w14:textId="77777777" w:rsidR="007A0D99" w:rsidRPr="00D91C24" w:rsidRDefault="007A0D99" w:rsidP="007A0D99">
      <w:pPr>
        <w:spacing w:line="360" w:lineRule="auto"/>
        <w:rPr>
          <w:rFonts w:ascii="Times New Roman" w:hAnsi="Times New Roman" w:cs="Times New Roman"/>
          <w:b/>
          <w:color w:val="000000"/>
          <w:sz w:val="24"/>
          <w:szCs w:val="24"/>
          <w:lang w:val="pt-BR"/>
        </w:rPr>
      </w:pPr>
      <w:r w:rsidRPr="00D91C24">
        <w:rPr>
          <w:rFonts w:ascii="Times New Roman" w:hAnsi="Times New Roman" w:cs="Times New Roman"/>
          <w:b/>
          <w:color w:val="000000"/>
          <w:sz w:val="24"/>
          <w:szCs w:val="24"/>
          <w:lang w:val="pt-BR"/>
        </w:rPr>
        <w:t>- Limitações para dedutibilidade na base dos impostos sobre o lucro: art. 75 da Instrução Normativa nº 1700/2017 (anexo: IN RFB Nº 1700 - 2017)</w:t>
      </w:r>
    </w:p>
    <w:tbl>
      <w:tblPr>
        <w:tblW w:w="10506" w:type="dxa"/>
        <w:tblInd w:w="-600" w:type="dxa"/>
        <w:tblCellMar>
          <w:left w:w="70" w:type="dxa"/>
          <w:right w:w="70" w:type="dxa"/>
        </w:tblCellMar>
        <w:tblLook w:val="04A0" w:firstRow="1" w:lastRow="0" w:firstColumn="1" w:lastColumn="0" w:noHBand="0" w:noVBand="1"/>
      </w:tblPr>
      <w:tblGrid>
        <w:gridCol w:w="388"/>
        <w:gridCol w:w="2443"/>
        <w:gridCol w:w="4138"/>
        <w:gridCol w:w="1192"/>
        <w:gridCol w:w="1076"/>
        <w:gridCol w:w="1269"/>
      </w:tblGrid>
      <w:tr w:rsidR="007A0D99" w:rsidRPr="00D91C24" w14:paraId="5331CD93" w14:textId="77777777" w:rsidTr="008D72CF">
        <w:trPr>
          <w:trHeight w:val="142"/>
        </w:trPr>
        <w:tc>
          <w:tcPr>
            <w:tcW w:w="38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BC63312" w14:textId="77777777" w:rsidR="007A0D99" w:rsidRPr="00D91C24" w:rsidRDefault="007A0D99" w:rsidP="008D72CF">
            <w:pPr>
              <w:spacing w:after="0" w:line="360" w:lineRule="auto"/>
              <w:rPr>
                <w:rFonts w:ascii="Times New Roman" w:eastAsia="Times New Roman" w:hAnsi="Times New Roman" w:cs="Times New Roman"/>
                <w:color w:val="000000"/>
                <w:sz w:val="24"/>
                <w:szCs w:val="24"/>
                <w:lang w:val="pt-BR" w:eastAsia="pt-BR"/>
              </w:rPr>
            </w:pPr>
            <w:r w:rsidRPr="00D91C24">
              <w:rPr>
                <w:rFonts w:ascii="Times New Roman" w:eastAsia="Times New Roman" w:hAnsi="Times New Roman" w:cs="Times New Roman"/>
                <w:color w:val="000000"/>
                <w:sz w:val="24"/>
                <w:szCs w:val="24"/>
                <w:lang w:val="pt-BR" w:eastAsia="pt-BR"/>
              </w:rPr>
              <w:t>Nº</w:t>
            </w:r>
          </w:p>
        </w:tc>
        <w:tc>
          <w:tcPr>
            <w:tcW w:w="2443" w:type="dxa"/>
            <w:tcBorders>
              <w:top w:val="single" w:sz="8" w:space="0" w:color="auto"/>
              <w:left w:val="nil"/>
              <w:bottom w:val="single" w:sz="4" w:space="0" w:color="auto"/>
              <w:right w:val="single" w:sz="4" w:space="0" w:color="auto"/>
            </w:tcBorders>
            <w:shd w:val="clear" w:color="auto" w:fill="auto"/>
            <w:noWrap/>
            <w:vAlign w:val="bottom"/>
            <w:hideMark/>
          </w:tcPr>
          <w:p w14:paraId="3DA20F8F" w14:textId="77777777" w:rsidR="007A0D99" w:rsidRPr="00D91C24" w:rsidRDefault="007A0D99" w:rsidP="008D72CF">
            <w:pPr>
              <w:spacing w:after="0" w:line="360" w:lineRule="auto"/>
              <w:rPr>
                <w:rFonts w:ascii="Times New Roman" w:eastAsia="Times New Roman" w:hAnsi="Times New Roman" w:cs="Times New Roman"/>
                <w:color w:val="000000"/>
                <w:sz w:val="24"/>
                <w:szCs w:val="24"/>
                <w:lang w:val="pt-BR" w:eastAsia="pt-BR"/>
              </w:rPr>
            </w:pPr>
            <w:r w:rsidRPr="00D91C24">
              <w:rPr>
                <w:rFonts w:ascii="Times New Roman" w:eastAsia="Times New Roman" w:hAnsi="Times New Roman" w:cs="Times New Roman"/>
                <w:color w:val="000000"/>
                <w:sz w:val="24"/>
                <w:szCs w:val="24"/>
                <w:lang w:val="pt-BR" w:eastAsia="pt-BR"/>
              </w:rPr>
              <w:t xml:space="preserve"> Assunto </w:t>
            </w:r>
          </w:p>
        </w:tc>
        <w:tc>
          <w:tcPr>
            <w:tcW w:w="4138" w:type="dxa"/>
            <w:tcBorders>
              <w:top w:val="single" w:sz="8" w:space="0" w:color="auto"/>
              <w:left w:val="nil"/>
              <w:bottom w:val="single" w:sz="4" w:space="0" w:color="auto"/>
              <w:right w:val="single" w:sz="4" w:space="0" w:color="auto"/>
            </w:tcBorders>
            <w:shd w:val="clear" w:color="auto" w:fill="auto"/>
            <w:noWrap/>
            <w:vAlign w:val="bottom"/>
            <w:hideMark/>
          </w:tcPr>
          <w:p w14:paraId="0D3BA882" w14:textId="77777777" w:rsidR="007A0D99" w:rsidRPr="00D91C24" w:rsidRDefault="007A0D99" w:rsidP="008D72CF">
            <w:pPr>
              <w:spacing w:after="0" w:line="360" w:lineRule="auto"/>
              <w:rPr>
                <w:rFonts w:ascii="Times New Roman" w:eastAsia="Times New Roman" w:hAnsi="Times New Roman" w:cs="Times New Roman"/>
                <w:color w:val="000000"/>
                <w:sz w:val="24"/>
                <w:szCs w:val="24"/>
                <w:lang w:val="pt-BR" w:eastAsia="pt-BR"/>
              </w:rPr>
            </w:pPr>
            <w:r w:rsidRPr="00D91C24">
              <w:rPr>
                <w:rFonts w:ascii="Times New Roman" w:eastAsia="Times New Roman" w:hAnsi="Times New Roman" w:cs="Times New Roman"/>
                <w:color w:val="000000"/>
                <w:sz w:val="24"/>
                <w:szCs w:val="24"/>
                <w:lang w:val="pt-BR" w:eastAsia="pt-BR"/>
              </w:rPr>
              <w:t>Descrição do Ajuste</w:t>
            </w:r>
          </w:p>
        </w:tc>
        <w:tc>
          <w:tcPr>
            <w:tcW w:w="1192" w:type="dxa"/>
            <w:tcBorders>
              <w:top w:val="single" w:sz="8" w:space="0" w:color="auto"/>
              <w:left w:val="nil"/>
              <w:bottom w:val="single" w:sz="4" w:space="0" w:color="auto"/>
              <w:right w:val="single" w:sz="4" w:space="0" w:color="auto"/>
            </w:tcBorders>
            <w:shd w:val="clear" w:color="auto" w:fill="auto"/>
            <w:noWrap/>
            <w:vAlign w:val="bottom"/>
            <w:hideMark/>
          </w:tcPr>
          <w:p w14:paraId="44BC489C" w14:textId="4C18685A" w:rsidR="007A0D99" w:rsidRPr="00D91C24" w:rsidRDefault="0090341D" w:rsidP="008D72CF">
            <w:pPr>
              <w:spacing w:after="0" w:line="360" w:lineRule="auto"/>
              <w:rPr>
                <w:rFonts w:ascii="Times New Roman" w:eastAsia="Times New Roman" w:hAnsi="Times New Roman" w:cs="Times New Roman"/>
                <w:color w:val="000000"/>
                <w:sz w:val="24"/>
                <w:szCs w:val="24"/>
                <w:lang w:val="pt-BR" w:eastAsia="pt-BR"/>
              </w:rPr>
            </w:pPr>
            <w:r w:rsidRPr="00D91C24">
              <w:rPr>
                <w:rFonts w:ascii="Times New Roman" w:eastAsia="Times New Roman" w:hAnsi="Times New Roman" w:cs="Times New Roman"/>
                <w:color w:val="000000"/>
                <w:sz w:val="24"/>
                <w:szCs w:val="24"/>
                <w:lang w:val="pt-BR" w:eastAsia="pt-BR"/>
              </w:rPr>
              <w:t>Aplica-se</w:t>
            </w:r>
            <w:r w:rsidR="007A0D99" w:rsidRPr="00D91C24">
              <w:rPr>
                <w:rFonts w:ascii="Times New Roman" w:eastAsia="Times New Roman" w:hAnsi="Times New Roman" w:cs="Times New Roman"/>
                <w:color w:val="000000"/>
                <w:sz w:val="24"/>
                <w:szCs w:val="24"/>
                <w:lang w:val="pt-BR" w:eastAsia="pt-BR"/>
              </w:rPr>
              <w:t xml:space="preserve"> ao IRPJ?</w:t>
            </w:r>
          </w:p>
        </w:tc>
        <w:tc>
          <w:tcPr>
            <w:tcW w:w="1076" w:type="dxa"/>
            <w:tcBorders>
              <w:top w:val="single" w:sz="8" w:space="0" w:color="auto"/>
              <w:left w:val="nil"/>
              <w:bottom w:val="single" w:sz="4" w:space="0" w:color="auto"/>
              <w:right w:val="single" w:sz="4" w:space="0" w:color="auto"/>
            </w:tcBorders>
            <w:shd w:val="clear" w:color="auto" w:fill="auto"/>
            <w:noWrap/>
            <w:vAlign w:val="bottom"/>
            <w:hideMark/>
          </w:tcPr>
          <w:p w14:paraId="063A6A28" w14:textId="76DC66CB" w:rsidR="007A0D99" w:rsidRPr="00D91C24" w:rsidRDefault="0090341D" w:rsidP="008D72CF">
            <w:pPr>
              <w:spacing w:after="0" w:line="360" w:lineRule="auto"/>
              <w:rPr>
                <w:rFonts w:ascii="Times New Roman" w:eastAsia="Times New Roman" w:hAnsi="Times New Roman" w:cs="Times New Roman"/>
                <w:color w:val="000000"/>
                <w:sz w:val="24"/>
                <w:szCs w:val="24"/>
                <w:lang w:val="pt-BR" w:eastAsia="pt-BR"/>
              </w:rPr>
            </w:pPr>
            <w:r w:rsidRPr="00D91C24">
              <w:rPr>
                <w:rFonts w:ascii="Times New Roman" w:eastAsia="Times New Roman" w:hAnsi="Times New Roman" w:cs="Times New Roman"/>
                <w:color w:val="000000"/>
                <w:sz w:val="24"/>
                <w:szCs w:val="24"/>
                <w:lang w:val="pt-BR" w:eastAsia="pt-BR"/>
              </w:rPr>
              <w:t>Aplica-se</w:t>
            </w:r>
            <w:r w:rsidR="007A0D99" w:rsidRPr="00D91C24">
              <w:rPr>
                <w:rFonts w:ascii="Times New Roman" w:eastAsia="Times New Roman" w:hAnsi="Times New Roman" w:cs="Times New Roman"/>
                <w:color w:val="000000"/>
                <w:sz w:val="24"/>
                <w:szCs w:val="24"/>
                <w:lang w:val="pt-BR" w:eastAsia="pt-BR"/>
              </w:rPr>
              <w:t xml:space="preserve"> à CSLL?</w:t>
            </w:r>
          </w:p>
        </w:tc>
        <w:tc>
          <w:tcPr>
            <w:tcW w:w="1269" w:type="dxa"/>
            <w:tcBorders>
              <w:top w:val="single" w:sz="8" w:space="0" w:color="auto"/>
              <w:left w:val="nil"/>
              <w:bottom w:val="single" w:sz="4" w:space="0" w:color="auto"/>
              <w:right w:val="single" w:sz="8" w:space="0" w:color="auto"/>
            </w:tcBorders>
            <w:shd w:val="clear" w:color="auto" w:fill="auto"/>
            <w:noWrap/>
            <w:vAlign w:val="bottom"/>
            <w:hideMark/>
          </w:tcPr>
          <w:p w14:paraId="0A074013" w14:textId="77777777" w:rsidR="007A0D99" w:rsidRPr="00D91C24" w:rsidRDefault="007A0D99" w:rsidP="008D72CF">
            <w:pPr>
              <w:spacing w:after="0" w:line="360" w:lineRule="auto"/>
              <w:rPr>
                <w:rFonts w:ascii="Times New Roman" w:eastAsia="Times New Roman" w:hAnsi="Times New Roman" w:cs="Times New Roman"/>
                <w:color w:val="000000"/>
                <w:sz w:val="24"/>
                <w:szCs w:val="24"/>
                <w:lang w:val="pt-BR" w:eastAsia="pt-BR"/>
              </w:rPr>
            </w:pPr>
            <w:r w:rsidRPr="00D91C24">
              <w:rPr>
                <w:rFonts w:ascii="Times New Roman" w:eastAsia="Times New Roman" w:hAnsi="Times New Roman" w:cs="Times New Roman"/>
                <w:color w:val="000000"/>
                <w:sz w:val="24"/>
                <w:szCs w:val="24"/>
                <w:lang w:val="pt-BR" w:eastAsia="pt-BR"/>
              </w:rPr>
              <w:t>Dispositivo na IN</w:t>
            </w:r>
          </w:p>
        </w:tc>
      </w:tr>
      <w:tr w:rsidR="007A0D99" w:rsidRPr="00D91C24" w14:paraId="7592AF21" w14:textId="77777777" w:rsidTr="008D72CF">
        <w:trPr>
          <w:trHeight w:val="436"/>
        </w:trPr>
        <w:tc>
          <w:tcPr>
            <w:tcW w:w="388" w:type="dxa"/>
            <w:tcBorders>
              <w:top w:val="nil"/>
              <w:left w:val="single" w:sz="8" w:space="0" w:color="auto"/>
              <w:bottom w:val="single" w:sz="8" w:space="0" w:color="auto"/>
              <w:right w:val="single" w:sz="4" w:space="0" w:color="auto"/>
            </w:tcBorders>
            <w:shd w:val="clear" w:color="auto" w:fill="auto"/>
            <w:hideMark/>
          </w:tcPr>
          <w:p w14:paraId="38A874D7" w14:textId="77777777" w:rsidR="007A0D99" w:rsidRPr="00D91C24" w:rsidRDefault="007A0D99" w:rsidP="008D72CF">
            <w:pPr>
              <w:spacing w:after="0" w:line="360" w:lineRule="auto"/>
              <w:jc w:val="right"/>
              <w:rPr>
                <w:rFonts w:ascii="Times New Roman" w:eastAsia="Times New Roman" w:hAnsi="Times New Roman" w:cs="Times New Roman"/>
                <w:color w:val="000000"/>
                <w:sz w:val="24"/>
                <w:szCs w:val="24"/>
                <w:lang w:val="pt-BR" w:eastAsia="pt-BR"/>
              </w:rPr>
            </w:pPr>
            <w:r w:rsidRPr="00D91C24">
              <w:rPr>
                <w:rFonts w:ascii="Times New Roman" w:eastAsia="Times New Roman" w:hAnsi="Times New Roman" w:cs="Times New Roman"/>
                <w:color w:val="000000"/>
                <w:sz w:val="24"/>
                <w:szCs w:val="24"/>
                <w:lang w:val="pt-BR" w:eastAsia="pt-BR"/>
              </w:rPr>
              <w:t>75</w:t>
            </w:r>
          </w:p>
        </w:tc>
        <w:tc>
          <w:tcPr>
            <w:tcW w:w="2443" w:type="dxa"/>
            <w:tcBorders>
              <w:top w:val="nil"/>
              <w:left w:val="nil"/>
              <w:bottom w:val="single" w:sz="8" w:space="0" w:color="auto"/>
              <w:right w:val="single" w:sz="4" w:space="0" w:color="auto"/>
            </w:tcBorders>
            <w:shd w:val="clear" w:color="auto" w:fill="auto"/>
            <w:hideMark/>
          </w:tcPr>
          <w:p w14:paraId="31974049" w14:textId="77777777" w:rsidR="007A0D99" w:rsidRPr="00D91C24" w:rsidRDefault="007A0D99" w:rsidP="008D72CF">
            <w:pPr>
              <w:spacing w:after="0" w:line="360" w:lineRule="auto"/>
              <w:rPr>
                <w:rFonts w:ascii="Times New Roman" w:eastAsia="Times New Roman" w:hAnsi="Times New Roman" w:cs="Times New Roman"/>
                <w:color w:val="000000"/>
                <w:sz w:val="24"/>
                <w:szCs w:val="24"/>
                <w:lang w:val="pt-BR" w:eastAsia="pt-BR"/>
              </w:rPr>
            </w:pPr>
            <w:r w:rsidRPr="00D91C24">
              <w:rPr>
                <w:rFonts w:ascii="Times New Roman" w:eastAsia="Times New Roman" w:hAnsi="Times New Roman" w:cs="Times New Roman"/>
                <w:color w:val="000000"/>
                <w:sz w:val="24"/>
                <w:szCs w:val="24"/>
                <w:lang w:val="pt-BR" w:eastAsia="pt-BR"/>
              </w:rPr>
              <w:t>Lucros, Rendimentos e Ganhos de Capital Auferidos no Exterior</w:t>
            </w:r>
          </w:p>
        </w:tc>
        <w:tc>
          <w:tcPr>
            <w:tcW w:w="4138" w:type="dxa"/>
            <w:tcBorders>
              <w:top w:val="nil"/>
              <w:left w:val="nil"/>
              <w:bottom w:val="single" w:sz="8" w:space="0" w:color="auto"/>
              <w:right w:val="single" w:sz="4" w:space="0" w:color="auto"/>
            </w:tcBorders>
            <w:shd w:val="clear" w:color="auto" w:fill="auto"/>
            <w:hideMark/>
          </w:tcPr>
          <w:p w14:paraId="128A04BE" w14:textId="77777777" w:rsidR="007A0D99" w:rsidRPr="00D91C24" w:rsidRDefault="007A0D99" w:rsidP="008D72CF">
            <w:pPr>
              <w:spacing w:after="0" w:line="360" w:lineRule="auto"/>
              <w:rPr>
                <w:rFonts w:ascii="Times New Roman" w:eastAsia="Times New Roman" w:hAnsi="Times New Roman" w:cs="Times New Roman"/>
                <w:color w:val="000000"/>
                <w:sz w:val="24"/>
                <w:szCs w:val="24"/>
                <w:lang w:val="pt-BR" w:eastAsia="pt-BR"/>
              </w:rPr>
            </w:pPr>
            <w:r w:rsidRPr="00D91C24">
              <w:rPr>
                <w:rFonts w:ascii="Times New Roman" w:eastAsia="Times New Roman" w:hAnsi="Times New Roman" w:cs="Times New Roman"/>
                <w:color w:val="000000"/>
                <w:sz w:val="24"/>
                <w:szCs w:val="24"/>
                <w:lang w:val="pt-BR" w:eastAsia="pt-BR"/>
              </w:rPr>
              <w:t>Em dezembro de cada ano, os rendimentos e ganhos de capital auferidos no exterior, no caso de apuração trimestral, que tenham sido excluídos no primeiro, segundo e terceiro trimestres na apuração do lucro real referente a esses períodos.</w:t>
            </w:r>
          </w:p>
        </w:tc>
        <w:tc>
          <w:tcPr>
            <w:tcW w:w="1192" w:type="dxa"/>
            <w:tcBorders>
              <w:top w:val="nil"/>
              <w:left w:val="nil"/>
              <w:bottom w:val="single" w:sz="8" w:space="0" w:color="auto"/>
              <w:right w:val="single" w:sz="4" w:space="0" w:color="auto"/>
            </w:tcBorders>
            <w:shd w:val="clear" w:color="auto" w:fill="auto"/>
            <w:hideMark/>
          </w:tcPr>
          <w:p w14:paraId="53E4A6CB" w14:textId="77777777" w:rsidR="007A0D99" w:rsidRPr="00D91C24" w:rsidRDefault="007A0D99" w:rsidP="008D72CF">
            <w:pPr>
              <w:spacing w:after="0" w:line="360" w:lineRule="auto"/>
              <w:rPr>
                <w:rFonts w:ascii="Times New Roman" w:eastAsia="Times New Roman" w:hAnsi="Times New Roman" w:cs="Times New Roman"/>
                <w:color w:val="000000"/>
                <w:sz w:val="24"/>
                <w:szCs w:val="24"/>
                <w:lang w:val="pt-BR" w:eastAsia="pt-BR"/>
              </w:rPr>
            </w:pPr>
            <w:r w:rsidRPr="00D91C24">
              <w:rPr>
                <w:rFonts w:ascii="Times New Roman" w:eastAsia="Times New Roman" w:hAnsi="Times New Roman" w:cs="Times New Roman"/>
                <w:color w:val="000000"/>
                <w:sz w:val="24"/>
                <w:szCs w:val="24"/>
                <w:lang w:val="pt-BR" w:eastAsia="pt-BR"/>
              </w:rPr>
              <w:t>Sim</w:t>
            </w:r>
          </w:p>
        </w:tc>
        <w:tc>
          <w:tcPr>
            <w:tcW w:w="1076" w:type="dxa"/>
            <w:tcBorders>
              <w:top w:val="nil"/>
              <w:left w:val="nil"/>
              <w:bottom w:val="single" w:sz="8" w:space="0" w:color="auto"/>
              <w:right w:val="single" w:sz="4" w:space="0" w:color="auto"/>
            </w:tcBorders>
            <w:shd w:val="clear" w:color="auto" w:fill="auto"/>
            <w:hideMark/>
          </w:tcPr>
          <w:p w14:paraId="05DF9550" w14:textId="77777777" w:rsidR="007A0D99" w:rsidRPr="00D91C24" w:rsidRDefault="007A0D99" w:rsidP="008D72CF">
            <w:pPr>
              <w:spacing w:after="0" w:line="360" w:lineRule="auto"/>
              <w:rPr>
                <w:rFonts w:ascii="Times New Roman" w:eastAsia="Times New Roman" w:hAnsi="Times New Roman" w:cs="Times New Roman"/>
                <w:color w:val="000000"/>
                <w:sz w:val="24"/>
                <w:szCs w:val="24"/>
                <w:lang w:val="pt-BR" w:eastAsia="pt-BR"/>
              </w:rPr>
            </w:pPr>
            <w:r w:rsidRPr="00D91C24">
              <w:rPr>
                <w:rFonts w:ascii="Times New Roman" w:eastAsia="Times New Roman" w:hAnsi="Times New Roman" w:cs="Times New Roman"/>
                <w:color w:val="000000"/>
                <w:sz w:val="24"/>
                <w:szCs w:val="24"/>
                <w:lang w:val="pt-BR" w:eastAsia="pt-BR"/>
              </w:rPr>
              <w:t>Sim</w:t>
            </w:r>
          </w:p>
        </w:tc>
        <w:tc>
          <w:tcPr>
            <w:tcW w:w="1269" w:type="dxa"/>
            <w:tcBorders>
              <w:top w:val="nil"/>
              <w:left w:val="nil"/>
              <w:bottom w:val="single" w:sz="8" w:space="0" w:color="auto"/>
              <w:right w:val="single" w:sz="8" w:space="0" w:color="auto"/>
            </w:tcBorders>
            <w:shd w:val="clear" w:color="auto" w:fill="auto"/>
            <w:hideMark/>
          </w:tcPr>
          <w:p w14:paraId="6D6FD030" w14:textId="77777777" w:rsidR="007A0D99" w:rsidRPr="00D91C24" w:rsidRDefault="007A0D99" w:rsidP="008D72CF">
            <w:pPr>
              <w:spacing w:after="0" w:line="360" w:lineRule="auto"/>
              <w:rPr>
                <w:rFonts w:ascii="Times New Roman" w:eastAsia="Times New Roman" w:hAnsi="Times New Roman" w:cs="Times New Roman"/>
                <w:color w:val="000000"/>
                <w:sz w:val="24"/>
                <w:szCs w:val="24"/>
                <w:lang w:val="pt-BR" w:eastAsia="pt-BR"/>
              </w:rPr>
            </w:pPr>
            <w:r w:rsidRPr="00D91C24">
              <w:rPr>
                <w:rFonts w:ascii="Times New Roman" w:eastAsia="Times New Roman" w:hAnsi="Times New Roman" w:cs="Times New Roman"/>
                <w:color w:val="000000"/>
                <w:sz w:val="24"/>
                <w:szCs w:val="24"/>
                <w:lang w:val="pt-BR" w:eastAsia="pt-BR"/>
              </w:rPr>
              <w:t>-</w:t>
            </w:r>
          </w:p>
        </w:tc>
      </w:tr>
    </w:tbl>
    <w:p w14:paraId="17558232" w14:textId="77777777" w:rsidR="007A0D99" w:rsidRPr="00D91C24" w:rsidRDefault="007A0D99" w:rsidP="007A0D99">
      <w:pPr>
        <w:spacing w:line="360" w:lineRule="auto"/>
        <w:rPr>
          <w:rFonts w:ascii="Times New Roman" w:hAnsi="Times New Roman" w:cs="Times New Roman"/>
          <w:b/>
          <w:sz w:val="24"/>
          <w:szCs w:val="24"/>
          <w:lang w:val="pt-BR"/>
        </w:rPr>
      </w:pPr>
    </w:p>
    <w:p w14:paraId="46707FB8" w14:textId="77777777" w:rsidR="007A0D99" w:rsidRPr="00D91C24" w:rsidRDefault="007A0D99" w:rsidP="007A0D99">
      <w:pPr>
        <w:spacing w:line="360" w:lineRule="auto"/>
        <w:jc w:val="center"/>
        <w:rPr>
          <w:rFonts w:ascii="Times New Roman" w:hAnsi="Times New Roman" w:cs="Times New Roman"/>
          <w:sz w:val="24"/>
          <w:szCs w:val="24"/>
          <w:u w:val="single"/>
          <w:lang w:val="pt-BR"/>
        </w:rPr>
      </w:pPr>
      <w:r w:rsidRPr="00D91C24">
        <w:rPr>
          <w:rFonts w:ascii="Times New Roman" w:hAnsi="Times New Roman" w:cs="Times New Roman"/>
          <w:sz w:val="24"/>
          <w:szCs w:val="24"/>
          <w:u w:val="single"/>
          <w:lang w:val="pt-BR"/>
        </w:rPr>
        <w:t>Seção I</w:t>
      </w:r>
    </w:p>
    <w:p w14:paraId="64E0A197" w14:textId="77777777" w:rsidR="007A0D99" w:rsidRPr="00D91C24" w:rsidRDefault="007A0D99" w:rsidP="007A0D99">
      <w:pPr>
        <w:spacing w:line="360" w:lineRule="auto"/>
        <w:jc w:val="center"/>
        <w:rPr>
          <w:rFonts w:ascii="Times New Roman" w:hAnsi="Times New Roman" w:cs="Times New Roman"/>
          <w:sz w:val="24"/>
          <w:szCs w:val="24"/>
          <w:u w:val="single"/>
          <w:lang w:val="pt-BR"/>
        </w:rPr>
      </w:pPr>
      <w:r w:rsidRPr="00D91C24">
        <w:rPr>
          <w:rFonts w:ascii="Times New Roman" w:hAnsi="Times New Roman" w:cs="Times New Roman"/>
          <w:sz w:val="24"/>
          <w:szCs w:val="24"/>
          <w:u w:val="single"/>
          <w:lang w:val="pt-BR"/>
        </w:rPr>
        <w:t>Dos Juros sobre o Capital Próprio Art. 75.</w:t>
      </w:r>
    </w:p>
    <w:p w14:paraId="18A3FF57"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Para efeitos de apuração do lucro real e do resultado ajustado a pessoa jurídica poderá deduzir os juros sobre o </w:t>
      </w:r>
      <w:r w:rsidRPr="00D91C24">
        <w:rPr>
          <w:rFonts w:ascii="Times New Roman" w:hAnsi="Times New Roman" w:cs="Times New Roman"/>
          <w:b/>
          <w:sz w:val="24"/>
          <w:szCs w:val="24"/>
          <w:lang w:val="pt-BR"/>
        </w:rPr>
        <w:t>capital próprio</w:t>
      </w:r>
      <w:r w:rsidRPr="00D91C24">
        <w:rPr>
          <w:rFonts w:ascii="Times New Roman" w:hAnsi="Times New Roman" w:cs="Times New Roman"/>
          <w:sz w:val="24"/>
          <w:szCs w:val="24"/>
          <w:lang w:val="pt-BR"/>
        </w:rPr>
        <w:t xml:space="preserve"> pagos ou creditados, individualizadamente, ao titular, aos sócios ou aos acionistas, limitados à variação, pro rata die, da Taxa de Juros de Longo Prazo (TJLP) e calculados, exclusivamente, sobre as seguintes contas do patrimônio líquido: </w:t>
      </w:r>
    </w:p>
    <w:p w14:paraId="66876C25"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lastRenderedPageBreak/>
        <w:t xml:space="preserve">I - capital social; </w:t>
      </w:r>
    </w:p>
    <w:p w14:paraId="744CA27A"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II - reservas de capital; </w:t>
      </w:r>
    </w:p>
    <w:p w14:paraId="3B0216C2"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III - reservas de lucros; </w:t>
      </w:r>
    </w:p>
    <w:p w14:paraId="5A2FF4CE"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IV - ações em tesouraria; e </w:t>
      </w:r>
    </w:p>
    <w:p w14:paraId="7CCF64FD"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V - prejuízos acumulados. </w:t>
      </w:r>
    </w:p>
    <w:p w14:paraId="3B623C2A"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 1º Para fins de cálculo da remuneração prevista neste artigo: </w:t>
      </w:r>
    </w:p>
    <w:p w14:paraId="42AAF3A5"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 - a conta capital social, prevista no inciso I do caput, inclui todas as espécies de ações previstas no art. 15 da Lei nº 6.404, de 1976, ainda que classificadas em contas de passivo na escrituração comercial da pessoa jurídica; </w:t>
      </w:r>
    </w:p>
    <w:p w14:paraId="3351D95C"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II - os instrumentos patrimoniais referentes às aquisições de serviços nos termos do art. 161 somente serão considerados depois da transferência definitiva da sua propriedade. </w:t>
      </w:r>
    </w:p>
    <w:p w14:paraId="660C5EC9"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 2º O montante dos juros remuneratórios passível de dedução nos termos do caput não poderá exceder o maior entre os seguintes valores: </w:t>
      </w:r>
    </w:p>
    <w:p w14:paraId="039D1FFD"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 - 50% (cinquenta por cento) do lucro líquido do exercício antes da dedução dos juros, caso estes sejam contabilizados como despesa; ou </w:t>
      </w:r>
    </w:p>
    <w:p w14:paraId="3DE0CDA7"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II - 50% (cinquenta por cento) do somatório dos lucros acumulados e reservas de lucros. </w:t>
      </w:r>
    </w:p>
    <w:p w14:paraId="743E67F7"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 3º Para efeitos do disposto no inciso I do § 2º, o lucro será aquele apurado após a dedução da CSLL e antes da dedução do IRPJ. </w:t>
      </w:r>
    </w:p>
    <w:p w14:paraId="192768F1" w14:textId="77777777" w:rsidR="007A0D99" w:rsidRPr="00D91C24" w:rsidRDefault="007A0D99" w:rsidP="007A0D99">
      <w:pPr>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 4º A dedução só poderá ser efetuada no ano calendário a que se referem os limites de que tratam o caput e o inciso I do § 2º. </w:t>
      </w:r>
    </w:p>
    <w:p w14:paraId="17F1A2EB"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 5º A utilização do valor creditado, líquido do imposto incidente na fonte, para integralização de aumento de capital na empresa, não prejudica o direito à dedução dos juros de que trata este artigo. </w:t>
      </w:r>
    </w:p>
    <w:p w14:paraId="2C03E225"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 6º O montante dos juros sobre o </w:t>
      </w:r>
      <w:r w:rsidRPr="00D91C24">
        <w:rPr>
          <w:rFonts w:ascii="Times New Roman" w:hAnsi="Times New Roman" w:cs="Times New Roman"/>
          <w:b/>
          <w:sz w:val="24"/>
          <w:szCs w:val="24"/>
          <w:lang w:val="pt-BR"/>
        </w:rPr>
        <w:t>capital próprio</w:t>
      </w:r>
      <w:r w:rsidRPr="00D91C24">
        <w:rPr>
          <w:rFonts w:ascii="Times New Roman" w:hAnsi="Times New Roman" w:cs="Times New Roman"/>
          <w:sz w:val="24"/>
          <w:szCs w:val="24"/>
          <w:lang w:val="pt-BR"/>
        </w:rPr>
        <w:t xml:space="preserve"> passível de dedução nos termos deste artigo poderá ser excluído na Parte A do e-Lalur e do e-Lacs, desde que não registrado como despesa. </w:t>
      </w:r>
    </w:p>
    <w:p w14:paraId="2C0777F0"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lastRenderedPageBreak/>
        <w:t xml:space="preserve">§ 7º Os juros ficarão sujeitos à incidência do imposto sobre a renda retido na fonte à alíquota de 15% (quinze por cento), na data do pagamento ou crédito ao beneficiário. </w:t>
      </w:r>
    </w:p>
    <w:p w14:paraId="35910B81"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 8º O imposto retido na fonte de que trata o § 7º: </w:t>
      </w:r>
    </w:p>
    <w:p w14:paraId="18731B1F"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 - no caso de beneficiário pessoa jurídica submetida ao regime de tributação com base no lucro real, será considerado antecipação do imposto devido no período de apuração ou poderá ser compensado com o que houver retido por ocasião do pagamento ou crédito de juros, a título de remuneração do </w:t>
      </w:r>
      <w:r w:rsidRPr="00D91C24">
        <w:rPr>
          <w:rFonts w:ascii="Times New Roman" w:hAnsi="Times New Roman" w:cs="Times New Roman"/>
          <w:b/>
          <w:sz w:val="24"/>
          <w:szCs w:val="24"/>
          <w:lang w:val="pt-BR"/>
        </w:rPr>
        <w:t>capital próprio</w:t>
      </w:r>
      <w:r w:rsidRPr="00D91C24">
        <w:rPr>
          <w:rFonts w:ascii="Times New Roman" w:hAnsi="Times New Roman" w:cs="Times New Roman"/>
          <w:sz w:val="24"/>
          <w:szCs w:val="24"/>
          <w:lang w:val="pt-BR"/>
        </w:rPr>
        <w:t xml:space="preserve">, a seu titular, sócios ou acionistas; </w:t>
      </w:r>
    </w:p>
    <w:p w14:paraId="12E44423"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II - no caso de beneficiário pessoa jurídica submetida ao regime de tributação com base no lucro presumido ou com base no lucro arbitrado será considerado antecipação do imposto devido no período de apuração; e </w:t>
      </w:r>
    </w:p>
    <w:p w14:paraId="5A16BE51"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III - no caso de beneficiário pessoa física ou pessoa jurídica não tributada com base no lucro real, presumido ou arbitrado, inclusive isenta do IRPJ, será considerado definitivo.</w:t>
      </w:r>
    </w:p>
    <w:p w14:paraId="35900DD5"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 9º O valor dos juros pagos ou creditados pela pessoa jurídica, a título de remuneração do capital próprio, poderá ser imputado ao valor dos dividendos de que trata o art. 202 da Lei nº 6.404, de 1976, sem prejuízo da incidência do imposto de que trata o § 7º. </w:t>
      </w:r>
    </w:p>
    <w:p w14:paraId="726F6723"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 10. Para efeitos do disposto no caput, considera-se creditado individualizadamente o valor dos juros sobre o capital próprio, quando a destinação, na escrituração contábil da pessoa jurídica, for registrada em contrapartida a conta de passivo exigível, representativa de direito de crédito do sócio ou acionista da sociedade ou do titular da empresa individual, no ano-calendário da sua apuração. </w:t>
      </w:r>
    </w:p>
    <w:p w14:paraId="169E98AC" w14:textId="77777777" w:rsidR="007A0D99" w:rsidRPr="00D91C24" w:rsidRDefault="007A0D99" w:rsidP="007A0D99">
      <w:pPr>
        <w:pStyle w:val="ListParagraph"/>
        <w:numPr>
          <w:ilvl w:val="0"/>
          <w:numId w:val="32"/>
        </w:numPr>
        <w:spacing w:after="160" w:line="360" w:lineRule="auto"/>
        <w:rPr>
          <w:rFonts w:ascii="Times New Roman" w:hAnsi="Times New Roman" w:cs="Times New Roman"/>
          <w:b/>
          <w:color w:val="000000"/>
          <w:sz w:val="24"/>
          <w:szCs w:val="24"/>
          <w:lang w:val="pt-BR"/>
        </w:rPr>
      </w:pPr>
      <w:r w:rsidRPr="00D91C24">
        <w:rPr>
          <w:rFonts w:ascii="Times New Roman" w:hAnsi="Times New Roman" w:cs="Times New Roman"/>
          <w:b/>
          <w:color w:val="000000"/>
          <w:sz w:val="24"/>
          <w:szCs w:val="24"/>
          <w:lang w:val="pt-BR"/>
        </w:rPr>
        <w:t xml:space="preserve">Lei sobre capitalização dos dividendos SFM/FDU: art. 4º, paragrafo 1º, da Lei nº 17655 </w:t>
      </w:r>
    </w:p>
    <w:p w14:paraId="5D53B3FB" w14:textId="77777777" w:rsidR="007A0D99" w:rsidRPr="00D91C24" w:rsidRDefault="007A0D99" w:rsidP="007A0D99">
      <w:pPr>
        <w:pStyle w:val="ListParagraph"/>
        <w:spacing w:line="360" w:lineRule="auto"/>
        <w:ind w:left="0"/>
        <w:rPr>
          <w:rFonts w:ascii="Times New Roman" w:hAnsi="Times New Roman" w:cs="Times New Roman"/>
          <w:sz w:val="24"/>
          <w:szCs w:val="24"/>
          <w:lang w:val="pt-BR"/>
        </w:rPr>
      </w:pPr>
      <w:r w:rsidRPr="00D91C24">
        <w:rPr>
          <w:rFonts w:ascii="Times New Roman" w:hAnsi="Times New Roman" w:cs="Times New Roman"/>
          <w:sz w:val="24"/>
          <w:szCs w:val="24"/>
          <w:lang w:val="pt-BR"/>
        </w:rPr>
        <w:t>Artigo primeiro – Os retornos e os juros dos empréstimos concedidos pela Fomento Paraná e os resultados auferidos em aplicações financeiras, desde que oriundos de integralização feitas pelo FDU, deduzidos os custos operacionais apurados na forma de totalidade dos dividendos, conforme determina a Lei Federal N. 6.404, de 15 de dezembro de 1976, deverão obrigatoriamente ser destacados e destinados para futuros empréstimos vinculados ao SFM, a partir do exercício fiscal de 2014.</w:t>
      </w:r>
    </w:p>
    <w:p w14:paraId="6F2C988B" w14:textId="77777777" w:rsidR="007A0D99" w:rsidRPr="00D91C24" w:rsidRDefault="007A0D99" w:rsidP="007A0D99">
      <w:pPr>
        <w:pStyle w:val="ListParagraph"/>
        <w:spacing w:line="360" w:lineRule="auto"/>
        <w:ind w:left="360"/>
        <w:rPr>
          <w:rFonts w:ascii="Times New Roman" w:hAnsi="Times New Roman" w:cs="Times New Roman"/>
          <w:sz w:val="24"/>
          <w:szCs w:val="24"/>
          <w:lang w:val="pt-BR"/>
        </w:rPr>
      </w:pPr>
    </w:p>
    <w:p w14:paraId="1CE51013" w14:textId="77777777" w:rsidR="007A0D99" w:rsidRPr="00D91C24" w:rsidRDefault="007A0D99" w:rsidP="007A0D99">
      <w:pPr>
        <w:pStyle w:val="ListParagraph"/>
        <w:spacing w:line="360" w:lineRule="auto"/>
        <w:ind w:left="0"/>
        <w:rPr>
          <w:rFonts w:ascii="Times New Roman" w:hAnsi="Times New Roman" w:cs="Times New Roman"/>
          <w:b/>
          <w:color w:val="000000"/>
          <w:sz w:val="24"/>
          <w:szCs w:val="24"/>
          <w:lang w:val="pt-BR"/>
        </w:rPr>
      </w:pPr>
      <w:bookmarkStart w:id="28" w:name="_Hlk508788967"/>
      <w:r w:rsidRPr="00D91C24">
        <w:rPr>
          <w:rFonts w:ascii="Times New Roman" w:hAnsi="Times New Roman" w:cs="Times New Roman"/>
          <w:b/>
          <w:color w:val="000000"/>
          <w:sz w:val="24"/>
          <w:szCs w:val="24"/>
          <w:lang w:val="pt-BR"/>
        </w:rPr>
        <w:lastRenderedPageBreak/>
        <w:t>3) Legislação provisão de crédito: Resolução nº 2.682 (anexo: RESOLUÇÃO_2682)</w:t>
      </w:r>
    </w:p>
    <w:p w14:paraId="1AA65AE2" w14:textId="77777777" w:rsidR="007A0D99" w:rsidRPr="00D91C24" w:rsidRDefault="007A0D99" w:rsidP="007A0D99">
      <w:pPr>
        <w:pStyle w:val="ListParagraph"/>
        <w:spacing w:line="360" w:lineRule="auto"/>
        <w:ind w:left="0"/>
        <w:rPr>
          <w:rFonts w:ascii="Times New Roman" w:hAnsi="Times New Roman" w:cs="Times New Roman"/>
          <w:sz w:val="24"/>
          <w:szCs w:val="24"/>
          <w:lang w:val="pt-BR"/>
        </w:rPr>
      </w:pPr>
    </w:p>
    <w:p w14:paraId="7AF9497E" w14:textId="77777777" w:rsidR="007A0D99" w:rsidRPr="00D91C24" w:rsidRDefault="007A0D99" w:rsidP="007A0D99">
      <w:pPr>
        <w:pStyle w:val="ListParagraph"/>
        <w:spacing w:line="360" w:lineRule="auto"/>
        <w:ind w:left="0"/>
        <w:rPr>
          <w:rFonts w:ascii="Times New Roman" w:hAnsi="Times New Roman" w:cs="Times New Roman"/>
          <w:sz w:val="24"/>
          <w:szCs w:val="24"/>
          <w:lang w:val="pt-BR"/>
        </w:rPr>
      </w:pPr>
      <w:r w:rsidRPr="00D91C24">
        <w:rPr>
          <w:rFonts w:ascii="Times New Roman" w:hAnsi="Times New Roman" w:cs="Times New Roman"/>
          <w:sz w:val="24"/>
          <w:szCs w:val="24"/>
          <w:lang w:val="pt-BR"/>
        </w:rPr>
        <w:t>Dispõe sobre critérios de classificação das operações de crédito e regras para constituição de provisão para créditos de liquidação duvidosa, ...,</w:t>
      </w:r>
    </w:p>
    <w:p w14:paraId="48856C38"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Art. 6º A provisão para fazer face aos créditos de liquidação duvidosa deve ser constituída mensalmente, não podendo ser inferior ao somatório decorrente da aplicação dos percentuais a seguir mencionados, sem prejuízo da responsabilidade dos administradores das instituições pela constituição de provisão em montantes suficientes para fazer face a perdas prováveis na realização dos créditos: </w:t>
      </w:r>
    </w:p>
    <w:p w14:paraId="41958D84" w14:textId="77777777" w:rsidR="007A0D99" w:rsidRPr="00D91C24" w:rsidRDefault="007A0D99" w:rsidP="007A0D99">
      <w:pPr>
        <w:pStyle w:val="ListParagraph"/>
        <w:spacing w:line="360" w:lineRule="auto"/>
        <w:ind w:left="284"/>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 - 0,5% (meio por cento) sobre o valor das operações classificadas como de risco nível A; </w:t>
      </w:r>
    </w:p>
    <w:p w14:paraId="2162CD62" w14:textId="77777777" w:rsidR="007A0D99" w:rsidRPr="00D91C24" w:rsidRDefault="007A0D99" w:rsidP="007A0D99">
      <w:pPr>
        <w:pStyle w:val="ListParagraph"/>
        <w:spacing w:line="360" w:lineRule="auto"/>
        <w:ind w:left="284"/>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II - 1% (um por cento) sobre o valor das operações classificadas como de risco nível B; </w:t>
      </w:r>
    </w:p>
    <w:p w14:paraId="666DE691" w14:textId="77777777" w:rsidR="007A0D99" w:rsidRPr="00D91C24" w:rsidRDefault="007A0D99" w:rsidP="007A0D99">
      <w:pPr>
        <w:pStyle w:val="ListParagraph"/>
        <w:spacing w:line="360" w:lineRule="auto"/>
        <w:ind w:left="284"/>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III - 3% (três por cento) sobre o valor das operações classificadas como de risco nível C; </w:t>
      </w:r>
    </w:p>
    <w:p w14:paraId="21332AD6" w14:textId="77777777" w:rsidR="007A0D99" w:rsidRPr="00D91C24" w:rsidRDefault="007A0D99" w:rsidP="007A0D99">
      <w:pPr>
        <w:pStyle w:val="ListParagraph"/>
        <w:spacing w:line="360" w:lineRule="auto"/>
        <w:ind w:left="284"/>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IV - 10% (dez por cento) sobre o valor das operações classificados como de risco nível D; </w:t>
      </w:r>
    </w:p>
    <w:p w14:paraId="42FF0545" w14:textId="77777777" w:rsidR="007A0D99" w:rsidRPr="00D91C24" w:rsidRDefault="007A0D99" w:rsidP="007A0D99">
      <w:pPr>
        <w:pStyle w:val="ListParagraph"/>
        <w:spacing w:line="360" w:lineRule="auto"/>
        <w:ind w:left="284"/>
        <w:rPr>
          <w:rFonts w:ascii="Times New Roman" w:hAnsi="Times New Roman" w:cs="Times New Roman"/>
          <w:sz w:val="24"/>
          <w:szCs w:val="24"/>
          <w:lang w:val="pt-BR"/>
        </w:rPr>
      </w:pPr>
      <w:r w:rsidRPr="00D91C24">
        <w:rPr>
          <w:rFonts w:ascii="Times New Roman" w:hAnsi="Times New Roman" w:cs="Times New Roman"/>
          <w:sz w:val="24"/>
          <w:szCs w:val="24"/>
          <w:lang w:val="pt-BR"/>
        </w:rPr>
        <w:t>V - 30% (trinta por cento) sobre o valor das operações classificados como de risco nível E;</w:t>
      </w:r>
    </w:p>
    <w:p w14:paraId="4C7A0461" w14:textId="77777777" w:rsidR="007A0D99" w:rsidRPr="00D91C24" w:rsidRDefault="007A0D99" w:rsidP="007A0D99">
      <w:pPr>
        <w:pStyle w:val="ListParagraph"/>
        <w:spacing w:line="360" w:lineRule="auto"/>
        <w:ind w:left="284"/>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VI - 50% (cinqüenta por cento) sobre o valor das operações classificados como de risco nível F; </w:t>
      </w:r>
    </w:p>
    <w:p w14:paraId="0006CEB1" w14:textId="77777777" w:rsidR="007A0D99" w:rsidRPr="00D91C24" w:rsidRDefault="007A0D99" w:rsidP="007A0D99">
      <w:pPr>
        <w:pStyle w:val="ListParagraph"/>
        <w:spacing w:line="360" w:lineRule="auto"/>
        <w:ind w:left="284"/>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VII - 70% (setenta por cento) sobre o valor das operações classificados como de risco nível G; </w:t>
      </w:r>
    </w:p>
    <w:p w14:paraId="2033FA6D" w14:textId="77777777" w:rsidR="007A0D99" w:rsidRPr="00D91C24" w:rsidRDefault="007A0D99" w:rsidP="007A0D99">
      <w:pPr>
        <w:pStyle w:val="ListParagraph"/>
        <w:spacing w:line="360" w:lineRule="auto"/>
        <w:ind w:left="284"/>
        <w:rPr>
          <w:rFonts w:ascii="Times New Roman" w:hAnsi="Times New Roman" w:cs="Times New Roman"/>
          <w:sz w:val="24"/>
          <w:szCs w:val="24"/>
          <w:lang w:val="pt-BR"/>
        </w:rPr>
      </w:pPr>
      <w:r w:rsidRPr="00D91C24">
        <w:rPr>
          <w:rFonts w:ascii="Times New Roman" w:hAnsi="Times New Roman" w:cs="Times New Roman"/>
          <w:sz w:val="24"/>
          <w:szCs w:val="24"/>
          <w:lang w:val="pt-BR"/>
        </w:rPr>
        <w:t>VIII - 100% (cem por cento) sobre o valor das operações classificadas como de risco nível H.</w:t>
      </w:r>
    </w:p>
    <w:bookmarkEnd w:id="28"/>
    <w:p w14:paraId="051ADBD4"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 - distribuição das operações, segregadas por tipo de cliente e atividade econômica; </w:t>
      </w:r>
    </w:p>
    <w:p w14:paraId="727005EA"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II - distribuição por faixa de vencimento; </w:t>
      </w:r>
    </w:p>
    <w:p w14:paraId="4E9FE129"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III - montantes de operações renegociadas, lançados contra prejuízo e de operações recuperadas, no exercício. </w:t>
      </w:r>
    </w:p>
    <w:p w14:paraId="668DC52C"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Art. 12. O auditor independente deve elaborar relatório circunstanciado de revisão dos critérios adotados pela instituição quanto à classificação nos níveis de risco e de avaliação do provisionamento registrado nas demonstrações financeiras. </w:t>
      </w:r>
    </w:p>
    <w:p w14:paraId="67D21CAC"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Art. 13. O Banco Central do Brasil poderá baixar normas complementares necessárias ao cumprimento do disposto nesta Resolução, bem como determinar: </w:t>
      </w:r>
    </w:p>
    <w:p w14:paraId="02A2DDB6"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lastRenderedPageBreak/>
        <w:t xml:space="preserve">I - reclassificação de operações com base nos critérios estabelecidos nesta Resolução, nos níveis de risco de que trata o art. 1º; </w:t>
      </w:r>
    </w:p>
    <w:p w14:paraId="3D203FD2"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II - provisionamento adicional, em função da responsabilidade do devedor junto ao Sistema Financeiro Nacional; </w:t>
      </w:r>
    </w:p>
    <w:p w14:paraId="193D37AE"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III - providências saneadoras a serem adotadas pelas instituições, com vistas a assegurar a sua liquidez e adequada estrutura patrimonial, inclusive na forma de alocação de capital para operações de classificação considerada inadequada; </w:t>
      </w:r>
    </w:p>
    <w:p w14:paraId="5C8DD744"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IV - alteração dos critérios de classificação de créditos, de contabilização e de constituição de provisão; </w:t>
      </w:r>
    </w:p>
    <w:p w14:paraId="4888295D"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V - teor das informações e notas explicativas constantes das demonstrações financeiras; </w:t>
      </w:r>
    </w:p>
    <w:p w14:paraId="2AA7B093"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VI - procedimentos e controles a serem adotados pelas instituições. </w:t>
      </w:r>
    </w:p>
    <w:p w14:paraId="7E2DBE6E"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Art. 14. O disposto nesta Resolução se aplica também às operações de arrendamento mercantil e a outras operações com características de concessão de crédito. </w:t>
      </w:r>
    </w:p>
    <w:p w14:paraId="3BEF89A8" w14:textId="77777777" w:rsidR="007A0D99" w:rsidRPr="00D91C24"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 xml:space="preserve">Art. 15. As disposições desta Resolução não contemplam os aspectos fiscais, sendo de inteira responsabilidade da instituição a observância das normas pertinentes. </w:t>
      </w:r>
    </w:p>
    <w:p w14:paraId="6F80CA12" w14:textId="77777777" w:rsidR="007A0D99" w:rsidRPr="00CA2760" w:rsidRDefault="007A0D99" w:rsidP="007A0D99">
      <w:pPr>
        <w:spacing w:line="360" w:lineRule="auto"/>
        <w:rPr>
          <w:rFonts w:ascii="Times New Roman" w:hAnsi="Times New Roman" w:cs="Times New Roman"/>
          <w:sz w:val="24"/>
          <w:szCs w:val="24"/>
          <w:lang w:val="pt-BR"/>
        </w:rPr>
      </w:pPr>
      <w:r w:rsidRPr="00D91C24">
        <w:rPr>
          <w:rFonts w:ascii="Times New Roman" w:hAnsi="Times New Roman" w:cs="Times New Roman"/>
          <w:sz w:val="24"/>
          <w:szCs w:val="24"/>
          <w:lang w:val="pt-BR"/>
        </w:rPr>
        <w:t>Art. 16. Esta Resolução entra em vigor na data da sua publicação, produzindo efeitos a partir de 1º de março de 2000, quando ficarão revogadas as Resoluções nºs 1.748, de 30 de agosto de 1990, e 1.999, de 30 de junho de 1993, os arts. 3º e 5º da Circular nº 1.872, de 27 de dezembro de 1990, a alínea "b" do inciso II do art. 4º da Circular nº 2.782, de 12 de novembro de 1997, e o Comunicado nº 2.559, de 17 de outubro de 1991.</w:t>
      </w:r>
    </w:p>
    <w:p w14:paraId="3AD4FECA" w14:textId="77777777" w:rsidR="007A0D99" w:rsidRPr="00CA2760" w:rsidRDefault="007A0D99" w:rsidP="007A0D99">
      <w:pPr>
        <w:rPr>
          <w:rFonts w:ascii="Times New Roman" w:hAnsi="Times New Roman" w:cs="Times New Roman"/>
          <w:sz w:val="24"/>
          <w:szCs w:val="24"/>
          <w:lang w:val="pt-BR"/>
        </w:rPr>
      </w:pPr>
      <w:r w:rsidRPr="00CA2760">
        <w:rPr>
          <w:rFonts w:ascii="Times New Roman" w:hAnsi="Times New Roman" w:cs="Times New Roman"/>
          <w:sz w:val="24"/>
          <w:szCs w:val="24"/>
          <w:lang w:val="pt-BR"/>
        </w:rPr>
        <w:br w:type="page"/>
      </w:r>
    </w:p>
    <w:p w14:paraId="183F54BE" w14:textId="42C0C99C" w:rsidR="007A0D99" w:rsidRPr="00CA2760" w:rsidRDefault="007A0D99" w:rsidP="007A0D99">
      <w:pPr>
        <w:spacing w:before="180" w:after="150" w:line="240" w:lineRule="auto"/>
        <w:jc w:val="center"/>
        <w:outlineLvl w:val="2"/>
        <w:rPr>
          <w:rFonts w:ascii="Times New Roman" w:eastAsia="Times New Roman" w:hAnsi="Times New Roman" w:cs="Times New Roman"/>
          <w:b/>
          <w:bCs/>
          <w:sz w:val="24"/>
          <w:szCs w:val="24"/>
          <w:lang w:val="pt-BR"/>
        </w:rPr>
      </w:pPr>
      <w:r w:rsidRPr="00CA2760">
        <w:rPr>
          <w:rFonts w:ascii="Times New Roman" w:eastAsia="Times New Roman" w:hAnsi="Times New Roman" w:cs="Times New Roman"/>
          <w:b/>
          <w:bCs/>
          <w:sz w:val="24"/>
          <w:szCs w:val="24"/>
          <w:lang w:val="pt-BR"/>
        </w:rPr>
        <w:lastRenderedPageBreak/>
        <w:t xml:space="preserve">Anexo </w:t>
      </w:r>
      <w:r w:rsidR="0064552F" w:rsidRPr="00CA2760">
        <w:rPr>
          <w:rFonts w:ascii="Times New Roman" w:eastAsia="Times New Roman" w:hAnsi="Times New Roman" w:cs="Times New Roman"/>
          <w:b/>
          <w:bCs/>
          <w:sz w:val="24"/>
          <w:szCs w:val="24"/>
          <w:lang w:val="pt-BR"/>
        </w:rPr>
        <w:t>B</w:t>
      </w:r>
    </w:p>
    <w:p w14:paraId="50A2A9D4" w14:textId="1DF66A33" w:rsidR="007A0D99" w:rsidRPr="00CA2760" w:rsidRDefault="00303750" w:rsidP="00303750">
      <w:pPr>
        <w:spacing w:before="180" w:after="150" w:line="240" w:lineRule="auto"/>
        <w:jc w:val="center"/>
        <w:outlineLvl w:val="2"/>
        <w:rPr>
          <w:rFonts w:ascii="Times New Roman" w:eastAsia="Times New Roman" w:hAnsi="Times New Roman" w:cs="Times New Roman"/>
          <w:b/>
          <w:bCs/>
          <w:sz w:val="24"/>
          <w:szCs w:val="24"/>
          <w:lang w:val="pt-BR"/>
        </w:rPr>
      </w:pPr>
      <w:r>
        <w:rPr>
          <w:rFonts w:ascii="Times New Roman" w:eastAsia="Times New Roman" w:hAnsi="Times New Roman" w:cs="Times New Roman"/>
          <w:b/>
          <w:bCs/>
          <w:sz w:val="24"/>
          <w:szCs w:val="24"/>
          <w:lang w:val="pt-BR"/>
        </w:rPr>
        <w:t>A</w:t>
      </w:r>
      <w:r w:rsidR="007A0D99" w:rsidRPr="00CA2760">
        <w:rPr>
          <w:rFonts w:ascii="Times New Roman" w:eastAsia="Times New Roman" w:hAnsi="Times New Roman" w:cs="Times New Roman"/>
          <w:b/>
          <w:bCs/>
          <w:sz w:val="24"/>
          <w:szCs w:val="24"/>
          <w:lang w:val="pt-BR"/>
        </w:rPr>
        <w:t xml:space="preserve"> metodologia para cálculo da TLP</w:t>
      </w:r>
    </w:p>
    <w:p w14:paraId="0B5A1BAF" w14:textId="77777777" w:rsidR="007A0D99" w:rsidRPr="00CA2760" w:rsidRDefault="007A0D99" w:rsidP="007A0D99">
      <w:pPr>
        <w:spacing w:after="0" w:line="240" w:lineRule="auto"/>
        <w:jc w:val="center"/>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25/09/2017</w:t>
      </w:r>
    </w:p>
    <w:p w14:paraId="1AE4D11B" w14:textId="2F366E91" w:rsidR="007A0D99" w:rsidRPr="00CA2760" w:rsidRDefault="007A0D99" w:rsidP="007A0D99">
      <w:pPr>
        <w:spacing w:after="0" w:line="360" w:lineRule="auto"/>
        <w:rPr>
          <w:rFonts w:ascii="Times New Roman" w:eastAsia="Times New Roman" w:hAnsi="Times New Roman" w:cs="Times New Roman"/>
          <w:sz w:val="24"/>
          <w:szCs w:val="24"/>
          <w:lang w:val="pt-BR"/>
        </w:rPr>
      </w:pPr>
    </w:p>
    <w:p w14:paraId="24F2206A" w14:textId="563C7A41" w:rsidR="00D42CA6" w:rsidRDefault="00303750" w:rsidP="007A0D99">
      <w:pPr>
        <w:spacing w:after="0" w:line="360" w:lineRule="auto"/>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Em 2017, o</w:t>
      </w:r>
      <w:r w:rsidR="007A0D99" w:rsidRPr="00CA2760">
        <w:rPr>
          <w:rFonts w:ascii="Times New Roman" w:eastAsia="Times New Roman" w:hAnsi="Times New Roman" w:cs="Times New Roman"/>
          <w:sz w:val="24"/>
          <w:szCs w:val="24"/>
          <w:lang w:val="pt-BR"/>
        </w:rPr>
        <w:t xml:space="preserve"> Conselho Monetário Nacional (CMN) aprovou a </w:t>
      </w:r>
      <w:hyperlink r:id="rId29" w:history="1">
        <w:r w:rsidR="007A0D99" w:rsidRPr="00CA2760">
          <w:rPr>
            <w:rFonts w:ascii="Times New Roman" w:eastAsia="Times New Roman" w:hAnsi="Times New Roman" w:cs="Times New Roman"/>
            <w:color w:val="0000FF"/>
            <w:sz w:val="24"/>
            <w:szCs w:val="24"/>
            <w:u w:val="single"/>
            <w:lang w:val="pt-BR"/>
          </w:rPr>
          <w:t>Resolução nº 4.600</w:t>
        </w:r>
      </w:hyperlink>
      <w:r w:rsidR="007A0D99" w:rsidRPr="00CA2760">
        <w:rPr>
          <w:rFonts w:ascii="Times New Roman" w:eastAsia="Times New Roman" w:hAnsi="Times New Roman" w:cs="Times New Roman"/>
          <w:sz w:val="24"/>
          <w:szCs w:val="24"/>
          <w:lang w:val="pt-BR"/>
        </w:rPr>
        <w:t>,</w:t>
      </w:r>
      <w:r w:rsidR="00F03464">
        <w:rPr>
          <w:rStyle w:val="FootnoteReference"/>
          <w:rFonts w:ascii="Times New Roman" w:eastAsia="Times New Roman" w:hAnsi="Times New Roman" w:cs="Times New Roman"/>
          <w:sz w:val="24"/>
          <w:szCs w:val="24"/>
          <w:lang w:val="pt-BR"/>
        </w:rPr>
        <w:footnoteReference w:id="18"/>
      </w:r>
      <w:r w:rsidR="007A0D99" w:rsidRPr="00CA2760">
        <w:rPr>
          <w:rFonts w:ascii="Times New Roman" w:eastAsia="Times New Roman" w:hAnsi="Times New Roman" w:cs="Times New Roman"/>
          <w:sz w:val="24"/>
          <w:szCs w:val="24"/>
          <w:lang w:val="pt-BR"/>
        </w:rPr>
        <w:t xml:space="preserve"> que define metodologia para o cálculo da Taxa de Longo Prazo (TLP), instituída por meio da Lei nº 13.483, de 21 de setembro de 2017</w:t>
      </w:r>
      <w:r w:rsidR="00D42CA6">
        <w:rPr>
          <w:rFonts w:ascii="Times New Roman" w:eastAsia="Times New Roman" w:hAnsi="Times New Roman" w:cs="Times New Roman"/>
          <w:sz w:val="24"/>
          <w:szCs w:val="24"/>
          <w:lang w:val="pt-BR"/>
        </w:rPr>
        <w:t>:</w:t>
      </w:r>
      <w:r w:rsidR="007A0D99" w:rsidRPr="00CA2760">
        <w:rPr>
          <w:rFonts w:ascii="Times New Roman" w:eastAsia="Times New Roman" w:hAnsi="Times New Roman" w:cs="Times New Roman"/>
          <w:sz w:val="24"/>
          <w:szCs w:val="24"/>
          <w:lang w:val="pt-BR"/>
        </w:rPr>
        <w:t xml:space="preserve"> </w:t>
      </w:r>
    </w:p>
    <w:p w14:paraId="6C3F075B" w14:textId="30220A4E" w:rsidR="007A0D99" w:rsidRPr="00CA2760" w:rsidRDefault="007A0D99" w:rsidP="00D91C24">
      <w:pPr>
        <w:spacing w:after="0" w:line="360" w:lineRule="auto"/>
        <w:ind w:left="567"/>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A TLP será utilizada como referencial para a remuneração dos recursos do Fundo de Participação PIS-Pasep, do Fundo de Amparo ao Trabalhador (FAT) e do Fundo da Marinha Mercante (FMM) aplicados por instituições financeiras oficiais federais em operações de financiamento contratadas a partir de 1º de janeiro de 2018, em substituição à Taxa de Juros de Longo Prazo (TJLP).  As operações feitas antes desta data não serão afetadas, e as instituições continuarão remunerando, pela TJLP, os respectivos fundos pelos recursos recebidos para realizar essa operações.</w:t>
      </w:r>
    </w:p>
    <w:p w14:paraId="490A18D5" w14:textId="77777777" w:rsidR="007A0D99" w:rsidRPr="00CA2760" w:rsidRDefault="007A0D99" w:rsidP="00D91C24">
      <w:pPr>
        <w:spacing w:after="0" w:line="360" w:lineRule="auto"/>
        <w:ind w:left="567"/>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 </w:t>
      </w:r>
    </w:p>
    <w:p w14:paraId="23677713" w14:textId="77777777" w:rsidR="007A0D99" w:rsidRPr="00CA2760" w:rsidRDefault="007A0D99" w:rsidP="00D91C24">
      <w:pPr>
        <w:spacing w:after="0" w:line="360" w:lineRule="auto"/>
        <w:ind w:left="567"/>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A TLP, que será apurada mensalmente para cada parcela de recursos disponibilizada para tais operações de financiamento, é composta pela variação do Índice Nacional de Preços ao Consumidor Amplo (IPCA) e por uma taxa de juros prefixada, definida na data de contratação da respectiva operação de financiamento e válida por todo o prazo em que os recursos permanecem aplicados nessas operações. </w:t>
      </w:r>
    </w:p>
    <w:p w14:paraId="534FE99F" w14:textId="77777777" w:rsidR="007A0D99" w:rsidRPr="00CA2760" w:rsidRDefault="007A0D99" w:rsidP="00D91C24">
      <w:pPr>
        <w:spacing w:after="0" w:line="360" w:lineRule="auto"/>
        <w:ind w:left="567"/>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 </w:t>
      </w:r>
    </w:p>
    <w:p w14:paraId="3BC24ACF" w14:textId="77777777" w:rsidR="007A0D99" w:rsidRPr="00CA2760" w:rsidRDefault="007A0D99" w:rsidP="00D91C24">
      <w:pPr>
        <w:spacing w:after="0" w:line="360" w:lineRule="auto"/>
        <w:ind w:left="567"/>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 xml:space="preserve">Para definir a taxa de juros prefixada a ser utilizada para remunerar cada parcela de recursos aplicados em operações de financiamento, o Banco Central do Brasil divulgará a parte prefixada da TLP, com vigência mensal. Dessa forma, todos os recursos desses três fundos que sejam canalizados para operações de financiamento iniciadas em um determinado mês serão remunerados por uma mesma taxa prefixada, mais a variação do IPCA. A parte prefixada da TLP será divulgada no último dia útil do mês anterior ao mês de sua vigência, e seu cálculo terá por base a média diária dos últimos três meses da taxa de juros para o prazo de cinco anos da estrutura a termo da taxa de juros das NTN-B. Para </w:t>
      </w:r>
      <w:r w:rsidRPr="00CA2760">
        <w:rPr>
          <w:rFonts w:ascii="Times New Roman" w:eastAsia="Times New Roman" w:hAnsi="Times New Roman" w:cs="Times New Roman"/>
          <w:sz w:val="24"/>
          <w:szCs w:val="24"/>
          <w:lang w:val="pt-BR"/>
        </w:rPr>
        <w:lastRenderedPageBreak/>
        <w:t>estimar essa estrutura a termo, será utilizada metodologia comumente utilizada por outros bancos centrais para sua apuração.</w:t>
      </w:r>
    </w:p>
    <w:p w14:paraId="27BCBD12" w14:textId="77777777" w:rsidR="007A0D99" w:rsidRPr="00CA2760" w:rsidRDefault="007A0D99" w:rsidP="00D91C24">
      <w:pPr>
        <w:spacing w:after="0" w:line="360" w:lineRule="auto"/>
        <w:ind w:left="567"/>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 </w:t>
      </w:r>
    </w:p>
    <w:p w14:paraId="0EAE152A" w14:textId="77777777" w:rsidR="007A0D99" w:rsidRPr="00CA2760" w:rsidRDefault="007A0D99" w:rsidP="00D91C24">
      <w:pPr>
        <w:spacing w:after="0" w:line="360" w:lineRule="auto"/>
        <w:ind w:left="567"/>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Com o estabelecimento deste novo regime, a principal taxa utilizada nos financiamentos de longo prazo no Brasil passa a ser apurada com base em critérios objetivos e transparentes, definidos a partir de taxas praticadas no mercado financeiro doméstico. Com isso, permite-se um ambiente favorável à condução da política monetária e à alocação da poupança doméstica em projetos de investimento, refletindo de forma adequada o custo de oportunidade dos recursos dos fundos que financiam as operações de longo prazo no Brasil.</w:t>
      </w:r>
    </w:p>
    <w:p w14:paraId="3A0C574E" w14:textId="77777777" w:rsidR="007A0D99" w:rsidRPr="00CA2760" w:rsidRDefault="007A0D99" w:rsidP="007A0D99">
      <w:pPr>
        <w:rPr>
          <w:rStyle w:val="Hyperlink"/>
          <w:rFonts w:ascii="Times New Roman" w:hAnsi="Times New Roman" w:cs="Times New Roman"/>
          <w:sz w:val="24"/>
          <w:szCs w:val="24"/>
          <w:lang w:val="pt-BR"/>
        </w:rPr>
      </w:pPr>
      <w:r w:rsidRPr="00CA2760">
        <w:rPr>
          <w:rStyle w:val="Hyperlink"/>
          <w:rFonts w:ascii="Times New Roman" w:hAnsi="Times New Roman" w:cs="Times New Roman"/>
          <w:sz w:val="24"/>
          <w:szCs w:val="24"/>
          <w:lang w:val="pt-BR"/>
        </w:rPr>
        <w:br w:type="page"/>
      </w:r>
    </w:p>
    <w:p w14:paraId="067E2960" w14:textId="404DD6E0" w:rsidR="007A0D99" w:rsidRPr="00CA2760" w:rsidRDefault="007A0D99" w:rsidP="007A0D99">
      <w:pPr>
        <w:jc w:val="center"/>
        <w:rPr>
          <w:rFonts w:ascii="Times New Roman" w:hAnsi="Times New Roman" w:cs="Times New Roman"/>
          <w:b/>
          <w:color w:val="000000"/>
          <w:sz w:val="24"/>
          <w:szCs w:val="24"/>
          <w:lang w:val="pt-BR"/>
        </w:rPr>
      </w:pPr>
      <w:r w:rsidRPr="00CA2760">
        <w:rPr>
          <w:rFonts w:ascii="Times New Roman" w:hAnsi="Times New Roman" w:cs="Times New Roman"/>
          <w:b/>
          <w:color w:val="000000"/>
          <w:sz w:val="24"/>
          <w:szCs w:val="24"/>
          <w:lang w:val="pt-BR"/>
        </w:rPr>
        <w:lastRenderedPageBreak/>
        <w:t>An</w:t>
      </w:r>
      <w:r w:rsidR="0064552F" w:rsidRPr="00CA2760">
        <w:rPr>
          <w:rFonts w:ascii="Times New Roman" w:hAnsi="Times New Roman" w:cs="Times New Roman"/>
          <w:b/>
          <w:color w:val="000000"/>
          <w:sz w:val="24"/>
          <w:szCs w:val="24"/>
          <w:lang w:val="pt-BR"/>
        </w:rPr>
        <w:t>exo C</w:t>
      </w:r>
    </w:p>
    <w:p w14:paraId="34D2C663" w14:textId="77777777" w:rsidR="00655C4E" w:rsidRPr="00CA2760" w:rsidRDefault="00655C4E" w:rsidP="00655C4E">
      <w:pPr>
        <w:spacing w:line="360" w:lineRule="auto"/>
        <w:jc w:val="center"/>
        <w:rPr>
          <w:rFonts w:ascii="Times New Roman" w:eastAsia="Times New Roman" w:hAnsi="Times New Roman" w:cs="Times New Roman"/>
          <w:b/>
          <w:sz w:val="24"/>
          <w:szCs w:val="24"/>
          <w:lang w:val="pt-BR"/>
        </w:rPr>
      </w:pPr>
      <w:r w:rsidRPr="00CA2760">
        <w:rPr>
          <w:rFonts w:ascii="Times New Roman" w:eastAsia="Times New Roman" w:hAnsi="Times New Roman" w:cs="Times New Roman"/>
          <w:b/>
          <w:sz w:val="24"/>
          <w:szCs w:val="24"/>
          <w:lang w:val="pt-BR"/>
        </w:rPr>
        <w:t>Os possíveis impactos da TLP sobre o programa do SFM</w:t>
      </w:r>
    </w:p>
    <w:p w14:paraId="15118F92" w14:textId="77777777" w:rsidR="00655C4E" w:rsidRPr="00CA2760" w:rsidRDefault="00655C4E" w:rsidP="00655C4E">
      <w:pPr>
        <w:spacing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 xml:space="preserve">Segue abaixo uma nota do Fomento Paraná sobre a entrada em vigor do novo índice, a TLP (12/03/2018). </w:t>
      </w:r>
    </w:p>
    <w:p w14:paraId="5DBD9214" w14:textId="2D34EBA1" w:rsidR="00655C4E" w:rsidRPr="00CA2760" w:rsidRDefault="00655C4E" w:rsidP="00655C4E">
      <w:pPr>
        <w:spacing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 xml:space="preserve">A carteira do SFM está referenciada em TJLP (54%) e IPCA (46%). Pensando nos efeitos sobre o programa </w:t>
      </w:r>
      <w:r w:rsidR="00742ECB">
        <w:rPr>
          <w:rFonts w:ascii="Times New Roman" w:eastAsia="Times New Roman" w:hAnsi="Times New Roman" w:cs="Times New Roman"/>
          <w:sz w:val="24"/>
          <w:szCs w:val="24"/>
          <w:lang w:val="pt-BR"/>
        </w:rPr>
        <w:t xml:space="preserve">do </w:t>
      </w:r>
      <w:r w:rsidRPr="00CA2760">
        <w:rPr>
          <w:rFonts w:ascii="Times New Roman" w:eastAsia="Times New Roman" w:hAnsi="Times New Roman" w:cs="Times New Roman"/>
          <w:sz w:val="24"/>
          <w:szCs w:val="24"/>
          <w:lang w:val="pt-BR"/>
        </w:rPr>
        <w:t xml:space="preserve">SFM (em termos de liberações de crédito, pagamento de parcelas e custo do dinheiro), temos o seguinte. </w:t>
      </w:r>
    </w:p>
    <w:p w14:paraId="4C99F264" w14:textId="77777777" w:rsidR="00655C4E" w:rsidRPr="00CA2760" w:rsidRDefault="00655C4E" w:rsidP="00655C4E">
      <w:pPr>
        <w:spacing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Sobre TJLP, temos do mercado e das divulgações de Banco Central e BNDES que a TLP será uma taxa mais flutuante, conforme o mercado de juros futuros, ao contrário da TJLP que era uma definição discricionária para um período de 3 meses. A TJLP, a partir de agora, deve convergir para a TLP. Isso deve ter os seguintes efeitos:</w:t>
      </w:r>
    </w:p>
    <w:p w14:paraId="48F4BA19" w14:textId="77777777" w:rsidR="00655C4E" w:rsidRPr="00CA2760" w:rsidRDefault="00655C4E" w:rsidP="00655C4E">
      <w:pPr>
        <w:spacing w:line="360" w:lineRule="auto"/>
        <w:rPr>
          <w:rFonts w:ascii="Times New Roman" w:eastAsia="Times New Roman" w:hAnsi="Times New Roman" w:cs="Times New Roman"/>
          <w:b/>
          <w:sz w:val="24"/>
          <w:szCs w:val="24"/>
          <w:lang w:val="pt-BR"/>
        </w:rPr>
      </w:pPr>
      <w:r w:rsidRPr="00CA2760">
        <w:rPr>
          <w:rFonts w:ascii="Times New Roman" w:eastAsia="Times New Roman" w:hAnsi="Times New Roman" w:cs="Times New Roman"/>
          <w:b/>
          <w:sz w:val="24"/>
          <w:szCs w:val="24"/>
          <w:lang w:val="pt-BR"/>
        </w:rPr>
        <w:t>- Se houver altas muito expressivas na TLP:</w:t>
      </w:r>
    </w:p>
    <w:p w14:paraId="6F942DC4" w14:textId="4B96F3C3" w:rsidR="00655C4E" w:rsidRPr="00CA2760" w:rsidRDefault="00655C4E" w:rsidP="00655C4E">
      <w:pPr>
        <w:pStyle w:val="ListParagraph"/>
        <w:numPr>
          <w:ilvl w:val="0"/>
          <w:numId w:val="33"/>
        </w:numPr>
        <w:spacing w:after="160"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 xml:space="preserve">Novas liberações de crédito: o que vai ocorrer é que os Municípios irão possivelmente diminuir a demanda por crédito no âmbito do SFM. Contudo, se a TLP subir, todo o mercado irá subir os juros. Dessa forma, os municípios, como qualquer tomador de crédito, não encontrarão opção de </w:t>
      </w:r>
      <w:r w:rsidRPr="00CA2760">
        <w:rPr>
          <w:rFonts w:ascii="Times New Roman" w:eastAsia="Times New Roman" w:hAnsi="Times New Roman" w:cs="Times New Roman"/>
          <w:i/>
          <w:iCs/>
          <w:sz w:val="24"/>
          <w:szCs w:val="24"/>
          <w:lang w:val="pt-BR"/>
        </w:rPr>
        <w:t>funding</w:t>
      </w:r>
      <w:r w:rsidRPr="00CA2760">
        <w:rPr>
          <w:rFonts w:ascii="Times New Roman" w:eastAsia="Times New Roman" w:hAnsi="Times New Roman" w:cs="Times New Roman"/>
          <w:sz w:val="24"/>
          <w:szCs w:val="24"/>
          <w:lang w:val="pt-BR"/>
        </w:rPr>
        <w:t xml:space="preserve"> que não esteja seguindo o mesmo efeito. </w:t>
      </w:r>
    </w:p>
    <w:p w14:paraId="22ACAC7E" w14:textId="79124DC3" w:rsidR="00655C4E" w:rsidRPr="00CA2760" w:rsidRDefault="00655C4E" w:rsidP="00655C4E">
      <w:pPr>
        <w:pStyle w:val="ListParagraph"/>
        <w:numPr>
          <w:ilvl w:val="0"/>
          <w:numId w:val="33"/>
        </w:numPr>
        <w:spacing w:after="160"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 xml:space="preserve">Pagamento de parcelas: se os juros subirem muito, pode haver uma maior dificuldade para os Municípios pagarem, e talvez uma pressão de inadimplência. </w:t>
      </w:r>
    </w:p>
    <w:p w14:paraId="55623404" w14:textId="4E3E2E72" w:rsidR="00655C4E" w:rsidRPr="00CA2760" w:rsidRDefault="00655C4E" w:rsidP="00655C4E">
      <w:pPr>
        <w:pStyle w:val="ListParagraph"/>
        <w:numPr>
          <w:ilvl w:val="0"/>
          <w:numId w:val="33"/>
        </w:numPr>
        <w:spacing w:after="160"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 xml:space="preserve">Custo do dinheiro: se a TLP seguir a referência da taxa SELIC, conforme esperado, possíveis flutuações na TLP serão de certa forma as mesmas flutuações do custo do dinheiro, o que nos passa a ideia de que temos o nosso ativo casado com o custo de oportunidade, o que é positivo para as operações do SFM. </w:t>
      </w:r>
    </w:p>
    <w:p w14:paraId="337259EA" w14:textId="77777777" w:rsidR="00655C4E" w:rsidRPr="00CA2760" w:rsidRDefault="00655C4E" w:rsidP="00655C4E">
      <w:pPr>
        <w:spacing w:line="360" w:lineRule="auto"/>
        <w:rPr>
          <w:rFonts w:ascii="Times New Roman" w:eastAsia="Times New Roman" w:hAnsi="Times New Roman" w:cs="Times New Roman"/>
          <w:b/>
          <w:sz w:val="24"/>
          <w:szCs w:val="24"/>
          <w:lang w:val="pt-BR"/>
        </w:rPr>
      </w:pPr>
      <w:r w:rsidRPr="00CA2760">
        <w:rPr>
          <w:rFonts w:ascii="Times New Roman" w:eastAsia="Times New Roman" w:hAnsi="Times New Roman" w:cs="Times New Roman"/>
          <w:b/>
          <w:sz w:val="24"/>
          <w:szCs w:val="24"/>
          <w:lang w:val="pt-BR"/>
        </w:rPr>
        <w:t>- Se houver baixas muito expressivas na TLP:</w:t>
      </w:r>
    </w:p>
    <w:p w14:paraId="44F04564" w14:textId="4288A7F3" w:rsidR="00655C4E" w:rsidRPr="00CA2760" w:rsidRDefault="00655C4E" w:rsidP="00655C4E">
      <w:pPr>
        <w:pStyle w:val="ListParagraph"/>
        <w:numPr>
          <w:ilvl w:val="0"/>
          <w:numId w:val="34"/>
        </w:numPr>
        <w:spacing w:after="160"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 xml:space="preserve">Novas liberações de crédito: deve aumentar a demanda por crédito, inclusive no âmbito do programa. </w:t>
      </w:r>
    </w:p>
    <w:p w14:paraId="50A2EFEF" w14:textId="0F9FFBA2" w:rsidR="00655C4E" w:rsidRPr="00CA2760" w:rsidRDefault="00655C4E" w:rsidP="00655C4E">
      <w:pPr>
        <w:pStyle w:val="ListParagraph"/>
        <w:numPr>
          <w:ilvl w:val="0"/>
          <w:numId w:val="34"/>
        </w:numPr>
        <w:spacing w:after="160"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Pagamento de parcelas: maior facilidade para pagamento pelos municípios.</w:t>
      </w:r>
    </w:p>
    <w:p w14:paraId="15DB7F2A" w14:textId="07852DFA" w:rsidR="00655C4E" w:rsidRPr="00CA2760" w:rsidRDefault="00655C4E" w:rsidP="00655C4E">
      <w:pPr>
        <w:pStyle w:val="ListParagraph"/>
        <w:numPr>
          <w:ilvl w:val="0"/>
          <w:numId w:val="34"/>
        </w:numPr>
        <w:spacing w:after="160"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lastRenderedPageBreak/>
        <w:t>Custo do dinheiro: o mesmo ocorre em relação à alta, na lógica inversa. Ativo casado com custo de oportunidade.  </w:t>
      </w:r>
    </w:p>
    <w:p w14:paraId="20AA31D8" w14:textId="57D43772" w:rsidR="00655C4E" w:rsidRPr="00CA2760" w:rsidRDefault="00655C4E" w:rsidP="00655C4E">
      <w:pPr>
        <w:pStyle w:val="ListParagraph"/>
        <w:numPr>
          <w:ilvl w:val="0"/>
          <w:numId w:val="34"/>
        </w:numPr>
        <w:spacing w:after="160"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Outro ponto de risco que vemos é o caso de os bancos comerciais de grande porte entrarem no crédito de longo prazo, hoje dominado pelo BNDES e por programas como o SFM. Se isso ocorrer, como a TLP deve estar próxima da taxa Selic, pode haver mais concorrência e o programa sofrer com isso. A intenção do Banco Central é que isso ocorra</w:t>
      </w:r>
      <w:r w:rsidR="004F1038">
        <w:rPr>
          <w:rFonts w:ascii="Times New Roman" w:eastAsia="Times New Roman" w:hAnsi="Times New Roman" w:cs="Times New Roman"/>
          <w:sz w:val="24"/>
          <w:szCs w:val="24"/>
          <w:lang w:val="pt-BR"/>
        </w:rPr>
        <w:t>.</w:t>
      </w:r>
    </w:p>
    <w:p w14:paraId="3C46FF2A" w14:textId="77777777" w:rsidR="00655C4E" w:rsidRPr="00CA2760" w:rsidRDefault="00655C4E" w:rsidP="00655C4E">
      <w:pPr>
        <w:spacing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 xml:space="preserve">Sobre as operações ainda vigentes com indexador IPCA, não há mudanças. Continuam flutuando conforme o índice, sem influências diretas da TLP. </w:t>
      </w:r>
    </w:p>
    <w:p w14:paraId="0AB7C3FB" w14:textId="77777777" w:rsidR="00655C4E" w:rsidRPr="00CA2760" w:rsidRDefault="00655C4E" w:rsidP="00655C4E">
      <w:pPr>
        <w:spacing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 xml:space="preserve">Existe um (i) tempo de coexistência entre a TJLP e a TLP; e um (ii) tempo de transição da TLP para uma taxa totalmente de mercado. </w:t>
      </w:r>
    </w:p>
    <w:p w14:paraId="46E61FDE" w14:textId="77777777" w:rsidR="00655C4E" w:rsidRPr="00CA2760" w:rsidRDefault="00655C4E" w:rsidP="00655C4E">
      <w:pPr>
        <w:spacing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b/>
          <w:bCs/>
          <w:sz w:val="24"/>
          <w:szCs w:val="24"/>
          <w:lang w:val="pt-BR"/>
        </w:rPr>
        <w:t xml:space="preserve">(I) Sobre o tempo e o meio de conversão da TJLP em TLP. </w:t>
      </w:r>
    </w:p>
    <w:p w14:paraId="05615D85" w14:textId="77777777" w:rsidR="00655C4E" w:rsidRPr="00CA2760" w:rsidRDefault="00655C4E" w:rsidP="00655C4E">
      <w:pPr>
        <w:spacing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 xml:space="preserve">Segundo o </w:t>
      </w:r>
      <w:hyperlink r:id="rId30" w:tgtFrame="_blank" w:history="1">
        <w:r w:rsidRPr="00CA2760">
          <w:rPr>
            <w:rFonts w:ascii="Times New Roman" w:eastAsia="Times New Roman" w:hAnsi="Times New Roman" w:cs="Times New Roman"/>
            <w:sz w:val="24"/>
            <w:szCs w:val="24"/>
            <w:u w:val="single"/>
            <w:lang w:val="pt-BR"/>
          </w:rPr>
          <w:t>BNDES</w:t>
        </w:r>
      </w:hyperlink>
      <w:r w:rsidRPr="00CA2760">
        <w:rPr>
          <w:rFonts w:ascii="Times New Roman" w:eastAsia="Times New Roman" w:hAnsi="Times New Roman" w:cs="Times New Roman"/>
          <w:sz w:val="24"/>
          <w:szCs w:val="24"/>
          <w:lang w:val="pt-BR"/>
        </w:rPr>
        <w:t xml:space="preserve">, a TJLP foi substituída pela TLP (Taxa de Longo Prazo) em contratos de financiamento firmados a partir de 1º de janeiro de 2018. Contudo, a TJLP será mantida até o fim da vigência dos contratos referentes às operações aprovadas pela Diretoria do BNDES antes de 1º de janeiro de 2018. Para isso, a TJLP continuará sendo calculada e divulgada trimestralmente pelo Conselho Monetário Nacional (CMN), obedecendo aos parâmetros estabelecidos pela Lei 10.183 de 2001. Esses parâmetros são: </w:t>
      </w:r>
    </w:p>
    <w:p w14:paraId="034D70F1" w14:textId="77777777" w:rsidR="00655C4E" w:rsidRPr="00CA2760" w:rsidRDefault="00655C4E" w:rsidP="00655C4E">
      <w:pPr>
        <w:spacing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I - meta de inflação calculada pro rata para os doze meses seguintes ao primeiro mês de vigência da taxa, inclusive, baseada nas metas anuais fixadas pelo Conselho Monetário Nacional;</w:t>
      </w:r>
    </w:p>
    <w:p w14:paraId="4CF274D0" w14:textId="77777777" w:rsidR="00655C4E" w:rsidRPr="00CA2760" w:rsidRDefault="00655C4E" w:rsidP="00655C4E">
      <w:pPr>
        <w:spacing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II - prêmio de risco." (NR)</w:t>
      </w:r>
    </w:p>
    <w:p w14:paraId="0C78304D" w14:textId="77777777" w:rsidR="00655C4E" w:rsidRPr="00CA2760" w:rsidRDefault="00655C4E" w:rsidP="00655C4E">
      <w:pPr>
        <w:spacing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Esses critérios são similares aos que compõem a TLP (IPCA e prêmio de risco), mas os parâmetros específicos da TJLP não estão claros, como está na TLP. Por isso, não é esperado um distanciamento intenso entre as duas taxas.  </w:t>
      </w:r>
    </w:p>
    <w:p w14:paraId="79E1B131" w14:textId="77777777" w:rsidR="00655C4E" w:rsidRPr="00CA2760" w:rsidRDefault="00655C4E" w:rsidP="00655C4E">
      <w:pPr>
        <w:spacing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b/>
          <w:bCs/>
          <w:sz w:val="24"/>
          <w:szCs w:val="24"/>
          <w:lang w:val="pt-BR"/>
        </w:rPr>
        <w:t>(II) Sobre  a transição da TLP em uma taxa de mercado</w:t>
      </w:r>
    </w:p>
    <w:p w14:paraId="62579FFB" w14:textId="77777777" w:rsidR="00655C4E" w:rsidRPr="00CA2760" w:rsidRDefault="00655C4E" w:rsidP="00655C4E">
      <w:pPr>
        <w:spacing w:line="360" w:lineRule="auto"/>
        <w:rPr>
          <w:rFonts w:ascii="Times New Roman" w:eastAsia="Times New Roman" w:hAnsi="Times New Roman" w:cs="Times New Roman"/>
          <w:sz w:val="24"/>
          <w:szCs w:val="24"/>
          <w:lang w:val="pt-BR"/>
        </w:rPr>
      </w:pPr>
      <w:r w:rsidRPr="00CA2760">
        <w:rPr>
          <w:rFonts w:ascii="Times New Roman" w:eastAsia="Times New Roman" w:hAnsi="Times New Roman" w:cs="Times New Roman"/>
          <w:sz w:val="24"/>
          <w:szCs w:val="24"/>
          <w:lang w:val="pt-BR"/>
        </w:rPr>
        <w:t xml:space="preserve">Ao cálculo da TLP (com base na referência da NTN-B para 5 anos) será aplicado um fator de transição, que deve se extinguir em 5 anos. Até lá, haverá uma administração do CMN de modo </w:t>
      </w:r>
      <w:r w:rsidRPr="00CA2760">
        <w:rPr>
          <w:rFonts w:ascii="Times New Roman" w:eastAsia="Times New Roman" w:hAnsi="Times New Roman" w:cs="Times New Roman"/>
          <w:sz w:val="24"/>
          <w:szCs w:val="24"/>
          <w:lang w:val="pt-BR"/>
        </w:rPr>
        <w:lastRenderedPageBreak/>
        <w:t>a acomodar a transição de uma taxa subsidiada e decidida de modo arbitrário, para uma taxa completamente conforme o mercado de juros.</w:t>
      </w:r>
    </w:p>
    <w:p w14:paraId="68A11064" w14:textId="19DF9BC1" w:rsidR="00655C4E" w:rsidRPr="00CA2760" w:rsidRDefault="00655C4E" w:rsidP="007A0D99">
      <w:pPr>
        <w:rPr>
          <w:rStyle w:val="Hyperlink"/>
          <w:rFonts w:ascii="Times New Roman" w:hAnsi="Times New Roman" w:cs="Times New Roman"/>
          <w:sz w:val="24"/>
          <w:szCs w:val="24"/>
          <w:lang w:val="pt-BR"/>
        </w:rPr>
      </w:pPr>
    </w:p>
    <w:p w14:paraId="118BAF23" w14:textId="02111031" w:rsidR="00DC0A31" w:rsidRPr="00CA2760" w:rsidRDefault="00DC0A31">
      <w:pPr>
        <w:rPr>
          <w:rStyle w:val="Hyperlink"/>
          <w:rFonts w:ascii="Times New Roman" w:hAnsi="Times New Roman" w:cs="Times New Roman"/>
          <w:sz w:val="24"/>
          <w:szCs w:val="24"/>
          <w:lang w:val="pt-BR"/>
        </w:rPr>
      </w:pPr>
      <w:r w:rsidRPr="00CA2760">
        <w:rPr>
          <w:rStyle w:val="Hyperlink"/>
          <w:rFonts w:ascii="Times New Roman" w:hAnsi="Times New Roman" w:cs="Times New Roman"/>
          <w:sz w:val="24"/>
          <w:szCs w:val="24"/>
          <w:lang w:val="pt-BR"/>
        </w:rPr>
        <w:br w:type="page"/>
      </w:r>
    </w:p>
    <w:p w14:paraId="63A6DE1F" w14:textId="27547097" w:rsidR="00655C4E" w:rsidRPr="00CA2760" w:rsidRDefault="00655C4E" w:rsidP="00655C4E">
      <w:pPr>
        <w:jc w:val="center"/>
        <w:rPr>
          <w:rStyle w:val="Hyperlink"/>
          <w:rFonts w:ascii="Times New Roman" w:hAnsi="Times New Roman" w:cs="Times New Roman"/>
          <w:b/>
          <w:color w:val="auto"/>
          <w:sz w:val="24"/>
          <w:szCs w:val="24"/>
          <w:u w:val="none"/>
          <w:lang w:val="pt-BR"/>
        </w:rPr>
      </w:pPr>
      <w:r w:rsidRPr="00CA2760">
        <w:rPr>
          <w:rStyle w:val="Hyperlink"/>
          <w:rFonts w:ascii="Times New Roman" w:hAnsi="Times New Roman" w:cs="Times New Roman"/>
          <w:b/>
          <w:color w:val="auto"/>
          <w:sz w:val="24"/>
          <w:szCs w:val="24"/>
          <w:u w:val="none"/>
          <w:lang w:val="pt-BR"/>
        </w:rPr>
        <w:lastRenderedPageBreak/>
        <w:t>Anexo D</w:t>
      </w:r>
    </w:p>
    <w:p w14:paraId="7E997494" w14:textId="3B9EA90C" w:rsidR="00655C4E" w:rsidRPr="00CA2760" w:rsidRDefault="00655C4E" w:rsidP="00655C4E">
      <w:pPr>
        <w:jc w:val="center"/>
        <w:rPr>
          <w:rFonts w:ascii="Times New Roman" w:hAnsi="Times New Roman" w:cs="Times New Roman"/>
          <w:b/>
          <w:color w:val="000000"/>
          <w:sz w:val="24"/>
          <w:szCs w:val="24"/>
          <w:lang w:val="pt-BR"/>
        </w:rPr>
      </w:pPr>
      <w:r w:rsidRPr="00CA2760">
        <w:rPr>
          <w:rFonts w:ascii="Times New Roman" w:hAnsi="Times New Roman" w:cs="Times New Roman"/>
          <w:b/>
          <w:color w:val="000000"/>
          <w:sz w:val="24"/>
          <w:szCs w:val="24"/>
          <w:lang w:val="pt-BR"/>
        </w:rPr>
        <w:t xml:space="preserve">Os ratings </w:t>
      </w:r>
      <w:r w:rsidR="003F50CA">
        <w:rPr>
          <w:rFonts w:ascii="Times New Roman" w:hAnsi="Times New Roman" w:cs="Times New Roman"/>
          <w:b/>
          <w:color w:val="000000"/>
          <w:sz w:val="24"/>
          <w:szCs w:val="24"/>
          <w:lang w:val="pt-BR"/>
        </w:rPr>
        <w:t>das agências</w:t>
      </w:r>
      <w:r w:rsidR="003F50CA" w:rsidRPr="00CA2760">
        <w:rPr>
          <w:rFonts w:ascii="Times New Roman" w:hAnsi="Times New Roman" w:cs="Times New Roman"/>
          <w:b/>
          <w:color w:val="000000"/>
          <w:sz w:val="24"/>
          <w:szCs w:val="24"/>
          <w:lang w:val="pt-BR"/>
        </w:rPr>
        <w:t xml:space="preserve"> </w:t>
      </w:r>
      <w:r w:rsidRPr="00CA2760">
        <w:rPr>
          <w:rFonts w:ascii="Times New Roman" w:hAnsi="Times New Roman" w:cs="Times New Roman"/>
          <w:b/>
          <w:color w:val="000000"/>
          <w:sz w:val="24"/>
          <w:szCs w:val="24"/>
          <w:lang w:val="pt-BR"/>
        </w:rPr>
        <w:t>Fitch e Moody’s</w:t>
      </w:r>
    </w:p>
    <w:p w14:paraId="601A60F4" w14:textId="50C816D0" w:rsidR="00655C4E" w:rsidRPr="00CA2760" w:rsidRDefault="00655C4E" w:rsidP="00471071">
      <w:pPr>
        <w:spacing w:line="360" w:lineRule="auto"/>
        <w:rPr>
          <w:rFonts w:ascii="Times New Roman" w:hAnsi="Times New Roman" w:cs="Times New Roman"/>
          <w:sz w:val="24"/>
          <w:szCs w:val="24"/>
          <w:lang w:val="pt-BR"/>
        </w:rPr>
      </w:pPr>
      <w:r w:rsidRPr="00CA2760">
        <w:rPr>
          <w:rFonts w:ascii="Times New Roman" w:hAnsi="Times New Roman" w:cs="Times New Roman"/>
          <w:color w:val="000000"/>
          <w:sz w:val="24"/>
          <w:szCs w:val="24"/>
          <w:lang w:val="pt-BR"/>
        </w:rPr>
        <w:t xml:space="preserve">Por que </w:t>
      </w:r>
      <w:r w:rsidR="00713266">
        <w:rPr>
          <w:rFonts w:ascii="Times New Roman" w:hAnsi="Times New Roman" w:cs="Times New Roman"/>
          <w:color w:val="000000"/>
          <w:sz w:val="24"/>
          <w:szCs w:val="24"/>
          <w:lang w:val="pt-BR"/>
        </w:rPr>
        <w:t xml:space="preserve">a </w:t>
      </w:r>
      <w:r w:rsidRPr="00CA2760">
        <w:rPr>
          <w:rFonts w:ascii="Times New Roman" w:hAnsi="Times New Roman" w:cs="Times New Roman"/>
          <w:color w:val="000000"/>
          <w:sz w:val="24"/>
          <w:szCs w:val="24"/>
          <w:lang w:val="pt-BR"/>
        </w:rPr>
        <w:t>Fitch e</w:t>
      </w:r>
      <w:r w:rsidR="00713266">
        <w:rPr>
          <w:rFonts w:ascii="Times New Roman" w:hAnsi="Times New Roman" w:cs="Times New Roman"/>
          <w:color w:val="000000"/>
          <w:sz w:val="24"/>
          <w:szCs w:val="24"/>
          <w:lang w:val="pt-BR"/>
        </w:rPr>
        <w:t xml:space="preserve"> a</w:t>
      </w:r>
      <w:r w:rsidRPr="00CA2760">
        <w:rPr>
          <w:rFonts w:ascii="Times New Roman" w:hAnsi="Times New Roman" w:cs="Times New Roman"/>
          <w:color w:val="000000"/>
          <w:sz w:val="24"/>
          <w:szCs w:val="24"/>
          <w:lang w:val="pt-BR"/>
        </w:rPr>
        <w:t xml:space="preserve"> Moody’s retiraram seus ratings </w:t>
      </w:r>
      <w:r w:rsidR="00713266">
        <w:rPr>
          <w:rFonts w:ascii="Times New Roman" w:hAnsi="Times New Roman" w:cs="Times New Roman"/>
          <w:color w:val="000000"/>
          <w:sz w:val="24"/>
          <w:szCs w:val="24"/>
          <w:lang w:val="pt-BR"/>
        </w:rPr>
        <w:t>para a</w:t>
      </w:r>
      <w:r w:rsidR="00713266" w:rsidRPr="00CA2760">
        <w:rPr>
          <w:rFonts w:ascii="Times New Roman" w:hAnsi="Times New Roman" w:cs="Times New Roman"/>
          <w:color w:val="000000"/>
          <w:sz w:val="24"/>
          <w:szCs w:val="24"/>
          <w:lang w:val="pt-BR"/>
        </w:rPr>
        <w:t xml:space="preserve"> </w:t>
      </w:r>
      <w:r w:rsidRPr="00CA2760">
        <w:rPr>
          <w:rFonts w:ascii="Times New Roman" w:hAnsi="Times New Roman" w:cs="Times New Roman"/>
          <w:color w:val="000000"/>
          <w:sz w:val="24"/>
          <w:szCs w:val="24"/>
          <w:lang w:val="pt-BR"/>
        </w:rPr>
        <w:t xml:space="preserve">Agencia de Fomento do </w:t>
      </w:r>
      <w:r w:rsidR="0090341D" w:rsidRPr="00CA2760">
        <w:rPr>
          <w:rFonts w:ascii="Times New Roman" w:hAnsi="Times New Roman" w:cs="Times New Roman"/>
          <w:color w:val="000000"/>
          <w:sz w:val="24"/>
          <w:szCs w:val="24"/>
          <w:lang w:val="pt-BR"/>
        </w:rPr>
        <w:t>Paraná</w:t>
      </w:r>
      <w:r w:rsidRPr="00CA2760">
        <w:rPr>
          <w:rFonts w:ascii="Times New Roman" w:hAnsi="Times New Roman" w:cs="Times New Roman"/>
          <w:color w:val="000000"/>
          <w:sz w:val="24"/>
          <w:szCs w:val="24"/>
          <w:lang w:val="pt-BR"/>
        </w:rPr>
        <w:t xml:space="preserve">? </w:t>
      </w:r>
      <w:r w:rsidRPr="00CA2760">
        <w:rPr>
          <w:rFonts w:ascii="Times New Roman" w:hAnsi="Times New Roman" w:cs="Times New Roman"/>
          <w:sz w:val="24"/>
          <w:szCs w:val="24"/>
          <w:lang w:val="pt-BR"/>
        </w:rPr>
        <w:t>Segue abaixo manifestação do Diretor Administrativo e Financeiro da Fomento Paraná:</w:t>
      </w:r>
    </w:p>
    <w:p w14:paraId="6F064EF9" w14:textId="77777777" w:rsidR="00655C4E" w:rsidRPr="00CA2760" w:rsidRDefault="00655C4E" w:rsidP="00471071">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"A retirada de rating por parte das agências classificadoras foi decorrente da decisão da Fomento Paraná em descontinuar o contrato de análise firmado com aquelas empresas por motivos estritamente financeiros, pois se tratava de investimento sem retorno em curto prazo, bem como não ser a classificação uma exigência para captações a partir de 2017.</w:t>
      </w:r>
    </w:p>
    <w:p w14:paraId="60109A98" w14:textId="77777777" w:rsidR="00655C4E" w:rsidRPr="00CA2760" w:rsidRDefault="00655C4E" w:rsidP="00471071">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A contratação das agências em 2015 decorreu da possibilidade de captação de recursos externos, especificamente junto à Agência Francesa de Desenvolvimento-AFD, que acabou não se concretizando. </w:t>
      </w:r>
    </w:p>
    <w:p w14:paraId="7807A809" w14:textId="33FEA073" w:rsidR="00655C4E" w:rsidRPr="00CA2760" w:rsidRDefault="00655C4E" w:rsidP="00471071">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Em  agosto de 2017, por meio da Resolução </w:t>
      </w:r>
      <w:r w:rsidR="00E2531E">
        <w:rPr>
          <w:rFonts w:ascii="Times New Roman" w:hAnsi="Times New Roman" w:cs="Times New Roman"/>
          <w:sz w:val="24"/>
          <w:szCs w:val="24"/>
          <w:lang w:val="pt-BR"/>
        </w:rPr>
        <w:t>Banco Central</w:t>
      </w:r>
      <w:r w:rsidRPr="00CA2760">
        <w:rPr>
          <w:rFonts w:ascii="Times New Roman" w:hAnsi="Times New Roman" w:cs="Times New Roman"/>
          <w:sz w:val="24"/>
          <w:szCs w:val="24"/>
          <w:lang w:val="pt-BR"/>
        </w:rPr>
        <w:t xml:space="preserve"> 4594,  foi revogado o parágrafo único do art. 2º da Resolução nº 2.828, de 30 de março de 2001, Parágrafo único, que fixava que "a agência de fomento, para captar recursos provenientes de organismos e instituições financeiras internacionais de desenvolvimento, nos termos do inciso III, deve deter, em pelo menos uma agência internacional avaliadora de risco, dentre aquelas de maior projeção, classificação de risco correspondente a grau de investimento ou, ao menos, igual àquela obtida pela União, nessa mesma agência."</w:t>
      </w:r>
    </w:p>
    <w:p w14:paraId="58C653E9" w14:textId="1B725D9E" w:rsidR="00655C4E" w:rsidRPr="00CA2760" w:rsidRDefault="00655C4E" w:rsidP="00471071">
      <w:pPr>
        <w:spacing w:line="360" w:lineRule="auto"/>
        <w:rPr>
          <w:rFonts w:ascii="Times New Roman" w:hAnsi="Times New Roman" w:cs="Times New Roman"/>
          <w:color w:val="000000"/>
          <w:sz w:val="24"/>
          <w:szCs w:val="24"/>
          <w:lang w:val="pt-BR"/>
        </w:rPr>
      </w:pPr>
      <w:r w:rsidRPr="00CA2760">
        <w:rPr>
          <w:rFonts w:ascii="Times New Roman" w:hAnsi="Times New Roman" w:cs="Times New Roman"/>
          <w:sz w:val="24"/>
          <w:szCs w:val="24"/>
          <w:lang w:val="pt-BR"/>
        </w:rPr>
        <w:t xml:space="preserve">Embora tenha sido entendido  naquela ocasião que, independente da exigência do </w:t>
      </w:r>
      <w:r w:rsidR="00E2531E">
        <w:rPr>
          <w:rFonts w:ascii="Times New Roman" w:hAnsi="Times New Roman" w:cs="Times New Roman"/>
          <w:sz w:val="24"/>
          <w:szCs w:val="24"/>
          <w:lang w:val="pt-BR"/>
        </w:rPr>
        <w:t>Banco Central</w:t>
      </w:r>
      <w:r w:rsidRPr="00CA2760">
        <w:rPr>
          <w:rFonts w:ascii="Times New Roman" w:hAnsi="Times New Roman" w:cs="Times New Roman"/>
          <w:sz w:val="24"/>
          <w:szCs w:val="24"/>
          <w:lang w:val="pt-BR"/>
        </w:rPr>
        <w:t xml:space="preserve">, a manutenção do rating continuaria sendo importante perante o mercado, na projeção do plano de capital para 2018 as despesas com as agência classificadoras representavam um valor significativo, ficando decidido pela não renovação dos contratos para este exercício por não haver, neste momento - inclusive com o rating do país ficando distante do </w:t>
      </w:r>
      <w:r w:rsidRPr="00CA2760">
        <w:rPr>
          <w:rFonts w:ascii="Times New Roman" w:hAnsi="Times New Roman" w:cs="Times New Roman"/>
          <w:i/>
          <w:iCs/>
          <w:sz w:val="24"/>
          <w:szCs w:val="24"/>
          <w:lang w:val="pt-BR"/>
        </w:rPr>
        <w:t>investment grade</w:t>
      </w:r>
      <w:r w:rsidRPr="00CA2760">
        <w:rPr>
          <w:rFonts w:ascii="Times New Roman" w:hAnsi="Times New Roman" w:cs="Times New Roman"/>
          <w:sz w:val="24"/>
          <w:szCs w:val="24"/>
          <w:lang w:val="pt-BR"/>
        </w:rPr>
        <w:t xml:space="preserve"> - , previsão de captação externa."</w:t>
      </w:r>
    </w:p>
    <w:p w14:paraId="1E114B69" w14:textId="77777777" w:rsidR="00655C4E" w:rsidRPr="00CA2760" w:rsidRDefault="00655C4E" w:rsidP="00471071">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A carta explicativa do Diretor Administrativo e Financeiro da Agência de Fomento do Paraná está de acordo com os procedimentos descritos nas “Políticas para Retirada de Créditos de Avaliação” das duas Agências, Moody´s e Fitch; onde fica explícito que a própria Entidade Avaliada pode pedir a retirada da Avaliação por razões comerciais inerentes a opinião do </w:t>
      </w:r>
      <w:r w:rsidRPr="00CA2760">
        <w:rPr>
          <w:rFonts w:ascii="Times New Roman" w:hAnsi="Times New Roman" w:cs="Times New Roman"/>
          <w:sz w:val="24"/>
          <w:szCs w:val="24"/>
          <w:lang w:val="pt-BR"/>
        </w:rPr>
        <w:lastRenderedPageBreak/>
        <w:t>Avaliador.  No caso da Fomento Paraná, os dois Avaliadores, Moody´s e Fitch possuem perspectivas de crédito razoavelmente otimistas.</w:t>
      </w:r>
    </w:p>
    <w:p w14:paraId="1886CA0C" w14:textId="77777777" w:rsidR="00655C4E" w:rsidRPr="0090341D" w:rsidRDefault="00655C4E" w:rsidP="00471071">
      <w:pPr>
        <w:spacing w:line="360" w:lineRule="auto"/>
        <w:rPr>
          <w:rFonts w:ascii="Times New Roman" w:hAnsi="Times New Roman" w:cs="Times New Roman"/>
          <w:sz w:val="24"/>
          <w:szCs w:val="24"/>
          <w:lang w:val="pt-BR"/>
        </w:rPr>
      </w:pPr>
      <w:r w:rsidRPr="00CA2760">
        <w:rPr>
          <w:rFonts w:ascii="Times New Roman" w:hAnsi="Times New Roman" w:cs="Times New Roman"/>
          <w:sz w:val="24"/>
          <w:szCs w:val="24"/>
          <w:lang w:val="pt-BR"/>
        </w:rPr>
        <w:t xml:space="preserve">Antes da descontinuação do contrato, a Moody´s definiu que a as obrigações da Agência de Fomento Paraná possuíam </w:t>
      </w:r>
      <w:r w:rsidRPr="0090341D">
        <w:rPr>
          <w:rFonts w:ascii="Times New Roman" w:hAnsi="Times New Roman" w:cs="Times New Roman"/>
          <w:sz w:val="24"/>
          <w:szCs w:val="24"/>
          <w:lang w:val="pt-BR"/>
        </w:rPr>
        <w:t>grau de investimento favorável, com força financeira intrinsicamente superior</w:t>
      </w:r>
      <w:r w:rsidRPr="0090341D">
        <w:rPr>
          <w:rFonts w:ascii="Times New Roman" w:eastAsia="Times New Roman" w:hAnsi="Times New Roman" w:cs="Times New Roman"/>
          <w:sz w:val="24"/>
          <w:szCs w:val="24"/>
          <w:lang w:val="pt-BR"/>
        </w:rPr>
        <w:t xml:space="preserve"> de acordo com a seguinte avaliação</w:t>
      </w:r>
      <w:r w:rsidRPr="0090341D">
        <w:rPr>
          <w:rFonts w:ascii="Times New Roman" w:hAnsi="Times New Roman" w:cs="Times New Roman"/>
          <w:sz w:val="24"/>
          <w:szCs w:val="24"/>
          <w:lang w:val="pt-BR"/>
        </w:rPr>
        <w:t>:</w:t>
      </w:r>
    </w:p>
    <w:p w14:paraId="0601EC1B" w14:textId="77777777" w:rsidR="00655C4E" w:rsidRPr="0090341D" w:rsidRDefault="00655C4E" w:rsidP="00655C4E">
      <w:pPr>
        <w:pStyle w:val="ListParagraph"/>
        <w:numPr>
          <w:ilvl w:val="0"/>
          <w:numId w:val="24"/>
        </w:numPr>
        <w:spacing w:before="100" w:beforeAutospacing="1" w:after="100" w:afterAutospacing="1" w:line="360" w:lineRule="auto"/>
        <w:rPr>
          <w:rFonts w:ascii="Times New Roman" w:eastAsia="Times New Roman" w:hAnsi="Times New Roman" w:cs="Times New Roman"/>
          <w:sz w:val="24"/>
          <w:szCs w:val="24"/>
          <w:lang w:val="pt-BR"/>
        </w:rPr>
      </w:pPr>
      <w:r w:rsidRPr="0090341D">
        <w:rPr>
          <w:rFonts w:ascii="Times New Roman" w:eastAsia="Times New Roman" w:hAnsi="Times New Roman" w:cs="Times New Roman"/>
          <w:sz w:val="24"/>
          <w:szCs w:val="24"/>
          <w:lang w:val="pt-BR"/>
        </w:rPr>
        <w:t xml:space="preserve">‘A1.br’ e ‘BR-1’ para longo e curto prazos em escala nacional Brasileira </w:t>
      </w:r>
    </w:p>
    <w:p w14:paraId="12CB6EB3" w14:textId="77777777" w:rsidR="00655C4E" w:rsidRPr="0090341D" w:rsidRDefault="00655C4E" w:rsidP="00655C4E">
      <w:pPr>
        <w:spacing w:before="100" w:beforeAutospacing="1" w:after="100" w:afterAutospacing="1" w:line="360" w:lineRule="auto"/>
        <w:rPr>
          <w:rFonts w:ascii="Times New Roman" w:eastAsia="Times New Roman" w:hAnsi="Times New Roman" w:cs="Times New Roman"/>
          <w:sz w:val="24"/>
          <w:szCs w:val="24"/>
          <w:lang w:val="pt-BR"/>
        </w:rPr>
      </w:pPr>
      <w:r w:rsidRPr="0090341D">
        <w:rPr>
          <w:rFonts w:ascii="Times New Roman" w:hAnsi="Times New Roman" w:cs="Times New Roman"/>
          <w:sz w:val="24"/>
          <w:szCs w:val="24"/>
          <w:lang w:val="pt-BR"/>
        </w:rPr>
        <w:t>Já o panorama geral de investimento para obrigações de</w:t>
      </w:r>
      <w:r w:rsidRPr="0090341D">
        <w:rPr>
          <w:rFonts w:ascii="Times New Roman" w:eastAsia="Times New Roman" w:hAnsi="Times New Roman" w:cs="Times New Roman"/>
          <w:sz w:val="24"/>
          <w:szCs w:val="24"/>
          <w:lang w:val="pt-BR"/>
        </w:rPr>
        <w:t xml:space="preserve"> longo e curto prazos, não possui grau de investimento favorável e as obrigações estão sujeitas a elementos especulativos e com substancial risco de crédito, sendo estes avaliados como</w:t>
      </w:r>
      <w:r w:rsidRPr="0090341D">
        <w:rPr>
          <w:rFonts w:ascii="Times New Roman" w:hAnsi="Times New Roman" w:cs="Times New Roman"/>
          <w:sz w:val="24"/>
          <w:szCs w:val="24"/>
          <w:lang w:val="pt-BR"/>
        </w:rPr>
        <w:t>:</w:t>
      </w:r>
    </w:p>
    <w:p w14:paraId="216286EC" w14:textId="77777777" w:rsidR="00655C4E" w:rsidRPr="0090341D" w:rsidRDefault="00655C4E" w:rsidP="00655C4E">
      <w:pPr>
        <w:pStyle w:val="ListParagraph"/>
        <w:numPr>
          <w:ilvl w:val="0"/>
          <w:numId w:val="24"/>
        </w:numPr>
        <w:spacing w:before="100" w:beforeAutospacing="1" w:after="100" w:afterAutospacing="1" w:line="360" w:lineRule="auto"/>
        <w:rPr>
          <w:rFonts w:ascii="Times New Roman" w:eastAsia="Times New Roman" w:hAnsi="Times New Roman" w:cs="Times New Roman"/>
          <w:sz w:val="24"/>
          <w:szCs w:val="24"/>
          <w:lang w:val="pt-BR"/>
        </w:rPr>
      </w:pPr>
      <w:r w:rsidRPr="0090341D">
        <w:rPr>
          <w:rFonts w:ascii="Times New Roman" w:eastAsia="Times New Roman" w:hAnsi="Times New Roman" w:cs="Times New Roman"/>
          <w:sz w:val="24"/>
          <w:szCs w:val="24"/>
          <w:lang w:val="pt-BR"/>
        </w:rPr>
        <w:t>‘Ba3’ de panorama estável a longo prazo e “Not Prime” a curto prazo para moeda local em escala global</w:t>
      </w:r>
    </w:p>
    <w:p w14:paraId="5BDEC08F" w14:textId="77777777" w:rsidR="00655C4E" w:rsidRPr="0090341D" w:rsidRDefault="00655C4E" w:rsidP="00655C4E">
      <w:pPr>
        <w:pStyle w:val="ListParagraph"/>
        <w:numPr>
          <w:ilvl w:val="0"/>
          <w:numId w:val="24"/>
        </w:numPr>
        <w:spacing w:before="100" w:beforeAutospacing="1" w:after="100" w:afterAutospacing="1" w:line="360" w:lineRule="auto"/>
        <w:rPr>
          <w:rFonts w:ascii="Times New Roman" w:eastAsia="Times New Roman" w:hAnsi="Times New Roman" w:cs="Times New Roman"/>
          <w:sz w:val="24"/>
          <w:szCs w:val="24"/>
          <w:lang w:val="pt-BR"/>
        </w:rPr>
      </w:pPr>
      <w:r w:rsidRPr="0090341D">
        <w:rPr>
          <w:rFonts w:ascii="Times New Roman" w:eastAsia="Times New Roman" w:hAnsi="Times New Roman" w:cs="Times New Roman"/>
          <w:sz w:val="24"/>
          <w:szCs w:val="24"/>
          <w:lang w:val="pt-BR"/>
        </w:rPr>
        <w:t xml:space="preserve">‘Ba3’ para avaliação ao crédito “Baseline” </w:t>
      </w:r>
    </w:p>
    <w:p w14:paraId="0B8E09F7" w14:textId="77777777" w:rsidR="00655C4E" w:rsidRPr="0090341D" w:rsidRDefault="00655C4E" w:rsidP="00655C4E">
      <w:pPr>
        <w:pStyle w:val="ListParagraph"/>
        <w:numPr>
          <w:ilvl w:val="0"/>
          <w:numId w:val="24"/>
        </w:numPr>
        <w:spacing w:before="100" w:beforeAutospacing="1" w:after="100" w:afterAutospacing="1" w:line="360" w:lineRule="auto"/>
        <w:rPr>
          <w:rFonts w:ascii="Times New Roman" w:eastAsia="Times New Roman" w:hAnsi="Times New Roman" w:cs="Times New Roman"/>
          <w:sz w:val="24"/>
          <w:szCs w:val="24"/>
          <w:lang w:val="pt-BR"/>
        </w:rPr>
      </w:pPr>
      <w:r w:rsidRPr="0090341D">
        <w:rPr>
          <w:rFonts w:ascii="Times New Roman" w:eastAsia="Times New Roman" w:hAnsi="Times New Roman" w:cs="Times New Roman"/>
          <w:sz w:val="24"/>
          <w:szCs w:val="24"/>
          <w:lang w:val="pt-BR"/>
        </w:rPr>
        <w:t xml:space="preserve">‘Ba3’ para avaliação ao crédito “Baseline Ajustado” </w:t>
      </w:r>
    </w:p>
    <w:p w14:paraId="6320FE4D" w14:textId="77777777" w:rsidR="00655C4E" w:rsidRPr="0090341D" w:rsidRDefault="00655C4E" w:rsidP="00655C4E">
      <w:pPr>
        <w:pBdr>
          <w:bottom w:val="single" w:sz="12" w:space="1" w:color="auto"/>
        </w:pBdr>
        <w:spacing w:before="100" w:beforeAutospacing="1" w:after="100" w:afterAutospacing="1" w:line="360" w:lineRule="auto"/>
        <w:rPr>
          <w:rFonts w:ascii="Times New Roman" w:hAnsi="Times New Roman" w:cs="Times New Roman"/>
          <w:sz w:val="24"/>
          <w:szCs w:val="24"/>
          <w:lang w:val="pt-BR"/>
        </w:rPr>
      </w:pPr>
      <w:r w:rsidRPr="0090341D">
        <w:rPr>
          <w:rFonts w:ascii="Times New Roman" w:eastAsia="Times New Roman" w:hAnsi="Times New Roman" w:cs="Times New Roman"/>
          <w:sz w:val="24"/>
          <w:szCs w:val="24"/>
          <w:lang w:val="pt-BR"/>
        </w:rPr>
        <w:t>As perspectivas do avaliador para a Agência de Fomento Paraná são estáveis</w:t>
      </w:r>
    </w:p>
    <w:p w14:paraId="03C8CB4F" w14:textId="77777777" w:rsidR="00655C4E" w:rsidRPr="0090341D" w:rsidRDefault="00655C4E" w:rsidP="00655C4E">
      <w:pPr>
        <w:spacing w:line="360" w:lineRule="auto"/>
        <w:rPr>
          <w:rFonts w:ascii="Times New Roman" w:hAnsi="Times New Roman" w:cs="Times New Roman"/>
          <w:sz w:val="24"/>
          <w:szCs w:val="24"/>
          <w:lang w:val="pt-BR"/>
        </w:rPr>
      </w:pPr>
      <w:r w:rsidRPr="0090341D">
        <w:rPr>
          <w:rFonts w:ascii="Times New Roman" w:hAnsi="Times New Roman" w:cs="Times New Roman"/>
          <w:sz w:val="24"/>
          <w:szCs w:val="24"/>
          <w:lang w:val="pt-BR"/>
        </w:rPr>
        <w:t xml:space="preserve">Antes da descontinuação do contrato, a Fitch definiu que a as obrigações da Agência de Fomento Paraná possuíam grau de investimento favorável, com expectativas de risco de crédito muito baixas e a mais alta capacidade para pagamento de compromissos financeiros, com panorama estável, </w:t>
      </w:r>
      <w:r w:rsidRPr="0090341D">
        <w:rPr>
          <w:rFonts w:ascii="Times New Roman" w:eastAsia="Times New Roman" w:hAnsi="Times New Roman" w:cs="Times New Roman"/>
          <w:sz w:val="24"/>
          <w:szCs w:val="24"/>
          <w:lang w:val="pt-BR"/>
        </w:rPr>
        <w:t>de acordo com a seguinte avaliação</w:t>
      </w:r>
      <w:r w:rsidRPr="0090341D">
        <w:rPr>
          <w:rFonts w:ascii="Times New Roman" w:hAnsi="Times New Roman" w:cs="Times New Roman"/>
          <w:sz w:val="24"/>
          <w:szCs w:val="24"/>
          <w:lang w:val="pt-BR"/>
        </w:rPr>
        <w:t>:</w:t>
      </w:r>
    </w:p>
    <w:p w14:paraId="492C486D" w14:textId="77777777" w:rsidR="00655C4E" w:rsidRPr="0090341D" w:rsidRDefault="00655C4E" w:rsidP="00655C4E">
      <w:pPr>
        <w:pStyle w:val="ListParagraph"/>
        <w:numPr>
          <w:ilvl w:val="0"/>
          <w:numId w:val="25"/>
        </w:numPr>
        <w:pBdr>
          <w:bottom w:val="single" w:sz="12" w:space="1" w:color="auto"/>
        </w:pBdr>
        <w:spacing w:before="100" w:beforeAutospacing="1" w:after="100" w:afterAutospacing="1" w:line="360" w:lineRule="auto"/>
        <w:ind w:left="360"/>
        <w:rPr>
          <w:rFonts w:ascii="Times New Roman" w:hAnsi="Times New Roman" w:cs="Times New Roman"/>
          <w:sz w:val="24"/>
          <w:szCs w:val="24"/>
          <w:lang w:val="pt-BR"/>
        </w:rPr>
      </w:pPr>
      <w:r w:rsidRPr="0090341D">
        <w:rPr>
          <w:rFonts w:ascii="Times New Roman" w:eastAsia="Times New Roman" w:hAnsi="Times New Roman" w:cs="Times New Roman"/>
          <w:sz w:val="24"/>
          <w:szCs w:val="24"/>
          <w:lang w:val="pt-BR"/>
        </w:rPr>
        <w:t>‘AA+(bra) para Avaliação Nacional em Longo-prazo; com perspectivas estáveis</w:t>
      </w:r>
    </w:p>
    <w:p w14:paraId="42E35650" w14:textId="77777777" w:rsidR="00655C4E" w:rsidRPr="0090341D" w:rsidRDefault="00655C4E" w:rsidP="00655C4E">
      <w:pPr>
        <w:pStyle w:val="ListParagraph"/>
        <w:numPr>
          <w:ilvl w:val="0"/>
          <w:numId w:val="25"/>
        </w:numPr>
        <w:pBdr>
          <w:bottom w:val="single" w:sz="12" w:space="1" w:color="auto"/>
        </w:pBdr>
        <w:spacing w:before="100" w:beforeAutospacing="1" w:after="100" w:afterAutospacing="1" w:line="360" w:lineRule="auto"/>
        <w:ind w:left="360"/>
        <w:rPr>
          <w:rFonts w:ascii="Times New Roman" w:eastAsia="Times New Roman" w:hAnsi="Times New Roman" w:cs="Times New Roman"/>
          <w:sz w:val="24"/>
          <w:szCs w:val="24"/>
          <w:lang w:val="pt-BR"/>
        </w:rPr>
      </w:pPr>
      <w:r w:rsidRPr="0090341D">
        <w:rPr>
          <w:rFonts w:ascii="Times New Roman" w:eastAsia="Times New Roman" w:hAnsi="Times New Roman" w:cs="Times New Roman"/>
          <w:sz w:val="24"/>
          <w:szCs w:val="24"/>
          <w:lang w:val="pt-BR"/>
        </w:rPr>
        <w:t xml:space="preserve">'F1+(bra)' para Avaliação Nacional em Curto-prazo </w:t>
      </w:r>
    </w:p>
    <w:p w14:paraId="2673174D" w14:textId="77777777" w:rsidR="00655C4E" w:rsidRPr="0090341D" w:rsidRDefault="00655C4E" w:rsidP="00655C4E">
      <w:pPr>
        <w:pBdr>
          <w:bottom w:val="single" w:sz="12" w:space="1" w:color="auto"/>
        </w:pBdr>
        <w:spacing w:before="100" w:beforeAutospacing="1" w:after="100" w:afterAutospacing="1" w:line="360" w:lineRule="auto"/>
        <w:rPr>
          <w:rFonts w:ascii="Times New Roman" w:hAnsi="Times New Roman" w:cs="Times New Roman"/>
          <w:sz w:val="24"/>
          <w:szCs w:val="24"/>
          <w:lang w:val="pt-BR"/>
        </w:rPr>
      </w:pPr>
      <w:r w:rsidRPr="0090341D">
        <w:rPr>
          <w:rFonts w:ascii="Times New Roman" w:hAnsi="Times New Roman" w:cs="Times New Roman"/>
          <w:sz w:val="24"/>
          <w:szCs w:val="24"/>
          <w:lang w:val="pt-BR"/>
        </w:rPr>
        <w:t xml:space="preserve">Já na </w:t>
      </w:r>
      <w:r w:rsidRPr="0090341D">
        <w:rPr>
          <w:rFonts w:ascii="Times New Roman" w:eastAsia="Times New Roman" w:hAnsi="Times New Roman" w:cs="Times New Roman"/>
          <w:sz w:val="24"/>
          <w:szCs w:val="24"/>
          <w:lang w:val="pt-BR"/>
        </w:rPr>
        <w:t>Avaliação Padrão do Emissor (IDR – Issuer Default Rating); que</w:t>
      </w:r>
      <w:r w:rsidRPr="0090341D">
        <w:rPr>
          <w:rFonts w:ascii="Times New Roman" w:hAnsi="Times New Roman" w:cs="Times New Roman"/>
          <w:sz w:val="24"/>
          <w:szCs w:val="24"/>
          <w:lang w:val="pt-BR"/>
        </w:rPr>
        <w:t xml:space="preserve"> opinam sobre a vulnerabilidade relativa de inadimplência de uma entidade (inclusive sua dívida) sobre obrigações financeiras, a Moody´s definiu um panorama que não possui grau de investimento favorável.  No total, os IDRs fornecem uma classificação ordinal dos emissores com base na visão da agência sobre a vulnerabilidade relativa ao padrão, em vez de uma previsão de uma </w:t>
      </w:r>
      <w:r w:rsidRPr="0090341D">
        <w:rPr>
          <w:rFonts w:ascii="Times New Roman" w:hAnsi="Times New Roman" w:cs="Times New Roman"/>
          <w:sz w:val="24"/>
          <w:szCs w:val="24"/>
          <w:lang w:val="pt-BR"/>
        </w:rPr>
        <w:lastRenderedPageBreak/>
        <w:t>porcentagem específica de probabilidade.  A Fitch definiu os IDRs de acordo com a seguinte avaliação:</w:t>
      </w:r>
    </w:p>
    <w:p w14:paraId="2851AF74" w14:textId="77777777" w:rsidR="00655C4E" w:rsidRPr="0090341D" w:rsidRDefault="00655C4E" w:rsidP="00655C4E">
      <w:pPr>
        <w:pStyle w:val="ListParagraph"/>
        <w:numPr>
          <w:ilvl w:val="0"/>
          <w:numId w:val="25"/>
        </w:numPr>
        <w:pBdr>
          <w:bottom w:val="single" w:sz="12" w:space="1" w:color="auto"/>
        </w:pBdr>
        <w:spacing w:before="100" w:beforeAutospacing="1" w:after="100" w:afterAutospacing="1" w:line="360" w:lineRule="auto"/>
        <w:ind w:left="360"/>
        <w:rPr>
          <w:rFonts w:ascii="Times New Roman" w:eastAsia="Times New Roman" w:hAnsi="Times New Roman" w:cs="Times New Roman"/>
          <w:sz w:val="24"/>
          <w:szCs w:val="24"/>
          <w:lang w:val="pt-BR"/>
        </w:rPr>
      </w:pPr>
      <w:r w:rsidRPr="0090341D">
        <w:rPr>
          <w:rFonts w:ascii="Times New Roman" w:eastAsia="Times New Roman" w:hAnsi="Times New Roman" w:cs="Times New Roman"/>
          <w:sz w:val="24"/>
          <w:szCs w:val="24"/>
          <w:lang w:val="pt-BR"/>
        </w:rPr>
        <w:t>‘BB’ na Avaliação Padrão do Emissor (IDR – Issuer Default Rating); com perspectivas negativas</w:t>
      </w:r>
    </w:p>
    <w:p w14:paraId="60C4BDBF" w14:textId="77777777" w:rsidR="00655C4E" w:rsidRPr="0090341D" w:rsidRDefault="00655C4E" w:rsidP="00655C4E">
      <w:pPr>
        <w:pStyle w:val="ListParagraph"/>
        <w:numPr>
          <w:ilvl w:val="0"/>
          <w:numId w:val="25"/>
        </w:numPr>
        <w:pBdr>
          <w:bottom w:val="single" w:sz="12" w:space="1" w:color="auto"/>
        </w:pBdr>
        <w:spacing w:before="100" w:beforeAutospacing="1" w:after="100" w:afterAutospacing="1" w:line="360" w:lineRule="auto"/>
        <w:ind w:left="360"/>
        <w:rPr>
          <w:rFonts w:ascii="Times New Roman" w:eastAsia="Times New Roman" w:hAnsi="Times New Roman" w:cs="Times New Roman"/>
          <w:sz w:val="24"/>
          <w:szCs w:val="24"/>
          <w:lang w:val="pt-BR"/>
        </w:rPr>
      </w:pPr>
      <w:r w:rsidRPr="0090341D">
        <w:rPr>
          <w:rFonts w:ascii="Times New Roman" w:eastAsia="Times New Roman" w:hAnsi="Times New Roman" w:cs="Times New Roman"/>
          <w:sz w:val="24"/>
          <w:szCs w:val="24"/>
          <w:lang w:val="pt-BR"/>
        </w:rPr>
        <w:t xml:space="preserve">‘B’ na Avaliação Padrão do Emissor (IDR – Issuer Default Rating); em Curto-prazo para Moeda Estrangeira e Local </w:t>
      </w:r>
    </w:p>
    <w:p w14:paraId="76B02299" w14:textId="77777777" w:rsidR="00655C4E" w:rsidRPr="0090341D" w:rsidRDefault="00655C4E" w:rsidP="00655C4E">
      <w:pPr>
        <w:pStyle w:val="ListParagraph"/>
        <w:numPr>
          <w:ilvl w:val="0"/>
          <w:numId w:val="25"/>
        </w:numPr>
        <w:pBdr>
          <w:bottom w:val="single" w:sz="12" w:space="1" w:color="auto"/>
        </w:pBdr>
        <w:spacing w:before="100" w:beforeAutospacing="1" w:after="100" w:afterAutospacing="1" w:line="360" w:lineRule="auto"/>
        <w:ind w:left="360"/>
        <w:rPr>
          <w:rFonts w:ascii="Times New Roman" w:eastAsia="Times New Roman" w:hAnsi="Times New Roman" w:cs="Times New Roman"/>
          <w:sz w:val="24"/>
          <w:szCs w:val="24"/>
          <w:lang w:val="pt-BR"/>
        </w:rPr>
      </w:pPr>
      <w:r w:rsidRPr="0090341D">
        <w:rPr>
          <w:rFonts w:ascii="Times New Roman" w:eastAsia="Times New Roman" w:hAnsi="Times New Roman" w:cs="Times New Roman"/>
          <w:sz w:val="24"/>
          <w:szCs w:val="24"/>
          <w:lang w:val="pt-BR"/>
        </w:rPr>
        <w:t xml:space="preserve">‘3’ para Avaliação de Apoio, com moderada probabilidade de suporte em caso de incertezas </w:t>
      </w:r>
    </w:p>
    <w:p w14:paraId="5E2C3C18" w14:textId="4670A0AF" w:rsidR="00655C4E" w:rsidRDefault="00655C4E" w:rsidP="00655C4E">
      <w:pPr>
        <w:rPr>
          <w:rStyle w:val="Hyperlink"/>
          <w:rFonts w:ascii="Times New Roman" w:hAnsi="Times New Roman" w:cs="Times New Roman"/>
          <w:sz w:val="24"/>
          <w:szCs w:val="24"/>
          <w:lang w:val="pt-BR"/>
        </w:rPr>
      </w:pPr>
      <w:r w:rsidRPr="00CA2760">
        <w:rPr>
          <w:rStyle w:val="Hyperlink"/>
          <w:rFonts w:ascii="Times New Roman" w:hAnsi="Times New Roman" w:cs="Times New Roman"/>
          <w:sz w:val="24"/>
          <w:szCs w:val="24"/>
          <w:lang w:val="pt-BR"/>
        </w:rPr>
        <w:br w:type="page"/>
      </w:r>
    </w:p>
    <w:p w14:paraId="69D145C5" w14:textId="04BF76A3" w:rsidR="007E4ADC" w:rsidRPr="00204DAB" w:rsidRDefault="007E4ADC" w:rsidP="00B964BA">
      <w:pPr>
        <w:ind w:left="284" w:hanging="142"/>
        <w:jc w:val="center"/>
        <w:rPr>
          <w:rStyle w:val="Hyperlink"/>
          <w:rFonts w:ascii="Times New Roman" w:hAnsi="Times New Roman" w:cs="Times New Roman"/>
          <w:b/>
          <w:color w:val="auto"/>
          <w:sz w:val="24"/>
          <w:szCs w:val="24"/>
          <w:u w:val="none"/>
          <w:lang w:val="pt-BR"/>
        </w:rPr>
      </w:pPr>
      <w:r w:rsidRPr="00204DAB">
        <w:rPr>
          <w:rStyle w:val="Hyperlink"/>
          <w:rFonts w:ascii="Times New Roman" w:hAnsi="Times New Roman" w:cs="Times New Roman"/>
          <w:b/>
          <w:color w:val="auto"/>
          <w:sz w:val="24"/>
          <w:szCs w:val="24"/>
          <w:u w:val="none"/>
          <w:lang w:val="pt-BR"/>
        </w:rPr>
        <w:lastRenderedPageBreak/>
        <w:t>Anexo E</w:t>
      </w:r>
    </w:p>
    <w:tbl>
      <w:tblPr>
        <w:tblW w:w="11907" w:type="dxa"/>
        <w:tblLook w:val="04A0" w:firstRow="1" w:lastRow="0" w:firstColumn="1" w:lastColumn="0" w:noHBand="0" w:noVBand="1"/>
      </w:tblPr>
      <w:tblGrid>
        <w:gridCol w:w="1516"/>
        <w:gridCol w:w="288"/>
        <w:gridCol w:w="1228"/>
        <w:gridCol w:w="288"/>
        <w:gridCol w:w="1268"/>
        <w:gridCol w:w="288"/>
        <w:gridCol w:w="1692"/>
        <w:gridCol w:w="288"/>
        <w:gridCol w:w="1207"/>
        <w:gridCol w:w="288"/>
        <w:gridCol w:w="3480"/>
        <w:gridCol w:w="76"/>
      </w:tblGrid>
      <w:tr w:rsidR="00204DAB" w:rsidRPr="00204DAB" w14:paraId="7F8E213E" w14:textId="77777777" w:rsidTr="00204DAB">
        <w:trPr>
          <w:trHeight w:val="252"/>
        </w:trPr>
        <w:tc>
          <w:tcPr>
            <w:tcW w:w="1516" w:type="dxa"/>
            <w:tcBorders>
              <w:top w:val="nil"/>
              <w:left w:val="nil"/>
              <w:bottom w:val="nil"/>
              <w:right w:val="nil"/>
            </w:tcBorders>
            <w:shd w:val="clear" w:color="auto" w:fill="auto"/>
            <w:noWrap/>
            <w:vAlign w:val="bottom"/>
            <w:hideMark/>
          </w:tcPr>
          <w:p w14:paraId="0093E399"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448F1DFA"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417DDEE8"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14DD3C7B"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0665F821" w14:textId="77777777" w:rsidR="00204DAB" w:rsidRPr="00FE20B5" w:rsidRDefault="00204DAB" w:rsidP="00204DAB">
            <w:pPr>
              <w:spacing w:after="0" w:line="240" w:lineRule="auto"/>
              <w:rPr>
                <w:rFonts w:ascii="Arial" w:eastAsia="Times New Roman" w:hAnsi="Arial" w:cs="Arial"/>
                <w:sz w:val="20"/>
                <w:szCs w:val="20"/>
                <w:lang w:val="pt-BR"/>
              </w:rPr>
            </w:pPr>
          </w:p>
        </w:tc>
        <w:tc>
          <w:tcPr>
            <w:tcW w:w="3844" w:type="dxa"/>
            <w:gridSpan w:val="3"/>
            <w:tcBorders>
              <w:top w:val="nil"/>
              <w:left w:val="nil"/>
              <w:bottom w:val="nil"/>
              <w:right w:val="nil"/>
            </w:tcBorders>
            <w:shd w:val="clear" w:color="auto" w:fill="auto"/>
            <w:noWrap/>
            <w:vAlign w:val="bottom"/>
            <w:hideMark/>
          </w:tcPr>
          <w:p w14:paraId="10ECBB5F"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08E486D4" w14:textId="77777777" w:rsidTr="00204DAB">
        <w:trPr>
          <w:trHeight w:val="252"/>
        </w:trPr>
        <w:tc>
          <w:tcPr>
            <w:tcW w:w="4588" w:type="dxa"/>
            <w:gridSpan w:val="5"/>
            <w:tcBorders>
              <w:top w:val="nil"/>
              <w:left w:val="nil"/>
              <w:bottom w:val="nil"/>
              <w:right w:val="nil"/>
            </w:tcBorders>
            <w:shd w:val="clear" w:color="auto" w:fill="auto"/>
            <w:noWrap/>
            <w:vAlign w:val="bottom"/>
            <w:hideMark/>
          </w:tcPr>
          <w:p w14:paraId="0A9E4F86"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Preferências de execução:</w:t>
            </w:r>
          </w:p>
        </w:tc>
        <w:tc>
          <w:tcPr>
            <w:tcW w:w="1980" w:type="dxa"/>
            <w:gridSpan w:val="2"/>
            <w:tcBorders>
              <w:top w:val="nil"/>
              <w:left w:val="nil"/>
              <w:bottom w:val="nil"/>
              <w:right w:val="nil"/>
            </w:tcBorders>
            <w:shd w:val="clear" w:color="auto" w:fill="auto"/>
            <w:noWrap/>
            <w:vAlign w:val="bottom"/>
            <w:hideMark/>
          </w:tcPr>
          <w:p w14:paraId="765D6EDD"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79731469" w14:textId="77777777" w:rsidR="00204DAB" w:rsidRPr="00FE20B5" w:rsidRDefault="00204DAB" w:rsidP="00204DAB">
            <w:pPr>
              <w:spacing w:after="0" w:line="240" w:lineRule="auto"/>
              <w:rPr>
                <w:rFonts w:ascii="Arial" w:eastAsia="Times New Roman" w:hAnsi="Arial" w:cs="Arial"/>
                <w:sz w:val="20"/>
                <w:szCs w:val="20"/>
                <w:lang w:val="pt-BR"/>
              </w:rPr>
            </w:pPr>
          </w:p>
        </w:tc>
        <w:tc>
          <w:tcPr>
            <w:tcW w:w="3844" w:type="dxa"/>
            <w:gridSpan w:val="3"/>
            <w:tcBorders>
              <w:top w:val="nil"/>
              <w:left w:val="nil"/>
              <w:bottom w:val="nil"/>
              <w:right w:val="nil"/>
            </w:tcBorders>
            <w:shd w:val="clear" w:color="auto" w:fill="auto"/>
            <w:noWrap/>
            <w:vAlign w:val="bottom"/>
            <w:hideMark/>
          </w:tcPr>
          <w:p w14:paraId="4EE2F15C"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0E00885E" w14:textId="77777777" w:rsidTr="00204DAB">
        <w:trPr>
          <w:trHeight w:val="252"/>
        </w:trPr>
        <w:tc>
          <w:tcPr>
            <w:tcW w:w="1516" w:type="dxa"/>
            <w:tcBorders>
              <w:top w:val="nil"/>
              <w:left w:val="nil"/>
              <w:bottom w:val="nil"/>
              <w:right w:val="nil"/>
            </w:tcBorders>
            <w:shd w:val="clear" w:color="auto" w:fill="auto"/>
            <w:noWrap/>
            <w:vAlign w:val="bottom"/>
            <w:hideMark/>
          </w:tcPr>
          <w:p w14:paraId="42153481"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428C0943"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Número de avaliações executadas</w:t>
            </w:r>
          </w:p>
        </w:tc>
        <w:tc>
          <w:tcPr>
            <w:tcW w:w="1980" w:type="dxa"/>
            <w:gridSpan w:val="2"/>
            <w:tcBorders>
              <w:top w:val="nil"/>
              <w:left w:val="nil"/>
              <w:bottom w:val="nil"/>
              <w:right w:val="nil"/>
            </w:tcBorders>
            <w:shd w:val="clear" w:color="auto" w:fill="auto"/>
            <w:noWrap/>
            <w:vAlign w:val="bottom"/>
            <w:hideMark/>
          </w:tcPr>
          <w:p w14:paraId="114C255C"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100.000</w:t>
            </w:r>
          </w:p>
        </w:tc>
        <w:tc>
          <w:tcPr>
            <w:tcW w:w="1495" w:type="dxa"/>
            <w:gridSpan w:val="2"/>
            <w:tcBorders>
              <w:top w:val="nil"/>
              <w:left w:val="nil"/>
              <w:bottom w:val="nil"/>
              <w:right w:val="nil"/>
            </w:tcBorders>
            <w:shd w:val="clear" w:color="auto" w:fill="auto"/>
            <w:noWrap/>
            <w:vAlign w:val="bottom"/>
            <w:hideMark/>
          </w:tcPr>
          <w:p w14:paraId="314201FB"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844" w:type="dxa"/>
            <w:gridSpan w:val="3"/>
            <w:tcBorders>
              <w:top w:val="nil"/>
              <w:left w:val="nil"/>
              <w:bottom w:val="nil"/>
              <w:right w:val="nil"/>
            </w:tcBorders>
            <w:shd w:val="clear" w:color="auto" w:fill="auto"/>
            <w:noWrap/>
            <w:vAlign w:val="bottom"/>
            <w:hideMark/>
          </w:tcPr>
          <w:p w14:paraId="4C52BF91"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1AAC0BCB" w14:textId="77777777" w:rsidTr="00204DAB">
        <w:trPr>
          <w:trHeight w:val="252"/>
        </w:trPr>
        <w:tc>
          <w:tcPr>
            <w:tcW w:w="1516" w:type="dxa"/>
            <w:tcBorders>
              <w:top w:val="nil"/>
              <w:left w:val="nil"/>
              <w:bottom w:val="nil"/>
              <w:right w:val="nil"/>
            </w:tcBorders>
            <w:shd w:val="clear" w:color="auto" w:fill="auto"/>
            <w:noWrap/>
            <w:vAlign w:val="bottom"/>
            <w:hideMark/>
          </w:tcPr>
          <w:p w14:paraId="457C25DC"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46C54D1A"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Monte Carlo</w:t>
            </w:r>
          </w:p>
        </w:tc>
        <w:tc>
          <w:tcPr>
            <w:tcW w:w="1556" w:type="dxa"/>
            <w:gridSpan w:val="2"/>
            <w:tcBorders>
              <w:top w:val="nil"/>
              <w:left w:val="nil"/>
              <w:bottom w:val="nil"/>
              <w:right w:val="nil"/>
            </w:tcBorders>
            <w:shd w:val="clear" w:color="auto" w:fill="auto"/>
            <w:noWrap/>
            <w:vAlign w:val="bottom"/>
            <w:hideMark/>
          </w:tcPr>
          <w:p w14:paraId="1A2BB2AB"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197203E5"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460C1D64" w14:textId="77777777" w:rsidR="00204DAB" w:rsidRPr="00FE20B5" w:rsidRDefault="00204DAB" w:rsidP="00204DAB">
            <w:pPr>
              <w:spacing w:after="0" w:line="240" w:lineRule="auto"/>
              <w:rPr>
                <w:rFonts w:ascii="Arial" w:eastAsia="Times New Roman" w:hAnsi="Arial" w:cs="Arial"/>
                <w:sz w:val="20"/>
                <w:szCs w:val="20"/>
                <w:lang w:val="pt-BR"/>
              </w:rPr>
            </w:pPr>
          </w:p>
        </w:tc>
        <w:tc>
          <w:tcPr>
            <w:tcW w:w="3844" w:type="dxa"/>
            <w:gridSpan w:val="3"/>
            <w:tcBorders>
              <w:top w:val="nil"/>
              <w:left w:val="nil"/>
              <w:bottom w:val="nil"/>
              <w:right w:val="nil"/>
            </w:tcBorders>
            <w:shd w:val="clear" w:color="auto" w:fill="auto"/>
            <w:noWrap/>
            <w:vAlign w:val="bottom"/>
            <w:hideMark/>
          </w:tcPr>
          <w:p w14:paraId="59D05DD1"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578C9771" w14:textId="77777777" w:rsidTr="00204DAB">
        <w:trPr>
          <w:trHeight w:val="252"/>
        </w:trPr>
        <w:tc>
          <w:tcPr>
            <w:tcW w:w="1516" w:type="dxa"/>
            <w:tcBorders>
              <w:top w:val="nil"/>
              <w:left w:val="nil"/>
              <w:bottom w:val="nil"/>
              <w:right w:val="nil"/>
            </w:tcBorders>
            <w:shd w:val="clear" w:color="auto" w:fill="auto"/>
            <w:noWrap/>
            <w:vAlign w:val="bottom"/>
            <w:hideMark/>
          </w:tcPr>
          <w:p w14:paraId="72D6ECE7"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3A4B4BA9"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Controle de precisão em</w:t>
            </w:r>
          </w:p>
        </w:tc>
        <w:tc>
          <w:tcPr>
            <w:tcW w:w="1980" w:type="dxa"/>
            <w:gridSpan w:val="2"/>
            <w:tcBorders>
              <w:top w:val="nil"/>
              <w:left w:val="nil"/>
              <w:bottom w:val="nil"/>
              <w:right w:val="nil"/>
            </w:tcBorders>
            <w:shd w:val="clear" w:color="auto" w:fill="auto"/>
            <w:noWrap/>
            <w:vAlign w:val="bottom"/>
            <w:hideMark/>
          </w:tcPr>
          <w:p w14:paraId="75A2620A"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71981D0E" w14:textId="77777777" w:rsidR="00204DAB" w:rsidRPr="00FE20B5" w:rsidRDefault="00204DAB" w:rsidP="00204DAB">
            <w:pPr>
              <w:spacing w:after="0" w:line="240" w:lineRule="auto"/>
              <w:rPr>
                <w:rFonts w:ascii="Arial" w:eastAsia="Times New Roman" w:hAnsi="Arial" w:cs="Arial"/>
                <w:sz w:val="20"/>
                <w:szCs w:val="20"/>
                <w:lang w:val="pt-BR"/>
              </w:rPr>
            </w:pPr>
          </w:p>
        </w:tc>
        <w:tc>
          <w:tcPr>
            <w:tcW w:w="3844" w:type="dxa"/>
            <w:gridSpan w:val="3"/>
            <w:tcBorders>
              <w:top w:val="nil"/>
              <w:left w:val="nil"/>
              <w:bottom w:val="nil"/>
              <w:right w:val="nil"/>
            </w:tcBorders>
            <w:shd w:val="clear" w:color="auto" w:fill="auto"/>
            <w:noWrap/>
            <w:vAlign w:val="bottom"/>
            <w:hideMark/>
          </w:tcPr>
          <w:p w14:paraId="739F9300"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32677ECE" w14:textId="77777777" w:rsidTr="00204DAB">
        <w:trPr>
          <w:trHeight w:val="252"/>
        </w:trPr>
        <w:tc>
          <w:tcPr>
            <w:tcW w:w="1516" w:type="dxa"/>
            <w:tcBorders>
              <w:top w:val="nil"/>
              <w:left w:val="nil"/>
              <w:bottom w:val="nil"/>
              <w:right w:val="nil"/>
            </w:tcBorders>
            <w:shd w:val="clear" w:color="auto" w:fill="auto"/>
            <w:noWrap/>
            <w:vAlign w:val="bottom"/>
            <w:hideMark/>
          </w:tcPr>
          <w:p w14:paraId="479AADEE"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140F622C"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 xml:space="preserve">   Nível de confiança</w:t>
            </w:r>
          </w:p>
        </w:tc>
        <w:tc>
          <w:tcPr>
            <w:tcW w:w="1980" w:type="dxa"/>
            <w:gridSpan w:val="2"/>
            <w:tcBorders>
              <w:top w:val="nil"/>
              <w:left w:val="nil"/>
              <w:bottom w:val="nil"/>
              <w:right w:val="nil"/>
            </w:tcBorders>
            <w:shd w:val="clear" w:color="auto" w:fill="auto"/>
            <w:noWrap/>
            <w:vAlign w:val="bottom"/>
            <w:hideMark/>
          </w:tcPr>
          <w:p w14:paraId="2D35FC3D"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95,00%</w:t>
            </w:r>
          </w:p>
        </w:tc>
        <w:tc>
          <w:tcPr>
            <w:tcW w:w="1495" w:type="dxa"/>
            <w:gridSpan w:val="2"/>
            <w:tcBorders>
              <w:top w:val="nil"/>
              <w:left w:val="nil"/>
              <w:bottom w:val="nil"/>
              <w:right w:val="nil"/>
            </w:tcBorders>
            <w:shd w:val="clear" w:color="auto" w:fill="auto"/>
            <w:noWrap/>
            <w:vAlign w:val="bottom"/>
            <w:hideMark/>
          </w:tcPr>
          <w:p w14:paraId="0B1A8A3A"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844" w:type="dxa"/>
            <w:gridSpan w:val="3"/>
            <w:tcBorders>
              <w:top w:val="nil"/>
              <w:left w:val="nil"/>
              <w:bottom w:val="nil"/>
              <w:right w:val="nil"/>
            </w:tcBorders>
            <w:shd w:val="clear" w:color="auto" w:fill="auto"/>
            <w:noWrap/>
            <w:vAlign w:val="bottom"/>
            <w:hideMark/>
          </w:tcPr>
          <w:p w14:paraId="14359349"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26543B61" w14:textId="77777777" w:rsidTr="00204DAB">
        <w:trPr>
          <w:trHeight w:val="252"/>
        </w:trPr>
        <w:tc>
          <w:tcPr>
            <w:tcW w:w="1516" w:type="dxa"/>
            <w:tcBorders>
              <w:top w:val="nil"/>
              <w:left w:val="nil"/>
              <w:bottom w:val="nil"/>
              <w:right w:val="nil"/>
            </w:tcBorders>
            <w:shd w:val="clear" w:color="auto" w:fill="auto"/>
            <w:noWrap/>
            <w:vAlign w:val="bottom"/>
            <w:hideMark/>
          </w:tcPr>
          <w:p w14:paraId="47787FB9"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74C8C2B5"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54E2862D"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11423FE5"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3599FBF9" w14:textId="77777777" w:rsidR="00204DAB" w:rsidRPr="00FE20B5" w:rsidRDefault="00204DAB" w:rsidP="00204DAB">
            <w:pPr>
              <w:spacing w:after="0" w:line="240" w:lineRule="auto"/>
              <w:rPr>
                <w:rFonts w:ascii="Arial" w:eastAsia="Times New Roman" w:hAnsi="Arial" w:cs="Arial"/>
                <w:sz w:val="20"/>
                <w:szCs w:val="20"/>
                <w:lang w:val="pt-BR"/>
              </w:rPr>
            </w:pPr>
          </w:p>
        </w:tc>
        <w:tc>
          <w:tcPr>
            <w:tcW w:w="3844" w:type="dxa"/>
            <w:gridSpan w:val="3"/>
            <w:tcBorders>
              <w:top w:val="nil"/>
              <w:left w:val="nil"/>
              <w:bottom w:val="nil"/>
              <w:right w:val="nil"/>
            </w:tcBorders>
            <w:shd w:val="clear" w:color="auto" w:fill="auto"/>
            <w:noWrap/>
            <w:vAlign w:val="bottom"/>
            <w:hideMark/>
          </w:tcPr>
          <w:p w14:paraId="6F6459BE"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4B393BDC" w14:textId="77777777" w:rsidTr="00204DAB">
        <w:trPr>
          <w:trHeight w:val="252"/>
        </w:trPr>
        <w:tc>
          <w:tcPr>
            <w:tcW w:w="4588" w:type="dxa"/>
            <w:gridSpan w:val="5"/>
            <w:tcBorders>
              <w:top w:val="nil"/>
              <w:left w:val="nil"/>
              <w:bottom w:val="nil"/>
              <w:right w:val="nil"/>
            </w:tcBorders>
            <w:shd w:val="clear" w:color="auto" w:fill="auto"/>
            <w:noWrap/>
            <w:vAlign w:val="bottom"/>
            <w:hideMark/>
          </w:tcPr>
          <w:p w14:paraId="0876B5D5"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Executar estatísticas:</w:t>
            </w:r>
          </w:p>
        </w:tc>
        <w:tc>
          <w:tcPr>
            <w:tcW w:w="1980" w:type="dxa"/>
            <w:gridSpan w:val="2"/>
            <w:tcBorders>
              <w:top w:val="nil"/>
              <w:left w:val="nil"/>
              <w:bottom w:val="nil"/>
              <w:right w:val="nil"/>
            </w:tcBorders>
            <w:shd w:val="clear" w:color="auto" w:fill="auto"/>
            <w:noWrap/>
            <w:vAlign w:val="bottom"/>
            <w:hideMark/>
          </w:tcPr>
          <w:p w14:paraId="4D2A6BB1"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6F7251CB" w14:textId="77777777" w:rsidR="00204DAB" w:rsidRPr="00FE20B5" w:rsidRDefault="00204DAB" w:rsidP="00204DAB">
            <w:pPr>
              <w:spacing w:after="0" w:line="240" w:lineRule="auto"/>
              <w:rPr>
                <w:rFonts w:ascii="Arial" w:eastAsia="Times New Roman" w:hAnsi="Arial" w:cs="Arial"/>
                <w:sz w:val="20"/>
                <w:szCs w:val="20"/>
                <w:lang w:val="pt-BR"/>
              </w:rPr>
            </w:pPr>
          </w:p>
        </w:tc>
        <w:tc>
          <w:tcPr>
            <w:tcW w:w="3844" w:type="dxa"/>
            <w:gridSpan w:val="3"/>
            <w:tcBorders>
              <w:top w:val="nil"/>
              <w:left w:val="nil"/>
              <w:bottom w:val="nil"/>
              <w:right w:val="nil"/>
            </w:tcBorders>
            <w:shd w:val="clear" w:color="auto" w:fill="auto"/>
            <w:noWrap/>
            <w:vAlign w:val="bottom"/>
            <w:hideMark/>
          </w:tcPr>
          <w:p w14:paraId="0FB8D98D"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71392DFF" w14:textId="77777777" w:rsidTr="00204DAB">
        <w:trPr>
          <w:trHeight w:val="252"/>
        </w:trPr>
        <w:tc>
          <w:tcPr>
            <w:tcW w:w="1516" w:type="dxa"/>
            <w:tcBorders>
              <w:top w:val="nil"/>
              <w:left w:val="nil"/>
              <w:bottom w:val="nil"/>
              <w:right w:val="nil"/>
            </w:tcBorders>
            <w:shd w:val="clear" w:color="auto" w:fill="auto"/>
            <w:noWrap/>
            <w:vAlign w:val="bottom"/>
            <w:hideMark/>
          </w:tcPr>
          <w:p w14:paraId="6DBA3D3D"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1CCC3098"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Tempo total de execução (seg)</w:t>
            </w:r>
          </w:p>
        </w:tc>
        <w:tc>
          <w:tcPr>
            <w:tcW w:w="1980" w:type="dxa"/>
            <w:gridSpan w:val="2"/>
            <w:tcBorders>
              <w:top w:val="nil"/>
              <w:left w:val="nil"/>
              <w:bottom w:val="nil"/>
              <w:right w:val="nil"/>
            </w:tcBorders>
            <w:shd w:val="clear" w:color="auto" w:fill="auto"/>
            <w:noWrap/>
            <w:vAlign w:val="bottom"/>
            <w:hideMark/>
          </w:tcPr>
          <w:p w14:paraId="6070EC31"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126,30</w:t>
            </w:r>
          </w:p>
        </w:tc>
        <w:tc>
          <w:tcPr>
            <w:tcW w:w="1495" w:type="dxa"/>
            <w:gridSpan w:val="2"/>
            <w:tcBorders>
              <w:top w:val="nil"/>
              <w:left w:val="nil"/>
              <w:bottom w:val="nil"/>
              <w:right w:val="nil"/>
            </w:tcBorders>
            <w:shd w:val="clear" w:color="auto" w:fill="auto"/>
            <w:noWrap/>
            <w:vAlign w:val="bottom"/>
            <w:hideMark/>
          </w:tcPr>
          <w:p w14:paraId="6721FDBF"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844" w:type="dxa"/>
            <w:gridSpan w:val="3"/>
            <w:tcBorders>
              <w:top w:val="nil"/>
              <w:left w:val="nil"/>
              <w:bottom w:val="nil"/>
              <w:right w:val="nil"/>
            </w:tcBorders>
            <w:shd w:val="clear" w:color="auto" w:fill="auto"/>
            <w:noWrap/>
            <w:vAlign w:val="bottom"/>
            <w:hideMark/>
          </w:tcPr>
          <w:p w14:paraId="1E108273"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7F508077" w14:textId="77777777" w:rsidTr="00204DAB">
        <w:trPr>
          <w:trHeight w:val="252"/>
        </w:trPr>
        <w:tc>
          <w:tcPr>
            <w:tcW w:w="1516" w:type="dxa"/>
            <w:tcBorders>
              <w:top w:val="nil"/>
              <w:left w:val="nil"/>
              <w:bottom w:val="nil"/>
              <w:right w:val="nil"/>
            </w:tcBorders>
            <w:shd w:val="clear" w:color="auto" w:fill="auto"/>
            <w:noWrap/>
            <w:vAlign w:val="bottom"/>
            <w:hideMark/>
          </w:tcPr>
          <w:p w14:paraId="39A67697"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42204883"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Avaliações/segundo (média)</w:t>
            </w:r>
          </w:p>
        </w:tc>
        <w:tc>
          <w:tcPr>
            <w:tcW w:w="1980" w:type="dxa"/>
            <w:gridSpan w:val="2"/>
            <w:tcBorders>
              <w:top w:val="nil"/>
              <w:left w:val="nil"/>
              <w:bottom w:val="nil"/>
              <w:right w:val="nil"/>
            </w:tcBorders>
            <w:shd w:val="clear" w:color="auto" w:fill="auto"/>
            <w:noWrap/>
            <w:vAlign w:val="bottom"/>
            <w:hideMark/>
          </w:tcPr>
          <w:p w14:paraId="6B8A9245"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792</w:t>
            </w:r>
          </w:p>
        </w:tc>
        <w:tc>
          <w:tcPr>
            <w:tcW w:w="1495" w:type="dxa"/>
            <w:gridSpan w:val="2"/>
            <w:tcBorders>
              <w:top w:val="nil"/>
              <w:left w:val="nil"/>
              <w:bottom w:val="nil"/>
              <w:right w:val="nil"/>
            </w:tcBorders>
            <w:shd w:val="clear" w:color="auto" w:fill="auto"/>
            <w:noWrap/>
            <w:vAlign w:val="bottom"/>
            <w:hideMark/>
          </w:tcPr>
          <w:p w14:paraId="3E1A4240"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844" w:type="dxa"/>
            <w:gridSpan w:val="3"/>
            <w:tcBorders>
              <w:top w:val="nil"/>
              <w:left w:val="nil"/>
              <w:bottom w:val="nil"/>
              <w:right w:val="nil"/>
            </w:tcBorders>
            <w:shd w:val="clear" w:color="auto" w:fill="auto"/>
            <w:noWrap/>
            <w:vAlign w:val="bottom"/>
            <w:hideMark/>
          </w:tcPr>
          <w:p w14:paraId="106C5B5B"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11B91E35" w14:textId="77777777" w:rsidTr="00204DAB">
        <w:trPr>
          <w:trHeight w:val="252"/>
        </w:trPr>
        <w:tc>
          <w:tcPr>
            <w:tcW w:w="1516" w:type="dxa"/>
            <w:tcBorders>
              <w:top w:val="nil"/>
              <w:left w:val="nil"/>
              <w:bottom w:val="nil"/>
              <w:right w:val="nil"/>
            </w:tcBorders>
            <w:shd w:val="clear" w:color="auto" w:fill="auto"/>
            <w:noWrap/>
            <w:vAlign w:val="bottom"/>
            <w:hideMark/>
          </w:tcPr>
          <w:p w14:paraId="4E5D51FC"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6D1F1B04"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Números aleatórios por seg</w:t>
            </w:r>
          </w:p>
        </w:tc>
        <w:tc>
          <w:tcPr>
            <w:tcW w:w="1980" w:type="dxa"/>
            <w:gridSpan w:val="2"/>
            <w:tcBorders>
              <w:top w:val="nil"/>
              <w:left w:val="nil"/>
              <w:bottom w:val="nil"/>
              <w:right w:val="nil"/>
            </w:tcBorders>
            <w:shd w:val="clear" w:color="auto" w:fill="auto"/>
            <w:noWrap/>
            <w:vAlign w:val="bottom"/>
            <w:hideMark/>
          </w:tcPr>
          <w:p w14:paraId="5D5C6CED"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3.167</w:t>
            </w:r>
          </w:p>
        </w:tc>
        <w:tc>
          <w:tcPr>
            <w:tcW w:w="1495" w:type="dxa"/>
            <w:gridSpan w:val="2"/>
            <w:tcBorders>
              <w:top w:val="nil"/>
              <w:left w:val="nil"/>
              <w:bottom w:val="nil"/>
              <w:right w:val="nil"/>
            </w:tcBorders>
            <w:shd w:val="clear" w:color="auto" w:fill="auto"/>
            <w:noWrap/>
            <w:vAlign w:val="bottom"/>
            <w:hideMark/>
          </w:tcPr>
          <w:p w14:paraId="3DCB9F55"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844" w:type="dxa"/>
            <w:gridSpan w:val="3"/>
            <w:tcBorders>
              <w:top w:val="nil"/>
              <w:left w:val="nil"/>
              <w:bottom w:val="nil"/>
              <w:right w:val="nil"/>
            </w:tcBorders>
            <w:shd w:val="clear" w:color="auto" w:fill="auto"/>
            <w:noWrap/>
            <w:vAlign w:val="bottom"/>
            <w:hideMark/>
          </w:tcPr>
          <w:p w14:paraId="47AC548C"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080F8978" w14:textId="77777777" w:rsidTr="00204DAB">
        <w:trPr>
          <w:trHeight w:val="252"/>
        </w:trPr>
        <w:tc>
          <w:tcPr>
            <w:tcW w:w="1516" w:type="dxa"/>
            <w:tcBorders>
              <w:top w:val="nil"/>
              <w:left w:val="nil"/>
              <w:bottom w:val="nil"/>
              <w:right w:val="nil"/>
            </w:tcBorders>
            <w:shd w:val="clear" w:color="auto" w:fill="auto"/>
            <w:noWrap/>
            <w:vAlign w:val="bottom"/>
            <w:hideMark/>
          </w:tcPr>
          <w:p w14:paraId="05C88976"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794E1BCD"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448D808F"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0389B5CF"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55108118" w14:textId="77777777" w:rsidR="00204DAB" w:rsidRPr="00FE20B5" w:rsidRDefault="00204DAB" w:rsidP="00204DAB">
            <w:pPr>
              <w:spacing w:after="0" w:line="240" w:lineRule="auto"/>
              <w:rPr>
                <w:rFonts w:ascii="Arial" w:eastAsia="Times New Roman" w:hAnsi="Arial" w:cs="Arial"/>
                <w:sz w:val="20"/>
                <w:szCs w:val="20"/>
                <w:lang w:val="pt-BR"/>
              </w:rPr>
            </w:pPr>
          </w:p>
        </w:tc>
        <w:tc>
          <w:tcPr>
            <w:tcW w:w="3844" w:type="dxa"/>
            <w:gridSpan w:val="3"/>
            <w:tcBorders>
              <w:top w:val="nil"/>
              <w:left w:val="nil"/>
              <w:bottom w:val="nil"/>
              <w:right w:val="nil"/>
            </w:tcBorders>
            <w:shd w:val="clear" w:color="auto" w:fill="auto"/>
            <w:noWrap/>
            <w:vAlign w:val="bottom"/>
            <w:hideMark/>
          </w:tcPr>
          <w:p w14:paraId="753546B7"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4ACF84EE" w14:textId="77777777" w:rsidTr="00204DAB">
        <w:trPr>
          <w:trHeight w:val="252"/>
        </w:trPr>
        <w:tc>
          <w:tcPr>
            <w:tcW w:w="4588" w:type="dxa"/>
            <w:gridSpan w:val="5"/>
            <w:tcBorders>
              <w:top w:val="nil"/>
              <w:left w:val="nil"/>
              <w:bottom w:val="nil"/>
              <w:right w:val="nil"/>
            </w:tcBorders>
            <w:shd w:val="clear" w:color="auto" w:fill="auto"/>
            <w:noWrap/>
            <w:vAlign w:val="bottom"/>
            <w:hideMark/>
          </w:tcPr>
          <w:p w14:paraId="571985E7"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Dados do Crystal Ball:</w:t>
            </w:r>
          </w:p>
        </w:tc>
        <w:tc>
          <w:tcPr>
            <w:tcW w:w="1980" w:type="dxa"/>
            <w:gridSpan w:val="2"/>
            <w:tcBorders>
              <w:top w:val="nil"/>
              <w:left w:val="nil"/>
              <w:bottom w:val="nil"/>
              <w:right w:val="nil"/>
            </w:tcBorders>
            <w:shd w:val="clear" w:color="auto" w:fill="auto"/>
            <w:noWrap/>
            <w:vAlign w:val="bottom"/>
            <w:hideMark/>
          </w:tcPr>
          <w:p w14:paraId="0932C96F"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7C666AFB" w14:textId="77777777" w:rsidR="00204DAB" w:rsidRPr="00FE20B5" w:rsidRDefault="00204DAB" w:rsidP="00204DAB">
            <w:pPr>
              <w:spacing w:after="0" w:line="240" w:lineRule="auto"/>
              <w:rPr>
                <w:rFonts w:ascii="Arial" w:eastAsia="Times New Roman" w:hAnsi="Arial" w:cs="Arial"/>
                <w:sz w:val="20"/>
                <w:szCs w:val="20"/>
                <w:lang w:val="pt-BR"/>
              </w:rPr>
            </w:pPr>
          </w:p>
        </w:tc>
        <w:tc>
          <w:tcPr>
            <w:tcW w:w="3844" w:type="dxa"/>
            <w:gridSpan w:val="3"/>
            <w:tcBorders>
              <w:top w:val="nil"/>
              <w:left w:val="nil"/>
              <w:bottom w:val="nil"/>
              <w:right w:val="nil"/>
            </w:tcBorders>
            <w:shd w:val="clear" w:color="auto" w:fill="auto"/>
            <w:noWrap/>
            <w:vAlign w:val="bottom"/>
            <w:hideMark/>
          </w:tcPr>
          <w:p w14:paraId="00232037"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09ECF393" w14:textId="77777777" w:rsidTr="00204DAB">
        <w:trPr>
          <w:trHeight w:val="252"/>
        </w:trPr>
        <w:tc>
          <w:tcPr>
            <w:tcW w:w="1516" w:type="dxa"/>
            <w:tcBorders>
              <w:top w:val="nil"/>
              <w:left w:val="nil"/>
              <w:bottom w:val="nil"/>
              <w:right w:val="nil"/>
            </w:tcBorders>
            <w:shd w:val="clear" w:color="auto" w:fill="auto"/>
            <w:noWrap/>
            <w:vAlign w:val="bottom"/>
            <w:hideMark/>
          </w:tcPr>
          <w:p w14:paraId="162B8C3C"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1FAF913F"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Pressupostos</w:t>
            </w:r>
          </w:p>
        </w:tc>
        <w:tc>
          <w:tcPr>
            <w:tcW w:w="1556" w:type="dxa"/>
            <w:gridSpan w:val="2"/>
            <w:tcBorders>
              <w:top w:val="nil"/>
              <w:left w:val="nil"/>
              <w:bottom w:val="nil"/>
              <w:right w:val="nil"/>
            </w:tcBorders>
            <w:shd w:val="clear" w:color="auto" w:fill="auto"/>
            <w:noWrap/>
            <w:vAlign w:val="bottom"/>
            <w:hideMark/>
          </w:tcPr>
          <w:p w14:paraId="2D63E140"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6BC5130A"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4</w:t>
            </w:r>
          </w:p>
        </w:tc>
        <w:tc>
          <w:tcPr>
            <w:tcW w:w="1495" w:type="dxa"/>
            <w:gridSpan w:val="2"/>
            <w:tcBorders>
              <w:top w:val="nil"/>
              <w:left w:val="nil"/>
              <w:bottom w:val="nil"/>
              <w:right w:val="nil"/>
            </w:tcBorders>
            <w:shd w:val="clear" w:color="auto" w:fill="auto"/>
            <w:noWrap/>
            <w:vAlign w:val="bottom"/>
            <w:hideMark/>
          </w:tcPr>
          <w:p w14:paraId="027848B8"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844" w:type="dxa"/>
            <w:gridSpan w:val="3"/>
            <w:tcBorders>
              <w:top w:val="nil"/>
              <w:left w:val="nil"/>
              <w:bottom w:val="nil"/>
              <w:right w:val="nil"/>
            </w:tcBorders>
            <w:shd w:val="clear" w:color="auto" w:fill="auto"/>
            <w:noWrap/>
            <w:vAlign w:val="bottom"/>
            <w:hideMark/>
          </w:tcPr>
          <w:p w14:paraId="5B8A657A"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3850A2A4" w14:textId="77777777" w:rsidTr="00204DAB">
        <w:trPr>
          <w:trHeight w:val="252"/>
        </w:trPr>
        <w:tc>
          <w:tcPr>
            <w:tcW w:w="1516" w:type="dxa"/>
            <w:tcBorders>
              <w:top w:val="nil"/>
              <w:left w:val="nil"/>
              <w:bottom w:val="nil"/>
              <w:right w:val="nil"/>
            </w:tcBorders>
            <w:shd w:val="clear" w:color="auto" w:fill="auto"/>
            <w:noWrap/>
            <w:vAlign w:val="bottom"/>
            <w:hideMark/>
          </w:tcPr>
          <w:p w14:paraId="6249149C"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28A88615"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Variáveis de decisão</w:t>
            </w:r>
          </w:p>
        </w:tc>
        <w:tc>
          <w:tcPr>
            <w:tcW w:w="1980" w:type="dxa"/>
            <w:gridSpan w:val="2"/>
            <w:tcBorders>
              <w:top w:val="nil"/>
              <w:left w:val="nil"/>
              <w:bottom w:val="nil"/>
              <w:right w:val="nil"/>
            </w:tcBorders>
            <w:shd w:val="clear" w:color="auto" w:fill="auto"/>
            <w:noWrap/>
            <w:vAlign w:val="bottom"/>
            <w:hideMark/>
          </w:tcPr>
          <w:p w14:paraId="642C8C33"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0</w:t>
            </w:r>
          </w:p>
        </w:tc>
        <w:tc>
          <w:tcPr>
            <w:tcW w:w="1495" w:type="dxa"/>
            <w:gridSpan w:val="2"/>
            <w:tcBorders>
              <w:top w:val="nil"/>
              <w:left w:val="nil"/>
              <w:bottom w:val="nil"/>
              <w:right w:val="nil"/>
            </w:tcBorders>
            <w:shd w:val="clear" w:color="auto" w:fill="auto"/>
            <w:noWrap/>
            <w:vAlign w:val="bottom"/>
            <w:hideMark/>
          </w:tcPr>
          <w:p w14:paraId="1C0B5FB0"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844" w:type="dxa"/>
            <w:gridSpan w:val="3"/>
            <w:tcBorders>
              <w:top w:val="nil"/>
              <w:left w:val="nil"/>
              <w:bottom w:val="nil"/>
              <w:right w:val="nil"/>
            </w:tcBorders>
            <w:shd w:val="clear" w:color="auto" w:fill="auto"/>
            <w:noWrap/>
            <w:vAlign w:val="bottom"/>
            <w:hideMark/>
          </w:tcPr>
          <w:p w14:paraId="7B62B0A3"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3D7CF612" w14:textId="77777777" w:rsidTr="00204DAB">
        <w:trPr>
          <w:trHeight w:val="252"/>
        </w:trPr>
        <w:tc>
          <w:tcPr>
            <w:tcW w:w="1516" w:type="dxa"/>
            <w:tcBorders>
              <w:top w:val="nil"/>
              <w:left w:val="nil"/>
              <w:bottom w:val="nil"/>
              <w:right w:val="nil"/>
            </w:tcBorders>
            <w:shd w:val="clear" w:color="auto" w:fill="auto"/>
            <w:noWrap/>
            <w:vAlign w:val="bottom"/>
            <w:hideMark/>
          </w:tcPr>
          <w:p w14:paraId="087C3464"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1FF28665"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Previsões</w:t>
            </w:r>
          </w:p>
        </w:tc>
        <w:tc>
          <w:tcPr>
            <w:tcW w:w="1556" w:type="dxa"/>
            <w:gridSpan w:val="2"/>
            <w:tcBorders>
              <w:top w:val="nil"/>
              <w:left w:val="nil"/>
              <w:bottom w:val="nil"/>
              <w:right w:val="nil"/>
            </w:tcBorders>
            <w:shd w:val="clear" w:color="auto" w:fill="auto"/>
            <w:noWrap/>
            <w:vAlign w:val="bottom"/>
            <w:hideMark/>
          </w:tcPr>
          <w:p w14:paraId="361A8EA8"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33DFA530"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2</w:t>
            </w:r>
          </w:p>
        </w:tc>
        <w:tc>
          <w:tcPr>
            <w:tcW w:w="1495" w:type="dxa"/>
            <w:gridSpan w:val="2"/>
            <w:tcBorders>
              <w:top w:val="nil"/>
              <w:left w:val="nil"/>
              <w:bottom w:val="nil"/>
              <w:right w:val="nil"/>
            </w:tcBorders>
            <w:shd w:val="clear" w:color="auto" w:fill="auto"/>
            <w:noWrap/>
            <w:vAlign w:val="bottom"/>
            <w:hideMark/>
          </w:tcPr>
          <w:p w14:paraId="25D0FA55"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844" w:type="dxa"/>
            <w:gridSpan w:val="3"/>
            <w:tcBorders>
              <w:top w:val="nil"/>
              <w:left w:val="nil"/>
              <w:bottom w:val="nil"/>
              <w:right w:val="nil"/>
            </w:tcBorders>
            <w:shd w:val="clear" w:color="auto" w:fill="auto"/>
            <w:noWrap/>
            <w:vAlign w:val="bottom"/>
            <w:hideMark/>
          </w:tcPr>
          <w:p w14:paraId="5D2044D3"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117B8AA0" w14:textId="77777777" w:rsidTr="00204DAB">
        <w:trPr>
          <w:trHeight w:val="252"/>
        </w:trPr>
        <w:tc>
          <w:tcPr>
            <w:tcW w:w="1516" w:type="dxa"/>
            <w:tcBorders>
              <w:top w:val="nil"/>
              <w:left w:val="nil"/>
              <w:bottom w:val="nil"/>
              <w:right w:val="nil"/>
            </w:tcBorders>
            <w:shd w:val="clear" w:color="auto" w:fill="auto"/>
            <w:noWrap/>
            <w:vAlign w:val="bottom"/>
            <w:hideMark/>
          </w:tcPr>
          <w:p w14:paraId="7DF8DB2A"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4EFCD72A"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54D7384E"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5F97DE34"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603450DF" w14:textId="77777777" w:rsidR="00204DAB" w:rsidRPr="00FE20B5" w:rsidRDefault="00204DAB" w:rsidP="00204DAB">
            <w:pPr>
              <w:spacing w:after="0" w:line="240" w:lineRule="auto"/>
              <w:rPr>
                <w:rFonts w:ascii="Arial" w:eastAsia="Times New Roman" w:hAnsi="Arial" w:cs="Arial"/>
                <w:sz w:val="20"/>
                <w:szCs w:val="20"/>
                <w:lang w:val="pt-BR"/>
              </w:rPr>
            </w:pPr>
          </w:p>
        </w:tc>
        <w:tc>
          <w:tcPr>
            <w:tcW w:w="3844" w:type="dxa"/>
            <w:gridSpan w:val="3"/>
            <w:tcBorders>
              <w:top w:val="nil"/>
              <w:left w:val="nil"/>
              <w:bottom w:val="nil"/>
              <w:right w:val="nil"/>
            </w:tcBorders>
            <w:shd w:val="clear" w:color="auto" w:fill="auto"/>
            <w:noWrap/>
            <w:vAlign w:val="bottom"/>
            <w:hideMark/>
          </w:tcPr>
          <w:p w14:paraId="520F6F00"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6C3D63B7"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5175B10B" w14:textId="720F8135" w:rsidR="00204DAB" w:rsidRPr="00FE20B5" w:rsidRDefault="00204DAB" w:rsidP="00204DAB">
            <w:pPr>
              <w:spacing w:after="0" w:line="240" w:lineRule="auto"/>
              <w:rPr>
                <w:rFonts w:ascii="Arial" w:eastAsia="Times New Roman" w:hAnsi="Arial" w:cs="Arial"/>
                <w:sz w:val="24"/>
                <w:szCs w:val="24"/>
                <w:lang w:val="pt-BR"/>
              </w:rPr>
            </w:pPr>
            <w:r w:rsidRPr="00FE20B5">
              <w:rPr>
                <w:rFonts w:ascii="Arial" w:hAnsi="Arial" w:cs="Arial"/>
                <w:lang w:val="pt-BR"/>
              </w:rPr>
              <w:br w:type="page"/>
            </w:r>
            <w:r w:rsidRPr="00FE20B5">
              <w:rPr>
                <w:rFonts w:ascii="Arial" w:eastAsia="Times New Roman" w:hAnsi="Arial" w:cs="Arial"/>
                <w:b/>
                <w:bCs/>
                <w:sz w:val="24"/>
                <w:szCs w:val="24"/>
                <w:lang w:val="pt-BR"/>
              </w:rPr>
              <w:t>Previsões</w:t>
            </w:r>
          </w:p>
        </w:tc>
        <w:tc>
          <w:tcPr>
            <w:tcW w:w="1516" w:type="dxa"/>
            <w:gridSpan w:val="2"/>
            <w:tcBorders>
              <w:top w:val="nil"/>
              <w:left w:val="nil"/>
              <w:bottom w:val="nil"/>
              <w:right w:val="nil"/>
            </w:tcBorders>
            <w:shd w:val="clear" w:color="auto" w:fill="auto"/>
            <w:noWrap/>
            <w:vAlign w:val="bottom"/>
            <w:hideMark/>
          </w:tcPr>
          <w:p w14:paraId="2B15D155"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7F0C77A7"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1C573057"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tcPr>
          <w:p w14:paraId="57E63805" w14:textId="77777777" w:rsidR="00204DAB" w:rsidRPr="00FE20B5" w:rsidRDefault="00204DAB" w:rsidP="00204DAB">
            <w:pPr>
              <w:spacing w:after="0" w:line="240" w:lineRule="auto"/>
              <w:jc w:val="center"/>
              <w:rPr>
                <w:rFonts w:ascii="Arial" w:eastAsia="Times New Roman" w:hAnsi="Arial" w:cs="Arial"/>
                <w:b/>
                <w:bCs/>
                <w:sz w:val="20"/>
                <w:szCs w:val="20"/>
                <w:lang w:val="pt-BR"/>
              </w:rPr>
            </w:pPr>
          </w:p>
        </w:tc>
        <w:tc>
          <w:tcPr>
            <w:tcW w:w="3480" w:type="dxa"/>
            <w:tcBorders>
              <w:top w:val="nil"/>
              <w:left w:val="nil"/>
              <w:bottom w:val="nil"/>
              <w:right w:val="nil"/>
            </w:tcBorders>
            <w:shd w:val="clear" w:color="auto" w:fill="auto"/>
            <w:noWrap/>
            <w:vAlign w:val="bottom"/>
            <w:hideMark/>
          </w:tcPr>
          <w:p w14:paraId="35FFFD6C" w14:textId="77777777" w:rsidR="00204DAB" w:rsidRPr="00FE20B5" w:rsidRDefault="00204DAB" w:rsidP="00204DAB">
            <w:pPr>
              <w:spacing w:after="0" w:line="240" w:lineRule="auto"/>
              <w:jc w:val="center"/>
              <w:rPr>
                <w:rFonts w:ascii="Arial" w:eastAsia="Times New Roman" w:hAnsi="Arial" w:cs="Arial"/>
                <w:b/>
                <w:bCs/>
                <w:sz w:val="20"/>
                <w:szCs w:val="20"/>
                <w:lang w:val="pt-BR"/>
              </w:rPr>
            </w:pPr>
          </w:p>
        </w:tc>
      </w:tr>
      <w:tr w:rsidR="00204DAB" w:rsidRPr="00FE20B5" w14:paraId="081EE51E" w14:textId="77777777" w:rsidTr="00204DAB">
        <w:trPr>
          <w:gridAfter w:val="1"/>
          <w:wAfter w:w="76" w:type="dxa"/>
          <w:trHeight w:val="252"/>
        </w:trPr>
        <w:tc>
          <w:tcPr>
            <w:tcW w:w="11831" w:type="dxa"/>
            <w:gridSpan w:val="11"/>
            <w:tcBorders>
              <w:top w:val="nil"/>
              <w:left w:val="nil"/>
              <w:bottom w:val="nil"/>
              <w:right w:val="nil"/>
            </w:tcBorders>
            <w:shd w:val="clear" w:color="auto" w:fill="auto"/>
            <w:noWrap/>
            <w:vAlign w:val="bottom"/>
          </w:tcPr>
          <w:p w14:paraId="0A2745CA" w14:textId="77777777" w:rsidR="00204DAB" w:rsidRPr="00FE20B5" w:rsidRDefault="00204DAB" w:rsidP="00204DAB">
            <w:pPr>
              <w:spacing w:after="0" w:line="240" w:lineRule="auto"/>
              <w:rPr>
                <w:rFonts w:ascii="Arial" w:eastAsia="Times New Roman" w:hAnsi="Arial" w:cs="Arial"/>
                <w:b/>
                <w:sz w:val="24"/>
                <w:szCs w:val="24"/>
                <w:lang w:val="pt-BR"/>
              </w:rPr>
            </w:pPr>
            <w:r w:rsidRPr="00FE20B5">
              <w:rPr>
                <w:rFonts w:ascii="Arial" w:eastAsia="Times New Roman" w:hAnsi="Arial" w:cs="Arial"/>
                <w:b/>
                <w:sz w:val="24"/>
                <w:szCs w:val="24"/>
                <w:lang w:val="pt-BR"/>
              </w:rPr>
              <w:t>Financiamentos Concedidos aos Municípios</w:t>
            </w:r>
          </w:p>
        </w:tc>
      </w:tr>
      <w:tr w:rsidR="00204DAB" w:rsidRPr="00FE20B5" w14:paraId="39B2AAED" w14:textId="77777777" w:rsidTr="00204DAB">
        <w:trPr>
          <w:gridAfter w:val="1"/>
          <w:wAfter w:w="76" w:type="dxa"/>
          <w:trHeight w:val="252"/>
        </w:trPr>
        <w:tc>
          <w:tcPr>
            <w:tcW w:w="3320" w:type="dxa"/>
            <w:gridSpan w:val="4"/>
            <w:tcBorders>
              <w:top w:val="nil"/>
              <w:left w:val="nil"/>
              <w:bottom w:val="nil"/>
              <w:right w:val="nil"/>
            </w:tcBorders>
            <w:shd w:val="clear" w:color="auto" w:fill="auto"/>
            <w:noWrap/>
            <w:vAlign w:val="bottom"/>
            <w:hideMark/>
          </w:tcPr>
          <w:p w14:paraId="24486D57"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Resumo:</w:t>
            </w:r>
          </w:p>
        </w:tc>
        <w:tc>
          <w:tcPr>
            <w:tcW w:w="1556" w:type="dxa"/>
            <w:gridSpan w:val="2"/>
            <w:tcBorders>
              <w:top w:val="nil"/>
              <w:left w:val="nil"/>
              <w:bottom w:val="nil"/>
              <w:right w:val="nil"/>
            </w:tcBorders>
            <w:shd w:val="clear" w:color="auto" w:fill="auto"/>
            <w:noWrap/>
            <w:vAlign w:val="bottom"/>
            <w:hideMark/>
          </w:tcPr>
          <w:p w14:paraId="09977A5A"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133D76B6"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37FFD772"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6CF8F426"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B05122" w14:paraId="473553CB"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165410CE"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321565FC"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O nível de certeza é 90,000%</w:t>
            </w:r>
          </w:p>
        </w:tc>
        <w:tc>
          <w:tcPr>
            <w:tcW w:w="1980" w:type="dxa"/>
            <w:gridSpan w:val="2"/>
            <w:tcBorders>
              <w:top w:val="nil"/>
              <w:left w:val="nil"/>
              <w:bottom w:val="nil"/>
              <w:right w:val="nil"/>
            </w:tcBorders>
            <w:shd w:val="clear" w:color="auto" w:fill="auto"/>
            <w:noWrap/>
            <w:vAlign w:val="bottom"/>
            <w:hideMark/>
          </w:tcPr>
          <w:p w14:paraId="79F64265"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775E1253"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6EF2013F"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B05122" w14:paraId="143C0A01"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63DC7008" w14:textId="77777777" w:rsidR="00204DAB" w:rsidRPr="00FE20B5" w:rsidRDefault="00204DAB" w:rsidP="00204DAB">
            <w:pPr>
              <w:spacing w:after="0" w:line="240" w:lineRule="auto"/>
              <w:rPr>
                <w:rFonts w:ascii="Arial" w:eastAsia="Times New Roman" w:hAnsi="Arial" w:cs="Arial"/>
                <w:sz w:val="20"/>
                <w:szCs w:val="20"/>
                <w:lang w:val="pt-BR"/>
              </w:rPr>
            </w:pPr>
          </w:p>
        </w:tc>
        <w:tc>
          <w:tcPr>
            <w:tcW w:w="5052" w:type="dxa"/>
            <w:gridSpan w:val="6"/>
            <w:tcBorders>
              <w:top w:val="nil"/>
              <w:left w:val="nil"/>
              <w:bottom w:val="nil"/>
              <w:right w:val="nil"/>
            </w:tcBorders>
            <w:shd w:val="clear" w:color="auto" w:fill="auto"/>
            <w:noWrap/>
            <w:vAlign w:val="bottom"/>
            <w:hideMark/>
          </w:tcPr>
          <w:p w14:paraId="1AC2C238"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O intervalo de certeza é de 1.388 a ∞</w:t>
            </w:r>
          </w:p>
        </w:tc>
        <w:tc>
          <w:tcPr>
            <w:tcW w:w="1495" w:type="dxa"/>
            <w:gridSpan w:val="2"/>
            <w:tcBorders>
              <w:top w:val="nil"/>
              <w:left w:val="nil"/>
              <w:bottom w:val="nil"/>
              <w:right w:val="nil"/>
            </w:tcBorders>
            <w:shd w:val="clear" w:color="auto" w:fill="auto"/>
            <w:noWrap/>
            <w:vAlign w:val="bottom"/>
            <w:hideMark/>
          </w:tcPr>
          <w:p w14:paraId="3CA1939E"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1DA8F3DC"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B05122" w14:paraId="2AC4F8C0"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5E58722C" w14:textId="77777777" w:rsidR="00204DAB" w:rsidRPr="00FE20B5" w:rsidRDefault="00204DAB" w:rsidP="00204DAB">
            <w:pPr>
              <w:spacing w:after="0" w:line="240" w:lineRule="auto"/>
              <w:rPr>
                <w:rFonts w:ascii="Arial" w:eastAsia="Times New Roman" w:hAnsi="Arial" w:cs="Arial"/>
                <w:sz w:val="20"/>
                <w:szCs w:val="20"/>
                <w:lang w:val="pt-BR"/>
              </w:rPr>
            </w:pPr>
          </w:p>
        </w:tc>
        <w:tc>
          <w:tcPr>
            <w:tcW w:w="5052" w:type="dxa"/>
            <w:gridSpan w:val="6"/>
            <w:tcBorders>
              <w:top w:val="nil"/>
              <w:left w:val="nil"/>
              <w:bottom w:val="nil"/>
              <w:right w:val="nil"/>
            </w:tcBorders>
            <w:shd w:val="clear" w:color="auto" w:fill="auto"/>
            <w:noWrap/>
            <w:vAlign w:val="bottom"/>
            <w:hideMark/>
          </w:tcPr>
          <w:p w14:paraId="0220E977"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O intervalo inteiro de 798 a 3.645</w:t>
            </w:r>
          </w:p>
        </w:tc>
        <w:tc>
          <w:tcPr>
            <w:tcW w:w="1495" w:type="dxa"/>
            <w:gridSpan w:val="2"/>
            <w:tcBorders>
              <w:top w:val="nil"/>
              <w:left w:val="nil"/>
              <w:bottom w:val="nil"/>
              <w:right w:val="nil"/>
            </w:tcBorders>
            <w:shd w:val="clear" w:color="auto" w:fill="auto"/>
            <w:noWrap/>
            <w:vAlign w:val="bottom"/>
            <w:hideMark/>
          </w:tcPr>
          <w:p w14:paraId="43A927C9"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4B6834A5"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446E2706"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6187BA49"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2F0268DF"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O caso base é 1.745</w:t>
            </w:r>
          </w:p>
        </w:tc>
        <w:tc>
          <w:tcPr>
            <w:tcW w:w="1980" w:type="dxa"/>
            <w:gridSpan w:val="2"/>
            <w:tcBorders>
              <w:top w:val="nil"/>
              <w:left w:val="nil"/>
              <w:bottom w:val="nil"/>
              <w:right w:val="nil"/>
            </w:tcBorders>
            <w:shd w:val="clear" w:color="auto" w:fill="auto"/>
            <w:noWrap/>
            <w:vAlign w:val="bottom"/>
            <w:hideMark/>
          </w:tcPr>
          <w:p w14:paraId="0A7E1180"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217210DA"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2FFD3B43"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B05122" w14:paraId="429B1C6A"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50DBF31C" w14:textId="77777777" w:rsidR="00204DAB" w:rsidRPr="00FE20B5" w:rsidRDefault="00204DAB" w:rsidP="00204DAB">
            <w:pPr>
              <w:spacing w:after="0" w:line="240" w:lineRule="auto"/>
              <w:rPr>
                <w:rFonts w:ascii="Arial" w:eastAsia="Times New Roman" w:hAnsi="Arial" w:cs="Arial"/>
                <w:sz w:val="20"/>
                <w:szCs w:val="20"/>
                <w:lang w:val="pt-BR"/>
              </w:rPr>
            </w:pPr>
          </w:p>
        </w:tc>
        <w:tc>
          <w:tcPr>
            <w:tcW w:w="5052" w:type="dxa"/>
            <w:gridSpan w:val="6"/>
            <w:tcBorders>
              <w:top w:val="nil"/>
              <w:left w:val="nil"/>
              <w:bottom w:val="nil"/>
              <w:right w:val="nil"/>
            </w:tcBorders>
            <w:shd w:val="clear" w:color="auto" w:fill="auto"/>
            <w:noWrap/>
            <w:vAlign w:val="bottom"/>
            <w:hideMark/>
          </w:tcPr>
          <w:p w14:paraId="210A6286"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Após 100.000 avaliações, o erro padrão da média é 1</w:t>
            </w:r>
          </w:p>
        </w:tc>
        <w:tc>
          <w:tcPr>
            <w:tcW w:w="1495" w:type="dxa"/>
            <w:gridSpan w:val="2"/>
            <w:tcBorders>
              <w:top w:val="nil"/>
              <w:left w:val="nil"/>
              <w:bottom w:val="nil"/>
              <w:right w:val="nil"/>
            </w:tcBorders>
            <w:shd w:val="clear" w:color="auto" w:fill="auto"/>
            <w:noWrap/>
            <w:vAlign w:val="bottom"/>
            <w:hideMark/>
          </w:tcPr>
          <w:p w14:paraId="267270FE"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0F65909A"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B05122" w14:paraId="13CCE292"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539DF383"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6D93BCBB"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57BC5176"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6E8DFBB3"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57FDE814"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42BD3064"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B05122" w14:paraId="237BEA3C"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361CB1F6"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05E409AE"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18540D7D"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6B962D81"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noProof/>
                <w:sz w:val="20"/>
                <w:szCs w:val="20"/>
                <w:lang w:val="pt-BR"/>
              </w:rPr>
              <w:drawing>
                <wp:anchor distT="0" distB="0" distL="114300" distR="114300" simplePos="0" relativeHeight="251666432" behindDoc="0" locked="0" layoutInCell="1" allowOverlap="1" wp14:anchorId="7AFCC57A" wp14:editId="4E30DA92">
                  <wp:simplePos x="0" y="0"/>
                  <wp:positionH relativeFrom="column">
                    <wp:posOffset>-1940560</wp:posOffset>
                  </wp:positionH>
                  <wp:positionV relativeFrom="paragraph">
                    <wp:posOffset>67945</wp:posOffset>
                  </wp:positionV>
                  <wp:extent cx="4785360" cy="2293620"/>
                  <wp:effectExtent l="0" t="0" r="0" b="0"/>
                  <wp:wrapNone/>
                  <wp:docPr id="28" name="Picture 28">
                    <a:extLst xmlns:a="http://schemas.openxmlformats.org/drawingml/2006/main">
                      <a:ext uri="{FF2B5EF4-FFF2-40B4-BE49-F238E27FC236}">
                        <a16:creationId xmlns:a16="http://schemas.microsoft.com/office/drawing/2014/main" id="{A3AB8C56-AC40-4622-A3C0-B33A438FEE09}"/>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3AB8C56-AC40-4622-A3C0-B33A438FEE09}"/>
                              </a:ext>
                            </a:extLst>
                          </pic:cNvPr>
                          <pic:cNvPicPr>
                            <a:picLocks/>
                          </pic:cNvPicPr>
                        </pic:nvPicPr>
                        <pic:blipFill>
                          <a:blip r:embed="rId31">
                            <a:extLst>
                              <a:ext uri="{28A0092B-C50C-407E-A947-70E740481C1C}">
                                <a14:useLocalDpi xmlns:a14="http://schemas.microsoft.com/office/drawing/2010/main" val="0"/>
                              </a:ext>
                            </a:extLst>
                          </a:blip>
                          <a:stretch>
                            <a:fillRect/>
                          </a:stretch>
                        </pic:blipFill>
                        <pic:spPr>
                          <a:xfrm>
                            <a:off x="0" y="0"/>
                            <a:ext cx="4785360" cy="2293620"/>
                          </a:xfrm>
                          <a:prstGeom prst="rect">
                            <a:avLst/>
                          </a:prstGeom>
                        </pic:spPr>
                      </pic:pic>
                    </a:graphicData>
                  </a:graphic>
                  <wp14:sizeRelH relativeFrom="page">
                    <wp14:pctWidth>0</wp14:pctWidth>
                  </wp14:sizeRelH>
                  <wp14:sizeRelV relativeFrom="page">
                    <wp14:pctHeight>0</wp14:pctHeight>
                  </wp14:sizeRelV>
                </wp:anchor>
              </w:drawing>
            </w:r>
          </w:p>
        </w:tc>
        <w:tc>
          <w:tcPr>
            <w:tcW w:w="1495" w:type="dxa"/>
            <w:gridSpan w:val="2"/>
            <w:tcBorders>
              <w:top w:val="nil"/>
              <w:left w:val="nil"/>
              <w:bottom w:val="nil"/>
              <w:right w:val="nil"/>
            </w:tcBorders>
            <w:shd w:val="clear" w:color="auto" w:fill="auto"/>
            <w:noWrap/>
            <w:vAlign w:val="bottom"/>
            <w:hideMark/>
          </w:tcPr>
          <w:p w14:paraId="7B5C976F"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2A2A7AFB"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B05122" w14:paraId="2C6A12EA"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63D5D0A5"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1CB22369" w14:textId="77777777" w:rsidR="00204DAB" w:rsidRPr="00FE20B5" w:rsidRDefault="00204DAB" w:rsidP="00204DAB">
            <w:pPr>
              <w:spacing w:after="0" w:line="240" w:lineRule="auto"/>
              <w:rPr>
                <w:rFonts w:ascii="Arial" w:eastAsia="Times New Roman" w:hAnsi="Arial" w:cs="Arial"/>
                <w:sz w:val="20"/>
                <w:szCs w:val="20"/>
                <w:lang w:val="pt-BR"/>
              </w:rPr>
            </w:pPr>
          </w:p>
          <w:tbl>
            <w:tblPr>
              <w:tblW w:w="0" w:type="auto"/>
              <w:tblCellSpacing w:w="0" w:type="dxa"/>
              <w:tblCellMar>
                <w:left w:w="0" w:type="dxa"/>
                <w:right w:w="0" w:type="dxa"/>
              </w:tblCellMar>
              <w:tblLook w:val="04A0" w:firstRow="1" w:lastRow="0" w:firstColumn="1" w:lastColumn="0" w:noHBand="0" w:noVBand="1"/>
            </w:tblPr>
            <w:tblGrid>
              <w:gridCol w:w="1300"/>
            </w:tblGrid>
            <w:tr w:rsidR="00204DAB" w:rsidRPr="00B05122" w14:paraId="54F53B73" w14:textId="77777777" w:rsidTr="00204DAB">
              <w:trPr>
                <w:trHeight w:val="252"/>
                <w:tblCellSpacing w:w="0" w:type="dxa"/>
              </w:trPr>
              <w:tc>
                <w:tcPr>
                  <w:tcW w:w="1300" w:type="dxa"/>
                  <w:tcBorders>
                    <w:top w:val="nil"/>
                    <w:left w:val="nil"/>
                    <w:bottom w:val="nil"/>
                    <w:right w:val="nil"/>
                  </w:tcBorders>
                  <w:shd w:val="clear" w:color="auto" w:fill="auto"/>
                  <w:noWrap/>
                  <w:vAlign w:val="bottom"/>
                  <w:hideMark/>
                </w:tcPr>
                <w:p w14:paraId="790521F9" w14:textId="77777777" w:rsidR="00204DAB" w:rsidRPr="00FE20B5" w:rsidRDefault="00204DAB" w:rsidP="00204DAB">
                  <w:pPr>
                    <w:spacing w:after="0" w:line="240" w:lineRule="auto"/>
                    <w:rPr>
                      <w:rFonts w:ascii="Arial" w:eastAsia="Times New Roman" w:hAnsi="Arial" w:cs="Arial"/>
                      <w:sz w:val="20"/>
                      <w:szCs w:val="20"/>
                      <w:lang w:val="pt-BR"/>
                    </w:rPr>
                  </w:pPr>
                </w:p>
              </w:tc>
            </w:tr>
          </w:tbl>
          <w:p w14:paraId="5EF69D7E"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3604C823"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707EA6A0"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45CB4601"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22497433"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02FDD5D8"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7C64608A"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31D87D8D"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595567F5"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3C8204C3"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62FD6FC0"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2FB4FA75"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586AD06D"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5F0172B8"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559ADFFA"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318F5037"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62051203"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7790FA97"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0FEA7C94"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67ECF877"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14CABF37"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41165DBF"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12174E24"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231D882E"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3EFE2307"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3692A6F9"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0C9CF350"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tcPr>
          <w:p w14:paraId="0904E8F1"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tcPr>
          <w:p w14:paraId="1C6914C2"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tcPr>
          <w:p w14:paraId="064E1A97"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tcPr>
          <w:p w14:paraId="7D5ECA99"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tcPr>
          <w:p w14:paraId="388F552E"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tcPr>
          <w:p w14:paraId="6DC39A74"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052CDD2C"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tcPr>
          <w:p w14:paraId="7C2EEAA6"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tcPr>
          <w:p w14:paraId="2EECD10D"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tcPr>
          <w:p w14:paraId="4E1CA52E"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tcPr>
          <w:p w14:paraId="3BF9BE29"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tcPr>
          <w:p w14:paraId="77010CAC"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tcPr>
          <w:p w14:paraId="7E502442"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05C1F69C"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tcPr>
          <w:p w14:paraId="252D8507"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tcPr>
          <w:p w14:paraId="5E551F2E"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tcPr>
          <w:p w14:paraId="029A060D"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tcPr>
          <w:p w14:paraId="69E6C822"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tcPr>
          <w:p w14:paraId="5598AF06"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tcPr>
          <w:p w14:paraId="5D7F4E86"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71354F7F"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tcPr>
          <w:p w14:paraId="7D1E7E95"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tcPr>
          <w:p w14:paraId="15EB1803"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tcPr>
          <w:p w14:paraId="7704E48F"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tcPr>
          <w:p w14:paraId="11C12801"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tcPr>
          <w:p w14:paraId="3A287120"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tcPr>
          <w:p w14:paraId="3C88AC65"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713AC2E8"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tcPr>
          <w:p w14:paraId="2537BDF7"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tcPr>
          <w:p w14:paraId="667F65E6"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tcPr>
          <w:p w14:paraId="40751919"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tcPr>
          <w:p w14:paraId="6750A72D"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tcPr>
          <w:p w14:paraId="1C2A540C"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tcPr>
          <w:p w14:paraId="1EE71D03"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139CADD8"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tcPr>
          <w:p w14:paraId="76543663"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tcPr>
          <w:p w14:paraId="17B77AC3"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tcPr>
          <w:p w14:paraId="74ED5BFC"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tcPr>
          <w:p w14:paraId="50EEC7E2"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tcPr>
          <w:p w14:paraId="73771452"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tcPr>
          <w:p w14:paraId="3A538B38"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3D0BC797"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tcPr>
          <w:p w14:paraId="7CC5ECD0"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tcPr>
          <w:p w14:paraId="501AF45A"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tcPr>
          <w:p w14:paraId="351D0639"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tcPr>
          <w:p w14:paraId="35849744"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tcPr>
          <w:p w14:paraId="3AABEE62"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tcPr>
          <w:p w14:paraId="70E507E8"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0DF0473E"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tcPr>
          <w:p w14:paraId="07F4CB8B"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tcPr>
          <w:p w14:paraId="553150B6"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tcPr>
          <w:p w14:paraId="5FF23F51"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tcPr>
          <w:p w14:paraId="6B73E129"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tcPr>
          <w:p w14:paraId="5791E0D2"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tcPr>
          <w:p w14:paraId="126ACD1B"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258778C6"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tcPr>
          <w:p w14:paraId="55E9DF7A"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tcPr>
          <w:p w14:paraId="082F2FE1"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tcPr>
          <w:p w14:paraId="154C7513"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tcPr>
          <w:p w14:paraId="3134256E"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tcPr>
          <w:p w14:paraId="388CCA66"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tcPr>
          <w:p w14:paraId="0C3D71F1"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4C537357" w14:textId="77777777" w:rsidTr="00204DAB">
        <w:trPr>
          <w:gridAfter w:val="1"/>
          <w:wAfter w:w="76" w:type="dxa"/>
          <w:trHeight w:val="252"/>
        </w:trPr>
        <w:tc>
          <w:tcPr>
            <w:tcW w:w="3320" w:type="dxa"/>
            <w:gridSpan w:val="4"/>
            <w:tcBorders>
              <w:top w:val="nil"/>
              <w:left w:val="nil"/>
              <w:bottom w:val="nil"/>
              <w:right w:val="nil"/>
            </w:tcBorders>
            <w:shd w:val="clear" w:color="auto" w:fill="auto"/>
            <w:noWrap/>
            <w:vAlign w:val="bottom"/>
            <w:hideMark/>
          </w:tcPr>
          <w:p w14:paraId="5931184D"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Estatística:</w:t>
            </w:r>
          </w:p>
        </w:tc>
        <w:tc>
          <w:tcPr>
            <w:tcW w:w="1556" w:type="dxa"/>
            <w:gridSpan w:val="2"/>
            <w:tcBorders>
              <w:top w:val="nil"/>
              <w:left w:val="nil"/>
              <w:bottom w:val="nil"/>
              <w:right w:val="nil"/>
            </w:tcBorders>
            <w:shd w:val="clear" w:color="auto" w:fill="auto"/>
            <w:noWrap/>
            <w:vAlign w:val="bottom"/>
            <w:hideMark/>
          </w:tcPr>
          <w:p w14:paraId="4B7E152E"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3EFF67B8"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Valores de previsão</w:t>
            </w:r>
          </w:p>
        </w:tc>
        <w:tc>
          <w:tcPr>
            <w:tcW w:w="1495" w:type="dxa"/>
            <w:gridSpan w:val="2"/>
            <w:tcBorders>
              <w:top w:val="nil"/>
              <w:left w:val="nil"/>
              <w:bottom w:val="nil"/>
              <w:right w:val="nil"/>
            </w:tcBorders>
            <w:shd w:val="clear" w:color="auto" w:fill="auto"/>
            <w:noWrap/>
            <w:vAlign w:val="bottom"/>
            <w:hideMark/>
          </w:tcPr>
          <w:p w14:paraId="673AC7CC"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550FC1AA"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60794429"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387CBDDA"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248C2798"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Avaliações</w:t>
            </w:r>
          </w:p>
        </w:tc>
        <w:tc>
          <w:tcPr>
            <w:tcW w:w="1556" w:type="dxa"/>
            <w:gridSpan w:val="2"/>
            <w:tcBorders>
              <w:top w:val="nil"/>
              <w:left w:val="nil"/>
              <w:bottom w:val="nil"/>
              <w:right w:val="nil"/>
            </w:tcBorders>
            <w:shd w:val="clear" w:color="auto" w:fill="auto"/>
            <w:noWrap/>
            <w:vAlign w:val="bottom"/>
            <w:hideMark/>
          </w:tcPr>
          <w:p w14:paraId="2FD7AC11"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7FF0C457"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100.000</w:t>
            </w:r>
          </w:p>
        </w:tc>
        <w:tc>
          <w:tcPr>
            <w:tcW w:w="1495" w:type="dxa"/>
            <w:gridSpan w:val="2"/>
            <w:tcBorders>
              <w:top w:val="nil"/>
              <w:left w:val="nil"/>
              <w:bottom w:val="nil"/>
              <w:right w:val="nil"/>
            </w:tcBorders>
            <w:shd w:val="clear" w:color="auto" w:fill="auto"/>
            <w:noWrap/>
            <w:vAlign w:val="bottom"/>
            <w:hideMark/>
          </w:tcPr>
          <w:p w14:paraId="52A93856"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40E32976"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323EFFEC"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2738CC36"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48FEFBFF"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Caso Base</w:t>
            </w:r>
          </w:p>
        </w:tc>
        <w:tc>
          <w:tcPr>
            <w:tcW w:w="1556" w:type="dxa"/>
            <w:gridSpan w:val="2"/>
            <w:tcBorders>
              <w:top w:val="nil"/>
              <w:left w:val="nil"/>
              <w:bottom w:val="nil"/>
              <w:right w:val="nil"/>
            </w:tcBorders>
            <w:shd w:val="clear" w:color="auto" w:fill="auto"/>
            <w:noWrap/>
            <w:vAlign w:val="bottom"/>
            <w:hideMark/>
          </w:tcPr>
          <w:p w14:paraId="7916514E"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683A1E36"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1.745</w:t>
            </w:r>
          </w:p>
        </w:tc>
        <w:tc>
          <w:tcPr>
            <w:tcW w:w="1495" w:type="dxa"/>
            <w:gridSpan w:val="2"/>
            <w:tcBorders>
              <w:top w:val="nil"/>
              <w:left w:val="nil"/>
              <w:bottom w:val="nil"/>
              <w:right w:val="nil"/>
            </w:tcBorders>
            <w:shd w:val="clear" w:color="auto" w:fill="auto"/>
            <w:noWrap/>
            <w:vAlign w:val="bottom"/>
            <w:hideMark/>
          </w:tcPr>
          <w:p w14:paraId="18A5E7A5"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2FB4593E"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2316A44D"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35ECCC1D"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585F4408"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Média</w:t>
            </w:r>
          </w:p>
        </w:tc>
        <w:tc>
          <w:tcPr>
            <w:tcW w:w="1556" w:type="dxa"/>
            <w:gridSpan w:val="2"/>
            <w:tcBorders>
              <w:top w:val="nil"/>
              <w:left w:val="nil"/>
              <w:bottom w:val="nil"/>
              <w:right w:val="nil"/>
            </w:tcBorders>
            <w:shd w:val="clear" w:color="auto" w:fill="auto"/>
            <w:noWrap/>
            <w:vAlign w:val="bottom"/>
            <w:hideMark/>
          </w:tcPr>
          <w:p w14:paraId="59C1DC64"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7D30E155"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1.766</w:t>
            </w:r>
          </w:p>
        </w:tc>
        <w:tc>
          <w:tcPr>
            <w:tcW w:w="1495" w:type="dxa"/>
            <w:gridSpan w:val="2"/>
            <w:tcBorders>
              <w:top w:val="nil"/>
              <w:left w:val="nil"/>
              <w:bottom w:val="nil"/>
              <w:right w:val="nil"/>
            </w:tcBorders>
            <w:shd w:val="clear" w:color="auto" w:fill="auto"/>
            <w:noWrap/>
            <w:vAlign w:val="bottom"/>
            <w:hideMark/>
          </w:tcPr>
          <w:p w14:paraId="5741877E"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07F7D24E"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0F9E0546"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36A9DD70"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2DA0E5C2"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Mediana</w:t>
            </w:r>
          </w:p>
        </w:tc>
        <w:tc>
          <w:tcPr>
            <w:tcW w:w="1556" w:type="dxa"/>
            <w:gridSpan w:val="2"/>
            <w:tcBorders>
              <w:top w:val="nil"/>
              <w:left w:val="nil"/>
              <w:bottom w:val="nil"/>
              <w:right w:val="nil"/>
            </w:tcBorders>
            <w:shd w:val="clear" w:color="auto" w:fill="auto"/>
            <w:noWrap/>
            <w:vAlign w:val="bottom"/>
            <w:hideMark/>
          </w:tcPr>
          <w:p w14:paraId="109B15AD"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289B4B4A"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1.740</w:t>
            </w:r>
          </w:p>
        </w:tc>
        <w:tc>
          <w:tcPr>
            <w:tcW w:w="1495" w:type="dxa"/>
            <w:gridSpan w:val="2"/>
            <w:tcBorders>
              <w:top w:val="nil"/>
              <w:left w:val="nil"/>
              <w:bottom w:val="nil"/>
              <w:right w:val="nil"/>
            </w:tcBorders>
            <w:shd w:val="clear" w:color="auto" w:fill="auto"/>
            <w:noWrap/>
            <w:vAlign w:val="bottom"/>
            <w:hideMark/>
          </w:tcPr>
          <w:p w14:paraId="68A42D9F"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7D77217F"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55A2D44C"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3C3D17C9"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0EC64D31"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Moda</w:t>
            </w:r>
          </w:p>
        </w:tc>
        <w:tc>
          <w:tcPr>
            <w:tcW w:w="1556" w:type="dxa"/>
            <w:gridSpan w:val="2"/>
            <w:tcBorders>
              <w:top w:val="nil"/>
              <w:left w:val="nil"/>
              <w:bottom w:val="nil"/>
              <w:right w:val="nil"/>
            </w:tcBorders>
            <w:shd w:val="clear" w:color="auto" w:fill="auto"/>
            <w:noWrap/>
            <w:vAlign w:val="bottom"/>
            <w:hideMark/>
          </w:tcPr>
          <w:p w14:paraId="688C1C1A"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621F0056"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w:t>
            </w:r>
          </w:p>
        </w:tc>
        <w:tc>
          <w:tcPr>
            <w:tcW w:w="1495" w:type="dxa"/>
            <w:gridSpan w:val="2"/>
            <w:tcBorders>
              <w:top w:val="nil"/>
              <w:left w:val="nil"/>
              <w:bottom w:val="nil"/>
              <w:right w:val="nil"/>
            </w:tcBorders>
            <w:shd w:val="clear" w:color="auto" w:fill="auto"/>
            <w:noWrap/>
            <w:vAlign w:val="bottom"/>
            <w:hideMark/>
          </w:tcPr>
          <w:p w14:paraId="5A5CDCD9"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37916978"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46AAEF9B"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62B73DC6"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2AC9D0CA"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Desvio Padrão</w:t>
            </w:r>
          </w:p>
        </w:tc>
        <w:tc>
          <w:tcPr>
            <w:tcW w:w="1980" w:type="dxa"/>
            <w:gridSpan w:val="2"/>
            <w:tcBorders>
              <w:top w:val="nil"/>
              <w:left w:val="nil"/>
              <w:bottom w:val="nil"/>
              <w:right w:val="nil"/>
            </w:tcBorders>
            <w:shd w:val="clear" w:color="auto" w:fill="auto"/>
            <w:noWrap/>
            <w:vAlign w:val="bottom"/>
            <w:hideMark/>
          </w:tcPr>
          <w:p w14:paraId="1B5B9287"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312</w:t>
            </w:r>
          </w:p>
        </w:tc>
        <w:tc>
          <w:tcPr>
            <w:tcW w:w="1495" w:type="dxa"/>
            <w:gridSpan w:val="2"/>
            <w:tcBorders>
              <w:top w:val="nil"/>
              <w:left w:val="nil"/>
              <w:bottom w:val="nil"/>
              <w:right w:val="nil"/>
            </w:tcBorders>
            <w:shd w:val="clear" w:color="auto" w:fill="auto"/>
            <w:noWrap/>
            <w:vAlign w:val="bottom"/>
            <w:hideMark/>
          </w:tcPr>
          <w:p w14:paraId="231100EA"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5E5CC981"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188A8BCB"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26B6F9A8"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54946E88"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Variância</w:t>
            </w:r>
          </w:p>
        </w:tc>
        <w:tc>
          <w:tcPr>
            <w:tcW w:w="1556" w:type="dxa"/>
            <w:gridSpan w:val="2"/>
            <w:tcBorders>
              <w:top w:val="nil"/>
              <w:left w:val="nil"/>
              <w:bottom w:val="nil"/>
              <w:right w:val="nil"/>
            </w:tcBorders>
            <w:shd w:val="clear" w:color="auto" w:fill="auto"/>
            <w:noWrap/>
            <w:vAlign w:val="bottom"/>
            <w:hideMark/>
          </w:tcPr>
          <w:p w14:paraId="5D6142B4"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7748D16C"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97.598</w:t>
            </w:r>
          </w:p>
        </w:tc>
        <w:tc>
          <w:tcPr>
            <w:tcW w:w="1495" w:type="dxa"/>
            <w:gridSpan w:val="2"/>
            <w:tcBorders>
              <w:top w:val="nil"/>
              <w:left w:val="nil"/>
              <w:bottom w:val="nil"/>
              <w:right w:val="nil"/>
            </w:tcBorders>
            <w:shd w:val="clear" w:color="auto" w:fill="auto"/>
            <w:noWrap/>
            <w:vAlign w:val="bottom"/>
            <w:hideMark/>
          </w:tcPr>
          <w:p w14:paraId="3F971ADD"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22EE693A"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6B3E3275"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1621BA66"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26F891C1"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Obliquidade</w:t>
            </w:r>
          </w:p>
        </w:tc>
        <w:tc>
          <w:tcPr>
            <w:tcW w:w="1556" w:type="dxa"/>
            <w:gridSpan w:val="2"/>
            <w:tcBorders>
              <w:top w:val="nil"/>
              <w:left w:val="nil"/>
              <w:bottom w:val="nil"/>
              <w:right w:val="nil"/>
            </w:tcBorders>
            <w:shd w:val="clear" w:color="auto" w:fill="auto"/>
            <w:noWrap/>
            <w:vAlign w:val="bottom"/>
            <w:hideMark/>
          </w:tcPr>
          <w:p w14:paraId="28FC6385"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7582A6F3"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0,5175</w:t>
            </w:r>
          </w:p>
        </w:tc>
        <w:tc>
          <w:tcPr>
            <w:tcW w:w="1495" w:type="dxa"/>
            <w:gridSpan w:val="2"/>
            <w:tcBorders>
              <w:top w:val="nil"/>
              <w:left w:val="nil"/>
              <w:bottom w:val="nil"/>
              <w:right w:val="nil"/>
            </w:tcBorders>
            <w:shd w:val="clear" w:color="auto" w:fill="auto"/>
            <w:noWrap/>
            <w:vAlign w:val="bottom"/>
            <w:hideMark/>
          </w:tcPr>
          <w:p w14:paraId="304BBCFA"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649D90AB"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4F5A2B89"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4C2298A1"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66464881"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Curtose</w:t>
            </w:r>
          </w:p>
        </w:tc>
        <w:tc>
          <w:tcPr>
            <w:tcW w:w="1556" w:type="dxa"/>
            <w:gridSpan w:val="2"/>
            <w:tcBorders>
              <w:top w:val="nil"/>
              <w:left w:val="nil"/>
              <w:bottom w:val="nil"/>
              <w:right w:val="nil"/>
            </w:tcBorders>
            <w:shd w:val="clear" w:color="auto" w:fill="auto"/>
            <w:noWrap/>
            <w:vAlign w:val="bottom"/>
            <w:hideMark/>
          </w:tcPr>
          <w:p w14:paraId="31586BE9"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28308477"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3,48</w:t>
            </w:r>
          </w:p>
        </w:tc>
        <w:tc>
          <w:tcPr>
            <w:tcW w:w="1495" w:type="dxa"/>
            <w:gridSpan w:val="2"/>
            <w:tcBorders>
              <w:top w:val="nil"/>
              <w:left w:val="nil"/>
              <w:bottom w:val="nil"/>
              <w:right w:val="nil"/>
            </w:tcBorders>
            <w:shd w:val="clear" w:color="auto" w:fill="auto"/>
            <w:noWrap/>
            <w:vAlign w:val="bottom"/>
            <w:hideMark/>
          </w:tcPr>
          <w:p w14:paraId="68569342"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5C5C367F"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5714F953"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5144FF69"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5F073469"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Coeficiente de Variação</w:t>
            </w:r>
          </w:p>
        </w:tc>
        <w:tc>
          <w:tcPr>
            <w:tcW w:w="1980" w:type="dxa"/>
            <w:gridSpan w:val="2"/>
            <w:tcBorders>
              <w:top w:val="nil"/>
              <w:left w:val="nil"/>
              <w:bottom w:val="nil"/>
              <w:right w:val="nil"/>
            </w:tcBorders>
            <w:shd w:val="clear" w:color="auto" w:fill="auto"/>
            <w:noWrap/>
            <w:vAlign w:val="bottom"/>
            <w:hideMark/>
          </w:tcPr>
          <w:p w14:paraId="3272951C"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0,1769</w:t>
            </w:r>
          </w:p>
        </w:tc>
        <w:tc>
          <w:tcPr>
            <w:tcW w:w="1495" w:type="dxa"/>
            <w:gridSpan w:val="2"/>
            <w:tcBorders>
              <w:top w:val="nil"/>
              <w:left w:val="nil"/>
              <w:bottom w:val="nil"/>
              <w:right w:val="nil"/>
            </w:tcBorders>
            <w:shd w:val="clear" w:color="auto" w:fill="auto"/>
            <w:noWrap/>
            <w:vAlign w:val="bottom"/>
            <w:hideMark/>
          </w:tcPr>
          <w:p w14:paraId="70CF1B66"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545B1C27"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59E68602"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5AADB9F8"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55C4509C"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Mínimo</w:t>
            </w:r>
          </w:p>
        </w:tc>
        <w:tc>
          <w:tcPr>
            <w:tcW w:w="1556" w:type="dxa"/>
            <w:gridSpan w:val="2"/>
            <w:tcBorders>
              <w:top w:val="nil"/>
              <w:left w:val="nil"/>
              <w:bottom w:val="nil"/>
              <w:right w:val="nil"/>
            </w:tcBorders>
            <w:shd w:val="clear" w:color="auto" w:fill="auto"/>
            <w:noWrap/>
            <w:vAlign w:val="bottom"/>
            <w:hideMark/>
          </w:tcPr>
          <w:p w14:paraId="675551A1"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4F2968FA"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798</w:t>
            </w:r>
          </w:p>
        </w:tc>
        <w:tc>
          <w:tcPr>
            <w:tcW w:w="1495" w:type="dxa"/>
            <w:gridSpan w:val="2"/>
            <w:tcBorders>
              <w:top w:val="nil"/>
              <w:left w:val="nil"/>
              <w:bottom w:val="nil"/>
              <w:right w:val="nil"/>
            </w:tcBorders>
            <w:shd w:val="clear" w:color="auto" w:fill="auto"/>
            <w:noWrap/>
            <w:vAlign w:val="bottom"/>
            <w:hideMark/>
          </w:tcPr>
          <w:p w14:paraId="02AD1059"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4458CB6C"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3619DF04"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7BAFDF5A"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25187DBA"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Máximo</w:t>
            </w:r>
          </w:p>
        </w:tc>
        <w:tc>
          <w:tcPr>
            <w:tcW w:w="1556" w:type="dxa"/>
            <w:gridSpan w:val="2"/>
            <w:tcBorders>
              <w:top w:val="nil"/>
              <w:left w:val="nil"/>
              <w:bottom w:val="nil"/>
              <w:right w:val="nil"/>
            </w:tcBorders>
            <w:shd w:val="clear" w:color="auto" w:fill="auto"/>
            <w:noWrap/>
            <w:vAlign w:val="bottom"/>
            <w:hideMark/>
          </w:tcPr>
          <w:p w14:paraId="379C1021"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7923875E"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3.645</w:t>
            </w:r>
          </w:p>
        </w:tc>
        <w:tc>
          <w:tcPr>
            <w:tcW w:w="1495" w:type="dxa"/>
            <w:gridSpan w:val="2"/>
            <w:tcBorders>
              <w:top w:val="nil"/>
              <w:left w:val="nil"/>
              <w:bottom w:val="nil"/>
              <w:right w:val="nil"/>
            </w:tcBorders>
            <w:shd w:val="clear" w:color="auto" w:fill="auto"/>
            <w:noWrap/>
            <w:vAlign w:val="bottom"/>
            <w:hideMark/>
          </w:tcPr>
          <w:p w14:paraId="630D28FE"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0AEA7E41"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1332F7CA"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198D6D4E"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61A6FC6F"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Largura do Intervalo</w:t>
            </w:r>
          </w:p>
        </w:tc>
        <w:tc>
          <w:tcPr>
            <w:tcW w:w="1980" w:type="dxa"/>
            <w:gridSpan w:val="2"/>
            <w:tcBorders>
              <w:top w:val="nil"/>
              <w:left w:val="nil"/>
              <w:bottom w:val="nil"/>
              <w:right w:val="nil"/>
            </w:tcBorders>
            <w:shd w:val="clear" w:color="auto" w:fill="auto"/>
            <w:noWrap/>
            <w:vAlign w:val="bottom"/>
            <w:hideMark/>
          </w:tcPr>
          <w:p w14:paraId="5E2F29E1"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2.847</w:t>
            </w:r>
          </w:p>
        </w:tc>
        <w:tc>
          <w:tcPr>
            <w:tcW w:w="1495" w:type="dxa"/>
            <w:gridSpan w:val="2"/>
            <w:tcBorders>
              <w:top w:val="nil"/>
              <w:left w:val="nil"/>
              <w:bottom w:val="nil"/>
              <w:right w:val="nil"/>
            </w:tcBorders>
            <w:shd w:val="clear" w:color="auto" w:fill="auto"/>
            <w:noWrap/>
            <w:vAlign w:val="bottom"/>
            <w:hideMark/>
          </w:tcPr>
          <w:p w14:paraId="52668ABB"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42E51AA6"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56E44631"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2558B9DB"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57DEC63F" w14:textId="3EAAB2E1" w:rsidR="00204DAB" w:rsidRPr="00180F38" w:rsidRDefault="00204DAB" w:rsidP="00204DAB">
            <w:pPr>
              <w:spacing w:after="0" w:line="240" w:lineRule="auto"/>
              <w:rPr>
                <w:rFonts w:ascii="Arial" w:eastAsia="Times New Roman" w:hAnsi="Arial" w:cs="Arial"/>
                <w:sz w:val="20"/>
                <w:szCs w:val="20"/>
                <w:lang w:val="pt-BR"/>
              </w:rPr>
            </w:pPr>
            <w:r w:rsidRPr="00180F38">
              <w:rPr>
                <w:rFonts w:ascii="Arial" w:eastAsia="Times New Roman" w:hAnsi="Arial" w:cs="Arial"/>
                <w:sz w:val="20"/>
                <w:szCs w:val="20"/>
                <w:lang w:val="pt-BR"/>
              </w:rPr>
              <w:t xml:space="preserve">Erro Padrão </w:t>
            </w:r>
            <w:r w:rsidR="00180F38">
              <w:rPr>
                <w:rFonts w:ascii="Arial" w:eastAsia="Times New Roman" w:hAnsi="Arial" w:cs="Arial"/>
                <w:sz w:val="20"/>
                <w:szCs w:val="20"/>
                <w:lang w:val="pt-BR"/>
              </w:rPr>
              <w:t xml:space="preserve">da </w:t>
            </w:r>
            <w:r w:rsidRPr="00180F38">
              <w:rPr>
                <w:rFonts w:ascii="Arial" w:eastAsia="Times New Roman" w:hAnsi="Arial" w:cs="Arial"/>
                <w:sz w:val="20"/>
                <w:szCs w:val="20"/>
                <w:lang w:val="pt-BR"/>
              </w:rPr>
              <w:t>Média</w:t>
            </w:r>
          </w:p>
        </w:tc>
        <w:tc>
          <w:tcPr>
            <w:tcW w:w="1980" w:type="dxa"/>
            <w:gridSpan w:val="2"/>
            <w:tcBorders>
              <w:top w:val="nil"/>
              <w:left w:val="nil"/>
              <w:bottom w:val="nil"/>
              <w:right w:val="nil"/>
            </w:tcBorders>
            <w:shd w:val="clear" w:color="auto" w:fill="auto"/>
            <w:noWrap/>
            <w:vAlign w:val="bottom"/>
            <w:hideMark/>
          </w:tcPr>
          <w:p w14:paraId="186847DD"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1</w:t>
            </w:r>
          </w:p>
        </w:tc>
        <w:tc>
          <w:tcPr>
            <w:tcW w:w="1495" w:type="dxa"/>
            <w:gridSpan w:val="2"/>
            <w:tcBorders>
              <w:top w:val="nil"/>
              <w:left w:val="nil"/>
              <w:bottom w:val="nil"/>
              <w:right w:val="nil"/>
            </w:tcBorders>
            <w:shd w:val="clear" w:color="auto" w:fill="auto"/>
            <w:noWrap/>
            <w:vAlign w:val="bottom"/>
            <w:hideMark/>
          </w:tcPr>
          <w:p w14:paraId="7399AF1E"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69DFF6D3"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709DEFE2"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0E65A1D1"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6BFD847F" w14:textId="77777777" w:rsidR="00204DAB" w:rsidRPr="00180F38"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77D0F777" w14:textId="77777777" w:rsidR="00204DAB" w:rsidRPr="00180F38"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26B28FD6"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2B44C51B"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084A77C6"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642C2FA8"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760894C1"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423FA06E"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1DFA8098"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2E23F886"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3501F416"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26FDCDCE"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4CABF688"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0E2D1EE5"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7406E904"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482636A3"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7D0AF28A"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2807847B"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43722F56"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4757C2B1" w14:textId="77777777" w:rsidTr="00204DAB">
        <w:trPr>
          <w:gridAfter w:val="1"/>
          <w:wAfter w:w="76" w:type="dxa"/>
          <w:trHeight w:val="252"/>
        </w:trPr>
        <w:tc>
          <w:tcPr>
            <w:tcW w:w="3320" w:type="dxa"/>
            <w:gridSpan w:val="4"/>
            <w:tcBorders>
              <w:top w:val="nil"/>
              <w:left w:val="nil"/>
              <w:bottom w:val="nil"/>
              <w:right w:val="nil"/>
            </w:tcBorders>
            <w:shd w:val="clear" w:color="auto" w:fill="auto"/>
            <w:noWrap/>
            <w:vAlign w:val="bottom"/>
            <w:hideMark/>
          </w:tcPr>
          <w:p w14:paraId="7C1D9126"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Percentis:</w:t>
            </w:r>
          </w:p>
        </w:tc>
        <w:tc>
          <w:tcPr>
            <w:tcW w:w="1556" w:type="dxa"/>
            <w:gridSpan w:val="2"/>
            <w:tcBorders>
              <w:top w:val="nil"/>
              <w:left w:val="nil"/>
              <w:bottom w:val="nil"/>
              <w:right w:val="nil"/>
            </w:tcBorders>
            <w:shd w:val="clear" w:color="auto" w:fill="auto"/>
            <w:noWrap/>
            <w:vAlign w:val="bottom"/>
            <w:hideMark/>
          </w:tcPr>
          <w:p w14:paraId="15566587"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2E81B64C"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Valores de previsão</w:t>
            </w:r>
          </w:p>
        </w:tc>
        <w:tc>
          <w:tcPr>
            <w:tcW w:w="1495" w:type="dxa"/>
            <w:gridSpan w:val="2"/>
            <w:tcBorders>
              <w:top w:val="nil"/>
              <w:left w:val="nil"/>
              <w:bottom w:val="nil"/>
              <w:right w:val="nil"/>
            </w:tcBorders>
            <w:shd w:val="clear" w:color="auto" w:fill="auto"/>
            <w:noWrap/>
            <w:vAlign w:val="bottom"/>
            <w:hideMark/>
          </w:tcPr>
          <w:p w14:paraId="413B5BAC"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1D38BC10"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1F91C61C"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0CD4DB31"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5CE9A6F0"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0%</w:t>
            </w:r>
          </w:p>
        </w:tc>
        <w:tc>
          <w:tcPr>
            <w:tcW w:w="1556" w:type="dxa"/>
            <w:gridSpan w:val="2"/>
            <w:tcBorders>
              <w:top w:val="nil"/>
              <w:left w:val="nil"/>
              <w:bottom w:val="nil"/>
              <w:right w:val="nil"/>
            </w:tcBorders>
            <w:shd w:val="clear" w:color="auto" w:fill="auto"/>
            <w:noWrap/>
            <w:vAlign w:val="bottom"/>
            <w:hideMark/>
          </w:tcPr>
          <w:p w14:paraId="0AB6319D"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0A9A0125"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798</w:t>
            </w:r>
          </w:p>
        </w:tc>
        <w:tc>
          <w:tcPr>
            <w:tcW w:w="1495" w:type="dxa"/>
            <w:gridSpan w:val="2"/>
            <w:tcBorders>
              <w:top w:val="nil"/>
              <w:left w:val="nil"/>
              <w:bottom w:val="nil"/>
              <w:right w:val="nil"/>
            </w:tcBorders>
            <w:shd w:val="clear" w:color="auto" w:fill="auto"/>
            <w:noWrap/>
            <w:vAlign w:val="bottom"/>
            <w:hideMark/>
          </w:tcPr>
          <w:p w14:paraId="512AA941"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6CAC0105"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6BE75606"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3669D0CD"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147C1DE5"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10%</w:t>
            </w:r>
          </w:p>
        </w:tc>
        <w:tc>
          <w:tcPr>
            <w:tcW w:w="1556" w:type="dxa"/>
            <w:gridSpan w:val="2"/>
            <w:tcBorders>
              <w:top w:val="nil"/>
              <w:left w:val="nil"/>
              <w:bottom w:val="nil"/>
              <w:right w:val="nil"/>
            </w:tcBorders>
            <w:shd w:val="clear" w:color="auto" w:fill="auto"/>
            <w:noWrap/>
            <w:vAlign w:val="bottom"/>
            <w:hideMark/>
          </w:tcPr>
          <w:p w14:paraId="7893905D"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50162623"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1.388</w:t>
            </w:r>
          </w:p>
        </w:tc>
        <w:tc>
          <w:tcPr>
            <w:tcW w:w="1495" w:type="dxa"/>
            <w:gridSpan w:val="2"/>
            <w:tcBorders>
              <w:top w:val="nil"/>
              <w:left w:val="nil"/>
              <w:bottom w:val="nil"/>
              <w:right w:val="nil"/>
            </w:tcBorders>
            <w:shd w:val="clear" w:color="auto" w:fill="auto"/>
            <w:noWrap/>
            <w:vAlign w:val="bottom"/>
            <w:hideMark/>
          </w:tcPr>
          <w:p w14:paraId="7CC1EB59"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366E9EFB"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721AA5FE"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24DC08E3"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284DA4BD"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20%</w:t>
            </w:r>
          </w:p>
        </w:tc>
        <w:tc>
          <w:tcPr>
            <w:tcW w:w="1556" w:type="dxa"/>
            <w:gridSpan w:val="2"/>
            <w:tcBorders>
              <w:top w:val="nil"/>
              <w:left w:val="nil"/>
              <w:bottom w:val="nil"/>
              <w:right w:val="nil"/>
            </w:tcBorders>
            <w:shd w:val="clear" w:color="auto" w:fill="auto"/>
            <w:noWrap/>
            <w:vAlign w:val="bottom"/>
            <w:hideMark/>
          </w:tcPr>
          <w:p w14:paraId="45B5A9F2"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65458719"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1.501</w:t>
            </w:r>
          </w:p>
        </w:tc>
        <w:tc>
          <w:tcPr>
            <w:tcW w:w="1495" w:type="dxa"/>
            <w:gridSpan w:val="2"/>
            <w:tcBorders>
              <w:top w:val="nil"/>
              <w:left w:val="nil"/>
              <w:bottom w:val="nil"/>
              <w:right w:val="nil"/>
            </w:tcBorders>
            <w:shd w:val="clear" w:color="auto" w:fill="auto"/>
            <w:noWrap/>
            <w:vAlign w:val="bottom"/>
            <w:hideMark/>
          </w:tcPr>
          <w:p w14:paraId="375CB049"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79E3B110"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157FBFC6"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035EF9D6"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6DA34441"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30%</w:t>
            </w:r>
          </w:p>
        </w:tc>
        <w:tc>
          <w:tcPr>
            <w:tcW w:w="1556" w:type="dxa"/>
            <w:gridSpan w:val="2"/>
            <w:tcBorders>
              <w:top w:val="nil"/>
              <w:left w:val="nil"/>
              <w:bottom w:val="nil"/>
              <w:right w:val="nil"/>
            </w:tcBorders>
            <w:shd w:val="clear" w:color="auto" w:fill="auto"/>
            <w:noWrap/>
            <w:vAlign w:val="bottom"/>
            <w:hideMark/>
          </w:tcPr>
          <w:p w14:paraId="2B7E76B0"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2D9C0831"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1.587</w:t>
            </w:r>
          </w:p>
        </w:tc>
        <w:tc>
          <w:tcPr>
            <w:tcW w:w="1495" w:type="dxa"/>
            <w:gridSpan w:val="2"/>
            <w:tcBorders>
              <w:top w:val="nil"/>
              <w:left w:val="nil"/>
              <w:bottom w:val="nil"/>
              <w:right w:val="nil"/>
            </w:tcBorders>
            <w:shd w:val="clear" w:color="auto" w:fill="auto"/>
            <w:noWrap/>
            <w:vAlign w:val="bottom"/>
            <w:hideMark/>
          </w:tcPr>
          <w:p w14:paraId="55F319DD"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6A3419DC"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03F4D434"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60ECCA6C"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771E739D"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40%</w:t>
            </w:r>
          </w:p>
        </w:tc>
        <w:tc>
          <w:tcPr>
            <w:tcW w:w="1556" w:type="dxa"/>
            <w:gridSpan w:val="2"/>
            <w:tcBorders>
              <w:top w:val="nil"/>
              <w:left w:val="nil"/>
              <w:bottom w:val="nil"/>
              <w:right w:val="nil"/>
            </w:tcBorders>
            <w:shd w:val="clear" w:color="auto" w:fill="auto"/>
            <w:noWrap/>
            <w:vAlign w:val="bottom"/>
            <w:hideMark/>
          </w:tcPr>
          <w:p w14:paraId="66463AD4"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2F4BCD54"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1.663</w:t>
            </w:r>
          </w:p>
        </w:tc>
        <w:tc>
          <w:tcPr>
            <w:tcW w:w="1495" w:type="dxa"/>
            <w:gridSpan w:val="2"/>
            <w:tcBorders>
              <w:top w:val="nil"/>
              <w:left w:val="nil"/>
              <w:bottom w:val="nil"/>
              <w:right w:val="nil"/>
            </w:tcBorders>
            <w:shd w:val="clear" w:color="auto" w:fill="auto"/>
            <w:noWrap/>
            <w:vAlign w:val="bottom"/>
            <w:hideMark/>
          </w:tcPr>
          <w:p w14:paraId="0A10E217"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44BE4646"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2BE90EEA"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627D7853"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027DF327"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50%</w:t>
            </w:r>
          </w:p>
        </w:tc>
        <w:tc>
          <w:tcPr>
            <w:tcW w:w="1556" w:type="dxa"/>
            <w:gridSpan w:val="2"/>
            <w:tcBorders>
              <w:top w:val="nil"/>
              <w:left w:val="nil"/>
              <w:bottom w:val="nil"/>
              <w:right w:val="nil"/>
            </w:tcBorders>
            <w:shd w:val="clear" w:color="auto" w:fill="auto"/>
            <w:noWrap/>
            <w:vAlign w:val="bottom"/>
            <w:hideMark/>
          </w:tcPr>
          <w:p w14:paraId="34E5E155"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72023C44"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1.740</w:t>
            </w:r>
          </w:p>
        </w:tc>
        <w:tc>
          <w:tcPr>
            <w:tcW w:w="1495" w:type="dxa"/>
            <w:gridSpan w:val="2"/>
            <w:tcBorders>
              <w:top w:val="nil"/>
              <w:left w:val="nil"/>
              <w:bottom w:val="nil"/>
              <w:right w:val="nil"/>
            </w:tcBorders>
            <w:shd w:val="clear" w:color="auto" w:fill="auto"/>
            <w:noWrap/>
            <w:vAlign w:val="bottom"/>
            <w:hideMark/>
          </w:tcPr>
          <w:p w14:paraId="5ACEEAFF"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4F1A20DD"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31A70C09"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26EE0126"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13AED5FD"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60%</w:t>
            </w:r>
          </w:p>
        </w:tc>
        <w:tc>
          <w:tcPr>
            <w:tcW w:w="1556" w:type="dxa"/>
            <w:gridSpan w:val="2"/>
            <w:tcBorders>
              <w:top w:val="nil"/>
              <w:left w:val="nil"/>
              <w:bottom w:val="nil"/>
              <w:right w:val="nil"/>
            </w:tcBorders>
            <w:shd w:val="clear" w:color="auto" w:fill="auto"/>
            <w:noWrap/>
            <w:vAlign w:val="bottom"/>
            <w:hideMark/>
          </w:tcPr>
          <w:p w14:paraId="355413D1"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758908A6"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1.820</w:t>
            </w:r>
          </w:p>
        </w:tc>
        <w:tc>
          <w:tcPr>
            <w:tcW w:w="1495" w:type="dxa"/>
            <w:gridSpan w:val="2"/>
            <w:tcBorders>
              <w:top w:val="nil"/>
              <w:left w:val="nil"/>
              <w:bottom w:val="nil"/>
              <w:right w:val="nil"/>
            </w:tcBorders>
            <w:shd w:val="clear" w:color="auto" w:fill="auto"/>
            <w:noWrap/>
            <w:vAlign w:val="bottom"/>
            <w:hideMark/>
          </w:tcPr>
          <w:p w14:paraId="251DAC56"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7E692599"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434899B6"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708573AF"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4AB3E62D"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70%</w:t>
            </w:r>
          </w:p>
        </w:tc>
        <w:tc>
          <w:tcPr>
            <w:tcW w:w="1556" w:type="dxa"/>
            <w:gridSpan w:val="2"/>
            <w:tcBorders>
              <w:top w:val="nil"/>
              <w:left w:val="nil"/>
              <w:bottom w:val="nil"/>
              <w:right w:val="nil"/>
            </w:tcBorders>
            <w:shd w:val="clear" w:color="auto" w:fill="auto"/>
            <w:noWrap/>
            <w:vAlign w:val="bottom"/>
            <w:hideMark/>
          </w:tcPr>
          <w:p w14:paraId="729231DF"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6D903CEF"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1.908</w:t>
            </w:r>
          </w:p>
        </w:tc>
        <w:tc>
          <w:tcPr>
            <w:tcW w:w="1495" w:type="dxa"/>
            <w:gridSpan w:val="2"/>
            <w:tcBorders>
              <w:top w:val="nil"/>
              <w:left w:val="nil"/>
              <w:bottom w:val="nil"/>
              <w:right w:val="nil"/>
            </w:tcBorders>
            <w:shd w:val="clear" w:color="auto" w:fill="auto"/>
            <w:noWrap/>
            <w:vAlign w:val="bottom"/>
            <w:hideMark/>
          </w:tcPr>
          <w:p w14:paraId="517E7FA7"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7CF419FB"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6786A6AB"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533DB076"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00A77471"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80%</w:t>
            </w:r>
          </w:p>
        </w:tc>
        <w:tc>
          <w:tcPr>
            <w:tcW w:w="1556" w:type="dxa"/>
            <w:gridSpan w:val="2"/>
            <w:tcBorders>
              <w:top w:val="nil"/>
              <w:left w:val="nil"/>
              <w:bottom w:val="nil"/>
              <w:right w:val="nil"/>
            </w:tcBorders>
            <w:shd w:val="clear" w:color="auto" w:fill="auto"/>
            <w:noWrap/>
            <w:vAlign w:val="bottom"/>
            <w:hideMark/>
          </w:tcPr>
          <w:p w14:paraId="332AB0CC"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07CD6039"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2.016</w:t>
            </w:r>
          </w:p>
        </w:tc>
        <w:tc>
          <w:tcPr>
            <w:tcW w:w="1495" w:type="dxa"/>
            <w:gridSpan w:val="2"/>
            <w:tcBorders>
              <w:top w:val="nil"/>
              <w:left w:val="nil"/>
              <w:bottom w:val="nil"/>
              <w:right w:val="nil"/>
            </w:tcBorders>
            <w:shd w:val="clear" w:color="auto" w:fill="auto"/>
            <w:noWrap/>
            <w:vAlign w:val="bottom"/>
            <w:hideMark/>
          </w:tcPr>
          <w:p w14:paraId="6CF12F14"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7BA7F594"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12C247B8"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33B4CBC8"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39FA9372"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90%</w:t>
            </w:r>
          </w:p>
        </w:tc>
        <w:tc>
          <w:tcPr>
            <w:tcW w:w="1556" w:type="dxa"/>
            <w:gridSpan w:val="2"/>
            <w:tcBorders>
              <w:top w:val="nil"/>
              <w:left w:val="nil"/>
              <w:bottom w:val="nil"/>
              <w:right w:val="nil"/>
            </w:tcBorders>
            <w:shd w:val="clear" w:color="auto" w:fill="auto"/>
            <w:noWrap/>
            <w:vAlign w:val="bottom"/>
            <w:hideMark/>
          </w:tcPr>
          <w:p w14:paraId="5CF74372"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14E34DC0"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2.177</w:t>
            </w:r>
          </w:p>
        </w:tc>
        <w:tc>
          <w:tcPr>
            <w:tcW w:w="1495" w:type="dxa"/>
            <w:gridSpan w:val="2"/>
            <w:tcBorders>
              <w:top w:val="nil"/>
              <w:left w:val="nil"/>
              <w:bottom w:val="nil"/>
              <w:right w:val="nil"/>
            </w:tcBorders>
            <w:shd w:val="clear" w:color="auto" w:fill="auto"/>
            <w:noWrap/>
            <w:vAlign w:val="bottom"/>
            <w:hideMark/>
          </w:tcPr>
          <w:p w14:paraId="6F2A705A"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4A250FFA"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5C956C92"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4246143E"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1583636C"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100%</w:t>
            </w:r>
          </w:p>
        </w:tc>
        <w:tc>
          <w:tcPr>
            <w:tcW w:w="1556" w:type="dxa"/>
            <w:gridSpan w:val="2"/>
            <w:tcBorders>
              <w:top w:val="nil"/>
              <w:left w:val="nil"/>
              <w:bottom w:val="nil"/>
              <w:right w:val="nil"/>
            </w:tcBorders>
            <w:shd w:val="clear" w:color="auto" w:fill="auto"/>
            <w:noWrap/>
            <w:vAlign w:val="bottom"/>
            <w:hideMark/>
          </w:tcPr>
          <w:p w14:paraId="6C89D1FD"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7E49DA1B"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3.645</w:t>
            </w:r>
          </w:p>
        </w:tc>
        <w:tc>
          <w:tcPr>
            <w:tcW w:w="1495" w:type="dxa"/>
            <w:gridSpan w:val="2"/>
            <w:tcBorders>
              <w:top w:val="nil"/>
              <w:left w:val="nil"/>
              <w:bottom w:val="nil"/>
              <w:right w:val="nil"/>
            </w:tcBorders>
            <w:shd w:val="clear" w:color="auto" w:fill="auto"/>
            <w:noWrap/>
            <w:vAlign w:val="bottom"/>
            <w:hideMark/>
          </w:tcPr>
          <w:p w14:paraId="7241401B"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4C454737"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481D8082"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6B730ABB"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376FA524"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511F1DA2"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31C0BB9A"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49E9BE10"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272D51B8"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04E0A0A7"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2ED7CF73"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283E288D"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73A65E6B"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50812DB9"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06C3FFFB"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283FF7A2"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531F1E31" w14:textId="77777777" w:rsidTr="00204DAB">
        <w:trPr>
          <w:gridAfter w:val="1"/>
          <w:wAfter w:w="76" w:type="dxa"/>
          <w:trHeight w:val="252"/>
        </w:trPr>
        <w:tc>
          <w:tcPr>
            <w:tcW w:w="11831" w:type="dxa"/>
            <w:gridSpan w:val="11"/>
            <w:tcBorders>
              <w:top w:val="nil"/>
              <w:left w:val="nil"/>
              <w:bottom w:val="nil"/>
              <w:right w:val="nil"/>
            </w:tcBorders>
            <w:shd w:val="clear" w:color="auto" w:fill="auto"/>
            <w:noWrap/>
            <w:vAlign w:val="bottom"/>
            <w:hideMark/>
          </w:tcPr>
          <w:p w14:paraId="387FD13A" w14:textId="77777777" w:rsidR="00204DAB" w:rsidRPr="00FE20B5" w:rsidRDefault="00204DAB" w:rsidP="00204DAB">
            <w:pPr>
              <w:spacing w:after="0" w:line="240" w:lineRule="auto"/>
              <w:rPr>
                <w:rFonts w:ascii="Arial" w:eastAsia="Times New Roman" w:hAnsi="Arial" w:cs="Arial"/>
                <w:b/>
                <w:sz w:val="24"/>
                <w:szCs w:val="24"/>
                <w:lang w:val="pt-BR"/>
              </w:rPr>
            </w:pPr>
            <w:r w:rsidRPr="00FE20B5">
              <w:rPr>
                <w:rFonts w:ascii="Arial" w:eastAsia="Times New Roman" w:hAnsi="Arial" w:cs="Arial"/>
                <w:b/>
                <w:sz w:val="24"/>
                <w:szCs w:val="24"/>
                <w:lang w:val="pt-BR"/>
              </w:rPr>
              <w:t>Patrimônio Líquido</w:t>
            </w:r>
          </w:p>
        </w:tc>
      </w:tr>
      <w:tr w:rsidR="00204DAB" w:rsidRPr="00FE20B5" w14:paraId="32A57FDA" w14:textId="77777777" w:rsidTr="00204DAB">
        <w:trPr>
          <w:gridAfter w:val="1"/>
          <w:wAfter w:w="76" w:type="dxa"/>
          <w:trHeight w:val="252"/>
        </w:trPr>
        <w:tc>
          <w:tcPr>
            <w:tcW w:w="3320" w:type="dxa"/>
            <w:gridSpan w:val="4"/>
            <w:tcBorders>
              <w:top w:val="nil"/>
              <w:left w:val="nil"/>
              <w:bottom w:val="nil"/>
              <w:right w:val="nil"/>
            </w:tcBorders>
            <w:shd w:val="clear" w:color="auto" w:fill="auto"/>
            <w:noWrap/>
            <w:vAlign w:val="bottom"/>
            <w:hideMark/>
          </w:tcPr>
          <w:p w14:paraId="6BD62CFE"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Resumo:</w:t>
            </w:r>
          </w:p>
        </w:tc>
        <w:tc>
          <w:tcPr>
            <w:tcW w:w="1556" w:type="dxa"/>
            <w:gridSpan w:val="2"/>
            <w:tcBorders>
              <w:top w:val="nil"/>
              <w:left w:val="nil"/>
              <w:bottom w:val="nil"/>
              <w:right w:val="nil"/>
            </w:tcBorders>
            <w:shd w:val="clear" w:color="auto" w:fill="auto"/>
            <w:noWrap/>
            <w:vAlign w:val="bottom"/>
            <w:hideMark/>
          </w:tcPr>
          <w:p w14:paraId="1288FB65"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2C21138E"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0BF7FB77"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4376C5A5"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7D4102E4"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1226971B"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6D7F902B"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O nível de certeza é 90,000%</w:t>
            </w:r>
          </w:p>
        </w:tc>
        <w:tc>
          <w:tcPr>
            <w:tcW w:w="1980" w:type="dxa"/>
            <w:gridSpan w:val="2"/>
            <w:tcBorders>
              <w:top w:val="nil"/>
              <w:left w:val="nil"/>
              <w:bottom w:val="nil"/>
              <w:right w:val="nil"/>
            </w:tcBorders>
            <w:shd w:val="clear" w:color="auto" w:fill="auto"/>
            <w:noWrap/>
            <w:vAlign w:val="bottom"/>
            <w:hideMark/>
          </w:tcPr>
          <w:p w14:paraId="51CAA5A6"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6641BE06"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0323DB87"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00076CB2"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4218E6FB" w14:textId="77777777" w:rsidR="00204DAB" w:rsidRPr="00FE20B5" w:rsidRDefault="00204DAB" w:rsidP="00204DAB">
            <w:pPr>
              <w:spacing w:after="0" w:line="240" w:lineRule="auto"/>
              <w:rPr>
                <w:rFonts w:ascii="Arial" w:eastAsia="Times New Roman" w:hAnsi="Arial" w:cs="Arial"/>
                <w:sz w:val="20"/>
                <w:szCs w:val="20"/>
                <w:lang w:val="pt-BR"/>
              </w:rPr>
            </w:pPr>
          </w:p>
        </w:tc>
        <w:tc>
          <w:tcPr>
            <w:tcW w:w="5052" w:type="dxa"/>
            <w:gridSpan w:val="6"/>
            <w:tcBorders>
              <w:top w:val="nil"/>
              <w:left w:val="nil"/>
              <w:bottom w:val="nil"/>
              <w:right w:val="nil"/>
            </w:tcBorders>
            <w:shd w:val="clear" w:color="auto" w:fill="auto"/>
            <w:noWrap/>
            <w:vAlign w:val="bottom"/>
            <w:hideMark/>
          </w:tcPr>
          <w:p w14:paraId="5061F24A"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O intervalo de certeza é de 2.280 a 6.000</w:t>
            </w:r>
          </w:p>
        </w:tc>
        <w:tc>
          <w:tcPr>
            <w:tcW w:w="1495" w:type="dxa"/>
            <w:gridSpan w:val="2"/>
            <w:tcBorders>
              <w:top w:val="nil"/>
              <w:left w:val="nil"/>
              <w:bottom w:val="nil"/>
              <w:right w:val="nil"/>
            </w:tcBorders>
            <w:shd w:val="clear" w:color="auto" w:fill="auto"/>
            <w:noWrap/>
            <w:vAlign w:val="bottom"/>
            <w:hideMark/>
          </w:tcPr>
          <w:p w14:paraId="5898E92F"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7D3683EA"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430B9262"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37E19326" w14:textId="77777777" w:rsidR="00204DAB" w:rsidRPr="00FE20B5" w:rsidRDefault="00204DAB" w:rsidP="00204DAB">
            <w:pPr>
              <w:spacing w:after="0" w:line="240" w:lineRule="auto"/>
              <w:rPr>
                <w:rFonts w:ascii="Arial" w:eastAsia="Times New Roman" w:hAnsi="Arial" w:cs="Arial"/>
                <w:sz w:val="20"/>
                <w:szCs w:val="20"/>
                <w:lang w:val="pt-BR"/>
              </w:rPr>
            </w:pPr>
          </w:p>
        </w:tc>
        <w:tc>
          <w:tcPr>
            <w:tcW w:w="5052" w:type="dxa"/>
            <w:gridSpan w:val="6"/>
            <w:tcBorders>
              <w:top w:val="nil"/>
              <w:left w:val="nil"/>
              <w:bottom w:val="nil"/>
              <w:right w:val="nil"/>
            </w:tcBorders>
            <w:shd w:val="clear" w:color="auto" w:fill="auto"/>
            <w:noWrap/>
            <w:vAlign w:val="bottom"/>
            <w:hideMark/>
          </w:tcPr>
          <w:p w14:paraId="63D6F245" w14:textId="359D27A6"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 xml:space="preserve">O intervalo inteiro </w:t>
            </w:r>
            <w:r w:rsidR="00180F38">
              <w:rPr>
                <w:rFonts w:ascii="Arial" w:eastAsia="Times New Roman" w:hAnsi="Arial" w:cs="Arial"/>
                <w:sz w:val="20"/>
                <w:szCs w:val="20"/>
                <w:lang w:val="pt-BR"/>
              </w:rPr>
              <w:t>é</w:t>
            </w:r>
            <w:r w:rsidRPr="00FE20B5">
              <w:rPr>
                <w:rFonts w:ascii="Arial" w:eastAsia="Times New Roman" w:hAnsi="Arial" w:cs="Arial"/>
                <w:sz w:val="20"/>
                <w:szCs w:val="20"/>
                <w:lang w:val="pt-BR"/>
              </w:rPr>
              <w:t xml:space="preserve"> de 1.310 a 5.985</w:t>
            </w:r>
          </w:p>
        </w:tc>
        <w:tc>
          <w:tcPr>
            <w:tcW w:w="1495" w:type="dxa"/>
            <w:gridSpan w:val="2"/>
            <w:tcBorders>
              <w:top w:val="nil"/>
              <w:left w:val="nil"/>
              <w:bottom w:val="nil"/>
              <w:right w:val="nil"/>
            </w:tcBorders>
            <w:shd w:val="clear" w:color="auto" w:fill="auto"/>
            <w:noWrap/>
            <w:vAlign w:val="bottom"/>
            <w:hideMark/>
          </w:tcPr>
          <w:p w14:paraId="481923E6"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0782F870"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3973FD4B"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2DFB9AA3"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28681B4F"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O caso base é 2.865</w:t>
            </w:r>
          </w:p>
        </w:tc>
        <w:tc>
          <w:tcPr>
            <w:tcW w:w="1980" w:type="dxa"/>
            <w:gridSpan w:val="2"/>
            <w:tcBorders>
              <w:top w:val="nil"/>
              <w:left w:val="nil"/>
              <w:bottom w:val="nil"/>
              <w:right w:val="nil"/>
            </w:tcBorders>
            <w:shd w:val="clear" w:color="auto" w:fill="auto"/>
            <w:noWrap/>
            <w:vAlign w:val="bottom"/>
            <w:hideMark/>
          </w:tcPr>
          <w:p w14:paraId="3CEC731A"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56087846"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1DFAE861"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2734D072"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31C90315" w14:textId="77777777" w:rsidR="00204DAB" w:rsidRPr="00FE20B5" w:rsidRDefault="00204DAB" w:rsidP="00204DAB">
            <w:pPr>
              <w:spacing w:after="0" w:line="240" w:lineRule="auto"/>
              <w:rPr>
                <w:rFonts w:ascii="Arial" w:eastAsia="Times New Roman" w:hAnsi="Arial" w:cs="Arial"/>
                <w:sz w:val="20"/>
                <w:szCs w:val="20"/>
                <w:lang w:val="pt-BR"/>
              </w:rPr>
            </w:pPr>
          </w:p>
        </w:tc>
        <w:tc>
          <w:tcPr>
            <w:tcW w:w="5052" w:type="dxa"/>
            <w:gridSpan w:val="6"/>
            <w:tcBorders>
              <w:top w:val="nil"/>
              <w:left w:val="nil"/>
              <w:bottom w:val="nil"/>
              <w:right w:val="nil"/>
            </w:tcBorders>
            <w:shd w:val="clear" w:color="auto" w:fill="auto"/>
            <w:noWrap/>
            <w:vAlign w:val="bottom"/>
            <w:hideMark/>
          </w:tcPr>
          <w:p w14:paraId="0788187F"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Após 100.000 avaliações, o erro padrão da média é 2</w:t>
            </w:r>
          </w:p>
        </w:tc>
        <w:tc>
          <w:tcPr>
            <w:tcW w:w="1495" w:type="dxa"/>
            <w:gridSpan w:val="2"/>
            <w:tcBorders>
              <w:top w:val="nil"/>
              <w:left w:val="nil"/>
              <w:bottom w:val="nil"/>
              <w:right w:val="nil"/>
            </w:tcBorders>
            <w:shd w:val="clear" w:color="auto" w:fill="auto"/>
            <w:noWrap/>
            <w:vAlign w:val="bottom"/>
            <w:hideMark/>
          </w:tcPr>
          <w:p w14:paraId="0B2067C7"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7539F423"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47630DB7"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302D6807"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58FC9A60"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6DBB39CD"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42A56103"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5D878D86"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344D3AED"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699A5F25"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3E11F9DA"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52AAFEE7"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0501D48A"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324365D6"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5EA682F4"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34FABE08"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615103AB"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6240F504"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71048DD7"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noProof/>
                <w:sz w:val="20"/>
                <w:szCs w:val="20"/>
                <w:lang w:val="pt-BR"/>
              </w:rPr>
              <w:drawing>
                <wp:anchor distT="0" distB="0" distL="114300" distR="114300" simplePos="0" relativeHeight="251667456" behindDoc="0" locked="0" layoutInCell="1" allowOverlap="1" wp14:anchorId="433DF99E" wp14:editId="3B9DEF6D">
                  <wp:simplePos x="0" y="0"/>
                  <wp:positionH relativeFrom="column">
                    <wp:posOffset>190500</wp:posOffset>
                  </wp:positionH>
                  <wp:positionV relativeFrom="paragraph">
                    <wp:posOffset>0</wp:posOffset>
                  </wp:positionV>
                  <wp:extent cx="4785360" cy="2286000"/>
                  <wp:effectExtent l="0" t="0" r="0" b="0"/>
                  <wp:wrapNone/>
                  <wp:docPr id="29" name="Picture 29">
                    <a:extLst xmlns:a="http://schemas.openxmlformats.org/drawingml/2006/main">
                      <a:ext uri="{FF2B5EF4-FFF2-40B4-BE49-F238E27FC236}">
                        <a16:creationId xmlns:a16="http://schemas.microsoft.com/office/drawing/2014/main" id="{C27C38A0-CB26-4329-A3EA-8C6980F3E7BE}"/>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27C38A0-CB26-4329-A3EA-8C6980F3E7BE}"/>
                              </a:ext>
                            </a:extLst>
                          </pic:cNvPr>
                          <pic:cNvPicPr>
                            <a:picLocks/>
                          </pic:cNvPicPr>
                        </pic:nvPicPr>
                        <pic:blipFill>
                          <a:blip r:embed="rId32">
                            <a:extLst>
                              <a:ext uri="{28A0092B-C50C-407E-A947-70E740481C1C}">
                                <a14:useLocalDpi xmlns:a14="http://schemas.microsoft.com/office/drawing/2010/main" val="0"/>
                              </a:ext>
                            </a:extLst>
                          </a:blip>
                          <a:stretch>
                            <a:fillRect/>
                          </a:stretch>
                        </pic:blipFill>
                        <pic:spPr>
                          <a:xfrm>
                            <a:off x="0" y="0"/>
                            <a:ext cx="4785775" cy="228619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00"/>
            </w:tblGrid>
            <w:tr w:rsidR="00204DAB" w:rsidRPr="007034F9" w14:paraId="7AEF478C" w14:textId="77777777" w:rsidTr="00204DAB">
              <w:trPr>
                <w:trHeight w:val="252"/>
                <w:tblCellSpacing w:w="0" w:type="dxa"/>
              </w:trPr>
              <w:tc>
                <w:tcPr>
                  <w:tcW w:w="1300" w:type="dxa"/>
                  <w:tcBorders>
                    <w:top w:val="nil"/>
                    <w:left w:val="nil"/>
                    <w:bottom w:val="nil"/>
                    <w:right w:val="nil"/>
                  </w:tcBorders>
                  <w:shd w:val="clear" w:color="auto" w:fill="auto"/>
                  <w:noWrap/>
                  <w:vAlign w:val="bottom"/>
                  <w:hideMark/>
                </w:tcPr>
                <w:p w14:paraId="56C266D1" w14:textId="77777777" w:rsidR="00204DAB" w:rsidRPr="00FE20B5" w:rsidRDefault="00204DAB" w:rsidP="00204DAB">
                  <w:pPr>
                    <w:spacing w:after="0" w:line="240" w:lineRule="auto"/>
                    <w:rPr>
                      <w:rFonts w:ascii="Arial" w:eastAsia="Times New Roman" w:hAnsi="Arial" w:cs="Arial"/>
                      <w:sz w:val="20"/>
                      <w:szCs w:val="20"/>
                      <w:lang w:val="pt-BR"/>
                    </w:rPr>
                  </w:pPr>
                </w:p>
              </w:tc>
            </w:tr>
          </w:tbl>
          <w:p w14:paraId="4898CE14"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2926B7CC"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4D65E17A"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5887F364"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729116A5"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1714AE52"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7C06A497"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25E51D28"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619C5B60"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466A5588"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78600C35"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17C14A3D"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1AFA5A0E"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0F703118"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5E182D20"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6088026F"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5CD2460C"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09D61F84"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7683C6AB"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401ED198"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115D9318"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4DE0C88C"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437A91FA"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503F0BF8"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1DBB155E"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2D2F7CAF"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4CB234C2"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795B7B3F"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45942795"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5FBF572B"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4A7FF6DE"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2A2E9238"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57AC3394"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3DE2B4A6"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6B9ECB98"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45F56D3F"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736CDA6F"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3204B848"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7A1E619E"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7A93E4D4"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4BAAE476"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3D390F4F"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510D1CB8"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7F13A292"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2F50B22D"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45D03AFE"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60740986"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433CA58A"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760B647F"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2E1B4FFA"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68D7FCC4"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4108C7F7"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08EC23A1"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661F833F"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43B23BDF"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08A77C6C"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1C5CF42F"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35106459"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50E689CA"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3740F3F5"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51DBD538"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3EE8DCE5"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27AFBBDF"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1BC71608"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3FA4F757"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36B1948E"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559CDE28"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7E0384D0"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36E4FA87"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066F0CFE"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6D5230E8"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052B1CCF"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61FCF3A9"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401C78A8"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1F4D8BD7"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4BC57850"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096BEBE8"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0C45D51D"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6E0D64FE"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12E84B9A"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74A91900"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16310ED6"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5BF95D74"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71A567EE"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7191119D"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655DB37C"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56BB9B33"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763DD6BB"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3D63B0A8"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7034F9" w14:paraId="4B9DF783"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0883188A"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2851211A"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4B6FBA69"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184F316D"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3127EFED"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642C1BF4"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12F9C535" w14:textId="77777777" w:rsidTr="00204DAB">
        <w:trPr>
          <w:gridAfter w:val="1"/>
          <w:wAfter w:w="76" w:type="dxa"/>
          <w:trHeight w:val="252"/>
        </w:trPr>
        <w:tc>
          <w:tcPr>
            <w:tcW w:w="3320" w:type="dxa"/>
            <w:gridSpan w:val="4"/>
            <w:tcBorders>
              <w:top w:val="nil"/>
              <w:left w:val="nil"/>
              <w:bottom w:val="nil"/>
              <w:right w:val="nil"/>
            </w:tcBorders>
            <w:shd w:val="clear" w:color="auto" w:fill="auto"/>
            <w:noWrap/>
            <w:vAlign w:val="bottom"/>
            <w:hideMark/>
          </w:tcPr>
          <w:p w14:paraId="062D4352"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lastRenderedPageBreak/>
              <w:t>Estatística:</w:t>
            </w:r>
          </w:p>
        </w:tc>
        <w:tc>
          <w:tcPr>
            <w:tcW w:w="1556" w:type="dxa"/>
            <w:gridSpan w:val="2"/>
            <w:tcBorders>
              <w:top w:val="nil"/>
              <w:left w:val="nil"/>
              <w:bottom w:val="nil"/>
              <w:right w:val="nil"/>
            </w:tcBorders>
            <w:shd w:val="clear" w:color="auto" w:fill="auto"/>
            <w:noWrap/>
            <w:vAlign w:val="bottom"/>
            <w:hideMark/>
          </w:tcPr>
          <w:p w14:paraId="117C5564"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69E4A46F"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Valores de previsão</w:t>
            </w:r>
          </w:p>
        </w:tc>
        <w:tc>
          <w:tcPr>
            <w:tcW w:w="1495" w:type="dxa"/>
            <w:gridSpan w:val="2"/>
            <w:tcBorders>
              <w:top w:val="nil"/>
              <w:left w:val="nil"/>
              <w:bottom w:val="nil"/>
              <w:right w:val="nil"/>
            </w:tcBorders>
            <w:shd w:val="clear" w:color="auto" w:fill="auto"/>
            <w:noWrap/>
            <w:vAlign w:val="bottom"/>
            <w:hideMark/>
          </w:tcPr>
          <w:p w14:paraId="03851EA1"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24F4B3F9"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71E5E1A8"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130F34D5"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496A9A28"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Avaliações</w:t>
            </w:r>
          </w:p>
        </w:tc>
        <w:tc>
          <w:tcPr>
            <w:tcW w:w="1556" w:type="dxa"/>
            <w:gridSpan w:val="2"/>
            <w:tcBorders>
              <w:top w:val="nil"/>
              <w:left w:val="nil"/>
              <w:bottom w:val="nil"/>
              <w:right w:val="nil"/>
            </w:tcBorders>
            <w:shd w:val="clear" w:color="auto" w:fill="auto"/>
            <w:noWrap/>
            <w:vAlign w:val="bottom"/>
            <w:hideMark/>
          </w:tcPr>
          <w:p w14:paraId="19A8D503"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7D009DD1"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100.000</w:t>
            </w:r>
          </w:p>
        </w:tc>
        <w:tc>
          <w:tcPr>
            <w:tcW w:w="1495" w:type="dxa"/>
            <w:gridSpan w:val="2"/>
            <w:tcBorders>
              <w:top w:val="nil"/>
              <w:left w:val="nil"/>
              <w:bottom w:val="nil"/>
              <w:right w:val="nil"/>
            </w:tcBorders>
            <w:shd w:val="clear" w:color="auto" w:fill="auto"/>
            <w:noWrap/>
            <w:vAlign w:val="bottom"/>
            <w:hideMark/>
          </w:tcPr>
          <w:p w14:paraId="1BB350F1"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4934E453"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41209981"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1B0EDAA7"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23E6EC72"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Caso Base</w:t>
            </w:r>
          </w:p>
        </w:tc>
        <w:tc>
          <w:tcPr>
            <w:tcW w:w="1556" w:type="dxa"/>
            <w:gridSpan w:val="2"/>
            <w:tcBorders>
              <w:top w:val="nil"/>
              <w:left w:val="nil"/>
              <w:bottom w:val="nil"/>
              <w:right w:val="nil"/>
            </w:tcBorders>
            <w:shd w:val="clear" w:color="auto" w:fill="auto"/>
            <w:noWrap/>
            <w:vAlign w:val="bottom"/>
            <w:hideMark/>
          </w:tcPr>
          <w:p w14:paraId="6D099898"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242FEE7D"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2.865</w:t>
            </w:r>
          </w:p>
        </w:tc>
        <w:tc>
          <w:tcPr>
            <w:tcW w:w="1495" w:type="dxa"/>
            <w:gridSpan w:val="2"/>
            <w:tcBorders>
              <w:top w:val="nil"/>
              <w:left w:val="nil"/>
              <w:bottom w:val="nil"/>
              <w:right w:val="nil"/>
            </w:tcBorders>
            <w:shd w:val="clear" w:color="auto" w:fill="auto"/>
            <w:noWrap/>
            <w:vAlign w:val="bottom"/>
            <w:hideMark/>
          </w:tcPr>
          <w:p w14:paraId="5DDD0135"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02843941"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4A3FE597"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1AADD217"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1961893C"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Média</w:t>
            </w:r>
          </w:p>
        </w:tc>
        <w:tc>
          <w:tcPr>
            <w:tcW w:w="1556" w:type="dxa"/>
            <w:gridSpan w:val="2"/>
            <w:tcBorders>
              <w:top w:val="nil"/>
              <w:left w:val="nil"/>
              <w:bottom w:val="nil"/>
              <w:right w:val="nil"/>
            </w:tcBorders>
            <w:shd w:val="clear" w:color="auto" w:fill="auto"/>
            <w:noWrap/>
            <w:vAlign w:val="bottom"/>
            <w:hideMark/>
          </w:tcPr>
          <w:p w14:paraId="4DDA8435"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530ED50C"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2.900</w:t>
            </w:r>
          </w:p>
        </w:tc>
        <w:tc>
          <w:tcPr>
            <w:tcW w:w="1495" w:type="dxa"/>
            <w:gridSpan w:val="2"/>
            <w:tcBorders>
              <w:top w:val="nil"/>
              <w:left w:val="nil"/>
              <w:bottom w:val="nil"/>
              <w:right w:val="nil"/>
            </w:tcBorders>
            <w:shd w:val="clear" w:color="auto" w:fill="auto"/>
            <w:noWrap/>
            <w:vAlign w:val="bottom"/>
            <w:hideMark/>
          </w:tcPr>
          <w:p w14:paraId="7B10077F"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30FC80AF"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31EAA27F"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1057BF41"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1150DB96"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Mediana</w:t>
            </w:r>
          </w:p>
        </w:tc>
        <w:tc>
          <w:tcPr>
            <w:tcW w:w="1556" w:type="dxa"/>
            <w:gridSpan w:val="2"/>
            <w:tcBorders>
              <w:top w:val="nil"/>
              <w:left w:val="nil"/>
              <w:bottom w:val="nil"/>
              <w:right w:val="nil"/>
            </w:tcBorders>
            <w:shd w:val="clear" w:color="auto" w:fill="auto"/>
            <w:noWrap/>
            <w:vAlign w:val="bottom"/>
            <w:hideMark/>
          </w:tcPr>
          <w:p w14:paraId="6604BB18"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5E8A6AFF"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2.857</w:t>
            </w:r>
          </w:p>
        </w:tc>
        <w:tc>
          <w:tcPr>
            <w:tcW w:w="1495" w:type="dxa"/>
            <w:gridSpan w:val="2"/>
            <w:tcBorders>
              <w:top w:val="nil"/>
              <w:left w:val="nil"/>
              <w:bottom w:val="nil"/>
              <w:right w:val="nil"/>
            </w:tcBorders>
            <w:shd w:val="clear" w:color="auto" w:fill="auto"/>
            <w:noWrap/>
            <w:vAlign w:val="bottom"/>
            <w:hideMark/>
          </w:tcPr>
          <w:p w14:paraId="7F37AC53"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15DAD761"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0EA9BC32"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1168A2E1"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763D42D0"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Moda</w:t>
            </w:r>
          </w:p>
        </w:tc>
        <w:tc>
          <w:tcPr>
            <w:tcW w:w="1556" w:type="dxa"/>
            <w:gridSpan w:val="2"/>
            <w:tcBorders>
              <w:top w:val="nil"/>
              <w:left w:val="nil"/>
              <w:bottom w:val="nil"/>
              <w:right w:val="nil"/>
            </w:tcBorders>
            <w:shd w:val="clear" w:color="auto" w:fill="auto"/>
            <w:noWrap/>
            <w:vAlign w:val="bottom"/>
            <w:hideMark/>
          </w:tcPr>
          <w:p w14:paraId="273924CB"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564543B4"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w:t>
            </w:r>
          </w:p>
        </w:tc>
        <w:tc>
          <w:tcPr>
            <w:tcW w:w="1495" w:type="dxa"/>
            <w:gridSpan w:val="2"/>
            <w:tcBorders>
              <w:top w:val="nil"/>
              <w:left w:val="nil"/>
              <w:bottom w:val="nil"/>
              <w:right w:val="nil"/>
            </w:tcBorders>
            <w:shd w:val="clear" w:color="auto" w:fill="auto"/>
            <w:noWrap/>
            <w:vAlign w:val="bottom"/>
            <w:hideMark/>
          </w:tcPr>
          <w:p w14:paraId="3A4346EE"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4204D993"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2114C6B4"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20A57AF2"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076A52E9"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Desvio Padrão</w:t>
            </w:r>
          </w:p>
        </w:tc>
        <w:tc>
          <w:tcPr>
            <w:tcW w:w="1980" w:type="dxa"/>
            <w:gridSpan w:val="2"/>
            <w:tcBorders>
              <w:top w:val="nil"/>
              <w:left w:val="nil"/>
              <w:bottom w:val="nil"/>
              <w:right w:val="nil"/>
            </w:tcBorders>
            <w:shd w:val="clear" w:color="auto" w:fill="auto"/>
            <w:noWrap/>
            <w:vAlign w:val="bottom"/>
            <w:hideMark/>
          </w:tcPr>
          <w:p w14:paraId="14FB6294"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513</w:t>
            </w:r>
          </w:p>
        </w:tc>
        <w:tc>
          <w:tcPr>
            <w:tcW w:w="1495" w:type="dxa"/>
            <w:gridSpan w:val="2"/>
            <w:tcBorders>
              <w:top w:val="nil"/>
              <w:left w:val="nil"/>
              <w:bottom w:val="nil"/>
              <w:right w:val="nil"/>
            </w:tcBorders>
            <w:shd w:val="clear" w:color="auto" w:fill="auto"/>
            <w:noWrap/>
            <w:vAlign w:val="bottom"/>
            <w:hideMark/>
          </w:tcPr>
          <w:p w14:paraId="0B018882"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54DE944E"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31CEF828"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3517B7CA"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69F29666"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Variância</w:t>
            </w:r>
          </w:p>
        </w:tc>
        <w:tc>
          <w:tcPr>
            <w:tcW w:w="1556" w:type="dxa"/>
            <w:gridSpan w:val="2"/>
            <w:tcBorders>
              <w:top w:val="nil"/>
              <w:left w:val="nil"/>
              <w:bottom w:val="nil"/>
              <w:right w:val="nil"/>
            </w:tcBorders>
            <w:shd w:val="clear" w:color="auto" w:fill="auto"/>
            <w:noWrap/>
            <w:vAlign w:val="bottom"/>
            <w:hideMark/>
          </w:tcPr>
          <w:p w14:paraId="1A80B4FA"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56ABA034"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263.193</w:t>
            </w:r>
          </w:p>
        </w:tc>
        <w:tc>
          <w:tcPr>
            <w:tcW w:w="1495" w:type="dxa"/>
            <w:gridSpan w:val="2"/>
            <w:tcBorders>
              <w:top w:val="nil"/>
              <w:left w:val="nil"/>
              <w:bottom w:val="nil"/>
              <w:right w:val="nil"/>
            </w:tcBorders>
            <w:shd w:val="clear" w:color="auto" w:fill="auto"/>
            <w:noWrap/>
            <w:vAlign w:val="bottom"/>
            <w:hideMark/>
          </w:tcPr>
          <w:p w14:paraId="112DCC60"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25063E6B"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445EC357"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6C12D252"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291B920C"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Obliquidade</w:t>
            </w:r>
          </w:p>
        </w:tc>
        <w:tc>
          <w:tcPr>
            <w:tcW w:w="1556" w:type="dxa"/>
            <w:gridSpan w:val="2"/>
            <w:tcBorders>
              <w:top w:val="nil"/>
              <w:left w:val="nil"/>
              <w:bottom w:val="nil"/>
              <w:right w:val="nil"/>
            </w:tcBorders>
            <w:shd w:val="clear" w:color="auto" w:fill="auto"/>
            <w:noWrap/>
            <w:vAlign w:val="bottom"/>
            <w:hideMark/>
          </w:tcPr>
          <w:p w14:paraId="21BE8C63"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261C6405"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0,5175</w:t>
            </w:r>
          </w:p>
        </w:tc>
        <w:tc>
          <w:tcPr>
            <w:tcW w:w="1495" w:type="dxa"/>
            <w:gridSpan w:val="2"/>
            <w:tcBorders>
              <w:top w:val="nil"/>
              <w:left w:val="nil"/>
              <w:bottom w:val="nil"/>
              <w:right w:val="nil"/>
            </w:tcBorders>
            <w:shd w:val="clear" w:color="auto" w:fill="auto"/>
            <w:noWrap/>
            <w:vAlign w:val="bottom"/>
            <w:hideMark/>
          </w:tcPr>
          <w:p w14:paraId="2A35D42E"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6E19C3AC"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294C28F4"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0278C71D"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6E7B433A"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Curtose</w:t>
            </w:r>
          </w:p>
        </w:tc>
        <w:tc>
          <w:tcPr>
            <w:tcW w:w="1556" w:type="dxa"/>
            <w:gridSpan w:val="2"/>
            <w:tcBorders>
              <w:top w:val="nil"/>
              <w:left w:val="nil"/>
              <w:bottom w:val="nil"/>
              <w:right w:val="nil"/>
            </w:tcBorders>
            <w:shd w:val="clear" w:color="auto" w:fill="auto"/>
            <w:noWrap/>
            <w:vAlign w:val="bottom"/>
            <w:hideMark/>
          </w:tcPr>
          <w:p w14:paraId="09CF01E9"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6588F92C"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3,48</w:t>
            </w:r>
          </w:p>
        </w:tc>
        <w:tc>
          <w:tcPr>
            <w:tcW w:w="1495" w:type="dxa"/>
            <w:gridSpan w:val="2"/>
            <w:tcBorders>
              <w:top w:val="nil"/>
              <w:left w:val="nil"/>
              <w:bottom w:val="nil"/>
              <w:right w:val="nil"/>
            </w:tcBorders>
            <w:shd w:val="clear" w:color="auto" w:fill="auto"/>
            <w:noWrap/>
            <w:vAlign w:val="bottom"/>
            <w:hideMark/>
          </w:tcPr>
          <w:p w14:paraId="52CBE94C"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73C1DA0E"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43B3CE9F"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69CBEDE8"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4F72D23E"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Coeficiente de Variação</w:t>
            </w:r>
          </w:p>
        </w:tc>
        <w:tc>
          <w:tcPr>
            <w:tcW w:w="1980" w:type="dxa"/>
            <w:gridSpan w:val="2"/>
            <w:tcBorders>
              <w:top w:val="nil"/>
              <w:left w:val="nil"/>
              <w:bottom w:val="nil"/>
              <w:right w:val="nil"/>
            </w:tcBorders>
            <w:shd w:val="clear" w:color="auto" w:fill="auto"/>
            <w:noWrap/>
            <w:vAlign w:val="bottom"/>
            <w:hideMark/>
          </w:tcPr>
          <w:p w14:paraId="02F8831F"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0,1769</w:t>
            </w:r>
          </w:p>
        </w:tc>
        <w:tc>
          <w:tcPr>
            <w:tcW w:w="1495" w:type="dxa"/>
            <w:gridSpan w:val="2"/>
            <w:tcBorders>
              <w:top w:val="nil"/>
              <w:left w:val="nil"/>
              <w:bottom w:val="nil"/>
              <w:right w:val="nil"/>
            </w:tcBorders>
            <w:shd w:val="clear" w:color="auto" w:fill="auto"/>
            <w:noWrap/>
            <w:vAlign w:val="bottom"/>
            <w:hideMark/>
          </w:tcPr>
          <w:p w14:paraId="12CAF3A3"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0EF1709D"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4DED8A0F"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640A785C"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00B85005"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Mínimo</w:t>
            </w:r>
          </w:p>
        </w:tc>
        <w:tc>
          <w:tcPr>
            <w:tcW w:w="1556" w:type="dxa"/>
            <w:gridSpan w:val="2"/>
            <w:tcBorders>
              <w:top w:val="nil"/>
              <w:left w:val="nil"/>
              <w:bottom w:val="nil"/>
              <w:right w:val="nil"/>
            </w:tcBorders>
            <w:shd w:val="clear" w:color="auto" w:fill="auto"/>
            <w:noWrap/>
            <w:vAlign w:val="bottom"/>
            <w:hideMark/>
          </w:tcPr>
          <w:p w14:paraId="39E28730"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42691F32"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1.310</w:t>
            </w:r>
          </w:p>
        </w:tc>
        <w:tc>
          <w:tcPr>
            <w:tcW w:w="1495" w:type="dxa"/>
            <w:gridSpan w:val="2"/>
            <w:tcBorders>
              <w:top w:val="nil"/>
              <w:left w:val="nil"/>
              <w:bottom w:val="nil"/>
              <w:right w:val="nil"/>
            </w:tcBorders>
            <w:shd w:val="clear" w:color="auto" w:fill="auto"/>
            <w:noWrap/>
            <w:vAlign w:val="bottom"/>
            <w:hideMark/>
          </w:tcPr>
          <w:p w14:paraId="55DE8F8A"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56357AD2"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036A1CF9"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2CD6343F"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309F23B6"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Máximo</w:t>
            </w:r>
          </w:p>
        </w:tc>
        <w:tc>
          <w:tcPr>
            <w:tcW w:w="1556" w:type="dxa"/>
            <w:gridSpan w:val="2"/>
            <w:tcBorders>
              <w:top w:val="nil"/>
              <w:left w:val="nil"/>
              <w:bottom w:val="nil"/>
              <w:right w:val="nil"/>
            </w:tcBorders>
            <w:shd w:val="clear" w:color="auto" w:fill="auto"/>
            <w:noWrap/>
            <w:vAlign w:val="bottom"/>
            <w:hideMark/>
          </w:tcPr>
          <w:p w14:paraId="6429DA40"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34A6C0FD"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5.985</w:t>
            </w:r>
          </w:p>
        </w:tc>
        <w:tc>
          <w:tcPr>
            <w:tcW w:w="1495" w:type="dxa"/>
            <w:gridSpan w:val="2"/>
            <w:tcBorders>
              <w:top w:val="nil"/>
              <w:left w:val="nil"/>
              <w:bottom w:val="nil"/>
              <w:right w:val="nil"/>
            </w:tcBorders>
            <w:shd w:val="clear" w:color="auto" w:fill="auto"/>
            <w:noWrap/>
            <w:vAlign w:val="bottom"/>
            <w:hideMark/>
          </w:tcPr>
          <w:p w14:paraId="7C46676C"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33FA9F4F"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08A466A1"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18E6231F"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4FDE2B9C"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Largura do Intervalo</w:t>
            </w:r>
          </w:p>
        </w:tc>
        <w:tc>
          <w:tcPr>
            <w:tcW w:w="1980" w:type="dxa"/>
            <w:gridSpan w:val="2"/>
            <w:tcBorders>
              <w:top w:val="nil"/>
              <w:left w:val="nil"/>
              <w:bottom w:val="nil"/>
              <w:right w:val="nil"/>
            </w:tcBorders>
            <w:shd w:val="clear" w:color="auto" w:fill="auto"/>
            <w:noWrap/>
            <w:vAlign w:val="bottom"/>
            <w:hideMark/>
          </w:tcPr>
          <w:p w14:paraId="193BE73A"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4.675</w:t>
            </w:r>
          </w:p>
        </w:tc>
        <w:tc>
          <w:tcPr>
            <w:tcW w:w="1495" w:type="dxa"/>
            <w:gridSpan w:val="2"/>
            <w:tcBorders>
              <w:top w:val="nil"/>
              <w:left w:val="nil"/>
              <w:bottom w:val="nil"/>
              <w:right w:val="nil"/>
            </w:tcBorders>
            <w:shd w:val="clear" w:color="auto" w:fill="auto"/>
            <w:noWrap/>
            <w:vAlign w:val="bottom"/>
            <w:hideMark/>
          </w:tcPr>
          <w:p w14:paraId="2A225099"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017ABDBA"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1A81DD35"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2601DE85" w14:textId="77777777" w:rsidR="00204DAB" w:rsidRPr="00FE20B5" w:rsidRDefault="00204DAB" w:rsidP="00204DAB">
            <w:pPr>
              <w:spacing w:after="0" w:line="240" w:lineRule="auto"/>
              <w:rPr>
                <w:rFonts w:ascii="Arial" w:eastAsia="Times New Roman" w:hAnsi="Arial" w:cs="Arial"/>
                <w:sz w:val="20"/>
                <w:szCs w:val="20"/>
                <w:lang w:val="pt-BR"/>
              </w:rPr>
            </w:pPr>
          </w:p>
        </w:tc>
        <w:tc>
          <w:tcPr>
            <w:tcW w:w="3072" w:type="dxa"/>
            <w:gridSpan w:val="4"/>
            <w:tcBorders>
              <w:top w:val="nil"/>
              <w:left w:val="nil"/>
              <w:bottom w:val="nil"/>
              <w:right w:val="nil"/>
            </w:tcBorders>
            <w:shd w:val="clear" w:color="auto" w:fill="auto"/>
            <w:noWrap/>
            <w:vAlign w:val="bottom"/>
            <w:hideMark/>
          </w:tcPr>
          <w:p w14:paraId="30C2585A" w14:textId="567BAF8E"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 xml:space="preserve">Erro Padrão </w:t>
            </w:r>
            <w:r w:rsidR="00180F38">
              <w:rPr>
                <w:rFonts w:ascii="Arial" w:eastAsia="Times New Roman" w:hAnsi="Arial" w:cs="Arial"/>
                <w:sz w:val="20"/>
                <w:szCs w:val="20"/>
                <w:lang w:val="pt-BR"/>
              </w:rPr>
              <w:t xml:space="preserve">da </w:t>
            </w:r>
            <w:r w:rsidRPr="00FE20B5">
              <w:rPr>
                <w:rFonts w:ascii="Arial" w:eastAsia="Times New Roman" w:hAnsi="Arial" w:cs="Arial"/>
                <w:sz w:val="20"/>
                <w:szCs w:val="20"/>
                <w:lang w:val="pt-BR"/>
              </w:rPr>
              <w:t>Média</w:t>
            </w:r>
          </w:p>
        </w:tc>
        <w:tc>
          <w:tcPr>
            <w:tcW w:w="1980" w:type="dxa"/>
            <w:gridSpan w:val="2"/>
            <w:tcBorders>
              <w:top w:val="nil"/>
              <w:left w:val="nil"/>
              <w:bottom w:val="nil"/>
              <w:right w:val="nil"/>
            </w:tcBorders>
            <w:shd w:val="clear" w:color="auto" w:fill="auto"/>
            <w:noWrap/>
            <w:vAlign w:val="bottom"/>
            <w:hideMark/>
          </w:tcPr>
          <w:p w14:paraId="2AC44BD7"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2</w:t>
            </w:r>
          </w:p>
        </w:tc>
        <w:tc>
          <w:tcPr>
            <w:tcW w:w="1495" w:type="dxa"/>
            <w:gridSpan w:val="2"/>
            <w:tcBorders>
              <w:top w:val="nil"/>
              <w:left w:val="nil"/>
              <w:bottom w:val="nil"/>
              <w:right w:val="nil"/>
            </w:tcBorders>
            <w:shd w:val="clear" w:color="auto" w:fill="auto"/>
            <w:noWrap/>
            <w:vAlign w:val="bottom"/>
            <w:hideMark/>
          </w:tcPr>
          <w:p w14:paraId="479E3419"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1B417761"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2F06D29B"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030FFE11"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1792946A"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6D546FDD"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5B545B75"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4E45802E"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5B533508"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539F1C2C" w14:textId="77777777" w:rsidTr="00204DAB">
        <w:trPr>
          <w:gridAfter w:val="1"/>
          <w:wAfter w:w="76" w:type="dxa"/>
          <w:trHeight w:val="252"/>
        </w:trPr>
        <w:tc>
          <w:tcPr>
            <w:tcW w:w="3320" w:type="dxa"/>
            <w:gridSpan w:val="4"/>
            <w:tcBorders>
              <w:top w:val="nil"/>
              <w:left w:val="nil"/>
              <w:bottom w:val="nil"/>
              <w:right w:val="nil"/>
            </w:tcBorders>
            <w:shd w:val="clear" w:color="auto" w:fill="auto"/>
            <w:noWrap/>
            <w:vAlign w:val="bottom"/>
            <w:hideMark/>
          </w:tcPr>
          <w:p w14:paraId="33CA42F3"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Percentis:</w:t>
            </w:r>
          </w:p>
        </w:tc>
        <w:tc>
          <w:tcPr>
            <w:tcW w:w="1556" w:type="dxa"/>
            <w:gridSpan w:val="2"/>
            <w:tcBorders>
              <w:top w:val="nil"/>
              <w:left w:val="nil"/>
              <w:bottom w:val="nil"/>
              <w:right w:val="nil"/>
            </w:tcBorders>
            <w:shd w:val="clear" w:color="auto" w:fill="auto"/>
            <w:noWrap/>
            <w:vAlign w:val="bottom"/>
            <w:hideMark/>
          </w:tcPr>
          <w:p w14:paraId="7177386B"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05BC6067"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Valores de previsão</w:t>
            </w:r>
          </w:p>
        </w:tc>
        <w:tc>
          <w:tcPr>
            <w:tcW w:w="1495" w:type="dxa"/>
            <w:gridSpan w:val="2"/>
            <w:tcBorders>
              <w:top w:val="nil"/>
              <w:left w:val="nil"/>
              <w:bottom w:val="nil"/>
              <w:right w:val="nil"/>
            </w:tcBorders>
            <w:shd w:val="clear" w:color="auto" w:fill="auto"/>
            <w:noWrap/>
            <w:vAlign w:val="bottom"/>
            <w:hideMark/>
          </w:tcPr>
          <w:p w14:paraId="26CB08E4"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5620D284"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290B9330"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1A08B787"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5B756CF7"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0%</w:t>
            </w:r>
          </w:p>
        </w:tc>
        <w:tc>
          <w:tcPr>
            <w:tcW w:w="1556" w:type="dxa"/>
            <w:gridSpan w:val="2"/>
            <w:tcBorders>
              <w:top w:val="nil"/>
              <w:left w:val="nil"/>
              <w:bottom w:val="nil"/>
              <w:right w:val="nil"/>
            </w:tcBorders>
            <w:shd w:val="clear" w:color="auto" w:fill="auto"/>
            <w:noWrap/>
            <w:vAlign w:val="bottom"/>
            <w:hideMark/>
          </w:tcPr>
          <w:p w14:paraId="42E21F0A"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77CD9E44"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1.310</w:t>
            </w:r>
          </w:p>
        </w:tc>
        <w:tc>
          <w:tcPr>
            <w:tcW w:w="1495" w:type="dxa"/>
            <w:gridSpan w:val="2"/>
            <w:tcBorders>
              <w:top w:val="nil"/>
              <w:left w:val="nil"/>
              <w:bottom w:val="nil"/>
              <w:right w:val="nil"/>
            </w:tcBorders>
            <w:shd w:val="clear" w:color="auto" w:fill="auto"/>
            <w:noWrap/>
            <w:vAlign w:val="bottom"/>
            <w:hideMark/>
          </w:tcPr>
          <w:p w14:paraId="263D9C87"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24AAAA68"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6177C494"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3C1A5282"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58DC164C"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10%</w:t>
            </w:r>
          </w:p>
        </w:tc>
        <w:tc>
          <w:tcPr>
            <w:tcW w:w="1556" w:type="dxa"/>
            <w:gridSpan w:val="2"/>
            <w:tcBorders>
              <w:top w:val="nil"/>
              <w:left w:val="nil"/>
              <w:bottom w:val="nil"/>
              <w:right w:val="nil"/>
            </w:tcBorders>
            <w:shd w:val="clear" w:color="auto" w:fill="auto"/>
            <w:noWrap/>
            <w:vAlign w:val="bottom"/>
            <w:hideMark/>
          </w:tcPr>
          <w:p w14:paraId="0E504FFB"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3A191904"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2.280</w:t>
            </w:r>
          </w:p>
        </w:tc>
        <w:tc>
          <w:tcPr>
            <w:tcW w:w="1495" w:type="dxa"/>
            <w:gridSpan w:val="2"/>
            <w:tcBorders>
              <w:top w:val="nil"/>
              <w:left w:val="nil"/>
              <w:bottom w:val="nil"/>
              <w:right w:val="nil"/>
            </w:tcBorders>
            <w:shd w:val="clear" w:color="auto" w:fill="auto"/>
            <w:noWrap/>
            <w:vAlign w:val="bottom"/>
            <w:hideMark/>
          </w:tcPr>
          <w:p w14:paraId="6FE17735"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37A71468"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6BFEA217"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4ABD402D"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5953D317"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20%</w:t>
            </w:r>
          </w:p>
        </w:tc>
        <w:tc>
          <w:tcPr>
            <w:tcW w:w="1556" w:type="dxa"/>
            <w:gridSpan w:val="2"/>
            <w:tcBorders>
              <w:top w:val="nil"/>
              <w:left w:val="nil"/>
              <w:bottom w:val="nil"/>
              <w:right w:val="nil"/>
            </w:tcBorders>
            <w:shd w:val="clear" w:color="auto" w:fill="auto"/>
            <w:noWrap/>
            <w:vAlign w:val="bottom"/>
            <w:hideMark/>
          </w:tcPr>
          <w:p w14:paraId="7FD603E6"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506099FF"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2.466</w:t>
            </w:r>
          </w:p>
        </w:tc>
        <w:tc>
          <w:tcPr>
            <w:tcW w:w="1495" w:type="dxa"/>
            <w:gridSpan w:val="2"/>
            <w:tcBorders>
              <w:top w:val="nil"/>
              <w:left w:val="nil"/>
              <w:bottom w:val="nil"/>
              <w:right w:val="nil"/>
            </w:tcBorders>
            <w:shd w:val="clear" w:color="auto" w:fill="auto"/>
            <w:noWrap/>
            <w:vAlign w:val="bottom"/>
            <w:hideMark/>
          </w:tcPr>
          <w:p w14:paraId="2500A6D4"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250CC8AB"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7CA8D324"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229D3302"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03BAA7E0"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30%</w:t>
            </w:r>
          </w:p>
        </w:tc>
        <w:tc>
          <w:tcPr>
            <w:tcW w:w="1556" w:type="dxa"/>
            <w:gridSpan w:val="2"/>
            <w:tcBorders>
              <w:top w:val="nil"/>
              <w:left w:val="nil"/>
              <w:bottom w:val="nil"/>
              <w:right w:val="nil"/>
            </w:tcBorders>
            <w:shd w:val="clear" w:color="auto" w:fill="auto"/>
            <w:noWrap/>
            <w:vAlign w:val="bottom"/>
            <w:hideMark/>
          </w:tcPr>
          <w:p w14:paraId="2AC6EF2E"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2CD27108"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2.606</w:t>
            </w:r>
          </w:p>
        </w:tc>
        <w:tc>
          <w:tcPr>
            <w:tcW w:w="1495" w:type="dxa"/>
            <w:gridSpan w:val="2"/>
            <w:tcBorders>
              <w:top w:val="nil"/>
              <w:left w:val="nil"/>
              <w:bottom w:val="nil"/>
              <w:right w:val="nil"/>
            </w:tcBorders>
            <w:shd w:val="clear" w:color="auto" w:fill="auto"/>
            <w:noWrap/>
            <w:vAlign w:val="bottom"/>
            <w:hideMark/>
          </w:tcPr>
          <w:p w14:paraId="20471806"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62716908"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3983F38A"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73B90BFA"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1D0D786C"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40%</w:t>
            </w:r>
          </w:p>
        </w:tc>
        <w:tc>
          <w:tcPr>
            <w:tcW w:w="1556" w:type="dxa"/>
            <w:gridSpan w:val="2"/>
            <w:tcBorders>
              <w:top w:val="nil"/>
              <w:left w:val="nil"/>
              <w:bottom w:val="nil"/>
              <w:right w:val="nil"/>
            </w:tcBorders>
            <w:shd w:val="clear" w:color="auto" w:fill="auto"/>
            <w:noWrap/>
            <w:vAlign w:val="bottom"/>
            <w:hideMark/>
          </w:tcPr>
          <w:p w14:paraId="28D191CA"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0AD2C1F6"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2.732</w:t>
            </w:r>
          </w:p>
        </w:tc>
        <w:tc>
          <w:tcPr>
            <w:tcW w:w="1495" w:type="dxa"/>
            <w:gridSpan w:val="2"/>
            <w:tcBorders>
              <w:top w:val="nil"/>
              <w:left w:val="nil"/>
              <w:bottom w:val="nil"/>
              <w:right w:val="nil"/>
            </w:tcBorders>
            <w:shd w:val="clear" w:color="auto" w:fill="auto"/>
            <w:noWrap/>
            <w:vAlign w:val="bottom"/>
            <w:hideMark/>
          </w:tcPr>
          <w:p w14:paraId="5267AA19"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6DF54F9B"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52907D12"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1622BE6A"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4DEFB4B6"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50%</w:t>
            </w:r>
          </w:p>
        </w:tc>
        <w:tc>
          <w:tcPr>
            <w:tcW w:w="1556" w:type="dxa"/>
            <w:gridSpan w:val="2"/>
            <w:tcBorders>
              <w:top w:val="nil"/>
              <w:left w:val="nil"/>
              <w:bottom w:val="nil"/>
              <w:right w:val="nil"/>
            </w:tcBorders>
            <w:shd w:val="clear" w:color="auto" w:fill="auto"/>
            <w:noWrap/>
            <w:vAlign w:val="bottom"/>
            <w:hideMark/>
          </w:tcPr>
          <w:p w14:paraId="7FF4798A"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60E791A6"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2.857</w:t>
            </w:r>
          </w:p>
        </w:tc>
        <w:tc>
          <w:tcPr>
            <w:tcW w:w="1495" w:type="dxa"/>
            <w:gridSpan w:val="2"/>
            <w:tcBorders>
              <w:top w:val="nil"/>
              <w:left w:val="nil"/>
              <w:bottom w:val="nil"/>
              <w:right w:val="nil"/>
            </w:tcBorders>
            <w:shd w:val="clear" w:color="auto" w:fill="auto"/>
            <w:noWrap/>
            <w:vAlign w:val="bottom"/>
            <w:hideMark/>
          </w:tcPr>
          <w:p w14:paraId="2ECB8A83"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518D8B12"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502411A9"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0C1AFA2D"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01FC53A3"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60%</w:t>
            </w:r>
          </w:p>
        </w:tc>
        <w:tc>
          <w:tcPr>
            <w:tcW w:w="1556" w:type="dxa"/>
            <w:gridSpan w:val="2"/>
            <w:tcBorders>
              <w:top w:val="nil"/>
              <w:left w:val="nil"/>
              <w:bottom w:val="nil"/>
              <w:right w:val="nil"/>
            </w:tcBorders>
            <w:shd w:val="clear" w:color="auto" w:fill="auto"/>
            <w:noWrap/>
            <w:vAlign w:val="bottom"/>
            <w:hideMark/>
          </w:tcPr>
          <w:p w14:paraId="48214C09"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406EDB79"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2.989</w:t>
            </w:r>
          </w:p>
        </w:tc>
        <w:tc>
          <w:tcPr>
            <w:tcW w:w="1495" w:type="dxa"/>
            <w:gridSpan w:val="2"/>
            <w:tcBorders>
              <w:top w:val="nil"/>
              <w:left w:val="nil"/>
              <w:bottom w:val="nil"/>
              <w:right w:val="nil"/>
            </w:tcBorders>
            <w:shd w:val="clear" w:color="auto" w:fill="auto"/>
            <w:noWrap/>
            <w:vAlign w:val="bottom"/>
            <w:hideMark/>
          </w:tcPr>
          <w:p w14:paraId="77E69881"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64758E1D"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2630692A"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12C667F3"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608E89CD"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70%</w:t>
            </w:r>
          </w:p>
        </w:tc>
        <w:tc>
          <w:tcPr>
            <w:tcW w:w="1556" w:type="dxa"/>
            <w:gridSpan w:val="2"/>
            <w:tcBorders>
              <w:top w:val="nil"/>
              <w:left w:val="nil"/>
              <w:bottom w:val="nil"/>
              <w:right w:val="nil"/>
            </w:tcBorders>
            <w:shd w:val="clear" w:color="auto" w:fill="auto"/>
            <w:noWrap/>
            <w:vAlign w:val="bottom"/>
            <w:hideMark/>
          </w:tcPr>
          <w:p w14:paraId="574963F9"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358D33E1"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3.133</w:t>
            </w:r>
          </w:p>
        </w:tc>
        <w:tc>
          <w:tcPr>
            <w:tcW w:w="1495" w:type="dxa"/>
            <w:gridSpan w:val="2"/>
            <w:tcBorders>
              <w:top w:val="nil"/>
              <w:left w:val="nil"/>
              <w:bottom w:val="nil"/>
              <w:right w:val="nil"/>
            </w:tcBorders>
            <w:shd w:val="clear" w:color="auto" w:fill="auto"/>
            <w:noWrap/>
            <w:vAlign w:val="bottom"/>
            <w:hideMark/>
          </w:tcPr>
          <w:p w14:paraId="050C1236"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3B23626E"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6D6B4EED"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2A3F2F20"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54FFA14F"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80%</w:t>
            </w:r>
          </w:p>
        </w:tc>
        <w:tc>
          <w:tcPr>
            <w:tcW w:w="1556" w:type="dxa"/>
            <w:gridSpan w:val="2"/>
            <w:tcBorders>
              <w:top w:val="nil"/>
              <w:left w:val="nil"/>
              <w:bottom w:val="nil"/>
              <w:right w:val="nil"/>
            </w:tcBorders>
            <w:shd w:val="clear" w:color="auto" w:fill="auto"/>
            <w:noWrap/>
            <w:vAlign w:val="bottom"/>
            <w:hideMark/>
          </w:tcPr>
          <w:p w14:paraId="6DDC46DD"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36976D18"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3.310</w:t>
            </w:r>
          </w:p>
        </w:tc>
        <w:tc>
          <w:tcPr>
            <w:tcW w:w="1495" w:type="dxa"/>
            <w:gridSpan w:val="2"/>
            <w:tcBorders>
              <w:top w:val="nil"/>
              <w:left w:val="nil"/>
              <w:bottom w:val="nil"/>
              <w:right w:val="nil"/>
            </w:tcBorders>
            <w:shd w:val="clear" w:color="auto" w:fill="auto"/>
            <w:noWrap/>
            <w:vAlign w:val="bottom"/>
            <w:hideMark/>
          </w:tcPr>
          <w:p w14:paraId="6A40FF44"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5A8DD3D4"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67BE86A8"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48BFCFBC"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01914009"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90%</w:t>
            </w:r>
          </w:p>
        </w:tc>
        <w:tc>
          <w:tcPr>
            <w:tcW w:w="1556" w:type="dxa"/>
            <w:gridSpan w:val="2"/>
            <w:tcBorders>
              <w:top w:val="nil"/>
              <w:left w:val="nil"/>
              <w:bottom w:val="nil"/>
              <w:right w:val="nil"/>
            </w:tcBorders>
            <w:shd w:val="clear" w:color="auto" w:fill="auto"/>
            <w:noWrap/>
            <w:vAlign w:val="bottom"/>
            <w:hideMark/>
          </w:tcPr>
          <w:p w14:paraId="3C52397D"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39744E4C"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3.575</w:t>
            </w:r>
          </w:p>
        </w:tc>
        <w:tc>
          <w:tcPr>
            <w:tcW w:w="1495" w:type="dxa"/>
            <w:gridSpan w:val="2"/>
            <w:tcBorders>
              <w:top w:val="nil"/>
              <w:left w:val="nil"/>
              <w:bottom w:val="nil"/>
              <w:right w:val="nil"/>
            </w:tcBorders>
            <w:shd w:val="clear" w:color="auto" w:fill="auto"/>
            <w:noWrap/>
            <w:vAlign w:val="bottom"/>
            <w:hideMark/>
          </w:tcPr>
          <w:p w14:paraId="3DEC8F67"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37463B6F"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5443003B"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1340CD86"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38195623" w14:textId="77777777" w:rsidR="00204DAB" w:rsidRPr="00FE20B5" w:rsidRDefault="00204DAB" w:rsidP="00204DAB">
            <w:pPr>
              <w:spacing w:after="0" w:line="240" w:lineRule="auto"/>
              <w:rPr>
                <w:rFonts w:ascii="Arial" w:eastAsia="Times New Roman" w:hAnsi="Arial" w:cs="Arial"/>
                <w:sz w:val="20"/>
                <w:szCs w:val="20"/>
                <w:lang w:val="pt-BR"/>
              </w:rPr>
            </w:pPr>
            <w:r w:rsidRPr="00FE20B5">
              <w:rPr>
                <w:rFonts w:ascii="Arial" w:eastAsia="Times New Roman" w:hAnsi="Arial" w:cs="Arial"/>
                <w:sz w:val="20"/>
                <w:szCs w:val="20"/>
                <w:lang w:val="pt-BR"/>
              </w:rPr>
              <w:t>100%</w:t>
            </w:r>
          </w:p>
        </w:tc>
        <w:tc>
          <w:tcPr>
            <w:tcW w:w="1556" w:type="dxa"/>
            <w:gridSpan w:val="2"/>
            <w:tcBorders>
              <w:top w:val="nil"/>
              <w:left w:val="nil"/>
              <w:bottom w:val="nil"/>
              <w:right w:val="nil"/>
            </w:tcBorders>
            <w:shd w:val="clear" w:color="auto" w:fill="auto"/>
            <w:noWrap/>
            <w:vAlign w:val="bottom"/>
            <w:hideMark/>
          </w:tcPr>
          <w:p w14:paraId="3F0A48FE"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089F0EAB" w14:textId="77777777" w:rsidR="00204DAB" w:rsidRPr="00FE20B5" w:rsidRDefault="00204DAB"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sz w:val="20"/>
                <w:szCs w:val="20"/>
                <w:lang w:val="pt-BR"/>
              </w:rPr>
              <w:t>5.985</w:t>
            </w:r>
          </w:p>
        </w:tc>
        <w:tc>
          <w:tcPr>
            <w:tcW w:w="1495" w:type="dxa"/>
            <w:gridSpan w:val="2"/>
            <w:tcBorders>
              <w:top w:val="nil"/>
              <w:left w:val="nil"/>
              <w:bottom w:val="nil"/>
              <w:right w:val="nil"/>
            </w:tcBorders>
            <w:shd w:val="clear" w:color="auto" w:fill="auto"/>
            <w:noWrap/>
            <w:vAlign w:val="bottom"/>
            <w:hideMark/>
          </w:tcPr>
          <w:p w14:paraId="59027A28" w14:textId="77777777" w:rsidR="00204DAB" w:rsidRPr="00FE20B5" w:rsidRDefault="00204DAB"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4F1527AC"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r w:rsidR="00204DAB" w:rsidRPr="00FE20B5" w14:paraId="0EF6415E" w14:textId="77777777" w:rsidTr="00204DAB">
        <w:trPr>
          <w:gridAfter w:val="1"/>
          <w:wAfter w:w="76" w:type="dxa"/>
          <w:trHeight w:val="252"/>
        </w:trPr>
        <w:tc>
          <w:tcPr>
            <w:tcW w:w="1804" w:type="dxa"/>
            <w:gridSpan w:val="2"/>
            <w:tcBorders>
              <w:top w:val="nil"/>
              <w:left w:val="nil"/>
              <w:bottom w:val="nil"/>
              <w:right w:val="nil"/>
            </w:tcBorders>
            <w:shd w:val="clear" w:color="auto" w:fill="auto"/>
            <w:noWrap/>
            <w:vAlign w:val="bottom"/>
            <w:hideMark/>
          </w:tcPr>
          <w:p w14:paraId="296CB5D8" w14:textId="77777777" w:rsidR="00204DAB" w:rsidRPr="00FE20B5" w:rsidRDefault="00204DAB" w:rsidP="00204DAB">
            <w:pPr>
              <w:spacing w:after="0" w:line="240" w:lineRule="auto"/>
              <w:rPr>
                <w:rFonts w:ascii="Arial" w:eastAsia="Times New Roman" w:hAnsi="Arial" w:cs="Arial"/>
                <w:sz w:val="20"/>
                <w:szCs w:val="20"/>
                <w:lang w:val="pt-BR"/>
              </w:rPr>
            </w:pPr>
          </w:p>
        </w:tc>
        <w:tc>
          <w:tcPr>
            <w:tcW w:w="1516" w:type="dxa"/>
            <w:gridSpan w:val="2"/>
            <w:tcBorders>
              <w:top w:val="nil"/>
              <w:left w:val="nil"/>
              <w:bottom w:val="nil"/>
              <w:right w:val="nil"/>
            </w:tcBorders>
            <w:shd w:val="clear" w:color="auto" w:fill="auto"/>
            <w:noWrap/>
            <w:vAlign w:val="bottom"/>
            <w:hideMark/>
          </w:tcPr>
          <w:p w14:paraId="4A88F436" w14:textId="77777777" w:rsidR="00204DAB" w:rsidRPr="00FE20B5" w:rsidRDefault="00204DAB" w:rsidP="00204DAB">
            <w:pPr>
              <w:spacing w:after="0" w:line="240" w:lineRule="auto"/>
              <w:rPr>
                <w:rFonts w:ascii="Arial" w:eastAsia="Times New Roman" w:hAnsi="Arial" w:cs="Arial"/>
                <w:sz w:val="20"/>
                <w:szCs w:val="20"/>
                <w:lang w:val="pt-BR"/>
              </w:rPr>
            </w:pPr>
          </w:p>
        </w:tc>
        <w:tc>
          <w:tcPr>
            <w:tcW w:w="1556" w:type="dxa"/>
            <w:gridSpan w:val="2"/>
            <w:tcBorders>
              <w:top w:val="nil"/>
              <w:left w:val="nil"/>
              <w:bottom w:val="nil"/>
              <w:right w:val="nil"/>
            </w:tcBorders>
            <w:shd w:val="clear" w:color="auto" w:fill="auto"/>
            <w:noWrap/>
            <w:vAlign w:val="bottom"/>
            <w:hideMark/>
          </w:tcPr>
          <w:p w14:paraId="030DA62B" w14:textId="77777777" w:rsidR="00204DAB" w:rsidRPr="00FE20B5" w:rsidRDefault="00204DAB" w:rsidP="00204DAB">
            <w:pPr>
              <w:spacing w:after="0" w:line="240" w:lineRule="auto"/>
              <w:rPr>
                <w:rFonts w:ascii="Arial" w:eastAsia="Times New Roman" w:hAnsi="Arial" w:cs="Arial"/>
                <w:sz w:val="20"/>
                <w:szCs w:val="20"/>
                <w:lang w:val="pt-BR"/>
              </w:rPr>
            </w:pPr>
          </w:p>
        </w:tc>
        <w:tc>
          <w:tcPr>
            <w:tcW w:w="1980" w:type="dxa"/>
            <w:gridSpan w:val="2"/>
            <w:tcBorders>
              <w:top w:val="nil"/>
              <w:left w:val="nil"/>
              <w:bottom w:val="nil"/>
              <w:right w:val="nil"/>
            </w:tcBorders>
            <w:shd w:val="clear" w:color="auto" w:fill="auto"/>
            <w:noWrap/>
            <w:vAlign w:val="bottom"/>
            <w:hideMark/>
          </w:tcPr>
          <w:p w14:paraId="3DAC7E56" w14:textId="77777777" w:rsidR="00204DAB" w:rsidRPr="00FE20B5" w:rsidRDefault="00204DAB" w:rsidP="00204DAB">
            <w:pPr>
              <w:spacing w:after="0" w:line="240" w:lineRule="auto"/>
              <w:rPr>
                <w:rFonts w:ascii="Arial" w:eastAsia="Times New Roman" w:hAnsi="Arial" w:cs="Arial"/>
                <w:sz w:val="20"/>
                <w:szCs w:val="20"/>
                <w:lang w:val="pt-BR"/>
              </w:rPr>
            </w:pPr>
          </w:p>
        </w:tc>
        <w:tc>
          <w:tcPr>
            <w:tcW w:w="1495" w:type="dxa"/>
            <w:gridSpan w:val="2"/>
            <w:tcBorders>
              <w:top w:val="nil"/>
              <w:left w:val="nil"/>
              <w:bottom w:val="nil"/>
              <w:right w:val="nil"/>
            </w:tcBorders>
            <w:shd w:val="clear" w:color="auto" w:fill="auto"/>
            <w:noWrap/>
            <w:vAlign w:val="bottom"/>
            <w:hideMark/>
          </w:tcPr>
          <w:p w14:paraId="1D77845C" w14:textId="77777777" w:rsidR="00204DAB" w:rsidRPr="00FE20B5" w:rsidRDefault="00204DAB"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0D1D831C" w14:textId="77777777" w:rsidR="00204DAB" w:rsidRPr="00FE20B5" w:rsidRDefault="00204DAB" w:rsidP="00204DAB">
            <w:pPr>
              <w:spacing w:after="0" w:line="240" w:lineRule="auto"/>
              <w:jc w:val="center"/>
              <w:rPr>
                <w:rFonts w:ascii="Arial" w:eastAsia="Times New Roman" w:hAnsi="Arial" w:cs="Arial"/>
                <w:sz w:val="20"/>
                <w:szCs w:val="20"/>
                <w:lang w:val="pt-BR"/>
              </w:rPr>
            </w:pPr>
          </w:p>
        </w:tc>
      </w:tr>
    </w:tbl>
    <w:p w14:paraId="3B3CC6F2" w14:textId="77777777" w:rsidR="00204DAB" w:rsidRDefault="00204DAB">
      <w:r>
        <w:br w:type="page"/>
      </w:r>
    </w:p>
    <w:tbl>
      <w:tblPr>
        <w:tblW w:w="14731" w:type="dxa"/>
        <w:tblLook w:val="04A0" w:firstRow="1" w:lastRow="0" w:firstColumn="1" w:lastColumn="0" w:noHBand="0" w:noVBand="1"/>
      </w:tblPr>
      <w:tblGrid>
        <w:gridCol w:w="1804"/>
        <w:gridCol w:w="1516"/>
        <w:gridCol w:w="1556"/>
        <w:gridCol w:w="1980"/>
        <w:gridCol w:w="1495"/>
        <w:gridCol w:w="3480"/>
        <w:gridCol w:w="1700"/>
        <w:gridCol w:w="1200"/>
      </w:tblGrid>
      <w:tr w:rsidR="007E4ADC" w:rsidRPr="00FE20B5" w14:paraId="0112374A" w14:textId="77777777" w:rsidTr="00204DAB">
        <w:trPr>
          <w:trHeight w:val="252"/>
        </w:trPr>
        <w:tc>
          <w:tcPr>
            <w:tcW w:w="1804" w:type="dxa"/>
            <w:tcBorders>
              <w:top w:val="nil"/>
              <w:left w:val="nil"/>
              <w:bottom w:val="nil"/>
              <w:right w:val="nil"/>
            </w:tcBorders>
            <w:shd w:val="clear" w:color="auto" w:fill="auto"/>
            <w:noWrap/>
            <w:vAlign w:val="bottom"/>
            <w:hideMark/>
          </w:tcPr>
          <w:p w14:paraId="18367324" w14:textId="18421C1A" w:rsidR="007E4ADC" w:rsidRPr="00FE20B5" w:rsidRDefault="007E4ADC" w:rsidP="00204DAB">
            <w:pPr>
              <w:spacing w:after="0" w:line="240" w:lineRule="auto"/>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7BEBE432" w14:textId="77777777" w:rsidR="007E4ADC" w:rsidRPr="00FE20B5"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239E543E" w14:textId="77777777" w:rsidR="007E4ADC" w:rsidRPr="00FE20B5"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0C128E97" w14:textId="77777777" w:rsidR="007E4ADC" w:rsidRPr="00FE20B5"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3EF4F5F2" w14:textId="77777777" w:rsidR="007E4ADC" w:rsidRPr="00FE20B5" w:rsidRDefault="007E4ADC"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568C1C81" w14:textId="77777777" w:rsidR="007E4ADC" w:rsidRPr="00FE20B5" w:rsidRDefault="007E4ADC" w:rsidP="00204DAB">
            <w:pPr>
              <w:spacing w:after="0" w:line="240" w:lineRule="auto"/>
              <w:jc w:val="center"/>
              <w:rPr>
                <w:rFonts w:ascii="Arial" w:eastAsia="Times New Roman" w:hAnsi="Arial" w:cs="Arial"/>
                <w:sz w:val="20"/>
                <w:szCs w:val="20"/>
                <w:lang w:val="pt-BR"/>
              </w:rPr>
            </w:pPr>
          </w:p>
        </w:tc>
        <w:tc>
          <w:tcPr>
            <w:tcW w:w="1700" w:type="dxa"/>
            <w:tcBorders>
              <w:top w:val="nil"/>
              <w:left w:val="nil"/>
              <w:bottom w:val="nil"/>
              <w:right w:val="nil"/>
            </w:tcBorders>
            <w:shd w:val="clear" w:color="auto" w:fill="auto"/>
            <w:noWrap/>
            <w:vAlign w:val="bottom"/>
            <w:hideMark/>
          </w:tcPr>
          <w:p w14:paraId="582E67AA"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074BC6B1"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4545986B" w14:textId="77777777" w:rsidTr="00204DAB">
        <w:trPr>
          <w:trHeight w:val="252"/>
        </w:trPr>
        <w:tc>
          <w:tcPr>
            <w:tcW w:w="1804" w:type="dxa"/>
            <w:tcBorders>
              <w:top w:val="nil"/>
              <w:left w:val="nil"/>
              <w:bottom w:val="nil"/>
              <w:right w:val="nil"/>
            </w:tcBorders>
            <w:shd w:val="clear" w:color="auto" w:fill="auto"/>
            <w:noWrap/>
            <w:vAlign w:val="bottom"/>
            <w:hideMark/>
          </w:tcPr>
          <w:p w14:paraId="32DFD432" w14:textId="77777777" w:rsidR="007E4ADC" w:rsidRPr="00FE20B5" w:rsidRDefault="007E4ADC" w:rsidP="00204DAB">
            <w:pPr>
              <w:spacing w:after="0" w:line="240" w:lineRule="auto"/>
              <w:rPr>
                <w:rFonts w:ascii="Arial" w:eastAsia="Times New Roman" w:hAnsi="Arial" w:cs="Arial"/>
                <w:sz w:val="24"/>
                <w:szCs w:val="24"/>
                <w:lang w:val="pt-BR"/>
              </w:rPr>
            </w:pPr>
            <w:r w:rsidRPr="00FE20B5">
              <w:rPr>
                <w:rFonts w:ascii="Arial" w:eastAsia="Times New Roman" w:hAnsi="Arial" w:cs="Arial"/>
                <w:b/>
                <w:bCs/>
                <w:sz w:val="24"/>
                <w:szCs w:val="24"/>
                <w:lang w:val="pt-BR"/>
              </w:rPr>
              <w:t>Pressupostos</w:t>
            </w:r>
          </w:p>
        </w:tc>
        <w:tc>
          <w:tcPr>
            <w:tcW w:w="1516" w:type="dxa"/>
            <w:tcBorders>
              <w:top w:val="nil"/>
              <w:left w:val="nil"/>
              <w:bottom w:val="nil"/>
              <w:right w:val="nil"/>
            </w:tcBorders>
            <w:shd w:val="clear" w:color="auto" w:fill="auto"/>
            <w:noWrap/>
            <w:vAlign w:val="bottom"/>
            <w:hideMark/>
          </w:tcPr>
          <w:p w14:paraId="4FDC527D" w14:textId="77777777" w:rsidR="007E4ADC" w:rsidRPr="00FE20B5"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52555FF6" w14:textId="77777777" w:rsidR="007E4ADC" w:rsidRPr="00FE20B5"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304F3ABB" w14:textId="77777777" w:rsidR="007E4ADC" w:rsidRPr="00FE20B5"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tcPr>
          <w:p w14:paraId="6A8CF405" w14:textId="77777777" w:rsidR="007E4ADC" w:rsidRPr="00FE20B5" w:rsidRDefault="007E4ADC" w:rsidP="00204DAB">
            <w:pPr>
              <w:spacing w:after="0" w:line="240" w:lineRule="auto"/>
              <w:jc w:val="center"/>
              <w:rPr>
                <w:rFonts w:ascii="Arial" w:eastAsia="Times New Roman" w:hAnsi="Arial" w:cs="Arial"/>
                <w:b/>
                <w:bCs/>
                <w:sz w:val="20"/>
                <w:szCs w:val="20"/>
                <w:lang w:val="pt-BR"/>
              </w:rPr>
            </w:pPr>
          </w:p>
        </w:tc>
        <w:tc>
          <w:tcPr>
            <w:tcW w:w="3480" w:type="dxa"/>
            <w:tcBorders>
              <w:top w:val="nil"/>
              <w:left w:val="nil"/>
              <w:bottom w:val="nil"/>
              <w:right w:val="nil"/>
            </w:tcBorders>
            <w:shd w:val="clear" w:color="auto" w:fill="auto"/>
            <w:noWrap/>
            <w:vAlign w:val="bottom"/>
            <w:hideMark/>
          </w:tcPr>
          <w:p w14:paraId="3C7A46B9" w14:textId="77777777" w:rsidR="007E4ADC" w:rsidRPr="00FE20B5" w:rsidRDefault="007E4ADC" w:rsidP="00204DAB">
            <w:pPr>
              <w:spacing w:after="0" w:line="240" w:lineRule="auto"/>
              <w:jc w:val="center"/>
              <w:rPr>
                <w:rFonts w:ascii="Arial" w:eastAsia="Times New Roman" w:hAnsi="Arial" w:cs="Arial"/>
                <w:b/>
                <w:bCs/>
                <w:sz w:val="20"/>
                <w:szCs w:val="20"/>
                <w:lang w:val="pt-BR"/>
              </w:rPr>
            </w:pPr>
          </w:p>
        </w:tc>
        <w:tc>
          <w:tcPr>
            <w:tcW w:w="1700" w:type="dxa"/>
            <w:tcBorders>
              <w:top w:val="nil"/>
              <w:left w:val="nil"/>
              <w:bottom w:val="nil"/>
              <w:right w:val="nil"/>
            </w:tcBorders>
            <w:shd w:val="clear" w:color="auto" w:fill="auto"/>
            <w:noWrap/>
            <w:vAlign w:val="bottom"/>
            <w:hideMark/>
          </w:tcPr>
          <w:p w14:paraId="39F7F80E"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78F40A8C"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51EC1823" w14:textId="77777777" w:rsidTr="00204DAB">
        <w:trPr>
          <w:trHeight w:val="252"/>
        </w:trPr>
        <w:tc>
          <w:tcPr>
            <w:tcW w:w="6856" w:type="dxa"/>
            <w:gridSpan w:val="4"/>
            <w:tcBorders>
              <w:top w:val="nil"/>
              <w:left w:val="nil"/>
              <w:bottom w:val="nil"/>
              <w:right w:val="nil"/>
            </w:tcBorders>
            <w:shd w:val="clear" w:color="auto" w:fill="auto"/>
            <w:noWrap/>
            <w:vAlign w:val="bottom"/>
            <w:hideMark/>
          </w:tcPr>
          <w:p w14:paraId="19F50895" w14:textId="36AFDAAE" w:rsidR="007E4ADC" w:rsidRPr="00180F38" w:rsidRDefault="00180F38" w:rsidP="00204DAB">
            <w:pPr>
              <w:spacing w:after="0" w:line="240" w:lineRule="auto"/>
              <w:rPr>
                <w:rFonts w:ascii="Arial" w:eastAsia="Times New Roman" w:hAnsi="Arial" w:cs="Arial"/>
                <w:sz w:val="20"/>
                <w:szCs w:val="20"/>
                <w:lang w:val="pt-BR"/>
              </w:rPr>
            </w:pPr>
            <w:r w:rsidRPr="00180F38">
              <w:rPr>
                <w:rFonts w:ascii="Arial" w:eastAsia="Times New Roman" w:hAnsi="Arial" w:cs="Arial"/>
                <w:sz w:val="20"/>
                <w:szCs w:val="20"/>
                <w:lang w:val="pt-BR"/>
              </w:rPr>
              <w:t>D</w:t>
            </w:r>
            <w:r w:rsidR="007E4ADC" w:rsidRPr="00180F38">
              <w:rPr>
                <w:rFonts w:ascii="Arial" w:eastAsia="Times New Roman" w:hAnsi="Arial" w:cs="Arial"/>
                <w:sz w:val="20"/>
                <w:szCs w:val="20"/>
                <w:lang w:val="pt-BR"/>
              </w:rPr>
              <w:t>istribuição</w:t>
            </w:r>
            <w:r w:rsidRPr="00180F38">
              <w:rPr>
                <w:rFonts w:ascii="Arial" w:eastAsia="Times New Roman" w:hAnsi="Arial" w:cs="Arial"/>
                <w:sz w:val="20"/>
                <w:szCs w:val="20"/>
                <w:lang w:val="pt-BR"/>
              </w:rPr>
              <w:t xml:space="preserve"> normal</w:t>
            </w:r>
            <w:r w:rsidR="007E4ADC" w:rsidRPr="00180F38">
              <w:rPr>
                <w:rFonts w:ascii="Arial" w:eastAsia="Times New Roman" w:hAnsi="Arial" w:cs="Arial"/>
                <w:sz w:val="20"/>
                <w:szCs w:val="20"/>
                <w:lang w:val="pt-BR"/>
              </w:rPr>
              <w:t xml:space="preserve"> com parâmetros:</w:t>
            </w:r>
          </w:p>
        </w:tc>
        <w:tc>
          <w:tcPr>
            <w:tcW w:w="1495" w:type="dxa"/>
            <w:tcBorders>
              <w:top w:val="nil"/>
              <w:left w:val="nil"/>
              <w:bottom w:val="nil"/>
              <w:right w:val="nil"/>
            </w:tcBorders>
            <w:shd w:val="clear" w:color="auto" w:fill="auto"/>
            <w:noWrap/>
            <w:vAlign w:val="bottom"/>
            <w:hideMark/>
          </w:tcPr>
          <w:p w14:paraId="6856E915" w14:textId="77777777" w:rsidR="007E4ADC" w:rsidRPr="00FE20B5" w:rsidRDefault="007E4ADC"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6938CA3B" w14:textId="77777777" w:rsidR="007E4ADC" w:rsidRPr="00FE20B5" w:rsidRDefault="007E4ADC" w:rsidP="00204DAB">
            <w:pPr>
              <w:spacing w:after="0" w:line="240" w:lineRule="auto"/>
              <w:jc w:val="center"/>
              <w:rPr>
                <w:rFonts w:ascii="Arial" w:eastAsia="Times New Roman" w:hAnsi="Arial" w:cs="Arial"/>
                <w:sz w:val="20"/>
                <w:szCs w:val="20"/>
                <w:lang w:val="pt-BR"/>
              </w:rPr>
            </w:pPr>
          </w:p>
        </w:tc>
        <w:tc>
          <w:tcPr>
            <w:tcW w:w="1700" w:type="dxa"/>
            <w:tcBorders>
              <w:top w:val="nil"/>
              <w:left w:val="nil"/>
              <w:bottom w:val="nil"/>
              <w:right w:val="nil"/>
            </w:tcBorders>
            <w:shd w:val="clear" w:color="auto" w:fill="auto"/>
            <w:noWrap/>
            <w:vAlign w:val="bottom"/>
            <w:hideMark/>
          </w:tcPr>
          <w:p w14:paraId="42B32016"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6CE2BFFC"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6553E326" w14:textId="77777777" w:rsidTr="00204DAB">
        <w:trPr>
          <w:trHeight w:val="252"/>
        </w:trPr>
        <w:tc>
          <w:tcPr>
            <w:tcW w:w="1804" w:type="dxa"/>
            <w:tcBorders>
              <w:top w:val="nil"/>
              <w:left w:val="nil"/>
              <w:bottom w:val="nil"/>
              <w:right w:val="nil"/>
            </w:tcBorders>
            <w:shd w:val="clear" w:color="auto" w:fill="auto"/>
            <w:noWrap/>
            <w:vAlign w:val="bottom"/>
            <w:hideMark/>
          </w:tcPr>
          <w:p w14:paraId="6966DEA3" w14:textId="77777777" w:rsidR="007E4ADC" w:rsidRPr="00180F38" w:rsidRDefault="007E4ADC" w:rsidP="00204DAB">
            <w:pPr>
              <w:spacing w:after="0" w:line="240" w:lineRule="auto"/>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2A7810F2" w14:textId="77777777" w:rsidR="007E4ADC" w:rsidRPr="00180F38" w:rsidRDefault="007E4ADC" w:rsidP="00204DAB">
            <w:pPr>
              <w:spacing w:after="0" w:line="240" w:lineRule="auto"/>
              <w:rPr>
                <w:rFonts w:ascii="Arial" w:eastAsia="Times New Roman" w:hAnsi="Arial" w:cs="Arial"/>
                <w:sz w:val="20"/>
                <w:szCs w:val="20"/>
                <w:lang w:val="pt-BR"/>
              </w:rPr>
            </w:pPr>
            <w:r w:rsidRPr="00180F38">
              <w:rPr>
                <w:rFonts w:ascii="Arial" w:eastAsia="Times New Roman" w:hAnsi="Arial" w:cs="Arial"/>
                <w:sz w:val="20"/>
                <w:szCs w:val="20"/>
                <w:lang w:val="pt-BR"/>
              </w:rPr>
              <w:t>Média</w:t>
            </w:r>
          </w:p>
        </w:tc>
        <w:tc>
          <w:tcPr>
            <w:tcW w:w="1556" w:type="dxa"/>
            <w:tcBorders>
              <w:top w:val="nil"/>
              <w:left w:val="nil"/>
              <w:bottom w:val="nil"/>
              <w:right w:val="nil"/>
            </w:tcBorders>
            <w:shd w:val="clear" w:color="auto" w:fill="auto"/>
            <w:noWrap/>
            <w:vAlign w:val="bottom"/>
            <w:hideMark/>
          </w:tcPr>
          <w:p w14:paraId="5B2EE5CF"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3133247F" w14:textId="77777777" w:rsidR="007E4ADC" w:rsidRPr="00180F38" w:rsidRDefault="007E4ADC" w:rsidP="00204DAB">
            <w:pPr>
              <w:spacing w:after="0" w:line="240" w:lineRule="auto"/>
              <w:jc w:val="right"/>
              <w:rPr>
                <w:rFonts w:ascii="Arial" w:eastAsia="Times New Roman" w:hAnsi="Arial" w:cs="Arial"/>
                <w:sz w:val="20"/>
                <w:szCs w:val="20"/>
                <w:lang w:val="pt-BR"/>
              </w:rPr>
            </w:pPr>
            <w:r w:rsidRPr="00180F38">
              <w:rPr>
                <w:rFonts w:ascii="Arial" w:eastAsia="Times New Roman" w:hAnsi="Arial" w:cs="Arial"/>
                <w:sz w:val="20"/>
                <w:szCs w:val="20"/>
                <w:lang w:val="pt-BR"/>
              </w:rPr>
              <w:t>2,00%</w:t>
            </w:r>
          </w:p>
        </w:tc>
        <w:tc>
          <w:tcPr>
            <w:tcW w:w="1495" w:type="dxa"/>
            <w:tcBorders>
              <w:top w:val="nil"/>
              <w:left w:val="nil"/>
              <w:bottom w:val="nil"/>
              <w:right w:val="nil"/>
            </w:tcBorders>
            <w:shd w:val="clear" w:color="auto" w:fill="auto"/>
            <w:noWrap/>
            <w:vAlign w:val="bottom"/>
            <w:hideMark/>
          </w:tcPr>
          <w:p w14:paraId="120BDE00" w14:textId="77777777" w:rsidR="007E4ADC" w:rsidRPr="00FE20B5" w:rsidRDefault="007E4ADC"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noProof/>
                <w:sz w:val="20"/>
                <w:szCs w:val="20"/>
                <w:lang w:val="pt-BR"/>
              </w:rPr>
              <w:drawing>
                <wp:anchor distT="0" distB="0" distL="114300" distR="114300" simplePos="0" relativeHeight="251661312" behindDoc="0" locked="0" layoutInCell="1" allowOverlap="1" wp14:anchorId="34F6F7F3" wp14:editId="0192E678">
                  <wp:simplePos x="0" y="0"/>
                  <wp:positionH relativeFrom="column">
                    <wp:posOffset>197485</wp:posOffset>
                  </wp:positionH>
                  <wp:positionV relativeFrom="paragraph">
                    <wp:posOffset>122555</wp:posOffset>
                  </wp:positionV>
                  <wp:extent cx="1912620" cy="891540"/>
                  <wp:effectExtent l="0" t="0" r="0" b="3810"/>
                  <wp:wrapNone/>
                  <wp:docPr id="30" name="Picture 30">
                    <a:extLst xmlns:a="http://schemas.openxmlformats.org/drawingml/2006/main">
                      <a:ext uri="{FF2B5EF4-FFF2-40B4-BE49-F238E27FC236}">
                        <a16:creationId xmlns:a16="http://schemas.microsoft.com/office/drawing/2014/main" id="{AEE9ABAB-1AD8-4CCB-B428-620793417B92}"/>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EE9ABAB-1AD8-4CCB-B428-620793417B92}"/>
                              </a:ext>
                            </a:extLst>
                          </pic:cNvPr>
                          <pic:cNvPicPr>
                            <a:picLock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2620" cy="891540"/>
                          </a:xfrm>
                          <a:prstGeom prst="rect">
                            <a:avLst/>
                          </a:prstGeom>
                        </pic:spPr>
                      </pic:pic>
                    </a:graphicData>
                  </a:graphic>
                  <wp14:sizeRelH relativeFrom="page">
                    <wp14:pctWidth>0</wp14:pctWidth>
                  </wp14:sizeRelH>
                  <wp14:sizeRelV relativeFrom="page">
                    <wp14:pctHeight>0</wp14:pctHeight>
                  </wp14:sizeRelV>
                </wp:anchor>
              </w:drawing>
            </w:r>
          </w:p>
        </w:tc>
        <w:tc>
          <w:tcPr>
            <w:tcW w:w="6380" w:type="dxa"/>
            <w:gridSpan w:val="3"/>
            <w:vMerge w:val="restart"/>
            <w:tcBorders>
              <w:top w:val="nil"/>
              <w:left w:val="nil"/>
              <w:bottom w:val="nil"/>
              <w:right w:val="nil"/>
            </w:tcBorders>
            <w:shd w:val="clear" w:color="auto" w:fill="auto"/>
            <w:noWrap/>
            <w:vAlign w:val="bottom"/>
            <w:hideMark/>
          </w:tcPr>
          <w:p w14:paraId="6C5072E0"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7D5229FD" w14:textId="77777777" w:rsidTr="00204DAB">
        <w:trPr>
          <w:trHeight w:val="252"/>
        </w:trPr>
        <w:tc>
          <w:tcPr>
            <w:tcW w:w="1804" w:type="dxa"/>
            <w:tcBorders>
              <w:top w:val="nil"/>
              <w:left w:val="nil"/>
              <w:bottom w:val="nil"/>
              <w:right w:val="nil"/>
            </w:tcBorders>
            <w:shd w:val="clear" w:color="auto" w:fill="auto"/>
            <w:noWrap/>
            <w:vAlign w:val="bottom"/>
            <w:hideMark/>
          </w:tcPr>
          <w:p w14:paraId="5E3E18AC" w14:textId="77777777" w:rsidR="007E4ADC" w:rsidRPr="00180F38" w:rsidRDefault="007E4ADC" w:rsidP="00204DAB">
            <w:pPr>
              <w:spacing w:after="0" w:line="240" w:lineRule="auto"/>
              <w:rPr>
                <w:rFonts w:ascii="Arial" w:eastAsia="Times New Roman" w:hAnsi="Arial" w:cs="Arial"/>
                <w:sz w:val="20"/>
                <w:szCs w:val="20"/>
                <w:lang w:val="pt-BR"/>
              </w:rPr>
            </w:pPr>
          </w:p>
        </w:tc>
        <w:tc>
          <w:tcPr>
            <w:tcW w:w="3072" w:type="dxa"/>
            <w:gridSpan w:val="2"/>
            <w:tcBorders>
              <w:top w:val="nil"/>
              <w:left w:val="nil"/>
              <w:bottom w:val="nil"/>
              <w:right w:val="nil"/>
            </w:tcBorders>
            <w:shd w:val="clear" w:color="auto" w:fill="auto"/>
            <w:noWrap/>
            <w:vAlign w:val="bottom"/>
            <w:hideMark/>
          </w:tcPr>
          <w:p w14:paraId="0F455F98" w14:textId="77777777" w:rsidR="007E4ADC" w:rsidRPr="00180F38" w:rsidRDefault="007E4ADC" w:rsidP="00204DAB">
            <w:pPr>
              <w:spacing w:after="0" w:line="240" w:lineRule="auto"/>
              <w:rPr>
                <w:rFonts w:ascii="Arial" w:eastAsia="Times New Roman" w:hAnsi="Arial" w:cs="Arial"/>
                <w:sz w:val="20"/>
                <w:szCs w:val="20"/>
                <w:lang w:val="pt-BR"/>
              </w:rPr>
            </w:pPr>
            <w:r w:rsidRPr="00180F38">
              <w:rPr>
                <w:rFonts w:ascii="Arial" w:eastAsia="Times New Roman" w:hAnsi="Arial" w:cs="Arial"/>
                <w:sz w:val="20"/>
                <w:szCs w:val="20"/>
                <w:lang w:val="pt-BR"/>
              </w:rPr>
              <w:t>Desvio Padrão</w:t>
            </w:r>
          </w:p>
        </w:tc>
        <w:tc>
          <w:tcPr>
            <w:tcW w:w="1980" w:type="dxa"/>
            <w:tcBorders>
              <w:top w:val="nil"/>
              <w:left w:val="nil"/>
              <w:bottom w:val="nil"/>
              <w:right w:val="nil"/>
            </w:tcBorders>
            <w:shd w:val="clear" w:color="auto" w:fill="auto"/>
            <w:noWrap/>
            <w:vAlign w:val="bottom"/>
            <w:hideMark/>
          </w:tcPr>
          <w:p w14:paraId="73710D47" w14:textId="77777777" w:rsidR="007E4ADC" w:rsidRPr="00180F38" w:rsidRDefault="007E4ADC" w:rsidP="00204DAB">
            <w:pPr>
              <w:spacing w:after="0" w:line="240" w:lineRule="auto"/>
              <w:jc w:val="right"/>
              <w:rPr>
                <w:rFonts w:ascii="Arial" w:eastAsia="Times New Roman" w:hAnsi="Arial" w:cs="Arial"/>
                <w:sz w:val="20"/>
                <w:szCs w:val="20"/>
                <w:lang w:val="pt-BR"/>
              </w:rPr>
            </w:pPr>
            <w:r w:rsidRPr="00180F38">
              <w:rPr>
                <w:rFonts w:ascii="Arial" w:eastAsia="Times New Roman" w:hAnsi="Arial" w:cs="Arial"/>
                <w:sz w:val="20"/>
                <w:szCs w:val="20"/>
                <w:lang w:val="pt-BR"/>
              </w:rPr>
              <w:t>1,00%</w:t>
            </w:r>
          </w:p>
        </w:tc>
        <w:tc>
          <w:tcPr>
            <w:tcW w:w="1495" w:type="dxa"/>
            <w:tcBorders>
              <w:top w:val="nil"/>
              <w:left w:val="nil"/>
              <w:bottom w:val="nil"/>
              <w:right w:val="nil"/>
            </w:tcBorders>
            <w:shd w:val="clear" w:color="auto" w:fill="auto"/>
            <w:noWrap/>
            <w:vAlign w:val="bottom"/>
            <w:hideMark/>
          </w:tcPr>
          <w:p w14:paraId="53174C6F" w14:textId="77777777" w:rsidR="007E4ADC" w:rsidRPr="00FE20B5" w:rsidRDefault="007E4ADC" w:rsidP="00204DAB">
            <w:pPr>
              <w:spacing w:after="0" w:line="240" w:lineRule="auto"/>
              <w:jc w:val="right"/>
              <w:rPr>
                <w:rFonts w:ascii="Arial" w:eastAsia="Times New Roman" w:hAnsi="Arial" w:cs="Arial"/>
                <w:sz w:val="20"/>
                <w:szCs w:val="20"/>
                <w:lang w:val="pt-BR"/>
              </w:rPr>
            </w:pPr>
          </w:p>
        </w:tc>
        <w:tc>
          <w:tcPr>
            <w:tcW w:w="6380" w:type="dxa"/>
            <w:gridSpan w:val="3"/>
            <w:vMerge/>
            <w:tcBorders>
              <w:top w:val="nil"/>
              <w:left w:val="nil"/>
              <w:bottom w:val="nil"/>
              <w:right w:val="nil"/>
            </w:tcBorders>
            <w:vAlign w:val="center"/>
            <w:hideMark/>
          </w:tcPr>
          <w:p w14:paraId="3FDC310A"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179A1884" w14:textId="77777777" w:rsidTr="00204DAB">
        <w:trPr>
          <w:trHeight w:val="252"/>
        </w:trPr>
        <w:tc>
          <w:tcPr>
            <w:tcW w:w="1804" w:type="dxa"/>
            <w:tcBorders>
              <w:top w:val="nil"/>
              <w:left w:val="nil"/>
              <w:bottom w:val="nil"/>
              <w:right w:val="nil"/>
            </w:tcBorders>
            <w:shd w:val="clear" w:color="auto" w:fill="auto"/>
            <w:noWrap/>
            <w:vAlign w:val="bottom"/>
            <w:hideMark/>
          </w:tcPr>
          <w:p w14:paraId="5421DB8D" w14:textId="77777777" w:rsidR="007E4ADC" w:rsidRPr="00180F38" w:rsidRDefault="007E4ADC" w:rsidP="00204DAB">
            <w:pPr>
              <w:spacing w:after="0" w:line="240" w:lineRule="auto"/>
              <w:jc w:val="center"/>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31F087D1"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73971D5C"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074E5AB8"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63FB07E7" w14:textId="77777777" w:rsidR="007E4ADC" w:rsidRPr="00FE20B5" w:rsidRDefault="007E4ADC" w:rsidP="00204DAB">
            <w:pPr>
              <w:spacing w:after="0" w:line="240" w:lineRule="auto"/>
              <w:jc w:val="right"/>
              <w:rPr>
                <w:rFonts w:ascii="Arial" w:eastAsia="Times New Roman" w:hAnsi="Arial" w:cs="Arial"/>
                <w:sz w:val="20"/>
                <w:szCs w:val="20"/>
                <w:lang w:val="pt-BR"/>
              </w:rPr>
            </w:pPr>
          </w:p>
        </w:tc>
        <w:tc>
          <w:tcPr>
            <w:tcW w:w="6380" w:type="dxa"/>
            <w:gridSpan w:val="3"/>
            <w:vMerge/>
            <w:tcBorders>
              <w:top w:val="nil"/>
              <w:left w:val="nil"/>
              <w:bottom w:val="nil"/>
              <w:right w:val="nil"/>
            </w:tcBorders>
            <w:vAlign w:val="center"/>
            <w:hideMark/>
          </w:tcPr>
          <w:p w14:paraId="306B1890"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36C5AFB4" w14:textId="77777777" w:rsidTr="00204DAB">
        <w:trPr>
          <w:trHeight w:val="252"/>
        </w:trPr>
        <w:tc>
          <w:tcPr>
            <w:tcW w:w="1804" w:type="dxa"/>
            <w:tcBorders>
              <w:top w:val="nil"/>
              <w:left w:val="nil"/>
              <w:bottom w:val="nil"/>
              <w:right w:val="nil"/>
            </w:tcBorders>
            <w:shd w:val="clear" w:color="auto" w:fill="auto"/>
            <w:noWrap/>
            <w:vAlign w:val="bottom"/>
            <w:hideMark/>
          </w:tcPr>
          <w:p w14:paraId="0DAB4F61" w14:textId="77777777" w:rsidR="007E4ADC" w:rsidRPr="00180F38" w:rsidRDefault="007E4ADC" w:rsidP="00204DAB">
            <w:pPr>
              <w:spacing w:after="0" w:line="240" w:lineRule="auto"/>
              <w:jc w:val="center"/>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00110466"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27E26D76"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348E0862"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47E467C6" w14:textId="77777777" w:rsidR="007E4ADC" w:rsidRPr="00FE20B5" w:rsidRDefault="007E4ADC" w:rsidP="00204DAB">
            <w:pPr>
              <w:spacing w:after="0" w:line="240" w:lineRule="auto"/>
              <w:jc w:val="right"/>
              <w:rPr>
                <w:rFonts w:ascii="Arial" w:eastAsia="Times New Roman" w:hAnsi="Arial" w:cs="Arial"/>
                <w:sz w:val="20"/>
                <w:szCs w:val="20"/>
                <w:lang w:val="pt-BR"/>
              </w:rPr>
            </w:pPr>
          </w:p>
        </w:tc>
        <w:tc>
          <w:tcPr>
            <w:tcW w:w="6380" w:type="dxa"/>
            <w:gridSpan w:val="3"/>
            <w:vMerge/>
            <w:tcBorders>
              <w:top w:val="nil"/>
              <w:left w:val="nil"/>
              <w:bottom w:val="nil"/>
              <w:right w:val="nil"/>
            </w:tcBorders>
            <w:vAlign w:val="center"/>
            <w:hideMark/>
          </w:tcPr>
          <w:p w14:paraId="206DFE68"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77DDC785" w14:textId="77777777" w:rsidTr="00204DAB">
        <w:trPr>
          <w:trHeight w:val="252"/>
        </w:trPr>
        <w:tc>
          <w:tcPr>
            <w:tcW w:w="1804" w:type="dxa"/>
            <w:tcBorders>
              <w:top w:val="nil"/>
              <w:left w:val="nil"/>
              <w:bottom w:val="nil"/>
              <w:right w:val="nil"/>
            </w:tcBorders>
            <w:shd w:val="clear" w:color="auto" w:fill="auto"/>
            <w:noWrap/>
            <w:vAlign w:val="bottom"/>
            <w:hideMark/>
          </w:tcPr>
          <w:p w14:paraId="58F250A6" w14:textId="77777777" w:rsidR="007E4ADC" w:rsidRPr="00180F38" w:rsidRDefault="007E4ADC" w:rsidP="00204DAB">
            <w:pPr>
              <w:spacing w:after="0" w:line="240" w:lineRule="auto"/>
              <w:jc w:val="center"/>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630CDC59"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7F6E3FAF"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438E185B"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3D493798" w14:textId="77777777" w:rsidR="007E4ADC" w:rsidRPr="00FE20B5" w:rsidRDefault="007E4ADC" w:rsidP="00204DAB">
            <w:pPr>
              <w:spacing w:after="0" w:line="240" w:lineRule="auto"/>
              <w:rPr>
                <w:rFonts w:ascii="Arial" w:eastAsia="Times New Roman" w:hAnsi="Arial" w:cs="Arial"/>
                <w:sz w:val="20"/>
                <w:szCs w:val="20"/>
                <w:lang w:val="pt-BR"/>
              </w:rPr>
            </w:pPr>
          </w:p>
        </w:tc>
        <w:tc>
          <w:tcPr>
            <w:tcW w:w="6380" w:type="dxa"/>
            <w:gridSpan w:val="3"/>
            <w:vMerge/>
            <w:tcBorders>
              <w:top w:val="nil"/>
              <w:left w:val="nil"/>
              <w:bottom w:val="nil"/>
              <w:right w:val="nil"/>
            </w:tcBorders>
            <w:vAlign w:val="center"/>
            <w:hideMark/>
          </w:tcPr>
          <w:p w14:paraId="3CE6A892"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45907A18" w14:textId="77777777" w:rsidTr="00204DAB">
        <w:trPr>
          <w:trHeight w:val="252"/>
        </w:trPr>
        <w:tc>
          <w:tcPr>
            <w:tcW w:w="1804" w:type="dxa"/>
            <w:tcBorders>
              <w:top w:val="nil"/>
              <w:left w:val="nil"/>
              <w:bottom w:val="nil"/>
              <w:right w:val="nil"/>
            </w:tcBorders>
            <w:shd w:val="clear" w:color="auto" w:fill="auto"/>
            <w:noWrap/>
            <w:vAlign w:val="bottom"/>
            <w:hideMark/>
          </w:tcPr>
          <w:p w14:paraId="123C3B65" w14:textId="77777777" w:rsidR="007E4ADC" w:rsidRPr="00180F38" w:rsidRDefault="007E4ADC" w:rsidP="00204DAB">
            <w:pPr>
              <w:spacing w:after="0" w:line="240" w:lineRule="auto"/>
              <w:jc w:val="center"/>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2BBF51C2"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65B03E90"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355D1845"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4F78CF81" w14:textId="77777777" w:rsidR="007E4ADC" w:rsidRPr="00FE20B5" w:rsidRDefault="007E4ADC" w:rsidP="00204DAB">
            <w:pPr>
              <w:spacing w:after="0" w:line="240" w:lineRule="auto"/>
              <w:rPr>
                <w:rFonts w:ascii="Arial" w:eastAsia="Times New Roman" w:hAnsi="Arial" w:cs="Arial"/>
                <w:sz w:val="20"/>
                <w:szCs w:val="20"/>
                <w:lang w:val="pt-BR"/>
              </w:rPr>
            </w:pPr>
          </w:p>
        </w:tc>
        <w:tc>
          <w:tcPr>
            <w:tcW w:w="6380" w:type="dxa"/>
            <w:gridSpan w:val="3"/>
            <w:vMerge/>
            <w:tcBorders>
              <w:top w:val="nil"/>
              <w:left w:val="nil"/>
              <w:bottom w:val="nil"/>
              <w:right w:val="nil"/>
            </w:tcBorders>
            <w:vAlign w:val="center"/>
            <w:hideMark/>
          </w:tcPr>
          <w:p w14:paraId="68BD69CB"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4E97C654" w14:textId="77777777" w:rsidTr="00204DAB">
        <w:trPr>
          <w:trHeight w:val="252"/>
        </w:trPr>
        <w:tc>
          <w:tcPr>
            <w:tcW w:w="1804" w:type="dxa"/>
            <w:tcBorders>
              <w:top w:val="nil"/>
              <w:left w:val="nil"/>
              <w:bottom w:val="nil"/>
              <w:right w:val="nil"/>
            </w:tcBorders>
            <w:shd w:val="clear" w:color="auto" w:fill="auto"/>
            <w:noWrap/>
            <w:vAlign w:val="bottom"/>
            <w:hideMark/>
          </w:tcPr>
          <w:p w14:paraId="52A8D365" w14:textId="77777777" w:rsidR="007E4ADC" w:rsidRPr="00180F38" w:rsidRDefault="007E4ADC" w:rsidP="00204DAB">
            <w:pPr>
              <w:spacing w:after="0" w:line="240" w:lineRule="auto"/>
              <w:jc w:val="center"/>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31C29A04"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119B5A81"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0FEBD28B"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64F8E381" w14:textId="77777777" w:rsidR="007E4ADC" w:rsidRPr="00FE20B5" w:rsidRDefault="007E4ADC"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3B3CB0DE" w14:textId="77777777" w:rsidR="007E4ADC" w:rsidRPr="00FE20B5" w:rsidRDefault="007E4ADC" w:rsidP="00204DAB">
            <w:pPr>
              <w:spacing w:after="0" w:line="240" w:lineRule="auto"/>
              <w:jc w:val="center"/>
              <w:rPr>
                <w:rFonts w:ascii="Arial" w:eastAsia="Times New Roman" w:hAnsi="Arial" w:cs="Arial"/>
                <w:sz w:val="20"/>
                <w:szCs w:val="20"/>
                <w:lang w:val="pt-BR"/>
              </w:rPr>
            </w:pPr>
          </w:p>
        </w:tc>
        <w:tc>
          <w:tcPr>
            <w:tcW w:w="1700" w:type="dxa"/>
            <w:tcBorders>
              <w:top w:val="nil"/>
              <w:left w:val="nil"/>
              <w:bottom w:val="nil"/>
              <w:right w:val="nil"/>
            </w:tcBorders>
            <w:shd w:val="clear" w:color="auto" w:fill="auto"/>
            <w:noWrap/>
            <w:vAlign w:val="bottom"/>
            <w:hideMark/>
          </w:tcPr>
          <w:p w14:paraId="225A08CC"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73102CE8"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6C2A241A" w14:textId="77777777" w:rsidTr="00204DAB">
        <w:trPr>
          <w:trHeight w:val="252"/>
        </w:trPr>
        <w:tc>
          <w:tcPr>
            <w:tcW w:w="1804" w:type="dxa"/>
            <w:tcBorders>
              <w:top w:val="nil"/>
              <w:left w:val="nil"/>
              <w:bottom w:val="nil"/>
              <w:right w:val="nil"/>
            </w:tcBorders>
            <w:shd w:val="clear" w:color="auto" w:fill="auto"/>
            <w:noWrap/>
            <w:vAlign w:val="bottom"/>
            <w:hideMark/>
          </w:tcPr>
          <w:p w14:paraId="2FA05CB5" w14:textId="77777777" w:rsidR="007E4ADC" w:rsidRPr="00180F38" w:rsidRDefault="007E4ADC" w:rsidP="00204DAB">
            <w:pPr>
              <w:spacing w:after="0" w:line="240" w:lineRule="auto"/>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36115D94"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533FB7BA"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4E7846EB"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774571DF" w14:textId="77777777" w:rsidR="007E4ADC" w:rsidRPr="00FE20B5" w:rsidRDefault="007E4ADC"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3E2E634F" w14:textId="77777777" w:rsidR="007E4ADC" w:rsidRPr="00FE20B5" w:rsidRDefault="007E4ADC" w:rsidP="00204DAB">
            <w:pPr>
              <w:spacing w:after="0" w:line="240" w:lineRule="auto"/>
              <w:jc w:val="center"/>
              <w:rPr>
                <w:rFonts w:ascii="Arial" w:eastAsia="Times New Roman" w:hAnsi="Arial" w:cs="Arial"/>
                <w:sz w:val="20"/>
                <w:szCs w:val="20"/>
                <w:lang w:val="pt-BR"/>
              </w:rPr>
            </w:pPr>
          </w:p>
        </w:tc>
        <w:tc>
          <w:tcPr>
            <w:tcW w:w="1700" w:type="dxa"/>
            <w:tcBorders>
              <w:top w:val="nil"/>
              <w:left w:val="nil"/>
              <w:bottom w:val="nil"/>
              <w:right w:val="nil"/>
            </w:tcBorders>
            <w:shd w:val="clear" w:color="auto" w:fill="auto"/>
            <w:noWrap/>
            <w:vAlign w:val="bottom"/>
            <w:hideMark/>
          </w:tcPr>
          <w:p w14:paraId="14A4ABBD"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0C5D2391"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33A97224" w14:textId="77777777" w:rsidTr="00204DAB">
        <w:trPr>
          <w:trHeight w:val="252"/>
        </w:trPr>
        <w:tc>
          <w:tcPr>
            <w:tcW w:w="1804" w:type="dxa"/>
            <w:tcBorders>
              <w:top w:val="nil"/>
              <w:left w:val="nil"/>
              <w:bottom w:val="nil"/>
              <w:right w:val="nil"/>
            </w:tcBorders>
            <w:shd w:val="clear" w:color="auto" w:fill="auto"/>
            <w:noWrap/>
            <w:vAlign w:val="bottom"/>
            <w:hideMark/>
          </w:tcPr>
          <w:p w14:paraId="27B7DCA7" w14:textId="77777777" w:rsidR="007E4ADC" w:rsidRPr="00180F38" w:rsidRDefault="007E4ADC" w:rsidP="00204DAB">
            <w:pPr>
              <w:spacing w:after="0" w:line="240" w:lineRule="auto"/>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5398B906"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24FF0A86"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67438D5F"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2593556C" w14:textId="77777777" w:rsidR="007E4ADC" w:rsidRPr="00FE20B5" w:rsidRDefault="007E4ADC"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2040D6E5" w14:textId="77777777" w:rsidR="007E4ADC" w:rsidRPr="00FE20B5" w:rsidRDefault="007E4ADC" w:rsidP="00204DAB">
            <w:pPr>
              <w:spacing w:after="0" w:line="240" w:lineRule="auto"/>
              <w:jc w:val="center"/>
              <w:rPr>
                <w:rFonts w:ascii="Arial" w:eastAsia="Times New Roman" w:hAnsi="Arial" w:cs="Arial"/>
                <w:sz w:val="20"/>
                <w:szCs w:val="20"/>
                <w:lang w:val="pt-BR"/>
              </w:rPr>
            </w:pPr>
          </w:p>
        </w:tc>
        <w:tc>
          <w:tcPr>
            <w:tcW w:w="1700" w:type="dxa"/>
            <w:tcBorders>
              <w:top w:val="nil"/>
              <w:left w:val="nil"/>
              <w:bottom w:val="nil"/>
              <w:right w:val="nil"/>
            </w:tcBorders>
            <w:shd w:val="clear" w:color="auto" w:fill="auto"/>
            <w:noWrap/>
            <w:vAlign w:val="bottom"/>
            <w:hideMark/>
          </w:tcPr>
          <w:p w14:paraId="7280CDAE"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525F78C8"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70252E66" w14:textId="77777777" w:rsidTr="00204DAB">
        <w:trPr>
          <w:trHeight w:val="252"/>
        </w:trPr>
        <w:tc>
          <w:tcPr>
            <w:tcW w:w="6856" w:type="dxa"/>
            <w:gridSpan w:val="4"/>
            <w:tcBorders>
              <w:top w:val="nil"/>
              <w:left w:val="nil"/>
              <w:bottom w:val="nil"/>
              <w:right w:val="nil"/>
            </w:tcBorders>
            <w:shd w:val="clear" w:color="auto" w:fill="auto"/>
            <w:noWrap/>
            <w:vAlign w:val="bottom"/>
            <w:hideMark/>
          </w:tcPr>
          <w:p w14:paraId="068C8E9F" w14:textId="13651F21" w:rsidR="007E4ADC" w:rsidRPr="00180F38" w:rsidRDefault="00180F38" w:rsidP="00204DAB">
            <w:pPr>
              <w:spacing w:after="0" w:line="240" w:lineRule="auto"/>
              <w:rPr>
                <w:rFonts w:ascii="Arial" w:eastAsia="Times New Roman" w:hAnsi="Arial" w:cs="Arial"/>
                <w:sz w:val="20"/>
                <w:szCs w:val="20"/>
                <w:lang w:val="pt-BR"/>
              </w:rPr>
            </w:pPr>
            <w:r w:rsidRPr="00180F38">
              <w:rPr>
                <w:rFonts w:ascii="Arial" w:eastAsia="Times New Roman" w:hAnsi="Arial" w:cs="Arial"/>
                <w:sz w:val="20"/>
                <w:szCs w:val="20"/>
                <w:lang w:val="pt-BR"/>
              </w:rPr>
              <w:t xml:space="preserve">Distribuição normal </w:t>
            </w:r>
            <w:r w:rsidR="007E4ADC" w:rsidRPr="00180F38">
              <w:rPr>
                <w:rFonts w:ascii="Arial" w:eastAsia="Times New Roman" w:hAnsi="Arial" w:cs="Arial"/>
                <w:sz w:val="20"/>
                <w:szCs w:val="20"/>
                <w:lang w:val="pt-BR"/>
              </w:rPr>
              <w:t>com parâmetros:</w:t>
            </w:r>
          </w:p>
        </w:tc>
        <w:tc>
          <w:tcPr>
            <w:tcW w:w="1495" w:type="dxa"/>
            <w:tcBorders>
              <w:top w:val="nil"/>
              <w:left w:val="nil"/>
              <w:bottom w:val="nil"/>
              <w:right w:val="nil"/>
            </w:tcBorders>
            <w:shd w:val="clear" w:color="auto" w:fill="auto"/>
            <w:noWrap/>
            <w:vAlign w:val="bottom"/>
            <w:hideMark/>
          </w:tcPr>
          <w:p w14:paraId="59481E6F" w14:textId="77777777" w:rsidR="007E4ADC" w:rsidRPr="00FE20B5" w:rsidRDefault="007E4ADC"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3EC47CC3" w14:textId="77777777" w:rsidR="007E4ADC" w:rsidRPr="00FE20B5" w:rsidRDefault="007E4ADC" w:rsidP="00204DAB">
            <w:pPr>
              <w:spacing w:after="0" w:line="240" w:lineRule="auto"/>
              <w:jc w:val="center"/>
              <w:rPr>
                <w:rFonts w:ascii="Arial" w:eastAsia="Times New Roman" w:hAnsi="Arial" w:cs="Arial"/>
                <w:sz w:val="20"/>
                <w:szCs w:val="20"/>
                <w:lang w:val="pt-BR"/>
              </w:rPr>
            </w:pPr>
          </w:p>
        </w:tc>
        <w:tc>
          <w:tcPr>
            <w:tcW w:w="1700" w:type="dxa"/>
            <w:tcBorders>
              <w:top w:val="nil"/>
              <w:left w:val="nil"/>
              <w:bottom w:val="nil"/>
              <w:right w:val="nil"/>
            </w:tcBorders>
            <w:shd w:val="clear" w:color="auto" w:fill="auto"/>
            <w:noWrap/>
            <w:vAlign w:val="bottom"/>
            <w:hideMark/>
          </w:tcPr>
          <w:p w14:paraId="12F32906"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1579790A"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4A5977C2" w14:textId="77777777" w:rsidTr="00204DAB">
        <w:trPr>
          <w:trHeight w:val="252"/>
        </w:trPr>
        <w:tc>
          <w:tcPr>
            <w:tcW w:w="1804" w:type="dxa"/>
            <w:tcBorders>
              <w:top w:val="nil"/>
              <w:left w:val="nil"/>
              <w:bottom w:val="nil"/>
              <w:right w:val="nil"/>
            </w:tcBorders>
            <w:shd w:val="clear" w:color="auto" w:fill="auto"/>
            <w:noWrap/>
            <w:vAlign w:val="bottom"/>
            <w:hideMark/>
          </w:tcPr>
          <w:p w14:paraId="5D7200FB" w14:textId="77777777" w:rsidR="007E4ADC" w:rsidRPr="00180F38" w:rsidRDefault="007E4ADC" w:rsidP="00204DAB">
            <w:pPr>
              <w:spacing w:after="0" w:line="240" w:lineRule="auto"/>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799C75D2" w14:textId="77777777" w:rsidR="007E4ADC" w:rsidRPr="00180F38" w:rsidRDefault="007E4ADC" w:rsidP="00204DAB">
            <w:pPr>
              <w:spacing w:after="0" w:line="240" w:lineRule="auto"/>
              <w:rPr>
                <w:rFonts w:ascii="Arial" w:eastAsia="Times New Roman" w:hAnsi="Arial" w:cs="Arial"/>
                <w:sz w:val="20"/>
                <w:szCs w:val="20"/>
                <w:lang w:val="pt-BR"/>
              </w:rPr>
            </w:pPr>
            <w:r w:rsidRPr="00180F38">
              <w:rPr>
                <w:rFonts w:ascii="Arial" w:eastAsia="Times New Roman" w:hAnsi="Arial" w:cs="Arial"/>
                <w:sz w:val="20"/>
                <w:szCs w:val="20"/>
                <w:lang w:val="pt-BR"/>
              </w:rPr>
              <w:t>Média</w:t>
            </w:r>
          </w:p>
        </w:tc>
        <w:tc>
          <w:tcPr>
            <w:tcW w:w="1556" w:type="dxa"/>
            <w:tcBorders>
              <w:top w:val="nil"/>
              <w:left w:val="nil"/>
              <w:bottom w:val="nil"/>
              <w:right w:val="nil"/>
            </w:tcBorders>
            <w:shd w:val="clear" w:color="auto" w:fill="auto"/>
            <w:noWrap/>
            <w:vAlign w:val="bottom"/>
            <w:hideMark/>
          </w:tcPr>
          <w:p w14:paraId="0260F4ED"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5CA0D07C" w14:textId="77777777" w:rsidR="007E4ADC" w:rsidRPr="00180F38" w:rsidRDefault="007E4ADC" w:rsidP="00204DAB">
            <w:pPr>
              <w:spacing w:after="0" w:line="240" w:lineRule="auto"/>
              <w:jc w:val="right"/>
              <w:rPr>
                <w:rFonts w:ascii="Arial" w:eastAsia="Times New Roman" w:hAnsi="Arial" w:cs="Arial"/>
                <w:sz w:val="20"/>
                <w:szCs w:val="20"/>
                <w:lang w:val="pt-BR"/>
              </w:rPr>
            </w:pPr>
            <w:r w:rsidRPr="00180F38">
              <w:rPr>
                <w:rFonts w:ascii="Arial" w:eastAsia="Times New Roman" w:hAnsi="Arial" w:cs="Arial"/>
                <w:sz w:val="20"/>
                <w:szCs w:val="20"/>
                <w:lang w:val="pt-BR"/>
              </w:rPr>
              <w:t>0,24%</w:t>
            </w:r>
          </w:p>
        </w:tc>
        <w:tc>
          <w:tcPr>
            <w:tcW w:w="1495" w:type="dxa"/>
            <w:tcBorders>
              <w:top w:val="nil"/>
              <w:left w:val="nil"/>
              <w:bottom w:val="nil"/>
              <w:right w:val="nil"/>
            </w:tcBorders>
            <w:shd w:val="clear" w:color="auto" w:fill="auto"/>
            <w:noWrap/>
            <w:vAlign w:val="bottom"/>
            <w:hideMark/>
          </w:tcPr>
          <w:p w14:paraId="206AFB38" w14:textId="77777777" w:rsidR="007E4ADC" w:rsidRPr="00FE20B5" w:rsidRDefault="007E4ADC" w:rsidP="00204DAB">
            <w:pPr>
              <w:spacing w:after="0" w:line="240" w:lineRule="auto"/>
              <w:jc w:val="right"/>
              <w:rPr>
                <w:rFonts w:ascii="Arial" w:eastAsia="Times New Roman" w:hAnsi="Arial" w:cs="Arial"/>
                <w:sz w:val="20"/>
                <w:szCs w:val="20"/>
                <w:lang w:val="pt-BR"/>
              </w:rPr>
            </w:pPr>
          </w:p>
        </w:tc>
        <w:tc>
          <w:tcPr>
            <w:tcW w:w="6380" w:type="dxa"/>
            <w:gridSpan w:val="3"/>
            <w:vMerge w:val="restart"/>
            <w:tcBorders>
              <w:top w:val="nil"/>
              <w:left w:val="nil"/>
              <w:bottom w:val="nil"/>
              <w:right w:val="nil"/>
            </w:tcBorders>
            <w:shd w:val="clear" w:color="auto" w:fill="auto"/>
            <w:noWrap/>
            <w:vAlign w:val="bottom"/>
            <w:hideMark/>
          </w:tcPr>
          <w:p w14:paraId="4334597A" w14:textId="77777777" w:rsidR="007E4ADC" w:rsidRPr="00FE20B5" w:rsidRDefault="007E4ADC" w:rsidP="00204DAB">
            <w:pPr>
              <w:spacing w:after="0" w:line="240" w:lineRule="auto"/>
              <w:rPr>
                <w:rFonts w:ascii="Arial" w:eastAsia="Times New Roman" w:hAnsi="Arial" w:cs="Arial"/>
                <w:sz w:val="20"/>
                <w:szCs w:val="20"/>
                <w:lang w:val="pt-BR"/>
              </w:rPr>
            </w:pPr>
            <w:r w:rsidRPr="00FE20B5">
              <w:rPr>
                <w:rFonts w:ascii="Arial" w:eastAsia="Times New Roman" w:hAnsi="Arial" w:cs="Arial"/>
                <w:noProof/>
                <w:sz w:val="20"/>
                <w:szCs w:val="20"/>
                <w:lang w:val="pt-BR"/>
              </w:rPr>
              <w:drawing>
                <wp:anchor distT="0" distB="0" distL="114300" distR="114300" simplePos="0" relativeHeight="251662336" behindDoc="0" locked="0" layoutInCell="1" allowOverlap="1" wp14:anchorId="7BA03E1D" wp14:editId="4D7BEB67">
                  <wp:simplePos x="0" y="0"/>
                  <wp:positionH relativeFrom="column">
                    <wp:posOffset>-709295</wp:posOffset>
                  </wp:positionH>
                  <wp:positionV relativeFrom="paragraph">
                    <wp:posOffset>-45720</wp:posOffset>
                  </wp:positionV>
                  <wp:extent cx="1912620" cy="891540"/>
                  <wp:effectExtent l="0" t="0" r="0" b="3810"/>
                  <wp:wrapNone/>
                  <wp:docPr id="4" name="Picture 4">
                    <a:extLst xmlns:a="http://schemas.openxmlformats.org/drawingml/2006/main">
                      <a:ext uri="{FF2B5EF4-FFF2-40B4-BE49-F238E27FC236}">
                        <a16:creationId xmlns:a16="http://schemas.microsoft.com/office/drawing/2014/main" id="{D76345B0-55CA-45DD-992C-E2A811AF11B4}"/>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76345B0-55CA-45DD-992C-E2A811AF11B4}"/>
                              </a:ext>
                            </a:extLst>
                          </pic:cNvPr>
                          <pic:cNvPicPr>
                            <a:picLock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12620" cy="891540"/>
                          </a:xfrm>
                          <a:prstGeom prst="rect">
                            <a:avLst/>
                          </a:prstGeom>
                        </pic:spPr>
                      </pic:pic>
                    </a:graphicData>
                  </a:graphic>
                  <wp14:sizeRelH relativeFrom="page">
                    <wp14:pctWidth>0</wp14:pctWidth>
                  </wp14:sizeRelH>
                  <wp14:sizeRelV relativeFrom="page">
                    <wp14:pctHeight>0</wp14:pctHeight>
                  </wp14:sizeRelV>
                </wp:anchor>
              </w:drawing>
            </w:r>
          </w:p>
        </w:tc>
      </w:tr>
      <w:tr w:rsidR="007E4ADC" w:rsidRPr="00FE20B5" w14:paraId="0C56DC5C" w14:textId="77777777" w:rsidTr="00204DAB">
        <w:trPr>
          <w:trHeight w:val="252"/>
        </w:trPr>
        <w:tc>
          <w:tcPr>
            <w:tcW w:w="1804" w:type="dxa"/>
            <w:tcBorders>
              <w:top w:val="nil"/>
              <w:left w:val="nil"/>
              <w:bottom w:val="nil"/>
              <w:right w:val="nil"/>
            </w:tcBorders>
            <w:shd w:val="clear" w:color="auto" w:fill="auto"/>
            <w:noWrap/>
            <w:vAlign w:val="bottom"/>
            <w:hideMark/>
          </w:tcPr>
          <w:p w14:paraId="65543088" w14:textId="77777777" w:rsidR="007E4ADC" w:rsidRPr="00180F38" w:rsidRDefault="007E4ADC" w:rsidP="00204DAB">
            <w:pPr>
              <w:spacing w:after="0" w:line="240" w:lineRule="auto"/>
              <w:rPr>
                <w:rFonts w:ascii="Arial" w:eastAsia="Times New Roman" w:hAnsi="Arial" w:cs="Arial"/>
                <w:sz w:val="20"/>
                <w:szCs w:val="20"/>
                <w:lang w:val="pt-BR"/>
              </w:rPr>
            </w:pPr>
          </w:p>
        </w:tc>
        <w:tc>
          <w:tcPr>
            <w:tcW w:w="3072" w:type="dxa"/>
            <w:gridSpan w:val="2"/>
            <w:tcBorders>
              <w:top w:val="nil"/>
              <w:left w:val="nil"/>
              <w:bottom w:val="nil"/>
              <w:right w:val="nil"/>
            </w:tcBorders>
            <w:shd w:val="clear" w:color="auto" w:fill="auto"/>
            <w:noWrap/>
            <w:vAlign w:val="bottom"/>
            <w:hideMark/>
          </w:tcPr>
          <w:p w14:paraId="69D6B030" w14:textId="77777777" w:rsidR="007E4ADC" w:rsidRPr="00180F38" w:rsidRDefault="007E4ADC" w:rsidP="00204DAB">
            <w:pPr>
              <w:spacing w:after="0" w:line="240" w:lineRule="auto"/>
              <w:rPr>
                <w:rFonts w:ascii="Arial" w:eastAsia="Times New Roman" w:hAnsi="Arial" w:cs="Arial"/>
                <w:sz w:val="20"/>
                <w:szCs w:val="20"/>
                <w:lang w:val="pt-BR"/>
              </w:rPr>
            </w:pPr>
            <w:r w:rsidRPr="00180F38">
              <w:rPr>
                <w:rFonts w:ascii="Arial" w:eastAsia="Times New Roman" w:hAnsi="Arial" w:cs="Arial"/>
                <w:sz w:val="20"/>
                <w:szCs w:val="20"/>
                <w:lang w:val="pt-BR"/>
              </w:rPr>
              <w:t>Desvio Padrão</w:t>
            </w:r>
          </w:p>
        </w:tc>
        <w:tc>
          <w:tcPr>
            <w:tcW w:w="1980" w:type="dxa"/>
            <w:tcBorders>
              <w:top w:val="nil"/>
              <w:left w:val="nil"/>
              <w:bottom w:val="nil"/>
              <w:right w:val="nil"/>
            </w:tcBorders>
            <w:shd w:val="clear" w:color="auto" w:fill="auto"/>
            <w:noWrap/>
            <w:vAlign w:val="bottom"/>
            <w:hideMark/>
          </w:tcPr>
          <w:p w14:paraId="6C321905" w14:textId="77777777" w:rsidR="007E4ADC" w:rsidRPr="00180F38" w:rsidRDefault="007E4ADC" w:rsidP="00204DAB">
            <w:pPr>
              <w:spacing w:after="0" w:line="240" w:lineRule="auto"/>
              <w:jc w:val="right"/>
              <w:rPr>
                <w:rFonts w:ascii="Arial" w:eastAsia="Times New Roman" w:hAnsi="Arial" w:cs="Arial"/>
                <w:sz w:val="20"/>
                <w:szCs w:val="20"/>
                <w:lang w:val="pt-BR"/>
              </w:rPr>
            </w:pPr>
            <w:r w:rsidRPr="00180F38">
              <w:rPr>
                <w:rFonts w:ascii="Arial" w:eastAsia="Times New Roman" w:hAnsi="Arial" w:cs="Arial"/>
                <w:sz w:val="20"/>
                <w:szCs w:val="20"/>
                <w:lang w:val="pt-BR"/>
              </w:rPr>
              <w:t>0,12%</w:t>
            </w:r>
          </w:p>
        </w:tc>
        <w:tc>
          <w:tcPr>
            <w:tcW w:w="1495" w:type="dxa"/>
            <w:tcBorders>
              <w:top w:val="nil"/>
              <w:left w:val="nil"/>
              <w:bottom w:val="nil"/>
              <w:right w:val="nil"/>
            </w:tcBorders>
            <w:shd w:val="clear" w:color="auto" w:fill="auto"/>
            <w:noWrap/>
            <w:vAlign w:val="bottom"/>
            <w:hideMark/>
          </w:tcPr>
          <w:p w14:paraId="58F6D11F" w14:textId="77777777" w:rsidR="007E4ADC" w:rsidRPr="00FE20B5" w:rsidRDefault="007E4ADC" w:rsidP="00204DAB">
            <w:pPr>
              <w:spacing w:after="0" w:line="240" w:lineRule="auto"/>
              <w:jc w:val="right"/>
              <w:rPr>
                <w:rFonts w:ascii="Arial" w:eastAsia="Times New Roman" w:hAnsi="Arial" w:cs="Arial"/>
                <w:sz w:val="20"/>
                <w:szCs w:val="20"/>
                <w:lang w:val="pt-BR"/>
              </w:rPr>
            </w:pPr>
          </w:p>
        </w:tc>
        <w:tc>
          <w:tcPr>
            <w:tcW w:w="6380" w:type="dxa"/>
            <w:gridSpan w:val="3"/>
            <w:vMerge/>
            <w:tcBorders>
              <w:top w:val="nil"/>
              <w:left w:val="nil"/>
              <w:bottom w:val="nil"/>
              <w:right w:val="nil"/>
            </w:tcBorders>
            <w:vAlign w:val="center"/>
            <w:hideMark/>
          </w:tcPr>
          <w:p w14:paraId="0FC1794B"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04CDAD33" w14:textId="77777777" w:rsidTr="00204DAB">
        <w:trPr>
          <w:trHeight w:val="252"/>
        </w:trPr>
        <w:tc>
          <w:tcPr>
            <w:tcW w:w="1804" w:type="dxa"/>
            <w:tcBorders>
              <w:top w:val="nil"/>
              <w:left w:val="nil"/>
              <w:bottom w:val="nil"/>
              <w:right w:val="nil"/>
            </w:tcBorders>
            <w:shd w:val="clear" w:color="auto" w:fill="auto"/>
            <w:noWrap/>
            <w:vAlign w:val="bottom"/>
            <w:hideMark/>
          </w:tcPr>
          <w:p w14:paraId="7B506C0B" w14:textId="77777777" w:rsidR="007E4ADC" w:rsidRPr="00180F38" w:rsidRDefault="007E4ADC" w:rsidP="00204DAB">
            <w:pPr>
              <w:spacing w:after="0" w:line="240" w:lineRule="auto"/>
              <w:jc w:val="center"/>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574DCBCB"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5E9016DE"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58CA209B"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5D51D1F8" w14:textId="77777777" w:rsidR="007E4ADC" w:rsidRPr="00FE20B5" w:rsidRDefault="007E4ADC" w:rsidP="00204DAB">
            <w:pPr>
              <w:spacing w:after="0" w:line="240" w:lineRule="auto"/>
              <w:jc w:val="right"/>
              <w:rPr>
                <w:rFonts w:ascii="Arial" w:eastAsia="Times New Roman" w:hAnsi="Arial" w:cs="Arial"/>
                <w:sz w:val="20"/>
                <w:szCs w:val="20"/>
                <w:lang w:val="pt-BR"/>
              </w:rPr>
            </w:pPr>
          </w:p>
        </w:tc>
        <w:tc>
          <w:tcPr>
            <w:tcW w:w="6380" w:type="dxa"/>
            <w:gridSpan w:val="3"/>
            <w:vMerge/>
            <w:tcBorders>
              <w:top w:val="nil"/>
              <w:left w:val="nil"/>
              <w:bottom w:val="nil"/>
              <w:right w:val="nil"/>
            </w:tcBorders>
            <w:vAlign w:val="center"/>
            <w:hideMark/>
          </w:tcPr>
          <w:p w14:paraId="26F0F402"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51D3C071" w14:textId="77777777" w:rsidTr="00204DAB">
        <w:trPr>
          <w:trHeight w:val="252"/>
        </w:trPr>
        <w:tc>
          <w:tcPr>
            <w:tcW w:w="1804" w:type="dxa"/>
            <w:tcBorders>
              <w:top w:val="nil"/>
              <w:left w:val="nil"/>
              <w:bottom w:val="nil"/>
              <w:right w:val="nil"/>
            </w:tcBorders>
            <w:shd w:val="clear" w:color="auto" w:fill="auto"/>
            <w:noWrap/>
            <w:vAlign w:val="bottom"/>
            <w:hideMark/>
          </w:tcPr>
          <w:p w14:paraId="617A210B" w14:textId="77777777" w:rsidR="007E4ADC" w:rsidRPr="00180F38" w:rsidRDefault="007E4ADC" w:rsidP="00204DAB">
            <w:pPr>
              <w:spacing w:after="0" w:line="240" w:lineRule="auto"/>
              <w:jc w:val="center"/>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25528095"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691BA8F2"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652D3D6E"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139A85EC" w14:textId="77777777" w:rsidR="007E4ADC" w:rsidRPr="00FE20B5" w:rsidRDefault="007E4ADC" w:rsidP="00204DAB">
            <w:pPr>
              <w:spacing w:after="0" w:line="240" w:lineRule="auto"/>
              <w:jc w:val="right"/>
              <w:rPr>
                <w:rFonts w:ascii="Arial" w:eastAsia="Times New Roman" w:hAnsi="Arial" w:cs="Arial"/>
                <w:sz w:val="20"/>
                <w:szCs w:val="20"/>
                <w:lang w:val="pt-BR"/>
              </w:rPr>
            </w:pPr>
          </w:p>
        </w:tc>
        <w:tc>
          <w:tcPr>
            <w:tcW w:w="6380" w:type="dxa"/>
            <w:gridSpan w:val="3"/>
            <w:vMerge/>
            <w:tcBorders>
              <w:top w:val="nil"/>
              <w:left w:val="nil"/>
              <w:bottom w:val="nil"/>
              <w:right w:val="nil"/>
            </w:tcBorders>
            <w:vAlign w:val="center"/>
            <w:hideMark/>
          </w:tcPr>
          <w:p w14:paraId="2A1063DC"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7BF7D7EF" w14:textId="77777777" w:rsidTr="00204DAB">
        <w:trPr>
          <w:trHeight w:val="252"/>
        </w:trPr>
        <w:tc>
          <w:tcPr>
            <w:tcW w:w="1804" w:type="dxa"/>
            <w:tcBorders>
              <w:top w:val="nil"/>
              <w:left w:val="nil"/>
              <w:bottom w:val="nil"/>
              <w:right w:val="nil"/>
            </w:tcBorders>
            <w:shd w:val="clear" w:color="auto" w:fill="auto"/>
            <w:noWrap/>
            <w:vAlign w:val="bottom"/>
            <w:hideMark/>
          </w:tcPr>
          <w:p w14:paraId="438AA0DE" w14:textId="77777777" w:rsidR="007E4ADC" w:rsidRPr="00180F38" w:rsidRDefault="007E4ADC" w:rsidP="00204DAB">
            <w:pPr>
              <w:spacing w:after="0" w:line="240" w:lineRule="auto"/>
              <w:jc w:val="center"/>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384A3B1E"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12CAB8E8"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062448F1"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390F02EB" w14:textId="77777777" w:rsidR="007E4ADC" w:rsidRPr="00FE20B5" w:rsidRDefault="007E4ADC" w:rsidP="00204DAB">
            <w:pPr>
              <w:spacing w:after="0" w:line="240" w:lineRule="auto"/>
              <w:rPr>
                <w:rFonts w:ascii="Arial" w:eastAsia="Times New Roman" w:hAnsi="Arial" w:cs="Arial"/>
                <w:sz w:val="20"/>
                <w:szCs w:val="20"/>
                <w:lang w:val="pt-BR"/>
              </w:rPr>
            </w:pPr>
          </w:p>
        </w:tc>
        <w:tc>
          <w:tcPr>
            <w:tcW w:w="6380" w:type="dxa"/>
            <w:gridSpan w:val="3"/>
            <w:vMerge/>
            <w:tcBorders>
              <w:top w:val="nil"/>
              <w:left w:val="nil"/>
              <w:bottom w:val="nil"/>
              <w:right w:val="nil"/>
            </w:tcBorders>
            <w:vAlign w:val="center"/>
            <w:hideMark/>
          </w:tcPr>
          <w:p w14:paraId="0FEFC226"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7D19AB7E" w14:textId="77777777" w:rsidTr="00204DAB">
        <w:trPr>
          <w:trHeight w:val="252"/>
        </w:trPr>
        <w:tc>
          <w:tcPr>
            <w:tcW w:w="1804" w:type="dxa"/>
            <w:tcBorders>
              <w:top w:val="nil"/>
              <w:left w:val="nil"/>
              <w:bottom w:val="nil"/>
              <w:right w:val="nil"/>
            </w:tcBorders>
            <w:shd w:val="clear" w:color="auto" w:fill="auto"/>
            <w:noWrap/>
            <w:vAlign w:val="bottom"/>
            <w:hideMark/>
          </w:tcPr>
          <w:p w14:paraId="6E23EB80" w14:textId="77777777" w:rsidR="007E4ADC" w:rsidRPr="00180F38" w:rsidRDefault="007E4ADC" w:rsidP="00204DAB">
            <w:pPr>
              <w:spacing w:after="0" w:line="240" w:lineRule="auto"/>
              <w:jc w:val="center"/>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730E7B1E"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0D962437"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53F7FE43"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6BE23797" w14:textId="77777777" w:rsidR="007E4ADC" w:rsidRPr="00FE20B5" w:rsidRDefault="007E4ADC" w:rsidP="00204DAB">
            <w:pPr>
              <w:spacing w:after="0" w:line="240" w:lineRule="auto"/>
              <w:rPr>
                <w:rFonts w:ascii="Arial" w:eastAsia="Times New Roman" w:hAnsi="Arial" w:cs="Arial"/>
                <w:sz w:val="20"/>
                <w:szCs w:val="20"/>
                <w:lang w:val="pt-BR"/>
              </w:rPr>
            </w:pPr>
          </w:p>
        </w:tc>
        <w:tc>
          <w:tcPr>
            <w:tcW w:w="6380" w:type="dxa"/>
            <w:gridSpan w:val="3"/>
            <w:vMerge/>
            <w:tcBorders>
              <w:top w:val="nil"/>
              <w:left w:val="nil"/>
              <w:bottom w:val="nil"/>
              <w:right w:val="nil"/>
            </w:tcBorders>
            <w:vAlign w:val="center"/>
            <w:hideMark/>
          </w:tcPr>
          <w:p w14:paraId="607B813B"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093A6415" w14:textId="77777777" w:rsidTr="00204DAB">
        <w:trPr>
          <w:trHeight w:val="252"/>
        </w:trPr>
        <w:tc>
          <w:tcPr>
            <w:tcW w:w="1804" w:type="dxa"/>
            <w:tcBorders>
              <w:top w:val="nil"/>
              <w:left w:val="nil"/>
              <w:bottom w:val="nil"/>
              <w:right w:val="nil"/>
            </w:tcBorders>
            <w:shd w:val="clear" w:color="auto" w:fill="auto"/>
            <w:noWrap/>
            <w:vAlign w:val="bottom"/>
            <w:hideMark/>
          </w:tcPr>
          <w:p w14:paraId="5CD4F2AA" w14:textId="77777777" w:rsidR="007E4ADC" w:rsidRPr="00180F38" w:rsidRDefault="007E4ADC" w:rsidP="00204DAB">
            <w:pPr>
              <w:spacing w:after="0" w:line="240" w:lineRule="auto"/>
              <w:jc w:val="center"/>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706E4131"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50C7E20C"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1F37B9E8"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37E3C110" w14:textId="77777777" w:rsidR="007E4ADC" w:rsidRPr="00FE20B5" w:rsidRDefault="007E4ADC"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37725D1A" w14:textId="77777777" w:rsidR="007E4ADC" w:rsidRPr="00FE20B5" w:rsidRDefault="007E4ADC" w:rsidP="00204DAB">
            <w:pPr>
              <w:spacing w:after="0" w:line="240" w:lineRule="auto"/>
              <w:jc w:val="center"/>
              <w:rPr>
                <w:rFonts w:ascii="Arial" w:eastAsia="Times New Roman" w:hAnsi="Arial" w:cs="Arial"/>
                <w:sz w:val="20"/>
                <w:szCs w:val="20"/>
                <w:lang w:val="pt-BR"/>
              </w:rPr>
            </w:pPr>
          </w:p>
        </w:tc>
        <w:tc>
          <w:tcPr>
            <w:tcW w:w="1700" w:type="dxa"/>
            <w:tcBorders>
              <w:top w:val="nil"/>
              <w:left w:val="nil"/>
              <w:bottom w:val="nil"/>
              <w:right w:val="nil"/>
            </w:tcBorders>
            <w:shd w:val="clear" w:color="auto" w:fill="auto"/>
            <w:noWrap/>
            <w:vAlign w:val="bottom"/>
            <w:hideMark/>
          </w:tcPr>
          <w:p w14:paraId="396A8391"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46461257"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09B49E11" w14:textId="77777777" w:rsidTr="00204DAB">
        <w:trPr>
          <w:trHeight w:val="252"/>
        </w:trPr>
        <w:tc>
          <w:tcPr>
            <w:tcW w:w="1804" w:type="dxa"/>
            <w:tcBorders>
              <w:top w:val="nil"/>
              <w:left w:val="nil"/>
              <w:bottom w:val="nil"/>
              <w:right w:val="nil"/>
            </w:tcBorders>
            <w:shd w:val="clear" w:color="auto" w:fill="auto"/>
            <w:noWrap/>
            <w:vAlign w:val="bottom"/>
            <w:hideMark/>
          </w:tcPr>
          <w:p w14:paraId="201E3041" w14:textId="77777777" w:rsidR="007E4ADC" w:rsidRPr="00180F38" w:rsidRDefault="007E4ADC" w:rsidP="00204DAB">
            <w:pPr>
              <w:spacing w:after="0" w:line="240" w:lineRule="auto"/>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412DF10D"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1A85457C"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05C75DA6"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4C60543D" w14:textId="77777777" w:rsidR="007E4ADC" w:rsidRPr="00FE20B5" w:rsidRDefault="007E4ADC"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268C8513" w14:textId="77777777" w:rsidR="007E4ADC" w:rsidRPr="00FE20B5" w:rsidRDefault="007E4ADC" w:rsidP="00204DAB">
            <w:pPr>
              <w:spacing w:after="0" w:line="240" w:lineRule="auto"/>
              <w:jc w:val="center"/>
              <w:rPr>
                <w:rFonts w:ascii="Arial" w:eastAsia="Times New Roman" w:hAnsi="Arial" w:cs="Arial"/>
                <w:sz w:val="20"/>
                <w:szCs w:val="20"/>
                <w:lang w:val="pt-BR"/>
              </w:rPr>
            </w:pPr>
          </w:p>
        </w:tc>
        <w:tc>
          <w:tcPr>
            <w:tcW w:w="1700" w:type="dxa"/>
            <w:tcBorders>
              <w:top w:val="nil"/>
              <w:left w:val="nil"/>
              <w:bottom w:val="nil"/>
              <w:right w:val="nil"/>
            </w:tcBorders>
            <w:shd w:val="clear" w:color="auto" w:fill="auto"/>
            <w:noWrap/>
            <w:vAlign w:val="bottom"/>
            <w:hideMark/>
          </w:tcPr>
          <w:p w14:paraId="77D9E65E"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7D679463"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546862B4" w14:textId="77777777" w:rsidTr="00204DAB">
        <w:trPr>
          <w:trHeight w:val="252"/>
        </w:trPr>
        <w:tc>
          <w:tcPr>
            <w:tcW w:w="1804" w:type="dxa"/>
            <w:tcBorders>
              <w:top w:val="nil"/>
              <w:left w:val="nil"/>
              <w:bottom w:val="nil"/>
              <w:right w:val="nil"/>
            </w:tcBorders>
            <w:shd w:val="clear" w:color="auto" w:fill="auto"/>
            <w:noWrap/>
            <w:vAlign w:val="bottom"/>
            <w:hideMark/>
          </w:tcPr>
          <w:p w14:paraId="7120AEA4" w14:textId="77777777" w:rsidR="007E4ADC" w:rsidRPr="00180F38" w:rsidRDefault="007E4ADC" w:rsidP="00204DAB">
            <w:pPr>
              <w:spacing w:after="0" w:line="240" w:lineRule="auto"/>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0DD8B9D3"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4E5D8B06"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75AB47EF"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46F38519" w14:textId="77777777" w:rsidR="007E4ADC" w:rsidRPr="00FE20B5" w:rsidRDefault="007E4ADC"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0745F1DE" w14:textId="77777777" w:rsidR="007E4ADC" w:rsidRPr="00FE20B5" w:rsidRDefault="007E4ADC" w:rsidP="00204DAB">
            <w:pPr>
              <w:spacing w:after="0" w:line="240" w:lineRule="auto"/>
              <w:jc w:val="center"/>
              <w:rPr>
                <w:rFonts w:ascii="Arial" w:eastAsia="Times New Roman" w:hAnsi="Arial" w:cs="Arial"/>
                <w:sz w:val="20"/>
                <w:szCs w:val="20"/>
                <w:lang w:val="pt-BR"/>
              </w:rPr>
            </w:pPr>
          </w:p>
        </w:tc>
        <w:tc>
          <w:tcPr>
            <w:tcW w:w="1700" w:type="dxa"/>
            <w:tcBorders>
              <w:top w:val="nil"/>
              <w:left w:val="nil"/>
              <w:bottom w:val="nil"/>
              <w:right w:val="nil"/>
            </w:tcBorders>
            <w:shd w:val="clear" w:color="auto" w:fill="auto"/>
            <w:noWrap/>
            <w:vAlign w:val="bottom"/>
            <w:hideMark/>
          </w:tcPr>
          <w:p w14:paraId="215C86B3"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75A84B94"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3218DD1E" w14:textId="77777777" w:rsidTr="00204DAB">
        <w:trPr>
          <w:trHeight w:val="252"/>
        </w:trPr>
        <w:tc>
          <w:tcPr>
            <w:tcW w:w="6856" w:type="dxa"/>
            <w:gridSpan w:val="4"/>
            <w:tcBorders>
              <w:top w:val="nil"/>
              <w:left w:val="nil"/>
              <w:bottom w:val="nil"/>
              <w:right w:val="nil"/>
            </w:tcBorders>
            <w:shd w:val="clear" w:color="auto" w:fill="auto"/>
            <w:noWrap/>
            <w:vAlign w:val="bottom"/>
            <w:hideMark/>
          </w:tcPr>
          <w:p w14:paraId="439F69A2" w14:textId="2967E744" w:rsidR="007E4ADC" w:rsidRPr="00180F38" w:rsidRDefault="00180F38" w:rsidP="00204DAB">
            <w:pPr>
              <w:spacing w:after="0" w:line="240" w:lineRule="auto"/>
              <w:rPr>
                <w:rFonts w:ascii="Arial" w:eastAsia="Times New Roman" w:hAnsi="Arial" w:cs="Arial"/>
                <w:sz w:val="20"/>
                <w:szCs w:val="20"/>
                <w:lang w:val="pt-BR"/>
              </w:rPr>
            </w:pPr>
            <w:r w:rsidRPr="00180F38">
              <w:rPr>
                <w:rFonts w:ascii="Arial" w:eastAsia="Times New Roman" w:hAnsi="Arial" w:cs="Arial"/>
                <w:sz w:val="20"/>
                <w:szCs w:val="20"/>
                <w:lang w:val="pt-BR"/>
              </w:rPr>
              <w:t xml:space="preserve">Distribuição normal </w:t>
            </w:r>
            <w:r w:rsidR="007E4ADC" w:rsidRPr="00180F38">
              <w:rPr>
                <w:rFonts w:ascii="Arial" w:eastAsia="Times New Roman" w:hAnsi="Arial" w:cs="Arial"/>
                <w:sz w:val="20"/>
                <w:szCs w:val="20"/>
                <w:lang w:val="pt-BR"/>
              </w:rPr>
              <w:t>com parâmetros:</w:t>
            </w:r>
          </w:p>
        </w:tc>
        <w:tc>
          <w:tcPr>
            <w:tcW w:w="1495" w:type="dxa"/>
            <w:tcBorders>
              <w:top w:val="nil"/>
              <w:left w:val="nil"/>
              <w:bottom w:val="nil"/>
              <w:right w:val="nil"/>
            </w:tcBorders>
            <w:shd w:val="clear" w:color="auto" w:fill="auto"/>
            <w:noWrap/>
            <w:vAlign w:val="bottom"/>
            <w:hideMark/>
          </w:tcPr>
          <w:p w14:paraId="55A44850" w14:textId="77777777" w:rsidR="007E4ADC" w:rsidRPr="00FE20B5" w:rsidRDefault="007E4ADC"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1A770473" w14:textId="77777777" w:rsidR="007E4ADC" w:rsidRPr="00FE20B5" w:rsidRDefault="007E4ADC" w:rsidP="00204DAB">
            <w:pPr>
              <w:spacing w:after="0" w:line="240" w:lineRule="auto"/>
              <w:jc w:val="center"/>
              <w:rPr>
                <w:rFonts w:ascii="Arial" w:eastAsia="Times New Roman" w:hAnsi="Arial" w:cs="Arial"/>
                <w:sz w:val="20"/>
                <w:szCs w:val="20"/>
                <w:lang w:val="pt-BR"/>
              </w:rPr>
            </w:pPr>
          </w:p>
        </w:tc>
        <w:tc>
          <w:tcPr>
            <w:tcW w:w="1700" w:type="dxa"/>
            <w:tcBorders>
              <w:top w:val="nil"/>
              <w:left w:val="nil"/>
              <w:bottom w:val="nil"/>
              <w:right w:val="nil"/>
            </w:tcBorders>
            <w:shd w:val="clear" w:color="auto" w:fill="auto"/>
            <w:noWrap/>
            <w:vAlign w:val="bottom"/>
            <w:hideMark/>
          </w:tcPr>
          <w:p w14:paraId="62F26C05"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0926D728"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7A66D709" w14:textId="77777777" w:rsidTr="00204DAB">
        <w:trPr>
          <w:trHeight w:val="252"/>
        </w:trPr>
        <w:tc>
          <w:tcPr>
            <w:tcW w:w="1804" w:type="dxa"/>
            <w:tcBorders>
              <w:top w:val="nil"/>
              <w:left w:val="nil"/>
              <w:bottom w:val="nil"/>
              <w:right w:val="nil"/>
            </w:tcBorders>
            <w:shd w:val="clear" w:color="auto" w:fill="auto"/>
            <w:noWrap/>
            <w:vAlign w:val="bottom"/>
            <w:hideMark/>
          </w:tcPr>
          <w:p w14:paraId="7EE79B97" w14:textId="77777777" w:rsidR="007E4ADC" w:rsidRPr="00180F38" w:rsidRDefault="007E4ADC" w:rsidP="00204DAB">
            <w:pPr>
              <w:spacing w:after="0" w:line="240" w:lineRule="auto"/>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1648EBF1" w14:textId="77777777" w:rsidR="007E4ADC" w:rsidRPr="00180F38" w:rsidRDefault="007E4ADC" w:rsidP="00204DAB">
            <w:pPr>
              <w:spacing w:after="0" w:line="240" w:lineRule="auto"/>
              <w:rPr>
                <w:rFonts w:ascii="Arial" w:eastAsia="Times New Roman" w:hAnsi="Arial" w:cs="Arial"/>
                <w:sz w:val="20"/>
                <w:szCs w:val="20"/>
                <w:lang w:val="pt-BR"/>
              </w:rPr>
            </w:pPr>
            <w:r w:rsidRPr="00180F38">
              <w:rPr>
                <w:rFonts w:ascii="Arial" w:eastAsia="Times New Roman" w:hAnsi="Arial" w:cs="Arial"/>
                <w:sz w:val="20"/>
                <w:szCs w:val="20"/>
                <w:lang w:val="pt-BR"/>
              </w:rPr>
              <w:t>Média</w:t>
            </w:r>
          </w:p>
        </w:tc>
        <w:tc>
          <w:tcPr>
            <w:tcW w:w="1556" w:type="dxa"/>
            <w:tcBorders>
              <w:top w:val="nil"/>
              <w:left w:val="nil"/>
              <w:bottom w:val="nil"/>
              <w:right w:val="nil"/>
            </w:tcBorders>
            <w:shd w:val="clear" w:color="auto" w:fill="auto"/>
            <w:noWrap/>
            <w:vAlign w:val="bottom"/>
            <w:hideMark/>
          </w:tcPr>
          <w:p w14:paraId="0690283D"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63645BAA" w14:textId="77777777" w:rsidR="007E4ADC" w:rsidRPr="00180F38" w:rsidRDefault="007E4ADC" w:rsidP="00204DAB">
            <w:pPr>
              <w:spacing w:after="0" w:line="240" w:lineRule="auto"/>
              <w:jc w:val="right"/>
              <w:rPr>
                <w:rFonts w:ascii="Arial" w:eastAsia="Times New Roman" w:hAnsi="Arial" w:cs="Arial"/>
                <w:sz w:val="20"/>
                <w:szCs w:val="20"/>
                <w:lang w:val="pt-BR"/>
              </w:rPr>
            </w:pPr>
            <w:r w:rsidRPr="00180F38">
              <w:rPr>
                <w:rFonts w:ascii="Arial" w:eastAsia="Times New Roman" w:hAnsi="Arial" w:cs="Arial"/>
                <w:sz w:val="20"/>
                <w:szCs w:val="20"/>
                <w:lang w:val="pt-BR"/>
              </w:rPr>
              <w:t>5,87%</w:t>
            </w:r>
          </w:p>
        </w:tc>
        <w:tc>
          <w:tcPr>
            <w:tcW w:w="1495" w:type="dxa"/>
            <w:tcBorders>
              <w:top w:val="nil"/>
              <w:left w:val="nil"/>
              <w:bottom w:val="nil"/>
              <w:right w:val="nil"/>
            </w:tcBorders>
            <w:shd w:val="clear" w:color="auto" w:fill="auto"/>
            <w:noWrap/>
            <w:vAlign w:val="bottom"/>
            <w:hideMark/>
          </w:tcPr>
          <w:p w14:paraId="1C1D68BE" w14:textId="77777777" w:rsidR="007E4ADC" w:rsidRPr="00FE20B5" w:rsidRDefault="007E4ADC" w:rsidP="00204DAB">
            <w:pPr>
              <w:spacing w:after="0" w:line="240" w:lineRule="auto"/>
              <w:jc w:val="right"/>
              <w:rPr>
                <w:rFonts w:ascii="Arial" w:eastAsia="Times New Roman" w:hAnsi="Arial" w:cs="Arial"/>
                <w:sz w:val="20"/>
                <w:szCs w:val="20"/>
                <w:lang w:val="pt-BR"/>
              </w:rPr>
            </w:pPr>
          </w:p>
        </w:tc>
        <w:tc>
          <w:tcPr>
            <w:tcW w:w="6380" w:type="dxa"/>
            <w:gridSpan w:val="3"/>
            <w:vMerge w:val="restart"/>
            <w:tcBorders>
              <w:top w:val="nil"/>
              <w:left w:val="nil"/>
              <w:bottom w:val="nil"/>
              <w:right w:val="nil"/>
            </w:tcBorders>
            <w:shd w:val="clear" w:color="auto" w:fill="auto"/>
            <w:noWrap/>
            <w:vAlign w:val="bottom"/>
            <w:hideMark/>
          </w:tcPr>
          <w:p w14:paraId="2F480EA7" w14:textId="77777777" w:rsidR="007E4ADC" w:rsidRPr="00FE20B5" w:rsidRDefault="007E4ADC" w:rsidP="00204DAB">
            <w:pPr>
              <w:spacing w:after="0" w:line="240" w:lineRule="auto"/>
              <w:rPr>
                <w:rFonts w:ascii="Arial" w:eastAsia="Times New Roman" w:hAnsi="Arial" w:cs="Arial"/>
                <w:sz w:val="20"/>
                <w:szCs w:val="20"/>
                <w:lang w:val="pt-BR"/>
              </w:rPr>
            </w:pPr>
            <w:r w:rsidRPr="00FE20B5">
              <w:rPr>
                <w:rFonts w:ascii="Arial" w:eastAsia="Times New Roman" w:hAnsi="Arial" w:cs="Arial"/>
                <w:noProof/>
                <w:sz w:val="20"/>
                <w:szCs w:val="20"/>
                <w:lang w:val="pt-BR"/>
              </w:rPr>
              <w:drawing>
                <wp:anchor distT="0" distB="0" distL="114300" distR="114300" simplePos="0" relativeHeight="251663360" behindDoc="0" locked="0" layoutInCell="1" allowOverlap="1" wp14:anchorId="2602A004" wp14:editId="4DC18BE0">
                  <wp:simplePos x="0" y="0"/>
                  <wp:positionH relativeFrom="column">
                    <wp:posOffset>-683895</wp:posOffset>
                  </wp:positionH>
                  <wp:positionV relativeFrom="paragraph">
                    <wp:posOffset>53340</wp:posOffset>
                  </wp:positionV>
                  <wp:extent cx="1912620" cy="815340"/>
                  <wp:effectExtent l="0" t="0" r="0" b="3810"/>
                  <wp:wrapNone/>
                  <wp:docPr id="31" name="Picture 31">
                    <a:extLst xmlns:a="http://schemas.openxmlformats.org/drawingml/2006/main">
                      <a:ext uri="{FF2B5EF4-FFF2-40B4-BE49-F238E27FC236}">
                        <a16:creationId xmlns:a16="http://schemas.microsoft.com/office/drawing/2014/main" id="{B913341A-223E-4C80-9113-48FD679A2D39}"/>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913341A-223E-4C80-9113-48FD679A2D39}"/>
                              </a:ext>
                            </a:extLst>
                          </pic:cNvPr>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12620" cy="815340"/>
                          </a:xfrm>
                          <a:prstGeom prst="rect">
                            <a:avLst/>
                          </a:prstGeom>
                        </pic:spPr>
                      </pic:pic>
                    </a:graphicData>
                  </a:graphic>
                  <wp14:sizeRelH relativeFrom="page">
                    <wp14:pctWidth>0</wp14:pctWidth>
                  </wp14:sizeRelH>
                  <wp14:sizeRelV relativeFrom="page">
                    <wp14:pctHeight>0</wp14:pctHeight>
                  </wp14:sizeRelV>
                </wp:anchor>
              </w:drawing>
            </w:r>
          </w:p>
        </w:tc>
      </w:tr>
      <w:tr w:rsidR="007E4ADC" w:rsidRPr="00FE20B5" w14:paraId="6D77FC96" w14:textId="77777777" w:rsidTr="00204DAB">
        <w:trPr>
          <w:trHeight w:val="252"/>
        </w:trPr>
        <w:tc>
          <w:tcPr>
            <w:tcW w:w="1804" w:type="dxa"/>
            <w:tcBorders>
              <w:top w:val="nil"/>
              <w:left w:val="nil"/>
              <w:bottom w:val="nil"/>
              <w:right w:val="nil"/>
            </w:tcBorders>
            <w:shd w:val="clear" w:color="auto" w:fill="auto"/>
            <w:noWrap/>
            <w:vAlign w:val="bottom"/>
            <w:hideMark/>
          </w:tcPr>
          <w:p w14:paraId="56546137" w14:textId="77777777" w:rsidR="007E4ADC" w:rsidRPr="00180F38" w:rsidRDefault="007E4ADC" w:rsidP="00204DAB">
            <w:pPr>
              <w:spacing w:after="0" w:line="240" w:lineRule="auto"/>
              <w:rPr>
                <w:rFonts w:ascii="Arial" w:eastAsia="Times New Roman" w:hAnsi="Arial" w:cs="Arial"/>
                <w:sz w:val="20"/>
                <w:szCs w:val="20"/>
                <w:lang w:val="pt-BR"/>
              </w:rPr>
            </w:pPr>
          </w:p>
        </w:tc>
        <w:tc>
          <w:tcPr>
            <w:tcW w:w="3072" w:type="dxa"/>
            <w:gridSpan w:val="2"/>
            <w:tcBorders>
              <w:top w:val="nil"/>
              <w:left w:val="nil"/>
              <w:bottom w:val="nil"/>
              <w:right w:val="nil"/>
            </w:tcBorders>
            <w:shd w:val="clear" w:color="auto" w:fill="auto"/>
            <w:noWrap/>
            <w:vAlign w:val="bottom"/>
            <w:hideMark/>
          </w:tcPr>
          <w:p w14:paraId="7E225903" w14:textId="77777777" w:rsidR="007E4ADC" w:rsidRPr="00180F38" w:rsidRDefault="007E4ADC" w:rsidP="00204DAB">
            <w:pPr>
              <w:spacing w:after="0" w:line="240" w:lineRule="auto"/>
              <w:rPr>
                <w:rFonts w:ascii="Arial" w:eastAsia="Times New Roman" w:hAnsi="Arial" w:cs="Arial"/>
                <w:sz w:val="20"/>
                <w:szCs w:val="20"/>
                <w:lang w:val="pt-BR"/>
              </w:rPr>
            </w:pPr>
            <w:r w:rsidRPr="00180F38">
              <w:rPr>
                <w:rFonts w:ascii="Arial" w:eastAsia="Times New Roman" w:hAnsi="Arial" w:cs="Arial"/>
                <w:sz w:val="20"/>
                <w:szCs w:val="20"/>
                <w:lang w:val="pt-BR"/>
              </w:rPr>
              <w:t>Desvio Padrão</w:t>
            </w:r>
          </w:p>
        </w:tc>
        <w:tc>
          <w:tcPr>
            <w:tcW w:w="1980" w:type="dxa"/>
            <w:tcBorders>
              <w:top w:val="nil"/>
              <w:left w:val="nil"/>
              <w:bottom w:val="nil"/>
              <w:right w:val="nil"/>
            </w:tcBorders>
            <w:shd w:val="clear" w:color="auto" w:fill="auto"/>
            <w:noWrap/>
            <w:vAlign w:val="bottom"/>
            <w:hideMark/>
          </w:tcPr>
          <w:p w14:paraId="06BDC6B9" w14:textId="77777777" w:rsidR="007E4ADC" w:rsidRPr="00180F38" w:rsidRDefault="007E4ADC" w:rsidP="00204DAB">
            <w:pPr>
              <w:spacing w:after="0" w:line="240" w:lineRule="auto"/>
              <w:jc w:val="right"/>
              <w:rPr>
                <w:rFonts w:ascii="Arial" w:eastAsia="Times New Roman" w:hAnsi="Arial" w:cs="Arial"/>
                <w:sz w:val="20"/>
                <w:szCs w:val="20"/>
                <w:lang w:val="pt-BR"/>
              </w:rPr>
            </w:pPr>
            <w:r w:rsidRPr="00180F38">
              <w:rPr>
                <w:rFonts w:ascii="Arial" w:eastAsia="Times New Roman" w:hAnsi="Arial" w:cs="Arial"/>
                <w:sz w:val="20"/>
                <w:szCs w:val="20"/>
                <w:lang w:val="pt-BR"/>
              </w:rPr>
              <w:t>1,76%</w:t>
            </w:r>
          </w:p>
        </w:tc>
        <w:tc>
          <w:tcPr>
            <w:tcW w:w="1495" w:type="dxa"/>
            <w:tcBorders>
              <w:top w:val="nil"/>
              <w:left w:val="nil"/>
              <w:bottom w:val="nil"/>
              <w:right w:val="nil"/>
            </w:tcBorders>
            <w:shd w:val="clear" w:color="auto" w:fill="auto"/>
            <w:noWrap/>
            <w:vAlign w:val="bottom"/>
            <w:hideMark/>
          </w:tcPr>
          <w:p w14:paraId="397D59C9" w14:textId="77777777" w:rsidR="007E4ADC" w:rsidRPr="00FE20B5" w:rsidRDefault="007E4ADC" w:rsidP="00204DAB">
            <w:pPr>
              <w:spacing w:after="0" w:line="240" w:lineRule="auto"/>
              <w:jc w:val="right"/>
              <w:rPr>
                <w:rFonts w:ascii="Arial" w:eastAsia="Times New Roman" w:hAnsi="Arial" w:cs="Arial"/>
                <w:sz w:val="20"/>
                <w:szCs w:val="20"/>
                <w:lang w:val="pt-BR"/>
              </w:rPr>
            </w:pPr>
          </w:p>
        </w:tc>
        <w:tc>
          <w:tcPr>
            <w:tcW w:w="6380" w:type="dxa"/>
            <w:gridSpan w:val="3"/>
            <w:vMerge/>
            <w:tcBorders>
              <w:top w:val="nil"/>
              <w:left w:val="nil"/>
              <w:bottom w:val="nil"/>
              <w:right w:val="nil"/>
            </w:tcBorders>
            <w:vAlign w:val="center"/>
            <w:hideMark/>
          </w:tcPr>
          <w:p w14:paraId="18EA3ECD"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5FA2EE6B" w14:textId="77777777" w:rsidTr="00204DAB">
        <w:trPr>
          <w:trHeight w:val="252"/>
        </w:trPr>
        <w:tc>
          <w:tcPr>
            <w:tcW w:w="1804" w:type="dxa"/>
            <w:tcBorders>
              <w:top w:val="nil"/>
              <w:left w:val="nil"/>
              <w:bottom w:val="nil"/>
              <w:right w:val="nil"/>
            </w:tcBorders>
            <w:shd w:val="clear" w:color="auto" w:fill="auto"/>
            <w:noWrap/>
            <w:vAlign w:val="bottom"/>
            <w:hideMark/>
          </w:tcPr>
          <w:p w14:paraId="2F21F696" w14:textId="77777777" w:rsidR="007E4ADC" w:rsidRPr="00180F38" w:rsidRDefault="007E4ADC" w:rsidP="00204DAB">
            <w:pPr>
              <w:spacing w:after="0" w:line="240" w:lineRule="auto"/>
              <w:jc w:val="center"/>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44FDA824"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52284A23"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6EB1117B"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19F883B0" w14:textId="77777777" w:rsidR="007E4ADC" w:rsidRPr="00FE20B5" w:rsidRDefault="007E4ADC" w:rsidP="00204DAB">
            <w:pPr>
              <w:spacing w:after="0" w:line="240" w:lineRule="auto"/>
              <w:jc w:val="right"/>
              <w:rPr>
                <w:rFonts w:ascii="Arial" w:eastAsia="Times New Roman" w:hAnsi="Arial" w:cs="Arial"/>
                <w:sz w:val="20"/>
                <w:szCs w:val="20"/>
                <w:lang w:val="pt-BR"/>
              </w:rPr>
            </w:pPr>
          </w:p>
        </w:tc>
        <w:tc>
          <w:tcPr>
            <w:tcW w:w="6380" w:type="dxa"/>
            <w:gridSpan w:val="3"/>
            <w:vMerge/>
            <w:tcBorders>
              <w:top w:val="nil"/>
              <w:left w:val="nil"/>
              <w:bottom w:val="nil"/>
              <w:right w:val="nil"/>
            </w:tcBorders>
            <w:vAlign w:val="center"/>
            <w:hideMark/>
          </w:tcPr>
          <w:p w14:paraId="6DE0AEE8"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58E8BD44" w14:textId="77777777" w:rsidTr="00204DAB">
        <w:trPr>
          <w:trHeight w:val="252"/>
        </w:trPr>
        <w:tc>
          <w:tcPr>
            <w:tcW w:w="1804" w:type="dxa"/>
            <w:tcBorders>
              <w:top w:val="nil"/>
              <w:left w:val="nil"/>
              <w:bottom w:val="nil"/>
              <w:right w:val="nil"/>
            </w:tcBorders>
            <w:shd w:val="clear" w:color="auto" w:fill="auto"/>
            <w:noWrap/>
            <w:vAlign w:val="bottom"/>
            <w:hideMark/>
          </w:tcPr>
          <w:p w14:paraId="08A16DB2" w14:textId="77777777" w:rsidR="007E4ADC" w:rsidRPr="00180F38" w:rsidRDefault="007E4ADC" w:rsidP="00204DAB">
            <w:pPr>
              <w:spacing w:after="0" w:line="240" w:lineRule="auto"/>
              <w:jc w:val="center"/>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33F9EB94"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15CF6329"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501BDFEE"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586A849A" w14:textId="77777777" w:rsidR="007E4ADC" w:rsidRPr="00FE20B5" w:rsidRDefault="007E4ADC" w:rsidP="00204DAB">
            <w:pPr>
              <w:spacing w:after="0" w:line="240" w:lineRule="auto"/>
              <w:jc w:val="right"/>
              <w:rPr>
                <w:rFonts w:ascii="Arial" w:eastAsia="Times New Roman" w:hAnsi="Arial" w:cs="Arial"/>
                <w:sz w:val="20"/>
                <w:szCs w:val="20"/>
                <w:lang w:val="pt-BR"/>
              </w:rPr>
            </w:pPr>
          </w:p>
        </w:tc>
        <w:tc>
          <w:tcPr>
            <w:tcW w:w="6380" w:type="dxa"/>
            <w:gridSpan w:val="3"/>
            <w:vMerge/>
            <w:tcBorders>
              <w:top w:val="nil"/>
              <w:left w:val="nil"/>
              <w:bottom w:val="nil"/>
              <w:right w:val="nil"/>
            </w:tcBorders>
            <w:vAlign w:val="center"/>
            <w:hideMark/>
          </w:tcPr>
          <w:p w14:paraId="096DEB4E"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053F3388" w14:textId="77777777" w:rsidTr="00204DAB">
        <w:trPr>
          <w:trHeight w:val="252"/>
        </w:trPr>
        <w:tc>
          <w:tcPr>
            <w:tcW w:w="1804" w:type="dxa"/>
            <w:tcBorders>
              <w:top w:val="nil"/>
              <w:left w:val="nil"/>
              <w:bottom w:val="nil"/>
              <w:right w:val="nil"/>
            </w:tcBorders>
            <w:shd w:val="clear" w:color="auto" w:fill="auto"/>
            <w:noWrap/>
            <w:vAlign w:val="bottom"/>
            <w:hideMark/>
          </w:tcPr>
          <w:p w14:paraId="73B1C0CD" w14:textId="77777777" w:rsidR="007E4ADC" w:rsidRPr="00180F38" w:rsidRDefault="007E4ADC" w:rsidP="00204DAB">
            <w:pPr>
              <w:spacing w:after="0" w:line="240" w:lineRule="auto"/>
              <w:jc w:val="center"/>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053E7648"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484C5ABC"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3441A914"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56002261" w14:textId="77777777" w:rsidR="007E4ADC" w:rsidRPr="00FE20B5" w:rsidRDefault="007E4ADC" w:rsidP="00204DAB">
            <w:pPr>
              <w:spacing w:after="0" w:line="240" w:lineRule="auto"/>
              <w:rPr>
                <w:rFonts w:ascii="Arial" w:eastAsia="Times New Roman" w:hAnsi="Arial" w:cs="Arial"/>
                <w:sz w:val="20"/>
                <w:szCs w:val="20"/>
                <w:lang w:val="pt-BR"/>
              </w:rPr>
            </w:pPr>
          </w:p>
        </w:tc>
        <w:tc>
          <w:tcPr>
            <w:tcW w:w="6380" w:type="dxa"/>
            <w:gridSpan w:val="3"/>
            <w:vMerge/>
            <w:tcBorders>
              <w:top w:val="nil"/>
              <w:left w:val="nil"/>
              <w:bottom w:val="nil"/>
              <w:right w:val="nil"/>
            </w:tcBorders>
            <w:vAlign w:val="center"/>
            <w:hideMark/>
          </w:tcPr>
          <w:p w14:paraId="5E33D354"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3FD827F5" w14:textId="77777777" w:rsidTr="00204DAB">
        <w:trPr>
          <w:trHeight w:val="252"/>
        </w:trPr>
        <w:tc>
          <w:tcPr>
            <w:tcW w:w="1804" w:type="dxa"/>
            <w:tcBorders>
              <w:top w:val="nil"/>
              <w:left w:val="nil"/>
              <w:bottom w:val="nil"/>
              <w:right w:val="nil"/>
            </w:tcBorders>
            <w:shd w:val="clear" w:color="auto" w:fill="auto"/>
            <w:noWrap/>
            <w:vAlign w:val="bottom"/>
            <w:hideMark/>
          </w:tcPr>
          <w:p w14:paraId="64A89F1A" w14:textId="77777777" w:rsidR="007E4ADC" w:rsidRPr="00180F38" w:rsidRDefault="007E4ADC" w:rsidP="00204DAB">
            <w:pPr>
              <w:spacing w:after="0" w:line="240" w:lineRule="auto"/>
              <w:jc w:val="center"/>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33EC9937"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16BE949F"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28584FBC"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5EF7AD12" w14:textId="77777777" w:rsidR="007E4ADC" w:rsidRPr="00FE20B5" w:rsidRDefault="007E4ADC" w:rsidP="00204DAB">
            <w:pPr>
              <w:spacing w:after="0" w:line="240" w:lineRule="auto"/>
              <w:rPr>
                <w:rFonts w:ascii="Arial" w:eastAsia="Times New Roman" w:hAnsi="Arial" w:cs="Arial"/>
                <w:sz w:val="20"/>
                <w:szCs w:val="20"/>
                <w:lang w:val="pt-BR"/>
              </w:rPr>
            </w:pPr>
          </w:p>
        </w:tc>
        <w:tc>
          <w:tcPr>
            <w:tcW w:w="6380" w:type="dxa"/>
            <w:gridSpan w:val="3"/>
            <w:vMerge/>
            <w:tcBorders>
              <w:top w:val="nil"/>
              <w:left w:val="nil"/>
              <w:bottom w:val="nil"/>
              <w:right w:val="nil"/>
            </w:tcBorders>
            <w:vAlign w:val="center"/>
            <w:hideMark/>
          </w:tcPr>
          <w:p w14:paraId="5EB77A35"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65747A33" w14:textId="77777777" w:rsidTr="00204DAB">
        <w:trPr>
          <w:trHeight w:val="252"/>
        </w:trPr>
        <w:tc>
          <w:tcPr>
            <w:tcW w:w="1804" w:type="dxa"/>
            <w:tcBorders>
              <w:top w:val="nil"/>
              <w:left w:val="nil"/>
              <w:bottom w:val="nil"/>
              <w:right w:val="nil"/>
            </w:tcBorders>
            <w:shd w:val="clear" w:color="auto" w:fill="auto"/>
            <w:noWrap/>
            <w:vAlign w:val="bottom"/>
            <w:hideMark/>
          </w:tcPr>
          <w:p w14:paraId="6281C0A3" w14:textId="77777777" w:rsidR="007E4ADC" w:rsidRPr="00180F38" w:rsidRDefault="007E4ADC" w:rsidP="00204DAB">
            <w:pPr>
              <w:spacing w:after="0" w:line="240" w:lineRule="auto"/>
              <w:jc w:val="center"/>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26C816DE"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6521FA78"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6392B3CB"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0E0869A9" w14:textId="77777777" w:rsidR="007E4ADC" w:rsidRPr="00FE20B5" w:rsidRDefault="007E4ADC"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73CA35FC" w14:textId="77777777" w:rsidR="007E4ADC" w:rsidRPr="00FE20B5" w:rsidRDefault="007E4ADC" w:rsidP="00204DAB">
            <w:pPr>
              <w:spacing w:after="0" w:line="240" w:lineRule="auto"/>
              <w:jc w:val="center"/>
              <w:rPr>
                <w:rFonts w:ascii="Arial" w:eastAsia="Times New Roman" w:hAnsi="Arial" w:cs="Arial"/>
                <w:sz w:val="20"/>
                <w:szCs w:val="20"/>
                <w:lang w:val="pt-BR"/>
              </w:rPr>
            </w:pPr>
          </w:p>
        </w:tc>
        <w:tc>
          <w:tcPr>
            <w:tcW w:w="1700" w:type="dxa"/>
            <w:tcBorders>
              <w:top w:val="nil"/>
              <w:left w:val="nil"/>
              <w:bottom w:val="nil"/>
              <w:right w:val="nil"/>
            </w:tcBorders>
            <w:shd w:val="clear" w:color="auto" w:fill="auto"/>
            <w:noWrap/>
            <w:vAlign w:val="bottom"/>
            <w:hideMark/>
          </w:tcPr>
          <w:p w14:paraId="2F85EA3A"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3F777947"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2275D17E" w14:textId="77777777" w:rsidTr="00204DAB">
        <w:trPr>
          <w:trHeight w:val="252"/>
        </w:trPr>
        <w:tc>
          <w:tcPr>
            <w:tcW w:w="1804" w:type="dxa"/>
            <w:tcBorders>
              <w:top w:val="nil"/>
              <w:left w:val="nil"/>
              <w:bottom w:val="nil"/>
              <w:right w:val="nil"/>
            </w:tcBorders>
            <w:shd w:val="clear" w:color="auto" w:fill="auto"/>
            <w:noWrap/>
            <w:vAlign w:val="bottom"/>
            <w:hideMark/>
          </w:tcPr>
          <w:p w14:paraId="5E46930C" w14:textId="77777777" w:rsidR="007E4ADC" w:rsidRPr="00180F38" w:rsidRDefault="007E4ADC" w:rsidP="00204DAB">
            <w:pPr>
              <w:spacing w:after="0" w:line="240" w:lineRule="auto"/>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54842254"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6C25CABA"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00DF3617"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0E2AAEDB" w14:textId="77777777" w:rsidR="007E4ADC" w:rsidRPr="00FE20B5" w:rsidRDefault="007E4ADC"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1682B844" w14:textId="77777777" w:rsidR="007E4ADC" w:rsidRPr="00FE20B5" w:rsidRDefault="007E4ADC" w:rsidP="00204DAB">
            <w:pPr>
              <w:spacing w:after="0" w:line="240" w:lineRule="auto"/>
              <w:jc w:val="center"/>
              <w:rPr>
                <w:rFonts w:ascii="Arial" w:eastAsia="Times New Roman" w:hAnsi="Arial" w:cs="Arial"/>
                <w:sz w:val="20"/>
                <w:szCs w:val="20"/>
                <w:lang w:val="pt-BR"/>
              </w:rPr>
            </w:pPr>
          </w:p>
        </w:tc>
        <w:tc>
          <w:tcPr>
            <w:tcW w:w="1700" w:type="dxa"/>
            <w:tcBorders>
              <w:top w:val="nil"/>
              <w:left w:val="nil"/>
              <w:bottom w:val="nil"/>
              <w:right w:val="nil"/>
            </w:tcBorders>
            <w:shd w:val="clear" w:color="auto" w:fill="auto"/>
            <w:noWrap/>
            <w:vAlign w:val="bottom"/>
            <w:hideMark/>
          </w:tcPr>
          <w:p w14:paraId="2FE3CA3B"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50D1FA22"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2D465DE7" w14:textId="77777777" w:rsidTr="00204DAB">
        <w:trPr>
          <w:trHeight w:val="252"/>
        </w:trPr>
        <w:tc>
          <w:tcPr>
            <w:tcW w:w="6856" w:type="dxa"/>
            <w:gridSpan w:val="4"/>
            <w:tcBorders>
              <w:top w:val="nil"/>
              <w:left w:val="nil"/>
              <w:bottom w:val="nil"/>
              <w:right w:val="nil"/>
            </w:tcBorders>
            <w:shd w:val="clear" w:color="auto" w:fill="auto"/>
            <w:noWrap/>
            <w:vAlign w:val="bottom"/>
            <w:hideMark/>
          </w:tcPr>
          <w:p w14:paraId="1CF2968F" w14:textId="121FF0FA" w:rsidR="007E4ADC" w:rsidRPr="00180F38" w:rsidRDefault="00180F38" w:rsidP="00204DAB">
            <w:pPr>
              <w:spacing w:after="0" w:line="240" w:lineRule="auto"/>
              <w:rPr>
                <w:rFonts w:ascii="Arial" w:eastAsia="Times New Roman" w:hAnsi="Arial" w:cs="Arial"/>
                <w:sz w:val="20"/>
                <w:szCs w:val="20"/>
                <w:lang w:val="pt-BR"/>
              </w:rPr>
            </w:pPr>
            <w:r w:rsidRPr="00180F38">
              <w:rPr>
                <w:rFonts w:ascii="Arial" w:eastAsia="Times New Roman" w:hAnsi="Arial" w:cs="Arial"/>
                <w:sz w:val="20"/>
                <w:szCs w:val="20"/>
                <w:lang w:val="pt-BR"/>
              </w:rPr>
              <w:t xml:space="preserve">Distribuição normal </w:t>
            </w:r>
            <w:r w:rsidR="007E4ADC" w:rsidRPr="00180F38">
              <w:rPr>
                <w:rFonts w:ascii="Arial" w:eastAsia="Times New Roman" w:hAnsi="Arial" w:cs="Arial"/>
                <w:sz w:val="20"/>
                <w:szCs w:val="20"/>
                <w:lang w:val="pt-BR"/>
              </w:rPr>
              <w:t>com parâmetros:</w:t>
            </w:r>
          </w:p>
        </w:tc>
        <w:tc>
          <w:tcPr>
            <w:tcW w:w="1495" w:type="dxa"/>
            <w:tcBorders>
              <w:top w:val="nil"/>
              <w:left w:val="nil"/>
              <w:bottom w:val="nil"/>
              <w:right w:val="nil"/>
            </w:tcBorders>
            <w:shd w:val="clear" w:color="auto" w:fill="auto"/>
            <w:noWrap/>
            <w:vAlign w:val="bottom"/>
            <w:hideMark/>
          </w:tcPr>
          <w:p w14:paraId="21869FE0" w14:textId="77777777" w:rsidR="007E4ADC" w:rsidRPr="00FE20B5" w:rsidRDefault="007E4ADC"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44B0297E" w14:textId="77777777" w:rsidR="007E4ADC" w:rsidRPr="00FE20B5" w:rsidRDefault="007E4ADC" w:rsidP="00204DAB">
            <w:pPr>
              <w:spacing w:after="0" w:line="240" w:lineRule="auto"/>
              <w:jc w:val="center"/>
              <w:rPr>
                <w:rFonts w:ascii="Arial" w:eastAsia="Times New Roman" w:hAnsi="Arial" w:cs="Arial"/>
                <w:sz w:val="20"/>
                <w:szCs w:val="20"/>
                <w:lang w:val="pt-BR"/>
              </w:rPr>
            </w:pPr>
          </w:p>
        </w:tc>
        <w:tc>
          <w:tcPr>
            <w:tcW w:w="1700" w:type="dxa"/>
            <w:tcBorders>
              <w:top w:val="nil"/>
              <w:left w:val="nil"/>
              <w:bottom w:val="nil"/>
              <w:right w:val="nil"/>
            </w:tcBorders>
            <w:shd w:val="clear" w:color="auto" w:fill="auto"/>
            <w:noWrap/>
            <w:vAlign w:val="bottom"/>
            <w:hideMark/>
          </w:tcPr>
          <w:p w14:paraId="3534ADCD"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40FC61F2"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676A6460" w14:textId="77777777" w:rsidTr="00204DAB">
        <w:trPr>
          <w:trHeight w:val="252"/>
        </w:trPr>
        <w:tc>
          <w:tcPr>
            <w:tcW w:w="1804" w:type="dxa"/>
            <w:tcBorders>
              <w:top w:val="nil"/>
              <w:left w:val="nil"/>
              <w:bottom w:val="nil"/>
              <w:right w:val="nil"/>
            </w:tcBorders>
            <w:shd w:val="clear" w:color="auto" w:fill="auto"/>
            <w:noWrap/>
            <w:vAlign w:val="bottom"/>
            <w:hideMark/>
          </w:tcPr>
          <w:p w14:paraId="7F8D2A5A" w14:textId="77777777" w:rsidR="007E4ADC" w:rsidRPr="00180F38" w:rsidRDefault="007E4ADC" w:rsidP="00204DAB">
            <w:pPr>
              <w:spacing w:after="0" w:line="240" w:lineRule="auto"/>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659EAAD1" w14:textId="77777777" w:rsidR="007E4ADC" w:rsidRPr="00180F38" w:rsidRDefault="007E4ADC" w:rsidP="00204DAB">
            <w:pPr>
              <w:spacing w:after="0" w:line="240" w:lineRule="auto"/>
              <w:rPr>
                <w:rFonts w:ascii="Arial" w:eastAsia="Times New Roman" w:hAnsi="Arial" w:cs="Arial"/>
                <w:sz w:val="20"/>
                <w:szCs w:val="20"/>
                <w:lang w:val="pt-BR"/>
              </w:rPr>
            </w:pPr>
            <w:r w:rsidRPr="00180F38">
              <w:rPr>
                <w:rFonts w:ascii="Arial" w:eastAsia="Times New Roman" w:hAnsi="Arial" w:cs="Arial"/>
                <w:sz w:val="20"/>
                <w:szCs w:val="20"/>
                <w:lang w:val="pt-BR"/>
              </w:rPr>
              <w:t>Média</w:t>
            </w:r>
          </w:p>
        </w:tc>
        <w:tc>
          <w:tcPr>
            <w:tcW w:w="1556" w:type="dxa"/>
            <w:tcBorders>
              <w:top w:val="nil"/>
              <w:left w:val="nil"/>
              <w:bottom w:val="nil"/>
              <w:right w:val="nil"/>
            </w:tcBorders>
            <w:shd w:val="clear" w:color="auto" w:fill="auto"/>
            <w:noWrap/>
            <w:vAlign w:val="bottom"/>
            <w:hideMark/>
          </w:tcPr>
          <w:p w14:paraId="130BF1F7"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4C4E42A2" w14:textId="77777777" w:rsidR="007E4ADC" w:rsidRPr="00180F38" w:rsidRDefault="007E4ADC" w:rsidP="00204DAB">
            <w:pPr>
              <w:spacing w:after="0" w:line="240" w:lineRule="auto"/>
              <w:jc w:val="right"/>
              <w:rPr>
                <w:rFonts w:ascii="Arial" w:eastAsia="Times New Roman" w:hAnsi="Arial" w:cs="Arial"/>
                <w:sz w:val="20"/>
                <w:szCs w:val="20"/>
                <w:lang w:val="pt-BR"/>
              </w:rPr>
            </w:pPr>
            <w:r w:rsidRPr="00180F38">
              <w:rPr>
                <w:rFonts w:ascii="Arial" w:eastAsia="Times New Roman" w:hAnsi="Arial" w:cs="Arial"/>
                <w:sz w:val="20"/>
                <w:szCs w:val="20"/>
                <w:lang w:val="pt-BR"/>
              </w:rPr>
              <w:t>4,81%</w:t>
            </w:r>
          </w:p>
        </w:tc>
        <w:tc>
          <w:tcPr>
            <w:tcW w:w="1495" w:type="dxa"/>
            <w:tcBorders>
              <w:top w:val="nil"/>
              <w:left w:val="nil"/>
              <w:bottom w:val="nil"/>
              <w:right w:val="nil"/>
            </w:tcBorders>
            <w:shd w:val="clear" w:color="auto" w:fill="auto"/>
            <w:noWrap/>
            <w:vAlign w:val="bottom"/>
            <w:hideMark/>
          </w:tcPr>
          <w:p w14:paraId="715F19A4" w14:textId="77777777" w:rsidR="007E4ADC" w:rsidRPr="00FE20B5" w:rsidRDefault="007E4ADC" w:rsidP="00204DAB">
            <w:pPr>
              <w:spacing w:after="0" w:line="240" w:lineRule="auto"/>
              <w:jc w:val="right"/>
              <w:rPr>
                <w:rFonts w:ascii="Arial" w:eastAsia="Times New Roman" w:hAnsi="Arial" w:cs="Arial"/>
                <w:sz w:val="20"/>
                <w:szCs w:val="20"/>
                <w:lang w:val="pt-BR"/>
              </w:rPr>
            </w:pPr>
          </w:p>
        </w:tc>
        <w:tc>
          <w:tcPr>
            <w:tcW w:w="6380" w:type="dxa"/>
            <w:gridSpan w:val="3"/>
            <w:tcBorders>
              <w:top w:val="nil"/>
              <w:left w:val="nil"/>
              <w:bottom w:val="nil"/>
              <w:right w:val="nil"/>
            </w:tcBorders>
            <w:shd w:val="clear" w:color="auto" w:fill="auto"/>
            <w:noWrap/>
            <w:vAlign w:val="bottom"/>
          </w:tcPr>
          <w:p w14:paraId="68678BC8"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5E20A4C6" w14:textId="77777777" w:rsidTr="00204DAB">
        <w:trPr>
          <w:trHeight w:val="252"/>
        </w:trPr>
        <w:tc>
          <w:tcPr>
            <w:tcW w:w="1804" w:type="dxa"/>
            <w:tcBorders>
              <w:top w:val="nil"/>
              <w:left w:val="nil"/>
              <w:bottom w:val="nil"/>
              <w:right w:val="nil"/>
            </w:tcBorders>
            <w:shd w:val="clear" w:color="auto" w:fill="auto"/>
            <w:noWrap/>
            <w:vAlign w:val="bottom"/>
            <w:hideMark/>
          </w:tcPr>
          <w:p w14:paraId="7799A637" w14:textId="77777777" w:rsidR="007E4ADC" w:rsidRPr="00180F38" w:rsidRDefault="007E4ADC" w:rsidP="00204DAB">
            <w:pPr>
              <w:spacing w:after="0" w:line="240" w:lineRule="auto"/>
              <w:rPr>
                <w:rFonts w:ascii="Arial" w:eastAsia="Times New Roman" w:hAnsi="Arial" w:cs="Arial"/>
                <w:sz w:val="20"/>
                <w:szCs w:val="20"/>
                <w:lang w:val="pt-BR"/>
              </w:rPr>
            </w:pPr>
          </w:p>
        </w:tc>
        <w:tc>
          <w:tcPr>
            <w:tcW w:w="3072" w:type="dxa"/>
            <w:gridSpan w:val="2"/>
            <w:tcBorders>
              <w:top w:val="nil"/>
              <w:left w:val="nil"/>
              <w:bottom w:val="nil"/>
              <w:right w:val="nil"/>
            </w:tcBorders>
            <w:shd w:val="clear" w:color="auto" w:fill="auto"/>
            <w:noWrap/>
            <w:vAlign w:val="bottom"/>
            <w:hideMark/>
          </w:tcPr>
          <w:p w14:paraId="5C8A8909" w14:textId="77777777" w:rsidR="007E4ADC" w:rsidRPr="00180F38" w:rsidRDefault="007E4ADC" w:rsidP="00204DAB">
            <w:pPr>
              <w:spacing w:after="0" w:line="240" w:lineRule="auto"/>
              <w:rPr>
                <w:rFonts w:ascii="Arial" w:eastAsia="Times New Roman" w:hAnsi="Arial" w:cs="Arial"/>
                <w:sz w:val="20"/>
                <w:szCs w:val="20"/>
                <w:lang w:val="pt-BR"/>
              </w:rPr>
            </w:pPr>
            <w:r w:rsidRPr="00180F38">
              <w:rPr>
                <w:rFonts w:ascii="Arial" w:eastAsia="Times New Roman" w:hAnsi="Arial" w:cs="Arial"/>
                <w:sz w:val="20"/>
                <w:szCs w:val="20"/>
                <w:lang w:val="pt-BR"/>
              </w:rPr>
              <w:t>Desvio Padrão</w:t>
            </w:r>
          </w:p>
        </w:tc>
        <w:tc>
          <w:tcPr>
            <w:tcW w:w="1980" w:type="dxa"/>
            <w:tcBorders>
              <w:top w:val="nil"/>
              <w:left w:val="nil"/>
              <w:bottom w:val="nil"/>
              <w:right w:val="nil"/>
            </w:tcBorders>
            <w:shd w:val="clear" w:color="auto" w:fill="auto"/>
            <w:noWrap/>
            <w:vAlign w:val="bottom"/>
            <w:hideMark/>
          </w:tcPr>
          <w:p w14:paraId="49B7FE41" w14:textId="77777777" w:rsidR="007E4ADC" w:rsidRPr="00180F38" w:rsidRDefault="007E4ADC" w:rsidP="00204DAB">
            <w:pPr>
              <w:spacing w:after="0" w:line="240" w:lineRule="auto"/>
              <w:jc w:val="right"/>
              <w:rPr>
                <w:rFonts w:ascii="Arial" w:eastAsia="Times New Roman" w:hAnsi="Arial" w:cs="Arial"/>
                <w:sz w:val="20"/>
                <w:szCs w:val="20"/>
                <w:lang w:val="pt-BR"/>
              </w:rPr>
            </w:pPr>
            <w:r w:rsidRPr="00180F38">
              <w:rPr>
                <w:rFonts w:ascii="Arial" w:eastAsia="Times New Roman" w:hAnsi="Arial" w:cs="Arial"/>
                <w:sz w:val="20"/>
                <w:szCs w:val="20"/>
                <w:lang w:val="pt-BR"/>
              </w:rPr>
              <w:t>1,53%</w:t>
            </w:r>
          </w:p>
        </w:tc>
        <w:tc>
          <w:tcPr>
            <w:tcW w:w="1495" w:type="dxa"/>
            <w:tcBorders>
              <w:top w:val="nil"/>
              <w:left w:val="nil"/>
              <w:bottom w:val="nil"/>
              <w:right w:val="nil"/>
            </w:tcBorders>
            <w:shd w:val="clear" w:color="auto" w:fill="auto"/>
            <w:noWrap/>
            <w:vAlign w:val="bottom"/>
            <w:hideMark/>
          </w:tcPr>
          <w:p w14:paraId="32A1D13D" w14:textId="77777777" w:rsidR="007E4ADC" w:rsidRPr="00FE20B5" w:rsidRDefault="007E4ADC" w:rsidP="00204DAB">
            <w:pPr>
              <w:spacing w:after="0" w:line="240" w:lineRule="auto"/>
              <w:jc w:val="right"/>
              <w:rPr>
                <w:rFonts w:ascii="Arial" w:eastAsia="Times New Roman" w:hAnsi="Arial" w:cs="Arial"/>
                <w:sz w:val="20"/>
                <w:szCs w:val="20"/>
                <w:lang w:val="pt-BR"/>
              </w:rPr>
            </w:pPr>
            <w:r w:rsidRPr="00FE20B5">
              <w:rPr>
                <w:rFonts w:ascii="Arial" w:eastAsia="Times New Roman" w:hAnsi="Arial" w:cs="Arial"/>
                <w:noProof/>
                <w:sz w:val="20"/>
                <w:szCs w:val="20"/>
                <w:lang w:val="pt-BR"/>
              </w:rPr>
              <w:drawing>
                <wp:anchor distT="0" distB="0" distL="114300" distR="114300" simplePos="0" relativeHeight="251664384" behindDoc="0" locked="0" layoutInCell="1" allowOverlap="1" wp14:anchorId="151FE2B9" wp14:editId="03499E97">
                  <wp:simplePos x="0" y="0"/>
                  <wp:positionH relativeFrom="column">
                    <wp:posOffset>301625</wp:posOffset>
                  </wp:positionH>
                  <wp:positionV relativeFrom="paragraph">
                    <wp:posOffset>6985</wp:posOffset>
                  </wp:positionV>
                  <wp:extent cx="1905000" cy="906780"/>
                  <wp:effectExtent l="0" t="0" r="0" b="0"/>
                  <wp:wrapNone/>
                  <wp:docPr id="32" name="Picture 32">
                    <a:extLst xmlns:a="http://schemas.openxmlformats.org/drawingml/2006/main">
                      <a:ext uri="{FF2B5EF4-FFF2-40B4-BE49-F238E27FC236}">
                        <a16:creationId xmlns:a16="http://schemas.microsoft.com/office/drawing/2014/main" id="{C0C0D0C2-69AB-423B-84D3-C9647667C78F}"/>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0C0D0C2-69AB-423B-84D3-C9647667C78F}"/>
                              </a:ext>
                            </a:extLst>
                          </pic:cNvPr>
                          <pic:cNvPicPr>
                            <a:picLock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page">
                    <wp14:pctWidth>0</wp14:pctWidth>
                  </wp14:sizeRelH>
                  <wp14:sizeRelV relativeFrom="page">
                    <wp14:pctHeight>0</wp14:pctHeight>
                  </wp14:sizeRelV>
                </wp:anchor>
              </w:drawing>
            </w:r>
          </w:p>
        </w:tc>
        <w:tc>
          <w:tcPr>
            <w:tcW w:w="6380" w:type="dxa"/>
            <w:gridSpan w:val="3"/>
            <w:tcBorders>
              <w:top w:val="nil"/>
              <w:left w:val="nil"/>
              <w:bottom w:val="nil"/>
              <w:right w:val="nil"/>
            </w:tcBorders>
            <w:shd w:val="clear" w:color="auto" w:fill="auto"/>
            <w:noWrap/>
            <w:vAlign w:val="bottom"/>
          </w:tcPr>
          <w:p w14:paraId="04E4F1E6"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31DB2D12" w14:textId="77777777" w:rsidTr="00204DAB">
        <w:trPr>
          <w:trHeight w:val="252"/>
        </w:trPr>
        <w:tc>
          <w:tcPr>
            <w:tcW w:w="1804" w:type="dxa"/>
            <w:tcBorders>
              <w:top w:val="nil"/>
              <w:left w:val="nil"/>
              <w:bottom w:val="nil"/>
              <w:right w:val="nil"/>
            </w:tcBorders>
            <w:shd w:val="clear" w:color="auto" w:fill="auto"/>
            <w:noWrap/>
            <w:vAlign w:val="bottom"/>
            <w:hideMark/>
          </w:tcPr>
          <w:p w14:paraId="255E1DD1" w14:textId="77777777" w:rsidR="007E4ADC" w:rsidRPr="00180F38" w:rsidRDefault="007E4ADC" w:rsidP="00204DAB">
            <w:pPr>
              <w:spacing w:after="0" w:line="240" w:lineRule="auto"/>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26AAA542"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7B928FA4"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409D8F66"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7793099A" w14:textId="77777777" w:rsidR="007E4ADC" w:rsidRPr="00FE20B5" w:rsidRDefault="007E4ADC"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5EE45912" w14:textId="77777777" w:rsidR="007E4ADC" w:rsidRPr="00FE20B5" w:rsidRDefault="007E4ADC" w:rsidP="00204DAB">
            <w:pPr>
              <w:spacing w:after="0" w:line="240" w:lineRule="auto"/>
              <w:jc w:val="center"/>
              <w:rPr>
                <w:rFonts w:ascii="Arial" w:eastAsia="Times New Roman" w:hAnsi="Arial" w:cs="Arial"/>
                <w:sz w:val="20"/>
                <w:szCs w:val="20"/>
                <w:lang w:val="pt-BR"/>
              </w:rPr>
            </w:pPr>
          </w:p>
        </w:tc>
        <w:tc>
          <w:tcPr>
            <w:tcW w:w="1700" w:type="dxa"/>
            <w:tcBorders>
              <w:top w:val="nil"/>
              <w:left w:val="nil"/>
              <w:bottom w:val="nil"/>
              <w:right w:val="nil"/>
            </w:tcBorders>
            <w:shd w:val="clear" w:color="auto" w:fill="auto"/>
            <w:noWrap/>
            <w:vAlign w:val="bottom"/>
            <w:hideMark/>
          </w:tcPr>
          <w:p w14:paraId="7939F8C1"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4008EF90"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788E479A" w14:textId="77777777" w:rsidTr="00204DAB">
        <w:trPr>
          <w:trHeight w:val="252"/>
        </w:trPr>
        <w:tc>
          <w:tcPr>
            <w:tcW w:w="1804" w:type="dxa"/>
            <w:tcBorders>
              <w:top w:val="nil"/>
              <w:left w:val="nil"/>
              <w:bottom w:val="nil"/>
              <w:right w:val="nil"/>
            </w:tcBorders>
            <w:shd w:val="clear" w:color="auto" w:fill="auto"/>
            <w:noWrap/>
            <w:vAlign w:val="bottom"/>
            <w:hideMark/>
          </w:tcPr>
          <w:p w14:paraId="405CE980" w14:textId="77777777" w:rsidR="007E4ADC" w:rsidRPr="00180F38" w:rsidRDefault="007E4ADC" w:rsidP="00204DAB">
            <w:pPr>
              <w:spacing w:after="0" w:line="240" w:lineRule="auto"/>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4776A4CC"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2D9D0306"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7B89B9A5"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6DA3DF2E" w14:textId="77777777" w:rsidR="007E4ADC" w:rsidRPr="00FE20B5" w:rsidRDefault="007E4ADC" w:rsidP="00204DAB">
            <w:pPr>
              <w:spacing w:after="0" w:line="240" w:lineRule="auto"/>
              <w:jc w:val="right"/>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42B5EBCF" w14:textId="77777777" w:rsidR="007E4ADC" w:rsidRPr="00FE20B5" w:rsidRDefault="007E4ADC" w:rsidP="00204DAB">
            <w:pPr>
              <w:spacing w:after="0" w:line="240" w:lineRule="auto"/>
              <w:jc w:val="center"/>
              <w:rPr>
                <w:rFonts w:ascii="Arial" w:eastAsia="Times New Roman" w:hAnsi="Arial" w:cs="Arial"/>
                <w:sz w:val="20"/>
                <w:szCs w:val="20"/>
                <w:lang w:val="pt-BR"/>
              </w:rPr>
            </w:pPr>
          </w:p>
        </w:tc>
        <w:tc>
          <w:tcPr>
            <w:tcW w:w="1700" w:type="dxa"/>
            <w:tcBorders>
              <w:top w:val="nil"/>
              <w:left w:val="nil"/>
              <w:bottom w:val="nil"/>
              <w:right w:val="nil"/>
            </w:tcBorders>
            <w:shd w:val="clear" w:color="auto" w:fill="auto"/>
            <w:noWrap/>
            <w:vAlign w:val="bottom"/>
            <w:hideMark/>
          </w:tcPr>
          <w:p w14:paraId="58244707"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02C5C7CA"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2FEA9900" w14:textId="77777777" w:rsidTr="00204DAB">
        <w:trPr>
          <w:trHeight w:val="252"/>
        </w:trPr>
        <w:tc>
          <w:tcPr>
            <w:tcW w:w="1804" w:type="dxa"/>
            <w:tcBorders>
              <w:top w:val="nil"/>
              <w:left w:val="nil"/>
              <w:bottom w:val="nil"/>
              <w:right w:val="nil"/>
            </w:tcBorders>
            <w:shd w:val="clear" w:color="auto" w:fill="auto"/>
            <w:noWrap/>
            <w:vAlign w:val="bottom"/>
            <w:hideMark/>
          </w:tcPr>
          <w:p w14:paraId="055DDA22" w14:textId="77777777" w:rsidR="007E4ADC" w:rsidRPr="00180F38" w:rsidRDefault="007E4ADC" w:rsidP="00204DAB">
            <w:pPr>
              <w:spacing w:after="0" w:line="240" w:lineRule="auto"/>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7C860637" w14:textId="77777777" w:rsidR="007E4ADC" w:rsidRPr="00180F38"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3CA97134" w14:textId="77777777" w:rsidR="007E4ADC" w:rsidRPr="00180F38"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4B68B03B" w14:textId="77777777" w:rsidR="007E4ADC" w:rsidRPr="00180F38"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0A3DA732" w14:textId="77777777" w:rsidR="007E4ADC" w:rsidRPr="00FE20B5" w:rsidRDefault="007E4ADC"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7A43E1E2" w14:textId="77777777" w:rsidR="007E4ADC" w:rsidRPr="00FE20B5" w:rsidRDefault="007E4ADC" w:rsidP="00204DAB">
            <w:pPr>
              <w:spacing w:after="0" w:line="240" w:lineRule="auto"/>
              <w:jc w:val="center"/>
              <w:rPr>
                <w:rFonts w:ascii="Arial" w:eastAsia="Times New Roman" w:hAnsi="Arial" w:cs="Arial"/>
                <w:sz w:val="20"/>
                <w:szCs w:val="20"/>
                <w:lang w:val="pt-BR"/>
              </w:rPr>
            </w:pPr>
          </w:p>
        </w:tc>
        <w:tc>
          <w:tcPr>
            <w:tcW w:w="1700" w:type="dxa"/>
            <w:tcBorders>
              <w:top w:val="nil"/>
              <w:left w:val="nil"/>
              <w:bottom w:val="nil"/>
              <w:right w:val="nil"/>
            </w:tcBorders>
            <w:shd w:val="clear" w:color="auto" w:fill="auto"/>
            <w:noWrap/>
            <w:vAlign w:val="bottom"/>
            <w:hideMark/>
          </w:tcPr>
          <w:p w14:paraId="193D8833"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689ED1FC" w14:textId="77777777" w:rsidR="007E4ADC" w:rsidRPr="00FE20B5" w:rsidRDefault="007E4ADC" w:rsidP="00204DAB">
            <w:pPr>
              <w:spacing w:after="0" w:line="240" w:lineRule="auto"/>
              <w:rPr>
                <w:rFonts w:ascii="Arial" w:eastAsia="Times New Roman" w:hAnsi="Arial" w:cs="Arial"/>
                <w:sz w:val="20"/>
                <w:szCs w:val="20"/>
                <w:lang w:val="pt-BR"/>
              </w:rPr>
            </w:pPr>
          </w:p>
        </w:tc>
      </w:tr>
      <w:tr w:rsidR="007E4ADC" w:rsidRPr="00FE20B5" w14:paraId="517486B7" w14:textId="77777777" w:rsidTr="00204DAB">
        <w:trPr>
          <w:trHeight w:val="252"/>
        </w:trPr>
        <w:tc>
          <w:tcPr>
            <w:tcW w:w="1804" w:type="dxa"/>
            <w:tcBorders>
              <w:top w:val="nil"/>
              <w:left w:val="nil"/>
              <w:bottom w:val="nil"/>
              <w:right w:val="nil"/>
            </w:tcBorders>
            <w:shd w:val="clear" w:color="auto" w:fill="auto"/>
            <w:noWrap/>
            <w:vAlign w:val="bottom"/>
            <w:hideMark/>
          </w:tcPr>
          <w:p w14:paraId="55FC506B" w14:textId="77777777" w:rsidR="007E4ADC" w:rsidRPr="00FE20B5" w:rsidRDefault="007E4ADC" w:rsidP="00204DAB">
            <w:pPr>
              <w:spacing w:after="0" w:line="240" w:lineRule="auto"/>
              <w:rPr>
                <w:rFonts w:ascii="Arial" w:eastAsia="Times New Roman" w:hAnsi="Arial" w:cs="Arial"/>
                <w:sz w:val="20"/>
                <w:szCs w:val="20"/>
                <w:lang w:val="pt-BR"/>
              </w:rPr>
            </w:pPr>
          </w:p>
        </w:tc>
        <w:tc>
          <w:tcPr>
            <w:tcW w:w="1516" w:type="dxa"/>
            <w:tcBorders>
              <w:top w:val="nil"/>
              <w:left w:val="nil"/>
              <w:bottom w:val="nil"/>
              <w:right w:val="nil"/>
            </w:tcBorders>
            <w:shd w:val="clear" w:color="auto" w:fill="auto"/>
            <w:noWrap/>
            <w:vAlign w:val="bottom"/>
            <w:hideMark/>
          </w:tcPr>
          <w:p w14:paraId="4BA5F449" w14:textId="77777777" w:rsidR="007E4ADC" w:rsidRPr="00FE20B5" w:rsidRDefault="007E4ADC" w:rsidP="00204DAB">
            <w:pPr>
              <w:spacing w:after="0" w:line="240" w:lineRule="auto"/>
              <w:rPr>
                <w:rFonts w:ascii="Arial" w:eastAsia="Times New Roman" w:hAnsi="Arial" w:cs="Arial"/>
                <w:sz w:val="20"/>
                <w:szCs w:val="20"/>
                <w:lang w:val="pt-BR"/>
              </w:rPr>
            </w:pPr>
          </w:p>
        </w:tc>
        <w:tc>
          <w:tcPr>
            <w:tcW w:w="1556" w:type="dxa"/>
            <w:tcBorders>
              <w:top w:val="nil"/>
              <w:left w:val="nil"/>
              <w:bottom w:val="nil"/>
              <w:right w:val="nil"/>
            </w:tcBorders>
            <w:shd w:val="clear" w:color="auto" w:fill="auto"/>
            <w:noWrap/>
            <w:vAlign w:val="bottom"/>
            <w:hideMark/>
          </w:tcPr>
          <w:p w14:paraId="38995F13" w14:textId="77777777" w:rsidR="007E4ADC" w:rsidRPr="00FE20B5" w:rsidRDefault="007E4ADC" w:rsidP="00204DAB">
            <w:pPr>
              <w:spacing w:after="0" w:line="240" w:lineRule="auto"/>
              <w:rPr>
                <w:rFonts w:ascii="Arial" w:eastAsia="Times New Roman" w:hAnsi="Arial" w:cs="Arial"/>
                <w:sz w:val="20"/>
                <w:szCs w:val="20"/>
                <w:lang w:val="pt-BR"/>
              </w:rPr>
            </w:pPr>
          </w:p>
          <w:tbl>
            <w:tblPr>
              <w:tblW w:w="0" w:type="auto"/>
              <w:tblCellSpacing w:w="0" w:type="dxa"/>
              <w:tblCellMar>
                <w:left w:w="0" w:type="dxa"/>
                <w:right w:w="0" w:type="dxa"/>
              </w:tblCellMar>
              <w:tblLook w:val="04A0" w:firstRow="1" w:lastRow="0" w:firstColumn="1" w:lastColumn="0" w:noHBand="0" w:noVBand="1"/>
            </w:tblPr>
            <w:tblGrid>
              <w:gridCol w:w="1340"/>
            </w:tblGrid>
            <w:tr w:rsidR="007E4ADC" w:rsidRPr="00FE20B5" w14:paraId="4F4DBD6A" w14:textId="77777777" w:rsidTr="00204DAB">
              <w:trPr>
                <w:trHeight w:val="252"/>
                <w:tblCellSpacing w:w="0" w:type="dxa"/>
              </w:trPr>
              <w:tc>
                <w:tcPr>
                  <w:tcW w:w="1340" w:type="dxa"/>
                  <w:tcBorders>
                    <w:top w:val="nil"/>
                    <w:left w:val="nil"/>
                    <w:bottom w:val="nil"/>
                    <w:right w:val="nil"/>
                  </w:tcBorders>
                  <w:shd w:val="clear" w:color="auto" w:fill="auto"/>
                  <w:noWrap/>
                  <w:vAlign w:val="bottom"/>
                  <w:hideMark/>
                </w:tcPr>
                <w:p w14:paraId="6EE12B79" w14:textId="77777777" w:rsidR="007E4ADC" w:rsidRPr="00FE20B5" w:rsidRDefault="007E4ADC" w:rsidP="00204DAB">
                  <w:pPr>
                    <w:spacing w:after="0" w:line="240" w:lineRule="auto"/>
                    <w:rPr>
                      <w:rFonts w:ascii="Arial" w:eastAsia="Times New Roman" w:hAnsi="Arial" w:cs="Arial"/>
                      <w:sz w:val="20"/>
                      <w:szCs w:val="20"/>
                      <w:lang w:val="pt-BR"/>
                    </w:rPr>
                  </w:pPr>
                </w:p>
              </w:tc>
            </w:tr>
          </w:tbl>
          <w:p w14:paraId="74685A1B" w14:textId="77777777" w:rsidR="007E4ADC" w:rsidRPr="00FE20B5" w:rsidRDefault="007E4ADC" w:rsidP="00204DAB">
            <w:pPr>
              <w:spacing w:after="0" w:line="240" w:lineRule="auto"/>
              <w:rPr>
                <w:rFonts w:ascii="Arial" w:eastAsia="Times New Roman" w:hAnsi="Arial" w:cs="Arial"/>
                <w:sz w:val="20"/>
                <w:szCs w:val="20"/>
                <w:lang w:val="pt-BR"/>
              </w:rPr>
            </w:pPr>
          </w:p>
        </w:tc>
        <w:tc>
          <w:tcPr>
            <w:tcW w:w="1980" w:type="dxa"/>
            <w:tcBorders>
              <w:top w:val="nil"/>
              <w:left w:val="nil"/>
              <w:bottom w:val="nil"/>
              <w:right w:val="nil"/>
            </w:tcBorders>
            <w:shd w:val="clear" w:color="auto" w:fill="auto"/>
            <w:noWrap/>
            <w:vAlign w:val="bottom"/>
            <w:hideMark/>
          </w:tcPr>
          <w:p w14:paraId="6255AC67" w14:textId="77777777" w:rsidR="007E4ADC" w:rsidRPr="00FE20B5" w:rsidRDefault="007E4ADC" w:rsidP="00204DAB">
            <w:pPr>
              <w:spacing w:after="0" w:line="240" w:lineRule="auto"/>
              <w:rPr>
                <w:rFonts w:ascii="Arial" w:eastAsia="Times New Roman" w:hAnsi="Arial" w:cs="Arial"/>
                <w:sz w:val="20"/>
                <w:szCs w:val="20"/>
                <w:lang w:val="pt-BR"/>
              </w:rPr>
            </w:pPr>
          </w:p>
        </w:tc>
        <w:tc>
          <w:tcPr>
            <w:tcW w:w="1495" w:type="dxa"/>
            <w:tcBorders>
              <w:top w:val="nil"/>
              <w:left w:val="nil"/>
              <w:bottom w:val="nil"/>
              <w:right w:val="nil"/>
            </w:tcBorders>
            <w:shd w:val="clear" w:color="auto" w:fill="auto"/>
            <w:noWrap/>
            <w:vAlign w:val="bottom"/>
            <w:hideMark/>
          </w:tcPr>
          <w:p w14:paraId="0BC3C928" w14:textId="77777777" w:rsidR="007E4ADC" w:rsidRPr="00FE20B5" w:rsidRDefault="007E4ADC" w:rsidP="00204DAB">
            <w:pPr>
              <w:spacing w:after="0" w:line="240" w:lineRule="auto"/>
              <w:rPr>
                <w:rFonts w:ascii="Arial" w:eastAsia="Times New Roman" w:hAnsi="Arial" w:cs="Arial"/>
                <w:sz w:val="20"/>
                <w:szCs w:val="20"/>
                <w:lang w:val="pt-BR"/>
              </w:rPr>
            </w:pPr>
          </w:p>
        </w:tc>
        <w:tc>
          <w:tcPr>
            <w:tcW w:w="3480" w:type="dxa"/>
            <w:tcBorders>
              <w:top w:val="nil"/>
              <w:left w:val="nil"/>
              <w:bottom w:val="nil"/>
              <w:right w:val="nil"/>
            </w:tcBorders>
            <w:shd w:val="clear" w:color="auto" w:fill="auto"/>
            <w:noWrap/>
            <w:vAlign w:val="bottom"/>
            <w:hideMark/>
          </w:tcPr>
          <w:p w14:paraId="7108BFEC" w14:textId="77777777" w:rsidR="007E4ADC" w:rsidRPr="00FE20B5" w:rsidRDefault="007E4ADC" w:rsidP="00204DAB">
            <w:pPr>
              <w:spacing w:after="0" w:line="240" w:lineRule="auto"/>
              <w:jc w:val="center"/>
              <w:rPr>
                <w:rFonts w:ascii="Arial" w:eastAsia="Times New Roman" w:hAnsi="Arial" w:cs="Arial"/>
                <w:sz w:val="20"/>
                <w:szCs w:val="20"/>
                <w:lang w:val="pt-BR"/>
              </w:rPr>
            </w:pPr>
          </w:p>
        </w:tc>
        <w:tc>
          <w:tcPr>
            <w:tcW w:w="1700" w:type="dxa"/>
            <w:tcBorders>
              <w:top w:val="nil"/>
              <w:left w:val="nil"/>
              <w:bottom w:val="nil"/>
              <w:right w:val="nil"/>
            </w:tcBorders>
            <w:shd w:val="clear" w:color="auto" w:fill="auto"/>
            <w:noWrap/>
            <w:vAlign w:val="bottom"/>
            <w:hideMark/>
          </w:tcPr>
          <w:p w14:paraId="77B7AA01" w14:textId="77777777" w:rsidR="007E4ADC" w:rsidRPr="00FE20B5" w:rsidRDefault="007E4ADC" w:rsidP="00204DAB">
            <w:pPr>
              <w:spacing w:after="0" w:line="240" w:lineRule="auto"/>
              <w:rPr>
                <w:rFonts w:ascii="Arial" w:eastAsia="Times New Roman" w:hAnsi="Arial" w:cs="Arial"/>
                <w:sz w:val="20"/>
                <w:szCs w:val="20"/>
                <w:lang w:val="pt-BR"/>
              </w:rPr>
            </w:pPr>
          </w:p>
        </w:tc>
        <w:tc>
          <w:tcPr>
            <w:tcW w:w="1200" w:type="dxa"/>
            <w:tcBorders>
              <w:top w:val="nil"/>
              <w:left w:val="nil"/>
              <w:bottom w:val="nil"/>
              <w:right w:val="nil"/>
            </w:tcBorders>
            <w:shd w:val="clear" w:color="auto" w:fill="auto"/>
            <w:noWrap/>
            <w:vAlign w:val="bottom"/>
            <w:hideMark/>
          </w:tcPr>
          <w:p w14:paraId="5C01F082" w14:textId="77777777" w:rsidR="007E4ADC" w:rsidRPr="00FE20B5" w:rsidRDefault="007E4ADC" w:rsidP="00204DAB">
            <w:pPr>
              <w:spacing w:after="0" w:line="240" w:lineRule="auto"/>
              <w:rPr>
                <w:rFonts w:ascii="Arial" w:eastAsia="Times New Roman" w:hAnsi="Arial" w:cs="Arial"/>
                <w:sz w:val="20"/>
                <w:szCs w:val="20"/>
                <w:lang w:val="pt-BR"/>
              </w:rPr>
            </w:pPr>
          </w:p>
        </w:tc>
      </w:tr>
    </w:tbl>
    <w:p w14:paraId="044D7267" w14:textId="77777777" w:rsidR="007E4ADC" w:rsidRDefault="007E4ADC">
      <w:pPr>
        <w:rPr>
          <w:rFonts w:ascii="Times New Roman" w:hAnsi="Times New Roman" w:cs="Times New Roman"/>
          <w:b/>
          <w:bCs/>
          <w:sz w:val="24"/>
          <w:szCs w:val="24"/>
          <w:lang w:val="pt-BR"/>
        </w:rPr>
      </w:pPr>
      <w:r>
        <w:rPr>
          <w:rFonts w:ascii="Times New Roman" w:hAnsi="Times New Roman" w:cs="Times New Roman"/>
          <w:b/>
          <w:bCs/>
          <w:sz w:val="24"/>
          <w:szCs w:val="24"/>
          <w:lang w:val="pt-BR"/>
        </w:rPr>
        <w:br w:type="page"/>
      </w:r>
    </w:p>
    <w:p w14:paraId="410848ED" w14:textId="3A55AFFE" w:rsidR="004E0D24" w:rsidRPr="006671BD" w:rsidRDefault="004E0D24" w:rsidP="004E0D24">
      <w:pPr>
        <w:autoSpaceDE w:val="0"/>
        <w:autoSpaceDN w:val="0"/>
        <w:adjustRightInd w:val="0"/>
        <w:spacing w:before="240" w:line="240" w:lineRule="auto"/>
        <w:jc w:val="center"/>
        <w:rPr>
          <w:rFonts w:ascii="Times New Roman" w:hAnsi="Times New Roman" w:cs="Times New Roman"/>
          <w:b/>
          <w:bCs/>
          <w:sz w:val="24"/>
          <w:szCs w:val="24"/>
          <w:lang w:val="pt-BR"/>
        </w:rPr>
      </w:pPr>
      <w:r w:rsidRPr="006671BD">
        <w:rPr>
          <w:rFonts w:ascii="Times New Roman" w:hAnsi="Times New Roman" w:cs="Times New Roman"/>
          <w:b/>
          <w:bCs/>
          <w:sz w:val="24"/>
          <w:szCs w:val="24"/>
          <w:lang w:val="pt-BR"/>
        </w:rPr>
        <w:lastRenderedPageBreak/>
        <w:t>REFERÊNCIAS</w:t>
      </w:r>
    </w:p>
    <w:p w14:paraId="2B03314D" w14:textId="77777777" w:rsidR="00D91C24" w:rsidRPr="006671BD" w:rsidRDefault="00C1059F" w:rsidP="001146D6">
      <w:pPr>
        <w:pStyle w:val="FootnoteText"/>
        <w:spacing w:after="240"/>
        <w:rPr>
          <w:rFonts w:ascii="Times New Roman" w:hAnsi="Times New Roman" w:cs="Times New Roman"/>
          <w:color w:val="000000"/>
          <w:spacing w:val="10"/>
          <w:sz w:val="24"/>
          <w:szCs w:val="24"/>
          <w:u w:color="000000"/>
          <w:lang w:val="pt-BR"/>
        </w:rPr>
      </w:pPr>
      <w:r w:rsidRPr="006671BD">
        <w:rPr>
          <w:rFonts w:ascii="Times New Roman" w:hAnsi="Times New Roman" w:cs="Times New Roman"/>
          <w:color w:val="000000"/>
          <w:spacing w:val="10"/>
          <w:sz w:val="24"/>
          <w:szCs w:val="24"/>
          <w:u w:color="000000"/>
        </w:rPr>
        <w:t>Biderman, C., P. Sandroni e</w:t>
      </w:r>
      <w:r w:rsidR="00DF2C11" w:rsidRPr="006671BD">
        <w:rPr>
          <w:rFonts w:ascii="Times New Roman" w:hAnsi="Times New Roman" w:cs="Times New Roman"/>
          <w:color w:val="000000"/>
          <w:spacing w:val="10"/>
          <w:sz w:val="24"/>
          <w:szCs w:val="24"/>
          <w:u w:color="000000"/>
        </w:rPr>
        <w:t xml:space="preserve"> M. O. Smolka.  2006. Large-scale Urban Interventions:  The Case of Faria Lima in Sao Paulo</w:t>
      </w:r>
      <w:r w:rsidR="00DF2C11" w:rsidRPr="006671BD">
        <w:rPr>
          <w:rFonts w:ascii="Times New Roman" w:hAnsi="Times New Roman" w:cs="Times New Roman"/>
          <w:i/>
          <w:color w:val="000000"/>
          <w:spacing w:val="10"/>
          <w:sz w:val="24"/>
          <w:szCs w:val="24"/>
          <w:u w:color="000000"/>
        </w:rPr>
        <w:t xml:space="preserve">.  </w:t>
      </w:r>
      <w:r w:rsidR="00DF2C11" w:rsidRPr="006671BD">
        <w:rPr>
          <w:rFonts w:ascii="Times New Roman" w:hAnsi="Times New Roman" w:cs="Times New Roman"/>
          <w:i/>
          <w:color w:val="000000"/>
          <w:spacing w:val="10"/>
          <w:sz w:val="24"/>
          <w:szCs w:val="24"/>
          <w:u w:color="000000"/>
          <w:lang w:val="pt-BR"/>
        </w:rPr>
        <w:t xml:space="preserve">Land Lines.  </w:t>
      </w:r>
      <w:r w:rsidR="00DF2C11" w:rsidRPr="006671BD">
        <w:rPr>
          <w:rFonts w:ascii="Times New Roman" w:hAnsi="Times New Roman" w:cs="Times New Roman"/>
          <w:color w:val="000000"/>
          <w:spacing w:val="10"/>
          <w:sz w:val="24"/>
          <w:szCs w:val="24"/>
          <w:u w:color="000000"/>
          <w:lang w:val="pt-BR"/>
        </w:rPr>
        <w:t xml:space="preserve">Volume 18, Number 2. </w:t>
      </w:r>
    </w:p>
    <w:p w14:paraId="53836444" w14:textId="6F6FB1C1" w:rsidR="00B26136" w:rsidRPr="006671BD" w:rsidRDefault="00C1059F" w:rsidP="001146D6">
      <w:pPr>
        <w:pStyle w:val="FootnoteText"/>
        <w:spacing w:after="240"/>
        <w:rPr>
          <w:rFonts w:ascii="Times New Roman" w:hAnsi="Times New Roman" w:cs="Times New Roman"/>
          <w:color w:val="000000"/>
          <w:spacing w:val="10"/>
          <w:sz w:val="24"/>
          <w:szCs w:val="24"/>
          <w:u w:color="000000"/>
          <w:lang w:val="pt-BR"/>
        </w:rPr>
      </w:pPr>
      <w:r w:rsidRPr="006671BD">
        <w:rPr>
          <w:rFonts w:ascii="Times New Roman" w:hAnsi="Times New Roman" w:cs="Times New Roman"/>
          <w:color w:val="000000"/>
          <w:spacing w:val="10"/>
          <w:sz w:val="24"/>
          <w:szCs w:val="24"/>
          <w:u w:color="000000"/>
          <w:lang w:val="pt-BR"/>
        </w:rPr>
        <w:t>Biderman, C. e</w:t>
      </w:r>
      <w:r w:rsidR="00DF2C11" w:rsidRPr="006671BD">
        <w:rPr>
          <w:rFonts w:ascii="Times New Roman" w:hAnsi="Times New Roman" w:cs="Times New Roman"/>
          <w:color w:val="000000"/>
          <w:spacing w:val="10"/>
          <w:sz w:val="24"/>
          <w:szCs w:val="24"/>
          <w:u w:color="000000"/>
          <w:lang w:val="pt-BR"/>
        </w:rPr>
        <w:t xml:space="preserve"> P. Sandroni.  2005.  </w:t>
      </w:r>
      <w:r w:rsidR="00DF2C11" w:rsidRPr="006671BD">
        <w:rPr>
          <w:rFonts w:ascii="Times New Roman" w:hAnsi="Times New Roman" w:cs="Times New Roman"/>
          <w:i/>
          <w:color w:val="000000"/>
          <w:spacing w:val="10"/>
          <w:sz w:val="24"/>
          <w:szCs w:val="24"/>
          <w:u w:color="000000"/>
          <w:lang w:val="pt-BR"/>
        </w:rPr>
        <w:t>Avaliação do Impacto das Grandes Intervenções Urbanas nos Preços dos Imóveis do Entorno: O Caso da Operação Urbana Consorciada Faria Lima</w:t>
      </w:r>
      <w:r w:rsidR="00DF2C11" w:rsidRPr="006671BD">
        <w:rPr>
          <w:rFonts w:ascii="Times New Roman" w:hAnsi="Times New Roman" w:cs="Times New Roman"/>
          <w:color w:val="000000"/>
          <w:spacing w:val="10"/>
          <w:sz w:val="24"/>
          <w:szCs w:val="24"/>
          <w:u w:color="000000"/>
          <w:lang w:val="pt-BR"/>
        </w:rPr>
        <w:t xml:space="preserve">. Série para Discussão CEPESP - GvPesquisa (NPP) #09. </w:t>
      </w:r>
      <w:r w:rsidR="00B26136" w:rsidRPr="006671BD">
        <w:rPr>
          <w:rFonts w:ascii="Times New Roman" w:hAnsi="Times New Roman" w:cs="Times New Roman"/>
          <w:color w:val="000000"/>
          <w:sz w:val="24"/>
          <w:szCs w:val="24"/>
          <w:lang w:val="pt-BR"/>
        </w:rPr>
        <w:t xml:space="preserve">BNDES. 2017. </w:t>
      </w:r>
      <w:r w:rsidR="00B26136" w:rsidRPr="006671BD">
        <w:rPr>
          <w:rFonts w:ascii="Times New Roman" w:hAnsi="Times New Roman" w:cs="Times New Roman"/>
          <w:i/>
          <w:color w:val="000000"/>
          <w:sz w:val="24"/>
          <w:szCs w:val="24"/>
          <w:lang w:val="pt-BR"/>
        </w:rPr>
        <w:t>Livro Verde: Nossa história tal como ela é</w:t>
      </w:r>
      <w:r w:rsidR="00B26136" w:rsidRPr="006671BD">
        <w:rPr>
          <w:rFonts w:ascii="Times New Roman" w:hAnsi="Times New Roman" w:cs="Times New Roman"/>
          <w:color w:val="000000"/>
          <w:sz w:val="24"/>
          <w:szCs w:val="24"/>
          <w:lang w:val="pt-BR"/>
        </w:rPr>
        <w:t>.  BNDES, Rio de Janeiro.</w:t>
      </w:r>
    </w:p>
    <w:p w14:paraId="10DDB7F5" w14:textId="77777777" w:rsidR="006671BD" w:rsidRPr="006671BD" w:rsidRDefault="00B335C6" w:rsidP="001146D6">
      <w:pPr>
        <w:spacing w:after="240" w:line="240" w:lineRule="auto"/>
        <w:rPr>
          <w:rFonts w:ascii="Times New Roman" w:hAnsi="Times New Roman" w:cs="Times New Roman"/>
          <w:color w:val="01062A"/>
          <w:sz w:val="24"/>
          <w:szCs w:val="24"/>
        </w:rPr>
      </w:pPr>
      <w:r w:rsidRPr="006671BD">
        <w:rPr>
          <w:rFonts w:ascii="Times New Roman" w:hAnsi="Times New Roman" w:cs="Times New Roman"/>
          <w:sz w:val="24"/>
          <w:szCs w:val="24"/>
          <w:lang w:val="pt-BR"/>
        </w:rPr>
        <w:t>Blanco, A., Moreno, N., Vetter, D.</w:t>
      </w:r>
      <w:r w:rsidR="0079407B" w:rsidRPr="006671BD">
        <w:rPr>
          <w:rFonts w:ascii="Times New Roman" w:hAnsi="Times New Roman" w:cs="Times New Roman"/>
          <w:sz w:val="24"/>
          <w:szCs w:val="24"/>
          <w:lang w:val="pt-BR"/>
        </w:rPr>
        <w:t xml:space="preserve"> e </w:t>
      </w:r>
      <w:r w:rsidRPr="006671BD">
        <w:rPr>
          <w:rFonts w:ascii="Times New Roman" w:hAnsi="Times New Roman" w:cs="Times New Roman"/>
          <w:sz w:val="24"/>
          <w:szCs w:val="24"/>
          <w:lang w:val="pt-BR"/>
        </w:rPr>
        <w:t>Vetter, M. (2016).</w:t>
      </w:r>
      <w:r w:rsidRPr="006671BD">
        <w:rPr>
          <w:rFonts w:ascii="Times New Roman" w:hAnsi="Times New Roman" w:cs="Times New Roman"/>
          <w:b/>
          <w:color w:val="01062A"/>
          <w:sz w:val="24"/>
          <w:szCs w:val="24"/>
          <w:lang w:val="pt-BR"/>
        </w:rPr>
        <w:t xml:space="preserve">  </w:t>
      </w:r>
      <w:r w:rsidRPr="006671BD">
        <w:rPr>
          <w:rFonts w:ascii="Times New Roman" w:hAnsi="Times New Roman" w:cs="Times New Roman"/>
          <w:i/>
          <w:color w:val="01062A"/>
          <w:sz w:val="24"/>
          <w:szCs w:val="24"/>
          <w:lang w:val="es-CO"/>
        </w:rPr>
        <w:t>El potencial de la captura de plusvalías para la financiación de proyectos urbanos: consideraciones metodológicas y casos prácticos</w:t>
      </w:r>
      <w:r w:rsidRPr="006671BD">
        <w:rPr>
          <w:rFonts w:ascii="Times New Roman" w:hAnsi="Times New Roman" w:cs="Times New Roman"/>
          <w:b/>
          <w:i/>
          <w:color w:val="01062A"/>
          <w:sz w:val="24"/>
          <w:szCs w:val="24"/>
          <w:lang w:val="es-CO"/>
        </w:rPr>
        <w:t>.</w:t>
      </w:r>
      <w:r w:rsidRPr="006671BD">
        <w:rPr>
          <w:rFonts w:ascii="Times New Roman" w:hAnsi="Times New Roman" w:cs="Times New Roman"/>
          <w:b/>
          <w:color w:val="01062A"/>
          <w:sz w:val="24"/>
          <w:szCs w:val="24"/>
          <w:lang w:val="es-CO"/>
        </w:rPr>
        <w:t xml:space="preserve"> </w:t>
      </w:r>
      <w:r w:rsidRPr="006671BD">
        <w:rPr>
          <w:rFonts w:ascii="Times New Roman" w:hAnsi="Times New Roman" w:cs="Times New Roman"/>
          <w:color w:val="01062A"/>
          <w:sz w:val="24"/>
          <w:szCs w:val="24"/>
        </w:rPr>
        <w:t xml:space="preserve">IDB, Washington DC. 2016. </w:t>
      </w:r>
    </w:p>
    <w:p w14:paraId="4E4133C9" w14:textId="77777777" w:rsidR="006671BD" w:rsidRPr="006671BD" w:rsidRDefault="00B335C6" w:rsidP="006671BD">
      <w:pPr>
        <w:spacing w:after="0" w:line="240" w:lineRule="auto"/>
        <w:rPr>
          <w:rFonts w:ascii="Times New Roman" w:hAnsi="Times New Roman" w:cs="Times New Roman"/>
          <w:sz w:val="24"/>
          <w:szCs w:val="24"/>
        </w:rPr>
      </w:pPr>
      <w:r w:rsidRPr="006671BD">
        <w:rPr>
          <w:rFonts w:ascii="Times New Roman" w:hAnsi="Times New Roman" w:cs="Times New Roman"/>
          <w:color w:val="01062A"/>
          <w:sz w:val="24"/>
          <w:szCs w:val="24"/>
        </w:rPr>
        <w:t xml:space="preserve">Also available in English: </w:t>
      </w:r>
      <w:r w:rsidRPr="006671BD">
        <w:rPr>
          <w:rFonts w:ascii="Times New Roman" w:hAnsi="Times New Roman" w:cs="Times New Roman"/>
          <w:i/>
          <w:sz w:val="24"/>
          <w:szCs w:val="24"/>
        </w:rPr>
        <w:t>The Potential of Land Value Capture for Financing Urban Projects: Methodological Considerations and Case Studies</w:t>
      </w:r>
      <w:r w:rsidR="006671BD" w:rsidRPr="006671BD">
        <w:rPr>
          <w:rFonts w:ascii="Times New Roman" w:hAnsi="Times New Roman" w:cs="Times New Roman"/>
          <w:sz w:val="24"/>
          <w:szCs w:val="24"/>
        </w:rPr>
        <w:t xml:space="preserve">.  </w:t>
      </w:r>
    </w:p>
    <w:p w14:paraId="2D9C0B81" w14:textId="68E96B22" w:rsidR="00B335C6" w:rsidRPr="005205CD" w:rsidRDefault="006671BD" w:rsidP="006671BD">
      <w:pPr>
        <w:spacing w:after="240" w:line="240" w:lineRule="auto"/>
        <w:rPr>
          <w:rFonts w:ascii="Times New Roman" w:hAnsi="Times New Roman" w:cs="Times New Roman"/>
          <w:color w:val="01062A"/>
          <w:sz w:val="24"/>
          <w:szCs w:val="24"/>
          <w:lang w:val="es-CO"/>
        </w:rPr>
      </w:pPr>
      <w:r w:rsidRPr="005205CD">
        <w:rPr>
          <w:rFonts w:ascii="Times New Roman" w:hAnsi="Times New Roman" w:cs="Times New Roman"/>
          <w:sz w:val="24"/>
          <w:szCs w:val="24"/>
          <w:lang w:val="es-CO"/>
        </w:rPr>
        <w:t>Ver</w:t>
      </w:r>
      <w:r w:rsidR="00B335C6" w:rsidRPr="005205CD">
        <w:rPr>
          <w:rFonts w:ascii="Times New Roman" w:hAnsi="Times New Roman" w:cs="Times New Roman"/>
          <w:color w:val="01062A"/>
          <w:sz w:val="24"/>
          <w:szCs w:val="24"/>
          <w:lang w:val="es-CO"/>
        </w:rPr>
        <w:t xml:space="preserve">: </w:t>
      </w:r>
      <w:hyperlink r:id="rId37" w:history="1">
        <w:r w:rsidR="00B335C6" w:rsidRPr="005205CD">
          <w:rPr>
            <w:rStyle w:val="Hyperlink"/>
            <w:rFonts w:ascii="Times New Roman" w:hAnsi="Times New Roman" w:cs="Times New Roman"/>
            <w:sz w:val="24"/>
            <w:szCs w:val="24"/>
            <w:lang w:val="es-CO"/>
          </w:rPr>
          <w:t>https://publications.iadb.org/handle/11319/8095</w:t>
        </w:r>
      </w:hyperlink>
      <w:r w:rsidR="00B335C6" w:rsidRPr="005205CD">
        <w:rPr>
          <w:rFonts w:ascii="Times New Roman" w:hAnsi="Times New Roman" w:cs="Times New Roman"/>
          <w:sz w:val="24"/>
          <w:szCs w:val="24"/>
          <w:lang w:val="es-CO"/>
        </w:rPr>
        <w:t xml:space="preserve"> </w:t>
      </w:r>
    </w:p>
    <w:p w14:paraId="567229BB" w14:textId="52E83867" w:rsidR="00B335C6" w:rsidRPr="006671BD" w:rsidRDefault="00B335C6" w:rsidP="001146D6">
      <w:pPr>
        <w:spacing w:after="240" w:line="240" w:lineRule="auto"/>
        <w:rPr>
          <w:rFonts w:ascii="Times New Roman" w:hAnsi="Times New Roman" w:cs="Times New Roman"/>
          <w:sz w:val="24"/>
          <w:szCs w:val="24"/>
        </w:rPr>
      </w:pPr>
      <w:r w:rsidRPr="006671BD">
        <w:rPr>
          <w:rFonts w:ascii="Times New Roman" w:hAnsi="Times New Roman" w:cs="Times New Roman"/>
          <w:sz w:val="24"/>
          <w:szCs w:val="24"/>
          <w:lang w:val="es-CO"/>
        </w:rPr>
        <w:t xml:space="preserve">Blanco, A., Fretes, V., Muñoz, A.  (2016b). </w:t>
      </w:r>
      <w:r w:rsidRPr="006671BD">
        <w:rPr>
          <w:rFonts w:ascii="Times New Roman" w:hAnsi="Times New Roman" w:cs="Times New Roman"/>
          <w:bCs/>
          <w:i/>
          <w:kern w:val="36"/>
          <w:sz w:val="24"/>
          <w:szCs w:val="24"/>
          <w:lang w:val="es-CO"/>
        </w:rPr>
        <w:t>Expandiendo el uso de la valorización del suelo: La captura de plusvalías en América Latina y el Caribe</w:t>
      </w:r>
      <w:r w:rsidRPr="006671BD">
        <w:rPr>
          <w:rFonts w:ascii="Times New Roman" w:hAnsi="Times New Roman" w:cs="Times New Roman"/>
          <w:bCs/>
          <w:kern w:val="36"/>
          <w:sz w:val="24"/>
          <w:szCs w:val="24"/>
          <w:lang w:val="es-CO"/>
        </w:rPr>
        <w:t xml:space="preserve">. </w:t>
      </w:r>
      <w:r w:rsidRPr="006671BD">
        <w:rPr>
          <w:rFonts w:ascii="Times New Roman" w:hAnsi="Times New Roman" w:cs="Times New Roman"/>
          <w:bCs/>
          <w:kern w:val="36"/>
          <w:sz w:val="24"/>
          <w:szCs w:val="24"/>
        </w:rPr>
        <w:t xml:space="preserve">Inter-American Development Bank. </w:t>
      </w:r>
      <w:r w:rsidR="006671BD" w:rsidRPr="006671BD">
        <w:rPr>
          <w:rFonts w:ascii="Times New Roman" w:hAnsi="Times New Roman" w:cs="Times New Roman"/>
          <w:bCs/>
          <w:kern w:val="36"/>
          <w:sz w:val="24"/>
          <w:szCs w:val="24"/>
        </w:rPr>
        <w:t xml:space="preserve">Ver: </w:t>
      </w:r>
      <w:hyperlink r:id="rId38" w:anchor="sthash.9Aood56f.dpuf" w:history="1">
        <w:r w:rsidR="006671BD" w:rsidRPr="006671BD">
          <w:rPr>
            <w:rStyle w:val="Hyperlink"/>
            <w:rFonts w:ascii="Times New Roman" w:hAnsi="Times New Roman" w:cs="Times New Roman"/>
            <w:sz w:val="24"/>
            <w:szCs w:val="24"/>
          </w:rPr>
          <w:t>https://publications.iadb.org/handle/11319/7799#sthash.9Aood56f.dpuf</w:t>
        </w:r>
      </w:hyperlink>
      <w:r w:rsidRPr="006671BD">
        <w:rPr>
          <w:rFonts w:ascii="Times New Roman" w:hAnsi="Times New Roman" w:cs="Times New Roman"/>
          <w:sz w:val="24"/>
          <w:szCs w:val="24"/>
        </w:rPr>
        <w:t xml:space="preserve"> </w:t>
      </w:r>
    </w:p>
    <w:p w14:paraId="2B0017C2" w14:textId="1123AF60" w:rsidR="00B335C6" w:rsidRPr="006671BD" w:rsidRDefault="00B335C6" w:rsidP="001146D6">
      <w:pPr>
        <w:spacing w:after="240" w:line="240" w:lineRule="auto"/>
        <w:rPr>
          <w:rFonts w:ascii="Times New Roman" w:hAnsi="Times New Roman" w:cs="Times New Roman"/>
          <w:sz w:val="24"/>
          <w:szCs w:val="24"/>
        </w:rPr>
      </w:pPr>
      <w:r w:rsidRPr="006671BD">
        <w:rPr>
          <w:rFonts w:ascii="Times New Roman" w:eastAsia="Times New Roman" w:hAnsi="Times New Roman" w:cs="Times New Roman"/>
          <w:vanish/>
          <w:sz w:val="24"/>
          <w:szCs w:val="24"/>
        </w:rPr>
        <w:t>Elmer, V.  (2005). Capital</w:t>
      </w:r>
      <w:r w:rsidRPr="006671BD">
        <w:rPr>
          <w:rFonts w:ascii="Times New Roman" w:eastAsia="Times New Roman" w:hAnsi="Times New Roman" w:cs="Times New Roman"/>
          <w:i/>
          <w:iCs/>
          <w:vanish/>
          <w:sz w:val="24"/>
          <w:szCs w:val="24"/>
        </w:rPr>
        <w:t xml:space="preserve"> Improvement Plans and Budgets</w:t>
      </w:r>
      <w:r w:rsidRPr="006671BD">
        <w:rPr>
          <w:rFonts w:ascii="Times New Roman" w:eastAsia="Times New Roman" w:hAnsi="Times New Roman" w:cs="Times New Roman"/>
          <w:vanish/>
          <w:sz w:val="24"/>
          <w:szCs w:val="24"/>
        </w:rPr>
        <w:t xml:space="preserve">. Cambridge, MA: Lincoln Institute of Land Policy.  See:  </w:t>
      </w:r>
      <w:hyperlink r:id="rId39" w:history="1">
        <w:r w:rsidRPr="006671BD">
          <w:rPr>
            <w:rStyle w:val="Hyperlink"/>
            <w:rFonts w:ascii="Times New Roman" w:hAnsi="Times New Roman" w:cs="Times New Roman"/>
            <w:sz w:val="24"/>
            <w:szCs w:val="24"/>
          </w:rPr>
          <w:t>https://www.lincolninst.edu/subcenters/teaching-fiscal-dimensions-of-planning/materials/elmer-CIP.pdf</w:t>
        </w:r>
      </w:hyperlink>
      <w:r w:rsidRPr="006671BD">
        <w:rPr>
          <w:rFonts w:ascii="Times New Roman" w:hAnsi="Times New Roman" w:cs="Times New Roman"/>
          <w:sz w:val="24"/>
          <w:szCs w:val="24"/>
        </w:rPr>
        <w:t xml:space="preserve"> </w:t>
      </w:r>
      <w:r w:rsidRPr="006671BD">
        <w:rPr>
          <w:rFonts w:ascii="Times New Roman" w:hAnsi="Times New Roman" w:cs="Times New Roman"/>
          <w:sz w:val="24"/>
          <w:szCs w:val="24"/>
        </w:rPr>
        <w:fldChar w:fldCharType="begin"/>
      </w:r>
      <w:hyperlink r:id="rId40" w:history="1">
        <w:r w:rsidRPr="006671BD">
          <w:rPr>
            <w:rFonts w:ascii="Times New Roman" w:eastAsia="Times New Roman" w:hAnsi="Times New Roman" w:cs="Times New Roman"/>
            <w:vanish/>
            <w:color w:val="0000FF"/>
            <w:sz w:val="24"/>
            <w:szCs w:val="24"/>
            <w:u w:val="single"/>
          </w:rPr>
          <w:instrText>https://www.lincolninst.edu/subcenters/teaching-fiscal-dimensions-of-planning/materials/elmer-CIP.pdf</w:instrText>
        </w:r>
        <w:r w:rsidRPr="006671BD">
          <w:rPr>
            <w:rFonts w:ascii="Times New Roman" w:eastAsia="Times New Roman" w:hAnsi="Times New Roman" w:cs="Times New Roman"/>
            <w:color w:val="0000FF"/>
            <w:sz w:val="24"/>
            <w:szCs w:val="24"/>
            <w:u w:val="single"/>
          </w:rPr>
          <w:instrText>https://www.lincolninst.edu/subcenters/teaching-fiscal-dimensions-of-planning/materials/elmer-CIP.pdf</w:instrText>
        </w:r>
        <w:r w:rsidRPr="006671BD">
          <w:rPr>
            <w:rFonts w:ascii="Times New Roman" w:eastAsia="Times New Roman" w:hAnsi="Times New Roman" w:cs="Times New Roman"/>
            <w:vanish/>
            <w:sz w:val="24"/>
            <w:szCs w:val="24"/>
          </w:rPr>
          <w:instrText xml:space="preserve"> </w:instrText>
        </w:r>
        <w:r w:rsidRPr="006671BD">
          <w:rPr>
            <w:rStyle w:val="tw4winMark"/>
            <w:rFonts w:ascii="Times New Roman" w:hAnsi="Times New Roman" w:cs="Times New Roman"/>
            <w:szCs w:val="24"/>
          </w:rPr>
          <w:instrText>&lt;}0{&gt;</w:instrText>
        </w:r>
        <w:r w:rsidRPr="006671BD">
          <w:rPr>
            <w:rFonts w:ascii="Times New Roman" w:eastAsia="Times New Roman" w:hAnsi="Times New Roman" w:cs="Times New Roman"/>
            <w:sz w:val="24"/>
            <w:szCs w:val="24"/>
          </w:rPr>
          <w:instrText xml:space="preserve">Elmer, V.  (2005).  </w:instrText>
        </w:r>
        <w:r w:rsidRPr="006671BD">
          <w:rPr>
            <w:rFonts w:ascii="Times New Roman" w:eastAsia="Times New Roman" w:hAnsi="Times New Roman" w:cs="Times New Roman"/>
            <w:i/>
            <w:iCs/>
            <w:sz w:val="24"/>
            <w:szCs w:val="24"/>
          </w:rPr>
          <w:instrText>Capital Improvement Plans and Budgets</w:instrText>
        </w:r>
        <w:r w:rsidRPr="006671BD">
          <w:rPr>
            <w:rFonts w:ascii="Times New Roman" w:eastAsia="Times New Roman" w:hAnsi="Times New Roman" w:cs="Times New Roman"/>
            <w:sz w:val="24"/>
            <w:szCs w:val="24"/>
          </w:rPr>
          <w:instrText xml:space="preserve">. Cambridge, MA: Lincoln Institute of Land Policy.  See:  </w:instrText>
        </w:r>
      </w:hyperlink>
      <w:r w:rsidRPr="006671BD">
        <w:rPr>
          <w:rFonts w:ascii="Times New Roman" w:eastAsia="Times New Roman" w:hAnsi="Times New Roman" w:cs="Times New Roman"/>
          <w:sz w:val="24"/>
          <w:szCs w:val="24"/>
        </w:rPr>
        <w:instrText xml:space="preserve"> </w:instrText>
      </w:r>
      <w:r w:rsidRPr="006671BD">
        <w:rPr>
          <w:rStyle w:val="tw4winMark"/>
          <w:rFonts w:ascii="Times New Roman" w:hAnsi="Times New Roman" w:cs="Times New Roman"/>
          <w:szCs w:val="24"/>
        </w:rPr>
        <w:instrText>&lt;0}</w:instrText>
      </w:r>
      <w:r w:rsidRPr="006671BD">
        <w:rPr>
          <w:rFonts w:ascii="Times New Roman" w:hAnsi="Times New Roman" w:cs="Times New Roman"/>
          <w:sz w:val="24"/>
          <w:szCs w:val="24"/>
        </w:rPr>
        <w:fldChar w:fldCharType="end"/>
      </w:r>
    </w:p>
    <w:p w14:paraId="280D23A2" w14:textId="77777777" w:rsidR="0090341D" w:rsidRPr="006671BD" w:rsidRDefault="0090341D" w:rsidP="001146D6">
      <w:pPr>
        <w:autoSpaceDE w:val="0"/>
        <w:autoSpaceDN w:val="0"/>
        <w:adjustRightInd w:val="0"/>
        <w:spacing w:after="240" w:line="240" w:lineRule="auto"/>
        <w:rPr>
          <w:rFonts w:ascii="Times New Roman" w:hAnsi="Times New Roman" w:cs="Times New Roman"/>
          <w:i/>
          <w:iCs/>
          <w:sz w:val="24"/>
          <w:szCs w:val="24"/>
          <w:lang w:val="pt-BR"/>
        </w:rPr>
      </w:pPr>
      <w:r w:rsidRPr="006671BD">
        <w:rPr>
          <w:rFonts w:ascii="Times New Roman" w:hAnsi="Times New Roman" w:cs="Times New Roman"/>
          <w:bCs/>
          <w:sz w:val="24"/>
          <w:szCs w:val="24"/>
          <w:lang w:val="pt-BR"/>
        </w:rPr>
        <w:t>Fomento Paraná.</w:t>
      </w:r>
      <w:r w:rsidRPr="006671BD">
        <w:rPr>
          <w:rFonts w:ascii="Times New Roman" w:hAnsi="Times New Roman" w:cs="Times New Roman"/>
          <w:b/>
          <w:bCs/>
          <w:sz w:val="24"/>
          <w:szCs w:val="24"/>
          <w:lang w:val="pt-BR"/>
        </w:rPr>
        <w:t xml:space="preserve">  </w:t>
      </w:r>
      <w:r w:rsidRPr="006671BD">
        <w:rPr>
          <w:rFonts w:ascii="Times New Roman" w:hAnsi="Times New Roman" w:cs="Times New Roman"/>
          <w:i/>
          <w:iCs/>
          <w:sz w:val="24"/>
          <w:szCs w:val="24"/>
          <w:lang w:val="pt-BR"/>
        </w:rPr>
        <w:t>Política de Gerenciamento de Capital.  2013.</w:t>
      </w:r>
    </w:p>
    <w:p w14:paraId="1B1CB3BA" w14:textId="77777777" w:rsidR="0090341D" w:rsidRPr="006671BD" w:rsidRDefault="0090341D" w:rsidP="001146D6">
      <w:pPr>
        <w:autoSpaceDE w:val="0"/>
        <w:autoSpaceDN w:val="0"/>
        <w:adjustRightInd w:val="0"/>
        <w:spacing w:after="240" w:line="240" w:lineRule="auto"/>
        <w:rPr>
          <w:rFonts w:ascii="Times New Roman" w:hAnsi="Times New Roman" w:cs="Times New Roman"/>
          <w:i/>
          <w:iCs/>
          <w:sz w:val="24"/>
          <w:szCs w:val="24"/>
          <w:lang w:val="pt-BR"/>
        </w:rPr>
      </w:pPr>
      <w:r w:rsidRPr="006671BD">
        <w:rPr>
          <w:rFonts w:ascii="Times New Roman" w:hAnsi="Times New Roman" w:cs="Times New Roman"/>
          <w:i/>
          <w:iCs/>
          <w:sz w:val="24"/>
          <w:szCs w:val="24"/>
          <w:lang w:val="pt-BR"/>
        </w:rPr>
        <w:t>_____________.  Plano de Gerenciamento de Capital Triênio 2013 – 2015.</w:t>
      </w:r>
    </w:p>
    <w:p w14:paraId="6194406D" w14:textId="77777777" w:rsidR="00604B2B" w:rsidRPr="006671BD" w:rsidRDefault="0090341D" w:rsidP="001146D6">
      <w:pPr>
        <w:pStyle w:val="Default"/>
        <w:spacing w:after="240"/>
        <w:rPr>
          <w:rFonts w:ascii="Times New Roman" w:hAnsi="Times New Roman" w:cs="Times New Roman"/>
          <w:i/>
          <w:iCs/>
          <w:lang w:val="pt-BR"/>
        </w:rPr>
      </w:pPr>
      <w:r w:rsidRPr="006671BD">
        <w:rPr>
          <w:rFonts w:ascii="Times New Roman" w:hAnsi="Times New Roman" w:cs="Times New Roman"/>
          <w:i/>
          <w:iCs/>
          <w:lang w:val="pt-BR"/>
        </w:rPr>
        <w:t>_____________.  Relatório Sobre Gerenciamento De Capital:</w:t>
      </w:r>
      <w:r w:rsidRPr="006671BD">
        <w:rPr>
          <w:rFonts w:ascii="Times New Roman" w:hAnsi="Times New Roman" w:cs="Times New Roman"/>
          <w:b/>
          <w:bCs/>
          <w:lang w:val="pt-BR"/>
        </w:rPr>
        <w:t xml:space="preserve"> </w:t>
      </w:r>
      <w:r w:rsidRPr="006671BD">
        <w:rPr>
          <w:rFonts w:ascii="Times New Roman" w:hAnsi="Times New Roman" w:cs="Times New Roman"/>
          <w:i/>
          <w:iCs/>
          <w:lang w:val="pt-BR"/>
        </w:rPr>
        <w:t>Relatório de Monitoramento - 4º Trimestre 2013.</w:t>
      </w:r>
    </w:p>
    <w:p w14:paraId="3727B10D" w14:textId="70E02264" w:rsidR="0090341D" w:rsidRPr="006671BD" w:rsidRDefault="0090341D" w:rsidP="001146D6">
      <w:pPr>
        <w:pStyle w:val="Default"/>
        <w:spacing w:after="240"/>
        <w:rPr>
          <w:rFonts w:ascii="Times New Roman" w:hAnsi="Times New Roman" w:cs="Times New Roman"/>
          <w:i/>
          <w:iCs/>
          <w:lang w:val="pt-BR"/>
        </w:rPr>
      </w:pPr>
      <w:r w:rsidRPr="006671BD">
        <w:rPr>
          <w:rFonts w:ascii="Times New Roman" w:hAnsi="Times New Roman" w:cs="Times New Roman"/>
          <w:b/>
          <w:bCs/>
          <w:lang w:val="pt-BR"/>
        </w:rPr>
        <w:t xml:space="preserve">_____________.  </w:t>
      </w:r>
      <w:r w:rsidRPr="006671BD">
        <w:rPr>
          <w:rFonts w:ascii="Times New Roman" w:hAnsi="Times New Roman" w:cs="Times New Roman"/>
          <w:bCs/>
          <w:i/>
          <w:lang w:val="pt-BR"/>
        </w:rPr>
        <w:t>Relatório de Limites Operacionais Data-Base</w:t>
      </w:r>
      <w:r w:rsidRPr="006671BD">
        <w:rPr>
          <w:rFonts w:ascii="Times New Roman" w:hAnsi="Times New Roman" w:cs="Times New Roman"/>
          <w:bCs/>
          <w:lang w:val="pt-BR"/>
        </w:rPr>
        <w:t>:</w:t>
      </w:r>
      <w:r w:rsidRPr="006671BD">
        <w:rPr>
          <w:rFonts w:ascii="Times New Roman" w:hAnsi="Times New Roman" w:cs="Times New Roman"/>
          <w:b/>
          <w:bCs/>
          <w:lang w:val="pt-BR"/>
        </w:rPr>
        <w:t xml:space="preserve"> </w:t>
      </w:r>
      <w:r w:rsidRPr="006671BD">
        <w:rPr>
          <w:rFonts w:ascii="Times New Roman" w:hAnsi="Times New Roman" w:cs="Times New Roman"/>
          <w:bCs/>
          <w:i/>
          <w:lang w:val="pt-BR"/>
        </w:rPr>
        <w:t>Abril 2014.</w:t>
      </w:r>
    </w:p>
    <w:p w14:paraId="08C00855" w14:textId="77777777" w:rsidR="0090341D" w:rsidRPr="006671BD" w:rsidRDefault="0090341D" w:rsidP="001146D6">
      <w:pPr>
        <w:autoSpaceDE w:val="0"/>
        <w:autoSpaceDN w:val="0"/>
        <w:adjustRightInd w:val="0"/>
        <w:spacing w:after="240" w:line="240" w:lineRule="auto"/>
        <w:rPr>
          <w:rFonts w:ascii="Times New Roman" w:hAnsi="Times New Roman" w:cs="Times New Roman"/>
          <w:iCs/>
          <w:sz w:val="24"/>
          <w:szCs w:val="24"/>
          <w:lang w:val="pt-BR"/>
        </w:rPr>
      </w:pPr>
      <w:r w:rsidRPr="006671BD">
        <w:rPr>
          <w:rFonts w:ascii="Times New Roman" w:hAnsi="Times New Roman" w:cs="Times New Roman"/>
          <w:b/>
          <w:bCs/>
          <w:sz w:val="24"/>
          <w:szCs w:val="24"/>
          <w:lang w:val="pt-BR"/>
        </w:rPr>
        <w:t xml:space="preserve">_____________.  </w:t>
      </w:r>
      <w:r w:rsidRPr="006671BD">
        <w:rPr>
          <w:rFonts w:ascii="Times New Roman" w:hAnsi="Times New Roman" w:cs="Times New Roman"/>
          <w:bCs/>
          <w:i/>
          <w:iCs/>
          <w:sz w:val="24"/>
          <w:szCs w:val="24"/>
          <w:lang w:val="pt-BR"/>
        </w:rPr>
        <w:t xml:space="preserve">Divulgação das informações de Gestão de Riscos Patrimônio de Referência Exigido:  </w:t>
      </w:r>
      <w:r w:rsidRPr="006671BD">
        <w:rPr>
          <w:rFonts w:ascii="Times New Roman" w:hAnsi="Times New Roman" w:cs="Times New Roman"/>
          <w:bCs/>
          <w:i/>
          <w:sz w:val="24"/>
          <w:szCs w:val="24"/>
          <w:lang w:val="pt-BR"/>
        </w:rPr>
        <w:t>4º Trimestre 2013</w:t>
      </w:r>
      <w:r w:rsidRPr="006671BD">
        <w:rPr>
          <w:rFonts w:ascii="Times New Roman" w:hAnsi="Times New Roman" w:cs="Times New Roman"/>
          <w:iCs/>
          <w:sz w:val="24"/>
          <w:szCs w:val="24"/>
          <w:lang w:val="pt-BR"/>
        </w:rPr>
        <w:t>. 2014 05 31.</w:t>
      </w:r>
    </w:p>
    <w:p w14:paraId="4B7B28B9" w14:textId="48C278B6" w:rsidR="00B335C6" w:rsidRPr="006671BD" w:rsidRDefault="00B335C6" w:rsidP="001146D6">
      <w:pPr>
        <w:spacing w:after="240" w:line="240" w:lineRule="auto"/>
        <w:rPr>
          <w:rFonts w:ascii="Times New Roman" w:hAnsi="Times New Roman" w:cs="Times New Roman"/>
          <w:sz w:val="24"/>
          <w:szCs w:val="24"/>
          <w:lang w:val="pt-BR"/>
        </w:rPr>
      </w:pPr>
      <w:r w:rsidRPr="006671BD">
        <w:rPr>
          <w:rFonts w:ascii="Times New Roman" w:eastAsia="Times New Roman" w:hAnsi="Times New Roman" w:cs="Times New Roman"/>
          <w:sz w:val="24"/>
          <w:szCs w:val="24"/>
          <w:lang w:val="pt-BR"/>
        </w:rPr>
        <w:t xml:space="preserve">Garson, S. (2009).  </w:t>
      </w:r>
      <w:r w:rsidRPr="006671BD">
        <w:rPr>
          <w:rFonts w:ascii="Times New Roman" w:eastAsia="Times New Roman" w:hAnsi="Times New Roman" w:cs="Times New Roman"/>
          <w:i/>
          <w:iCs/>
          <w:sz w:val="24"/>
          <w:szCs w:val="24"/>
          <w:lang w:val="pt-BR"/>
        </w:rPr>
        <w:t>Regiões Metropolitanas: Por que não cooperam?</w:t>
      </w:r>
      <w:r w:rsidRPr="006671BD">
        <w:rPr>
          <w:rFonts w:ascii="Times New Roman" w:eastAsia="Times New Roman" w:hAnsi="Times New Roman" w:cs="Times New Roman"/>
          <w:sz w:val="24"/>
          <w:szCs w:val="24"/>
          <w:lang w:val="pt-BR"/>
        </w:rPr>
        <w:t xml:space="preserve"> Observatório das Metrópoles. Rio de Janeiro: Letra Capital.</w:t>
      </w:r>
    </w:p>
    <w:p w14:paraId="395C8DF6" w14:textId="77777777" w:rsidR="00604B2B" w:rsidRPr="006671BD" w:rsidRDefault="004E0D24" w:rsidP="001146D6">
      <w:pPr>
        <w:spacing w:after="240" w:line="240" w:lineRule="auto"/>
        <w:rPr>
          <w:rFonts w:ascii="Times New Roman" w:hAnsi="Times New Roman" w:cs="Times New Roman"/>
          <w:sz w:val="24"/>
          <w:szCs w:val="24"/>
          <w:lang w:val="pt-BR"/>
        </w:rPr>
      </w:pPr>
      <w:r w:rsidRPr="006671BD">
        <w:rPr>
          <w:rFonts w:ascii="Times New Roman" w:hAnsi="Times New Roman" w:cs="Times New Roman"/>
          <w:sz w:val="24"/>
          <w:szCs w:val="24"/>
          <w:lang w:val="pt-BR"/>
        </w:rPr>
        <w:t xml:space="preserve">IDB (Inter-American Development Bank). 2002.  </w:t>
      </w:r>
      <w:r w:rsidRPr="006671BD">
        <w:rPr>
          <w:rFonts w:ascii="Times New Roman" w:hAnsi="Times New Roman" w:cs="Times New Roman"/>
          <w:i/>
          <w:sz w:val="24"/>
          <w:szCs w:val="24"/>
          <w:lang w:val="pt-BR"/>
        </w:rPr>
        <w:t xml:space="preserve">Brazil: Parana Urbano II Program, Operation </w:t>
      </w:r>
      <w:r w:rsidRPr="006671BD">
        <w:rPr>
          <w:rFonts w:ascii="Times New Roman" w:hAnsi="Times New Roman" w:cs="Times New Roman"/>
          <w:sz w:val="24"/>
          <w:szCs w:val="24"/>
          <w:lang w:val="pt-BR"/>
        </w:rPr>
        <w:t>No. 1405/Oc-Br. Washington.</w:t>
      </w:r>
    </w:p>
    <w:p w14:paraId="646B8DEC" w14:textId="0B50FB89" w:rsidR="004E0D24" w:rsidRPr="00A31500" w:rsidRDefault="004E0D24" w:rsidP="001146D6">
      <w:pPr>
        <w:spacing w:after="240" w:line="240" w:lineRule="auto"/>
        <w:rPr>
          <w:rFonts w:ascii="Times New Roman" w:hAnsi="Times New Roman" w:cs="Times New Roman"/>
          <w:sz w:val="24"/>
          <w:szCs w:val="24"/>
        </w:rPr>
      </w:pPr>
      <w:r w:rsidRPr="006671BD">
        <w:rPr>
          <w:rFonts w:ascii="Times New Roman" w:hAnsi="Times New Roman" w:cs="Times New Roman"/>
          <w:sz w:val="24"/>
          <w:szCs w:val="24"/>
          <w:lang w:val="pt-BR"/>
        </w:rPr>
        <w:t xml:space="preserve">Junqueira, M. E S. Nakao. 2013. O papel de tributos diferidos no capital regulatório de instituições financeiras brasileiras. </w:t>
      </w:r>
      <w:r w:rsidRPr="006671BD">
        <w:rPr>
          <w:rFonts w:ascii="Times New Roman" w:hAnsi="Times New Roman" w:cs="Times New Roman"/>
          <w:i/>
          <w:sz w:val="24"/>
          <w:szCs w:val="24"/>
          <w:lang w:val="pt-BR"/>
        </w:rPr>
        <w:t>Revista de contabilidade e finanças</w:t>
      </w:r>
      <w:r w:rsidRPr="006671BD">
        <w:rPr>
          <w:rFonts w:ascii="Times New Roman" w:hAnsi="Times New Roman" w:cs="Times New Roman"/>
          <w:sz w:val="24"/>
          <w:szCs w:val="24"/>
          <w:lang w:val="pt-BR"/>
        </w:rPr>
        <w:t xml:space="preserve">. vol.24, n.63, pp. 195-205. </w:t>
      </w:r>
      <w:r w:rsidRPr="00F74132">
        <w:rPr>
          <w:rFonts w:ascii="Times New Roman" w:hAnsi="Times New Roman" w:cs="Times New Roman"/>
          <w:sz w:val="24"/>
          <w:szCs w:val="24"/>
          <w:lang w:val="pt-BR"/>
        </w:rPr>
        <w:t>ISSN 1808-057X</w:t>
      </w:r>
      <w:r w:rsidR="006671BD" w:rsidRPr="00F74132">
        <w:rPr>
          <w:rFonts w:ascii="Times New Roman" w:hAnsi="Times New Roman" w:cs="Times New Roman"/>
          <w:sz w:val="24"/>
          <w:szCs w:val="24"/>
          <w:lang w:val="pt-BR"/>
        </w:rPr>
        <w:t xml:space="preserve">. </w:t>
      </w:r>
      <w:r w:rsidR="006671BD" w:rsidRPr="00A31500">
        <w:rPr>
          <w:rFonts w:ascii="Times New Roman" w:hAnsi="Times New Roman" w:cs="Times New Roman"/>
          <w:sz w:val="24"/>
          <w:szCs w:val="24"/>
        </w:rPr>
        <w:t>Ver:</w:t>
      </w:r>
      <w:r w:rsidRPr="00615EB6">
        <w:rPr>
          <w:rFonts w:ascii="Times New Roman" w:hAnsi="Times New Roman" w:cs="Times New Roman"/>
          <w:sz w:val="24"/>
          <w:szCs w:val="24"/>
        </w:rPr>
        <w:t xml:space="preserve"> </w:t>
      </w:r>
      <w:hyperlink r:id="rId41" w:history="1">
        <w:r w:rsidRPr="00A31500">
          <w:rPr>
            <w:rStyle w:val="Hyperlink"/>
            <w:rFonts w:ascii="Times New Roman" w:hAnsi="Times New Roman" w:cs="Times New Roman"/>
            <w:sz w:val="24"/>
            <w:szCs w:val="24"/>
          </w:rPr>
          <w:t>http://www.scielo.br/pdf/rcf/v24n63/03.pdf</w:t>
        </w:r>
      </w:hyperlink>
    </w:p>
    <w:p w14:paraId="0D3073F3" w14:textId="77777777" w:rsidR="004E0D24" w:rsidRPr="006671BD" w:rsidRDefault="004E0D24" w:rsidP="001146D6">
      <w:pPr>
        <w:spacing w:after="240" w:line="240" w:lineRule="auto"/>
        <w:rPr>
          <w:rFonts w:ascii="Times New Roman" w:hAnsi="Times New Roman" w:cs="Times New Roman"/>
          <w:bCs/>
          <w:color w:val="000000" w:themeColor="text1"/>
          <w:sz w:val="24"/>
          <w:szCs w:val="24"/>
          <w:u w:color="000000"/>
        </w:rPr>
      </w:pPr>
      <w:r w:rsidRPr="00A31500">
        <w:rPr>
          <w:rStyle w:val="Emphasis"/>
          <w:rFonts w:ascii="Times New Roman" w:hAnsi="Times New Roman" w:cs="Times New Roman"/>
          <w:bCs/>
          <w:color w:val="000000" w:themeColor="text1"/>
          <w:sz w:val="24"/>
          <w:szCs w:val="24"/>
          <w:shd w:val="clear" w:color="auto" w:fill="FFFFFF"/>
        </w:rPr>
        <w:t xml:space="preserve">Kitchen, H.  </w:t>
      </w:r>
      <w:r w:rsidRPr="006671BD">
        <w:rPr>
          <w:rStyle w:val="Emphasis"/>
          <w:rFonts w:ascii="Times New Roman" w:hAnsi="Times New Roman" w:cs="Times New Roman"/>
          <w:bCs/>
          <w:color w:val="000000" w:themeColor="text1"/>
          <w:sz w:val="24"/>
          <w:szCs w:val="24"/>
          <w:shd w:val="clear" w:color="auto" w:fill="FFFFFF"/>
        </w:rPr>
        <w:t>2004.  Financing</w:t>
      </w:r>
      <w:r w:rsidRPr="006671BD">
        <w:rPr>
          <w:rStyle w:val="apple-converted-space"/>
          <w:rFonts w:ascii="Times New Roman" w:hAnsi="Times New Roman" w:cs="Times New Roman"/>
          <w:i/>
          <w:color w:val="000000" w:themeColor="text1"/>
          <w:sz w:val="24"/>
          <w:szCs w:val="24"/>
          <w:shd w:val="clear" w:color="auto" w:fill="FFFFFF"/>
        </w:rPr>
        <w:t> </w:t>
      </w:r>
      <w:r w:rsidRPr="006671BD">
        <w:rPr>
          <w:rFonts w:ascii="Times New Roman" w:hAnsi="Times New Roman" w:cs="Times New Roman"/>
          <w:i/>
          <w:color w:val="000000" w:themeColor="text1"/>
          <w:sz w:val="24"/>
          <w:szCs w:val="24"/>
          <w:shd w:val="clear" w:color="auto" w:fill="FFFFFF"/>
        </w:rPr>
        <w:t>Local Government</w:t>
      </w:r>
      <w:r w:rsidRPr="006671BD">
        <w:rPr>
          <w:rStyle w:val="apple-converted-space"/>
          <w:rFonts w:ascii="Times New Roman" w:hAnsi="Times New Roman" w:cs="Times New Roman"/>
          <w:i/>
          <w:color w:val="000000" w:themeColor="text1"/>
          <w:sz w:val="24"/>
          <w:szCs w:val="24"/>
          <w:shd w:val="clear" w:color="auto" w:fill="FFFFFF"/>
        </w:rPr>
        <w:t> </w:t>
      </w:r>
      <w:r w:rsidRPr="006671BD">
        <w:rPr>
          <w:rStyle w:val="Emphasis"/>
          <w:rFonts w:ascii="Times New Roman" w:hAnsi="Times New Roman" w:cs="Times New Roman"/>
          <w:bCs/>
          <w:color w:val="000000" w:themeColor="text1"/>
          <w:sz w:val="24"/>
          <w:szCs w:val="24"/>
          <w:shd w:val="clear" w:color="auto" w:fill="FFFFFF"/>
        </w:rPr>
        <w:t>Capital Investment</w:t>
      </w:r>
      <w:r w:rsidRPr="006671BD">
        <w:rPr>
          <w:rFonts w:ascii="Times New Roman" w:hAnsi="Times New Roman" w:cs="Times New Roman"/>
          <w:color w:val="000000" w:themeColor="text1"/>
          <w:sz w:val="24"/>
          <w:szCs w:val="24"/>
          <w:shd w:val="clear" w:color="auto" w:fill="FFFFFF"/>
        </w:rPr>
        <w:t>. Department of Economics. Trent University, Peterborough, Ontario, Canada.</w:t>
      </w:r>
    </w:p>
    <w:p w14:paraId="16DCE342" w14:textId="261953E7" w:rsidR="004E0D24" w:rsidRPr="007034F9" w:rsidRDefault="004E0D24" w:rsidP="001146D6">
      <w:pPr>
        <w:spacing w:after="240" w:line="240" w:lineRule="auto"/>
        <w:rPr>
          <w:rFonts w:ascii="Times New Roman" w:hAnsi="Times New Roman" w:cs="Times New Roman"/>
          <w:sz w:val="24"/>
          <w:szCs w:val="24"/>
        </w:rPr>
      </w:pPr>
      <w:r w:rsidRPr="006671BD">
        <w:rPr>
          <w:rFonts w:ascii="Times New Roman" w:hAnsi="Times New Roman" w:cs="Times New Roman"/>
          <w:sz w:val="24"/>
          <w:szCs w:val="24"/>
        </w:rPr>
        <w:lastRenderedPageBreak/>
        <w:t xml:space="preserve">Lima, Sérgio F.  </w:t>
      </w:r>
      <w:r w:rsidRPr="00F74132">
        <w:rPr>
          <w:rFonts w:ascii="Times New Roman" w:hAnsi="Times New Roman" w:cs="Times New Roman"/>
          <w:sz w:val="24"/>
          <w:szCs w:val="24"/>
          <w:lang w:val="pt-BR"/>
        </w:rPr>
        <w:t xml:space="preserve">2012.  </w:t>
      </w:r>
      <w:r w:rsidRPr="00F74132">
        <w:rPr>
          <w:rFonts w:ascii="Times New Roman" w:hAnsi="Times New Roman" w:cs="Times New Roman"/>
          <w:i/>
          <w:sz w:val="24"/>
          <w:szCs w:val="24"/>
          <w:lang w:val="pt-BR"/>
        </w:rPr>
        <w:t>O mercado imobiliário e os covered bonds</w:t>
      </w:r>
      <w:r w:rsidRPr="00F74132">
        <w:rPr>
          <w:rFonts w:ascii="Times New Roman" w:hAnsi="Times New Roman" w:cs="Times New Roman"/>
          <w:sz w:val="24"/>
          <w:szCs w:val="24"/>
          <w:lang w:val="pt-BR"/>
        </w:rPr>
        <w:t xml:space="preserve">. </w:t>
      </w:r>
      <w:r w:rsidRPr="006671BD">
        <w:rPr>
          <w:rFonts w:ascii="Times New Roman" w:hAnsi="Times New Roman" w:cs="Times New Roman"/>
          <w:sz w:val="24"/>
          <w:szCs w:val="24"/>
          <w:lang w:val="pt-BR"/>
        </w:rPr>
        <w:t>SFI. ABECIP</w:t>
      </w:r>
      <w:r w:rsidR="006671BD" w:rsidRPr="006671BD">
        <w:rPr>
          <w:rFonts w:ascii="Times New Roman" w:hAnsi="Times New Roman" w:cs="Times New Roman"/>
          <w:sz w:val="24"/>
          <w:szCs w:val="24"/>
          <w:lang w:val="pt-BR"/>
        </w:rPr>
        <w:t xml:space="preserve">. </w:t>
      </w:r>
      <w:r w:rsidR="006671BD" w:rsidRPr="007034F9">
        <w:rPr>
          <w:rFonts w:ascii="Times New Roman" w:hAnsi="Times New Roman" w:cs="Times New Roman"/>
          <w:sz w:val="24"/>
          <w:szCs w:val="24"/>
        </w:rPr>
        <w:t xml:space="preserve">Ver: </w:t>
      </w:r>
      <w:hyperlink r:id="rId42" w:history="1">
        <w:r w:rsidR="006671BD" w:rsidRPr="007034F9">
          <w:rPr>
            <w:rStyle w:val="Hyperlink"/>
            <w:rFonts w:ascii="Times New Roman" w:hAnsi="Times New Roman" w:cs="Times New Roman"/>
            <w:sz w:val="24"/>
            <w:szCs w:val="24"/>
          </w:rPr>
          <w:t>http://www.abecip.org.br/IMAGENS/CONTEUDO/REVISTA/34/31_34FundingSergio.pdfhttp</w:t>
        </w:r>
      </w:hyperlink>
    </w:p>
    <w:p w14:paraId="1FA98D93" w14:textId="1FDF6B06" w:rsidR="006C16D5" w:rsidRPr="006671BD" w:rsidRDefault="006C16D5" w:rsidP="001146D6">
      <w:pPr>
        <w:spacing w:after="240" w:line="240" w:lineRule="auto"/>
        <w:rPr>
          <w:rFonts w:ascii="Times New Roman" w:eastAsia="Times New Roman" w:hAnsi="Times New Roman" w:cs="Times New Roman"/>
          <w:sz w:val="24"/>
          <w:szCs w:val="24"/>
        </w:rPr>
      </w:pPr>
      <w:r w:rsidRPr="006671BD">
        <w:rPr>
          <w:rFonts w:ascii="Times New Roman" w:eastAsia="Times New Roman" w:hAnsi="Times New Roman" w:cs="Times New Roman"/>
          <w:sz w:val="24"/>
          <w:szCs w:val="24"/>
        </w:rPr>
        <w:t xml:space="preserve">Lungo, M., Smolka, M. 2005. </w:t>
      </w:r>
      <w:r w:rsidRPr="006671BD">
        <w:rPr>
          <w:rFonts w:ascii="Times New Roman" w:eastAsia="Times New Roman" w:hAnsi="Times New Roman" w:cs="Times New Roman"/>
          <w:i/>
          <w:iCs/>
          <w:sz w:val="24"/>
          <w:szCs w:val="24"/>
        </w:rPr>
        <w:t>Land Value and Large Urban Projects: The Latin American Experience</w:t>
      </w:r>
      <w:r w:rsidRPr="006671BD">
        <w:rPr>
          <w:rFonts w:ascii="Times New Roman" w:eastAsia="Times New Roman" w:hAnsi="Times New Roman" w:cs="Times New Roman"/>
          <w:sz w:val="24"/>
          <w:szCs w:val="24"/>
        </w:rPr>
        <w:t>. Land Lines series, Volume 17, Number 1. Cambridge, MA: Lincoln Institute of Land Policy.</w:t>
      </w:r>
    </w:p>
    <w:p w14:paraId="19982B0D" w14:textId="772D3B0B" w:rsidR="00573E1F" w:rsidRPr="006671BD" w:rsidRDefault="00D54FE2" w:rsidP="006671BD">
      <w:pPr>
        <w:spacing w:after="240" w:line="240" w:lineRule="auto"/>
        <w:outlineLvl w:val="1"/>
        <w:rPr>
          <w:rStyle w:val="Hyperlink"/>
          <w:rFonts w:ascii="Times New Roman" w:hAnsi="Times New Roman" w:cs="Times New Roman"/>
          <w:sz w:val="24"/>
          <w:szCs w:val="24"/>
          <w:lang w:val="pt-BR"/>
        </w:rPr>
      </w:pPr>
      <w:r w:rsidRPr="006671BD">
        <w:rPr>
          <w:rStyle w:val="author-name"/>
          <w:rFonts w:ascii="Times New Roman" w:hAnsi="Times New Roman" w:cs="Times New Roman"/>
          <w:sz w:val="24"/>
          <w:szCs w:val="24"/>
          <w:lang w:val="pt-BR"/>
        </w:rPr>
        <w:t xml:space="preserve">Oreiro, J. L. 2017. </w:t>
      </w:r>
      <w:r w:rsidRPr="006671BD">
        <w:rPr>
          <w:rFonts w:ascii="Times New Roman" w:eastAsia="Times New Roman" w:hAnsi="Times New Roman" w:cs="Times New Roman"/>
          <w:sz w:val="24"/>
          <w:szCs w:val="24"/>
          <w:lang w:val="pt-BR"/>
        </w:rPr>
        <w:t xml:space="preserve">A grande recessão brasileira: diagnóstico e uma agenda de política econômica. </w:t>
      </w:r>
      <w:r w:rsidRPr="006671BD">
        <w:rPr>
          <w:rFonts w:ascii="Times New Roman" w:hAnsi="Times New Roman" w:cs="Times New Roman"/>
          <w:i/>
          <w:sz w:val="24"/>
          <w:szCs w:val="24"/>
          <w:lang w:val="pt-BR"/>
        </w:rPr>
        <w:t>Estudos Avançados</w:t>
      </w:r>
      <w:r w:rsidRPr="006671BD">
        <w:rPr>
          <w:rFonts w:ascii="Times New Roman" w:hAnsi="Times New Roman" w:cs="Times New Roman"/>
          <w:b/>
          <w:sz w:val="24"/>
          <w:szCs w:val="24"/>
          <w:lang w:val="pt-BR"/>
        </w:rPr>
        <w:t xml:space="preserve">. </w:t>
      </w:r>
      <w:r w:rsidRPr="006671BD">
        <w:rPr>
          <w:rFonts w:ascii="Times New Roman" w:eastAsia="Times New Roman" w:hAnsi="Times New Roman" w:cs="Times New Roman"/>
          <w:bCs/>
          <w:sz w:val="24"/>
          <w:szCs w:val="24"/>
          <w:lang w:val="pt-BR"/>
        </w:rPr>
        <w:t>vol.31 no.89.</w:t>
      </w:r>
      <w:r w:rsidR="006671BD" w:rsidRPr="006671BD">
        <w:rPr>
          <w:rFonts w:ascii="Times New Roman" w:eastAsia="Times New Roman" w:hAnsi="Times New Roman" w:cs="Times New Roman"/>
          <w:bCs/>
          <w:sz w:val="24"/>
          <w:szCs w:val="24"/>
          <w:lang w:val="pt-BR"/>
        </w:rPr>
        <w:t xml:space="preserve"> Ver: </w:t>
      </w:r>
      <w:hyperlink r:id="rId43" w:history="1">
        <w:r w:rsidRPr="006671BD">
          <w:rPr>
            <w:rStyle w:val="Hyperlink"/>
            <w:rFonts w:ascii="Times New Roman" w:hAnsi="Times New Roman" w:cs="Times New Roman"/>
            <w:sz w:val="24"/>
            <w:szCs w:val="24"/>
            <w:lang w:val="pt-BR"/>
          </w:rPr>
          <w:t>http://www.scielo.br/scielo.php?script=sci_arttext&amp;pid=S0103-40142017000100075</w:t>
        </w:r>
      </w:hyperlink>
    </w:p>
    <w:p w14:paraId="6DF942E9" w14:textId="77777777" w:rsidR="0090341D" w:rsidRPr="006671BD" w:rsidRDefault="0090341D" w:rsidP="001146D6">
      <w:pPr>
        <w:autoSpaceDE w:val="0"/>
        <w:autoSpaceDN w:val="0"/>
        <w:adjustRightInd w:val="0"/>
        <w:spacing w:after="240" w:line="240" w:lineRule="auto"/>
        <w:rPr>
          <w:rFonts w:ascii="Times New Roman" w:hAnsi="Times New Roman" w:cs="Times New Roman"/>
          <w:i/>
          <w:sz w:val="24"/>
          <w:szCs w:val="24"/>
          <w:lang w:val="pt-BR"/>
        </w:rPr>
      </w:pPr>
      <w:r w:rsidRPr="006671BD">
        <w:rPr>
          <w:rFonts w:ascii="Times New Roman" w:hAnsi="Times New Roman" w:cs="Times New Roman"/>
          <w:sz w:val="24"/>
          <w:szCs w:val="24"/>
          <w:lang w:val="pt-BR"/>
        </w:rPr>
        <w:t xml:space="preserve">Paranacidade.  2013.  </w:t>
      </w:r>
      <w:r w:rsidRPr="006671BD">
        <w:rPr>
          <w:rFonts w:ascii="Times New Roman" w:hAnsi="Times New Roman" w:cs="Times New Roman"/>
          <w:i/>
          <w:sz w:val="24"/>
          <w:szCs w:val="24"/>
          <w:lang w:val="pt-BR"/>
        </w:rPr>
        <w:t>Plano de Ação Estratégica para 2014.</w:t>
      </w:r>
    </w:p>
    <w:p w14:paraId="0E88C3A8" w14:textId="77777777" w:rsidR="0090341D" w:rsidRPr="006671BD" w:rsidRDefault="0090341D" w:rsidP="001146D6">
      <w:pPr>
        <w:autoSpaceDE w:val="0"/>
        <w:autoSpaceDN w:val="0"/>
        <w:adjustRightInd w:val="0"/>
        <w:spacing w:after="240" w:line="240" w:lineRule="auto"/>
        <w:rPr>
          <w:rFonts w:ascii="Times New Roman" w:hAnsi="Times New Roman" w:cs="Times New Roman"/>
          <w:sz w:val="24"/>
          <w:szCs w:val="24"/>
          <w:lang w:val="pt-BR"/>
        </w:rPr>
      </w:pPr>
      <w:r w:rsidRPr="006671BD">
        <w:rPr>
          <w:rFonts w:ascii="Times New Roman" w:hAnsi="Times New Roman" w:cs="Times New Roman"/>
          <w:sz w:val="24"/>
          <w:szCs w:val="24"/>
          <w:lang w:val="pt-BR"/>
        </w:rPr>
        <w:t xml:space="preserve">Paraná, Estado de. 2017. </w:t>
      </w:r>
      <w:r w:rsidRPr="006671BD">
        <w:rPr>
          <w:rFonts w:ascii="Times New Roman" w:hAnsi="Times New Roman" w:cs="Times New Roman"/>
          <w:i/>
          <w:sz w:val="24"/>
          <w:szCs w:val="24"/>
          <w:lang w:val="pt-BR"/>
        </w:rPr>
        <w:t>Resumo Carta Consulta Nº 60345</w:t>
      </w:r>
      <w:r w:rsidRPr="006671BD">
        <w:rPr>
          <w:rFonts w:ascii="Times New Roman" w:hAnsi="Times New Roman" w:cs="Times New Roman"/>
          <w:sz w:val="24"/>
          <w:szCs w:val="24"/>
          <w:lang w:val="pt-BR"/>
        </w:rPr>
        <w:t>. Ministério do Planejamento, Desenvolvimento e Gestão, Secretaria de Assuntos Internacionais – SEAIN.  25/09/2017.</w:t>
      </w:r>
    </w:p>
    <w:p w14:paraId="30513751" w14:textId="7B377533" w:rsidR="004E0D24" w:rsidRPr="006671BD" w:rsidRDefault="004E0D24" w:rsidP="001146D6">
      <w:pPr>
        <w:autoSpaceDE w:val="0"/>
        <w:autoSpaceDN w:val="0"/>
        <w:adjustRightInd w:val="0"/>
        <w:spacing w:after="240" w:line="240" w:lineRule="auto"/>
        <w:rPr>
          <w:rFonts w:ascii="Times New Roman" w:hAnsi="Times New Roman" w:cs="Times New Roman"/>
          <w:sz w:val="24"/>
          <w:szCs w:val="24"/>
          <w:lang w:val="pt-BR"/>
        </w:rPr>
      </w:pPr>
      <w:r w:rsidRPr="006671BD">
        <w:rPr>
          <w:rFonts w:ascii="Times New Roman" w:hAnsi="Times New Roman" w:cs="Times New Roman"/>
          <w:sz w:val="24"/>
          <w:szCs w:val="24"/>
          <w:lang w:val="pt-BR"/>
        </w:rPr>
        <w:t xml:space="preserve">Silva, Isabella F.  2010.  </w:t>
      </w:r>
      <w:r w:rsidRPr="006671BD">
        <w:rPr>
          <w:rFonts w:ascii="Times New Roman" w:hAnsi="Times New Roman" w:cs="Times New Roman"/>
          <w:i/>
          <w:sz w:val="24"/>
          <w:szCs w:val="24"/>
          <w:lang w:val="pt-BR"/>
        </w:rPr>
        <w:t>Covered Bond: Alternativa de funding para o mercado imobiliário brasileiro?</w:t>
      </w:r>
      <w:r w:rsidRPr="006671BD">
        <w:rPr>
          <w:rFonts w:ascii="Times New Roman" w:hAnsi="Times New Roman" w:cs="Times New Roman"/>
          <w:sz w:val="24"/>
          <w:szCs w:val="24"/>
          <w:lang w:val="pt-BR"/>
        </w:rPr>
        <w:t xml:space="preserve"> III Prêmio Abecip de Monografias em Crédito Imobiliário e Poupança. 2010.</w:t>
      </w:r>
    </w:p>
    <w:p w14:paraId="36C3E3E3" w14:textId="6F797D2F" w:rsidR="00B35C49" w:rsidRPr="006671BD" w:rsidRDefault="00B70C8A" w:rsidP="001146D6">
      <w:pPr>
        <w:autoSpaceDE w:val="0"/>
        <w:autoSpaceDN w:val="0"/>
        <w:adjustRightInd w:val="0"/>
        <w:spacing w:after="240" w:line="240" w:lineRule="auto"/>
        <w:rPr>
          <w:rFonts w:ascii="Times New Roman" w:hAnsi="Times New Roman" w:cs="Times New Roman"/>
          <w:sz w:val="24"/>
          <w:szCs w:val="24"/>
        </w:rPr>
      </w:pPr>
      <w:r w:rsidRPr="006671BD">
        <w:rPr>
          <w:rFonts w:ascii="Times New Roman" w:hAnsi="Times New Roman" w:cs="Times New Roman"/>
          <w:sz w:val="24"/>
          <w:szCs w:val="24"/>
          <w:lang w:val="pt-BR"/>
        </w:rPr>
        <w:t xml:space="preserve">Silva, Jussara M. e Gislene Pereira, 2014. </w:t>
      </w:r>
      <w:r w:rsidRPr="006671BD">
        <w:rPr>
          <w:rFonts w:ascii="Times New Roman" w:hAnsi="Times New Roman" w:cs="Times New Roman"/>
          <w:i/>
          <w:sz w:val="24"/>
          <w:szCs w:val="24"/>
          <w:lang w:val="pt-BR"/>
        </w:rPr>
        <w:t>Contribuição de Melhoria d</w:t>
      </w:r>
      <w:r w:rsidR="00F06280" w:rsidRPr="006671BD">
        <w:rPr>
          <w:rFonts w:ascii="Times New Roman" w:hAnsi="Times New Roman" w:cs="Times New Roman"/>
          <w:i/>
          <w:sz w:val="24"/>
          <w:szCs w:val="24"/>
          <w:lang w:val="pt-BR"/>
        </w:rPr>
        <w:t>e</w:t>
      </w:r>
      <w:r w:rsidRPr="006671BD">
        <w:rPr>
          <w:rFonts w:ascii="Times New Roman" w:hAnsi="Times New Roman" w:cs="Times New Roman"/>
          <w:i/>
          <w:sz w:val="24"/>
          <w:szCs w:val="24"/>
          <w:lang w:val="pt-BR"/>
        </w:rPr>
        <w:t xml:space="preserve"> Maringá: Processo e Resultados.</w:t>
      </w:r>
      <w:r w:rsidRPr="006671BD">
        <w:rPr>
          <w:rFonts w:ascii="Times New Roman" w:hAnsi="Times New Roman" w:cs="Times New Roman"/>
          <w:sz w:val="24"/>
          <w:szCs w:val="24"/>
          <w:lang w:val="pt-BR"/>
        </w:rPr>
        <w:t xml:space="preserve">  </w:t>
      </w:r>
      <w:r w:rsidRPr="006671BD">
        <w:rPr>
          <w:rFonts w:ascii="Times New Roman" w:hAnsi="Times New Roman" w:cs="Times New Roman"/>
          <w:sz w:val="24"/>
          <w:szCs w:val="24"/>
        </w:rPr>
        <w:t>Working paper.  Lincoln Institute of Land Policy.</w:t>
      </w:r>
      <w:r w:rsidR="00756F2E" w:rsidRPr="006671BD">
        <w:rPr>
          <w:rFonts w:ascii="Times New Roman" w:hAnsi="Times New Roman" w:cs="Times New Roman"/>
          <w:sz w:val="24"/>
          <w:szCs w:val="24"/>
        </w:rPr>
        <w:t xml:space="preserve">  Ver:</w:t>
      </w:r>
      <w:r w:rsidRPr="006671BD">
        <w:rPr>
          <w:rFonts w:ascii="Times New Roman" w:hAnsi="Times New Roman" w:cs="Times New Roman"/>
          <w:sz w:val="24"/>
          <w:szCs w:val="24"/>
        </w:rPr>
        <w:cr/>
      </w:r>
      <w:r w:rsidR="00756F2E" w:rsidRPr="006671BD">
        <w:rPr>
          <w:rFonts w:ascii="Times New Roman" w:hAnsi="Times New Roman" w:cs="Times New Roman"/>
          <w:sz w:val="24"/>
          <w:szCs w:val="24"/>
        </w:rPr>
        <w:t xml:space="preserve"> </w:t>
      </w:r>
      <w:hyperlink r:id="rId44" w:history="1">
        <w:r w:rsidR="00A1334D" w:rsidRPr="006671BD">
          <w:rPr>
            <w:rStyle w:val="Hyperlink"/>
            <w:rFonts w:ascii="Times New Roman" w:hAnsi="Times New Roman" w:cs="Times New Roman"/>
            <w:sz w:val="24"/>
            <w:szCs w:val="24"/>
          </w:rPr>
          <w:t>http://www.lincolninst.edu/pubs/2382_Recupera%C3%A7%C3%A3o-de-Mais-Valias-Urbanas-por-meio-de-Contribui%C3%A7%C3%A3o-de-Melhoria</w:t>
        </w:r>
      </w:hyperlink>
      <w:r w:rsidR="00A1334D" w:rsidRPr="006671BD">
        <w:rPr>
          <w:rFonts w:ascii="Times New Roman" w:hAnsi="Times New Roman" w:cs="Times New Roman"/>
          <w:sz w:val="24"/>
          <w:szCs w:val="24"/>
        </w:rPr>
        <w:t xml:space="preserve"> </w:t>
      </w:r>
    </w:p>
    <w:p w14:paraId="0B7B1E08" w14:textId="77777777" w:rsidR="00EF083D" w:rsidRPr="00EF083D" w:rsidRDefault="00EF083D" w:rsidP="00EF083D">
      <w:pPr>
        <w:autoSpaceDE w:val="0"/>
        <w:autoSpaceDN w:val="0"/>
        <w:adjustRightInd w:val="0"/>
        <w:spacing w:before="240"/>
        <w:rPr>
          <w:rFonts w:ascii="Times New Roman" w:hAnsi="Times New Roman" w:cs="Times New Roman"/>
          <w:sz w:val="24"/>
          <w:szCs w:val="24"/>
        </w:rPr>
      </w:pPr>
      <w:bookmarkStart w:id="29" w:name="_Hlk513569827"/>
      <w:r w:rsidRPr="00EF083D">
        <w:rPr>
          <w:rFonts w:ascii="Times New Roman" w:hAnsi="Times New Roman" w:cs="Times New Roman"/>
          <w:sz w:val="24"/>
          <w:szCs w:val="24"/>
        </w:rPr>
        <w:t xml:space="preserve">Smolka, M. (1992). </w:t>
      </w:r>
      <w:r w:rsidRPr="00EF083D">
        <w:rPr>
          <w:rFonts w:ascii="Times New Roman" w:hAnsi="Times New Roman" w:cs="Times New Roman"/>
          <w:i/>
          <w:sz w:val="24"/>
          <w:szCs w:val="24"/>
        </w:rPr>
        <w:t>Bridging conceptual and methodological issues in the study of second-hand property markets in Rio de Janeiro, Brazil</w:t>
      </w:r>
      <w:r w:rsidRPr="00EF083D">
        <w:rPr>
          <w:rFonts w:ascii="Times New Roman" w:hAnsi="Times New Roman" w:cs="Times New Roman"/>
          <w:sz w:val="24"/>
          <w:szCs w:val="24"/>
        </w:rPr>
        <w:t>. In G. Jones and P. M. Ward (eds.), Methodology for Land and Housing Market Analysis. Cambridge, MA: Lincoln Institute of Land Policy</w:t>
      </w:r>
    </w:p>
    <w:p w14:paraId="0D3BD920" w14:textId="5EAC0779" w:rsidR="00EF083D" w:rsidRPr="00EF083D" w:rsidRDefault="00EF083D" w:rsidP="00EF083D">
      <w:pPr>
        <w:autoSpaceDE w:val="0"/>
        <w:autoSpaceDN w:val="0"/>
        <w:adjustRightInd w:val="0"/>
        <w:spacing w:before="240"/>
        <w:rPr>
          <w:rFonts w:ascii="Times New Roman" w:hAnsi="Times New Roman" w:cs="Times New Roman"/>
          <w:sz w:val="24"/>
          <w:szCs w:val="24"/>
        </w:rPr>
      </w:pPr>
      <w:r w:rsidRPr="00EF083D">
        <w:rPr>
          <w:rFonts w:ascii="Times New Roman" w:hAnsi="Times New Roman" w:cs="Times New Roman"/>
          <w:sz w:val="24"/>
          <w:szCs w:val="24"/>
        </w:rPr>
        <w:t xml:space="preserve">———. (2003). Informality, urban poverty and land market prices. </w:t>
      </w:r>
      <w:r w:rsidRPr="00EF083D">
        <w:rPr>
          <w:rFonts w:ascii="Times New Roman" w:hAnsi="Times New Roman" w:cs="Times New Roman"/>
          <w:i/>
          <w:sz w:val="24"/>
          <w:szCs w:val="24"/>
        </w:rPr>
        <w:t>Land Lines</w:t>
      </w:r>
      <w:r w:rsidRPr="00EF083D">
        <w:rPr>
          <w:rFonts w:ascii="Times New Roman" w:hAnsi="Times New Roman" w:cs="Times New Roman"/>
          <w:sz w:val="24"/>
          <w:szCs w:val="24"/>
        </w:rPr>
        <w:t>, 15 (1) 4 - 7. Cambridge, MA: Lincoln Institute of Land Policy.</w:t>
      </w:r>
    </w:p>
    <w:p w14:paraId="4C05474A" w14:textId="77777777" w:rsidR="00EF083D" w:rsidRPr="00EF083D" w:rsidRDefault="00EF083D" w:rsidP="00EF083D">
      <w:pPr>
        <w:autoSpaceDE w:val="0"/>
        <w:autoSpaceDN w:val="0"/>
        <w:adjustRightInd w:val="0"/>
        <w:spacing w:before="240"/>
        <w:rPr>
          <w:rFonts w:ascii="Times New Roman" w:hAnsi="Times New Roman" w:cs="Times New Roman"/>
          <w:sz w:val="24"/>
          <w:szCs w:val="24"/>
        </w:rPr>
      </w:pPr>
      <w:r w:rsidRPr="00EF083D">
        <w:rPr>
          <w:rFonts w:ascii="Times New Roman" w:hAnsi="Times New Roman" w:cs="Times New Roman"/>
          <w:sz w:val="24"/>
          <w:szCs w:val="24"/>
          <w:lang w:val="es-CO"/>
        </w:rPr>
        <w:t xml:space="preserve">———. (2013). </w:t>
      </w:r>
      <w:r w:rsidRPr="00EF083D">
        <w:rPr>
          <w:rFonts w:ascii="Times New Roman" w:hAnsi="Times New Roman" w:cs="Times New Roman"/>
          <w:i/>
          <w:sz w:val="24"/>
          <w:szCs w:val="24"/>
          <w:lang w:val="es-CO"/>
        </w:rPr>
        <w:t>Implementación de la Recuperación de Plusvalías en América Latina: Políticas e Instrumentos para el Desarrollo Urbano</w:t>
      </w:r>
      <w:r w:rsidRPr="00EF083D">
        <w:rPr>
          <w:rFonts w:ascii="Times New Roman" w:hAnsi="Times New Roman" w:cs="Times New Roman"/>
          <w:sz w:val="24"/>
          <w:szCs w:val="24"/>
          <w:lang w:val="es-CO"/>
        </w:rPr>
        <w:t xml:space="preserve">. </w:t>
      </w:r>
      <w:r w:rsidRPr="00EF083D">
        <w:rPr>
          <w:rFonts w:ascii="Times New Roman" w:hAnsi="Times New Roman" w:cs="Times New Roman"/>
          <w:sz w:val="24"/>
          <w:szCs w:val="24"/>
        </w:rPr>
        <w:t>Cambridge, MA: Lincoln Institute of Land Policy. See:</w:t>
      </w:r>
    </w:p>
    <w:p w14:paraId="4F9FB18E" w14:textId="462A441B" w:rsidR="00EF083D" w:rsidRDefault="00EF083D" w:rsidP="00EF083D">
      <w:pPr>
        <w:spacing w:before="240" w:after="240"/>
        <w:contextualSpacing/>
        <w:rPr>
          <w:rFonts w:ascii="Times New Roman" w:hAnsi="Times New Roman" w:cs="Times New Roman"/>
        </w:rPr>
      </w:pPr>
      <w:r w:rsidRPr="002457C0">
        <w:rPr>
          <w:rStyle w:val="shorttext"/>
          <w:rFonts w:ascii="Times New Roman" w:hAnsi="Times New Roman" w:cs="Times New Roman"/>
        </w:rPr>
        <w:t>Espanhol</w:t>
      </w:r>
      <w:r w:rsidRPr="002457C0">
        <w:rPr>
          <w:rFonts w:ascii="Times New Roman" w:hAnsi="Times New Roman" w:cs="Times New Roman"/>
        </w:rPr>
        <w:t>:</w:t>
      </w:r>
      <w:r w:rsidRPr="002457C0">
        <w:rPr>
          <w:rFonts w:ascii="Times New Roman" w:hAnsi="Times New Roman" w:cs="Times New Roman"/>
          <w:vanish/>
        </w:rPr>
        <w:t xml:space="preserve"> </w:t>
      </w:r>
      <w:hyperlink r:id="rId45" w:history="1">
        <w:r w:rsidRPr="002457C0">
          <w:rPr>
            <w:rStyle w:val="Hyperlink"/>
            <w:rFonts w:ascii="Times New Roman" w:hAnsi="Times New Roman" w:cs="Times New Roman"/>
          </w:rPr>
          <w:t>http://www.lincolninst.edu/pubs/2349_Implementaci%C3%B3n-de-la-recuperaci%C3%B3n-de-plusval%C3%ADas-en-Am%C3%A9rica-Latina</w:t>
        </w:r>
      </w:hyperlink>
      <w:r w:rsidRPr="002457C0">
        <w:rPr>
          <w:rFonts w:ascii="Times New Roman" w:hAnsi="Times New Roman" w:cs="Times New Roman"/>
        </w:rPr>
        <w:t xml:space="preserve">   </w:t>
      </w:r>
    </w:p>
    <w:p w14:paraId="5E839B85" w14:textId="77777777" w:rsidR="00EF083D" w:rsidRPr="002457C0" w:rsidRDefault="00EF083D" w:rsidP="00EF083D">
      <w:pPr>
        <w:spacing w:before="240" w:after="240"/>
        <w:contextualSpacing/>
        <w:rPr>
          <w:rFonts w:ascii="Times New Roman" w:hAnsi="Times New Roman" w:cs="Times New Roman"/>
          <w:vanish/>
        </w:rPr>
      </w:pPr>
    </w:p>
    <w:p w14:paraId="3C6B7605" w14:textId="374A0A50" w:rsidR="00EF083D" w:rsidRPr="002457C0" w:rsidRDefault="00EF083D" w:rsidP="00EF083D">
      <w:pPr>
        <w:spacing w:before="240" w:after="240"/>
        <w:contextualSpacing/>
        <w:rPr>
          <w:rFonts w:ascii="Times New Roman" w:hAnsi="Times New Roman" w:cs="Times New Roman"/>
          <w:lang w:val="pt-BR"/>
        </w:rPr>
      </w:pPr>
      <w:r w:rsidRPr="002457C0">
        <w:rPr>
          <w:rFonts w:ascii="Times New Roman" w:hAnsi="Times New Roman" w:cs="Times New Roman"/>
          <w:lang w:val="pt-BR"/>
        </w:rPr>
        <w:t>Inglês</w:t>
      </w:r>
      <w:r w:rsidRPr="002457C0">
        <w:rPr>
          <w:rFonts w:ascii="Times New Roman" w:hAnsi="Times New Roman" w:cs="Times New Roman"/>
          <w:lang w:val="pt-BR"/>
        </w:rPr>
        <w:t xml:space="preserve">: </w:t>
      </w:r>
      <w:r w:rsidRPr="002457C0">
        <w:rPr>
          <w:rFonts w:ascii="Times New Roman" w:hAnsi="Times New Roman" w:cs="Times New Roman"/>
          <w:vanish/>
          <w:lang w:val="pt-BR"/>
        </w:rPr>
        <w:t xml:space="preserve"> </w:t>
      </w:r>
      <w:hyperlink r:id="rId46" w:history="1">
        <w:r w:rsidRPr="002457C0">
          <w:rPr>
            <w:rStyle w:val="Hyperlink"/>
            <w:rFonts w:ascii="Times New Roman" w:hAnsi="Times New Roman" w:cs="Times New Roman"/>
            <w:lang w:val="pt-BR"/>
          </w:rPr>
          <w:t>http://www.lincolninst.edu/pubs/2244_Implementing-Value-Capture-in-Latin-America</w:t>
        </w:r>
      </w:hyperlink>
      <w:r w:rsidRPr="002457C0">
        <w:rPr>
          <w:rFonts w:ascii="Times New Roman" w:hAnsi="Times New Roman" w:cs="Times New Roman"/>
          <w:lang w:val="pt-BR"/>
        </w:rPr>
        <w:t xml:space="preserve">   </w:t>
      </w:r>
      <w:r w:rsidRPr="002457C0">
        <w:rPr>
          <w:rFonts w:ascii="Times New Roman" w:hAnsi="Times New Roman" w:cs="Times New Roman"/>
        </w:rPr>
        <w:fldChar w:fldCharType="begin"/>
      </w:r>
      <w:hyperlink r:id="rId47" w:history="1">
        <w:r w:rsidRPr="002457C0">
          <w:rPr>
            <w:rFonts w:ascii="Times New Roman" w:hAnsi="Times New Roman" w:cs="Times New Roman"/>
            <w:vanish/>
            <w:color w:val="0000FF"/>
            <w:u w:val="single"/>
            <w:lang w:val="pt-BR"/>
          </w:rPr>
          <w:instrText>http://www.lincolninst.edu/pubs/2244_Implementing-Value-Capture-in-Latin-America</w:instrText>
        </w:r>
        <w:r w:rsidRPr="002457C0">
          <w:rPr>
            <w:rFonts w:ascii="Times New Roman" w:hAnsi="Times New Roman" w:cs="Times New Roman"/>
            <w:color w:val="0000FF"/>
            <w:u w:val="single"/>
            <w:lang w:val="pt-BR"/>
          </w:rPr>
          <w:instrText>http://www.lincolninst.edu/pubs/2244_Implementing-Value-Capture-in-Latin-America</w:instrText>
        </w:r>
        <w:r w:rsidRPr="002457C0">
          <w:rPr>
            <w:rFonts w:ascii="Times New Roman" w:hAnsi="Times New Roman" w:cs="Times New Roman"/>
            <w:vanish/>
            <w:lang w:val="pt-BR"/>
          </w:rPr>
          <w:instrText xml:space="preserve">   Spanish: </w:instrText>
        </w:r>
      </w:hyperlink>
      <w:r w:rsidRPr="002457C0">
        <w:rPr>
          <w:rFonts w:ascii="Times New Roman" w:hAnsi="Times New Roman" w:cs="Times New Roman"/>
          <w:lang w:val="pt-BR"/>
        </w:rPr>
        <w:instrText xml:space="preserve">   Spanish: </w:instrText>
      </w:r>
      <w:r w:rsidRPr="002457C0">
        <w:rPr>
          <w:rFonts w:ascii="Times New Roman" w:hAnsi="Times New Roman" w:cs="Times New Roman"/>
        </w:rPr>
        <w:fldChar w:fldCharType="begin"/>
      </w:r>
      <w:hyperlink r:id="rId48" w:history="1">
        <w:r w:rsidRPr="002457C0">
          <w:rPr>
            <w:rFonts w:ascii="Times New Roman" w:hAnsi="Times New Roman" w:cs="Times New Roman"/>
            <w:vanish/>
            <w:color w:val="0000FF"/>
            <w:u w:val="single"/>
            <w:lang w:val="pt-BR"/>
          </w:rPr>
          <w:instrText>http://www.lincolninst.edu/pubs/2349_Implementaci%C3%B3n-de-la-recuperaci%C3%B3n-de-plusval%C3%ADas-en-Am%C3%A9rica-Latina</w:instrText>
        </w:r>
        <w:r w:rsidRPr="002457C0">
          <w:rPr>
            <w:rFonts w:ascii="Times New Roman" w:hAnsi="Times New Roman" w:cs="Times New Roman"/>
            <w:color w:val="0000FF"/>
            <w:u w:val="single"/>
            <w:lang w:val="pt-BR"/>
          </w:rPr>
          <w:instrText>http://www.lincolninst.edu/pubs/2349_Implementaci%C3%B3n-de-la-recuperaci%C3%B3n-de-plusval%C3%ADas-en-Am%C3%A9rica-Latina</w:instrText>
        </w:r>
        <w:r w:rsidRPr="002457C0">
          <w:rPr>
            <w:rFonts w:ascii="Times New Roman" w:hAnsi="Times New Roman" w:cs="Times New Roman"/>
            <w:vanish/>
            <w:lang w:val="pt-BR"/>
          </w:rPr>
          <w:instrText xml:space="preserve">   </w:instrText>
        </w:r>
        <w:r w:rsidRPr="002457C0">
          <w:rPr>
            <w:rStyle w:val="tw4winMark"/>
            <w:rFonts w:ascii="Times New Roman" w:hAnsi="Times New Roman" w:cs="Times New Roman"/>
            <w:sz w:val="22"/>
            <w:lang w:val="pt-BR"/>
          </w:rPr>
          <w:instrText>&lt;}0{&gt;</w:instrText>
        </w:r>
        <w:r w:rsidRPr="002457C0">
          <w:rPr>
            <w:rFonts w:ascii="Times New Roman" w:hAnsi="Times New Roman" w:cs="Times New Roman"/>
            <w:lang w:val="pt-BR"/>
          </w:rPr>
          <w:instrText xml:space="preserve">Smolka, M. (2013). </w:instrText>
        </w:r>
        <w:r w:rsidRPr="002457C0">
          <w:rPr>
            <w:rFonts w:ascii="Times New Roman" w:hAnsi="Times New Roman" w:cs="Times New Roman"/>
            <w:i/>
            <w:iCs/>
            <w:lang w:val="pt-BR"/>
          </w:rPr>
          <w:instrText>Implementing value capture in Latin America: policies and instruments for urban development.</w:instrText>
        </w:r>
        <w:r w:rsidRPr="002457C0">
          <w:rPr>
            <w:rFonts w:ascii="Times New Roman" w:hAnsi="Times New Roman" w:cs="Times New Roman"/>
            <w:lang w:val="pt-BR"/>
          </w:rPr>
          <w:instrText xml:space="preserve">. Cambridge, MA: Lincoln Institute of Land Policy. Available at: English: </w:instrText>
        </w:r>
      </w:hyperlink>
      <w:r w:rsidRPr="002457C0">
        <w:rPr>
          <w:rFonts w:ascii="Times New Roman" w:hAnsi="Times New Roman" w:cs="Times New Roman"/>
          <w:lang w:val="pt-BR"/>
        </w:rPr>
        <w:instrText xml:space="preserve">   </w:instrText>
      </w:r>
      <w:r w:rsidRPr="002457C0">
        <w:rPr>
          <w:rStyle w:val="tw4winMark"/>
          <w:rFonts w:ascii="Times New Roman" w:hAnsi="Times New Roman" w:cs="Times New Roman"/>
          <w:sz w:val="22"/>
          <w:lang w:val="pt-BR"/>
        </w:rPr>
        <w:instrText>&lt;0}</w:instrText>
      </w:r>
      <w:r w:rsidRPr="002457C0">
        <w:rPr>
          <w:rFonts w:ascii="Times New Roman" w:hAnsi="Times New Roman" w:cs="Times New Roman"/>
        </w:rPr>
        <w:fldChar w:fldCharType="end"/>
      </w:r>
      <w:r w:rsidRPr="002457C0">
        <w:rPr>
          <w:rFonts w:ascii="Times New Roman" w:hAnsi="Times New Roman" w:cs="Times New Roman"/>
        </w:rPr>
        <w:fldChar w:fldCharType="end"/>
      </w:r>
    </w:p>
    <w:p w14:paraId="019B842C" w14:textId="4C938F3F" w:rsidR="00EF083D" w:rsidRPr="002457C0" w:rsidRDefault="00EF083D" w:rsidP="00EF083D">
      <w:pPr>
        <w:spacing w:before="240" w:after="240"/>
        <w:rPr>
          <w:rFonts w:ascii="Times New Roman" w:hAnsi="Times New Roman" w:cs="Times New Roman"/>
          <w:lang w:val="pt-BR"/>
        </w:rPr>
      </w:pPr>
      <w:r w:rsidRPr="002457C0">
        <w:rPr>
          <w:rFonts w:ascii="Times New Roman" w:hAnsi="Times New Roman" w:cs="Times New Roman"/>
          <w:lang w:val="pt-BR"/>
        </w:rPr>
        <w:t>Português</w:t>
      </w:r>
      <w:r w:rsidRPr="002457C0">
        <w:rPr>
          <w:rFonts w:ascii="Times New Roman" w:hAnsi="Times New Roman" w:cs="Times New Roman"/>
          <w:lang w:val="pt-BR"/>
        </w:rPr>
        <w:t xml:space="preserve">:  </w:t>
      </w:r>
      <w:r w:rsidRPr="002457C0">
        <w:rPr>
          <w:rFonts w:ascii="Times New Roman" w:hAnsi="Times New Roman" w:cs="Times New Roman"/>
          <w:vanish/>
          <w:lang w:val="pt-BR"/>
        </w:rPr>
        <w:t xml:space="preserve">es: </w:t>
      </w:r>
      <w:hyperlink r:id="rId49" w:history="1">
        <w:r w:rsidRPr="002457C0">
          <w:rPr>
            <w:rStyle w:val="Hyperlink"/>
            <w:rFonts w:ascii="Times New Roman" w:hAnsi="Times New Roman" w:cs="Times New Roman"/>
            <w:lang w:val="pt-BR"/>
          </w:rPr>
          <w:t>http://www.lincolninst.edu/pubs/2489_Recupera%C3%A7%C3%A3o-de-Mais-Valias-Fundi%C3%A1rias-na-Am%C3%A9rica-Latina</w:t>
        </w:r>
      </w:hyperlink>
      <w:r w:rsidRPr="002457C0">
        <w:rPr>
          <w:rFonts w:ascii="Times New Roman" w:hAnsi="Times New Roman" w:cs="Times New Roman"/>
        </w:rPr>
        <w:fldChar w:fldCharType="begin"/>
      </w:r>
      <w:hyperlink r:id="rId50" w:history="1">
        <w:r w:rsidRPr="002457C0">
          <w:rPr>
            <w:rFonts w:ascii="Times New Roman" w:hAnsi="Times New Roman" w:cs="Times New Roman"/>
            <w:vanish/>
            <w:color w:val="0000FF"/>
            <w:u w:val="single"/>
            <w:lang w:val="pt-BR"/>
          </w:rPr>
          <w:instrText>http://www.lincolninst.edu/pubs/2489_Recupera%C3%A7%C3%A3o-de-Mais-Valias-Fundi%C3%A1rias-na-Am%C3%A9rica-Latina</w:instrText>
        </w:r>
        <w:r w:rsidRPr="002457C0">
          <w:rPr>
            <w:rFonts w:ascii="Times New Roman" w:hAnsi="Times New Roman" w:cs="Times New Roman"/>
            <w:color w:val="0000FF"/>
            <w:u w:val="single"/>
            <w:lang w:val="pt-BR"/>
          </w:rPr>
          <w:instrText>http://www.lincolninst.edu/pubs/2489_Recupera%C3%A7%C3%A3o-de-Mais-Valias-Fundi%C3%A1rias-na-Am%C3%A9rica-Latina</w:instrText>
        </w:r>
        <w:r w:rsidRPr="002457C0">
          <w:rPr>
            <w:rStyle w:val="tw4winMark"/>
            <w:rFonts w:ascii="Times New Roman" w:hAnsi="Times New Roman" w:cs="Times New Roman"/>
            <w:sz w:val="22"/>
            <w:lang w:val="pt-BR"/>
          </w:rPr>
          <w:instrText>&lt;}0{&gt;</w:instrText>
        </w:r>
        <w:r w:rsidRPr="002457C0">
          <w:rPr>
            <w:rFonts w:ascii="Times New Roman" w:hAnsi="Times New Roman" w:cs="Times New Roman"/>
            <w:lang w:val="pt-BR"/>
          </w:rPr>
          <w:instrText xml:space="preserve">Portuguese: </w:instrText>
        </w:r>
      </w:hyperlink>
      <w:r w:rsidRPr="002457C0">
        <w:rPr>
          <w:rStyle w:val="tw4winMark"/>
          <w:rFonts w:ascii="Times New Roman" w:hAnsi="Times New Roman" w:cs="Times New Roman"/>
          <w:sz w:val="22"/>
          <w:lang w:val="pt-BR"/>
        </w:rPr>
        <w:instrText>&lt;0}</w:instrText>
      </w:r>
      <w:r w:rsidRPr="002457C0">
        <w:rPr>
          <w:rFonts w:ascii="Times New Roman" w:hAnsi="Times New Roman" w:cs="Times New Roman"/>
        </w:rPr>
        <w:fldChar w:fldCharType="end"/>
      </w:r>
    </w:p>
    <w:bookmarkEnd w:id="29"/>
    <w:p w14:paraId="50ECFDC6" w14:textId="19E45CF0" w:rsidR="009E3DA1" w:rsidRPr="006671BD" w:rsidRDefault="00EF083D" w:rsidP="001146D6">
      <w:pPr>
        <w:spacing w:after="240" w:line="240" w:lineRule="auto"/>
        <w:rPr>
          <w:rFonts w:ascii="Times New Roman" w:hAnsi="Times New Roman" w:cs="Times New Roman"/>
          <w:sz w:val="24"/>
          <w:szCs w:val="24"/>
          <w:lang w:val="pt-BR"/>
        </w:rPr>
      </w:pPr>
      <w:r w:rsidRPr="00EF083D" w:rsidDel="007034F9">
        <w:rPr>
          <w:rFonts w:ascii="Times New Roman" w:hAnsi="Times New Roman" w:cs="Times New Roman"/>
          <w:sz w:val="24"/>
          <w:szCs w:val="24"/>
          <w:lang w:val="pt-BR"/>
        </w:rPr>
        <w:t xml:space="preserve"> </w:t>
      </w:r>
      <w:r w:rsidR="009E3DA1" w:rsidRPr="006671BD">
        <w:rPr>
          <w:rFonts w:ascii="Times New Roman" w:hAnsi="Times New Roman" w:cs="Times New Roman"/>
          <w:snapToGrid w:val="0"/>
          <w:sz w:val="24"/>
          <w:szCs w:val="24"/>
          <w:lang w:val="pt-BR"/>
        </w:rPr>
        <w:t xml:space="preserve">STN (Secretaria do Tesouro Nacional). </w:t>
      </w:r>
      <w:r w:rsidR="009E3DA1" w:rsidRPr="006671BD">
        <w:rPr>
          <w:rFonts w:ascii="Times New Roman" w:hAnsi="Times New Roman" w:cs="Times New Roman"/>
          <w:sz w:val="24"/>
          <w:szCs w:val="24"/>
          <w:lang w:val="pt-BR"/>
        </w:rPr>
        <w:t xml:space="preserve">2012. </w:t>
      </w:r>
      <w:r w:rsidR="009E3DA1" w:rsidRPr="006671BD">
        <w:rPr>
          <w:rFonts w:ascii="Times New Roman" w:hAnsi="Times New Roman" w:cs="Times New Roman"/>
          <w:i/>
          <w:sz w:val="24"/>
          <w:szCs w:val="24"/>
          <w:lang w:val="pt-BR"/>
        </w:rPr>
        <w:t>Manual de Contabilidade Aplicada ao Setor Público Parte II – Procedimentos Contábeis Patrimoniais: Aplicado à União, Estados, Distrito Federal e Municípios</w:t>
      </w:r>
      <w:r w:rsidR="009E3DA1" w:rsidRPr="006671BD">
        <w:rPr>
          <w:rFonts w:ascii="Times New Roman" w:hAnsi="Times New Roman" w:cs="Times New Roman"/>
          <w:sz w:val="24"/>
          <w:szCs w:val="24"/>
          <w:lang w:val="pt-BR"/>
        </w:rPr>
        <w:t xml:space="preserve">. Válido para o exercício de 2013. Portaria STN nº 437/2012. 5a edição. Ministério da Fazenda. Secretaria do Tesouro Nacional.  </w:t>
      </w:r>
      <w:r w:rsidR="00F06280" w:rsidRPr="006671BD">
        <w:rPr>
          <w:rFonts w:ascii="Times New Roman" w:hAnsi="Times New Roman" w:cs="Times New Roman"/>
          <w:sz w:val="24"/>
          <w:szCs w:val="24"/>
          <w:lang w:val="pt-BR"/>
        </w:rPr>
        <w:t>Ver</w:t>
      </w:r>
      <w:r w:rsidR="009E3DA1" w:rsidRPr="006671BD">
        <w:rPr>
          <w:rFonts w:ascii="Times New Roman" w:hAnsi="Times New Roman" w:cs="Times New Roman"/>
          <w:sz w:val="24"/>
          <w:szCs w:val="24"/>
          <w:lang w:val="pt-BR"/>
        </w:rPr>
        <w:t>:  http://www.tce.ro.gov.br/arquivos//Downloads/IEP-MCASP-19-08-12-21-57-08.pdf</w:t>
      </w:r>
    </w:p>
    <w:p w14:paraId="53DD64C5" w14:textId="77777777" w:rsidR="00D91C24" w:rsidRPr="006671BD" w:rsidRDefault="009E3DA1" w:rsidP="001146D6">
      <w:pPr>
        <w:widowControl w:val="0"/>
        <w:overflowPunct w:val="0"/>
        <w:autoSpaceDE w:val="0"/>
        <w:autoSpaceDN w:val="0"/>
        <w:adjustRightInd w:val="0"/>
        <w:spacing w:after="240" w:line="240" w:lineRule="auto"/>
        <w:rPr>
          <w:rFonts w:ascii="Times New Roman" w:hAnsi="Times New Roman" w:cs="Times New Roman"/>
          <w:snapToGrid w:val="0"/>
          <w:sz w:val="24"/>
          <w:szCs w:val="24"/>
          <w:lang w:val="pt-BR"/>
        </w:rPr>
      </w:pPr>
      <w:r w:rsidRPr="006671BD">
        <w:rPr>
          <w:rFonts w:ascii="Times New Roman" w:hAnsi="Times New Roman" w:cs="Times New Roman"/>
          <w:snapToGrid w:val="0"/>
          <w:sz w:val="24"/>
          <w:szCs w:val="24"/>
          <w:lang w:val="pt-BR"/>
        </w:rPr>
        <w:lastRenderedPageBreak/>
        <w:t xml:space="preserve">_______________________________. 2012. </w:t>
      </w:r>
      <w:r w:rsidRPr="006671BD">
        <w:rPr>
          <w:rFonts w:ascii="Times New Roman" w:hAnsi="Times New Roman" w:cs="Times New Roman"/>
          <w:i/>
          <w:snapToGrid w:val="0"/>
          <w:sz w:val="24"/>
          <w:szCs w:val="24"/>
          <w:lang w:val="pt-BR"/>
        </w:rPr>
        <w:t>Manual de Contabilidade Aplicada ao Setor Público: Parte V – Demonstrações Contábeis Aplicadas ao Setor Público: Aplicado à União, Estados, Distrito Federal e Municípios</w:t>
      </w:r>
      <w:r w:rsidRPr="006671BD">
        <w:rPr>
          <w:rFonts w:ascii="Times New Roman" w:hAnsi="Times New Roman" w:cs="Times New Roman"/>
          <w:snapToGrid w:val="0"/>
          <w:sz w:val="24"/>
          <w:szCs w:val="24"/>
          <w:lang w:val="pt-BR"/>
        </w:rPr>
        <w:t>. Válido para o exercício de 2013. Portaria STN nº 437/2012. 5a edição. Brasília</w:t>
      </w:r>
    </w:p>
    <w:p w14:paraId="6FEBBE85" w14:textId="1FF34CFE" w:rsidR="00305225" w:rsidRPr="006671BD" w:rsidRDefault="00305225" w:rsidP="001146D6">
      <w:pPr>
        <w:widowControl w:val="0"/>
        <w:overflowPunct w:val="0"/>
        <w:autoSpaceDE w:val="0"/>
        <w:autoSpaceDN w:val="0"/>
        <w:adjustRightInd w:val="0"/>
        <w:spacing w:after="240" w:line="240" w:lineRule="auto"/>
        <w:rPr>
          <w:rFonts w:ascii="Times New Roman" w:hAnsi="Times New Roman" w:cs="Times New Roman"/>
          <w:sz w:val="24"/>
          <w:szCs w:val="24"/>
          <w:lang w:val="pt-BR"/>
        </w:rPr>
      </w:pPr>
      <w:r w:rsidRPr="006671BD">
        <w:rPr>
          <w:rFonts w:ascii="Times New Roman" w:hAnsi="Times New Roman" w:cs="Times New Roman"/>
          <w:sz w:val="24"/>
          <w:szCs w:val="24"/>
          <w:lang w:val="pt-BR"/>
        </w:rPr>
        <w:t xml:space="preserve">Vetter, David.  2014.  </w:t>
      </w:r>
      <w:r w:rsidRPr="006671BD">
        <w:rPr>
          <w:rFonts w:ascii="Times New Roman" w:hAnsi="Times New Roman" w:cs="Times New Roman"/>
          <w:i/>
          <w:sz w:val="24"/>
          <w:szCs w:val="24"/>
          <w:lang w:val="pt-BR"/>
        </w:rPr>
        <w:t>O Sistema de Financiamento de Ações nos Municípios (SFM) do Estado do Paraná.</w:t>
      </w:r>
      <w:r w:rsidRPr="006671BD">
        <w:rPr>
          <w:rFonts w:ascii="Times New Roman" w:hAnsi="Times New Roman" w:cs="Times New Roman"/>
          <w:sz w:val="24"/>
          <w:szCs w:val="24"/>
          <w:lang w:val="pt-BR"/>
        </w:rPr>
        <w:t xml:space="preserve">  Programa Estadual de Apoio ao Desenvolvimento Urbano e Melhorias de Infraestrutura Municipal - Paraná Urbano III - (BR-L1356).</w:t>
      </w:r>
    </w:p>
    <w:p w14:paraId="7425EBAE" w14:textId="77777777" w:rsidR="00AD3EB1" w:rsidRPr="006671BD" w:rsidRDefault="00AD3EB1" w:rsidP="001146D6">
      <w:pPr>
        <w:spacing w:after="240" w:line="240" w:lineRule="auto"/>
        <w:rPr>
          <w:rFonts w:ascii="Times New Roman" w:hAnsi="Times New Roman" w:cs="Times New Roman"/>
          <w:bCs/>
          <w:sz w:val="24"/>
          <w:szCs w:val="24"/>
        </w:rPr>
      </w:pPr>
      <w:bookmarkStart w:id="30" w:name="_Hlk513121829"/>
      <w:bookmarkStart w:id="31" w:name="_Hlk494265205"/>
      <w:r w:rsidRPr="006671BD">
        <w:rPr>
          <w:rFonts w:ascii="Times New Roman" w:hAnsi="Times New Roman" w:cs="Times New Roman"/>
          <w:bCs/>
          <w:sz w:val="24"/>
          <w:szCs w:val="24"/>
        </w:rPr>
        <w:t xml:space="preserve">Vetter, D and Vetter, M. (2018) </w:t>
      </w:r>
      <w:bookmarkEnd w:id="30"/>
      <w:r w:rsidRPr="006671BD">
        <w:rPr>
          <w:rFonts w:ascii="Times New Roman" w:hAnsi="Times New Roman" w:cs="Times New Roman"/>
          <w:bCs/>
          <w:i/>
          <w:sz w:val="24"/>
          <w:szCs w:val="24"/>
        </w:rPr>
        <w:t>Assessing the Feasibility of Tax Increment Financing Programs in Latin America</w:t>
      </w:r>
      <w:r w:rsidRPr="006671BD">
        <w:rPr>
          <w:rFonts w:ascii="Times New Roman" w:hAnsi="Times New Roman" w:cs="Times New Roman"/>
          <w:bCs/>
          <w:sz w:val="24"/>
          <w:szCs w:val="24"/>
        </w:rPr>
        <w:t>. Draft consultant report for sector work on tax increment financing. Inter-American Development Bank. Washington, D.C.</w:t>
      </w:r>
    </w:p>
    <w:bookmarkEnd w:id="31"/>
    <w:p w14:paraId="46B94D33" w14:textId="11D4B945" w:rsidR="00A1334D" w:rsidRPr="006671BD" w:rsidRDefault="00A1334D" w:rsidP="001146D6">
      <w:pPr>
        <w:spacing w:after="240" w:line="240" w:lineRule="auto"/>
        <w:contextualSpacing/>
        <w:rPr>
          <w:rFonts w:ascii="Times New Roman" w:hAnsi="Times New Roman" w:cs="Times New Roman"/>
          <w:sz w:val="24"/>
          <w:szCs w:val="24"/>
        </w:rPr>
      </w:pPr>
      <w:r w:rsidRPr="006671BD">
        <w:rPr>
          <w:rFonts w:ascii="Times New Roman" w:hAnsi="Times New Roman" w:cs="Times New Roman"/>
          <w:sz w:val="24"/>
          <w:szCs w:val="24"/>
        </w:rPr>
        <w:t>Vetter, D., Vetter, M. (2011a). Land-Based Financing for Brazil’s Municipalities</w:t>
      </w:r>
      <w:r w:rsidRPr="006671BD">
        <w:rPr>
          <w:rFonts w:ascii="Times New Roman" w:hAnsi="Times New Roman" w:cs="Times New Roman"/>
          <w:i/>
          <w:sz w:val="24"/>
          <w:szCs w:val="24"/>
        </w:rPr>
        <w:t>. Land Lines</w:t>
      </w:r>
      <w:r w:rsidRPr="006671BD">
        <w:rPr>
          <w:rFonts w:ascii="Times New Roman" w:hAnsi="Times New Roman" w:cs="Times New Roman"/>
          <w:sz w:val="24"/>
          <w:szCs w:val="24"/>
        </w:rPr>
        <w:t xml:space="preserve"> series, October. Cambridge, MA: Lincoln Institute of Land Policy.  See:</w:t>
      </w:r>
    </w:p>
    <w:p w14:paraId="4DD36D4F" w14:textId="77777777" w:rsidR="00A1334D" w:rsidRPr="006671BD" w:rsidRDefault="00A1334D" w:rsidP="001146D6">
      <w:pPr>
        <w:spacing w:after="240" w:line="240" w:lineRule="auto"/>
        <w:contextualSpacing/>
        <w:rPr>
          <w:rFonts w:ascii="Times New Roman" w:hAnsi="Times New Roman" w:cs="Times New Roman"/>
          <w:sz w:val="24"/>
          <w:szCs w:val="24"/>
        </w:rPr>
      </w:pPr>
      <w:r w:rsidRPr="006671BD">
        <w:rPr>
          <w:rFonts w:ascii="Times New Roman" w:hAnsi="Times New Roman" w:cs="Times New Roman"/>
          <w:vanish/>
          <w:sz w:val="24"/>
          <w:szCs w:val="24"/>
        </w:rPr>
        <w:t>English:</w:t>
      </w:r>
      <w:r w:rsidRPr="006671BD">
        <w:rPr>
          <w:rFonts w:ascii="Times New Roman" w:hAnsi="Times New Roman" w:cs="Times New Roman"/>
          <w:sz w:val="24"/>
          <w:szCs w:val="24"/>
        </w:rPr>
        <w:t xml:space="preserve"> </w:t>
      </w:r>
      <w:hyperlink r:id="rId51" w:history="1">
        <w:r w:rsidRPr="006671BD">
          <w:rPr>
            <w:rStyle w:val="Hyperlink"/>
            <w:rFonts w:ascii="Times New Roman" w:hAnsi="Times New Roman" w:cs="Times New Roman"/>
            <w:sz w:val="24"/>
            <w:szCs w:val="24"/>
          </w:rPr>
          <w:t>http://www.lincolninst.edu/pubs/1949_Land-Lines--October-2011</w:t>
        </w:r>
      </w:hyperlink>
      <w:r w:rsidRPr="006671BD">
        <w:rPr>
          <w:rFonts w:ascii="Times New Roman" w:hAnsi="Times New Roman" w:cs="Times New Roman"/>
          <w:sz w:val="24"/>
          <w:szCs w:val="24"/>
        </w:rPr>
        <w:t xml:space="preserve"> </w:t>
      </w:r>
      <w:r w:rsidRPr="006671BD">
        <w:rPr>
          <w:rFonts w:ascii="Times New Roman" w:hAnsi="Times New Roman" w:cs="Times New Roman"/>
          <w:vanish/>
          <w:sz w:val="24"/>
          <w:szCs w:val="24"/>
        </w:rPr>
        <w:t xml:space="preserve">  </w:t>
      </w:r>
      <w:r w:rsidRPr="006671BD">
        <w:rPr>
          <w:rFonts w:ascii="Times New Roman" w:hAnsi="Times New Roman" w:cs="Times New Roman"/>
          <w:sz w:val="24"/>
          <w:szCs w:val="24"/>
        </w:rPr>
        <w:fldChar w:fldCharType="begin"/>
      </w:r>
      <w:hyperlink r:id="rId52" w:history="1">
        <w:r w:rsidRPr="006671BD">
          <w:rPr>
            <w:rFonts w:ascii="Times New Roman" w:hAnsi="Times New Roman" w:cs="Times New Roman"/>
            <w:vanish/>
            <w:color w:val="0000FF"/>
            <w:sz w:val="24"/>
            <w:szCs w:val="24"/>
            <w:u w:val="single"/>
          </w:rPr>
          <w:instrText>http://www.lincolninst.edu/pubs/1949_Land-Lines--October-2011</w:instrText>
        </w:r>
        <w:r w:rsidRPr="006671BD">
          <w:rPr>
            <w:rFonts w:ascii="Times New Roman" w:hAnsi="Times New Roman" w:cs="Times New Roman"/>
            <w:color w:val="0000FF"/>
            <w:sz w:val="24"/>
            <w:szCs w:val="24"/>
            <w:u w:val="single"/>
          </w:rPr>
          <w:instrText>http://www.lincolninst.edu/pubs/1949_Land-Lines--October-2011</w:instrText>
        </w:r>
        <w:r w:rsidRPr="006671BD">
          <w:rPr>
            <w:rFonts w:ascii="Times New Roman" w:hAnsi="Times New Roman" w:cs="Times New Roman"/>
            <w:vanish/>
            <w:sz w:val="24"/>
            <w:szCs w:val="24"/>
          </w:rPr>
          <w:instrText xml:space="preserve"> </w:instrText>
        </w:r>
        <w:r w:rsidRPr="006671BD">
          <w:rPr>
            <w:rStyle w:val="tw4winMark"/>
            <w:rFonts w:ascii="Times New Roman" w:hAnsi="Times New Roman" w:cs="Times New Roman"/>
            <w:szCs w:val="24"/>
          </w:rPr>
          <w:instrText>&lt;}0{&gt;</w:instrText>
        </w:r>
        <w:r w:rsidRPr="006671BD">
          <w:rPr>
            <w:rFonts w:ascii="Times New Roman" w:hAnsi="Times New Roman" w:cs="Times New Roman"/>
            <w:sz w:val="24"/>
            <w:szCs w:val="24"/>
          </w:rPr>
          <w:instrText xml:space="preserve">English:  </w:instrText>
        </w:r>
      </w:hyperlink>
      <w:r w:rsidRPr="006671BD">
        <w:rPr>
          <w:rFonts w:ascii="Times New Roman" w:hAnsi="Times New Roman" w:cs="Times New Roman"/>
          <w:sz w:val="24"/>
          <w:szCs w:val="24"/>
        </w:rPr>
        <w:instrText xml:space="preserve"> </w:instrText>
      </w:r>
      <w:r w:rsidRPr="006671BD">
        <w:rPr>
          <w:rStyle w:val="tw4winMark"/>
          <w:rFonts w:ascii="Times New Roman" w:hAnsi="Times New Roman" w:cs="Times New Roman"/>
          <w:szCs w:val="24"/>
        </w:rPr>
        <w:instrText>&lt;0}</w:instrText>
      </w:r>
      <w:r w:rsidRPr="006671BD">
        <w:rPr>
          <w:rFonts w:ascii="Times New Roman" w:hAnsi="Times New Roman" w:cs="Times New Roman"/>
          <w:sz w:val="24"/>
          <w:szCs w:val="24"/>
        </w:rPr>
        <w:fldChar w:fldCharType="end"/>
      </w:r>
    </w:p>
    <w:p w14:paraId="43153C33" w14:textId="77777777" w:rsidR="00A1334D" w:rsidRPr="006671BD" w:rsidRDefault="00A1334D" w:rsidP="001146D6">
      <w:pPr>
        <w:spacing w:after="240" w:line="240" w:lineRule="auto"/>
        <w:rPr>
          <w:rFonts w:ascii="Times New Roman" w:hAnsi="Times New Roman" w:cs="Times New Roman"/>
          <w:sz w:val="24"/>
          <w:szCs w:val="24"/>
        </w:rPr>
      </w:pPr>
      <w:r w:rsidRPr="006671BD">
        <w:rPr>
          <w:rFonts w:ascii="Times New Roman" w:hAnsi="Times New Roman" w:cs="Times New Roman"/>
          <w:vanish/>
          <w:sz w:val="24"/>
          <w:szCs w:val="24"/>
        </w:rPr>
        <w:t>Spanish:</w:t>
      </w:r>
      <w:r w:rsidRPr="006671BD">
        <w:rPr>
          <w:rFonts w:ascii="Times New Roman" w:hAnsi="Times New Roman" w:cs="Times New Roman"/>
          <w:sz w:val="24"/>
          <w:szCs w:val="24"/>
        </w:rPr>
        <w:t xml:space="preserve"> </w:t>
      </w:r>
      <w:hyperlink r:id="rId53" w:history="1">
        <w:r w:rsidRPr="006671BD">
          <w:rPr>
            <w:rStyle w:val="Hyperlink"/>
            <w:rFonts w:ascii="Times New Roman" w:hAnsi="Times New Roman" w:cs="Times New Roman"/>
            <w:sz w:val="24"/>
            <w:szCs w:val="24"/>
          </w:rPr>
          <w:t>http://www.lincolninst.edu/pubs/1971_Financiamiento-basado-en-el-suelo-para-los-municipios-brasile%C3%B1os</w:t>
        </w:r>
      </w:hyperlink>
      <w:r w:rsidRPr="006671BD">
        <w:rPr>
          <w:rFonts w:ascii="Times New Roman" w:hAnsi="Times New Roman" w:cs="Times New Roman"/>
          <w:vanish/>
          <w:sz w:val="24"/>
          <w:szCs w:val="24"/>
        </w:rPr>
        <w:t xml:space="preserve"> </w:t>
      </w:r>
      <w:r w:rsidRPr="006671BD">
        <w:rPr>
          <w:rFonts w:ascii="Times New Roman" w:hAnsi="Times New Roman" w:cs="Times New Roman"/>
          <w:sz w:val="24"/>
          <w:szCs w:val="24"/>
        </w:rPr>
        <w:fldChar w:fldCharType="begin"/>
      </w:r>
      <w:hyperlink r:id="rId54" w:history="1">
        <w:r w:rsidRPr="006671BD">
          <w:rPr>
            <w:rFonts w:ascii="Times New Roman" w:hAnsi="Times New Roman" w:cs="Times New Roman"/>
            <w:vanish/>
            <w:color w:val="0000FF"/>
            <w:sz w:val="24"/>
            <w:szCs w:val="24"/>
            <w:u w:val="single"/>
          </w:rPr>
          <w:instrText>http://www.lincolninst.edu/pubs/1971_Financiamiento-basado-en-el-suelo-para-los-municipios-brasile%C3%B1os</w:instrText>
        </w:r>
        <w:r w:rsidRPr="006671BD">
          <w:rPr>
            <w:rFonts w:ascii="Times New Roman" w:hAnsi="Times New Roman" w:cs="Times New Roman"/>
            <w:color w:val="0000FF"/>
            <w:sz w:val="24"/>
            <w:szCs w:val="24"/>
            <w:u w:val="single"/>
          </w:rPr>
          <w:instrText>http://www.lincolninst.edu/pubs/1971_Financiamiento-basado-en-el-suelo-para-los-municipios-brasile%C3%B1os</w:instrText>
        </w:r>
        <w:r w:rsidRPr="006671BD">
          <w:rPr>
            <w:rFonts w:ascii="Times New Roman" w:hAnsi="Times New Roman" w:cs="Times New Roman"/>
            <w:vanish/>
            <w:sz w:val="24"/>
            <w:szCs w:val="24"/>
          </w:rPr>
          <w:instrText xml:space="preserve"> </w:instrText>
        </w:r>
        <w:r w:rsidRPr="006671BD">
          <w:rPr>
            <w:rStyle w:val="tw4winMark"/>
            <w:rFonts w:ascii="Times New Roman" w:hAnsi="Times New Roman" w:cs="Times New Roman"/>
            <w:szCs w:val="24"/>
          </w:rPr>
          <w:instrText>&lt;}0{&gt;</w:instrText>
        </w:r>
        <w:r w:rsidRPr="006671BD">
          <w:rPr>
            <w:rFonts w:ascii="Times New Roman" w:hAnsi="Times New Roman" w:cs="Times New Roman"/>
            <w:sz w:val="24"/>
            <w:szCs w:val="24"/>
          </w:rPr>
          <w:instrText xml:space="preserve">Spanish: </w:instrText>
        </w:r>
      </w:hyperlink>
      <w:r w:rsidRPr="006671BD">
        <w:rPr>
          <w:rFonts w:ascii="Times New Roman" w:hAnsi="Times New Roman" w:cs="Times New Roman"/>
          <w:sz w:val="24"/>
          <w:szCs w:val="24"/>
        </w:rPr>
        <w:instrText xml:space="preserve"> </w:instrText>
      </w:r>
      <w:r w:rsidRPr="006671BD">
        <w:rPr>
          <w:rStyle w:val="tw4winMark"/>
          <w:rFonts w:ascii="Times New Roman" w:hAnsi="Times New Roman" w:cs="Times New Roman"/>
          <w:szCs w:val="24"/>
        </w:rPr>
        <w:instrText>&lt;0}</w:instrText>
      </w:r>
      <w:r w:rsidRPr="006671BD">
        <w:rPr>
          <w:rFonts w:ascii="Times New Roman" w:hAnsi="Times New Roman" w:cs="Times New Roman"/>
          <w:sz w:val="24"/>
          <w:szCs w:val="24"/>
        </w:rPr>
        <w:fldChar w:fldCharType="end"/>
      </w:r>
    </w:p>
    <w:p w14:paraId="20B35BD4" w14:textId="77777777" w:rsidR="00A1334D" w:rsidRPr="006671BD" w:rsidRDefault="00A1334D" w:rsidP="001146D6">
      <w:pPr>
        <w:spacing w:after="240" w:line="240" w:lineRule="auto"/>
        <w:rPr>
          <w:rFonts w:ascii="Times New Roman" w:hAnsi="Times New Roman" w:cs="Times New Roman"/>
          <w:vanish/>
          <w:sz w:val="24"/>
          <w:szCs w:val="24"/>
        </w:rPr>
      </w:pPr>
      <w:r w:rsidRPr="006671BD">
        <w:rPr>
          <w:rFonts w:ascii="Times New Roman" w:hAnsi="Times New Roman" w:cs="Times New Roman"/>
          <w:vanish/>
          <w:sz w:val="24"/>
          <w:szCs w:val="24"/>
        </w:rPr>
        <w:t xml:space="preserve">———. (2011b). </w:t>
      </w:r>
      <w:r w:rsidRPr="006671BD">
        <w:rPr>
          <w:rFonts w:ascii="Times New Roman" w:hAnsi="Times New Roman" w:cs="Times New Roman"/>
          <w:i/>
          <w:iCs/>
          <w:vanish/>
          <w:sz w:val="24"/>
          <w:szCs w:val="24"/>
        </w:rPr>
        <w:t>Could land-based financing help create fiscal space for investment by Brazil’s municipalities?</w:t>
      </w:r>
      <w:r w:rsidRPr="006671BD">
        <w:rPr>
          <w:rFonts w:ascii="Times New Roman" w:hAnsi="Times New Roman" w:cs="Times New Roman"/>
          <w:vanish/>
          <w:sz w:val="24"/>
          <w:szCs w:val="24"/>
        </w:rPr>
        <w:t xml:space="preserve"> Working paper. Cambridge, MA: Lincoln Institute of Land Policy.  See: </w:t>
      </w:r>
      <w:hyperlink r:id="rId55" w:history="1">
        <w:r w:rsidRPr="006671BD">
          <w:rPr>
            <w:rStyle w:val="Hyperlink"/>
            <w:rFonts w:ascii="Times New Roman" w:hAnsi="Times New Roman" w:cs="Times New Roman"/>
            <w:sz w:val="24"/>
            <w:szCs w:val="24"/>
          </w:rPr>
          <w:t>http://www.lincolninst.edu/pubs/PubDetail.aspx?pubid=1912</w:t>
        </w:r>
      </w:hyperlink>
      <w:r w:rsidRPr="006671BD">
        <w:rPr>
          <w:rFonts w:ascii="Times New Roman" w:hAnsi="Times New Roman" w:cs="Times New Roman"/>
          <w:sz w:val="24"/>
          <w:szCs w:val="24"/>
        </w:rPr>
        <w:t xml:space="preserve">  </w:t>
      </w:r>
    </w:p>
    <w:p w14:paraId="0821B076" w14:textId="2E489848" w:rsidR="00A1334D" w:rsidRPr="006671BD" w:rsidRDefault="00A1334D" w:rsidP="001146D6">
      <w:pPr>
        <w:spacing w:after="240" w:line="240" w:lineRule="auto"/>
        <w:rPr>
          <w:rFonts w:ascii="Times New Roman" w:eastAsia="Times New Roman" w:hAnsi="Times New Roman" w:cs="Times New Roman"/>
          <w:sz w:val="24"/>
          <w:szCs w:val="24"/>
        </w:rPr>
      </w:pPr>
      <w:r w:rsidRPr="006671BD">
        <w:rPr>
          <w:rFonts w:ascii="Times New Roman" w:hAnsi="Times New Roman" w:cs="Times New Roman"/>
          <w:sz w:val="24"/>
          <w:szCs w:val="24"/>
        </w:rPr>
        <w:t xml:space="preserve">Vogt, J. A. 2007. Local Capital Budgeting in A. Shah editor. </w:t>
      </w:r>
      <w:r w:rsidRPr="006671BD">
        <w:rPr>
          <w:rFonts w:ascii="Times New Roman" w:hAnsi="Times New Roman" w:cs="Times New Roman"/>
          <w:i/>
          <w:sz w:val="24"/>
          <w:szCs w:val="24"/>
        </w:rPr>
        <w:t>Local Budgeting</w:t>
      </w:r>
      <w:r w:rsidRPr="006671BD">
        <w:rPr>
          <w:rFonts w:ascii="Times New Roman" w:hAnsi="Times New Roman" w:cs="Times New Roman"/>
          <w:sz w:val="24"/>
          <w:szCs w:val="24"/>
        </w:rPr>
        <w:t xml:space="preserve">. Public Sector Governance and Accountability Series. World Bank. </w:t>
      </w:r>
      <w:r w:rsidR="006671BD" w:rsidRPr="006671BD">
        <w:rPr>
          <w:rFonts w:ascii="Times New Roman" w:hAnsi="Times New Roman" w:cs="Times New Roman"/>
          <w:sz w:val="24"/>
          <w:szCs w:val="24"/>
        </w:rPr>
        <w:t xml:space="preserve">Ver: </w:t>
      </w:r>
      <w:hyperlink r:id="rId56" w:history="1">
        <w:r w:rsidR="006671BD" w:rsidRPr="006671BD">
          <w:rPr>
            <w:rStyle w:val="Hyperlink"/>
            <w:rFonts w:ascii="Times New Roman" w:hAnsi="Times New Roman" w:cs="Times New Roman"/>
            <w:sz w:val="24"/>
            <w:szCs w:val="24"/>
          </w:rPr>
          <w:t>https://openknowledge.worldbank.org/handle/10986/6669</w:t>
        </w:r>
      </w:hyperlink>
      <w:r w:rsidRPr="006671BD">
        <w:rPr>
          <w:rStyle w:val="HTMLCite"/>
          <w:rFonts w:ascii="Times New Roman" w:hAnsi="Times New Roman" w:cs="Times New Roman"/>
          <w:sz w:val="24"/>
          <w:szCs w:val="24"/>
        </w:rPr>
        <w:t xml:space="preserve"> </w:t>
      </w:r>
    </w:p>
    <w:p w14:paraId="446982CD" w14:textId="5FA6A966" w:rsidR="00BB7CEF" w:rsidRPr="006671BD" w:rsidRDefault="00BB7CEF" w:rsidP="006671BD">
      <w:pPr>
        <w:spacing w:after="0" w:line="240" w:lineRule="auto"/>
        <w:contextualSpacing/>
        <w:rPr>
          <w:rFonts w:ascii="Times New Roman" w:hAnsi="Times New Roman" w:cs="Times New Roman"/>
          <w:bCs/>
          <w:sz w:val="24"/>
          <w:szCs w:val="24"/>
        </w:rPr>
      </w:pPr>
      <w:r w:rsidRPr="006671BD">
        <w:rPr>
          <w:rFonts w:ascii="Times New Roman" w:hAnsi="Times New Roman" w:cs="Times New Roman"/>
          <w:sz w:val="24"/>
          <w:szCs w:val="24"/>
        </w:rPr>
        <w:t>World Bank</w:t>
      </w:r>
      <w:r w:rsidR="00604B2B" w:rsidRPr="006671BD">
        <w:rPr>
          <w:rFonts w:ascii="Times New Roman" w:hAnsi="Times New Roman" w:cs="Times New Roman"/>
          <w:sz w:val="24"/>
          <w:szCs w:val="24"/>
        </w:rPr>
        <w:t>.</w:t>
      </w:r>
      <w:r w:rsidRPr="006671BD">
        <w:rPr>
          <w:rFonts w:ascii="Times New Roman" w:hAnsi="Times New Roman" w:cs="Times New Roman"/>
          <w:sz w:val="24"/>
          <w:szCs w:val="24"/>
        </w:rPr>
        <w:t xml:space="preserve">  2005</w:t>
      </w:r>
      <w:r w:rsidR="001146D6" w:rsidRPr="006671BD">
        <w:rPr>
          <w:rFonts w:ascii="Times New Roman" w:hAnsi="Times New Roman" w:cs="Times New Roman"/>
          <w:sz w:val="24"/>
          <w:szCs w:val="24"/>
        </w:rPr>
        <w:t>.</w:t>
      </w:r>
      <w:r w:rsidRPr="006671BD">
        <w:rPr>
          <w:rFonts w:ascii="Times New Roman" w:hAnsi="Times New Roman" w:cs="Times New Roman"/>
          <w:sz w:val="24"/>
          <w:szCs w:val="24"/>
        </w:rPr>
        <w:t xml:space="preserve"> Monte Carlo </w:t>
      </w:r>
      <w:r w:rsidRPr="006671BD">
        <w:rPr>
          <w:rFonts w:ascii="Times New Roman" w:hAnsi="Times New Roman" w:cs="Times New Roman"/>
          <w:bCs/>
          <w:i/>
          <w:sz w:val="24"/>
          <w:szCs w:val="24"/>
        </w:rPr>
        <w:t>Risk and Uncertainty Analysis</w:t>
      </w:r>
      <w:r w:rsidRPr="006671BD">
        <w:rPr>
          <w:rFonts w:ascii="Times New Roman" w:hAnsi="Times New Roman" w:cs="Times New Roman"/>
          <w:bCs/>
          <w:sz w:val="24"/>
          <w:szCs w:val="24"/>
        </w:rPr>
        <w:t xml:space="preserve"> </w:t>
      </w:r>
      <w:r w:rsidRPr="006671BD">
        <w:rPr>
          <w:rFonts w:ascii="Times New Roman" w:hAnsi="Times New Roman" w:cs="Times New Roman"/>
          <w:i/>
          <w:sz w:val="24"/>
          <w:szCs w:val="24"/>
        </w:rPr>
        <w:t>Transport Notes</w:t>
      </w:r>
      <w:r w:rsidRPr="006671BD">
        <w:rPr>
          <w:rFonts w:ascii="Times New Roman" w:hAnsi="Times New Roman" w:cs="Times New Roman"/>
          <w:sz w:val="24"/>
          <w:szCs w:val="24"/>
        </w:rPr>
        <w:t xml:space="preserve">. </w:t>
      </w:r>
      <w:r w:rsidRPr="006671BD">
        <w:rPr>
          <w:rFonts w:ascii="Times New Roman" w:hAnsi="Times New Roman" w:cs="Times New Roman"/>
          <w:bCs/>
          <w:sz w:val="24"/>
          <w:szCs w:val="24"/>
        </w:rPr>
        <w:t xml:space="preserve">Transport Economics, Policy and Poverty Thematic Group Transport Note No. TRN-7. Washington, D.C. </w:t>
      </w:r>
      <w:r w:rsidR="006671BD" w:rsidRPr="006671BD">
        <w:rPr>
          <w:rFonts w:ascii="Times New Roman" w:hAnsi="Times New Roman" w:cs="Times New Roman"/>
          <w:bCs/>
          <w:sz w:val="24"/>
          <w:szCs w:val="24"/>
        </w:rPr>
        <w:t xml:space="preserve">Ver: </w:t>
      </w:r>
      <w:hyperlink r:id="rId57" w:history="1">
        <w:r w:rsidR="006671BD" w:rsidRPr="006671BD">
          <w:rPr>
            <w:rStyle w:val="Hyperlink"/>
            <w:rFonts w:ascii="Times New Roman" w:hAnsi="Times New Roman" w:cs="Times New Roman"/>
            <w:bCs/>
            <w:sz w:val="24"/>
            <w:szCs w:val="24"/>
          </w:rPr>
          <w:t>http://siteresources.worldbank.org/INTTRANSPORT/Resources/336291-1227561426235/5611053-1231943010251/trn-7EENote2.pdf</w:t>
        </w:r>
      </w:hyperlink>
      <w:r w:rsidRPr="006671BD">
        <w:rPr>
          <w:rFonts w:ascii="Times New Roman" w:hAnsi="Times New Roman" w:cs="Times New Roman"/>
          <w:bCs/>
          <w:sz w:val="24"/>
          <w:szCs w:val="24"/>
        </w:rPr>
        <w:t xml:space="preserve"> </w:t>
      </w:r>
    </w:p>
    <w:p w14:paraId="0CFBE37C" w14:textId="77777777" w:rsidR="001146D6" w:rsidRPr="006671BD" w:rsidRDefault="001146D6" w:rsidP="006671BD">
      <w:pPr>
        <w:widowControl w:val="0"/>
        <w:autoSpaceDE w:val="0"/>
        <w:autoSpaceDN w:val="0"/>
        <w:adjustRightInd w:val="0"/>
        <w:spacing w:before="240" w:after="240" w:line="240" w:lineRule="auto"/>
        <w:rPr>
          <w:rFonts w:ascii="Times New Roman" w:hAnsi="Times New Roman" w:cs="Times New Roman"/>
          <w:sz w:val="24"/>
          <w:szCs w:val="24"/>
        </w:rPr>
      </w:pPr>
      <w:r w:rsidRPr="006671BD">
        <w:rPr>
          <w:rFonts w:ascii="Times New Roman" w:hAnsi="Times New Roman" w:cs="Times New Roman"/>
          <w:sz w:val="24"/>
          <w:szCs w:val="24"/>
        </w:rPr>
        <w:t xml:space="preserve">World Bank. 2012. </w:t>
      </w:r>
      <w:r w:rsidRPr="006671BD">
        <w:rPr>
          <w:rFonts w:ascii="Times New Roman" w:hAnsi="Times New Roman" w:cs="Times New Roman"/>
          <w:i/>
          <w:sz w:val="24"/>
          <w:szCs w:val="24"/>
        </w:rPr>
        <w:t>Best Practices in Public-Private Partnerships Financing in Latin America: the role of guarantees</w:t>
      </w:r>
      <w:r w:rsidRPr="006671BD">
        <w:rPr>
          <w:rFonts w:ascii="Times New Roman" w:hAnsi="Times New Roman" w:cs="Times New Roman"/>
          <w:sz w:val="24"/>
          <w:szCs w:val="24"/>
        </w:rPr>
        <w:t>.  Washington, D.C.</w:t>
      </w:r>
    </w:p>
    <w:p w14:paraId="357E190F" w14:textId="77777777" w:rsidR="008A1194" w:rsidRPr="009E6880" w:rsidRDefault="008A1194" w:rsidP="006671BD">
      <w:pPr>
        <w:autoSpaceDE w:val="0"/>
        <w:autoSpaceDN w:val="0"/>
        <w:adjustRightInd w:val="0"/>
        <w:spacing w:before="240"/>
        <w:rPr>
          <w:rFonts w:ascii="Times New Roman" w:hAnsi="Times New Roman" w:cs="Times New Roman"/>
          <w:color w:val="000000"/>
          <w:sz w:val="24"/>
          <w:szCs w:val="24"/>
        </w:rPr>
      </w:pPr>
    </w:p>
    <w:sectPr w:rsidR="008A1194" w:rsidRPr="009E6880" w:rsidSect="00550364">
      <w:head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323BF" w14:textId="77777777" w:rsidR="00534720" w:rsidRDefault="00534720" w:rsidP="00461775">
      <w:pPr>
        <w:spacing w:after="0" w:line="240" w:lineRule="auto"/>
      </w:pPr>
      <w:r>
        <w:separator/>
      </w:r>
    </w:p>
  </w:endnote>
  <w:endnote w:type="continuationSeparator" w:id="0">
    <w:p w14:paraId="7460331C" w14:textId="77777777" w:rsidR="00534720" w:rsidRDefault="00534720" w:rsidP="00461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Shell Dlg 2">
    <w:altName w:val="Sylfaen"/>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CA7627" w14:textId="77777777" w:rsidR="00534720" w:rsidRDefault="00534720" w:rsidP="00461775">
      <w:pPr>
        <w:spacing w:after="0" w:line="240" w:lineRule="auto"/>
      </w:pPr>
      <w:r>
        <w:separator/>
      </w:r>
    </w:p>
  </w:footnote>
  <w:footnote w:type="continuationSeparator" w:id="0">
    <w:p w14:paraId="04CB693B" w14:textId="77777777" w:rsidR="00534720" w:rsidRDefault="00534720" w:rsidP="00461775">
      <w:pPr>
        <w:spacing w:after="0" w:line="240" w:lineRule="auto"/>
      </w:pPr>
      <w:r>
        <w:continuationSeparator/>
      </w:r>
    </w:p>
  </w:footnote>
  <w:footnote w:id="1">
    <w:p w14:paraId="439CD17D" w14:textId="6E6C4F0E" w:rsidR="00A31500" w:rsidRPr="00C7653E" w:rsidRDefault="00A31500" w:rsidP="00C46123">
      <w:pPr>
        <w:spacing w:before="41"/>
        <w:ind w:right="82"/>
        <w:rPr>
          <w:rFonts w:ascii="Times New Roman" w:eastAsia="Calibri" w:hAnsi="Times New Roman" w:cs="Times New Roman"/>
          <w:spacing w:val="-2"/>
          <w:lang w:val="pt-BR"/>
        </w:rPr>
      </w:pPr>
      <w:r w:rsidRPr="003B326A">
        <w:rPr>
          <w:rStyle w:val="FootnoteReference"/>
          <w:rFonts w:ascii="Arial" w:hAnsi="Arial" w:cs="Arial"/>
          <w:sz w:val="20"/>
        </w:rPr>
        <w:footnoteRef/>
      </w:r>
      <w:r w:rsidRPr="00303E91">
        <w:rPr>
          <w:rFonts w:ascii="Arial" w:hAnsi="Arial" w:cs="Arial"/>
          <w:sz w:val="20"/>
          <w:lang w:val="pt-BR"/>
        </w:rPr>
        <w:t xml:space="preserve"> </w:t>
      </w:r>
      <w:r w:rsidRPr="00C7653E">
        <w:rPr>
          <w:rFonts w:ascii="Times New Roman" w:eastAsia="Calibri" w:hAnsi="Times New Roman" w:cs="Times New Roman"/>
          <w:spacing w:val="-2"/>
          <w:lang w:val="pt-BR"/>
        </w:rPr>
        <w:t xml:space="preserve">David Vetter.  2014. </w:t>
      </w:r>
      <w:r w:rsidRPr="00C7653E">
        <w:rPr>
          <w:rFonts w:ascii="Times New Roman" w:eastAsia="Calibri" w:hAnsi="Times New Roman" w:cs="Times New Roman"/>
          <w:i/>
          <w:spacing w:val="-2"/>
          <w:lang w:val="pt-BR"/>
        </w:rPr>
        <w:t xml:space="preserve">O Sistema de Financiamento </w:t>
      </w:r>
      <w:r>
        <w:rPr>
          <w:rFonts w:ascii="Times New Roman" w:eastAsia="Calibri" w:hAnsi="Times New Roman" w:cs="Times New Roman"/>
          <w:i/>
          <w:spacing w:val="-2"/>
          <w:lang w:val="pt-BR"/>
        </w:rPr>
        <w:t>aos</w:t>
      </w:r>
      <w:r w:rsidRPr="00C7653E">
        <w:rPr>
          <w:rFonts w:ascii="Times New Roman" w:eastAsia="Calibri" w:hAnsi="Times New Roman" w:cs="Times New Roman"/>
          <w:i/>
          <w:spacing w:val="-2"/>
          <w:lang w:val="pt-BR"/>
        </w:rPr>
        <w:t xml:space="preserve"> Municípios (SFM) do Estado do Paraná.</w:t>
      </w:r>
      <w:r w:rsidRPr="00C7653E">
        <w:rPr>
          <w:rFonts w:ascii="Times New Roman" w:eastAsia="Calibri" w:hAnsi="Times New Roman" w:cs="Times New Roman"/>
          <w:spacing w:val="-2"/>
          <w:lang w:val="pt-BR"/>
        </w:rPr>
        <w:t xml:space="preserve"> Contrato de Serviços Técnicos Nº 001/2014 – PO # 75469 BR-L1356-IFD/FMM-OPD/ </w:t>
      </w:r>
    </w:p>
    <w:p w14:paraId="721D7A27" w14:textId="77777777" w:rsidR="00A31500" w:rsidRPr="00303E91" w:rsidRDefault="00A31500" w:rsidP="00C46123">
      <w:pPr>
        <w:pStyle w:val="FootnoteText"/>
        <w:rPr>
          <w:lang w:val="pt-BR"/>
        </w:rPr>
      </w:pPr>
    </w:p>
  </w:footnote>
  <w:footnote w:id="2">
    <w:p w14:paraId="6FE430E3" w14:textId="77777777" w:rsidR="00A31500" w:rsidRPr="00805730" w:rsidRDefault="00A31500" w:rsidP="00C46123">
      <w:pPr>
        <w:pStyle w:val="Paragraph"/>
        <w:jc w:val="left"/>
        <w:rPr>
          <w:lang w:val="pt-BR"/>
        </w:rPr>
      </w:pPr>
      <w:r>
        <w:rPr>
          <w:rStyle w:val="FootnoteReference"/>
        </w:rPr>
        <w:footnoteRef/>
      </w:r>
      <w:r w:rsidRPr="004932C9">
        <w:rPr>
          <w:lang w:val="pt-BR"/>
        </w:rPr>
        <w:t xml:space="preserve"> </w:t>
      </w:r>
      <w:r w:rsidRPr="00805730">
        <w:rPr>
          <w:sz w:val="20"/>
          <w:lang w:val="pt-BR"/>
        </w:rPr>
        <w:t xml:space="preserve">A Resolução No. 2.828 do Conselho Monetário Nacional (2001) dispõe sobre a constituição e o funcionamento de agências de fomento.  A citação é do </w:t>
      </w:r>
      <w:r w:rsidRPr="00BF77C6">
        <w:rPr>
          <w:i/>
          <w:sz w:val="20"/>
          <w:lang w:val="pt-BR"/>
        </w:rPr>
        <w:t>site</w:t>
      </w:r>
      <w:r w:rsidRPr="00805730">
        <w:rPr>
          <w:sz w:val="20"/>
          <w:lang w:val="pt-BR"/>
        </w:rPr>
        <w:t xml:space="preserve"> do Banco Central do Brasil: </w:t>
      </w:r>
      <w:hyperlink r:id="rId1" w:history="1">
        <w:r w:rsidRPr="00805730">
          <w:rPr>
            <w:rStyle w:val="Hyperlink"/>
            <w:sz w:val="20"/>
            <w:lang w:val="pt-BR"/>
          </w:rPr>
          <w:t>http://www.bcb.gov.br/pre/composicao/af.asp</w:t>
        </w:r>
      </w:hyperlink>
    </w:p>
  </w:footnote>
  <w:footnote w:id="3">
    <w:p w14:paraId="20346516" w14:textId="1C4F2F91" w:rsidR="00A31500" w:rsidRPr="00C14B72" w:rsidRDefault="00A31500" w:rsidP="00C46123">
      <w:pPr>
        <w:pStyle w:val="FootnoteText"/>
        <w:rPr>
          <w:lang w:val="pt-BR"/>
        </w:rPr>
      </w:pPr>
      <w:r>
        <w:rPr>
          <w:rStyle w:val="FootnoteReference"/>
        </w:rPr>
        <w:footnoteRef/>
      </w:r>
      <w:r w:rsidRPr="00E8250D">
        <w:rPr>
          <w:lang w:val="pt-BR"/>
        </w:rPr>
        <w:t xml:space="preserve"> </w:t>
      </w:r>
      <w:r w:rsidRPr="00E8250D">
        <w:rPr>
          <w:rFonts w:ascii="Times New Roman" w:hAnsi="Times New Roman" w:cs="Times New Roman"/>
          <w:sz w:val="22"/>
          <w:szCs w:val="22"/>
          <w:lang w:val="pt-BR"/>
        </w:rPr>
        <w:t>Lei 17655 (7 de agosto de 2013).</w:t>
      </w:r>
    </w:p>
  </w:footnote>
  <w:footnote w:id="4">
    <w:p w14:paraId="13DF1459" w14:textId="251A4DA5" w:rsidR="00A31500" w:rsidRPr="00E8250D" w:rsidRDefault="00A31500">
      <w:pPr>
        <w:pStyle w:val="FootnoteText"/>
        <w:rPr>
          <w:lang w:val="pt-BR"/>
        </w:rPr>
      </w:pPr>
      <w:r>
        <w:rPr>
          <w:rStyle w:val="FootnoteReference"/>
        </w:rPr>
        <w:footnoteRef/>
      </w:r>
      <w:r w:rsidRPr="00E8250D">
        <w:rPr>
          <w:lang w:val="pt-BR"/>
        </w:rPr>
        <w:t xml:space="preserve"> </w:t>
      </w:r>
      <w:hyperlink r:id="rId2" w:history="1">
        <w:r w:rsidRPr="00E8250D">
          <w:rPr>
            <w:rStyle w:val="Hyperlink"/>
            <w:lang w:val="pt-BR"/>
          </w:rPr>
          <w:t>http://www.contabeis.com.br/artigos/2390/juros-sobre-capital-proprio-conceito/</w:t>
        </w:r>
      </w:hyperlink>
      <w:r w:rsidRPr="00E8250D">
        <w:rPr>
          <w:lang w:val="pt-BR"/>
        </w:rPr>
        <w:t xml:space="preserve"> </w:t>
      </w:r>
    </w:p>
  </w:footnote>
  <w:footnote w:id="5">
    <w:p w14:paraId="22883CC0" w14:textId="77777777" w:rsidR="00A31500" w:rsidRPr="003E78E3" w:rsidRDefault="00A31500" w:rsidP="00C46123">
      <w:pPr>
        <w:pStyle w:val="FootnoteText"/>
        <w:rPr>
          <w:sz w:val="22"/>
          <w:szCs w:val="22"/>
        </w:rPr>
      </w:pPr>
      <w:r w:rsidRPr="00B01203">
        <w:rPr>
          <w:rStyle w:val="FootnoteReference"/>
          <w:sz w:val="22"/>
          <w:szCs w:val="22"/>
        </w:rPr>
        <w:footnoteRef/>
      </w:r>
      <w:r w:rsidRPr="00B01203">
        <w:rPr>
          <w:sz w:val="22"/>
          <w:szCs w:val="22"/>
        </w:rPr>
        <w:t xml:space="preserve"> </w:t>
      </w:r>
      <w:r w:rsidRPr="003E78E3">
        <w:rPr>
          <w:rFonts w:ascii="Times New Roman" w:eastAsia="Times New Roman" w:hAnsi="Times New Roman" w:cs="Times New Roman"/>
          <w:sz w:val="22"/>
          <w:szCs w:val="22"/>
        </w:rPr>
        <w:t>Long and short term Brazilian national scale issuer rating of A1.br and BR-1.</w:t>
      </w:r>
    </w:p>
  </w:footnote>
  <w:footnote w:id="6">
    <w:p w14:paraId="5F8F5AA7" w14:textId="77777777" w:rsidR="00A31500" w:rsidRPr="003E78E3" w:rsidRDefault="00A31500" w:rsidP="00C46123">
      <w:pPr>
        <w:spacing w:line="240" w:lineRule="auto"/>
      </w:pPr>
      <w:r w:rsidRPr="003E78E3">
        <w:rPr>
          <w:rStyle w:val="FootnoteReference"/>
        </w:rPr>
        <w:footnoteRef/>
      </w:r>
      <w:r w:rsidRPr="003E78E3">
        <w:t xml:space="preserve"> </w:t>
      </w:r>
      <w:r w:rsidRPr="003E78E3">
        <w:rPr>
          <w:rFonts w:ascii="Times New Roman" w:eastAsia="Times New Roman" w:hAnsi="Times New Roman" w:cs="Times New Roman"/>
        </w:rPr>
        <w:t>National Long-term Rating of AA+(bra) with Outlook Stable and National Short-term Rating at F1+(bra).</w:t>
      </w:r>
    </w:p>
  </w:footnote>
  <w:footnote w:id="7">
    <w:p w14:paraId="1995AEC2" w14:textId="77777777" w:rsidR="00A31500" w:rsidRPr="009C4641" w:rsidRDefault="00A31500" w:rsidP="00C46123">
      <w:pPr>
        <w:pStyle w:val="FootnoteText"/>
        <w:rPr>
          <w:sz w:val="22"/>
          <w:szCs w:val="22"/>
          <w:lang w:val="pt-BR"/>
        </w:rPr>
      </w:pPr>
      <w:r>
        <w:rPr>
          <w:rStyle w:val="FootnoteReference"/>
        </w:rPr>
        <w:footnoteRef/>
      </w:r>
      <w:r w:rsidRPr="009C4641">
        <w:rPr>
          <w:lang w:val="pt-BR"/>
        </w:rPr>
        <w:t xml:space="preserve"> </w:t>
      </w:r>
      <w:r w:rsidRPr="009C4641">
        <w:rPr>
          <w:rFonts w:ascii="Times New Roman" w:eastAsia="Times New Roman" w:hAnsi="Times New Roman" w:cs="Times New Roman"/>
          <w:color w:val="000000"/>
          <w:sz w:val="22"/>
          <w:szCs w:val="22"/>
          <w:lang w:val="pt-BR"/>
        </w:rPr>
        <w:t xml:space="preserve">Leia mais: </w:t>
      </w:r>
      <w:hyperlink r:id="rId3" w:anchor="ixzz5BtNsRu7R" w:history="1">
        <w:r w:rsidRPr="009C4641">
          <w:rPr>
            <w:rFonts w:ascii="Times New Roman" w:eastAsia="Times New Roman" w:hAnsi="Times New Roman" w:cs="Times New Roman"/>
            <w:color w:val="003399"/>
            <w:sz w:val="22"/>
            <w:szCs w:val="22"/>
            <w:u w:val="single"/>
            <w:lang w:val="pt-BR"/>
          </w:rPr>
          <w:t>https://oglobo.globo.com/economia/caixa-vai-analisar-liberacao-de-emprestimos-para-estados-municipios-22558136#ixzz5BtNsRu7R</w:t>
        </w:r>
      </w:hyperlink>
    </w:p>
  </w:footnote>
  <w:footnote w:id="8">
    <w:p w14:paraId="1E5E0625" w14:textId="77777777" w:rsidR="00A31500" w:rsidRPr="009C4335" w:rsidRDefault="00A31500" w:rsidP="00C46123">
      <w:pPr>
        <w:pStyle w:val="FootnoteText"/>
        <w:rPr>
          <w:rFonts w:ascii="Times New Roman" w:hAnsi="Times New Roman" w:cs="Times New Roman"/>
          <w:sz w:val="22"/>
          <w:szCs w:val="22"/>
          <w:lang w:val="pt-BR"/>
        </w:rPr>
      </w:pPr>
      <w:r>
        <w:rPr>
          <w:rStyle w:val="FootnoteReference"/>
        </w:rPr>
        <w:footnoteRef/>
      </w:r>
      <w:r w:rsidRPr="00A84448">
        <w:rPr>
          <w:lang w:val="pt-BR"/>
        </w:rPr>
        <w:t xml:space="preserve"> </w:t>
      </w:r>
      <w:r w:rsidRPr="009C4335">
        <w:rPr>
          <w:rFonts w:ascii="Times New Roman" w:eastAsia="Arial" w:hAnsi="Times New Roman" w:cs="Times New Roman"/>
          <w:sz w:val="22"/>
          <w:szCs w:val="22"/>
          <w:lang w:val="pt-BR"/>
        </w:rPr>
        <w:t>Estimada como 16%</w:t>
      </w:r>
      <w:r w:rsidRPr="009C4335">
        <w:rPr>
          <w:rFonts w:ascii="Times New Roman" w:eastAsia="Arial" w:hAnsi="Times New Roman" w:cs="Times New Roman"/>
          <w:spacing w:val="10"/>
          <w:sz w:val="22"/>
          <w:szCs w:val="22"/>
          <w:lang w:val="pt-BR"/>
        </w:rPr>
        <w:t xml:space="preserve"> </w:t>
      </w:r>
      <w:r w:rsidRPr="009C4335">
        <w:rPr>
          <w:rFonts w:ascii="Times New Roman" w:eastAsia="Arial" w:hAnsi="Times New Roman" w:cs="Times New Roman"/>
          <w:sz w:val="22"/>
          <w:szCs w:val="22"/>
          <w:lang w:val="pt-BR"/>
        </w:rPr>
        <w:t>da</w:t>
      </w:r>
      <w:r w:rsidRPr="009C4335">
        <w:rPr>
          <w:rFonts w:ascii="Times New Roman" w:eastAsia="Arial" w:hAnsi="Times New Roman" w:cs="Times New Roman"/>
          <w:spacing w:val="10"/>
          <w:sz w:val="22"/>
          <w:szCs w:val="22"/>
          <w:lang w:val="pt-BR"/>
        </w:rPr>
        <w:t xml:space="preserve"> </w:t>
      </w:r>
      <w:r w:rsidRPr="009C4335">
        <w:rPr>
          <w:rFonts w:ascii="Times New Roman" w:eastAsia="Arial" w:hAnsi="Times New Roman" w:cs="Times New Roman"/>
          <w:sz w:val="22"/>
          <w:szCs w:val="22"/>
          <w:lang w:val="pt-BR"/>
        </w:rPr>
        <w:t>Receita</w:t>
      </w:r>
      <w:r w:rsidRPr="009C4335">
        <w:rPr>
          <w:rFonts w:ascii="Times New Roman" w:eastAsia="Arial" w:hAnsi="Times New Roman" w:cs="Times New Roman"/>
          <w:spacing w:val="10"/>
          <w:sz w:val="22"/>
          <w:szCs w:val="22"/>
          <w:lang w:val="pt-BR"/>
        </w:rPr>
        <w:t xml:space="preserve"> </w:t>
      </w:r>
      <w:r w:rsidRPr="009C4335">
        <w:rPr>
          <w:rFonts w:ascii="Times New Roman" w:eastAsia="Arial" w:hAnsi="Times New Roman" w:cs="Times New Roman"/>
          <w:sz w:val="22"/>
          <w:szCs w:val="22"/>
          <w:lang w:val="pt-BR"/>
        </w:rPr>
        <w:t>Corrente</w:t>
      </w:r>
      <w:r w:rsidRPr="009C4335">
        <w:rPr>
          <w:rFonts w:ascii="Times New Roman" w:eastAsia="Arial" w:hAnsi="Times New Roman" w:cs="Times New Roman"/>
          <w:spacing w:val="10"/>
          <w:sz w:val="22"/>
          <w:szCs w:val="22"/>
          <w:lang w:val="pt-BR"/>
        </w:rPr>
        <w:t xml:space="preserve"> </w:t>
      </w:r>
      <w:r w:rsidRPr="009C4335">
        <w:rPr>
          <w:rFonts w:ascii="Times New Roman" w:eastAsia="Arial" w:hAnsi="Times New Roman" w:cs="Times New Roman"/>
          <w:sz w:val="22"/>
          <w:szCs w:val="22"/>
          <w:lang w:val="pt-BR"/>
        </w:rPr>
        <w:t>Líquida,</w:t>
      </w:r>
      <w:r w:rsidRPr="009C4335">
        <w:rPr>
          <w:rFonts w:ascii="Times New Roman" w:eastAsia="Arial" w:hAnsi="Times New Roman" w:cs="Times New Roman"/>
          <w:spacing w:val="10"/>
          <w:sz w:val="22"/>
          <w:szCs w:val="22"/>
          <w:lang w:val="pt-BR"/>
        </w:rPr>
        <w:t xml:space="preserve"> </w:t>
      </w:r>
      <w:r w:rsidRPr="009C4335">
        <w:rPr>
          <w:rFonts w:ascii="Times New Roman" w:eastAsia="Arial" w:hAnsi="Times New Roman" w:cs="Times New Roman"/>
          <w:sz w:val="22"/>
          <w:szCs w:val="22"/>
          <w:lang w:val="pt-BR"/>
        </w:rPr>
        <w:t>único</w:t>
      </w:r>
      <w:r w:rsidRPr="009C4335">
        <w:rPr>
          <w:rFonts w:ascii="Times New Roman" w:eastAsia="Arial" w:hAnsi="Times New Roman" w:cs="Times New Roman"/>
          <w:spacing w:val="10"/>
          <w:sz w:val="22"/>
          <w:szCs w:val="22"/>
          <w:lang w:val="pt-BR"/>
        </w:rPr>
        <w:t xml:space="preserve"> </w:t>
      </w:r>
      <w:r w:rsidRPr="009C4335">
        <w:rPr>
          <w:rFonts w:ascii="Times New Roman" w:eastAsia="Arial" w:hAnsi="Times New Roman" w:cs="Times New Roman"/>
          <w:sz w:val="22"/>
          <w:szCs w:val="22"/>
          <w:lang w:val="pt-BR"/>
        </w:rPr>
        <w:t>limitador</w:t>
      </w:r>
      <w:r w:rsidRPr="009C4335">
        <w:rPr>
          <w:rFonts w:ascii="Times New Roman" w:eastAsia="Arial" w:hAnsi="Times New Roman" w:cs="Times New Roman"/>
          <w:spacing w:val="10"/>
          <w:sz w:val="22"/>
          <w:szCs w:val="22"/>
          <w:lang w:val="pt-BR"/>
        </w:rPr>
        <w:t xml:space="preserve"> </w:t>
      </w:r>
      <w:r w:rsidRPr="009C4335">
        <w:rPr>
          <w:rFonts w:ascii="Times New Roman" w:eastAsia="Arial" w:hAnsi="Times New Roman" w:cs="Times New Roman"/>
          <w:sz w:val="22"/>
          <w:szCs w:val="22"/>
          <w:lang w:val="pt-BR"/>
        </w:rPr>
        <w:t>dentre</w:t>
      </w:r>
      <w:r w:rsidRPr="009C4335">
        <w:rPr>
          <w:rFonts w:ascii="Times New Roman" w:eastAsia="Arial" w:hAnsi="Times New Roman" w:cs="Times New Roman"/>
          <w:spacing w:val="10"/>
          <w:sz w:val="22"/>
          <w:szCs w:val="22"/>
          <w:lang w:val="pt-BR"/>
        </w:rPr>
        <w:t xml:space="preserve"> </w:t>
      </w:r>
      <w:r w:rsidRPr="009C4335">
        <w:rPr>
          <w:rFonts w:ascii="Times New Roman" w:eastAsia="Arial" w:hAnsi="Times New Roman" w:cs="Times New Roman"/>
          <w:sz w:val="22"/>
          <w:szCs w:val="22"/>
          <w:lang w:val="pt-BR"/>
        </w:rPr>
        <w:t>os</w:t>
      </w:r>
      <w:r w:rsidRPr="009C4335">
        <w:rPr>
          <w:rFonts w:ascii="Times New Roman" w:eastAsia="Arial" w:hAnsi="Times New Roman" w:cs="Times New Roman"/>
          <w:spacing w:val="10"/>
          <w:sz w:val="22"/>
          <w:szCs w:val="22"/>
          <w:lang w:val="pt-BR"/>
        </w:rPr>
        <w:t xml:space="preserve"> </w:t>
      </w:r>
      <w:r w:rsidRPr="009C4335">
        <w:rPr>
          <w:rFonts w:ascii="Times New Roman" w:eastAsia="Arial" w:hAnsi="Times New Roman" w:cs="Times New Roman"/>
          <w:sz w:val="22"/>
          <w:szCs w:val="22"/>
          <w:lang w:val="pt-BR"/>
        </w:rPr>
        <w:t>três</w:t>
      </w:r>
      <w:r w:rsidRPr="009C4335">
        <w:rPr>
          <w:rFonts w:ascii="Times New Roman" w:eastAsia="Arial" w:hAnsi="Times New Roman" w:cs="Times New Roman"/>
          <w:spacing w:val="10"/>
          <w:sz w:val="22"/>
          <w:szCs w:val="22"/>
          <w:lang w:val="pt-BR"/>
        </w:rPr>
        <w:t xml:space="preserve"> </w:t>
      </w:r>
      <w:r w:rsidRPr="009C4335">
        <w:rPr>
          <w:rFonts w:ascii="Times New Roman" w:eastAsia="Arial" w:hAnsi="Times New Roman" w:cs="Times New Roman"/>
          <w:sz w:val="22"/>
          <w:szCs w:val="22"/>
          <w:lang w:val="pt-BR"/>
        </w:rPr>
        <w:t>da</w:t>
      </w:r>
      <w:r w:rsidRPr="009C4335">
        <w:rPr>
          <w:rFonts w:ascii="Times New Roman" w:eastAsia="Arial" w:hAnsi="Times New Roman" w:cs="Times New Roman"/>
          <w:spacing w:val="10"/>
          <w:sz w:val="22"/>
          <w:szCs w:val="22"/>
          <w:lang w:val="pt-BR"/>
        </w:rPr>
        <w:t xml:space="preserve"> </w:t>
      </w:r>
      <w:r w:rsidRPr="009C4335">
        <w:rPr>
          <w:rFonts w:ascii="Times New Roman" w:eastAsia="Arial" w:hAnsi="Times New Roman" w:cs="Times New Roman"/>
          <w:sz w:val="22"/>
          <w:szCs w:val="22"/>
          <w:lang w:val="pt-BR"/>
        </w:rPr>
        <w:t>Resolução</w:t>
      </w:r>
      <w:r w:rsidRPr="009C4335">
        <w:rPr>
          <w:rFonts w:ascii="Times New Roman" w:eastAsia="Arial" w:hAnsi="Times New Roman" w:cs="Times New Roman"/>
          <w:spacing w:val="10"/>
          <w:sz w:val="22"/>
          <w:szCs w:val="22"/>
          <w:lang w:val="pt-BR"/>
        </w:rPr>
        <w:t xml:space="preserve"> </w:t>
      </w:r>
      <w:r w:rsidRPr="009C4335">
        <w:rPr>
          <w:rFonts w:ascii="Times New Roman" w:eastAsia="Arial" w:hAnsi="Times New Roman" w:cs="Times New Roman"/>
          <w:sz w:val="22"/>
          <w:szCs w:val="22"/>
          <w:lang w:val="pt-BR"/>
        </w:rPr>
        <w:t>43/2001-SF. Paraná (2017).</w:t>
      </w:r>
    </w:p>
  </w:footnote>
  <w:footnote w:id="9">
    <w:p w14:paraId="181E7FBA" w14:textId="77777777" w:rsidR="00A31500" w:rsidRPr="002F01DA" w:rsidRDefault="00A31500" w:rsidP="00C46123">
      <w:pPr>
        <w:pStyle w:val="FootnoteText"/>
        <w:rPr>
          <w:sz w:val="22"/>
          <w:szCs w:val="22"/>
          <w:lang w:val="pt-BR"/>
        </w:rPr>
      </w:pPr>
      <w:r w:rsidRPr="002F01DA">
        <w:rPr>
          <w:rStyle w:val="FootnoteReference"/>
          <w:sz w:val="22"/>
          <w:szCs w:val="22"/>
        </w:rPr>
        <w:footnoteRef/>
      </w:r>
      <w:r w:rsidRPr="002F01DA">
        <w:rPr>
          <w:sz w:val="22"/>
          <w:szCs w:val="22"/>
          <w:lang w:val="pt-BR"/>
        </w:rPr>
        <w:t xml:space="preserve"> </w:t>
      </w:r>
      <w:r w:rsidRPr="002F01DA">
        <w:rPr>
          <w:rFonts w:ascii="Times New Roman" w:hAnsi="Times New Roman" w:cs="Times New Roman"/>
          <w:sz w:val="22"/>
          <w:szCs w:val="22"/>
          <w:lang w:val="pt-PT"/>
        </w:rPr>
        <w:t xml:space="preserve">Selic é </w:t>
      </w:r>
      <w:r>
        <w:rPr>
          <w:rFonts w:ascii="Times New Roman" w:hAnsi="Times New Roman" w:cs="Times New Roman"/>
          <w:sz w:val="22"/>
          <w:szCs w:val="22"/>
          <w:lang w:val="pt-PT"/>
        </w:rPr>
        <w:t>similar</w:t>
      </w:r>
      <w:r w:rsidRPr="002F01DA">
        <w:rPr>
          <w:rFonts w:ascii="Times New Roman" w:hAnsi="Times New Roman" w:cs="Times New Roman"/>
          <w:sz w:val="22"/>
          <w:szCs w:val="22"/>
          <w:lang w:val="pt-PT"/>
        </w:rPr>
        <w:t xml:space="preserve"> ao</w:t>
      </w:r>
      <w:r>
        <w:rPr>
          <w:rFonts w:ascii="Times New Roman" w:hAnsi="Times New Roman" w:cs="Times New Roman"/>
          <w:sz w:val="22"/>
          <w:szCs w:val="22"/>
          <w:lang w:val="pt-PT"/>
        </w:rPr>
        <w:t xml:space="preserve"> “Fed</w:t>
      </w:r>
      <w:r w:rsidRPr="002F01DA">
        <w:rPr>
          <w:rFonts w:ascii="Times New Roman" w:hAnsi="Times New Roman" w:cs="Times New Roman"/>
          <w:sz w:val="22"/>
          <w:szCs w:val="22"/>
          <w:lang w:val="pt-PT"/>
        </w:rPr>
        <w:t xml:space="preserve"> rate</w:t>
      </w:r>
      <w:r>
        <w:rPr>
          <w:rFonts w:ascii="Times New Roman" w:hAnsi="Times New Roman" w:cs="Times New Roman"/>
          <w:sz w:val="22"/>
          <w:szCs w:val="22"/>
          <w:lang w:val="pt-PT"/>
        </w:rPr>
        <w:t>”</w:t>
      </w:r>
      <w:r w:rsidRPr="002F01DA">
        <w:rPr>
          <w:rFonts w:ascii="Times New Roman" w:hAnsi="Times New Roman" w:cs="Times New Roman"/>
          <w:sz w:val="22"/>
          <w:szCs w:val="22"/>
          <w:lang w:val="pt-PT"/>
        </w:rPr>
        <w:t xml:space="preserve"> americano.</w:t>
      </w:r>
    </w:p>
  </w:footnote>
  <w:footnote w:id="10">
    <w:p w14:paraId="5155653A" w14:textId="05AAD1CA" w:rsidR="00A31500" w:rsidRPr="001B0C49" w:rsidRDefault="00A31500" w:rsidP="007F277B">
      <w:pPr>
        <w:pStyle w:val="FootnoteText"/>
        <w:rPr>
          <w:rFonts w:ascii="Times New Roman" w:hAnsi="Times New Roman" w:cs="Times New Roman"/>
          <w:lang w:val="pt-BR"/>
        </w:rPr>
      </w:pPr>
      <w:r>
        <w:rPr>
          <w:rStyle w:val="FootnoteReference"/>
        </w:rPr>
        <w:footnoteRef/>
      </w:r>
      <w:r w:rsidRPr="001B0C49">
        <w:rPr>
          <w:lang w:val="pt-BR"/>
        </w:rPr>
        <w:t xml:space="preserve">  </w:t>
      </w:r>
      <w:hyperlink r:id="rId4" w:history="1">
        <w:r w:rsidRPr="00420D94">
          <w:rPr>
            <w:rStyle w:val="Hyperlink"/>
            <w:rFonts w:ascii="Times New Roman" w:hAnsi="Times New Roman" w:cs="Times New Roman"/>
            <w:lang w:val="pt-BR"/>
          </w:rPr>
          <w:t>http://www.firjan.org.br/ifdm/consulta-ao-indice/consulta-ao-indice-grafico.htm</w:t>
        </w:r>
      </w:hyperlink>
      <w:r>
        <w:rPr>
          <w:rFonts w:ascii="Times New Roman" w:hAnsi="Times New Roman" w:cs="Times New Roman"/>
          <w:lang w:val="pt-BR"/>
        </w:rPr>
        <w:t xml:space="preserve"> </w:t>
      </w:r>
    </w:p>
  </w:footnote>
  <w:footnote w:id="11">
    <w:p w14:paraId="67F9815B" w14:textId="77777777" w:rsidR="00A31500" w:rsidRPr="00FA4240" w:rsidRDefault="00A31500" w:rsidP="00FA4240">
      <w:pPr>
        <w:autoSpaceDE w:val="0"/>
        <w:autoSpaceDN w:val="0"/>
        <w:adjustRightInd w:val="0"/>
        <w:spacing w:after="0" w:line="240" w:lineRule="auto"/>
        <w:rPr>
          <w:b/>
          <w:color w:val="000000"/>
          <w:lang w:val="pt-BR"/>
        </w:rPr>
      </w:pPr>
      <w:r w:rsidRPr="00FA4240">
        <w:rPr>
          <w:rStyle w:val="FootnoteReference"/>
          <w:b/>
          <w:color w:val="000000"/>
        </w:rPr>
        <w:footnoteRef/>
      </w:r>
      <w:r w:rsidRPr="00FA4240">
        <w:rPr>
          <w:b/>
          <w:color w:val="000000"/>
          <w:lang w:val="pt-BR"/>
        </w:rPr>
        <w:t xml:space="preserve">  </w:t>
      </w:r>
      <w:r w:rsidRPr="00FA4240">
        <w:rPr>
          <w:rFonts w:ascii="Times New Roman" w:hAnsi="Times New Roman" w:cs="Times New Roman"/>
          <w:color w:val="000000"/>
          <w:lang w:val="pt-BR"/>
        </w:rPr>
        <w:t>Dois interessantes trabalhos sobre CEPACs são: Biderman, Sandroni e Smolka (2006) e Biderman e Sandroni (2005).</w:t>
      </w:r>
    </w:p>
  </w:footnote>
  <w:footnote w:id="12">
    <w:p w14:paraId="7C788EC3" w14:textId="1CEDD966" w:rsidR="00A31500" w:rsidRPr="0009666D" w:rsidRDefault="00A31500" w:rsidP="00BC5C7A">
      <w:pPr>
        <w:spacing w:after="0" w:line="240" w:lineRule="auto"/>
        <w:rPr>
          <w:lang w:val="pt-BR"/>
        </w:rPr>
      </w:pPr>
      <w:r>
        <w:rPr>
          <w:rStyle w:val="FootnoteReference"/>
        </w:rPr>
        <w:footnoteRef/>
      </w:r>
      <w:r w:rsidRPr="0009666D">
        <w:rPr>
          <w:lang w:val="pt-BR"/>
        </w:rPr>
        <w:t xml:space="preserve"> </w:t>
      </w:r>
      <w:r w:rsidRPr="00FA1FEE">
        <w:rPr>
          <w:rFonts w:ascii="Times New Roman" w:hAnsi="Times New Roman"/>
          <w:sz w:val="20"/>
          <w:szCs w:val="20"/>
          <w:lang w:val="pt-BR"/>
        </w:rPr>
        <w:t>Ajustado utilizando o deflator implícito do PIB, Instituto Brasileiro de Geografia e Estatística, Sistema de Contas Nacionais.</w:t>
      </w:r>
      <w:r>
        <w:rPr>
          <w:rFonts w:ascii="Times New Roman" w:hAnsi="Times New Roman"/>
          <w:sz w:val="20"/>
          <w:szCs w:val="20"/>
          <w:lang w:val="pt-BR"/>
        </w:rPr>
        <w:t xml:space="preserve">  Fonte:  IpeaData.</w:t>
      </w:r>
    </w:p>
  </w:footnote>
  <w:footnote w:id="13">
    <w:p w14:paraId="3809BE55" w14:textId="77777777" w:rsidR="00A31500" w:rsidRPr="00C03655" w:rsidRDefault="00A31500" w:rsidP="007F277B">
      <w:pPr>
        <w:pStyle w:val="FootnoteText"/>
        <w:rPr>
          <w:rFonts w:ascii="Times New Roman" w:hAnsi="Times New Roman"/>
          <w:lang w:val="pt-BR"/>
        </w:rPr>
      </w:pPr>
      <w:r>
        <w:rPr>
          <w:rStyle w:val="FootnoteReference"/>
        </w:rPr>
        <w:footnoteRef/>
      </w:r>
      <w:r w:rsidRPr="00C03655">
        <w:rPr>
          <w:lang w:val="pt-BR"/>
        </w:rPr>
        <w:t xml:space="preserve"> </w:t>
      </w:r>
      <w:r w:rsidRPr="00C03655">
        <w:rPr>
          <w:rFonts w:ascii="Times New Roman" w:hAnsi="Times New Roman"/>
          <w:lang w:val="pt-BR"/>
        </w:rPr>
        <w:t>Taxa de câmbio comercial anual média de 2012: US$1 = R$1.95.</w:t>
      </w:r>
      <w:r>
        <w:rPr>
          <w:rFonts w:ascii="Times New Roman" w:hAnsi="Times New Roman"/>
          <w:lang w:val="pt-BR"/>
        </w:rPr>
        <w:t xml:space="preserve">  Fonte:  IPEAdata.</w:t>
      </w:r>
    </w:p>
  </w:footnote>
  <w:footnote w:id="14">
    <w:p w14:paraId="049984BA" w14:textId="77777777" w:rsidR="00A31500" w:rsidRPr="00E332E4" w:rsidRDefault="00A31500" w:rsidP="000D6D66">
      <w:pPr>
        <w:pStyle w:val="FootnoteText"/>
        <w:rPr>
          <w:sz w:val="22"/>
          <w:szCs w:val="22"/>
          <w:lang w:val="pt-BR"/>
        </w:rPr>
      </w:pPr>
      <w:r w:rsidRPr="00E332E4">
        <w:rPr>
          <w:rStyle w:val="FootnoteReference"/>
          <w:sz w:val="22"/>
          <w:szCs w:val="22"/>
        </w:rPr>
        <w:footnoteRef/>
      </w:r>
      <w:r w:rsidRPr="00E332E4">
        <w:rPr>
          <w:sz w:val="22"/>
          <w:szCs w:val="22"/>
          <w:lang w:val="pt-BR"/>
        </w:rPr>
        <w:t xml:space="preserve"> </w:t>
      </w:r>
      <w:r w:rsidRPr="00E332E4">
        <w:rPr>
          <w:rFonts w:ascii="Times New Roman" w:hAnsi="Times New Roman" w:cs="Times New Roman"/>
          <w:sz w:val="22"/>
          <w:szCs w:val="22"/>
          <w:lang w:val="pt-PT"/>
        </w:rPr>
        <w:t>Vetter e Vetter (2018) fornecem exemplos do impacto da modernização de cadastros na receita da propriedade imobiliária e na transferência de impostos para os municípios no Brasil, México e Uruguai.</w:t>
      </w:r>
    </w:p>
  </w:footnote>
  <w:footnote w:id="15">
    <w:p w14:paraId="7E18416F" w14:textId="3BE40ACB" w:rsidR="00A31500" w:rsidRPr="009E6880" w:rsidRDefault="00A31500">
      <w:pPr>
        <w:pStyle w:val="FootnoteText"/>
        <w:rPr>
          <w:lang w:val="pt-BR"/>
        </w:rPr>
      </w:pPr>
      <w:r>
        <w:rPr>
          <w:rStyle w:val="FootnoteReference"/>
        </w:rPr>
        <w:footnoteRef/>
      </w:r>
      <w:r w:rsidRPr="009E6880">
        <w:rPr>
          <w:lang w:val="pt-BR"/>
        </w:rPr>
        <w:t xml:space="preserve"> </w:t>
      </w:r>
      <w:hyperlink r:id="rId5" w:history="1">
        <w:r w:rsidRPr="009E6880">
          <w:rPr>
            <w:rStyle w:val="Hyperlink"/>
            <w:lang w:val="pt-BR"/>
          </w:rPr>
          <w:t>http://www.caixa.gov.br/sustentabilidade/responsabilidade-social/melhores-praticas/Paginas/default.aspx</w:t>
        </w:r>
      </w:hyperlink>
      <w:r>
        <w:rPr>
          <w:lang w:val="pt-BR"/>
        </w:rPr>
        <w:t xml:space="preserve"> </w:t>
      </w:r>
    </w:p>
  </w:footnote>
  <w:footnote w:id="16">
    <w:p w14:paraId="7B682864" w14:textId="77777777" w:rsidR="00A31500" w:rsidRPr="006545CC" w:rsidRDefault="00A31500" w:rsidP="007F277B">
      <w:pPr>
        <w:pStyle w:val="FootnoteText"/>
        <w:rPr>
          <w:rFonts w:ascii="Times New Roman" w:hAnsi="Times New Roman" w:cs="Times New Roman"/>
          <w:lang w:val="pt-BR"/>
        </w:rPr>
      </w:pPr>
      <w:r w:rsidRPr="006545CC">
        <w:rPr>
          <w:rStyle w:val="FootnoteReference"/>
          <w:rFonts w:ascii="Times New Roman" w:hAnsi="Times New Roman" w:cs="Times New Roman"/>
        </w:rPr>
        <w:footnoteRef/>
      </w:r>
      <w:r w:rsidRPr="006545CC">
        <w:rPr>
          <w:rFonts w:ascii="Times New Roman" w:hAnsi="Times New Roman" w:cs="Times New Roman"/>
          <w:lang w:val="pt-BR"/>
        </w:rPr>
        <w:t xml:space="preserve">  Para maiores informações sobre PPP no Brasil, ver: http://www.pppbrasil.com.br/portal/</w:t>
      </w:r>
    </w:p>
  </w:footnote>
  <w:footnote w:id="17">
    <w:p w14:paraId="65E26E0D" w14:textId="77777777" w:rsidR="00A31500" w:rsidRPr="00A70915" w:rsidRDefault="00A31500" w:rsidP="007F277B">
      <w:pPr>
        <w:pStyle w:val="FootnoteText"/>
        <w:rPr>
          <w:rFonts w:ascii="Times New Roman" w:hAnsi="Times New Roman" w:cs="Times New Roman"/>
          <w:color w:val="000000"/>
          <w:lang w:val="pt-BR"/>
        </w:rPr>
      </w:pPr>
      <w:r w:rsidRPr="00372A71">
        <w:rPr>
          <w:rStyle w:val="FootnoteReference"/>
          <w:color w:val="000000"/>
        </w:rPr>
        <w:footnoteRef/>
      </w:r>
      <w:r w:rsidRPr="00817D98">
        <w:rPr>
          <w:color w:val="000000"/>
          <w:lang w:val="pt-BR"/>
        </w:rPr>
        <w:t xml:space="preserve">  </w:t>
      </w:r>
      <w:r w:rsidRPr="00A70915">
        <w:rPr>
          <w:rFonts w:ascii="Times New Roman" w:hAnsi="Times New Roman" w:cs="Times New Roman"/>
          <w:i/>
          <w:color w:val="000000"/>
          <w:lang w:val="pt-BR"/>
        </w:rPr>
        <w:t>Non-recourse</w:t>
      </w:r>
      <w:r w:rsidRPr="00A70915">
        <w:rPr>
          <w:rFonts w:ascii="Times New Roman" w:hAnsi="Times New Roman" w:cs="Times New Roman"/>
          <w:color w:val="000000"/>
          <w:lang w:val="pt-BR"/>
        </w:rPr>
        <w:t xml:space="preserve"> quer dizer que a dívida é garantida somente pelas receitas e patrimônio da SPE sem recorrer ao patrimônio ou capacidade de endividamento das firmas que são patrocinadoras do projeto, enquanto que no </w:t>
      </w:r>
      <w:r w:rsidRPr="00DB3706">
        <w:rPr>
          <w:rFonts w:ascii="Times New Roman" w:hAnsi="Times New Roman" w:cs="Times New Roman"/>
          <w:i/>
          <w:color w:val="000000"/>
          <w:lang w:val="pt-BR"/>
        </w:rPr>
        <w:t>limited-recourse</w:t>
      </w:r>
      <w:r w:rsidRPr="00A70915">
        <w:rPr>
          <w:rFonts w:ascii="Times New Roman" w:hAnsi="Times New Roman" w:cs="Times New Roman"/>
          <w:color w:val="000000"/>
          <w:lang w:val="pt-BR"/>
        </w:rPr>
        <w:t>, os patrocinadores garantem uma parcela da dívida.</w:t>
      </w:r>
    </w:p>
  </w:footnote>
  <w:footnote w:id="18">
    <w:p w14:paraId="4F3CCD29" w14:textId="28257D39" w:rsidR="00A31500" w:rsidRPr="00D91C24" w:rsidRDefault="00A31500">
      <w:pPr>
        <w:pStyle w:val="FootnoteText"/>
        <w:rPr>
          <w:lang w:val="pt-BR"/>
        </w:rPr>
      </w:pPr>
      <w:r>
        <w:rPr>
          <w:rStyle w:val="FootnoteReference"/>
        </w:rPr>
        <w:footnoteRef/>
      </w:r>
      <w:r w:rsidRPr="006E6A91">
        <w:rPr>
          <w:lang w:val="pt-BR"/>
        </w:rPr>
        <w:t xml:space="preserve"> </w:t>
      </w:r>
      <w:r w:rsidRPr="00D91C24">
        <w:rPr>
          <w:rFonts w:ascii="Times New Roman" w:eastAsia="Times New Roman" w:hAnsi="Times New Roman" w:cs="Times New Roman"/>
          <w:sz w:val="22"/>
          <w:szCs w:val="22"/>
          <w:lang w:val="pt-BR"/>
        </w:rPr>
        <w:t xml:space="preserve">Ver: </w:t>
      </w:r>
      <w:hyperlink r:id="rId6" w:anchor="!/c/notas/16273" w:history="1">
        <w:r w:rsidRPr="00D91C24">
          <w:rPr>
            <w:rStyle w:val="Hyperlink"/>
            <w:rFonts w:ascii="Times New Roman" w:eastAsia="Times New Roman" w:hAnsi="Times New Roman" w:cs="Times New Roman"/>
            <w:sz w:val="22"/>
            <w:szCs w:val="22"/>
            <w:lang w:val="pt-BR"/>
          </w:rPr>
          <w:t>http://www.bcb.gov.br/pt-br/#!/c/notas/16273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5975188"/>
      <w:docPartObj>
        <w:docPartGallery w:val="Page Numbers (Top of Page)"/>
        <w:docPartUnique/>
      </w:docPartObj>
    </w:sdtPr>
    <w:sdtEndPr>
      <w:rPr>
        <w:noProof/>
      </w:rPr>
    </w:sdtEndPr>
    <w:sdtContent>
      <w:p w14:paraId="6516C495" w14:textId="77777777" w:rsidR="00A31500" w:rsidRDefault="00A315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58062F1" w14:textId="77777777" w:rsidR="00A31500" w:rsidRDefault="00A315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106479"/>
      <w:docPartObj>
        <w:docPartGallery w:val="Page Numbers (Top of Page)"/>
        <w:docPartUnique/>
      </w:docPartObj>
    </w:sdtPr>
    <w:sdtContent>
      <w:p w14:paraId="0EC50513" w14:textId="77777777" w:rsidR="00A31500" w:rsidRDefault="00A31500">
        <w:pPr>
          <w:pStyle w:val="Header"/>
          <w:jc w:val="right"/>
        </w:pPr>
        <w:r>
          <w:fldChar w:fldCharType="begin"/>
        </w:r>
        <w:r>
          <w:instrText>PAGE   \* MERGEFORMAT</w:instrText>
        </w:r>
        <w:r>
          <w:fldChar w:fldCharType="separate"/>
        </w:r>
        <w:r w:rsidRPr="00766E38">
          <w:rPr>
            <w:noProof/>
            <w:lang w:val="pt-BR"/>
          </w:rPr>
          <w:t>24</w:t>
        </w:r>
        <w:r>
          <w:rPr>
            <w:noProof/>
            <w:lang w:val="pt-BR"/>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E58F8"/>
    <w:multiLevelType w:val="hybridMultilevel"/>
    <w:tmpl w:val="EBE69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162B2"/>
    <w:multiLevelType w:val="hybridMultilevel"/>
    <w:tmpl w:val="24DA4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33EB7"/>
    <w:multiLevelType w:val="hybridMultilevel"/>
    <w:tmpl w:val="8722C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77A42"/>
    <w:multiLevelType w:val="hybridMultilevel"/>
    <w:tmpl w:val="DB944B34"/>
    <w:lvl w:ilvl="0" w:tplc="04160011">
      <w:start w:val="1"/>
      <w:numFmt w:val="decimal"/>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12BB364F"/>
    <w:multiLevelType w:val="hybridMultilevel"/>
    <w:tmpl w:val="48486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A03B2"/>
    <w:multiLevelType w:val="hybridMultilevel"/>
    <w:tmpl w:val="F878E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229B0"/>
    <w:multiLevelType w:val="hybridMultilevel"/>
    <w:tmpl w:val="1DA4996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436E76"/>
    <w:multiLevelType w:val="hybridMultilevel"/>
    <w:tmpl w:val="DCC6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79533A"/>
    <w:multiLevelType w:val="multilevel"/>
    <w:tmpl w:val="FFEEFB54"/>
    <w:lvl w:ilvl="0">
      <w:start w:val="1"/>
      <w:numFmt w:val="none"/>
      <w:pStyle w:val="FirstHeading"/>
      <w:suff w:val="nothing"/>
      <w:lvlText w:val=""/>
      <w:lvlJc w:val="left"/>
      <w:pPr>
        <w:ind w:left="720" w:hanging="720"/>
      </w:pPr>
      <w:rPr>
        <w:rFonts w:hint="default"/>
      </w:rPr>
    </w:lvl>
    <w:lvl w:ilvl="1">
      <w:start w:val="1"/>
      <w:numFmt w:val="decimal"/>
      <w:pStyle w:val="SecHeading"/>
      <w:lvlText w:val="%2."/>
      <w:lvlJc w:val="left"/>
      <w:pPr>
        <w:tabs>
          <w:tab w:val="num" w:pos="1296"/>
        </w:tabs>
        <w:ind w:left="1296" w:hanging="576"/>
      </w:pPr>
      <w:rPr>
        <w:rFonts w:hint="default"/>
        <w:b w:val="0"/>
        <w:i w:val="0"/>
      </w:rPr>
    </w:lvl>
    <w:lvl w:ilvl="2">
      <w:start w:val="1"/>
      <w:numFmt w:val="lowerLetter"/>
      <w:pStyle w:val="SubHeading1"/>
      <w:lvlText w:val="%3)"/>
      <w:lvlJc w:val="left"/>
      <w:pPr>
        <w:tabs>
          <w:tab w:val="num" w:pos="1872"/>
        </w:tabs>
        <w:ind w:left="1872" w:hanging="576"/>
      </w:pPr>
      <w:rPr>
        <w:rFonts w:hint="default"/>
        <w:b w:val="0"/>
        <w:i w:val="0"/>
      </w:rPr>
    </w:lvl>
    <w:lvl w:ilvl="3">
      <w:start w:val="1"/>
      <w:numFmt w:val="lowerRoman"/>
      <w:pStyle w:val="Subheading2"/>
      <w:lvlText w:val="(%4)"/>
      <w:lvlJc w:val="right"/>
      <w:pPr>
        <w:tabs>
          <w:tab w:val="num" w:pos="2376"/>
        </w:tabs>
        <w:ind w:left="2376" w:hanging="288"/>
      </w:pPr>
      <w:rPr>
        <w:rFonts w:hint="default"/>
        <w:b w:val="0"/>
        <w:i w:val="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9" w15:restartNumberingAfterBreak="0">
    <w:nsid w:val="1DCE1B64"/>
    <w:multiLevelType w:val="hybridMultilevel"/>
    <w:tmpl w:val="046AD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57697"/>
    <w:multiLevelType w:val="hybridMultilevel"/>
    <w:tmpl w:val="A4AE1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D53E5"/>
    <w:multiLevelType w:val="hybridMultilevel"/>
    <w:tmpl w:val="615CA0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E473D"/>
    <w:multiLevelType w:val="hybridMultilevel"/>
    <w:tmpl w:val="4F5A90D2"/>
    <w:lvl w:ilvl="0" w:tplc="FC5E6F88">
      <w:start w:val="2"/>
      <w:numFmt w:val="lowerRoman"/>
      <w:lvlText w:val="%1."/>
      <w:lvlJc w:val="right"/>
      <w:pPr>
        <w:ind w:left="10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36341B"/>
    <w:multiLevelType w:val="multilevel"/>
    <w:tmpl w:val="3F5C041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6456B5"/>
    <w:multiLevelType w:val="hybridMultilevel"/>
    <w:tmpl w:val="4DBC7EC0"/>
    <w:lvl w:ilvl="0" w:tplc="0409001B">
      <w:start w:val="1"/>
      <w:numFmt w:val="low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2DA670A2"/>
    <w:multiLevelType w:val="hybridMultilevel"/>
    <w:tmpl w:val="B1188D7C"/>
    <w:lvl w:ilvl="0" w:tplc="0409001B">
      <w:start w:val="1"/>
      <w:numFmt w:val="lowerRoman"/>
      <w:lvlText w:val="%1."/>
      <w:lvlJc w:val="righ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6" w15:restartNumberingAfterBreak="0">
    <w:nsid w:val="3217548E"/>
    <w:multiLevelType w:val="hybridMultilevel"/>
    <w:tmpl w:val="32369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90709F"/>
    <w:multiLevelType w:val="hybridMultilevel"/>
    <w:tmpl w:val="9C363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EB0D62"/>
    <w:multiLevelType w:val="hybridMultilevel"/>
    <w:tmpl w:val="3282F7A6"/>
    <w:lvl w:ilvl="0" w:tplc="E2B0F974">
      <w:start w:val="1"/>
      <w:numFmt w:val="low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15:restartNumberingAfterBreak="0">
    <w:nsid w:val="332D059A"/>
    <w:multiLevelType w:val="hybridMultilevel"/>
    <w:tmpl w:val="05EA4FB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2B6A11"/>
    <w:multiLevelType w:val="hybridMultilevel"/>
    <w:tmpl w:val="CA34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A41466"/>
    <w:multiLevelType w:val="hybridMultilevel"/>
    <w:tmpl w:val="7B54A2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A17FB9"/>
    <w:multiLevelType w:val="hybridMultilevel"/>
    <w:tmpl w:val="5602175E"/>
    <w:lvl w:ilvl="0" w:tplc="04090003">
      <w:start w:val="1"/>
      <w:numFmt w:val="bullet"/>
      <w:lvlText w:val="o"/>
      <w:lvlJc w:val="left"/>
      <w:pPr>
        <w:ind w:left="1353" w:hanging="360"/>
      </w:pPr>
      <w:rPr>
        <w:rFonts w:ascii="Courier New" w:hAnsi="Courier New" w:cs="Courier New" w:hint="default"/>
      </w:rPr>
    </w:lvl>
    <w:lvl w:ilvl="1" w:tplc="04090003">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3" w15:restartNumberingAfterBreak="0">
    <w:nsid w:val="49F03955"/>
    <w:multiLevelType w:val="hybridMultilevel"/>
    <w:tmpl w:val="7E96E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3F7DBE"/>
    <w:multiLevelType w:val="hybridMultilevel"/>
    <w:tmpl w:val="5E288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0B734C"/>
    <w:multiLevelType w:val="hybridMultilevel"/>
    <w:tmpl w:val="0CB612E4"/>
    <w:lvl w:ilvl="0" w:tplc="049AEDF6">
      <w:start w:val="1"/>
      <w:numFmt w:val="low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15:restartNumberingAfterBreak="0">
    <w:nsid w:val="58737C71"/>
    <w:multiLevelType w:val="hybridMultilevel"/>
    <w:tmpl w:val="8F040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320BE8"/>
    <w:multiLevelType w:val="hybridMultilevel"/>
    <w:tmpl w:val="E8EC67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AFD549B"/>
    <w:multiLevelType w:val="hybridMultilevel"/>
    <w:tmpl w:val="E990D330"/>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9" w15:restartNumberingAfterBreak="0">
    <w:nsid w:val="5B146421"/>
    <w:multiLevelType w:val="hybridMultilevel"/>
    <w:tmpl w:val="064CD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4F2987"/>
    <w:multiLevelType w:val="hybridMultilevel"/>
    <w:tmpl w:val="528C5BF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AE2C69"/>
    <w:multiLevelType w:val="hybridMultilevel"/>
    <w:tmpl w:val="FCD2C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9C62A8"/>
    <w:multiLevelType w:val="hybridMultilevel"/>
    <w:tmpl w:val="1EB67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A4158F"/>
    <w:multiLevelType w:val="hybridMultilevel"/>
    <w:tmpl w:val="6C50B07A"/>
    <w:lvl w:ilvl="0" w:tplc="A7DAEC30">
      <w:start w:val="1"/>
      <w:numFmt w:val="bullet"/>
      <w:lvlText w:val=""/>
      <w:lvlJc w:val="left"/>
      <w:pPr>
        <w:ind w:left="720" w:hanging="360"/>
      </w:pPr>
      <w:rPr>
        <w:rFonts w:ascii="Symbol" w:hAnsi="Symbol" w:hint="default"/>
        <w:lang w:val="pt-B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0C7FA8"/>
    <w:multiLevelType w:val="hybridMultilevel"/>
    <w:tmpl w:val="67127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3B5467"/>
    <w:multiLevelType w:val="hybridMultilevel"/>
    <w:tmpl w:val="719247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0412C51"/>
    <w:multiLevelType w:val="hybridMultilevel"/>
    <w:tmpl w:val="4FA26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D00BC2"/>
    <w:multiLevelType w:val="hybridMultilevel"/>
    <w:tmpl w:val="66E03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DE5E89"/>
    <w:multiLevelType w:val="hybridMultilevel"/>
    <w:tmpl w:val="ED04431E"/>
    <w:lvl w:ilvl="0" w:tplc="6C3CC868">
      <w:start w:val="1"/>
      <w:numFmt w:val="upperRoman"/>
      <w:lvlText w:val="%1."/>
      <w:lvlJc w:val="right"/>
      <w:pPr>
        <w:ind w:left="1080" w:hanging="72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BA1A63"/>
    <w:multiLevelType w:val="hybridMultilevel"/>
    <w:tmpl w:val="7082A364"/>
    <w:lvl w:ilvl="0" w:tplc="FFFFFFFF">
      <w:start w:val="1"/>
      <w:numFmt w:val="bullet"/>
      <w:lvlText w:val=""/>
      <w:lvlJc w:val="left"/>
      <w:pPr>
        <w:tabs>
          <w:tab w:val="num" w:pos="862"/>
        </w:tabs>
        <w:ind w:left="862" w:hanging="360"/>
      </w:pPr>
      <w:rPr>
        <w:rFonts w:ascii="Symbol" w:hAnsi="Symbol" w:hint="default"/>
        <w:sz w:val="16"/>
      </w:rPr>
    </w:lvl>
    <w:lvl w:ilvl="1" w:tplc="FFFFFFFF">
      <w:start w:val="1"/>
      <w:numFmt w:val="bullet"/>
      <w:lvlText w:val=""/>
      <w:lvlJc w:val="left"/>
      <w:pPr>
        <w:tabs>
          <w:tab w:val="num" w:pos="1582"/>
        </w:tabs>
        <w:ind w:left="1582" w:hanging="360"/>
      </w:pPr>
      <w:rPr>
        <w:rFonts w:ascii="Wingdings" w:hAnsi="Wingdings" w:hint="default"/>
      </w:rPr>
    </w:lvl>
    <w:lvl w:ilvl="2" w:tplc="FFFFFFFF" w:tentative="1">
      <w:start w:val="1"/>
      <w:numFmt w:val="bullet"/>
      <w:lvlText w:val=""/>
      <w:lvlJc w:val="left"/>
      <w:pPr>
        <w:tabs>
          <w:tab w:val="num" w:pos="2302"/>
        </w:tabs>
        <w:ind w:left="2302" w:hanging="360"/>
      </w:pPr>
      <w:rPr>
        <w:rFonts w:ascii="Wingdings" w:hAnsi="Wingdings" w:hint="default"/>
      </w:rPr>
    </w:lvl>
    <w:lvl w:ilvl="3" w:tplc="FFFFFFFF" w:tentative="1">
      <w:start w:val="1"/>
      <w:numFmt w:val="bullet"/>
      <w:lvlText w:val=""/>
      <w:lvlJc w:val="left"/>
      <w:pPr>
        <w:tabs>
          <w:tab w:val="num" w:pos="3022"/>
        </w:tabs>
        <w:ind w:left="3022" w:hanging="360"/>
      </w:pPr>
      <w:rPr>
        <w:rFonts w:ascii="Symbol" w:hAnsi="Symbol" w:hint="default"/>
      </w:rPr>
    </w:lvl>
    <w:lvl w:ilvl="4" w:tplc="FFFFFFFF" w:tentative="1">
      <w:start w:val="1"/>
      <w:numFmt w:val="bullet"/>
      <w:lvlText w:val="o"/>
      <w:lvlJc w:val="left"/>
      <w:pPr>
        <w:tabs>
          <w:tab w:val="num" w:pos="3742"/>
        </w:tabs>
        <w:ind w:left="3742" w:hanging="360"/>
      </w:pPr>
      <w:rPr>
        <w:rFonts w:ascii="Courier New" w:hAnsi="Courier New" w:hint="default"/>
      </w:rPr>
    </w:lvl>
    <w:lvl w:ilvl="5" w:tplc="FFFFFFFF" w:tentative="1">
      <w:start w:val="1"/>
      <w:numFmt w:val="bullet"/>
      <w:lvlText w:val=""/>
      <w:lvlJc w:val="left"/>
      <w:pPr>
        <w:tabs>
          <w:tab w:val="num" w:pos="4462"/>
        </w:tabs>
        <w:ind w:left="4462" w:hanging="360"/>
      </w:pPr>
      <w:rPr>
        <w:rFonts w:ascii="Wingdings" w:hAnsi="Wingdings" w:hint="default"/>
      </w:rPr>
    </w:lvl>
    <w:lvl w:ilvl="6" w:tplc="FFFFFFFF" w:tentative="1">
      <w:start w:val="1"/>
      <w:numFmt w:val="bullet"/>
      <w:lvlText w:val=""/>
      <w:lvlJc w:val="left"/>
      <w:pPr>
        <w:tabs>
          <w:tab w:val="num" w:pos="5182"/>
        </w:tabs>
        <w:ind w:left="5182" w:hanging="360"/>
      </w:pPr>
      <w:rPr>
        <w:rFonts w:ascii="Symbol" w:hAnsi="Symbol" w:hint="default"/>
      </w:rPr>
    </w:lvl>
    <w:lvl w:ilvl="7" w:tplc="FFFFFFFF" w:tentative="1">
      <w:start w:val="1"/>
      <w:numFmt w:val="bullet"/>
      <w:lvlText w:val="o"/>
      <w:lvlJc w:val="left"/>
      <w:pPr>
        <w:tabs>
          <w:tab w:val="num" w:pos="5902"/>
        </w:tabs>
        <w:ind w:left="5902" w:hanging="360"/>
      </w:pPr>
      <w:rPr>
        <w:rFonts w:ascii="Courier New" w:hAnsi="Courier New" w:hint="default"/>
      </w:rPr>
    </w:lvl>
    <w:lvl w:ilvl="8" w:tplc="FFFFFFFF" w:tentative="1">
      <w:start w:val="1"/>
      <w:numFmt w:val="bullet"/>
      <w:lvlText w:val=""/>
      <w:lvlJc w:val="left"/>
      <w:pPr>
        <w:tabs>
          <w:tab w:val="num" w:pos="6622"/>
        </w:tabs>
        <w:ind w:left="6622" w:hanging="360"/>
      </w:pPr>
      <w:rPr>
        <w:rFonts w:ascii="Wingdings" w:hAnsi="Wingdings" w:hint="default"/>
      </w:rPr>
    </w:lvl>
  </w:abstractNum>
  <w:num w:numId="1">
    <w:abstractNumId w:val="36"/>
  </w:num>
  <w:num w:numId="2">
    <w:abstractNumId w:val="29"/>
  </w:num>
  <w:num w:numId="3">
    <w:abstractNumId w:val="4"/>
  </w:num>
  <w:num w:numId="4">
    <w:abstractNumId w:val="34"/>
  </w:num>
  <w:num w:numId="5">
    <w:abstractNumId w:val="2"/>
  </w:num>
  <w:num w:numId="6">
    <w:abstractNumId w:val="31"/>
  </w:num>
  <w:num w:numId="7">
    <w:abstractNumId w:val="21"/>
  </w:num>
  <w:num w:numId="8">
    <w:abstractNumId w:val="20"/>
  </w:num>
  <w:num w:numId="9">
    <w:abstractNumId w:val="9"/>
  </w:num>
  <w:num w:numId="10">
    <w:abstractNumId w:val="8"/>
  </w:num>
  <w:num w:numId="11">
    <w:abstractNumId w:val="37"/>
  </w:num>
  <w:num w:numId="12">
    <w:abstractNumId w:val="35"/>
  </w:num>
  <w:num w:numId="13">
    <w:abstractNumId w:val="22"/>
  </w:num>
  <w:num w:numId="14">
    <w:abstractNumId w:val="33"/>
  </w:num>
  <w:num w:numId="15">
    <w:abstractNumId w:val="1"/>
  </w:num>
  <w:num w:numId="16">
    <w:abstractNumId w:val="24"/>
  </w:num>
  <w:num w:numId="17">
    <w:abstractNumId w:val="38"/>
  </w:num>
  <w:num w:numId="18">
    <w:abstractNumId w:val="5"/>
  </w:num>
  <w:num w:numId="19">
    <w:abstractNumId w:val="19"/>
  </w:num>
  <w:num w:numId="20">
    <w:abstractNumId w:val="6"/>
  </w:num>
  <w:num w:numId="21">
    <w:abstractNumId w:val="16"/>
  </w:num>
  <w:num w:numId="22">
    <w:abstractNumId w:val="13"/>
  </w:num>
  <w:num w:numId="23">
    <w:abstractNumId w:val="39"/>
  </w:num>
  <w:num w:numId="24">
    <w:abstractNumId w:val="28"/>
  </w:num>
  <w:num w:numId="25">
    <w:abstractNumId w:val="27"/>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4"/>
  </w:num>
  <w:num w:numId="30">
    <w:abstractNumId w:val="11"/>
  </w:num>
  <w:num w:numId="31">
    <w:abstractNumId w:val="12"/>
  </w:num>
  <w:num w:numId="32">
    <w:abstractNumId w:val="3"/>
  </w:num>
  <w:num w:numId="33">
    <w:abstractNumId w:val="7"/>
  </w:num>
  <w:num w:numId="34">
    <w:abstractNumId w:val="26"/>
  </w:num>
  <w:num w:numId="35">
    <w:abstractNumId w:val="17"/>
  </w:num>
  <w:num w:numId="36">
    <w:abstractNumId w:val="0"/>
  </w:num>
  <w:num w:numId="37">
    <w:abstractNumId w:val="32"/>
  </w:num>
  <w:num w:numId="38">
    <w:abstractNumId w:val="10"/>
  </w:num>
  <w:num w:numId="39">
    <w:abstractNumId w:val="30"/>
  </w:num>
  <w:num w:numId="40">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DE7"/>
    <w:rsid w:val="00001D0D"/>
    <w:rsid w:val="0000204C"/>
    <w:rsid w:val="000022E7"/>
    <w:rsid w:val="00003F72"/>
    <w:rsid w:val="0000583C"/>
    <w:rsid w:val="00006A1E"/>
    <w:rsid w:val="00006C03"/>
    <w:rsid w:val="0001058F"/>
    <w:rsid w:val="000108CB"/>
    <w:rsid w:val="000116D0"/>
    <w:rsid w:val="000118EC"/>
    <w:rsid w:val="00013FA9"/>
    <w:rsid w:val="0001401C"/>
    <w:rsid w:val="000144CE"/>
    <w:rsid w:val="00015513"/>
    <w:rsid w:val="00020ED5"/>
    <w:rsid w:val="0002298B"/>
    <w:rsid w:val="00022A71"/>
    <w:rsid w:val="00024884"/>
    <w:rsid w:val="000274EB"/>
    <w:rsid w:val="00030A29"/>
    <w:rsid w:val="00031976"/>
    <w:rsid w:val="000325ED"/>
    <w:rsid w:val="0003287E"/>
    <w:rsid w:val="000332D6"/>
    <w:rsid w:val="000341F6"/>
    <w:rsid w:val="000342D6"/>
    <w:rsid w:val="00036651"/>
    <w:rsid w:val="0004078A"/>
    <w:rsid w:val="00041D67"/>
    <w:rsid w:val="000439E3"/>
    <w:rsid w:val="00043C1B"/>
    <w:rsid w:val="00044473"/>
    <w:rsid w:val="000445B1"/>
    <w:rsid w:val="00046DC0"/>
    <w:rsid w:val="00050925"/>
    <w:rsid w:val="0005109B"/>
    <w:rsid w:val="00051206"/>
    <w:rsid w:val="000529F0"/>
    <w:rsid w:val="00053EB0"/>
    <w:rsid w:val="000547B0"/>
    <w:rsid w:val="000551EB"/>
    <w:rsid w:val="000554FA"/>
    <w:rsid w:val="00055545"/>
    <w:rsid w:val="0005602F"/>
    <w:rsid w:val="000603CC"/>
    <w:rsid w:val="00063B1D"/>
    <w:rsid w:val="0006467C"/>
    <w:rsid w:val="000649FB"/>
    <w:rsid w:val="00065CFC"/>
    <w:rsid w:val="00066394"/>
    <w:rsid w:val="00066950"/>
    <w:rsid w:val="00067052"/>
    <w:rsid w:val="000723E5"/>
    <w:rsid w:val="000728F4"/>
    <w:rsid w:val="0007293B"/>
    <w:rsid w:val="00073026"/>
    <w:rsid w:val="000730D7"/>
    <w:rsid w:val="00073684"/>
    <w:rsid w:val="00073C41"/>
    <w:rsid w:val="00074BBA"/>
    <w:rsid w:val="00081CDA"/>
    <w:rsid w:val="00083894"/>
    <w:rsid w:val="00084299"/>
    <w:rsid w:val="000842B1"/>
    <w:rsid w:val="00084669"/>
    <w:rsid w:val="00084B5E"/>
    <w:rsid w:val="000851A2"/>
    <w:rsid w:val="00090235"/>
    <w:rsid w:val="00095305"/>
    <w:rsid w:val="00095A72"/>
    <w:rsid w:val="0009688A"/>
    <w:rsid w:val="0009764D"/>
    <w:rsid w:val="00097955"/>
    <w:rsid w:val="00097C5E"/>
    <w:rsid w:val="000A2218"/>
    <w:rsid w:val="000A2B75"/>
    <w:rsid w:val="000A61CF"/>
    <w:rsid w:val="000A6E26"/>
    <w:rsid w:val="000B04E7"/>
    <w:rsid w:val="000B0BA9"/>
    <w:rsid w:val="000B3704"/>
    <w:rsid w:val="000B3B8D"/>
    <w:rsid w:val="000B4C9D"/>
    <w:rsid w:val="000B4CD3"/>
    <w:rsid w:val="000B55A7"/>
    <w:rsid w:val="000B5713"/>
    <w:rsid w:val="000B5724"/>
    <w:rsid w:val="000C001E"/>
    <w:rsid w:val="000C0A64"/>
    <w:rsid w:val="000C12A6"/>
    <w:rsid w:val="000C34D0"/>
    <w:rsid w:val="000C3BEC"/>
    <w:rsid w:val="000C50D2"/>
    <w:rsid w:val="000C5994"/>
    <w:rsid w:val="000C5A99"/>
    <w:rsid w:val="000C7B05"/>
    <w:rsid w:val="000D331A"/>
    <w:rsid w:val="000D3A22"/>
    <w:rsid w:val="000D6D66"/>
    <w:rsid w:val="000D77AF"/>
    <w:rsid w:val="000E0BAD"/>
    <w:rsid w:val="000E13CB"/>
    <w:rsid w:val="000E19B1"/>
    <w:rsid w:val="000E1BD4"/>
    <w:rsid w:val="000E3EC0"/>
    <w:rsid w:val="000E4786"/>
    <w:rsid w:val="000E54A9"/>
    <w:rsid w:val="000E73AB"/>
    <w:rsid w:val="000F0097"/>
    <w:rsid w:val="000F07F9"/>
    <w:rsid w:val="000F08CB"/>
    <w:rsid w:val="000F12A8"/>
    <w:rsid w:val="000F13F8"/>
    <w:rsid w:val="000F4AAB"/>
    <w:rsid w:val="000F5B10"/>
    <w:rsid w:val="000F7409"/>
    <w:rsid w:val="001020A3"/>
    <w:rsid w:val="001059FD"/>
    <w:rsid w:val="001061F5"/>
    <w:rsid w:val="00106BC7"/>
    <w:rsid w:val="00107912"/>
    <w:rsid w:val="00110B1A"/>
    <w:rsid w:val="00110E94"/>
    <w:rsid w:val="00111ADD"/>
    <w:rsid w:val="0011211B"/>
    <w:rsid w:val="001123D7"/>
    <w:rsid w:val="0011365F"/>
    <w:rsid w:val="00113EE2"/>
    <w:rsid w:val="001145DA"/>
    <w:rsid w:val="001146D6"/>
    <w:rsid w:val="00114C5A"/>
    <w:rsid w:val="00116379"/>
    <w:rsid w:val="00116584"/>
    <w:rsid w:val="00116D51"/>
    <w:rsid w:val="001206B9"/>
    <w:rsid w:val="001247A4"/>
    <w:rsid w:val="001247DC"/>
    <w:rsid w:val="001250B8"/>
    <w:rsid w:val="001252BC"/>
    <w:rsid w:val="00125E59"/>
    <w:rsid w:val="00127938"/>
    <w:rsid w:val="00131239"/>
    <w:rsid w:val="0013169C"/>
    <w:rsid w:val="001328F4"/>
    <w:rsid w:val="00135219"/>
    <w:rsid w:val="00135EA1"/>
    <w:rsid w:val="00137CF9"/>
    <w:rsid w:val="00141049"/>
    <w:rsid w:val="0014542A"/>
    <w:rsid w:val="00145681"/>
    <w:rsid w:val="00146BB9"/>
    <w:rsid w:val="00150880"/>
    <w:rsid w:val="00150A95"/>
    <w:rsid w:val="00151781"/>
    <w:rsid w:val="001544E9"/>
    <w:rsid w:val="001546EF"/>
    <w:rsid w:val="001561BD"/>
    <w:rsid w:val="0016160A"/>
    <w:rsid w:val="00161983"/>
    <w:rsid w:val="00161E0D"/>
    <w:rsid w:val="00162775"/>
    <w:rsid w:val="00162D70"/>
    <w:rsid w:val="00163591"/>
    <w:rsid w:val="00163A51"/>
    <w:rsid w:val="00165F07"/>
    <w:rsid w:val="0016628A"/>
    <w:rsid w:val="001708B3"/>
    <w:rsid w:val="0017429C"/>
    <w:rsid w:val="00175897"/>
    <w:rsid w:val="00180F38"/>
    <w:rsid w:val="00182808"/>
    <w:rsid w:val="00183C88"/>
    <w:rsid w:val="00183F81"/>
    <w:rsid w:val="00184039"/>
    <w:rsid w:val="00184C28"/>
    <w:rsid w:val="001850A9"/>
    <w:rsid w:val="001853CF"/>
    <w:rsid w:val="001853EE"/>
    <w:rsid w:val="0018547C"/>
    <w:rsid w:val="00185F40"/>
    <w:rsid w:val="00193244"/>
    <w:rsid w:val="0019378A"/>
    <w:rsid w:val="00196C5F"/>
    <w:rsid w:val="00197D88"/>
    <w:rsid w:val="001A070B"/>
    <w:rsid w:val="001A17BB"/>
    <w:rsid w:val="001A2B95"/>
    <w:rsid w:val="001A3F4D"/>
    <w:rsid w:val="001A44C1"/>
    <w:rsid w:val="001A4799"/>
    <w:rsid w:val="001B0C49"/>
    <w:rsid w:val="001B1C9F"/>
    <w:rsid w:val="001B22E4"/>
    <w:rsid w:val="001B2C89"/>
    <w:rsid w:val="001B4BBF"/>
    <w:rsid w:val="001B591F"/>
    <w:rsid w:val="001B6F28"/>
    <w:rsid w:val="001C01FB"/>
    <w:rsid w:val="001C025C"/>
    <w:rsid w:val="001C0519"/>
    <w:rsid w:val="001C15E5"/>
    <w:rsid w:val="001C27FB"/>
    <w:rsid w:val="001C2BEF"/>
    <w:rsid w:val="001C2CBA"/>
    <w:rsid w:val="001C3B22"/>
    <w:rsid w:val="001C5332"/>
    <w:rsid w:val="001C5DCD"/>
    <w:rsid w:val="001C7D0E"/>
    <w:rsid w:val="001D1A88"/>
    <w:rsid w:val="001D1A91"/>
    <w:rsid w:val="001D2E4D"/>
    <w:rsid w:val="001D3616"/>
    <w:rsid w:val="001D5D49"/>
    <w:rsid w:val="001D6539"/>
    <w:rsid w:val="001D67BB"/>
    <w:rsid w:val="001E1176"/>
    <w:rsid w:val="001E2AE5"/>
    <w:rsid w:val="001E3450"/>
    <w:rsid w:val="001E4A21"/>
    <w:rsid w:val="001E5A95"/>
    <w:rsid w:val="001E5CE9"/>
    <w:rsid w:val="001E676A"/>
    <w:rsid w:val="001E6EA2"/>
    <w:rsid w:val="001E75D3"/>
    <w:rsid w:val="001E766B"/>
    <w:rsid w:val="001F050B"/>
    <w:rsid w:val="001F0637"/>
    <w:rsid w:val="001F07A0"/>
    <w:rsid w:val="001F0CE8"/>
    <w:rsid w:val="001F2491"/>
    <w:rsid w:val="001F6BD3"/>
    <w:rsid w:val="00200322"/>
    <w:rsid w:val="002003D4"/>
    <w:rsid w:val="00200902"/>
    <w:rsid w:val="0020162C"/>
    <w:rsid w:val="002016F9"/>
    <w:rsid w:val="0020283D"/>
    <w:rsid w:val="0020461E"/>
    <w:rsid w:val="00204DAB"/>
    <w:rsid w:val="00205EB2"/>
    <w:rsid w:val="00207295"/>
    <w:rsid w:val="00207FCB"/>
    <w:rsid w:val="002101A0"/>
    <w:rsid w:val="00212699"/>
    <w:rsid w:val="002127C3"/>
    <w:rsid w:val="0021456E"/>
    <w:rsid w:val="00214917"/>
    <w:rsid w:val="00214935"/>
    <w:rsid w:val="00215F1A"/>
    <w:rsid w:val="00216989"/>
    <w:rsid w:val="0021728E"/>
    <w:rsid w:val="0022035F"/>
    <w:rsid w:val="00220447"/>
    <w:rsid w:val="00221D22"/>
    <w:rsid w:val="00222294"/>
    <w:rsid w:val="00223C4E"/>
    <w:rsid w:val="00230C3F"/>
    <w:rsid w:val="002311CE"/>
    <w:rsid w:val="0023197E"/>
    <w:rsid w:val="0023490F"/>
    <w:rsid w:val="00234B18"/>
    <w:rsid w:val="002358D6"/>
    <w:rsid w:val="00236824"/>
    <w:rsid w:val="00236B94"/>
    <w:rsid w:val="0023704A"/>
    <w:rsid w:val="00237E87"/>
    <w:rsid w:val="00242670"/>
    <w:rsid w:val="002441E9"/>
    <w:rsid w:val="002456CC"/>
    <w:rsid w:val="00246665"/>
    <w:rsid w:val="002507F6"/>
    <w:rsid w:val="00251BAD"/>
    <w:rsid w:val="00252CAE"/>
    <w:rsid w:val="002539BA"/>
    <w:rsid w:val="0025480C"/>
    <w:rsid w:val="00254DC2"/>
    <w:rsid w:val="0025712B"/>
    <w:rsid w:val="00257611"/>
    <w:rsid w:val="00257A88"/>
    <w:rsid w:val="00261703"/>
    <w:rsid w:val="0026223C"/>
    <w:rsid w:val="0026275B"/>
    <w:rsid w:val="00263888"/>
    <w:rsid w:val="00263AE4"/>
    <w:rsid w:val="0026732E"/>
    <w:rsid w:val="00267D0F"/>
    <w:rsid w:val="00270921"/>
    <w:rsid w:val="0027135B"/>
    <w:rsid w:val="002728DC"/>
    <w:rsid w:val="00272BCD"/>
    <w:rsid w:val="002747B8"/>
    <w:rsid w:val="00274A49"/>
    <w:rsid w:val="00276394"/>
    <w:rsid w:val="00276B88"/>
    <w:rsid w:val="00276C87"/>
    <w:rsid w:val="0027760F"/>
    <w:rsid w:val="00280FA4"/>
    <w:rsid w:val="00281996"/>
    <w:rsid w:val="00281B82"/>
    <w:rsid w:val="002827C5"/>
    <w:rsid w:val="002837FD"/>
    <w:rsid w:val="00284292"/>
    <w:rsid w:val="00284BE9"/>
    <w:rsid w:val="00286158"/>
    <w:rsid w:val="00287092"/>
    <w:rsid w:val="002905F4"/>
    <w:rsid w:val="0029188B"/>
    <w:rsid w:val="002920A7"/>
    <w:rsid w:val="00292B78"/>
    <w:rsid w:val="00292BB8"/>
    <w:rsid w:val="00292E12"/>
    <w:rsid w:val="00293C53"/>
    <w:rsid w:val="002944B3"/>
    <w:rsid w:val="0029549F"/>
    <w:rsid w:val="00296CDE"/>
    <w:rsid w:val="00296EC5"/>
    <w:rsid w:val="0029727E"/>
    <w:rsid w:val="0029781F"/>
    <w:rsid w:val="002978B9"/>
    <w:rsid w:val="00297A57"/>
    <w:rsid w:val="002A1F2C"/>
    <w:rsid w:val="002A20F5"/>
    <w:rsid w:val="002A2AC9"/>
    <w:rsid w:val="002A3DA1"/>
    <w:rsid w:val="002A42E0"/>
    <w:rsid w:val="002A495C"/>
    <w:rsid w:val="002A581B"/>
    <w:rsid w:val="002A5C38"/>
    <w:rsid w:val="002A6F41"/>
    <w:rsid w:val="002A7A54"/>
    <w:rsid w:val="002A7C84"/>
    <w:rsid w:val="002B0F80"/>
    <w:rsid w:val="002B2457"/>
    <w:rsid w:val="002B61DC"/>
    <w:rsid w:val="002B63CC"/>
    <w:rsid w:val="002B6D28"/>
    <w:rsid w:val="002B6E07"/>
    <w:rsid w:val="002C2A19"/>
    <w:rsid w:val="002C3923"/>
    <w:rsid w:val="002C50A3"/>
    <w:rsid w:val="002C523A"/>
    <w:rsid w:val="002C6180"/>
    <w:rsid w:val="002C71A1"/>
    <w:rsid w:val="002D1C12"/>
    <w:rsid w:val="002D26E9"/>
    <w:rsid w:val="002D38DC"/>
    <w:rsid w:val="002D49C1"/>
    <w:rsid w:val="002D4F04"/>
    <w:rsid w:val="002D6E55"/>
    <w:rsid w:val="002D732C"/>
    <w:rsid w:val="002D7F6B"/>
    <w:rsid w:val="002E0CD9"/>
    <w:rsid w:val="002E0E5E"/>
    <w:rsid w:val="002E2CDB"/>
    <w:rsid w:val="002E3B7E"/>
    <w:rsid w:val="002E3BD4"/>
    <w:rsid w:val="002E3D8F"/>
    <w:rsid w:val="002F01DA"/>
    <w:rsid w:val="002F058E"/>
    <w:rsid w:val="002F0FC3"/>
    <w:rsid w:val="002F1F67"/>
    <w:rsid w:val="002F2ACB"/>
    <w:rsid w:val="002F470F"/>
    <w:rsid w:val="002F539F"/>
    <w:rsid w:val="002F53C9"/>
    <w:rsid w:val="002F5D16"/>
    <w:rsid w:val="002F60BA"/>
    <w:rsid w:val="002F6675"/>
    <w:rsid w:val="002F7DA7"/>
    <w:rsid w:val="00300B2D"/>
    <w:rsid w:val="00301473"/>
    <w:rsid w:val="00303750"/>
    <w:rsid w:val="00304CE9"/>
    <w:rsid w:val="00305225"/>
    <w:rsid w:val="00305875"/>
    <w:rsid w:val="00306843"/>
    <w:rsid w:val="00306AEC"/>
    <w:rsid w:val="00306C79"/>
    <w:rsid w:val="00306D92"/>
    <w:rsid w:val="00306E60"/>
    <w:rsid w:val="00307F4D"/>
    <w:rsid w:val="00310C93"/>
    <w:rsid w:val="00311C03"/>
    <w:rsid w:val="00313257"/>
    <w:rsid w:val="003139F5"/>
    <w:rsid w:val="0031712D"/>
    <w:rsid w:val="0031764F"/>
    <w:rsid w:val="00317803"/>
    <w:rsid w:val="003201F6"/>
    <w:rsid w:val="0032061B"/>
    <w:rsid w:val="00322DAC"/>
    <w:rsid w:val="00323519"/>
    <w:rsid w:val="00325494"/>
    <w:rsid w:val="0032684C"/>
    <w:rsid w:val="003271BC"/>
    <w:rsid w:val="00330098"/>
    <w:rsid w:val="003300AA"/>
    <w:rsid w:val="00330857"/>
    <w:rsid w:val="00332509"/>
    <w:rsid w:val="00332B2E"/>
    <w:rsid w:val="00332E0B"/>
    <w:rsid w:val="0033512E"/>
    <w:rsid w:val="00336F44"/>
    <w:rsid w:val="00337F71"/>
    <w:rsid w:val="0034127A"/>
    <w:rsid w:val="00343BDE"/>
    <w:rsid w:val="00345EAC"/>
    <w:rsid w:val="00345FCA"/>
    <w:rsid w:val="00350398"/>
    <w:rsid w:val="003505E1"/>
    <w:rsid w:val="003507EC"/>
    <w:rsid w:val="00352942"/>
    <w:rsid w:val="00357C92"/>
    <w:rsid w:val="0036143B"/>
    <w:rsid w:val="003619C5"/>
    <w:rsid w:val="00362F6D"/>
    <w:rsid w:val="00363398"/>
    <w:rsid w:val="003649BD"/>
    <w:rsid w:val="003661A0"/>
    <w:rsid w:val="00367E79"/>
    <w:rsid w:val="00373569"/>
    <w:rsid w:val="00373EEB"/>
    <w:rsid w:val="00374415"/>
    <w:rsid w:val="00374C39"/>
    <w:rsid w:val="00375593"/>
    <w:rsid w:val="003757CE"/>
    <w:rsid w:val="00375C45"/>
    <w:rsid w:val="00376B9F"/>
    <w:rsid w:val="00376BD5"/>
    <w:rsid w:val="00377F05"/>
    <w:rsid w:val="003812A1"/>
    <w:rsid w:val="0038284A"/>
    <w:rsid w:val="00382CD4"/>
    <w:rsid w:val="00382FEA"/>
    <w:rsid w:val="00383B18"/>
    <w:rsid w:val="00383BC5"/>
    <w:rsid w:val="003867B7"/>
    <w:rsid w:val="00387CAA"/>
    <w:rsid w:val="003901B4"/>
    <w:rsid w:val="00390237"/>
    <w:rsid w:val="00392025"/>
    <w:rsid w:val="003921DD"/>
    <w:rsid w:val="003925C1"/>
    <w:rsid w:val="00393467"/>
    <w:rsid w:val="00393569"/>
    <w:rsid w:val="00393BCB"/>
    <w:rsid w:val="0039449C"/>
    <w:rsid w:val="003958AC"/>
    <w:rsid w:val="00396BF1"/>
    <w:rsid w:val="00397755"/>
    <w:rsid w:val="003A09DE"/>
    <w:rsid w:val="003A15D4"/>
    <w:rsid w:val="003A2464"/>
    <w:rsid w:val="003A24A4"/>
    <w:rsid w:val="003A30C6"/>
    <w:rsid w:val="003A38CE"/>
    <w:rsid w:val="003A39DF"/>
    <w:rsid w:val="003A45F6"/>
    <w:rsid w:val="003A5201"/>
    <w:rsid w:val="003A5D8B"/>
    <w:rsid w:val="003A7569"/>
    <w:rsid w:val="003B0874"/>
    <w:rsid w:val="003B0F7D"/>
    <w:rsid w:val="003B257A"/>
    <w:rsid w:val="003B3644"/>
    <w:rsid w:val="003B3941"/>
    <w:rsid w:val="003B3E8C"/>
    <w:rsid w:val="003B6ED6"/>
    <w:rsid w:val="003B7A5D"/>
    <w:rsid w:val="003B7A8A"/>
    <w:rsid w:val="003C0048"/>
    <w:rsid w:val="003C0ACC"/>
    <w:rsid w:val="003C1718"/>
    <w:rsid w:val="003C2A21"/>
    <w:rsid w:val="003C2B7A"/>
    <w:rsid w:val="003C38BC"/>
    <w:rsid w:val="003C5404"/>
    <w:rsid w:val="003C58C2"/>
    <w:rsid w:val="003C5F83"/>
    <w:rsid w:val="003C5FB7"/>
    <w:rsid w:val="003C67AF"/>
    <w:rsid w:val="003D07E1"/>
    <w:rsid w:val="003D1214"/>
    <w:rsid w:val="003D1E04"/>
    <w:rsid w:val="003D2CCD"/>
    <w:rsid w:val="003D6123"/>
    <w:rsid w:val="003D6201"/>
    <w:rsid w:val="003D6A42"/>
    <w:rsid w:val="003D6E38"/>
    <w:rsid w:val="003D70AD"/>
    <w:rsid w:val="003E0150"/>
    <w:rsid w:val="003E04B9"/>
    <w:rsid w:val="003E1199"/>
    <w:rsid w:val="003E11C4"/>
    <w:rsid w:val="003E1B31"/>
    <w:rsid w:val="003E2272"/>
    <w:rsid w:val="003E24A3"/>
    <w:rsid w:val="003E46AE"/>
    <w:rsid w:val="003E6D49"/>
    <w:rsid w:val="003E720B"/>
    <w:rsid w:val="003E78E3"/>
    <w:rsid w:val="003E792A"/>
    <w:rsid w:val="003F07FA"/>
    <w:rsid w:val="003F10DE"/>
    <w:rsid w:val="003F1A38"/>
    <w:rsid w:val="003F22CE"/>
    <w:rsid w:val="003F2EDD"/>
    <w:rsid w:val="003F50CA"/>
    <w:rsid w:val="003F64FE"/>
    <w:rsid w:val="003F6AC1"/>
    <w:rsid w:val="003F7175"/>
    <w:rsid w:val="0040022B"/>
    <w:rsid w:val="00402377"/>
    <w:rsid w:val="0040246A"/>
    <w:rsid w:val="00402C32"/>
    <w:rsid w:val="00402E7C"/>
    <w:rsid w:val="004041BC"/>
    <w:rsid w:val="004049FD"/>
    <w:rsid w:val="00404A09"/>
    <w:rsid w:val="004063BD"/>
    <w:rsid w:val="0040650C"/>
    <w:rsid w:val="0041470F"/>
    <w:rsid w:val="00417E5D"/>
    <w:rsid w:val="004205CB"/>
    <w:rsid w:val="00421D67"/>
    <w:rsid w:val="00421F65"/>
    <w:rsid w:val="0042288E"/>
    <w:rsid w:val="0042456E"/>
    <w:rsid w:val="00424EE8"/>
    <w:rsid w:val="00426900"/>
    <w:rsid w:val="004274C4"/>
    <w:rsid w:val="004275CE"/>
    <w:rsid w:val="00427CAD"/>
    <w:rsid w:val="00427CDF"/>
    <w:rsid w:val="004301F5"/>
    <w:rsid w:val="00432147"/>
    <w:rsid w:val="00433F9B"/>
    <w:rsid w:val="004371B6"/>
    <w:rsid w:val="00437766"/>
    <w:rsid w:val="0044019D"/>
    <w:rsid w:val="00440AC5"/>
    <w:rsid w:val="00440D76"/>
    <w:rsid w:val="0044101B"/>
    <w:rsid w:val="00441E5B"/>
    <w:rsid w:val="00444F22"/>
    <w:rsid w:val="004450A5"/>
    <w:rsid w:val="00445147"/>
    <w:rsid w:val="00446707"/>
    <w:rsid w:val="0044775C"/>
    <w:rsid w:val="00447B14"/>
    <w:rsid w:val="0045045E"/>
    <w:rsid w:val="00451365"/>
    <w:rsid w:val="004513C5"/>
    <w:rsid w:val="00451821"/>
    <w:rsid w:val="00451D9E"/>
    <w:rsid w:val="00452A7D"/>
    <w:rsid w:val="0045354C"/>
    <w:rsid w:val="00453BB3"/>
    <w:rsid w:val="00453CD7"/>
    <w:rsid w:val="00454312"/>
    <w:rsid w:val="00454E9D"/>
    <w:rsid w:val="00455260"/>
    <w:rsid w:val="00455A09"/>
    <w:rsid w:val="00455AB9"/>
    <w:rsid w:val="0045612E"/>
    <w:rsid w:val="00456A23"/>
    <w:rsid w:val="00457D68"/>
    <w:rsid w:val="004604C0"/>
    <w:rsid w:val="004612EF"/>
    <w:rsid w:val="00461628"/>
    <w:rsid w:val="00461775"/>
    <w:rsid w:val="004637F7"/>
    <w:rsid w:val="0046476C"/>
    <w:rsid w:val="0046505E"/>
    <w:rsid w:val="00466014"/>
    <w:rsid w:val="00467D60"/>
    <w:rsid w:val="00470082"/>
    <w:rsid w:val="00470513"/>
    <w:rsid w:val="00471071"/>
    <w:rsid w:val="004719BC"/>
    <w:rsid w:val="00471E41"/>
    <w:rsid w:val="004742ED"/>
    <w:rsid w:val="0047440C"/>
    <w:rsid w:val="00477CB7"/>
    <w:rsid w:val="00477E75"/>
    <w:rsid w:val="004805BA"/>
    <w:rsid w:val="00482321"/>
    <w:rsid w:val="00483D98"/>
    <w:rsid w:val="00484803"/>
    <w:rsid w:val="0048570E"/>
    <w:rsid w:val="00486FAB"/>
    <w:rsid w:val="00487047"/>
    <w:rsid w:val="00490DF3"/>
    <w:rsid w:val="00494D86"/>
    <w:rsid w:val="004966A1"/>
    <w:rsid w:val="00497059"/>
    <w:rsid w:val="004973F8"/>
    <w:rsid w:val="00497988"/>
    <w:rsid w:val="004979CB"/>
    <w:rsid w:val="004A0E3A"/>
    <w:rsid w:val="004A4164"/>
    <w:rsid w:val="004A4F54"/>
    <w:rsid w:val="004A5AE5"/>
    <w:rsid w:val="004A5BE0"/>
    <w:rsid w:val="004A6908"/>
    <w:rsid w:val="004A6A63"/>
    <w:rsid w:val="004A753E"/>
    <w:rsid w:val="004B02CB"/>
    <w:rsid w:val="004B1098"/>
    <w:rsid w:val="004B24D3"/>
    <w:rsid w:val="004B27B4"/>
    <w:rsid w:val="004B3B5E"/>
    <w:rsid w:val="004B3BFC"/>
    <w:rsid w:val="004B5408"/>
    <w:rsid w:val="004B6E46"/>
    <w:rsid w:val="004B6F95"/>
    <w:rsid w:val="004C02B0"/>
    <w:rsid w:val="004C101E"/>
    <w:rsid w:val="004C116C"/>
    <w:rsid w:val="004C3240"/>
    <w:rsid w:val="004C32A4"/>
    <w:rsid w:val="004C3518"/>
    <w:rsid w:val="004C3753"/>
    <w:rsid w:val="004C4B17"/>
    <w:rsid w:val="004C53C4"/>
    <w:rsid w:val="004C60A7"/>
    <w:rsid w:val="004C6B9D"/>
    <w:rsid w:val="004C72EC"/>
    <w:rsid w:val="004D0716"/>
    <w:rsid w:val="004D1F96"/>
    <w:rsid w:val="004D20D2"/>
    <w:rsid w:val="004D219E"/>
    <w:rsid w:val="004D2D99"/>
    <w:rsid w:val="004D3589"/>
    <w:rsid w:val="004D3827"/>
    <w:rsid w:val="004D75CF"/>
    <w:rsid w:val="004E0C38"/>
    <w:rsid w:val="004E0D24"/>
    <w:rsid w:val="004E0E2A"/>
    <w:rsid w:val="004E1CFC"/>
    <w:rsid w:val="004E2D43"/>
    <w:rsid w:val="004E4FE1"/>
    <w:rsid w:val="004E5524"/>
    <w:rsid w:val="004E7594"/>
    <w:rsid w:val="004E766C"/>
    <w:rsid w:val="004F1038"/>
    <w:rsid w:val="004F1329"/>
    <w:rsid w:val="004F1FCA"/>
    <w:rsid w:val="004F20D5"/>
    <w:rsid w:val="004F2BBD"/>
    <w:rsid w:val="004F5929"/>
    <w:rsid w:val="004F5E49"/>
    <w:rsid w:val="004F611C"/>
    <w:rsid w:val="004F7298"/>
    <w:rsid w:val="0050004C"/>
    <w:rsid w:val="00500876"/>
    <w:rsid w:val="00501AFC"/>
    <w:rsid w:val="00503117"/>
    <w:rsid w:val="00503768"/>
    <w:rsid w:val="00503DE5"/>
    <w:rsid w:val="005103A6"/>
    <w:rsid w:val="00511182"/>
    <w:rsid w:val="00511E8B"/>
    <w:rsid w:val="00513027"/>
    <w:rsid w:val="005159AE"/>
    <w:rsid w:val="005162AA"/>
    <w:rsid w:val="005166DC"/>
    <w:rsid w:val="005205CD"/>
    <w:rsid w:val="005208A0"/>
    <w:rsid w:val="00520C24"/>
    <w:rsid w:val="00521698"/>
    <w:rsid w:val="00521C6B"/>
    <w:rsid w:val="005220C2"/>
    <w:rsid w:val="00522FE4"/>
    <w:rsid w:val="005244D4"/>
    <w:rsid w:val="0053040B"/>
    <w:rsid w:val="005306DA"/>
    <w:rsid w:val="005307A3"/>
    <w:rsid w:val="0053191F"/>
    <w:rsid w:val="00531969"/>
    <w:rsid w:val="00532107"/>
    <w:rsid w:val="00532209"/>
    <w:rsid w:val="00534062"/>
    <w:rsid w:val="00534720"/>
    <w:rsid w:val="00534787"/>
    <w:rsid w:val="00534856"/>
    <w:rsid w:val="00534C94"/>
    <w:rsid w:val="00535F15"/>
    <w:rsid w:val="00536A4B"/>
    <w:rsid w:val="00536A93"/>
    <w:rsid w:val="005377BB"/>
    <w:rsid w:val="00540681"/>
    <w:rsid w:val="00541E73"/>
    <w:rsid w:val="00541FE8"/>
    <w:rsid w:val="00542B42"/>
    <w:rsid w:val="005457C0"/>
    <w:rsid w:val="00545EB7"/>
    <w:rsid w:val="0054621A"/>
    <w:rsid w:val="00547BFE"/>
    <w:rsid w:val="00550364"/>
    <w:rsid w:val="005511A9"/>
    <w:rsid w:val="00551FC0"/>
    <w:rsid w:val="00553E13"/>
    <w:rsid w:val="005544D3"/>
    <w:rsid w:val="00554788"/>
    <w:rsid w:val="00554CDD"/>
    <w:rsid w:val="00555191"/>
    <w:rsid w:val="0055544E"/>
    <w:rsid w:val="00555EA3"/>
    <w:rsid w:val="00555F85"/>
    <w:rsid w:val="00557D1E"/>
    <w:rsid w:val="005611BD"/>
    <w:rsid w:val="00561730"/>
    <w:rsid w:val="005618B4"/>
    <w:rsid w:val="00561C80"/>
    <w:rsid w:val="00562A85"/>
    <w:rsid w:val="00562C2B"/>
    <w:rsid w:val="005655BC"/>
    <w:rsid w:val="00565C67"/>
    <w:rsid w:val="00566345"/>
    <w:rsid w:val="00566776"/>
    <w:rsid w:val="005674A3"/>
    <w:rsid w:val="0056766A"/>
    <w:rsid w:val="00567972"/>
    <w:rsid w:val="005707C2"/>
    <w:rsid w:val="0057268C"/>
    <w:rsid w:val="00573E1F"/>
    <w:rsid w:val="00574774"/>
    <w:rsid w:val="005766DD"/>
    <w:rsid w:val="00577922"/>
    <w:rsid w:val="00580585"/>
    <w:rsid w:val="0058184D"/>
    <w:rsid w:val="0058216B"/>
    <w:rsid w:val="00583811"/>
    <w:rsid w:val="005854E9"/>
    <w:rsid w:val="00586F0C"/>
    <w:rsid w:val="00587269"/>
    <w:rsid w:val="00587ACF"/>
    <w:rsid w:val="00587C6C"/>
    <w:rsid w:val="00587FCE"/>
    <w:rsid w:val="0059108F"/>
    <w:rsid w:val="005913A8"/>
    <w:rsid w:val="005939C4"/>
    <w:rsid w:val="00594518"/>
    <w:rsid w:val="0059595D"/>
    <w:rsid w:val="00595CB8"/>
    <w:rsid w:val="00595EB5"/>
    <w:rsid w:val="00597935"/>
    <w:rsid w:val="0059794A"/>
    <w:rsid w:val="005A0FF8"/>
    <w:rsid w:val="005A15B4"/>
    <w:rsid w:val="005A432D"/>
    <w:rsid w:val="005A48DE"/>
    <w:rsid w:val="005A562A"/>
    <w:rsid w:val="005A6096"/>
    <w:rsid w:val="005A6826"/>
    <w:rsid w:val="005A6C09"/>
    <w:rsid w:val="005B0E33"/>
    <w:rsid w:val="005B1C33"/>
    <w:rsid w:val="005B4947"/>
    <w:rsid w:val="005B4A12"/>
    <w:rsid w:val="005B79EB"/>
    <w:rsid w:val="005C0101"/>
    <w:rsid w:val="005C04C6"/>
    <w:rsid w:val="005C08BC"/>
    <w:rsid w:val="005C0B8A"/>
    <w:rsid w:val="005C3AA1"/>
    <w:rsid w:val="005C52EE"/>
    <w:rsid w:val="005C5DBA"/>
    <w:rsid w:val="005C5DE7"/>
    <w:rsid w:val="005C6150"/>
    <w:rsid w:val="005C626D"/>
    <w:rsid w:val="005C738B"/>
    <w:rsid w:val="005D0765"/>
    <w:rsid w:val="005D083C"/>
    <w:rsid w:val="005D36C8"/>
    <w:rsid w:val="005D45D4"/>
    <w:rsid w:val="005D48E4"/>
    <w:rsid w:val="005D4E18"/>
    <w:rsid w:val="005D510F"/>
    <w:rsid w:val="005D5DBE"/>
    <w:rsid w:val="005D6609"/>
    <w:rsid w:val="005D7367"/>
    <w:rsid w:val="005D7379"/>
    <w:rsid w:val="005E089C"/>
    <w:rsid w:val="005E0D7A"/>
    <w:rsid w:val="005E1515"/>
    <w:rsid w:val="005E2C02"/>
    <w:rsid w:val="005E38FA"/>
    <w:rsid w:val="005E397D"/>
    <w:rsid w:val="005E4782"/>
    <w:rsid w:val="005F0A37"/>
    <w:rsid w:val="005F0E17"/>
    <w:rsid w:val="005F1523"/>
    <w:rsid w:val="005F4437"/>
    <w:rsid w:val="005F46DD"/>
    <w:rsid w:val="005F568B"/>
    <w:rsid w:val="00600464"/>
    <w:rsid w:val="0060241F"/>
    <w:rsid w:val="0060302F"/>
    <w:rsid w:val="006041FA"/>
    <w:rsid w:val="00604B2B"/>
    <w:rsid w:val="00604FD3"/>
    <w:rsid w:val="00605008"/>
    <w:rsid w:val="00605BCF"/>
    <w:rsid w:val="00606C0C"/>
    <w:rsid w:val="00606EFC"/>
    <w:rsid w:val="00607A6C"/>
    <w:rsid w:val="00607D22"/>
    <w:rsid w:val="00612708"/>
    <w:rsid w:val="00614215"/>
    <w:rsid w:val="00614292"/>
    <w:rsid w:val="00615EB6"/>
    <w:rsid w:val="0061681B"/>
    <w:rsid w:val="006174BF"/>
    <w:rsid w:val="0062024B"/>
    <w:rsid w:val="00621E0F"/>
    <w:rsid w:val="00623243"/>
    <w:rsid w:val="0062368B"/>
    <w:rsid w:val="00623DD9"/>
    <w:rsid w:val="00625463"/>
    <w:rsid w:val="006255E5"/>
    <w:rsid w:val="00626D9B"/>
    <w:rsid w:val="00630738"/>
    <w:rsid w:val="00631470"/>
    <w:rsid w:val="00631AA6"/>
    <w:rsid w:val="00632B72"/>
    <w:rsid w:val="006338EF"/>
    <w:rsid w:val="00633BF5"/>
    <w:rsid w:val="00635319"/>
    <w:rsid w:val="0063545D"/>
    <w:rsid w:val="00635C8A"/>
    <w:rsid w:val="00636000"/>
    <w:rsid w:val="0063683C"/>
    <w:rsid w:val="00640348"/>
    <w:rsid w:val="00643D0A"/>
    <w:rsid w:val="00644A1F"/>
    <w:rsid w:val="00644DFC"/>
    <w:rsid w:val="006452F7"/>
    <w:rsid w:val="0064552F"/>
    <w:rsid w:val="00646052"/>
    <w:rsid w:val="00646148"/>
    <w:rsid w:val="006479EE"/>
    <w:rsid w:val="006501A3"/>
    <w:rsid w:val="006528F4"/>
    <w:rsid w:val="00652A71"/>
    <w:rsid w:val="00652B92"/>
    <w:rsid w:val="006535DC"/>
    <w:rsid w:val="00655B83"/>
    <w:rsid w:val="00655C4E"/>
    <w:rsid w:val="00655EB7"/>
    <w:rsid w:val="00656665"/>
    <w:rsid w:val="006572E6"/>
    <w:rsid w:val="006658B5"/>
    <w:rsid w:val="006671BD"/>
    <w:rsid w:val="006708AE"/>
    <w:rsid w:val="00671719"/>
    <w:rsid w:val="0067260A"/>
    <w:rsid w:val="00672AD6"/>
    <w:rsid w:val="00673568"/>
    <w:rsid w:val="00675AAA"/>
    <w:rsid w:val="00676648"/>
    <w:rsid w:val="0068039E"/>
    <w:rsid w:val="00682773"/>
    <w:rsid w:val="00682D97"/>
    <w:rsid w:val="006832BA"/>
    <w:rsid w:val="006838AE"/>
    <w:rsid w:val="0068543A"/>
    <w:rsid w:val="006876F4"/>
    <w:rsid w:val="00690E6F"/>
    <w:rsid w:val="00691C96"/>
    <w:rsid w:val="00693075"/>
    <w:rsid w:val="00693219"/>
    <w:rsid w:val="00693D41"/>
    <w:rsid w:val="006942D2"/>
    <w:rsid w:val="00694F88"/>
    <w:rsid w:val="00695C4D"/>
    <w:rsid w:val="00696923"/>
    <w:rsid w:val="00697A86"/>
    <w:rsid w:val="00697C9C"/>
    <w:rsid w:val="006A1E94"/>
    <w:rsid w:val="006A2759"/>
    <w:rsid w:val="006A29DA"/>
    <w:rsid w:val="006A49D4"/>
    <w:rsid w:val="006A5D5F"/>
    <w:rsid w:val="006B168B"/>
    <w:rsid w:val="006B1BB4"/>
    <w:rsid w:val="006B2281"/>
    <w:rsid w:val="006B2867"/>
    <w:rsid w:val="006B29E9"/>
    <w:rsid w:val="006B32D7"/>
    <w:rsid w:val="006B330D"/>
    <w:rsid w:val="006B4417"/>
    <w:rsid w:val="006B5C01"/>
    <w:rsid w:val="006B7A3A"/>
    <w:rsid w:val="006C16D5"/>
    <w:rsid w:val="006C1703"/>
    <w:rsid w:val="006C1729"/>
    <w:rsid w:val="006C2511"/>
    <w:rsid w:val="006C2602"/>
    <w:rsid w:val="006C63CE"/>
    <w:rsid w:val="006D0505"/>
    <w:rsid w:val="006D19C2"/>
    <w:rsid w:val="006D29D0"/>
    <w:rsid w:val="006D2A84"/>
    <w:rsid w:val="006D343C"/>
    <w:rsid w:val="006D3853"/>
    <w:rsid w:val="006D3BCE"/>
    <w:rsid w:val="006E1350"/>
    <w:rsid w:val="006E179D"/>
    <w:rsid w:val="006E1E04"/>
    <w:rsid w:val="006E2476"/>
    <w:rsid w:val="006E29B6"/>
    <w:rsid w:val="006E2DDA"/>
    <w:rsid w:val="006E2F3F"/>
    <w:rsid w:val="006E59C4"/>
    <w:rsid w:val="006E6A91"/>
    <w:rsid w:val="006E6E0D"/>
    <w:rsid w:val="006F068C"/>
    <w:rsid w:val="006F1480"/>
    <w:rsid w:val="006F67C0"/>
    <w:rsid w:val="006F7602"/>
    <w:rsid w:val="007034F9"/>
    <w:rsid w:val="00707E6C"/>
    <w:rsid w:val="00710052"/>
    <w:rsid w:val="00710FD4"/>
    <w:rsid w:val="0071127A"/>
    <w:rsid w:val="00711297"/>
    <w:rsid w:val="00711E2A"/>
    <w:rsid w:val="00712238"/>
    <w:rsid w:val="00713086"/>
    <w:rsid w:val="00713266"/>
    <w:rsid w:val="00715075"/>
    <w:rsid w:val="00715359"/>
    <w:rsid w:val="00715974"/>
    <w:rsid w:val="00715B92"/>
    <w:rsid w:val="00716232"/>
    <w:rsid w:val="00716B2D"/>
    <w:rsid w:val="00720ADA"/>
    <w:rsid w:val="00721876"/>
    <w:rsid w:val="00722610"/>
    <w:rsid w:val="00725315"/>
    <w:rsid w:val="00725551"/>
    <w:rsid w:val="00725FE5"/>
    <w:rsid w:val="00726B5F"/>
    <w:rsid w:val="00726F27"/>
    <w:rsid w:val="00727B63"/>
    <w:rsid w:val="007311AA"/>
    <w:rsid w:val="00732E77"/>
    <w:rsid w:val="007332CB"/>
    <w:rsid w:val="00734BA5"/>
    <w:rsid w:val="007353B8"/>
    <w:rsid w:val="00735DB3"/>
    <w:rsid w:val="00737C4A"/>
    <w:rsid w:val="00740A99"/>
    <w:rsid w:val="00740E4F"/>
    <w:rsid w:val="00741462"/>
    <w:rsid w:val="0074202A"/>
    <w:rsid w:val="00742107"/>
    <w:rsid w:val="00742ECB"/>
    <w:rsid w:val="007437C3"/>
    <w:rsid w:val="00743FD0"/>
    <w:rsid w:val="007446E9"/>
    <w:rsid w:val="00744D2F"/>
    <w:rsid w:val="007451C3"/>
    <w:rsid w:val="00745F08"/>
    <w:rsid w:val="00746456"/>
    <w:rsid w:val="00747082"/>
    <w:rsid w:val="00750B29"/>
    <w:rsid w:val="007538DB"/>
    <w:rsid w:val="00753956"/>
    <w:rsid w:val="007546A6"/>
    <w:rsid w:val="00754DAF"/>
    <w:rsid w:val="00756F2E"/>
    <w:rsid w:val="007616ED"/>
    <w:rsid w:val="0076228D"/>
    <w:rsid w:val="00762D9C"/>
    <w:rsid w:val="00763A49"/>
    <w:rsid w:val="0076451D"/>
    <w:rsid w:val="00764A00"/>
    <w:rsid w:val="0076512D"/>
    <w:rsid w:val="007653AA"/>
    <w:rsid w:val="00765610"/>
    <w:rsid w:val="00766BC8"/>
    <w:rsid w:val="00766E38"/>
    <w:rsid w:val="00770E3C"/>
    <w:rsid w:val="0077254B"/>
    <w:rsid w:val="00773B5C"/>
    <w:rsid w:val="00773CD0"/>
    <w:rsid w:val="0077595D"/>
    <w:rsid w:val="00777ECE"/>
    <w:rsid w:val="00780CED"/>
    <w:rsid w:val="00780E00"/>
    <w:rsid w:val="00780EFD"/>
    <w:rsid w:val="007829E4"/>
    <w:rsid w:val="00783B0B"/>
    <w:rsid w:val="00784085"/>
    <w:rsid w:val="00784CAC"/>
    <w:rsid w:val="00784FD4"/>
    <w:rsid w:val="00786492"/>
    <w:rsid w:val="007874D4"/>
    <w:rsid w:val="00787802"/>
    <w:rsid w:val="00787B66"/>
    <w:rsid w:val="00790C05"/>
    <w:rsid w:val="00791421"/>
    <w:rsid w:val="0079183C"/>
    <w:rsid w:val="007920B3"/>
    <w:rsid w:val="007923D7"/>
    <w:rsid w:val="00793576"/>
    <w:rsid w:val="00794033"/>
    <w:rsid w:val="0079407B"/>
    <w:rsid w:val="00796084"/>
    <w:rsid w:val="0079614D"/>
    <w:rsid w:val="00796EB6"/>
    <w:rsid w:val="007A0D99"/>
    <w:rsid w:val="007A1743"/>
    <w:rsid w:val="007A1F9A"/>
    <w:rsid w:val="007A2DD0"/>
    <w:rsid w:val="007A3136"/>
    <w:rsid w:val="007A3143"/>
    <w:rsid w:val="007A3F44"/>
    <w:rsid w:val="007A4C50"/>
    <w:rsid w:val="007A5657"/>
    <w:rsid w:val="007A56DE"/>
    <w:rsid w:val="007A6225"/>
    <w:rsid w:val="007A6A39"/>
    <w:rsid w:val="007A7F4C"/>
    <w:rsid w:val="007B002F"/>
    <w:rsid w:val="007B1281"/>
    <w:rsid w:val="007B2A9A"/>
    <w:rsid w:val="007B2FEE"/>
    <w:rsid w:val="007B3FBD"/>
    <w:rsid w:val="007B4763"/>
    <w:rsid w:val="007B62B1"/>
    <w:rsid w:val="007C1845"/>
    <w:rsid w:val="007C1F5E"/>
    <w:rsid w:val="007C2B1E"/>
    <w:rsid w:val="007C3296"/>
    <w:rsid w:val="007C3805"/>
    <w:rsid w:val="007C4948"/>
    <w:rsid w:val="007C5E2E"/>
    <w:rsid w:val="007C6C3C"/>
    <w:rsid w:val="007C711E"/>
    <w:rsid w:val="007C7DA3"/>
    <w:rsid w:val="007D145A"/>
    <w:rsid w:val="007D3073"/>
    <w:rsid w:val="007D32D9"/>
    <w:rsid w:val="007D5C74"/>
    <w:rsid w:val="007D6C7C"/>
    <w:rsid w:val="007D6DB1"/>
    <w:rsid w:val="007D7304"/>
    <w:rsid w:val="007E1838"/>
    <w:rsid w:val="007E4880"/>
    <w:rsid w:val="007E4ADC"/>
    <w:rsid w:val="007E5091"/>
    <w:rsid w:val="007E62B0"/>
    <w:rsid w:val="007E66F8"/>
    <w:rsid w:val="007E6D5A"/>
    <w:rsid w:val="007F277B"/>
    <w:rsid w:val="007F3697"/>
    <w:rsid w:val="007F3CBF"/>
    <w:rsid w:val="007F418E"/>
    <w:rsid w:val="007F452E"/>
    <w:rsid w:val="007F5383"/>
    <w:rsid w:val="007F6722"/>
    <w:rsid w:val="00801029"/>
    <w:rsid w:val="00801F2F"/>
    <w:rsid w:val="0080296E"/>
    <w:rsid w:val="008065F0"/>
    <w:rsid w:val="0080729C"/>
    <w:rsid w:val="00810782"/>
    <w:rsid w:val="0081081C"/>
    <w:rsid w:val="00816471"/>
    <w:rsid w:val="0081765C"/>
    <w:rsid w:val="00826297"/>
    <w:rsid w:val="008265D3"/>
    <w:rsid w:val="00826ED5"/>
    <w:rsid w:val="00827702"/>
    <w:rsid w:val="00830073"/>
    <w:rsid w:val="00832BE0"/>
    <w:rsid w:val="00834791"/>
    <w:rsid w:val="008350EB"/>
    <w:rsid w:val="008365FC"/>
    <w:rsid w:val="00837606"/>
    <w:rsid w:val="00840D0D"/>
    <w:rsid w:val="00840FFB"/>
    <w:rsid w:val="0084145D"/>
    <w:rsid w:val="00841C7D"/>
    <w:rsid w:val="008430E9"/>
    <w:rsid w:val="0084383C"/>
    <w:rsid w:val="00843F39"/>
    <w:rsid w:val="00843F6E"/>
    <w:rsid w:val="0084453D"/>
    <w:rsid w:val="0084660A"/>
    <w:rsid w:val="00847218"/>
    <w:rsid w:val="0084796C"/>
    <w:rsid w:val="00847DAB"/>
    <w:rsid w:val="00850CDD"/>
    <w:rsid w:val="00855C91"/>
    <w:rsid w:val="00856D94"/>
    <w:rsid w:val="00857F1B"/>
    <w:rsid w:val="00860AA1"/>
    <w:rsid w:val="008614D7"/>
    <w:rsid w:val="00863084"/>
    <w:rsid w:val="008634C5"/>
    <w:rsid w:val="00864135"/>
    <w:rsid w:val="00865997"/>
    <w:rsid w:val="00867954"/>
    <w:rsid w:val="00870B36"/>
    <w:rsid w:val="008714D4"/>
    <w:rsid w:val="00871FAC"/>
    <w:rsid w:val="00872E26"/>
    <w:rsid w:val="00872F5B"/>
    <w:rsid w:val="00873333"/>
    <w:rsid w:val="00873C56"/>
    <w:rsid w:val="008754AC"/>
    <w:rsid w:val="00875C8D"/>
    <w:rsid w:val="00876C94"/>
    <w:rsid w:val="00880CE5"/>
    <w:rsid w:val="00882117"/>
    <w:rsid w:val="00882210"/>
    <w:rsid w:val="0088244C"/>
    <w:rsid w:val="00883664"/>
    <w:rsid w:val="008842F8"/>
    <w:rsid w:val="00884970"/>
    <w:rsid w:val="0088534A"/>
    <w:rsid w:val="00885C76"/>
    <w:rsid w:val="00887B7D"/>
    <w:rsid w:val="008918C6"/>
    <w:rsid w:val="00893917"/>
    <w:rsid w:val="008941A9"/>
    <w:rsid w:val="00895F19"/>
    <w:rsid w:val="008967CD"/>
    <w:rsid w:val="00897CAB"/>
    <w:rsid w:val="008A1194"/>
    <w:rsid w:val="008A1E6F"/>
    <w:rsid w:val="008A2F7B"/>
    <w:rsid w:val="008A4E88"/>
    <w:rsid w:val="008A536C"/>
    <w:rsid w:val="008A6A57"/>
    <w:rsid w:val="008B0564"/>
    <w:rsid w:val="008B1BDC"/>
    <w:rsid w:val="008B2EB5"/>
    <w:rsid w:val="008B3734"/>
    <w:rsid w:val="008B536D"/>
    <w:rsid w:val="008B5C09"/>
    <w:rsid w:val="008B76A5"/>
    <w:rsid w:val="008C0240"/>
    <w:rsid w:val="008C1C5D"/>
    <w:rsid w:val="008C22B5"/>
    <w:rsid w:val="008C3C09"/>
    <w:rsid w:val="008C48CB"/>
    <w:rsid w:val="008C52DC"/>
    <w:rsid w:val="008C5690"/>
    <w:rsid w:val="008D0804"/>
    <w:rsid w:val="008D1BC4"/>
    <w:rsid w:val="008D1F54"/>
    <w:rsid w:val="008D3854"/>
    <w:rsid w:val="008D4ACB"/>
    <w:rsid w:val="008D4BF1"/>
    <w:rsid w:val="008D64A7"/>
    <w:rsid w:val="008D690A"/>
    <w:rsid w:val="008D72CF"/>
    <w:rsid w:val="008D748A"/>
    <w:rsid w:val="008D796A"/>
    <w:rsid w:val="008E059B"/>
    <w:rsid w:val="008E0603"/>
    <w:rsid w:val="008E1078"/>
    <w:rsid w:val="008E1BEB"/>
    <w:rsid w:val="008E2B98"/>
    <w:rsid w:val="008E2F5C"/>
    <w:rsid w:val="008E30F9"/>
    <w:rsid w:val="008E3987"/>
    <w:rsid w:val="008E5F2E"/>
    <w:rsid w:val="008E6E10"/>
    <w:rsid w:val="008E7671"/>
    <w:rsid w:val="008F08BA"/>
    <w:rsid w:val="008F1E44"/>
    <w:rsid w:val="008F5B21"/>
    <w:rsid w:val="008F5D7C"/>
    <w:rsid w:val="008F6815"/>
    <w:rsid w:val="008F70C0"/>
    <w:rsid w:val="009003F6"/>
    <w:rsid w:val="00901550"/>
    <w:rsid w:val="009017D0"/>
    <w:rsid w:val="0090272A"/>
    <w:rsid w:val="0090336E"/>
    <w:rsid w:val="0090341D"/>
    <w:rsid w:val="00903B02"/>
    <w:rsid w:val="00903BBB"/>
    <w:rsid w:val="00904608"/>
    <w:rsid w:val="0090512A"/>
    <w:rsid w:val="00907B47"/>
    <w:rsid w:val="00911219"/>
    <w:rsid w:val="00911510"/>
    <w:rsid w:val="009123CB"/>
    <w:rsid w:val="009131A4"/>
    <w:rsid w:val="00914C54"/>
    <w:rsid w:val="00914CA2"/>
    <w:rsid w:val="00915D93"/>
    <w:rsid w:val="00916E63"/>
    <w:rsid w:val="0091772C"/>
    <w:rsid w:val="00923900"/>
    <w:rsid w:val="0092479A"/>
    <w:rsid w:val="009306F3"/>
    <w:rsid w:val="009314F3"/>
    <w:rsid w:val="00931C05"/>
    <w:rsid w:val="00931DB6"/>
    <w:rsid w:val="00933976"/>
    <w:rsid w:val="009358D3"/>
    <w:rsid w:val="00935A49"/>
    <w:rsid w:val="00935A9C"/>
    <w:rsid w:val="0093722D"/>
    <w:rsid w:val="00937787"/>
    <w:rsid w:val="009404BD"/>
    <w:rsid w:val="00942CD1"/>
    <w:rsid w:val="00942D3C"/>
    <w:rsid w:val="00944F09"/>
    <w:rsid w:val="0094731C"/>
    <w:rsid w:val="00951D91"/>
    <w:rsid w:val="0095369D"/>
    <w:rsid w:val="00953B18"/>
    <w:rsid w:val="00953DBA"/>
    <w:rsid w:val="00954EDA"/>
    <w:rsid w:val="0095519E"/>
    <w:rsid w:val="009620BC"/>
    <w:rsid w:val="0096343E"/>
    <w:rsid w:val="00963901"/>
    <w:rsid w:val="00964837"/>
    <w:rsid w:val="009724B6"/>
    <w:rsid w:val="00974D39"/>
    <w:rsid w:val="00975115"/>
    <w:rsid w:val="00976975"/>
    <w:rsid w:val="00977FD9"/>
    <w:rsid w:val="00980244"/>
    <w:rsid w:val="00980437"/>
    <w:rsid w:val="00980594"/>
    <w:rsid w:val="00981D6A"/>
    <w:rsid w:val="009825DC"/>
    <w:rsid w:val="00982610"/>
    <w:rsid w:val="00982875"/>
    <w:rsid w:val="00982989"/>
    <w:rsid w:val="00982B82"/>
    <w:rsid w:val="00983053"/>
    <w:rsid w:val="009844A6"/>
    <w:rsid w:val="00986FD0"/>
    <w:rsid w:val="009875AA"/>
    <w:rsid w:val="00987ABA"/>
    <w:rsid w:val="00987B6F"/>
    <w:rsid w:val="009913D5"/>
    <w:rsid w:val="00991982"/>
    <w:rsid w:val="00993E7A"/>
    <w:rsid w:val="00994550"/>
    <w:rsid w:val="00997D6C"/>
    <w:rsid w:val="009A0DB6"/>
    <w:rsid w:val="009A15AF"/>
    <w:rsid w:val="009A2325"/>
    <w:rsid w:val="009A24DF"/>
    <w:rsid w:val="009A2BEF"/>
    <w:rsid w:val="009A2E9E"/>
    <w:rsid w:val="009A4A25"/>
    <w:rsid w:val="009A6008"/>
    <w:rsid w:val="009A74B4"/>
    <w:rsid w:val="009B05FB"/>
    <w:rsid w:val="009B1331"/>
    <w:rsid w:val="009B48D0"/>
    <w:rsid w:val="009B4CCF"/>
    <w:rsid w:val="009B5A0D"/>
    <w:rsid w:val="009B6085"/>
    <w:rsid w:val="009B76C8"/>
    <w:rsid w:val="009C17E9"/>
    <w:rsid w:val="009C388B"/>
    <w:rsid w:val="009C4335"/>
    <w:rsid w:val="009C44B0"/>
    <w:rsid w:val="009C5803"/>
    <w:rsid w:val="009C6CBB"/>
    <w:rsid w:val="009D0647"/>
    <w:rsid w:val="009D12AC"/>
    <w:rsid w:val="009D36D9"/>
    <w:rsid w:val="009D5E81"/>
    <w:rsid w:val="009D70F8"/>
    <w:rsid w:val="009E06B3"/>
    <w:rsid w:val="009E14D2"/>
    <w:rsid w:val="009E19A3"/>
    <w:rsid w:val="009E1F29"/>
    <w:rsid w:val="009E21F8"/>
    <w:rsid w:val="009E36DF"/>
    <w:rsid w:val="009E3DA1"/>
    <w:rsid w:val="009E47AD"/>
    <w:rsid w:val="009E4B96"/>
    <w:rsid w:val="009E6880"/>
    <w:rsid w:val="009E697A"/>
    <w:rsid w:val="009E6F89"/>
    <w:rsid w:val="009E7402"/>
    <w:rsid w:val="009F1A5F"/>
    <w:rsid w:val="009F1CDE"/>
    <w:rsid w:val="009F31E1"/>
    <w:rsid w:val="009F39F9"/>
    <w:rsid w:val="009F4141"/>
    <w:rsid w:val="009F5307"/>
    <w:rsid w:val="009F5418"/>
    <w:rsid w:val="009F5B51"/>
    <w:rsid w:val="00A00EEC"/>
    <w:rsid w:val="00A03390"/>
    <w:rsid w:val="00A044F9"/>
    <w:rsid w:val="00A04DEB"/>
    <w:rsid w:val="00A051AD"/>
    <w:rsid w:val="00A05420"/>
    <w:rsid w:val="00A1046F"/>
    <w:rsid w:val="00A10F34"/>
    <w:rsid w:val="00A11679"/>
    <w:rsid w:val="00A11FDD"/>
    <w:rsid w:val="00A121EA"/>
    <w:rsid w:val="00A12A05"/>
    <w:rsid w:val="00A1334D"/>
    <w:rsid w:val="00A1383A"/>
    <w:rsid w:val="00A141DF"/>
    <w:rsid w:val="00A17DE2"/>
    <w:rsid w:val="00A22106"/>
    <w:rsid w:val="00A223F1"/>
    <w:rsid w:val="00A226C8"/>
    <w:rsid w:val="00A25365"/>
    <w:rsid w:val="00A25BF1"/>
    <w:rsid w:val="00A30940"/>
    <w:rsid w:val="00A30A2F"/>
    <w:rsid w:val="00A31500"/>
    <w:rsid w:val="00A31622"/>
    <w:rsid w:val="00A31E95"/>
    <w:rsid w:val="00A358DB"/>
    <w:rsid w:val="00A36659"/>
    <w:rsid w:val="00A36840"/>
    <w:rsid w:val="00A36CD5"/>
    <w:rsid w:val="00A37C61"/>
    <w:rsid w:val="00A402B9"/>
    <w:rsid w:val="00A41629"/>
    <w:rsid w:val="00A426E1"/>
    <w:rsid w:val="00A43A64"/>
    <w:rsid w:val="00A44FD0"/>
    <w:rsid w:val="00A45312"/>
    <w:rsid w:val="00A45FD0"/>
    <w:rsid w:val="00A471D3"/>
    <w:rsid w:val="00A475B1"/>
    <w:rsid w:val="00A47BD1"/>
    <w:rsid w:val="00A47D27"/>
    <w:rsid w:val="00A5074E"/>
    <w:rsid w:val="00A51786"/>
    <w:rsid w:val="00A51C0F"/>
    <w:rsid w:val="00A52F38"/>
    <w:rsid w:val="00A53226"/>
    <w:rsid w:val="00A5384E"/>
    <w:rsid w:val="00A53B9C"/>
    <w:rsid w:val="00A55305"/>
    <w:rsid w:val="00A576CE"/>
    <w:rsid w:val="00A60452"/>
    <w:rsid w:val="00A61131"/>
    <w:rsid w:val="00A611B5"/>
    <w:rsid w:val="00A61F0C"/>
    <w:rsid w:val="00A63CDB"/>
    <w:rsid w:val="00A645A6"/>
    <w:rsid w:val="00A67974"/>
    <w:rsid w:val="00A67D3C"/>
    <w:rsid w:val="00A71594"/>
    <w:rsid w:val="00A7196F"/>
    <w:rsid w:val="00A724C3"/>
    <w:rsid w:val="00A72724"/>
    <w:rsid w:val="00A7538F"/>
    <w:rsid w:val="00A757ED"/>
    <w:rsid w:val="00A75D30"/>
    <w:rsid w:val="00A76333"/>
    <w:rsid w:val="00A76D59"/>
    <w:rsid w:val="00A7748B"/>
    <w:rsid w:val="00A77BAE"/>
    <w:rsid w:val="00A77E9A"/>
    <w:rsid w:val="00A80146"/>
    <w:rsid w:val="00A81444"/>
    <w:rsid w:val="00A8215A"/>
    <w:rsid w:val="00A8239A"/>
    <w:rsid w:val="00A826F5"/>
    <w:rsid w:val="00A83002"/>
    <w:rsid w:val="00A83097"/>
    <w:rsid w:val="00A84448"/>
    <w:rsid w:val="00A845FD"/>
    <w:rsid w:val="00A848A5"/>
    <w:rsid w:val="00A85CB9"/>
    <w:rsid w:val="00A87432"/>
    <w:rsid w:val="00A877C8"/>
    <w:rsid w:val="00A9112E"/>
    <w:rsid w:val="00A9213F"/>
    <w:rsid w:val="00A96216"/>
    <w:rsid w:val="00A97047"/>
    <w:rsid w:val="00AA0893"/>
    <w:rsid w:val="00AA1FBB"/>
    <w:rsid w:val="00AA2E78"/>
    <w:rsid w:val="00AA3C08"/>
    <w:rsid w:val="00AA51B5"/>
    <w:rsid w:val="00AA5693"/>
    <w:rsid w:val="00AA6502"/>
    <w:rsid w:val="00AA6ACA"/>
    <w:rsid w:val="00AA6D2B"/>
    <w:rsid w:val="00AB058B"/>
    <w:rsid w:val="00AB206B"/>
    <w:rsid w:val="00AB2501"/>
    <w:rsid w:val="00AB4CEB"/>
    <w:rsid w:val="00AB7C6E"/>
    <w:rsid w:val="00AB7DA5"/>
    <w:rsid w:val="00AC0B2B"/>
    <w:rsid w:val="00AC1C64"/>
    <w:rsid w:val="00AC3E53"/>
    <w:rsid w:val="00AC511E"/>
    <w:rsid w:val="00AD0250"/>
    <w:rsid w:val="00AD1081"/>
    <w:rsid w:val="00AD22F4"/>
    <w:rsid w:val="00AD25D7"/>
    <w:rsid w:val="00AD3EB1"/>
    <w:rsid w:val="00AD4CA1"/>
    <w:rsid w:val="00AD5339"/>
    <w:rsid w:val="00AD564E"/>
    <w:rsid w:val="00AD58BC"/>
    <w:rsid w:val="00AD6AD0"/>
    <w:rsid w:val="00AD7800"/>
    <w:rsid w:val="00AE0FF0"/>
    <w:rsid w:val="00AE44AA"/>
    <w:rsid w:val="00AE4EDF"/>
    <w:rsid w:val="00AE550F"/>
    <w:rsid w:val="00AE7F59"/>
    <w:rsid w:val="00AF350B"/>
    <w:rsid w:val="00AF38B8"/>
    <w:rsid w:val="00AF4B1A"/>
    <w:rsid w:val="00AF4C28"/>
    <w:rsid w:val="00AF6A1F"/>
    <w:rsid w:val="00B0084A"/>
    <w:rsid w:val="00B00C66"/>
    <w:rsid w:val="00B01203"/>
    <w:rsid w:val="00B02233"/>
    <w:rsid w:val="00B02805"/>
    <w:rsid w:val="00B03A79"/>
    <w:rsid w:val="00B03BE1"/>
    <w:rsid w:val="00B04137"/>
    <w:rsid w:val="00B05122"/>
    <w:rsid w:val="00B062FC"/>
    <w:rsid w:val="00B06957"/>
    <w:rsid w:val="00B06F2B"/>
    <w:rsid w:val="00B0733C"/>
    <w:rsid w:val="00B106CB"/>
    <w:rsid w:val="00B1409E"/>
    <w:rsid w:val="00B15500"/>
    <w:rsid w:val="00B15F36"/>
    <w:rsid w:val="00B178DD"/>
    <w:rsid w:val="00B26136"/>
    <w:rsid w:val="00B2721B"/>
    <w:rsid w:val="00B27F9C"/>
    <w:rsid w:val="00B32060"/>
    <w:rsid w:val="00B32111"/>
    <w:rsid w:val="00B327F0"/>
    <w:rsid w:val="00B335C6"/>
    <w:rsid w:val="00B33833"/>
    <w:rsid w:val="00B343FC"/>
    <w:rsid w:val="00B347BC"/>
    <w:rsid w:val="00B34B21"/>
    <w:rsid w:val="00B34D88"/>
    <w:rsid w:val="00B3515F"/>
    <w:rsid w:val="00B35C49"/>
    <w:rsid w:val="00B36991"/>
    <w:rsid w:val="00B36FCA"/>
    <w:rsid w:val="00B401F9"/>
    <w:rsid w:val="00B40E8D"/>
    <w:rsid w:val="00B41D34"/>
    <w:rsid w:val="00B42120"/>
    <w:rsid w:val="00B42903"/>
    <w:rsid w:val="00B433FC"/>
    <w:rsid w:val="00B43B15"/>
    <w:rsid w:val="00B46684"/>
    <w:rsid w:val="00B46CC2"/>
    <w:rsid w:val="00B472E7"/>
    <w:rsid w:val="00B4756B"/>
    <w:rsid w:val="00B479AC"/>
    <w:rsid w:val="00B47FE1"/>
    <w:rsid w:val="00B50E14"/>
    <w:rsid w:val="00B50FD2"/>
    <w:rsid w:val="00B5177B"/>
    <w:rsid w:val="00B52180"/>
    <w:rsid w:val="00B52761"/>
    <w:rsid w:val="00B5282B"/>
    <w:rsid w:val="00B52C43"/>
    <w:rsid w:val="00B559E4"/>
    <w:rsid w:val="00B574C9"/>
    <w:rsid w:val="00B577AD"/>
    <w:rsid w:val="00B60DCF"/>
    <w:rsid w:val="00B63B03"/>
    <w:rsid w:val="00B64C82"/>
    <w:rsid w:val="00B66546"/>
    <w:rsid w:val="00B70892"/>
    <w:rsid w:val="00B70C8A"/>
    <w:rsid w:val="00B72215"/>
    <w:rsid w:val="00B73403"/>
    <w:rsid w:val="00B73A1E"/>
    <w:rsid w:val="00B75612"/>
    <w:rsid w:val="00B75A20"/>
    <w:rsid w:val="00B76D60"/>
    <w:rsid w:val="00B77382"/>
    <w:rsid w:val="00B77C6F"/>
    <w:rsid w:val="00B8007A"/>
    <w:rsid w:val="00B835CB"/>
    <w:rsid w:val="00B83B28"/>
    <w:rsid w:val="00B84EBC"/>
    <w:rsid w:val="00B86167"/>
    <w:rsid w:val="00B87052"/>
    <w:rsid w:val="00B87A9B"/>
    <w:rsid w:val="00B9076B"/>
    <w:rsid w:val="00B9084E"/>
    <w:rsid w:val="00B90C13"/>
    <w:rsid w:val="00B91243"/>
    <w:rsid w:val="00B91B39"/>
    <w:rsid w:val="00B92085"/>
    <w:rsid w:val="00B926B9"/>
    <w:rsid w:val="00B95AB9"/>
    <w:rsid w:val="00B95F36"/>
    <w:rsid w:val="00B964BA"/>
    <w:rsid w:val="00B966FB"/>
    <w:rsid w:val="00B9682F"/>
    <w:rsid w:val="00B97C1F"/>
    <w:rsid w:val="00BA0AD3"/>
    <w:rsid w:val="00BA17C3"/>
    <w:rsid w:val="00BA22DC"/>
    <w:rsid w:val="00BA25F6"/>
    <w:rsid w:val="00BA2E7C"/>
    <w:rsid w:val="00BA529B"/>
    <w:rsid w:val="00BA5D24"/>
    <w:rsid w:val="00BA75C5"/>
    <w:rsid w:val="00BA7820"/>
    <w:rsid w:val="00BB0401"/>
    <w:rsid w:val="00BB0D4E"/>
    <w:rsid w:val="00BB0DA6"/>
    <w:rsid w:val="00BB12C6"/>
    <w:rsid w:val="00BB2336"/>
    <w:rsid w:val="00BB2A75"/>
    <w:rsid w:val="00BB3882"/>
    <w:rsid w:val="00BB662B"/>
    <w:rsid w:val="00BB7CEF"/>
    <w:rsid w:val="00BC3180"/>
    <w:rsid w:val="00BC394D"/>
    <w:rsid w:val="00BC3AE8"/>
    <w:rsid w:val="00BC40C3"/>
    <w:rsid w:val="00BC557B"/>
    <w:rsid w:val="00BC5C7A"/>
    <w:rsid w:val="00BC62FA"/>
    <w:rsid w:val="00BC6902"/>
    <w:rsid w:val="00BD0909"/>
    <w:rsid w:val="00BD0970"/>
    <w:rsid w:val="00BD16F6"/>
    <w:rsid w:val="00BD1E72"/>
    <w:rsid w:val="00BD29F5"/>
    <w:rsid w:val="00BD2F16"/>
    <w:rsid w:val="00BD352D"/>
    <w:rsid w:val="00BD4073"/>
    <w:rsid w:val="00BD641B"/>
    <w:rsid w:val="00BD6DEC"/>
    <w:rsid w:val="00BD74D4"/>
    <w:rsid w:val="00BD7870"/>
    <w:rsid w:val="00BD7BAD"/>
    <w:rsid w:val="00BE1390"/>
    <w:rsid w:val="00BE2F74"/>
    <w:rsid w:val="00BE3B2E"/>
    <w:rsid w:val="00BE42B3"/>
    <w:rsid w:val="00BE599C"/>
    <w:rsid w:val="00BE6A26"/>
    <w:rsid w:val="00BF0F4E"/>
    <w:rsid w:val="00BF143C"/>
    <w:rsid w:val="00BF275F"/>
    <w:rsid w:val="00BF38E7"/>
    <w:rsid w:val="00BF7404"/>
    <w:rsid w:val="00C03A9D"/>
    <w:rsid w:val="00C05B2E"/>
    <w:rsid w:val="00C05E6D"/>
    <w:rsid w:val="00C06ABC"/>
    <w:rsid w:val="00C06B52"/>
    <w:rsid w:val="00C06F31"/>
    <w:rsid w:val="00C10016"/>
    <w:rsid w:val="00C1059D"/>
    <w:rsid w:val="00C1059F"/>
    <w:rsid w:val="00C10E00"/>
    <w:rsid w:val="00C11DEE"/>
    <w:rsid w:val="00C123C6"/>
    <w:rsid w:val="00C14924"/>
    <w:rsid w:val="00C14B72"/>
    <w:rsid w:val="00C14F5A"/>
    <w:rsid w:val="00C15155"/>
    <w:rsid w:val="00C16A5A"/>
    <w:rsid w:val="00C17970"/>
    <w:rsid w:val="00C17B30"/>
    <w:rsid w:val="00C213BD"/>
    <w:rsid w:val="00C21E25"/>
    <w:rsid w:val="00C22206"/>
    <w:rsid w:val="00C22779"/>
    <w:rsid w:val="00C22E86"/>
    <w:rsid w:val="00C26CF8"/>
    <w:rsid w:val="00C30838"/>
    <w:rsid w:val="00C30AD3"/>
    <w:rsid w:val="00C30C05"/>
    <w:rsid w:val="00C30D32"/>
    <w:rsid w:val="00C33339"/>
    <w:rsid w:val="00C33E2A"/>
    <w:rsid w:val="00C34992"/>
    <w:rsid w:val="00C34D1C"/>
    <w:rsid w:val="00C355C6"/>
    <w:rsid w:val="00C36672"/>
    <w:rsid w:val="00C376B1"/>
    <w:rsid w:val="00C4055B"/>
    <w:rsid w:val="00C40B81"/>
    <w:rsid w:val="00C41FEF"/>
    <w:rsid w:val="00C421DA"/>
    <w:rsid w:val="00C4332B"/>
    <w:rsid w:val="00C4597D"/>
    <w:rsid w:val="00C46123"/>
    <w:rsid w:val="00C46327"/>
    <w:rsid w:val="00C46341"/>
    <w:rsid w:val="00C46D1B"/>
    <w:rsid w:val="00C50854"/>
    <w:rsid w:val="00C509BC"/>
    <w:rsid w:val="00C50DE2"/>
    <w:rsid w:val="00C52107"/>
    <w:rsid w:val="00C53C59"/>
    <w:rsid w:val="00C5501D"/>
    <w:rsid w:val="00C55A31"/>
    <w:rsid w:val="00C560C5"/>
    <w:rsid w:val="00C561DE"/>
    <w:rsid w:val="00C57CE9"/>
    <w:rsid w:val="00C60576"/>
    <w:rsid w:val="00C61BEE"/>
    <w:rsid w:val="00C622A3"/>
    <w:rsid w:val="00C642CD"/>
    <w:rsid w:val="00C65483"/>
    <w:rsid w:val="00C66A98"/>
    <w:rsid w:val="00C7001E"/>
    <w:rsid w:val="00C72D00"/>
    <w:rsid w:val="00C73595"/>
    <w:rsid w:val="00C739DB"/>
    <w:rsid w:val="00C773ED"/>
    <w:rsid w:val="00C77701"/>
    <w:rsid w:val="00C81168"/>
    <w:rsid w:val="00C8162E"/>
    <w:rsid w:val="00C8169D"/>
    <w:rsid w:val="00C81F33"/>
    <w:rsid w:val="00C83F34"/>
    <w:rsid w:val="00C8681C"/>
    <w:rsid w:val="00C86B2B"/>
    <w:rsid w:val="00C91445"/>
    <w:rsid w:val="00C91871"/>
    <w:rsid w:val="00C92CC5"/>
    <w:rsid w:val="00C931E6"/>
    <w:rsid w:val="00C9352C"/>
    <w:rsid w:val="00C9376D"/>
    <w:rsid w:val="00C9454D"/>
    <w:rsid w:val="00C95C0B"/>
    <w:rsid w:val="00CA0B7D"/>
    <w:rsid w:val="00CA1024"/>
    <w:rsid w:val="00CA2760"/>
    <w:rsid w:val="00CA39BF"/>
    <w:rsid w:val="00CA42D1"/>
    <w:rsid w:val="00CA5F29"/>
    <w:rsid w:val="00CA6295"/>
    <w:rsid w:val="00CA68BA"/>
    <w:rsid w:val="00CA7379"/>
    <w:rsid w:val="00CA7EB9"/>
    <w:rsid w:val="00CB05AB"/>
    <w:rsid w:val="00CB05D1"/>
    <w:rsid w:val="00CB0CC0"/>
    <w:rsid w:val="00CB4FB2"/>
    <w:rsid w:val="00CB59D2"/>
    <w:rsid w:val="00CB69F6"/>
    <w:rsid w:val="00CB77AC"/>
    <w:rsid w:val="00CC0D06"/>
    <w:rsid w:val="00CC225B"/>
    <w:rsid w:val="00CC2A14"/>
    <w:rsid w:val="00CC50EB"/>
    <w:rsid w:val="00CC7871"/>
    <w:rsid w:val="00CD0AB0"/>
    <w:rsid w:val="00CD2701"/>
    <w:rsid w:val="00CD4E36"/>
    <w:rsid w:val="00CD509F"/>
    <w:rsid w:val="00CD577B"/>
    <w:rsid w:val="00CE2721"/>
    <w:rsid w:val="00CE6052"/>
    <w:rsid w:val="00CF08BC"/>
    <w:rsid w:val="00CF1C65"/>
    <w:rsid w:val="00CF3E79"/>
    <w:rsid w:val="00CF3F70"/>
    <w:rsid w:val="00CF45D2"/>
    <w:rsid w:val="00CF5952"/>
    <w:rsid w:val="00CF5DA9"/>
    <w:rsid w:val="00CF7769"/>
    <w:rsid w:val="00D00B9B"/>
    <w:rsid w:val="00D01A68"/>
    <w:rsid w:val="00D025D6"/>
    <w:rsid w:val="00D027D8"/>
    <w:rsid w:val="00D049A1"/>
    <w:rsid w:val="00D04EBD"/>
    <w:rsid w:val="00D0566D"/>
    <w:rsid w:val="00D06AFF"/>
    <w:rsid w:val="00D11310"/>
    <w:rsid w:val="00D11A98"/>
    <w:rsid w:val="00D11B03"/>
    <w:rsid w:val="00D12176"/>
    <w:rsid w:val="00D13AD2"/>
    <w:rsid w:val="00D17683"/>
    <w:rsid w:val="00D17857"/>
    <w:rsid w:val="00D20A60"/>
    <w:rsid w:val="00D216B4"/>
    <w:rsid w:val="00D21F31"/>
    <w:rsid w:val="00D26D90"/>
    <w:rsid w:val="00D27EDB"/>
    <w:rsid w:val="00D30027"/>
    <w:rsid w:val="00D302C4"/>
    <w:rsid w:val="00D307F4"/>
    <w:rsid w:val="00D308FA"/>
    <w:rsid w:val="00D32241"/>
    <w:rsid w:val="00D32269"/>
    <w:rsid w:val="00D32890"/>
    <w:rsid w:val="00D330E0"/>
    <w:rsid w:val="00D35056"/>
    <w:rsid w:val="00D36718"/>
    <w:rsid w:val="00D42CA6"/>
    <w:rsid w:val="00D43DE3"/>
    <w:rsid w:val="00D44D24"/>
    <w:rsid w:val="00D45A7C"/>
    <w:rsid w:val="00D45E29"/>
    <w:rsid w:val="00D46127"/>
    <w:rsid w:val="00D46910"/>
    <w:rsid w:val="00D46D7C"/>
    <w:rsid w:val="00D470DF"/>
    <w:rsid w:val="00D52074"/>
    <w:rsid w:val="00D524C0"/>
    <w:rsid w:val="00D5294F"/>
    <w:rsid w:val="00D53332"/>
    <w:rsid w:val="00D542BC"/>
    <w:rsid w:val="00D54F3A"/>
    <w:rsid w:val="00D54FE2"/>
    <w:rsid w:val="00D55E30"/>
    <w:rsid w:val="00D5632E"/>
    <w:rsid w:val="00D564F5"/>
    <w:rsid w:val="00D61589"/>
    <w:rsid w:val="00D62804"/>
    <w:rsid w:val="00D63050"/>
    <w:rsid w:val="00D63747"/>
    <w:rsid w:val="00D639F1"/>
    <w:rsid w:val="00D63EB2"/>
    <w:rsid w:val="00D64715"/>
    <w:rsid w:val="00D67425"/>
    <w:rsid w:val="00D6795F"/>
    <w:rsid w:val="00D6797C"/>
    <w:rsid w:val="00D67CE9"/>
    <w:rsid w:val="00D70A4B"/>
    <w:rsid w:val="00D72597"/>
    <w:rsid w:val="00D72D04"/>
    <w:rsid w:val="00D730B3"/>
    <w:rsid w:val="00D74DCC"/>
    <w:rsid w:val="00D75C37"/>
    <w:rsid w:val="00D76B3A"/>
    <w:rsid w:val="00D76D73"/>
    <w:rsid w:val="00D77A03"/>
    <w:rsid w:val="00D80411"/>
    <w:rsid w:val="00D811D3"/>
    <w:rsid w:val="00D813AA"/>
    <w:rsid w:val="00D820A7"/>
    <w:rsid w:val="00D8289B"/>
    <w:rsid w:val="00D82BD9"/>
    <w:rsid w:val="00D83014"/>
    <w:rsid w:val="00D84DC2"/>
    <w:rsid w:val="00D8539E"/>
    <w:rsid w:val="00D90D49"/>
    <w:rsid w:val="00D90E2E"/>
    <w:rsid w:val="00D90F57"/>
    <w:rsid w:val="00D91194"/>
    <w:rsid w:val="00D913B3"/>
    <w:rsid w:val="00D9172C"/>
    <w:rsid w:val="00D91C24"/>
    <w:rsid w:val="00D92879"/>
    <w:rsid w:val="00D92E85"/>
    <w:rsid w:val="00D94374"/>
    <w:rsid w:val="00D94DE3"/>
    <w:rsid w:val="00DA041B"/>
    <w:rsid w:val="00DA1016"/>
    <w:rsid w:val="00DA1FA9"/>
    <w:rsid w:val="00DA2861"/>
    <w:rsid w:val="00DA38EF"/>
    <w:rsid w:val="00DA45BB"/>
    <w:rsid w:val="00DA72F0"/>
    <w:rsid w:val="00DA7E69"/>
    <w:rsid w:val="00DB0200"/>
    <w:rsid w:val="00DB029C"/>
    <w:rsid w:val="00DB0CE5"/>
    <w:rsid w:val="00DB3706"/>
    <w:rsid w:val="00DB5DD3"/>
    <w:rsid w:val="00DB7512"/>
    <w:rsid w:val="00DB7513"/>
    <w:rsid w:val="00DB7EFB"/>
    <w:rsid w:val="00DC0A31"/>
    <w:rsid w:val="00DC598D"/>
    <w:rsid w:val="00DD1BB4"/>
    <w:rsid w:val="00DD2159"/>
    <w:rsid w:val="00DD3CCD"/>
    <w:rsid w:val="00DD4DA8"/>
    <w:rsid w:val="00DD6364"/>
    <w:rsid w:val="00DD6695"/>
    <w:rsid w:val="00DD73D7"/>
    <w:rsid w:val="00DD78D6"/>
    <w:rsid w:val="00DE023B"/>
    <w:rsid w:val="00DE0EC7"/>
    <w:rsid w:val="00DE21B2"/>
    <w:rsid w:val="00DE2F7C"/>
    <w:rsid w:val="00DE317F"/>
    <w:rsid w:val="00DF15CC"/>
    <w:rsid w:val="00DF1ECA"/>
    <w:rsid w:val="00DF21CA"/>
    <w:rsid w:val="00DF2A07"/>
    <w:rsid w:val="00DF2C11"/>
    <w:rsid w:val="00DF3B93"/>
    <w:rsid w:val="00DF56AF"/>
    <w:rsid w:val="00DF6ACE"/>
    <w:rsid w:val="00DF7B84"/>
    <w:rsid w:val="00E02554"/>
    <w:rsid w:val="00E03824"/>
    <w:rsid w:val="00E03C73"/>
    <w:rsid w:val="00E03CD3"/>
    <w:rsid w:val="00E040B6"/>
    <w:rsid w:val="00E046AC"/>
    <w:rsid w:val="00E050D5"/>
    <w:rsid w:val="00E0527E"/>
    <w:rsid w:val="00E064F8"/>
    <w:rsid w:val="00E07513"/>
    <w:rsid w:val="00E108C7"/>
    <w:rsid w:val="00E112E0"/>
    <w:rsid w:val="00E122FB"/>
    <w:rsid w:val="00E12AD7"/>
    <w:rsid w:val="00E13A65"/>
    <w:rsid w:val="00E15482"/>
    <w:rsid w:val="00E15969"/>
    <w:rsid w:val="00E15B4C"/>
    <w:rsid w:val="00E1650D"/>
    <w:rsid w:val="00E17087"/>
    <w:rsid w:val="00E17E9C"/>
    <w:rsid w:val="00E20B1E"/>
    <w:rsid w:val="00E20CE2"/>
    <w:rsid w:val="00E20CE9"/>
    <w:rsid w:val="00E212F7"/>
    <w:rsid w:val="00E22014"/>
    <w:rsid w:val="00E236D2"/>
    <w:rsid w:val="00E23CA3"/>
    <w:rsid w:val="00E24FBF"/>
    <w:rsid w:val="00E2531E"/>
    <w:rsid w:val="00E25572"/>
    <w:rsid w:val="00E25E3E"/>
    <w:rsid w:val="00E271DD"/>
    <w:rsid w:val="00E27535"/>
    <w:rsid w:val="00E30867"/>
    <w:rsid w:val="00E30EC3"/>
    <w:rsid w:val="00E31DD4"/>
    <w:rsid w:val="00E3264B"/>
    <w:rsid w:val="00E32B8C"/>
    <w:rsid w:val="00E34925"/>
    <w:rsid w:val="00E35012"/>
    <w:rsid w:val="00E352D9"/>
    <w:rsid w:val="00E361FB"/>
    <w:rsid w:val="00E36F69"/>
    <w:rsid w:val="00E4121F"/>
    <w:rsid w:val="00E41B0B"/>
    <w:rsid w:val="00E41FCF"/>
    <w:rsid w:val="00E44E44"/>
    <w:rsid w:val="00E45069"/>
    <w:rsid w:val="00E45132"/>
    <w:rsid w:val="00E45F59"/>
    <w:rsid w:val="00E464CB"/>
    <w:rsid w:val="00E531F0"/>
    <w:rsid w:val="00E533C3"/>
    <w:rsid w:val="00E53A3A"/>
    <w:rsid w:val="00E53C35"/>
    <w:rsid w:val="00E5448E"/>
    <w:rsid w:val="00E56184"/>
    <w:rsid w:val="00E567F8"/>
    <w:rsid w:val="00E57327"/>
    <w:rsid w:val="00E606A9"/>
    <w:rsid w:val="00E6090F"/>
    <w:rsid w:val="00E60E8B"/>
    <w:rsid w:val="00E618D9"/>
    <w:rsid w:val="00E62C64"/>
    <w:rsid w:val="00E62DBF"/>
    <w:rsid w:val="00E63591"/>
    <w:rsid w:val="00E65186"/>
    <w:rsid w:val="00E6754F"/>
    <w:rsid w:val="00E67A4F"/>
    <w:rsid w:val="00E70318"/>
    <w:rsid w:val="00E709BD"/>
    <w:rsid w:val="00E728F4"/>
    <w:rsid w:val="00E750CA"/>
    <w:rsid w:val="00E7673E"/>
    <w:rsid w:val="00E76C4C"/>
    <w:rsid w:val="00E76E88"/>
    <w:rsid w:val="00E7751B"/>
    <w:rsid w:val="00E77E7C"/>
    <w:rsid w:val="00E80363"/>
    <w:rsid w:val="00E8069D"/>
    <w:rsid w:val="00E81B26"/>
    <w:rsid w:val="00E82174"/>
    <w:rsid w:val="00E8250D"/>
    <w:rsid w:val="00E825FC"/>
    <w:rsid w:val="00E82BEF"/>
    <w:rsid w:val="00E83092"/>
    <w:rsid w:val="00E84019"/>
    <w:rsid w:val="00E84338"/>
    <w:rsid w:val="00E858D3"/>
    <w:rsid w:val="00E87C9D"/>
    <w:rsid w:val="00E9196E"/>
    <w:rsid w:val="00E92992"/>
    <w:rsid w:val="00E93F6A"/>
    <w:rsid w:val="00E940EA"/>
    <w:rsid w:val="00E94E20"/>
    <w:rsid w:val="00E9523A"/>
    <w:rsid w:val="00E95496"/>
    <w:rsid w:val="00E96927"/>
    <w:rsid w:val="00E96A53"/>
    <w:rsid w:val="00E97E31"/>
    <w:rsid w:val="00EA1406"/>
    <w:rsid w:val="00EA3249"/>
    <w:rsid w:val="00EA4A34"/>
    <w:rsid w:val="00EA4D6E"/>
    <w:rsid w:val="00EA56E5"/>
    <w:rsid w:val="00EA5DA9"/>
    <w:rsid w:val="00EA69F5"/>
    <w:rsid w:val="00EB07E0"/>
    <w:rsid w:val="00EB0EBC"/>
    <w:rsid w:val="00EB209E"/>
    <w:rsid w:val="00EB2601"/>
    <w:rsid w:val="00EB29B8"/>
    <w:rsid w:val="00EB2BE0"/>
    <w:rsid w:val="00EB35FA"/>
    <w:rsid w:val="00EB3F5E"/>
    <w:rsid w:val="00EB43C4"/>
    <w:rsid w:val="00EB5423"/>
    <w:rsid w:val="00EB643D"/>
    <w:rsid w:val="00EB69C6"/>
    <w:rsid w:val="00EB746A"/>
    <w:rsid w:val="00EB7D35"/>
    <w:rsid w:val="00EB7DA4"/>
    <w:rsid w:val="00EC17A0"/>
    <w:rsid w:val="00EC1D55"/>
    <w:rsid w:val="00EC3EFD"/>
    <w:rsid w:val="00EC4BB8"/>
    <w:rsid w:val="00EC4BF0"/>
    <w:rsid w:val="00EC4C98"/>
    <w:rsid w:val="00EC529D"/>
    <w:rsid w:val="00EC6EB6"/>
    <w:rsid w:val="00ED0401"/>
    <w:rsid w:val="00ED0ECB"/>
    <w:rsid w:val="00ED16DF"/>
    <w:rsid w:val="00ED17C1"/>
    <w:rsid w:val="00ED17D2"/>
    <w:rsid w:val="00ED18D4"/>
    <w:rsid w:val="00ED38EE"/>
    <w:rsid w:val="00ED4FAF"/>
    <w:rsid w:val="00ED52F6"/>
    <w:rsid w:val="00ED5B65"/>
    <w:rsid w:val="00ED668F"/>
    <w:rsid w:val="00EE1398"/>
    <w:rsid w:val="00EE1A49"/>
    <w:rsid w:val="00EE3401"/>
    <w:rsid w:val="00EE7D0D"/>
    <w:rsid w:val="00EE7E18"/>
    <w:rsid w:val="00EF083D"/>
    <w:rsid w:val="00EF3810"/>
    <w:rsid w:val="00EF3CA2"/>
    <w:rsid w:val="00EF4705"/>
    <w:rsid w:val="00EF6B93"/>
    <w:rsid w:val="00F01429"/>
    <w:rsid w:val="00F01DCF"/>
    <w:rsid w:val="00F02C34"/>
    <w:rsid w:val="00F03464"/>
    <w:rsid w:val="00F04081"/>
    <w:rsid w:val="00F05AEE"/>
    <w:rsid w:val="00F06228"/>
    <w:rsid w:val="00F06280"/>
    <w:rsid w:val="00F0693B"/>
    <w:rsid w:val="00F07D22"/>
    <w:rsid w:val="00F10CF9"/>
    <w:rsid w:val="00F116D0"/>
    <w:rsid w:val="00F11A58"/>
    <w:rsid w:val="00F13313"/>
    <w:rsid w:val="00F13F0C"/>
    <w:rsid w:val="00F14781"/>
    <w:rsid w:val="00F16F94"/>
    <w:rsid w:val="00F17796"/>
    <w:rsid w:val="00F20348"/>
    <w:rsid w:val="00F211D5"/>
    <w:rsid w:val="00F22FE1"/>
    <w:rsid w:val="00F245C5"/>
    <w:rsid w:val="00F24802"/>
    <w:rsid w:val="00F24B34"/>
    <w:rsid w:val="00F26965"/>
    <w:rsid w:val="00F27A81"/>
    <w:rsid w:val="00F332CC"/>
    <w:rsid w:val="00F33523"/>
    <w:rsid w:val="00F33566"/>
    <w:rsid w:val="00F33966"/>
    <w:rsid w:val="00F34E68"/>
    <w:rsid w:val="00F35B82"/>
    <w:rsid w:val="00F3711D"/>
    <w:rsid w:val="00F40304"/>
    <w:rsid w:val="00F40E6F"/>
    <w:rsid w:val="00F40FEC"/>
    <w:rsid w:val="00F413FB"/>
    <w:rsid w:val="00F41DE5"/>
    <w:rsid w:val="00F423D2"/>
    <w:rsid w:val="00F45562"/>
    <w:rsid w:val="00F4574E"/>
    <w:rsid w:val="00F4651F"/>
    <w:rsid w:val="00F46B7A"/>
    <w:rsid w:val="00F46D42"/>
    <w:rsid w:val="00F478F2"/>
    <w:rsid w:val="00F51712"/>
    <w:rsid w:val="00F535B3"/>
    <w:rsid w:val="00F53AA8"/>
    <w:rsid w:val="00F54633"/>
    <w:rsid w:val="00F54F49"/>
    <w:rsid w:val="00F55455"/>
    <w:rsid w:val="00F55534"/>
    <w:rsid w:val="00F55E11"/>
    <w:rsid w:val="00F575DC"/>
    <w:rsid w:val="00F5768B"/>
    <w:rsid w:val="00F600AE"/>
    <w:rsid w:val="00F61B15"/>
    <w:rsid w:val="00F61B40"/>
    <w:rsid w:val="00F64221"/>
    <w:rsid w:val="00F645DA"/>
    <w:rsid w:val="00F675CC"/>
    <w:rsid w:val="00F67965"/>
    <w:rsid w:val="00F7024C"/>
    <w:rsid w:val="00F70B1A"/>
    <w:rsid w:val="00F72249"/>
    <w:rsid w:val="00F73607"/>
    <w:rsid w:val="00F74132"/>
    <w:rsid w:val="00F74ED8"/>
    <w:rsid w:val="00F754CB"/>
    <w:rsid w:val="00F75CDF"/>
    <w:rsid w:val="00F7624A"/>
    <w:rsid w:val="00F76F7C"/>
    <w:rsid w:val="00F80AC2"/>
    <w:rsid w:val="00F815EB"/>
    <w:rsid w:val="00F81B70"/>
    <w:rsid w:val="00F82F34"/>
    <w:rsid w:val="00F85591"/>
    <w:rsid w:val="00F86581"/>
    <w:rsid w:val="00F87110"/>
    <w:rsid w:val="00F87915"/>
    <w:rsid w:val="00F90A77"/>
    <w:rsid w:val="00F918F7"/>
    <w:rsid w:val="00F9252C"/>
    <w:rsid w:val="00F935DE"/>
    <w:rsid w:val="00F94774"/>
    <w:rsid w:val="00F952E4"/>
    <w:rsid w:val="00F9603B"/>
    <w:rsid w:val="00F9654E"/>
    <w:rsid w:val="00F96886"/>
    <w:rsid w:val="00F97AB0"/>
    <w:rsid w:val="00FA1158"/>
    <w:rsid w:val="00FA2ABA"/>
    <w:rsid w:val="00FA3120"/>
    <w:rsid w:val="00FA32E8"/>
    <w:rsid w:val="00FA3596"/>
    <w:rsid w:val="00FA4240"/>
    <w:rsid w:val="00FA5286"/>
    <w:rsid w:val="00FA5970"/>
    <w:rsid w:val="00FA62A2"/>
    <w:rsid w:val="00FA6752"/>
    <w:rsid w:val="00FA6E70"/>
    <w:rsid w:val="00FA727C"/>
    <w:rsid w:val="00FB02F3"/>
    <w:rsid w:val="00FB09C5"/>
    <w:rsid w:val="00FB47D0"/>
    <w:rsid w:val="00FB6C5E"/>
    <w:rsid w:val="00FC1167"/>
    <w:rsid w:val="00FC18B6"/>
    <w:rsid w:val="00FC1B56"/>
    <w:rsid w:val="00FC1D82"/>
    <w:rsid w:val="00FC2769"/>
    <w:rsid w:val="00FC2B94"/>
    <w:rsid w:val="00FC2C82"/>
    <w:rsid w:val="00FC39D5"/>
    <w:rsid w:val="00FC3DE7"/>
    <w:rsid w:val="00FC57CE"/>
    <w:rsid w:val="00FC61A8"/>
    <w:rsid w:val="00FC7BA2"/>
    <w:rsid w:val="00FD0735"/>
    <w:rsid w:val="00FD29AD"/>
    <w:rsid w:val="00FD2ADD"/>
    <w:rsid w:val="00FD2D71"/>
    <w:rsid w:val="00FD3EF7"/>
    <w:rsid w:val="00FD464E"/>
    <w:rsid w:val="00FD5392"/>
    <w:rsid w:val="00FD5823"/>
    <w:rsid w:val="00FD6AE8"/>
    <w:rsid w:val="00FD7C15"/>
    <w:rsid w:val="00FE006F"/>
    <w:rsid w:val="00FE06C4"/>
    <w:rsid w:val="00FE1FC7"/>
    <w:rsid w:val="00FE42FE"/>
    <w:rsid w:val="00FE4AB5"/>
    <w:rsid w:val="00FE54C7"/>
    <w:rsid w:val="00FE7228"/>
    <w:rsid w:val="00FE7BE5"/>
    <w:rsid w:val="00FF14C6"/>
    <w:rsid w:val="00FF4248"/>
    <w:rsid w:val="00FF45E2"/>
    <w:rsid w:val="00FF481D"/>
    <w:rsid w:val="00FF5910"/>
    <w:rsid w:val="00FF7661"/>
    <w:rsid w:val="00FF7A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776EB"/>
  <w15:docId w15:val="{F37442F6-29EB-439A-A576-46FFCFC95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3DE7"/>
  </w:style>
  <w:style w:type="paragraph" w:styleId="Heading1">
    <w:name w:val="heading 1"/>
    <w:basedOn w:val="Normal"/>
    <w:next w:val="Normal"/>
    <w:link w:val="Heading1Char"/>
    <w:uiPriority w:val="9"/>
    <w:qFormat/>
    <w:rsid w:val="00325494"/>
    <w:pPr>
      <w:widowControl w:val="0"/>
      <w:autoSpaceDE w:val="0"/>
      <w:autoSpaceDN w:val="0"/>
      <w:adjustRightInd w:val="0"/>
      <w:spacing w:after="0" w:line="240" w:lineRule="auto"/>
      <w:ind w:left="540" w:hanging="540"/>
      <w:outlineLvl w:val="0"/>
    </w:pPr>
    <w:rPr>
      <w:rFonts w:ascii="Times New Roman" w:eastAsia="Times New Roman" w:hAnsi="Times New Roman" w:cs="Times New Roman"/>
      <w:color w:val="000000"/>
      <w:sz w:val="64"/>
      <w:szCs w:val="64"/>
    </w:rPr>
  </w:style>
  <w:style w:type="paragraph" w:styleId="Heading2">
    <w:name w:val="heading 2"/>
    <w:basedOn w:val="Normal"/>
    <w:next w:val="Normal"/>
    <w:link w:val="Heading2Char"/>
    <w:uiPriority w:val="9"/>
    <w:semiHidden/>
    <w:unhideWhenUsed/>
    <w:qFormat/>
    <w:rsid w:val="00D54FE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77E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2549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3DE7"/>
    <w:pPr>
      <w:ind w:left="720"/>
      <w:contextualSpacing/>
    </w:pPr>
  </w:style>
  <w:style w:type="paragraph" w:styleId="BalloonText">
    <w:name w:val="Balloon Text"/>
    <w:basedOn w:val="Normal"/>
    <w:link w:val="BalloonTextChar"/>
    <w:uiPriority w:val="99"/>
    <w:semiHidden/>
    <w:unhideWhenUsed/>
    <w:rsid w:val="00FC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DE7"/>
    <w:rPr>
      <w:rFonts w:ascii="Tahoma" w:hAnsi="Tahoma" w:cs="Tahoma"/>
      <w:sz w:val="16"/>
      <w:szCs w:val="16"/>
    </w:rPr>
  </w:style>
  <w:style w:type="table" w:styleId="TableGrid">
    <w:name w:val="Table Grid"/>
    <w:basedOn w:val="TableNormal"/>
    <w:uiPriority w:val="39"/>
    <w:rsid w:val="00424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2E7C"/>
    <w:pPr>
      <w:autoSpaceDE w:val="0"/>
      <w:autoSpaceDN w:val="0"/>
      <w:adjustRightInd w:val="0"/>
      <w:spacing w:after="0" w:line="240" w:lineRule="auto"/>
    </w:pPr>
    <w:rPr>
      <w:rFonts w:ascii="Arial" w:hAnsi="Arial" w:cs="Arial"/>
      <w:color w:val="000000"/>
      <w:sz w:val="24"/>
      <w:szCs w:val="24"/>
    </w:rPr>
  </w:style>
  <w:style w:type="paragraph" w:customStyle="1" w:styleId="word">
    <w:name w:val="word"/>
    <w:basedOn w:val="Normal"/>
    <w:rsid w:val="00402E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02E7C"/>
  </w:style>
  <w:style w:type="character" w:styleId="Hyperlink">
    <w:name w:val="Hyperlink"/>
    <w:basedOn w:val="DefaultParagraphFont"/>
    <w:uiPriority w:val="99"/>
    <w:unhideWhenUsed/>
    <w:rsid w:val="00402E7C"/>
    <w:rPr>
      <w:color w:val="0000FF"/>
      <w:u w:val="single"/>
    </w:rPr>
  </w:style>
  <w:style w:type="paragraph" w:styleId="FootnoteText">
    <w:name w:val="footnote text"/>
    <w:aliases w:val="F,fn,foottextfra,footnote,Texto nota pie Car Car,Nota de rodapé,Char,Footnote Text Char1 Char,Footnote Text Char Char Char,Footnote Text Char Char Char Char Char Char,ADB,single space,FOOTNOTES,footnote text,ft"/>
    <w:basedOn w:val="Normal"/>
    <w:link w:val="FootnoteTextChar"/>
    <w:uiPriority w:val="99"/>
    <w:unhideWhenUsed/>
    <w:rsid w:val="00461775"/>
    <w:pPr>
      <w:spacing w:after="0" w:line="240" w:lineRule="auto"/>
    </w:pPr>
    <w:rPr>
      <w:sz w:val="20"/>
      <w:szCs w:val="20"/>
    </w:rPr>
  </w:style>
  <w:style w:type="character" w:customStyle="1" w:styleId="FootnoteTextChar">
    <w:name w:val="Footnote Text Char"/>
    <w:aliases w:val="F Char,fn Char,foottextfra Char,footnote Char,Texto nota pie Car Car Char,Nota de rodapé Char,Char Char,Footnote Text Char1 Char Char,Footnote Text Char Char Char Char,Footnote Text Char Char Char Char Char Char Char,ADB Char,ft Char"/>
    <w:basedOn w:val="DefaultParagraphFont"/>
    <w:link w:val="FootnoteText"/>
    <w:uiPriority w:val="99"/>
    <w:rsid w:val="00461775"/>
    <w:rPr>
      <w:sz w:val="20"/>
      <w:szCs w:val="20"/>
    </w:rPr>
  </w:style>
  <w:style w:type="character" w:styleId="FootnoteReference">
    <w:name w:val="footnote reference"/>
    <w:aliases w:val="FC,ftref,referencia nota al pie,titulo 2,Style 24,pie pddes,Fußnotenzeichen DISS,16 Point,Superscript 6 Point"/>
    <w:basedOn w:val="DefaultParagraphFont"/>
    <w:uiPriority w:val="99"/>
    <w:unhideWhenUsed/>
    <w:rsid w:val="00461775"/>
    <w:rPr>
      <w:vertAlign w:val="superscript"/>
    </w:rPr>
  </w:style>
  <w:style w:type="paragraph" w:styleId="NormalWeb">
    <w:name w:val="Normal (Web)"/>
    <w:basedOn w:val="Normal"/>
    <w:uiPriority w:val="99"/>
    <w:unhideWhenUsed/>
    <w:rsid w:val="00234B1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E3987"/>
    <w:rPr>
      <w:b/>
      <w:bCs/>
    </w:rPr>
  </w:style>
  <w:style w:type="paragraph" w:customStyle="1" w:styleId="Paragraph">
    <w:name w:val="Paragraph"/>
    <w:aliases w:val="paragraph,p,PARAGRAPH,PG,pa,at"/>
    <w:basedOn w:val="BodyTextIndent"/>
    <w:rsid w:val="00F54F49"/>
    <w:pPr>
      <w:spacing w:before="120" w:line="240" w:lineRule="auto"/>
      <w:ind w:left="0"/>
      <w:jc w:val="both"/>
      <w:outlineLvl w:val="1"/>
    </w:pPr>
    <w:rPr>
      <w:rFonts w:ascii="Times New Roman" w:eastAsia="Times New Roman" w:hAnsi="Times New Roman" w:cs="Times New Roman"/>
      <w:sz w:val="24"/>
      <w:szCs w:val="20"/>
      <w:lang w:val="es-ES_tradnl"/>
    </w:rPr>
  </w:style>
  <w:style w:type="paragraph" w:styleId="BodyTextIndent">
    <w:name w:val="Body Text Indent"/>
    <w:basedOn w:val="Normal"/>
    <w:link w:val="BodyTextIndentChar"/>
    <w:uiPriority w:val="99"/>
    <w:semiHidden/>
    <w:unhideWhenUsed/>
    <w:rsid w:val="00F54F49"/>
    <w:pPr>
      <w:spacing w:after="120"/>
      <w:ind w:left="283"/>
    </w:pPr>
  </w:style>
  <w:style w:type="character" w:customStyle="1" w:styleId="BodyTextIndentChar">
    <w:name w:val="Body Text Indent Char"/>
    <w:basedOn w:val="DefaultParagraphFont"/>
    <w:link w:val="BodyTextIndent"/>
    <w:uiPriority w:val="99"/>
    <w:semiHidden/>
    <w:rsid w:val="00F54F49"/>
  </w:style>
  <w:style w:type="character" w:customStyle="1" w:styleId="Heading1Char">
    <w:name w:val="Heading 1 Char"/>
    <w:basedOn w:val="DefaultParagraphFont"/>
    <w:link w:val="Heading1"/>
    <w:uiPriority w:val="9"/>
    <w:rsid w:val="00325494"/>
    <w:rPr>
      <w:rFonts w:ascii="Times New Roman" w:eastAsia="Times New Roman" w:hAnsi="Times New Roman" w:cs="Times New Roman"/>
      <w:color w:val="000000"/>
      <w:sz w:val="64"/>
      <w:szCs w:val="64"/>
    </w:rPr>
  </w:style>
  <w:style w:type="character" w:customStyle="1" w:styleId="Heading4Char">
    <w:name w:val="Heading 4 Char"/>
    <w:basedOn w:val="DefaultParagraphFont"/>
    <w:link w:val="Heading4"/>
    <w:uiPriority w:val="9"/>
    <w:semiHidden/>
    <w:rsid w:val="00325494"/>
    <w:rPr>
      <w:rFonts w:asciiTheme="majorHAnsi" w:eastAsiaTheme="majorEastAsia" w:hAnsiTheme="majorHAnsi" w:cstheme="majorBidi"/>
      <w:b/>
      <w:bCs/>
      <w:i/>
      <w:iCs/>
      <w:color w:val="4F81BD" w:themeColor="accent1"/>
    </w:rPr>
  </w:style>
  <w:style w:type="character" w:styleId="Emphasis">
    <w:name w:val="Emphasis"/>
    <w:uiPriority w:val="20"/>
    <w:qFormat/>
    <w:rsid w:val="00304CE9"/>
    <w:rPr>
      <w:i/>
      <w:iCs/>
    </w:rPr>
  </w:style>
  <w:style w:type="paragraph" w:styleId="Header">
    <w:name w:val="header"/>
    <w:basedOn w:val="Normal"/>
    <w:link w:val="HeaderChar"/>
    <w:uiPriority w:val="99"/>
    <w:unhideWhenUsed/>
    <w:rsid w:val="00497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988"/>
  </w:style>
  <w:style w:type="paragraph" w:styleId="Footer">
    <w:name w:val="footer"/>
    <w:basedOn w:val="Normal"/>
    <w:link w:val="FooterChar"/>
    <w:uiPriority w:val="99"/>
    <w:unhideWhenUsed/>
    <w:rsid w:val="00497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988"/>
  </w:style>
  <w:style w:type="character" w:styleId="CommentReference">
    <w:name w:val="annotation reference"/>
    <w:basedOn w:val="DefaultParagraphFont"/>
    <w:uiPriority w:val="99"/>
    <w:semiHidden/>
    <w:unhideWhenUsed/>
    <w:rsid w:val="00726B5F"/>
    <w:rPr>
      <w:sz w:val="16"/>
      <w:szCs w:val="16"/>
    </w:rPr>
  </w:style>
  <w:style w:type="paragraph" w:styleId="CommentText">
    <w:name w:val="annotation text"/>
    <w:basedOn w:val="Normal"/>
    <w:link w:val="CommentTextChar"/>
    <w:uiPriority w:val="99"/>
    <w:semiHidden/>
    <w:unhideWhenUsed/>
    <w:rsid w:val="00726B5F"/>
    <w:pPr>
      <w:spacing w:line="240" w:lineRule="auto"/>
    </w:pPr>
    <w:rPr>
      <w:sz w:val="20"/>
      <w:szCs w:val="20"/>
    </w:rPr>
  </w:style>
  <w:style w:type="character" w:customStyle="1" w:styleId="CommentTextChar">
    <w:name w:val="Comment Text Char"/>
    <w:basedOn w:val="DefaultParagraphFont"/>
    <w:link w:val="CommentText"/>
    <w:uiPriority w:val="99"/>
    <w:semiHidden/>
    <w:rsid w:val="00726B5F"/>
    <w:rPr>
      <w:sz w:val="20"/>
      <w:szCs w:val="20"/>
    </w:rPr>
  </w:style>
  <w:style w:type="paragraph" w:styleId="CommentSubject">
    <w:name w:val="annotation subject"/>
    <w:basedOn w:val="CommentText"/>
    <w:next w:val="CommentText"/>
    <w:link w:val="CommentSubjectChar"/>
    <w:uiPriority w:val="99"/>
    <w:semiHidden/>
    <w:unhideWhenUsed/>
    <w:rsid w:val="00726B5F"/>
    <w:rPr>
      <w:b/>
      <w:bCs/>
    </w:rPr>
  </w:style>
  <w:style w:type="character" w:customStyle="1" w:styleId="CommentSubjectChar">
    <w:name w:val="Comment Subject Char"/>
    <w:basedOn w:val="CommentTextChar"/>
    <w:link w:val="CommentSubject"/>
    <w:uiPriority w:val="99"/>
    <w:semiHidden/>
    <w:rsid w:val="00726B5F"/>
    <w:rPr>
      <w:b/>
      <w:bCs/>
      <w:sz w:val="20"/>
      <w:szCs w:val="20"/>
    </w:rPr>
  </w:style>
  <w:style w:type="paragraph" w:customStyle="1" w:styleId="Chapter">
    <w:name w:val="Chapter"/>
    <w:basedOn w:val="Normal"/>
    <w:next w:val="Normal"/>
    <w:rsid w:val="0059595D"/>
    <w:pPr>
      <w:tabs>
        <w:tab w:val="left" w:pos="1440"/>
      </w:tabs>
      <w:spacing w:after="240" w:line="240" w:lineRule="auto"/>
      <w:jc w:val="center"/>
    </w:pPr>
    <w:rPr>
      <w:rFonts w:ascii="Times New Roman" w:eastAsia="Times New Roman" w:hAnsi="Times New Roman" w:cs="Times New Roman"/>
      <w:b/>
      <w:smallCaps/>
      <w:sz w:val="24"/>
      <w:szCs w:val="20"/>
      <w:lang w:val="es-ES_tradnl"/>
    </w:rPr>
  </w:style>
  <w:style w:type="paragraph" w:customStyle="1" w:styleId="FirstHeading">
    <w:name w:val="FirstHeading"/>
    <w:basedOn w:val="Normal"/>
    <w:rsid w:val="0059595D"/>
    <w:pPr>
      <w:keepNext/>
      <w:numPr>
        <w:numId w:val="10"/>
      </w:numPr>
      <w:tabs>
        <w:tab w:val="left" w:pos="0"/>
        <w:tab w:val="left" w:pos="90"/>
      </w:tabs>
      <w:spacing w:before="120" w:after="120" w:line="240" w:lineRule="auto"/>
    </w:pPr>
    <w:rPr>
      <w:rFonts w:ascii="Times New Roman" w:eastAsia="Times New Roman" w:hAnsi="Times New Roman" w:cs="Times New Roman"/>
      <w:b/>
      <w:sz w:val="24"/>
      <w:szCs w:val="20"/>
      <w:lang w:val="es-ES_tradnl"/>
    </w:rPr>
  </w:style>
  <w:style w:type="paragraph" w:customStyle="1" w:styleId="SecHeading">
    <w:name w:val="SecHeading"/>
    <w:basedOn w:val="Normal"/>
    <w:next w:val="Paragraph"/>
    <w:rsid w:val="0059595D"/>
    <w:pPr>
      <w:keepNext/>
      <w:numPr>
        <w:ilvl w:val="1"/>
        <w:numId w:val="10"/>
      </w:numPr>
      <w:spacing w:before="120" w:after="120" w:line="240" w:lineRule="auto"/>
    </w:pPr>
    <w:rPr>
      <w:rFonts w:ascii="Times New Roman" w:eastAsia="Times New Roman" w:hAnsi="Times New Roman" w:cs="Times New Roman"/>
      <w:b/>
      <w:sz w:val="24"/>
      <w:szCs w:val="20"/>
      <w:lang w:val="es-ES_tradnl"/>
    </w:rPr>
  </w:style>
  <w:style w:type="paragraph" w:customStyle="1" w:styleId="SubHeading1">
    <w:name w:val="SubHeading1"/>
    <w:basedOn w:val="SecHeading"/>
    <w:rsid w:val="0059595D"/>
    <w:pPr>
      <w:numPr>
        <w:ilvl w:val="2"/>
      </w:numPr>
    </w:pPr>
  </w:style>
  <w:style w:type="paragraph" w:customStyle="1" w:styleId="Subheading2">
    <w:name w:val="Subheading2"/>
    <w:basedOn w:val="SecHeading"/>
    <w:rsid w:val="0059595D"/>
    <w:pPr>
      <w:numPr>
        <w:ilvl w:val="3"/>
      </w:numPr>
    </w:pPr>
  </w:style>
  <w:style w:type="paragraph" w:styleId="BodyText3">
    <w:name w:val="Body Text 3"/>
    <w:basedOn w:val="Normal"/>
    <w:link w:val="BodyText3Char"/>
    <w:uiPriority w:val="99"/>
    <w:semiHidden/>
    <w:unhideWhenUsed/>
    <w:rsid w:val="0023704A"/>
    <w:pPr>
      <w:spacing w:after="120"/>
    </w:pPr>
    <w:rPr>
      <w:sz w:val="16"/>
      <w:szCs w:val="16"/>
    </w:rPr>
  </w:style>
  <w:style w:type="character" w:customStyle="1" w:styleId="BodyText3Char">
    <w:name w:val="Body Text 3 Char"/>
    <w:basedOn w:val="DefaultParagraphFont"/>
    <w:link w:val="BodyText3"/>
    <w:uiPriority w:val="99"/>
    <w:semiHidden/>
    <w:rsid w:val="0023704A"/>
    <w:rPr>
      <w:sz w:val="16"/>
      <w:szCs w:val="16"/>
    </w:rPr>
  </w:style>
  <w:style w:type="character" w:styleId="UnresolvedMention">
    <w:name w:val="Unresolved Mention"/>
    <w:basedOn w:val="DefaultParagraphFont"/>
    <w:uiPriority w:val="99"/>
    <w:semiHidden/>
    <w:unhideWhenUsed/>
    <w:rsid w:val="00D54FE2"/>
    <w:rPr>
      <w:color w:val="808080"/>
      <w:shd w:val="clear" w:color="auto" w:fill="E6E6E6"/>
    </w:rPr>
  </w:style>
  <w:style w:type="character" w:customStyle="1" w:styleId="Heading2Char">
    <w:name w:val="Heading 2 Char"/>
    <w:basedOn w:val="DefaultParagraphFont"/>
    <w:link w:val="Heading2"/>
    <w:uiPriority w:val="9"/>
    <w:semiHidden/>
    <w:rsid w:val="00D54FE2"/>
    <w:rPr>
      <w:rFonts w:asciiTheme="majorHAnsi" w:eastAsiaTheme="majorEastAsia" w:hAnsiTheme="majorHAnsi" w:cstheme="majorBidi"/>
      <w:color w:val="365F91" w:themeColor="accent1" w:themeShade="BF"/>
      <w:sz w:val="26"/>
      <w:szCs w:val="26"/>
    </w:rPr>
  </w:style>
  <w:style w:type="character" w:customStyle="1" w:styleId="author-name">
    <w:name w:val="author-name"/>
    <w:basedOn w:val="DefaultParagraphFont"/>
    <w:rsid w:val="00D54FE2"/>
  </w:style>
  <w:style w:type="character" w:styleId="FollowedHyperlink">
    <w:name w:val="FollowedHyperlink"/>
    <w:basedOn w:val="DefaultParagraphFont"/>
    <w:uiPriority w:val="99"/>
    <w:semiHidden/>
    <w:unhideWhenUsed/>
    <w:rsid w:val="001E766B"/>
    <w:rPr>
      <w:color w:val="800080" w:themeColor="followedHyperlink"/>
      <w:u w:val="single"/>
    </w:rPr>
  </w:style>
  <w:style w:type="paragraph" w:styleId="BodyTextIndent2">
    <w:name w:val="Body Text Indent 2"/>
    <w:basedOn w:val="Normal"/>
    <w:link w:val="BodyTextIndent2Char"/>
    <w:uiPriority w:val="99"/>
    <w:semiHidden/>
    <w:unhideWhenUsed/>
    <w:rsid w:val="001B4BBF"/>
    <w:pPr>
      <w:spacing w:after="120" w:line="480" w:lineRule="auto"/>
      <w:ind w:left="283"/>
    </w:pPr>
  </w:style>
  <w:style w:type="character" w:customStyle="1" w:styleId="BodyTextIndent2Char">
    <w:name w:val="Body Text Indent 2 Char"/>
    <w:basedOn w:val="DefaultParagraphFont"/>
    <w:link w:val="BodyTextIndent2"/>
    <w:uiPriority w:val="99"/>
    <w:semiHidden/>
    <w:rsid w:val="001B4BBF"/>
  </w:style>
  <w:style w:type="character" w:customStyle="1" w:styleId="shorttext">
    <w:name w:val="short_text"/>
    <w:basedOn w:val="DefaultParagraphFont"/>
    <w:rsid w:val="00954EDA"/>
  </w:style>
  <w:style w:type="character" w:customStyle="1" w:styleId="Heading3Char">
    <w:name w:val="Heading 3 Char"/>
    <w:basedOn w:val="DefaultParagraphFont"/>
    <w:link w:val="Heading3"/>
    <w:uiPriority w:val="9"/>
    <w:semiHidden/>
    <w:rsid w:val="00E77E7C"/>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link w:val="ListParagraph"/>
    <w:uiPriority w:val="34"/>
    <w:locked/>
    <w:rsid w:val="00E77E7C"/>
  </w:style>
  <w:style w:type="table" w:styleId="TableGridLight">
    <w:name w:val="Grid Table Light"/>
    <w:basedOn w:val="TableNormal"/>
    <w:uiPriority w:val="40"/>
    <w:rsid w:val="007311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s-alignment-element">
    <w:name w:val="ts-alignment-element"/>
    <w:basedOn w:val="DefaultParagraphFont"/>
    <w:rsid w:val="001C2CBA"/>
  </w:style>
  <w:style w:type="character" w:customStyle="1" w:styleId="ts-alignment-element-highlighted">
    <w:name w:val="ts-alignment-element-highlighted"/>
    <w:basedOn w:val="DefaultParagraphFont"/>
    <w:rsid w:val="001C2CBA"/>
  </w:style>
  <w:style w:type="character" w:customStyle="1" w:styleId="shorttext1">
    <w:name w:val="short_text1"/>
    <w:rsid w:val="007F3697"/>
    <w:rPr>
      <w:sz w:val="19"/>
      <w:szCs w:val="19"/>
    </w:rPr>
  </w:style>
  <w:style w:type="paragraph" w:styleId="BodyText">
    <w:name w:val="Body Text"/>
    <w:basedOn w:val="Normal"/>
    <w:link w:val="BodyTextChar"/>
    <w:uiPriority w:val="99"/>
    <w:unhideWhenUsed/>
    <w:rsid w:val="00E95496"/>
    <w:pPr>
      <w:spacing w:after="120"/>
    </w:pPr>
  </w:style>
  <w:style w:type="character" w:customStyle="1" w:styleId="BodyTextChar">
    <w:name w:val="Body Text Char"/>
    <w:basedOn w:val="DefaultParagraphFont"/>
    <w:link w:val="BodyText"/>
    <w:uiPriority w:val="99"/>
    <w:rsid w:val="00E95496"/>
  </w:style>
  <w:style w:type="character" w:customStyle="1" w:styleId="st">
    <w:name w:val="st"/>
    <w:basedOn w:val="DefaultParagraphFont"/>
    <w:rsid w:val="00303750"/>
  </w:style>
  <w:style w:type="character" w:styleId="HTMLCite">
    <w:name w:val="HTML Cite"/>
    <w:basedOn w:val="DefaultParagraphFont"/>
    <w:uiPriority w:val="99"/>
    <w:semiHidden/>
    <w:unhideWhenUsed/>
    <w:rsid w:val="00A1334D"/>
    <w:rPr>
      <w:i/>
      <w:iCs/>
    </w:rPr>
  </w:style>
  <w:style w:type="character" w:customStyle="1" w:styleId="tw4winMark">
    <w:name w:val="tw4winMark"/>
    <w:rsid w:val="00A1334D"/>
    <w:rPr>
      <w:rFonts w:ascii="Arial" w:eastAsia="Arial" w:hAnsi="Arial" w:cs="Arial"/>
      <w:noProof/>
      <w:vanish/>
      <w:color w:val="FF00FF"/>
      <w:sz w:val="24"/>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9439">
      <w:bodyDiv w:val="1"/>
      <w:marLeft w:val="0"/>
      <w:marRight w:val="0"/>
      <w:marTop w:val="0"/>
      <w:marBottom w:val="0"/>
      <w:divBdr>
        <w:top w:val="none" w:sz="0" w:space="0" w:color="auto"/>
        <w:left w:val="none" w:sz="0" w:space="0" w:color="auto"/>
        <w:bottom w:val="none" w:sz="0" w:space="0" w:color="auto"/>
        <w:right w:val="none" w:sz="0" w:space="0" w:color="auto"/>
      </w:divBdr>
    </w:div>
    <w:div w:id="47387297">
      <w:bodyDiv w:val="1"/>
      <w:marLeft w:val="0"/>
      <w:marRight w:val="0"/>
      <w:marTop w:val="0"/>
      <w:marBottom w:val="0"/>
      <w:divBdr>
        <w:top w:val="none" w:sz="0" w:space="0" w:color="auto"/>
        <w:left w:val="none" w:sz="0" w:space="0" w:color="auto"/>
        <w:bottom w:val="none" w:sz="0" w:space="0" w:color="auto"/>
        <w:right w:val="none" w:sz="0" w:space="0" w:color="auto"/>
      </w:divBdr>
    </w:div>
    <w:div w:id="121776733">
      <w:bodyDiv w:val="1"/>
      <w:marLeft w:val="0"/>
      <w:marRight w:val="0"/>
      <w:marTop w:val="0"/>
      <w:marBottom w:val="0"/>
      <w:divBdr>
        <w:top w:val="none" w:sz="0" w:space="0" w:color="auto"/>
        <w:left w:val="none" w:sz="0" w:space="0" w:color="auto"/>
        <w:bottom w:val="none" w:sz="0" w:space="0" w:color="auto"/>
        <w:right w:val="none" w:sz="0" w:space="0" w:color="auto"/>
      </w:divBdr>
    </w:div>
    <w:div w:id="149911342">
      <w:bodyDiv w:val="1"/>
      <w:marLeft w:val="0"/>
      <w:marRight w:val="0"/>
      <w:marTop w:val="0"/>
      <w:marBottom w:val="0"/>
      <w:divBdr>
        <w:top w:val="none" w:sz="0" w:space="0" w:color="auto"/>
        <w:left w:val="none" w:sz="0" w:space="0" w:color="auto"/>
        <w:bottom w:val="none" w:sz="0" w:space="0" w:color="auto"/>
        <w:right w:val="none" w:sz="0" w:space="0" w:color="auto"/>
      </w:divBdr>
      <w:divsChild>
        <w:div w:id="234436889">
          <w:marLeft w:val="0"/>
          <w:marRight w:val="0"/>
          <w:marTop w:val="100"/>
          <w:marBottom w:val="100"/>
          <w:divBdr>
            <w:top w:val="none" w:sz="0" w:space="0" w:color="auto"/>
            <w:left w:val="none" w:sz="0" w:space="0" w:color="auto"/>
            <w:bottom w:val="none" w:sz="0" w:space="0" w:color="auto"/>
            <w:right w:val="none" w:sz="0" w:space="0" w:color="auto"/>
          </w:divBdr>
        </w:div>
      </w:divsChild>
    </w:div>
    <w:div w:id="166558717">
      <w:bodyDiv w:val="1"/>
      <w:marLeft w:val="0"/>
      <w:marRight w:val="0"/>
      <w:marTop w:val="0"/>
      <w:marBottom w:val="0"/>
      <w:divBdr>
        <w:top w:val="none" w:sz="0" w:space="0" w:color="auto"/>
        <w:left w:val="none" w:sz="0" w:space="0" w:color="auto"/>
        <w:bottom w:val="none" w:sz="0" w:space="0" w:color="auto"/>
        <w:right w:val="none" w:sz="0" w:space="0" w:color="auto"/>
      </w:divBdr>
      <w:divsChild>
        <w:div w:id="142896109">
          <w:marLeft w:val="0"/>
          <w:marRight w:val="0"/>
          <w:marTop w:val="0"/>
          <w:marBottom w:val="0"/>
          <w:divBdr>
            <w:top w:val="none" w:sz="0" w:space="0" w:color="auto"/>
            <w:left w:val="none" w:sz="0" w:space="0" w:color="auto"/>
            <w:bottom w:val="none" w:sz="0" w:space="0" w:color="auto"/>
            <w:right w:val="none" w:sz="0" w:space="0" w:color="auto"/>
          </w:divBdr>
        </w:div>
        <w:div w:id="2060665886">
          <w:marLeft w:val="0"/>
          <w:marRight w:val="0"/>
          <w:marTop w:val="0"/>
          <w:marBottom w:val="0"/>
          <w:divBdr>
            <w:top w:val="none" w:sz="0" w:space="0" w:color="auto"/>
            <w:left w:val="none" w:sz="0" w:space="0" w:color="auto"/>
            <w:bottom w:val="none" w:sz="0" w:space="0" w:color="auto"/>
            <w:right w:val="none" w:sz="0" w:space="0" w:color="auto"/>
          </w:divBdr>
          <w:divsChild>
            <w:div w:id="1558204538">
              <w:marLeft w:val="0"/>
              <w:marRight w:val="0"/>
              <w:marTop w:val="0"/>
              <w:marBottom w:val="0"/>
              <w:divBdr>
                <w:top w:val="none" w:sz="0" w:space="0" w:color="auto"/>
                <w:left w:val="none" w:sz="0" w:space="0" w:color="auto"/>
                <w:bottom w:val="none" w:sz="0" w:space="0" w:color="auto"/>
                <w:right w:val="none" w:sz="0" w:space="0" w:color="auto"/>
              </w:divBdr>
              <w:divsChild>
                <w:div w:id="386491788">
                  <w:marLeft w:val="0"/>
                  <w:marRight w:val="0"/>
                  <w:marTop w:val="0"/>
                  <w:marBottom w:val="0"/>
                  <w:divBdr>
                    <w:top w:val="none" w:sz="0" w:space="0" w:color="auto"/>
                    <w:left w:val="none" w:sz="0" w:space="0" w:color="auto"/>
                    <w:bottom w:val="none" w:sz="0" w:space="0" w:color="auto"/>
                    <w:right w:val="none" w:sz="0" w:space="0" w:color="auto"/>
                  </w:divBdr>
                  <w:divsChild>
                    <w:div w:id="1077021103">
                      <w:marLeft w:val="0"/>
                      <w:marRight w:val="0"/>
                      <w:marTop w:val="0"/>
                      <w:marBottom w:val="0"/>
                      <w:divBdr>
                        <w:top w:val="none" w:sz="0" w:space="0" w:color="auto"/>
                        <w:left w:val="none" w:sz="0" w:space="0" w:color="auto"/>
                        <w:bottom w:val="none" w:sz="0" w:space="0" w:color="auto"/>
                        <w:right w:val="none" w:sz="0" w:space="0" w:color="auto"/>
                      </w:divBdr>
                      <w:divsChild>
                        <w:div w:id="50274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511164">
          <w:marLeft w:val="0"/>
          <w:marRight w:val="0"/>
          <w:marTop w:val="0"/>
          <w:marBottom w:val="0"/>
          <w:divBdr>
            <w:top w:val="none" w:sz="0" w:space="0" w:color="auto"/>
            <w:left w:val="none" w:sz="0" w:space="0" w:color="auto"/>
            <w:bottom w:val="none" w:sz="0" w:space="0" w:color="auto"/>
            <w:right w:val="none" w:sz="0" w:space="0" w:color="auto"/>
          </w:divBdr>
          <w:divsChild>
            <w:div w:id="1807971358">
              <w:marLeft w:val="0"/>
              <w:marRight w:val="0"/>
              <w:marTop w:val="0"/>
              <w:marBottom w:val="0"/>
              <w:divBdr>
                <w:top w:val="none" w:sz="0" w:space="0" w:color="auto"/>
                <w:left w:val="none" w:sz="0" w:space="0" w:color="auto"/>
                <w:bottom w:val="none" w:sz="0" w:space="0" w:color="auto"/>
                <w:right w:val="none" w:sz="0" w:space="0" w:color="auto"/>
              </w:divBdr>
              <w:divsChild>
                <w:div w:id="722370221">
                  <w:marLeft w:val="0"/>
                  <w:marRight w:val="0"/>
                  <w:marTop w:val="0"/>
                  <w:marBottom w:val="0"/>
                  <w:divBdr>
                    <w:top w:val="none" w:sz="0" w:space="0" w:color="auto"/>
                    <w:left w:val="none" w:sz="0" w:space="0" w:color="auto"/>
                    <w:bottom w:val="none" w:sz="0" w:space="0" w:color="auto"/>
                    <w:right w:val="none" w:sz="0" w:space="0" w:color="auto"/>
                  </w:divBdr>
                  <w:divsChild>
                    <w:div w:id="109979295">
                      <w:marLeft w:val="0"/>
                      <w:marRight w:val="0"/>
                      <w:marTop w:val="0"/>
                      <w:marBottom w:val="0"/>
                      <w:divBdr>
                        <w:top w:val="none" w:sz="0" w:space="0" w:color="auto"/>
                        <w:left w:val="none" w:sz="0" w:space="0" w:color="auto"/>
                        <w:bottom w:val="none" w:sz="0" w:space="0" w:color="auto"/>
                        <w:right w:val="none" w:sz="0" w:space="0" w:color="auto"/>
                      </w:divBdr>
                      <w:divsChild>
                        <w:div w:id="2086996949">
                          <w:marLeft w:val="0"/>
                          <w:marRight w:val="0"/>
                          <w:marTop w:val="0"/>
                          <w:marBottom w:val="0"/>
                          <w:divBdr>
                            <w:top w:val="none" w:sz="0" w:space="0" w:color="auto"/>
                            <w:left w:val="none" w:sz="0" w:space="0" w:color="auto"/>
                            <w:bottom w:val="none" w:sz="0" w:space="0" w:color="auto"/>
                            <w:right w:val="none" w:sz="0" w:space="0" w:color="auto"/>
                          </w:divBdr>
                          <w:divsChild>
                            <w:div w:id="13081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50258">
      <w:bodyDiv w:val="1"/>
      <w:marLeft w:val="0"/>
      <w:marRight w:val="0"/>
      <w:marTop w:val="0"/>
      <w:marBottom w:val="0"/>
      <w:divBdr>
        <w:top w:val="none" w:sz="0" w:space="0" w:color="auto"/>
        <w:left w:val="none" w:sz="0" w:space="0" w:color="auto"/>
        <w:bottom w:val="none" w:sz="0" w:space="0" w:color="auto"/>
        <w:right w:val="none" w:sz="0" w:space="0" w:color="auto"/>
      </w:divBdr>
    </w:div>
    <w:div w:id="217671239">
      <w:bodyDiv w:val="1"/>
      <w:marLeft w:val="0"/>
      <w:marRight w:val="0"/>
      <w:marTop w:val="0"/>
      <w:marBottom w:val="0"/>
      <w:divBdr>
        <w:top w:val="none" w:sz="0" w:space="0" w:color="auto"/>
        <w:left w:val="none" w:sz="0" w:space="0" w:color="auto"/>
        <w:bottom w:val="none" w:sz="0" w:space="0" w:color="auto"/>
        <w:right w:val="none" w:sz="0" w:space="0" w:color="auto"/>
      </w:divBdr>
    </w:div>
    <w:div w:id="235209654">
      <w:bodyDiv w:val="1"/>
      <w:marLeft w:val="0"/>
      <w:marRight w:val="0"/>
      <w:marTop w:val="0"/>
      <w:marBottom w:val="0"/>
      <w:divBdr>
        <w:top w:val="none" w:sz="0" w:space="0" w:color="auto"/>
        <w:left w:val="none" w:sz="0" w:space="0" w:color="auto"/>
        <w:bottom w:val="none" w:sz="0" w:space="0" w:color="auto"/>
        <w:right w:val="none" w:sz="0" w:space="0" w:color="auto"/>
      </w:divBdr>
    </w:div>
    <w:div w:id="240798059">
      <w:bodyDiv w:val="1"/>
      <w:marLeft w:val="0"/>
      <w:marRight w:val="0"/>
      <w:marTop w:val="0"/>
      <w:marBottom w:val="0"/>
      <w:divBdr>
        <w:top w:val="none" w:sz="0" w:space="0" w:color="auto"/>
        <w:left w:val="none" w:sz="0" w:space="0" w:color="auto"/>
        <w:bottom w:val="none" w:sz="0" w:space="0" w:color="auto"/>
        <w:right w:val="none" w:sz="0" w:space="0" w:color="auto"/>
      </w:divBdr>
    </w:div>
    <w:div w:id="248467629">
      <w:bodyDiv w:val="1"/>
      <w:marLeft w:val="0"/>
      <w:marRight w:val="0"/>
      <w:marTop w:val="0"/>
      <w:marBottom w:val="0"/>
      <w:divBdr>
        <w:top w:val="none" w:sz="0" w:space="0" w:color="auto"/>
        <w:left w:val="none" w:sz="0" w:space="0" w:color="auto"/>
        <w:bottom w:val="none" w:sz="0" w:space="0" w:color="auto"/>
        <w:right w:val="none" w:sz="0" w:space="0" w:color="auto"/>
      </w:divBdr>
      <w:divsChild>
        <w:div w:id="1295795439">
          <w:marLeft w:val="0"/>
          <w:marRight w:val="0"/>
          <w:marTop w:val="0"/>
          <w:marBottom w:val="0"/>
          <w:divBdr>
            <w:top w:val="none" w:sz="0" w:space="0" w:color="auto"/>
            <w:left w:val="none" w:sz="0" w:space="0" w:color="auto"/>
            <w:bottom w:val="none" w:sz="0" w:space="0" w:color="auto"/>
            <w:right w:val="none" w:sz="0" w:space="0" w:color="auto"/>
          </w:divBdr>
          <w:divsChild>
            <w:div w:id="771440606">
              <w:marLeft w:val="0"/>
              <w:marRight w:val="0"/>
              <w:marTop w:val="0"/>
              <w:marBottom w:val="0"/>
              <w:divBdr>
                <w:top w:val="none" w:sz="0" w:space="0" w:color="auto"/>
                <w:left w:val="none" w:sz="0" w:space="0" w:color="auto"/>
                <w:bottom w:val="none" w:sz="0" w:space="0" w:color="auto"/>
                <w:right w:val="none" w:sz="0" w:space="0" w:color="auto"/>
              </w:divBdr>
              <w:divsChild>
                <w:div w:id="1889800915">
                  <w:marLeft w:val="0"/>
                  <w:marRight w:val="0"/>
                  <w:marTop w:val="0"/>
                  <w:marBottom w:val="0"/>
                  <w:divBdr>
                    <w:top w:val="none" w:sz="0" w:space="0" w:color="auto"/>
                    <w:left w:val="none" w:sz="0" w:space="0" w:color="auto"/>
                    <w:bottom w:val="none" w:sz="0" w:space="0" w:color="auto"/>
                    <w:right w:val="none" w:sz="0" w:space="0" w:color="auto"/>
                  </w:divBdr>
                  <w:divsChild>
                    <w:div w:id="1043866533">
                      <w:marLeft w:val="0"/>
                      <w:marRight w:val="0"/>
                      <w:marTop w:val="0"/>
                      <w:marBottom w:val="0"/>
                      <w:divBdr>
                        <w:top w:val="none" w:sz="0" w:space="0" w:color="auto"/>
                        <w:left w:val="none" w:sz="0" w:space="0" w:color="auto"/>
                        <w:bottom w:val="none" w:sz="0" w:space="0" w:color="auto"/>
                        <w:right w:val="none" w:sz="0" w:space="0" w:color="auto"/>
                      </w:divBdr>
                      <w:divsChild>
                        <w:div w:id="74397615">
                          <w:marLeft w:val="0"/>
                          <w:marRight w:val="0"/>
                          <w:marTop w:val="0"/>
                          <w:marBottom w:val="0"/>
                          <w:divBdr>
                            <w:top w:val="none" w:sz="0" w:space="0" w:color="auto"/>
                            <w:left w:val="none" w:sz="0" w:space="0" w:color="auto"/>
                            <w:bottom w:val="none" w:sz="0" w:space="0" w:color="auto"/>
                            <w:right w:val="none" w:sz="0" w:space="0" w:color="auto"/>
                          </w:divBdr>
                          <w:divsChild>
                            <w:div w:id="1973827942">
                              <w:marLeft w:val="0"/>
                              <w:marRight w:val="0"/>
                              <w:marTop w:val="0"/>
                              <w:marBottom w:val="0"/>
                              <w:divBdr>
                                <w:top w:val="none" w:sz="0" w:space="0" w:color="auto"/>
                                <w:left w:val="none" w:sz="0" w:space="0" w:color="auto"/>
                                <w:bottom w:val="none" w:sz="0" w:space="0" w:color="auto"/>
                                <w:right w:val="none" w:sz="0" w:space="0" w:color="auto"/>
                              </w:divBdr>
                              <w:divsChild>
                                <w:div w:id="1712923080">
                                  <w:marLeft w:val="0"/>
                                  <w:marRight w:val="0"/>
                                  <w:marTop w:val="0"/>
                                  <w:marBottom w:val="0"/>
                                  <w:divBdr>
                                    <w:top w:val="none" w:sz="0" w:space="0" w:color="auto"/>
                                    <w:left w:val="none" w:sz="0" w:space="0" w:color="auto"/>
                                    <w:bottom w:val="none" w:sz="0" w:space="0" w:color="auto"/>
                                    <w:right w:val="none" w:sz="0" w:space="0" w:color="auto"/>
                                  </w:divBdr>
                                  <w:divsChild>
                                    <w:div w:id="684483717">
                                      <w:marLeft w:val="0"/>
                                      <w:marRight w:val="0"/>
                                      <w:marTop w:val="0"/>
                                      <w:marBottom w:val="0"/>
                                      <w:divBdr>
                                        <w:top w:val="none" w:sz="0" w:space="0" w:color="auto"/>
                                        <w:left w:val="none" w:sz="0" w:space="0" w:color="auto"/>
                                        <w:bottom w:val="none" w:sz="0" w:space="0" w:color="auto"/>
                                        <w:right w:val="none" w:sz="0" w:space="0" w:color="auto"/>
                                      </w:divBdr>
                                      <w:divsChild>
                                        <w:div w:id="699088414">
                                          <w:marLeft w:val="0"/>
                                          <w:marRight w:val="0"/>
                                          <w:marTop w:val="0"/>
                                          <w:marBottom w:val="0"/>
                                          <w:divBdr>
                                            <w:top w:val="none" w:sz="0" w:space="0" w:color="auto"/>
                                            <w:left w:val="none" w:sz="0" w:space="0" w:color="auto"/>
                                            <w:bottom w:val="none" w:sz="0" w:space="0" w:color="auto"/>
                                            <w:right w:val="none" w:sz="0" w:space="0" w:color="auto"/>
                                          </w:divBdr>
                                          <w:divsChild>
                                            <w:div w:id="1034699358">
                                              <w:marLeft w:val="0"/>
                                              <w:marRight w:val="0"/>
                                              <w:marTop w:val="0"/>
                                              <w:marBottom w:val="0"/>
                                              <w:divBdr>
                                                <w:top w:val="none" w:sz="0" w:space="0" w:color="auto"/>
                                                <w:left w:val="none" w:sz="0" w:space="0" w:color="auto"/>
                                                <w:bottom w:val="none" w:sz="0" w:space="0" w:color="auto"/>
                                                <w:right w:val="none" w:sz="0" w:space="0" w:color="auto"/>
                                              </w:divBdr>
                                              <w:divsChild>
                                                <w:div w:id="1551264160">
                                                  <w:marLeft w:val="0"/>
                                                  <w:marRight w:val="0"/>
                                                  <w:marTop w:val="0"/>
                                                  <w:marBottom w:val="0"/>
                                                  <w:divBdr>
                                                    <w:top w:val="none" w:sz="0" w:space="0" w:color="auto"/>
                                                    <w:left w:val="none" w:sz="0" w:space="0" w:color="auto"/>
                                                    <w:bottom w:val="none" w:sz="0" w:space="0" w:color="auto"/>
                                                    <w:right w:val="none" w:sz="0" w:space="0" w:color="auto"/>
                                                  </w:divBdr>
                                                  <w:divsChild>
                                                    <w:div w:id="1042359751">
                                                      <w:marLeft w:val="0"/>
                                                      <w:marRight w:val="0"/>
                                                      <w:marTop w:val="0"/>
                                                      <w:marBottom w:val="0"/>
                                                      <w:divBdr>
                                                        <w:top w:val="none" w:sz="0" w:space="0" w:color="auto"/>
                                                        <w:left w:val="none" w:sz="0" w:space="0" w:color="auto"/>
                                                        <w:bottom w:val="none" w:sz="0" w:space="0" w:color="auto"/>
                                                        <w:right w:val="none" w:sz="0" w:space="0" w:color="auto"/>
                                                      </w:divBdr>
                                                      <w:divsChild>
                                                        <w:div w:id="145340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2857053">
      <w:bodyDiv w:val="1"/>
      <w:marLeft w:val="0"/>
      <w:marRight w:val="0"/>
      <w:marTop w:val="0"/>
      <w:marBottom w:val="0"/>
      <w:divBdr>
        <w:top w:val="none" w:sz="0" w:space="0" w:color="auto"/>
        <w:left w:val="none" w:sz="0" w:space="0" w:color="auto"/>
        <w:bottom w:val="none" w:sz="0" w:space="0" w:color="auto"/>
        <w:right w:val="none" w:sz="0" w:space="0" w:color="auto"/>
      </w:divBdr>
    </w:div>
    <w:div w:id="258102697">
      <w:bodyDiv w:val="1"/>
      <w:marLeft w:val="0"/>
      <w:marRight w:val="0"/>
      <w:marTop w:val="0"/>
      <w:marBottom w:val="0"/>
      <w:divBdr>
        <w:top w:val="none" w:sz="0" w:space="0" w:color="auto"/>
        <w:left w:val="none" w:sz="0" w:space="0" w:color="auto"/>
        <w:bottom w:val="none" w:sz="0" w:space="0" w:color="auto"/>
        <w:right w:val="none" w:sz="0" w:space="0" w:color="auto"/>
      </w:divBdr>
      <w:divsChild>
        <w:div w:id="1081489038">
          <w:marLeft w:val="0"/>
          <w:marRight w:val="0"/>
          <w:marTop w:val="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1399087952">
                  <w:marLeft w:val="0"/>
                  <w:marRight w:val="0"/>
                  <w:marTop w:val="0"/>
                  <w:marBottom w:val="0"/>
                  <w:divBdr>
                    <w:top w:val="none" w:sz="0" w:space="0" w:color="auto"/>
                    <w:left w:val="none" w:sz="0" w:space="0" w:color="auto"/>
                    <w:bottom w:val="none" w:sz="0" w:space="0" w:color="auto"/>
                    <w:right w:val="none" w:sz="0" w:space="0" w:color="auto"/>
                  </w:divBdr>
                  <w:divsChild>
                    <w:div w:id="1922132428">
                      <w:marLeft w:val="0"/>
                      <w:marRight w:val="0"/>
                      <w:marTop w:val="0"/>
                      <w:marBottom w:val="0"/>
                      <w:divBdr>
                        <w:top w:val="none" w:sz="0" w:space="0" w:color="auto"/>
                        <w:left w:val="none" w:sz="0" w:space="0" w:color="auto"/>
                        <w:bottom w:val="none" w:sz="0" w:space="0" w:color="auto"/>
                        <w:right w:val="none" w:sz="0" w:space="0" w:color="auto"/>
                      </w:divBdr>
                      <w:divsChild>
                        <w:div w:id="129901049">
                          <w:marLeft w:val="0"/>
                          <w:marRight w:val="0"/>
                          <w:marTop w:val="0"/>
                          <w:marBottom w:val="0"/>
                          <w:divBdr>
                            <w:top w:val="none" w:sz="0" w:space="0" w:color="auto"/>
                            <w:left w:val="none" w:sz="0" w:space="0" w:color="auto"/>
                            <w:bottom w:val="none" w:sz="0" w:space="0" w:color="auto"/>
                            <w:right w:val="none" w:sz="0" w:space="0" w:color="auto"/>
                          </w:divBdr>
                          <w:divsChild>
                            <w:div w:id="1194151818">
                              <w:marLeft w:val="0"/>
                              <w:marRight w:val="0"/>
                              <w:marTop w:val="0"/>
                              <w:marBottom w:val="0"/>
                              <w:divBdr>
                                <w:top w:val="none" w:sz="0" w:space="0" w:color="auto"/>
                                <w:left w:val="none" w:sz="0" w:space="0" w:color="auto"/>
                                <w:bottom w:val="none" w:sz="0" w:space="0" w:color="auto"/>
                                <w:right w:val="none" w:sz="0" w:space="0" w:color="auto"/>
                              </w:divBdr>
                              <w:divsChild>
                                <w:div w:id="1777286544">
                                  <w:marLeft w:val="0"/>
                                  <w:marRight w:val="0"/>
                                  <w:marTop w:val="0"/>
                                  <w:marBottom w:val="0"/>
                                  <w:divBdr>
                                    <w:top w:val="none" w:sz="0" w:space="0" w:color="auto"/>
                                    <w:left w:val="none" w:sz="0" w:space="0" w:color="auto"/>
                                    <w:bottom w:val="none" w:sz="0" w:space="0" w:color="auto"/>
                                    <w:right w:val="none" w:sz="0" w:space="0" w:color="auto"/>
                                  </w:divBdr>
                                  <w:divsChild>
                                    <w:div w:id="1492524817">
                                      <w:marLeft w:val="0"/>
                                      <w:marRight w:val="0"/>
                                      <w:marTop w:val="0"/>
                                      <w:marBottom w:val="0"/>
                                      <w:divBdr>
                                        <w:top w:val="none" w:sz="0" w:space="0" w:color="auto"/>
                                        <w:left w:val="none" w:sz="0" w:space="0" w:color="auto"/>
                                        <w:bottom w:val="none" w:sz="0" w:space="0" w:color="auto"/>
                                        <w:right w:val="none" w:sz="0" w:space="0" w:color="auto"/>
                                      </w:divBdr>
                                      <w:divsChild>
                                        <w:div w:id="1087119114">
                                          <w:marLeft w:val="0"/>
                                          <w:marRight w:val="0"/>
                                          <w:marTop w:val="0"/>
                                          <w:marBottom w:val="0"/>
                                          <w:divBdr>
                                            <w:top w:val="none" w:sz="0" w:space="0" w:color="auto"/>
                                            <w:left w:val="none" w:sz="0" w:space="0" w:color="auto"/>
                                            <w:bottom w:val="none" w:sz="0" w:space="0" w:color="auto"/>
                                            <w:right w:val="none" w:sz="0" w:space="0" w:color="auto"/>
                                          </w:divBdr>
                                          <w:divsChild>
                                            <w:div w:id="1209534439">
                                              <w:marLeft w:val="0"/>
                                              <w:marRight w:val="0"/>
                                              <w:marTop w:val="0"/>
                                              <w:marBottom w:val="0"/>
                                              <w:divBdr>
                                                <w:top w:val="none" w:sz="0" w:space="0" w:color="auto"/>
                                                <w:left w:val="none" w:sz="0" w:space="0" w:color="auto"/>
                                                <w:bottom w:val="none" w:sz="0" w:space="0" w:color="auto"/>
                                                <w:right w:val="none" w:sz="0" w:space="0" w:color="auto"/>
                                              </w:divBdr>
                                              <w:divsChild>
                                                <w:div w:id="421462588">
                                                  <w:marLeft w:val="0"/>
                                                  <w:marRight w:val="0"/>
                                                  <w:marTop w:val="0"/>
                                                  <w:marBottom w:val="0"/>
                                                  <w:divBdr>
                                                    <w:top w:val="none" w:sz="0" w:space="0" w:color="auto"/>
                                                    <w:left w:val="none" w:sz="0" w:space="0" w:color="auto"/>
                                                    <w:bottom w:val="none" w:sz="0" w:space="0" w:color="auto"/>
                                                    <w:right w:val="none" w:sz="0" w:space="0" w:color="auto"/>
                                                  </w:divBdr>
                                                  <w:divsChild>
                                                    <w:div w:id="1136945640">
                                                      <w:marLeft w:val="0"/>
                                                      <w:marRight w:val="0"/>
                                                      <w:marTop w:val="0"/>
                                                      <w:marBottom w:val="0"/>
                                                      <w:divBdr>
                                                        <w:top w:val="none" w:sz="0" w:space="0" w:color="auto"/>
                                                        <w:left w:val="none" w:sz="0" w:space="0" w:color="auto"/>
                                                        <w:bottom w:val="none" w:sz="0" w:space="0" w:color="auto"/>
                                                        <w:right w:val="none" w:sz="0" w:space="0" w:color="auto"/>
                                                      </w:divBdr>
                                                      <w:divsChild>
                                                        <w:div w:id="167440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407031">
      <w:bodyDiv w:val="1"/>
      <w:marLeft w:val="0"/>
      <w:marRight w:val="0"/>
      <w:marTop w:val="0"/>
      <w:marBottom w:val="0"/>
      <w:divBdr>
        <w:top w:val="none" w:sz="0" w:space="0" w:color="auto"/>
        <w:left w:val="none" w:sz="0" w:space="0" w:color="auto"/>
        <w:bottom w:val="none" w:sz="0" w:space="0" w:color="auto"/>
        <w:right w:val="none" w:sz="0" w:space="0" w:color="auto"/>
      </w:divBdr>
    </w:div>
    <w:div w:id="293601296">
      <w:bodyDiv w:val="1"/>
      <w:marLeft w:val="0"/>
      <w:marRight w:val="0"/>
      <w:marTop w:val="0"/>
      <w:marBottom w:val="0"/>
      <w:divBdr>
        <w:top w:val="none" w:sz="0" w:space="0" w:color="auto"/>
        <w:left w:val="none" w:sz="0" w:space="0" w:color="auto"/>
        <w:bottom w:val="none" w:sz="0" w:space="0" w:color="auto"/>
        <w:right w:val="none" w:sz="0" w:space="0" w:color="auto"/>
      </w:divBdr>
      <w:divsChild>
        <w:div w:id="192813748">
          <w:marLeft w:val="0"/>
          <w:marRight w:val="0"/>
          <w:marTop w:val="0"/>
          <w:marBottom w:val="0"/>
          <w:divBdr>
            <w:top w:val="none" w:sz="0" w:space="0" w:color="auto"/>
            <w:left w:val="none" w:sz="0" w:space="0" w:color="auto"/>
            <w:bottom w:val="none" w:sz="0" w:space="0" w:color="auto"/>
            <w:right w:val="none" w:sz="0" w:space="0" w:color="auto"/>
          </w:divBdr>
        </w:div>
        <w:div w:id="884415252">
          <w:marLeft w:val="0"/>
          <w:marRight w:val="0"/>
          <w:marTop w:val="0"/>
          <w:marBottom w:val="0"/>
          <w:divBdr>
            <w:top w:val="none" w:sz="0" w:space="0" w:color="auto"/>
            <w:left w:val="none" w:sz="0" w:space="0" w:color="auto"/>
            <w:bottom w:val="none" w:sz="0" w:space="0" w:color="auto"/>
            <w:right w:val="none" w:sz="0" w:space="0" w:color="auto"/>
          </w:divBdr>
          <w:divsChild>
            <w:div w:id="1315337069">
              <w:marLeft w:val="0"/>
              <w:marRight w:val="0"/>
              <w:marTop w:val="0"/>
              <w:marBottom w:val="0"/>
              <w:divBdr>
                <w:top w:val="none" w:sz="0" w:space="0" w:color="auto"/>
                <w:left w:val="none" w:sz="0" w:space="0" w:color="auto"/>
                <w:bottom w:val="none" w:sz="0" w:space="0" w:color="auto"/>
                <w:right w:val="none" w:sz="0" w:space="0" w:color="auto"/>
              </w:divBdr>
              <w:divsChild>
                <w:div w:id="1136794151">
                  <w:marLeft w:val="0"/>
                  <w:marRight w:val="0"/>
                  <w:marTop w:val="0"/>
                  <w:marBottom w:val="0"/>
                  <w:divBdr>
                    <w:top w:val="none" w:sz="0" w:space="0" w:color="auto"/>
                    <w:left w:val="none" w:sz="0" w:space="0" w:color="auto"/>
                    <w:bottom w:val="none" w:sz="0" w:space="0" w:color="auto"/>
                    <w:right w:val="none" w:sz="0" w:space="0" w:color="auto"/>
                  </w:divBdr>
                  <w:divsChild>
                    <w:div w:id="105513395">
                      <w:marLeft w:val="0"/>
                      <w:marRight w:val="0"/>
                      <w:marTop w:val="0"/>
                      <w:marBottom w:val="0"/>
                      <w:divBdr>
                        <w:top w:val="none" w:sz="0" w:space="0" w:color="auto"/>
                        <w:left w:val="none" w:sz="0" w:space="0" w:color="auto"/>
                        <w:bottom w:val="none" w:sz="0" w:space="0" w:color="auto"/>
                        <w:right w:val="none" w:sz="0" w:space="0" w:color="auto"/>
                      </w:divBdr>
                      <w:divsChild>
                        <w:div w:id="20584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630254">
          <w:marLeft w:val="0"/>
          <w:marRight w:val="0"/>
          <w:marTop w:val="0"/>
          <w:marBottom w:val="0"/>
          <w:divBdr>
            <w:top w:val="none" w:sz="0" w:space="0" w:color="auto"/>
            <w:left w:val="none" w:sz="0" w:space="0" w:color="auto"/>
            <w:bottom w:val="none" w:sz="0" w:space="0" w:color="auto"/>
            <w:right w:val="none" w:sz="0" w:space="0" w:color="auto"/>
          </w:divBdr>
          <w:divsChild>
            <w:div w:id="1713310758">
              <w:marLeft w:val="0"/>
              <w:marRight w:val="0"/>
              <w:marTop w:val="0"/>
              <w:marBottom w:val="0"/>
              <w:divBdr>
                <w:top w:val="none" w:sz="0" w:space="0" w:color="auto"/>
                <w:left w:val="none" w:sz="0" w:space="0" w:color="auto"/>
                <w:bottom w:val="none" w:sz="0" w:space="0" w:color="auto"/>
                <w:right w:val="none" w:sz="0" w:space="0" w:color="auto"/>
              </w:divBdr>
              <w:divsChild>
                <w:div w:id="2022049745">
                  <w:marLeft w:val="0"/>
                  <w:marRight w:val="0"/>
                  <w:marTop w:val="0"/>
                  <w:marBottom w:val="0"/>
                  <w:divBdr>
                    <w:top w:val="none" w:sz="0" w:space="0" w:color="auto"/>
                    <w:left w:val="none" w:sz="0" w:space="0" w:color="auto"/>
                    <w:bottom w:val="none" w:sz="0" w:space="0" w:color="auto"/>
                    <w:right w:val="none" w:sz="0" w:space="0" w:color="auto"/>
                  </w:divBdr>
                  <w:divsChild>
                    <w:div w:id="1290624510">
                      <w:marLeft w:val="0"/>
                      <w:marRight w:val="0"/>
                      <w:marTop w:val="0"/>
                      <w:marBottom w:val="0"/>
                      <w:divBdr>
                        <w:top w:val="none" w:sz="0" w:space="0" w:color="auto"/>
                        <w:left w:val="none" w:sz="0" w:space="0" w:color="auto"/>
                        <w:bottom w:val="none" w:sz="0" w:space="0" w:color="auto"/>
                        <w:right w:val="none" w:sz="0" w:space="0" w:color="auto"/>
                      </w:divBdr>
                      <w:divsChild>
                        <w:div w:id="659891942">
                          <w:marLeft w:val="0"/>
                          <w:marRight w:val="0"/>
                          <w:marTop w:val="0"/>
                          <w:marBottom w:val="0"/>
                          <w:divBdr>
                            <w:top w:val="none" w:sz="0" w:space="0" w:color="auto"/>
                            <w:left w:val="none" w:sz="0" w:space="0" w:color="auto"/>
                            <w:bottom w:val="none" w:sz="0" w:space="0" w:color="auto"/>
                            <w:right w:val="none" w:sz="0" w:space="0" w:color="auto"/>
                          </w:divBdr>
                          <w:divsChild>
                            <w:div w:id="181267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042561">
      <w:bodyDiv w:val="1"/>
      <w:marLeft w:val="0"/>
      <w:marRight w:val="0"/>
      <w:marTop w:val="0"/>
      <w:marBottom w:val="0"/>
      <w:divBdr>
        <w:top w:val="none" w:sz="0" w:space="0" w:color="auto"/>
        <w:left w:val="none" w:sz="0" w:space="0" w:color="auto"/>
        <w:bottom w:val="none" w:sz="0" w:space="0" w:color="auto"/>
        <w:right w:val="none" w:sz="0" w:space="0" w:color="auto"/>
      </w:divBdr>
    </w:div>
    <w:div w:id="309360681">
      <w:bodyDiv w:val="1"/>
      <w:marLeft w:val="0"/>
      <w:marRight w:val="0"/>
      <w:marTop w:val="0"/>
      <w:marBottom w:val="0"/>
      <w:divBdr>
        <w:top w:val="none" w:sz="0" w:space="0" w:color="auto"/>
        <w:left w:val="none" w:sz="0" w:space="0" w:color="auto"/>
        <w:bottom w:val="none" w:sz="0" w:space="0" w:color="auto"/>
        <w:right w:val="none" w:sz="0" w:space="0" w:color="auto"/>
      </w:divBdr>
      <w:divsChild>
        <w:div w:id="243341694">
          <w:marLeft w:val="0"/>
          <w:marRight w:val="0"/>
          <w:marTop w:val="0"/>
          <w:marBottom w:val="0"/>
          <w:divBdr>
            <w:top w:val="none" w:sz="0" w:space="0" w:color="auto"/>
            <w:left w:val="none" w:sz="0" w:space="0" w:color="auto"/>
            <w:bottom w:val="none" w:sz="0" w:space="0" w:color="auto"/>
            <w:right w:val="none" w:sz="0" w:space="0" w:color="auto"/>
          </w:divBdr>
          <w:divsChild>
            <w:div w:id="730425872">
              <w:marLeft w:val="0"/>
              <w:marRight w:val="0"/>
              <w:marTop w:val="0"/>
              <w:marBottom w:val="0"/>
              <w:divBdr>
                <w:top w:val="none" w:sz="0" w:space="0" w:color="auto"/>
                <w:left w:val="none" w:sz="0" w:space="0" w:color="auto"/>
                <w:bottom w:val="none" w:sz="0" w:space="0" w:color="auto"/>
                <w:right w:val="none" w:sz="0" w:space="0" w:color="auto"/>
              </w:divBdr>
              <w:divsChild>
                <w:div w:id="2140028400">
                  <w:marLeft w:val="0"/>
                  <w:marRight w:val="0"/>
                  <w:marTop w:val="0"/>
                  <w:marBottom w:val="0"/>
                  <w:divBdr>
                    <w:top w:val="none" w:sz="0" w:space="0" w:color="auto"/>
                    <w:left w:val="none" w:sz="0" w:space="0" w:color="auto"/>
                    <w:bottom w:val="none" w:sz="0" w:space="0" w:color="auto"/>
                    <w:right w:val="none" w:sz="0" w:space="0" w:color="auto"/>
                  </w:divBdr>
                  <w:divsChild>
                    <w:div w:id="706294327">
                      <w:marLeft w:val="0"/>
                      <w:marRight w:val="0"/>
                      <w:marTop w:val="0"/>
                      <w:marBottom w:val="0"/>
                      <w:divBdr>
                        <w:top w:val="none" w:sz="0" w:space="0" w:color="auto"/>
                        <w:left w:val="none" w:sz="0" w:space="0" w:color="auto"/>
                        <w:bottom w:val="none" w:sz="0" w:space="0" w:color="auto"/>
                        <w:right w:val="none" w:sz="0" w:space="0" w:color="auto"/>
                      </w:divBdr>
                      <w:divsChild>
                        <w:div w:id="1241990660">
                          <w:marLeft w:val="0"/>
                          <w:marRight w:val="0"/>
                          <w:marTop w:val="0"/>
                          <w:marBottom w:val="0"/>
                          <w:divBdr>
                            <w:top w:val="none" w:sz="0" w:space="0" w:color="auto"/>
                            <w:left w:val="none" w:sz="0" w:space="0" w:color="auto"/>
                            <w:bottom w:val="none" w:sz="0" w:space="0" w:color="auto"/>
                            <w:right w:val="none" w:sz="0" w:space="0" w:color="auto"/>
                          </w:divBdr>
                          <w:divsChild>
                            <w:div w:id="561135032">
                              <w:marLeft w:val="0"/>
                              <w:marRight w:val="0"/>
                              <w:marTop w:val="0"/>
                              <w:marBottom w:val="0"/>
                              <w:divBdr>
                                <w:top w:val="none" w:sz="0" w:space="0" w:color="auto"/>
                                <w:left w:val="none" w:sz="0" w:space="0" w:color="auto"/>
                                <w:bottom w:val="none" w:sz="0" w:space="0" w:color="auto"/>
                                <w:right w:val="none" w:sz="0" w:space="0" w:color="auto"/>
                              </w:divBdr>
                              <w:divsChild>
                                <w:div w:id="563417700">
                                  <w:marLeft w:val="0"/>
                                  <w:marRight w:val="0"/>
                                  <w:marTop w:val="0"/>
                                  <w:marBottom w:val="0"/>
                                  <w:divBdr>
                                    <w:top w:val="none" w:sz="0" w:space="0" w:color="auto"/>
                                    <w:left w:val="none" w:sz="0" w:space="0" w:color="auto"/>
                                    <w:bottom w:val="none" w:sz="0" w:space="0" w:color="auto"/>
                                    <w:right w:val="none" w:sz="0" w:space="0" w:color="auto"/>
                                  </w:divBdr>
                                  <w:divsChild>
                                    <w:div w:id="966856516">
                                      <w:marLeft w:val="0"/>
                                      <w:marRight w:val="0"/>
                                      <w:marTop w:val="0"/>
                                      <w:marBottom w:val="0"/>
                                      <w:divBdr>
                                        <w:top w:val="none" w:sz="0" w:space="0" w:color="auto"/>
                                        <w:left w:val="none" w:sz="0" w:space="0" w:color="auto"/>
                                        <w:bottom w:val="none" w:sz="0" w:space="0" w:color="auto"/>
                                        <w:right w:val="none" w:sz="0" w:space="0" w:color="auto"/>
                                      </w:divBdr>
                                      <w:divsChild>
                                        <w:div w:id="1003897895">
                                          <w:marLeft w:val="0"/>
                                          <w:marRight w:val="0"/>
                                          <w:marTop w:val="0"/>
                                          <w:marBottom w:val="0"/>
                                          <w:divBdr>
                                            <w:top w:val="none" w:sz="0" w:space="0" w:color="auto"/>
                                            <w:left w:val="none" w:sz="0" w:space="0" w:color="auto"/>
                                            <w:bottom w:val="none" w:sz="0" w:space="0" w:color="auto"/>
                                            <w:right w:val="none" w:sz="0" w:space="0" w:color="auto"/>
                                          </w:divBdr>
                                          <w:divsChild>
                                            <w:div w:id="1832091588">
                                              <w:marLeft w:val="0"/>
                                              <w:marRight w:val="0"/>
                                              <w:marTop w:val="0"/>
                                              <w:marBottom w:val="0"/>
                                              <w:divBdr>
                                                <w:top w:val="none" w:sz="0" w:space="0" w:color="auto"/>
                                                <w:left w:val="none" w:sz="0" w:space="0" w:color="auto"/>
                                                <w:bottom w:val="none" w:sz="0" w:space="0" w:color="auto"/>
                                                <w:right w:val="none" w:sz="0" w:space="0" w:color="auto"/>
                                              </w:divBdr>
                                              <w:divsChild>
                                                <w:div w:id="533732964">
                                                  <w:marLeft w:val="0"/>
                                                  <w:marRight w:val="0"/>
                                                  <w:marTop w:val="0"/>
                                                  <w:marBottom w:val="0"/>
                                                  <w:divBdr>
                                                    <w:top w:val="none" w:sz="0" w:space="0" w:color="auto"/>
                                                    <w:left w:val="none" w:sz="0" w:space="0" w:color="auto"/>
                                                    <w:bottom w:val="none" w:sz="0" w:space="0" w:color="auto"/>
                                                    <w:right w:val="none" w:sz="0" w:space="0" w:color="auto"/>
                                                  </w:divBdr>
                                                  <w:divsChild>
                                                    <w:div w:id="14045961">
                                                      <w:marLeft w:val="0"/>
                                                      <w:marRight w:val="0"/>
                                                      <w:marTop w:val="0"/>
                                                      <w:marBottom w:val="0"/>
                                                      <w:divBdr>
                                                        <w:top w:val="none" w:sz="0" w:space="0" w:color="auto"/>
                                                        <w:left w:val="none" w:sz="0" w:space="0" w:color="auto"/>
                                                        <w:bottom w:val="none" w:sz="0" w:space="0" w:color="auto"/>
                                                        <w:right w:val="none" w:sz="0" w:space="0" w:color="auto"/>
                                                      </w:divBdr>
                                                      <w:divsChild>
                                                        <w:div w:id="83469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110837">
      <w:bodyDiv w:val="1"/>
      <w:marLeft w:val="0"/>
      <w:marRight w:val="0"/>
      <w:marTop w:val="0"/>
      <w:marBottom w:val="0"/>
      <w:divBdr>
        <w:top w:val="none" w:sz="0" w:space="0" w:color="auto"/>
        <w:left w:val="none" w:sz="0" w:space="0" w:color="auto"/>
        <w:bottom w:val="none" w:sz="0" w:space="0" w:color="auto"/>
        <w:right w:val="none" w:sz="0" w:space="0" w:color="auto"/>
      </w:divBdr>
    </w:div>
    <w:div w:id="334651082">
      <w:bodyDiv w:val="1"/>
      <w:marLeft w:val="0"/>
      <w:marRight w:val="0"/>
      <w:marTop w:val="0"/>
      <w:marBottom w:val="0"/>
      <w:divBdr>
        <w:top w:val="none" w:sz="0" w:space="0" w:color="auto"/>
        <w:left w:val="none" w:sz="0" w:space="0" w:color="auto"/>
        <w:bottom w:val="none" w:sz="0" w:space="0" w:color="auto"/>
        <w:right w:val="none" w:sz="0" w:space="0" w:color="auto"/>
      </w:divBdr>
    </w:div>
    <w:div w:id="341208761">
      <w:bodyDiv w:val="1"/>
      <w:marLeft w:val="0"/>
      <w:marRight w:val="0"/>
      <w:marTop w:val="0"/>
      <w:marBottom w:val="0"/>
      <w:divBdr>
        <w:top w:val="none" w:sz="0" w:space="0" w:color="auto"/>
        <w:left w:val="none" w:sz="0" w:space="0" w:color="auto"/>
        <w:bottom w:val="none" w:sz="0" w:space="0" w:color="auto"/>
        <w:right w:val="none" w:sz="0" w:space="0" w:color="auto"/>
      </w:divBdr>
    </w:div>
    <w:div w:id="347221243">
      <w:bodyDiv w:val="1"/>
      <w:marLeft w:val="0"/>
      <w:marRight w:val="0"/>
      <w:marTop w:val="0"/>
      <w:marBottom w:val="0"/>
      <w:divBdr>
        <w:top w:val="none" w:sz="0" w:space="0" w:color="auto"/>
        <w:left w:val="none" w:sz="0" w:space="0" w:color="auto"/>
        <w:bottom w:val="none" w:sz="0" w:space="0" w:color="auto"/>
        <w:right w:val="none" w:sz="0" w:space="0" w:color="auto"/>
      </w:divBdr>
    </w:div>
    <w:div w:id="381633578">
      <w:bodyDiv w:val="1"/>
      <w:marLeft w:val="0"/>
      <w:marRight w:val="0"/>
      <w:marTop w:val="0"/>
      <w:marBottom w:val="0"/>
      <w:divBdr>
        <w:top w:val="none" w:sz="0" w:space="0" w:color="auto"/>
        <w:left w:val="none" w:sz="0" w:space="0" w:color="auto"/>
        <w:bottom w:val="none" w:sz="0" w:space="0" w:color="auto"/>
        <w:right w:val="none" w:sz="0" w:space="0" w:color="auto"/>
      </w:divBdr>
    </w:div>
    <w:div w:id="424813919">
      <w:bodyDiv w:val="1"/>
      <w:marLeft w:val="0"/>
      <w:marRight w:val="0"/>
      <w:marTop w:val="0"/>
      <w:marBottom w:val="0"/>
      <w:divBdr>
        <w:top w:val="none" w:sz="0" w:space="0" w:color="auto"/>
        <w:left w:val="none" w:sz="0" w:space="0" w:color="auto"/>
        <w:bottom w:val="none" w:sz="0" w:space="0" w:color="auto"/>
        <w:right w:val="none" w:sz="0" w:space="0" w:color="auto"/>
      </w:divBdr>
      <w:divsChild>
        <w:div w:id="1524781703">
          <w:marLeft w:val="75"/>
          <w:marRight w:val="75"/>
          <w:marTop w:val="75"/>
          <w:marBottom w:val="75"/>
          <w:divBdr>
            <w:top w:val="none" w:sz="0" w:space="0" w:color="auto"/>
            <w:left w:val="none" w:sz="0" w:space="0" w:color="auto"/>
            <w:bottom w:val="none" w:sz="0" w:space="0" w:color="auto"/>
            <w:right w:val="none" w:sz="0" w:space="0" w:color="auto"/>
          </w:divBdr>
        </w:div>
        <w:div w:id="1893954480">
          <w:marLeft w:val="75"/>
          <w:marRight w:val="75"/>
          <w:marTop w:val="75"/>
          <w:marBottom w:val="75"/>
          <w:divBdr>
            <w:top w:val="none" w:sz="0" w:space="0" w:color="auto"/>
            <w:left w:val="none" w:sz="0" w:space="0" w:color="auto"/>
            <w:bottom w:val="none" w:sz="0" w:space="0" w:color="auto"/>
            <w:right w:val="none" w:sz="0" w:space="0" w:color="auto"/>
          </w:divBdr>
          <w:divsChild>
            <w:div w:id="1011221871">
              <w:marLeft w:val="0"/>
              <w:marRight w:val="0"/>
              <w:marTop w:val="0"/>
              <w:marBottom w:val="0"/>
              <w:divBdr>
                <w:top w:val="none" w:sz="0" w:space="0" w:color="auto"/>
                <w:left w:val="none" w:sz="0" w:space="0" w:color="auto"/>
                <w:bottom w:val="none" w:sz="0" w:space="0" w:color="auto"/>
                <w:right w:val="none" w:sz="0" w:space="0" w:color="auto"/>
              </w:divBdr>
              <w:divsChild>
                <w:div w:id="959721801">
                  <w:marLeft w:val="0"/>
                  <w:marRight w:val="0"/>
                  <w:marTop w:val="150"/>
                  <w:marBottom w:val="0"/>
                  <w:divBdr>
                    <w:top w:val="single" w:sz="6" w:space="2" w:color="CFCFDC"/>
                    <w:left w:val="single" w:sz="6" w:space="2" w:color="CFCFDC"/>
                    <w:bottom w:val="single" w:sz="6" w:space="2" w:color="CFCFDC"/>
                    <w:right w:val="single" w:sz="6" w:space="2" w:color="CFCFDC"/>
                  </w:divBdr>
                </w:div>
                <w:div w:id="1219315775">
                  <w:marLeft w:val="0"/>
                  <w:marRight w:val="0"/>
                  <w:marTop w:val="150"/>
                  <w:marBottom w:val="0"/>
                  <w:divBdr>
                    <w:top w:val="single" w:sz="6" w:space="2" w:color="CFCFDC"/>
                    <w:left w:val="single" w:sz="6" w:space="2" w:color="CFCFDC"/>
                    <w:bottom w:val="single" w:sz="6" w:space="2" w:color="CFCFDC"/>
                    <w:right w:val="single" w:sz="6" w:space="2" w:color="CFCFDC"/>
                  </w:divBdr>
                </w:div>
              </w:divsChild>
            </w:div>
          </w:divsChild>
        </w:div>
      </w:divsChild>
    </w:div>
    <w:div w:id="451485161">
      <w:bodyDiv w:val="1"/>
      <w:marLeft w:val="0"/>
      <w:marRight w:val="0"/>
      <w:marTop w:val="0"/>
      <w:marBottom w:val="0"/>
      <w:divBdr>
        <w:top w:val="none" w:sz="0" w:space="0" w:color="auto"/>
        <w:left w:val="none" w:sz="0" w:space="0" w:color="auto"/>
        <w:bottom w:val="none" w:sz="0" w:space="0" w:color="auto"/>
        <w:right w:val="none" w:sz="0" w:space="0" w:color="auto"/>
      </w:divBdr>
    </w:div>
    <w:div w:id="538785067">
      <w:bodyDiv w:val="1"/>
      <w:marLeft w:val="0"/>
      <w:marRight w:val="0"/>
      <w:marTop w:val="0"/>
      <w:marBottom w:val="0"/>
      <w:divBdr>
        <w:top w:val="none" w:sz="0" w:space="0" w:color="auto"/>
        <w:left w:val="none" w:sz="0" w:space="0" w:color="auto"/>
        <w:bottom w:val="none" w:sz="0" w:space="0" w:color="auto"/>
        <w:right w:val="none" w:sz="0" w:space="0" w:color="auto"/>
      </w:divBdr>
      <w:divsChild>
        <w:div w:id="172306423">
          <w:marLeft w:val="0"/>
          <w:marRight w:val="0"/>
          <w:marTop w:val="0"/>
          <w:marBottom w:val="0"/>
          <w:divBdr>
            <w:top w:val="none" w:sz="0" w:space="0" w:color="auto"/>
            <w:left w:val="none" w:sz="0" w:space="0" w:color="auto"/>
            <w:bottom w:val="none" w:sz="0" w:space="0" w:color="auto"/>
            <w:right w:val="none" w:sz="0" w:space="0" w:color="auto"/>
          </w:divBdr>
        </w:div>
        <w:div w:id="218833744">
          <w:marLeft w:val="0"/>
          <w:marRight w:val="0"/>
          <w:marTop w:val="0"/>
          <w:marBottom w:val="0"/>
          <w:divBdr>
            <w:top w:val="none" w:sz="0" w:space="0" w:color="auto"/>
            <w:left w:val="none" w:sz="0" w:space="0" w:color="auto"/>
            <w:bottom w:val="none" w:sz="0" w:space="0" w:color="auto"/>
            <w:right w:val="none" w:sz="0" w:space="0" w:color="auto"/>
          </w:divBdr>
        </w:div>
        <w:div w:id="303825513">
          <w:marLeft w:val="0"/>
          <w:marRight w:val="0"/>
          <w:marTop w:val="0"/>
          <w:marBottom w:val="0"/>
          <w:divBdr>
            <w:top w:val="none" w:sz="0" w:space="0" w:color="auto"/>
            <w:left w:val="none" w:sz="0" w:space="0" w:color="auto"/>
            <w:bottom w:val="none" w:sz="0" w:space="0" w:color="auto"/>
            <w:right w:val="none" w:sz="0" w:space="0" w:color="auto"/>
          </w:divBdr>
        </w:div>
        <w:div w:id="313996495">
          <w:marLeft w:val="0"/>
          <w:marRight w:val="0"/>
          <w:marTop w:val="0"/>
          <w:marBottom w:val="0"/>
          <w:divBdr>
            <w:top w:val="none" w:sz="0" w:space="0" w:color="auto"/>
            <w:left w:val="none" w:sz="0" w:space="0" w:color="auto"/>
            <w:bottom w:val="none" w:sz="0" w:space="0" w:color="auto"/>
            <w:right w:val="none" w:sz="0" w:space="0" w:color="auto"/>
          </w:divBdr>
        </w:div>
        <w:div w:id="340667644">
          <w:marLeft w:val="0"/>
          <w:marRight w:val="0"/>
          <w:marTop w:val="0"/>
          <w:marBottom w:val="0"/>
          <w:divBdr>
            <w:top w:val="none" w:sz="0" w:space="0" w:color="auto"/>
            <w:left w:val="none" w:sz="0" w:space="0" w:color="auto"/>
            <w:bottom w:val="none" w:sz="0" w:space="0" w:color="auto"/>
            <w:right w:val="none" w:sz="0" w:space="0" w:color="auto"/>
          </w:divBdr>
        </w:div>
        <w:div w:id="344484512">
          <w:marLeft w:val="0"/>
          <w:marRight w:val="0"/>
          <w:marTop w:val="0"/>
          <w:marBottom w:val="0"/>
          <w:divBdr>
            <w:top w:val="none" w:sz="0" w:space="0" w:color="auto"/>
            <w:left w:val="none" w:sz="0" w:space="0" w:color="auto"/>
            <w:bottom w:val="none" w:sz="0" w:space="0" w:color="auto"/>
            <w:right w:val="none" w:sz="0" w:space="0" w:color="auto"/>
          </w:divBdr>
        </w:div>
        <w:div w:id="423037884">
          <w:marLeft w:val="0"/>
          <w:marRight w:val="0"/>
          <w:marTop w:val="0"/>
          <w:marBottom w:val="0"/>
          <w:divBdr>
            <w:top w:val="none" w:sz="0" w:space="0" w:color="auto"/>
            <w:left w:val="none" w:sz="0" w:space="0" w:color="auto"/>
            <w:bottom w:val="none" w:sz="0" w:space="0" w:color="auto"/>
            <w:right w:val="none" w:sz="0" w:space="0" w:color="auto"/>
          </w:divBdr>
        </w:div>
        <w:div w:id="536629370">
          <w:marLeft w:val="0"/>
          <w:marRight w:val="0"/>
          <w:marTop w:val="0"/>
          <w:marBottom w:val="0"/>
          <w:divBdr>
            <w:top w:val="none" w:sz="0" w:space="0" w:color="auto"/>
            <w:left w:val="none" w:sz="0" w:space="0" w:color="auto"/>
            <w:bottom w:val="none" w:sz="0" w:space="0" w:color="auto"/>
            <w:right w:val="none" w:sz="0" w:space="0" w:color="auto"/>
          </w:divBdr>
        </w:div>
        <w:div w:id="568030825">
          <w:marLeft w:val="0"/>
          <w:marRight w:val="0"/>
          <w:marTop w:val="0"/>
          <w:marBottom w:val="0"/>
          <w:divBdr>
            <w:top w:val="none" w:sz="0" w:space="0" w:color="auto"/>
            <w:left w:val="none" w:sz="0" w:space="0" w:color="auto"/>
            <w:bottom w:val="none" w:sz="0" w:space="0" w:color="auto"/>
            <w:right w:val="none" w:sz="0" w:space="0" w:color="auto"/>
          </w:divBdr>
        </w:div>
        <w:div w:id="620302049">
          <w:marLeft w:val="0"/>
          <w:marRight w:val="0"/>
          <w:marTop w:val="0"/>
          <w:marBottom w:val="0"/>
          <w:divBdr>
            <w:top w:val="none" w:sz="0" w:space="0" w:color="auto"/>
            <w:left w:val="none" w:sz="0" w:space="0" w:color="auto"/>
            <w:bottom w:val="none" w:sz="0" w:space="0" w:color="auto"/>
            <w:right w:val="none" w:sz="0" w:space="0" w:color="auto"/>
          </w:divBdr>
        </w:div>
        <w:div w:id="630982964">
          <w:marLeft w:val="0"/>
          <w:marRight w:val="0"/>
          <w:marTop w:val="0"/>
          <w:marBottom w:val="0"/>
          <w:divBdr>
            <w:top w:val="none" w:sz="0" w:space="0" w:color="auto"/>
            <w:left w:val="none" w:sz="0" w:space="0" w:color="auto"/>
            <w:bottom w:val="none" w:sz="0" w:space="0" w:color="auto"/>
            <w:right w:val="none" w:sz="0" w:space="0" w:color="auto"/>
          </w:divBdr>
        </w:div>
        <w:div w:id="791173099">
          <w:marLeft w:val="0"/>
          <w:marRight w:val="0"/>
          <w:marTop w:val="0"/>
          <w:marBottom w:val="0"/>
          <w:divBdr>
            <w:top w:val="none" w:sz="0" w:space="0" w:color="auto"/>
            <w:left w:val="none" w:sz="0" w:space="0" w:color="auto"/>
            <w:bottom w:val="none" w:sz="0" w:space="0" w:color="auto"/>
            <w:right w:val="none" w:sz="0" w:space="0" w:color="auto"/>
          </w:divBdr>
        </w:div>
        <w:div w:id="935595836">
          <w:marLeft w:val="0"/>
          <w:marRight w:val="0"/>
          <w:marTop w:val="0"/>
          <w:marBottom w:val="0"/>
          <w:divBdr>
            <w:top w:val="none" w:sz="0" w:space="0" w:color="auto"/>
            <w:left w:val="none" w:sz="0" w:space="0" w:color="auto"/>
            <w:bottom w:val="none" w:sz="0" w:space="0" w:color="auto"/>
            <w:right w:val="none" w:sz="0" w:space="0" w:color="auto"/>
          </w:divBdr>
        </w:div>
        <w:div w:id="1323504155">
          <w:marLeft w:val="0"/>
          <w:marRight w:val="0"/>
          <w:marTop w:val="0"/>
          <w:marBottom w:val="0"/>
          <w:divBdr>
            <w:top w:val="none" w:sz="0" w:space="0" w:color="auto"/>
            <w:left w:val="none" w:sz="0" w:space="0" w:color="auto"/>
            <w:bottom w:val="none" w:sz="0" w:space="0" w:color="auto"/>
            <w:right w:val="none" w:sz="0" w:space="0" w:color="auto"/>
          </w:divBdr>
        </w:div>
        <w:div w:id="1412696661">
          <w:marLeft w:val="0"/>
          <w:marRight w:val="0"/>
          <w:marTop w:val="0"/>
          <w:marBottom w:val="0"/>
          <w:divBdr>
            <w:top w:val="none" w:sz="0" w:space="0" w:color="auto"/>
            <w:left w:val="none" w:sz="0" w:space="0" w:color="auto"/>
            <w:bottom w:val="none" w:sz="0" w:space="0" w:color="auto"/>
            <w:right w:val="none" w:sz="0" w:space="0" w:color="auto"/>
          </w:divBdr>
        </w:div>
        <w:div w:id="1506896499">
          <w:marLeft w:val="0"/>
          <w:marRight w:val="0"/>
          <w:marTop w:val="0"/>
          <w:marBottom w:val="0"/>
          <w:divBdr>
            <w:top w:val="none" w:sz="0" w:space="0" w:color="auto"/>
            <w:left w:val="none" w:sz="0" w:space="0" w:color="auto"/>
            <w:bottom w:val="none" w:sz="0" w:space="0" w:color="auto"/>
            <w:right w:val="none" w:sz="0" w:space="0" w:color="auto"/>
          </w:divBdr>
        </w:div>
        <w:div w:id="1520243981">
          <w:marLeft w:val="0"/>
          <w:marRight w:val="0"/>
          <w:marTop w:val="0"/>
          <w:marBottom w:val="0"/>
          <w:divBdr>
            <w:top w:val="none" w:sz="0" w:space="0" w:color="auto"/>
            <w:left w:val="none" w:sz="0" w:space="0" w:color="auto"/>
            <w:bottom w:val="none" w:sz="0" w:space="0" w:color="auto"/>
            <w:right w:val="none" w:sz="0" w:space="0" w:color="auto"/>
          </w:divBdr>
        </w:div>
        <w:div w:id="1676034390">
          <w:marLeft w:val="0"/>
          <w:marRight w:val="0"/>
          <w:marTop w:val="0"/>
          <w:marBottom w:val="0"/>
          <w:divBdr>
            <w:top w:val="none" w:sz="0" w:space="0" w:color="auto"/>
            <w:left w:val="none" w:sz="0" w:space="0" w:color="auto"/>
            <w:bottom w:val="none" w:sz="0" w:space="0" w:color="auto"/>
            <w:right w:val="none" w:sz="0" w:space="0" w:color="auto"/>
          </w:divBdr>
        </w:div>
        <w:div w:id="1700203840">
          <w:marLeft w:val="0"/>
          <w:marRight w:val="0"/>
          <w:marTop w:val="0"/>
          <w:marBottom w:val="0"/>
          <w:divBdr>
            <w:top w:val="none" w:sz="0" w:space="0" w:color="auto"/>
            <w:left w:val="none" w:sz="0" w:space="0" w:color="auto"/>
            <w:bottom w:val="none" w:sz="0" w:space="0" w:color="auto"/>
            <w:right w:val="none" w:sz="0" w:space="0" w:color="auto"/>
          </w:divBdr>
        </w:div>
        <w:div w:id="1721247991">
          <w:marLeft w:val="0"/>
          <w:marRight w:val="0"/>
          <w:marTop w:val="0"/>
          <w:marBottom w:val="0"/>
          <w:divBdr>
            <w:top w:val="none" w:sz="0" w:space="0" w:color="auto"/>
            <w:left w:val="none" w:sz="0" w:space="0" w:color="auto"/>
            <w:bottom w:val="none" w:sz="0" w:space="0" w:color="auto"/>
            <w:right w:val="none" w:sz="0" w:space="0" w:color="auto"/>
          </w:divBdr>
        </w:div>
        <w:div w:id="1721705690">
          <w:marLeft w:val="0"/>
          <w:marRight w:val="0"/>
          <w:marTop w:val="0"/>
          <w:marBottom w:val="0"/>
          <w:divBdr>
            <w:top w:val="none" w:sz="0" w:space="0" w:color="auto"/>
            <w:left w:val="none" w:sz="0" w:space="0" w:color="auto"/>
            <w:bottom w:val="none" w:sz="0" w:space="0" w:color="auto"/>
            <w:right w:val="none" w:sz="0" w:space="0" w:color="auto"/>
          </w:divBdr>
        </w:div>
        <w:div w:id="1727334661">
          <w:marLeft w:val="0"/>
          <w:marRight w:val="0"/>
          <w:marTop w:val="0"/>
          <w:marBottom w:val="0"/>
          <w:divBdr>
            <w:top w:val="none" w:sz="0" w:space="0" w:color="auto"/>
            <w:left w:val="none" w:sz="0" w:space="0" w:color="auto"/>
            <w:bottom w:val="none" w:sz="0" w:space="0" w:color="auto"/>
            <w:right w:val="none" w:sz="0" w:space="0" w:color="auto"/>
          </w:divBdr>
        </w:div>
        <w:div w:id="1909488870">
          <w:marLeft w:val="0"/>
          <w:marRight w:val="0"/>
          <w:marTop w:val="0"/>
          <w:marBottom w:val="0"/>
          <w:divBdr>
            <w:top w:val="none" w:sz="0" w:space="0" w:color="auto"/>
            <w:left w:val="none" w:sz="0" w:space="0" w:color="auto"/>
            <w:bottom w:val="none" w:sz="0" w:space="0" w:color="auto"/>
            <w:right w:val="none" w:sz="0" w:space="0" w:color="auto"/>
          </w:divBdr>
        </w:div>
        <w:div w:id="1954047280">
          <w:marLeft w:val="0"/>
          <w:marRight w:val="0"/>
          <w:marTop w:val="0"/>
          <w:marBottom w:val="0"/>
          <w:divBdr>
            <w:top w:val="none" w:sz="0" w:space="0" w:color="auto"/>
            <w:left w:val="none" w:sz="0" w:space="0" w:color="auto"/>
            <w:bottom w:val="none" w:sz="0" w:space="0" w:color="auto"/>
            <w:right w:val="none" w:sz="0" w:space="0" w:color="auto"/>
          </w:divBdr>
        </w:div>
        <w:div w:id="1975914580">
          <w:marLeft w:val="0"/>
          <w:marRight w:val="0"/>
          <w:marTop w:val="0"/>
          <w:marBottom w:val="0"/>
          <w:divBdr>
            <w:top w:val="none" w:sz="0" w:space="0" w:color="auto"/>
            <w:left w:val="none" w:sz="0" w:space="0" w:color="auto"/>
            <w:bottom w:val="none" w:sz="0" w:space="0" w:color="auto"/>
            <w:right w:val="none" w:sz="0" w:space="0" w:color="auto"/>
          </w:divBdr>
        </w:div>
        <w:div w:id="2104375917">
          <w:marLeft w:val="0"/>
          <w:marRight w:val="0"/>
          <w:marTop w:val="0"/>
          <w:marBottom w:val="0"/>
          <w:divBdr>
            <w:top w:val="none" w:sz="0" w:space="0" w:color="auto"/>
            <w:left w:val="none" w:sz="0" w:space="0" w:color="auto"/>
            <w:bottom w:val="none" w:sz="0" w:space="0" w:color="auto"/>
            <w:right w:val="none" w:sz="0" w:space="0" w:color="auto"/>
          </w:divBdr>
        </w:div>
        <w:div w:id="2146309302">
          <w:marLeft w:val="0"/>
          <w:marRight w:val="0"/>
          <w:marTop w:val="0"/>
          <w:marBottom w:val="0"/>
          <w:divBdr>
            <w:top w:val="none" w:sz="0" w:space="0" w:color="auto"/>
            <w:left w:val="none" w:sz="0" w:space="0" w:color="auto"/>
            <w:bottom w:val="none" w:sz="0" w:space="0" w:color="auto"/>
            <w:right w:val="none" w:sz="0" w:space="0" w:color="auto"/>
          </w:divBdr>
        </w:div>
      </w:divsChild>
    </w:div>
    <w:div w:id="548344335">
      <w:bodyDiv w:val="1"/>
      <w:marLeft w:val="0"/>
      <w:marRight w:val="0"/>
      <w:marTop w:val="0"/>
      <w:marBottom w:val="0"/>
      <w:divBdr>
        <w:top w:val="none" w:sz="0" w:space="0" w:color="auto"/>
        <w:left w:val="none" w:sz="0" w:space="0" w:color="auto"/>
        <w:bottom w:val="none" w:sz="0" w:space="0" w:color="auto"/>
        <w:right w:val="none" w:sz="0" w:space="0" w:color="auto"/>
      </w:divBdr>
    </w:div>
    <w:div w:id="549804139">
      <w:bodyDiv w:val="1"/>
      <w:marLeft w:val="0"/>
      <w:marRight w:val="0"/>
      <w:marTop w:val="0"/>
      <w:marBottom w:val="0"/>
      <w:divBdr>
        <w:top w:val="none" w:sz="0" w:space="0" w:color="auto"/>
        <w:left w:val="none" w:sz="0" w:space="0" w:color="auto"/>
        <w:bottom w:val="none" w:sz="0" w:space="0" w:color="auto"/>
        <w:right w:val="none" w:sz="0" w:space="0" w:color="auto"/>
      </w:divBdr>
      <w:divsChild>
        <w:div w:id="1449931630">
          <w:marLeft w:val="0"/>
          <w:marRight w:val="0"/>
          <w:marTop w:val="0"/>
          <w:marBottom w:val="0"/>
          <w:divBdr>
            <w:top w:val="none" w:sz="0" w:space="0" w:color="auto"/>
            <w:left w:val="none" w:sz="0" w:space="0" w:color="auto"/>
            <w:bottom w:val="none" w:sz="0" w:space="0" w:color="auto"/>
            <w:right w:val="none" w:sz="0" w:space="0" w:color="auto"/>
          </w:divBdr>
          <w:divsChild>
            <w:div w:id="178348601">
              <w:marLeft w:val="0"/>
              <w:marRight w:val="0"/>
              <w:marTop w:val="0"/>
              <w:marBottom w:val="0"/>
              <w:divBdr>
                <w:top w:val="none" w:sz="0" w:space="0" w:color="auto"/>
                <w:left w:val="none" w:sz="0" w:space="0" w:color="auto"/>
                <w:bottom w:val="none" w:sz="0" w:space="0" w:color="auto"/>
                <w:right w:val="none" w:sz="0" w:space="0" w:color="auto"/>
              </w:divBdr>
              <w:divsChild>
                <w:div w:id="683361972">
                  <w:marLeft w:val="0"/>
                  <w:marRight w:val="0"/>
                  <w:marTop w:val="0"/>
                  <w:marBottom w:val="0"/>
                  <w:divBdr>
                    <w:top w:val="none" w:sz="0" w:space="0" w:color="auto"/>
                    <w:left w:val="none" w:sz="0" w:space="0" w:color="auto"/>
                    <w:bottom w:val="none" w:sz="0" w:space="0" w:color="auto"/>
                    <w:right w:val="none" w:sz="0" w:space="0" w:color="auto"/>
                  </w:divBdr>
                  <w:divsChild>
                    <w:div w:id="540288884">
                      <w:marLeft w:val="0"/>
                      <w:marRight w:val="0"/>
                      <w:marTop w:val="0"/>
                      <w:marBottom w:val="0"/>
                      <w:divBdr>
                        <w:top w:val="none" w:sz="0" w:space="0" w:color="auto"/>
                        <w:left w:val="none" w:sz="0" w:space="0" w:color="auto"/>
                        <w:bottom w:val="none" w:sz="0" w:space="0" w:color="auto"/>
                        <w:right w:val="none" w:sz="0" w:space="0" w:color="auto"/>
                      </w:divBdr>
                      <w:divsChild>
                        <w:div w:id="660280182">
                          <w:marLeft w:val="0"/>
                          <w:marRight w:val="0"/>
                          <w:marTop w:val="0"/>
                          <w:marBottom w:val="0"/>
                          <w:divBdr>
                            <w:top w:val="none" w:sz="0" w:space="0" w:color="auto"/>
                            <w:left w:val="none" w:sz="0" w:space="0" w:color="auto"/>
                            <w:bottom w:val="none" w:sz="0" w:space="0" w:color="auto"/>
                            <w:right w:val="none" w:sz="0" w:space="0" w:color="auto"/>
                          </w:divBdr>
                          <w:divsChild>
                            <w:div w:id="732436606">
                              <w:marLeft w:val="0"/>
                              <w:marRight w:val="0"/>
                              <w:marTop w:val="0"/>
                              <w:marBottom w:val="0"/>
                              <w:divBdr>
                                <w:top w:val="none" w:sz="0" w:space="0" w:color="auto"/>
                                <w:left w:val="none" w:sz="0" w:space="0" w:color="auto"/>
                                <w:bottom w:val="none" w:sz="0" w:space="0" w:color="auto"/>
                                <w:right w:val="none" w:sz="0" w:space="0" w:color="auto"/>
                              </w:divBdr>
                              <w:divsChild>
                                <w:div w:id="1360426864">
                                  <w:marLeft w:val="0"/>
                                  <w:marRight w:val="0"/>
                                  <w:marTop w:val="0"/>
                                  <w:marBottom w:val="0"/>
                                  <w:divBdr>
                                    <w:top w:val="none" w:sz="0" w:space="0" w:color="auto"/>
                                    <w:left w:val="none" w:sz="0" w:space="0" w:color="auto"/>
                                    <w:bottom w:val="none" w:sz="0" w:space="0" w:color="auto"/>
                                    <w:right w:val="none" w:sz="0" w:space="0" w:color="auto"/>
                                  </w:divBdr>
                                  <w:divsChild>
                                    <w:div w:id="1520267814">
                                      <w:marLeft w:val="0"/>
                                      <w:marRight w:val="0"/>
                                      <w:marTop w:val="0"/>
                                      <w:marBottom w:val="0"/>
                                      <w:divBdr>
                                        <w:top w:val="none" w:sz="0" w:space="0" w:color="auto"/>
                                        <w:left w:val="none" w:sz="0" w:space="0" w:color="auto"/>
                                        <w:bottom w:val="none" w:sz="0" w:space="0" w:color="auto"/>
                                        <w:right w:val="none" w:sz="0" w:space="0" w:color="auto"/>
                                      </w:divBdr>
                                      <w:divsChild>
                                        <w:div w:id="1429152793">
                                          <w:marLeft w:val="0"/>
                                          <w:marRight w:val="0"/>
                                          <w:marTop w:val="0"/>
                                          <w:marBottom w:val="0"/>
                                          <w:divBdr>
                                            <w:top w:val="none" w:sz="0" w:space="0" w:color="auto"/>
                                            <w:left w:val="none" w:sz="0" w:space="0" w:color="auto"/>
                                            <w:bottom w:val="none" w:sz="0" w:space="0" w:color="auto"/>
                                            <w:right w:val="none" w:sz="0" w:space="0" w:color="auto"/>
                                          </w:divBdr>
                                          <w:divsChild>
                                            <w:div w:id="966862819">
                                              <w:marLeft w:val="0"/>
                                              <w:marRight w:val="0"/>
                                              <w:marTop w:val="0"/>
                                              <w:marBottom w:val="0"/>
                                              <w:divBdr>
                                                <w:top w:val="none" w:sz="0" w:space="0" w:color="auto"/>
                                                <w:left w:val="none" w:sz="0" w:space="0" w:color="auto"/>
                                                <w:bottom w:val="none" w:sz="0" w:space="0" w:color="auto"/>
                                                <w:right w:val="none" w:sz="0" w:space="0" w:color="auto"/>
                                              </w:divBdr>
                                              <w:divsChild>
                                                <w:div w:id="1184635143">
                                                  <w:marLeft w:val="0"/>
                                                  <w:marRight w:val="0"/>
                                                  <w:marTop w:val="0"/>
                                                  <w:marBottom w:val="0"/>
                                                  <w:divBdr>
                                                    <w:top w:val="none" w:sz="0" w:space="0" w:color="auto"/>
                                                    <w:left w:val="none" w:sz="0" w:space="0" w:color="auto"/>
                                                    <w:bottom w:val="none" w:sz="0" w:space="0" w:color="auto"/>
                                                    <w:right w:val="none" w:sz="0" w:space="0" w:color="auto"/>
                                                  </w:divBdr>
                                                  <w:divsChild>
                                                    <w:div w:id="1950772700">
                                                      <w:marLeft w:val="0"/>
                                                      <w:marRight w:val="0"/>
                                                      <w:marTop w:val="0"/>
                                                      <w:marBottom w:val="0"/>
                                                      <w:divBdr>
                                                        <w:top w:val="none" w:sz="0" w:space="0" w:color="auto"/>
                                                        <w:left w:val="none" w:sz="0" w:space="0" w:color="auto"/>
                                                        <w:bottom w:val="none" w:sz="0" w:space="0" w:color="auto"/>
                                                        <w:right w:val="none" w:sz="0" w:space="0" w:color="auto"/>
                                                      </w:divBdr>
                                                      <w:divsChild>
                                                        <w:div w:id="128230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8709384">
      <w:bodyDiv w:val="1"/>
      <w:marLeft w:val="0"/>
      <w:marRight w:val="0"/>
      <w:marTop w:val="0"/>
      <w:marBottom w:val="0"/>
      <w:divBdr>
        <w:top w:val="none" w:sz="0" w:space="0" w:color="auto"/>
        <w:left w:val="none" w:sz="0" w:space="0" w:color="auto"/>
        <w:bottom w:val="none" w:sz="0" w:space="0" w:color="auto"/>
        <w:right w:val="none" w:sz="0" w:space="0" w:color="auto"/>
      </w:divBdr>
      <w:divsChild>
        <w:div w:id="1747334465">
          <w:marLeft w:val="0"/>
          <w:marRight w:val="0"/>
          <w:marTop w:val="0"/>
          <w:marBottom w:val="0"/>
          <w:divBdr>
            <w:top w:val="none" w:sz="0" w:space="0" w:color="auto"/>
            <w:left w:val="none" w:sz="0" w:space="0" w:color="auto"/>
            <w:bottom w:val="none" w:sz="0" w:space="0" w:color="auto"/>
            <w:right w:val="none" w:sz="0" w:space="0" w:color="auto"/>
          </w:divBdr>
          <w:divsChild>
            <w:div w:id="568149270">
              <w:marLeft w:val="0"/>
              <w:marRight w:val="0"/>
              <w:marTop w:val="0"/>
              <w:marBottom w:val="0"/>
              <w:divBdr>
                <w:top w:val="none" w:sz="0" w:space="0" w:color="auto"/>
                <w:left w:val="none" w:sz="0" w:space="0" w:color="auto"/>
                <w:bottom w:val="none" w:sz="0" w:space="0" w:color="auto"/>
                <w:right w:val="none" w:sz="0" w:space="0" w:color="auto"/>
              </w:divBdr>
              <w:divsChild>
                <w:div w:id="830100640">
                  <w:marLeft w:val="0"/>
                  <w:marRight w:val="0"/>
                  <w:marTop w:val="0"/>
                  <w:marBottom w:val="0"/>
                  <w:divBdr>
                    <w:top w:val="none" w:sz="0" w:space="0" w:color="auto"/>
                    <w:left w:val="none" w:sz="0" w:space="0" w:color="auto"/>
                    <w:bottom w:val="none" w:sz="0" w:space="0" w:color="auto"/>
                    <w:right w:val="none" w:sz="0" w:space="0" w:color="auto"/>
                  </w:divBdr>
                  <w:divsChild>
                    <w:div w:id="1537815090">
                      <w:marLeft w:val="0"/>
                      <w:marRight w:val="0"/>
                      <w:marTop w:val="0"/>
                      <w:marBottom w:val="0"/>
                      <w:divBdr>
                        <w:top w:val="none" w:sz="0" w:space="0" w:color="auto"/>
                        <w:left w:val="none" w:sz="0" w:space="0" w:color="auto"/>
                        <w:bottom w:val="none" w:sz="0" w:space="0" w:color="auto"/>
                        <w:right w:val="none" w:sz="0" w:space="0" w:color="auto"/>
                      </w:divBdr>
                      <w:divsChild>
                        <w:div w:id="875310879">
                          <w:marLeft w:val="0"/>
                          <w:marRight w:val="0"/>
                          <w:marTop w:val="0"/>
                          <w:marBottom w:val="0"/>
                          <w:divBdr>
                            <w:top w:val="none" w:sz="0" w:space="0" w:color="auto"/>
                            <w:left w:val="none" w:sz="0" w:space="0" w:color="auto"/>
                            <w:bottom w:val="none" w:sz="0" w:space="0" w:color="auto"/>
                            <w:right w:val="none" w:sz="0" w:space="0" w:color="auto"/>
                          </w:divBdr>
                          <w:divsChild>
                            <w:div w:id="2045790398">
                              <w:marLeft w:val="0"/>
                              <w:marRight w:val="0"/>
                              <w:marTop w:val="0"/>
                              <w:marBottom w:val="0"/>
                              <w:divBdr>
                                <w:top w:val="none" w:sz="0" w:space="0" w:color="auto"/>
                                <w:left w:val="none" w:sz="0" w:space="0" w:color="auto"/>
                                <w:bottom w:val="none" w:sz="0" w:space="0" w:color="auto"/>
                                <w:right w:val="none" w:sz="0" w:space="0" w:color="auto"/>
                              </w:divBdr>
                              <w:divsChild>
                                <w:div w:id="1078675724">
                                  <w:marLeft w:val="0"/>
                                  <w:marRight w:val="0"/>
                                  <w:marTop w:val="0"/>
                                  <w:marBottom w:val="0"/>
                                  <w:divBdr>
                                    <w:top w:val="none" w:sz="0" w:space="0" w:color="auto"/>
                                    <w:left w:val="none" w:sz="0" w:space="0" w:color="auto"/>
                                    <w:bottom w:val="none" w:sz="0" w:space="0" w:color="auto"/>
                                    <w:right w:val="none" w:sz="0" w:space="0" w:color="auto"/>
                                  </w:divBdr>
                                  <w:divsChild>
                                    <w:div w:id="974409178">
                                      <w:marLeft w:val="0"/>
                                      <w:marRight w:val="0"/>
                                      <w:marTop w:val="0"/>
                                      <w:marBottom w:val="0"/>
                                      <w:divBdr>
                                        <w:top w:val="none" w:sz="0" w:space="0" w:color="auto"/>
                                        <w:left w:val="none" w:sz="0" w:space="0" w:color="auto"/>
                                        <w:bottom w:val="none" w:sz="0" w:space="0" w:color="auto"/>
                                        <w:right w:val="none" w:sz="0" w:space="0" w:color="auto"/>
                                      </w:divBdr>
                                      <w:divsChild>
                                        <w:div w:id="800538566">
                                          <w:marLeft w:val="0"/>
                                          <w:marRight w:val="0"/>
                                          <w:marTop w:val="0"/>
                                          <w:marBottom w:val="0"/>
                                          <w:divBdr>
                                            <w:top w:val="none" w:sz="0" w:space="0" w:color="auto"/>
                                            <w:left w:val="none" w:sz="0" w:space="0" w:color="auto"/>
                                            <w:bottom w:val="none" w:sz="0" w:space="0" w:color="auto"/>
                                            <w:right w:val="none" w:sz="0" w:space="0" w:color="auto"/>
                                          </w:divBdr>
                                          <w:divsChild>
                                            <w:div w:id="1851405467">
                                              <w:marLeft w:val="0"/>
                                              <w:marRight w:val="0"/>
                                              <w:marTop w:val="0"/>
                                              <w:marBottom w:val="0"/>
                                              <w:divBdr>
                                                <w:top w:val="none" w:sz="0" w:space="0" w:color="auto"/>
                                                <w:left w:val="none" w:sz="0" w:space="0" w:color="auto"/>
                                                <w:bottom w:val="none" w:sz="0" w:space="0" w:color="auto"/>
                                                <w:right w:val="none" w:sz="0" w:space="0" w:color="auto"/>
                                              </w:divBdr>
                                              <w:divsChild>
                                                <w:div w:id="2101942970">
                                                  <w:marLeft w:val="0"/>
                                                  <w:marRight w:val="0"/>
                                                  <w:marTop w:val="0"/>
                                                  <w:marBottom w:val="0"/>
                                                  <w:divBdr>
                                                    <w:top w:val="none" w:sz="0" w:space="0" w:color="auto"/>
                                                    <w:left w:val="none" w:sz="0" w:space="0" w:color="auto"/>
                                                    <w:bottom w:val="none" w:sz="0" w:space="0" w:color="auto"/>
                                                    <w:right w:val="none" w:sz="0" w:space="0" w:color="auto"/>
                                                  </w:divBdr>
                                                  <w:divsChild>
                                                    <w:div w:id="846947925">
                                                      <w:marLeft w:val="0"/>
                                                      <w:marRight w:val="0"/>
                                                      <w:marTop w:val="0"/>
                                                      <w:marBottom w:val="0"/>
                                                      <w:divBdr>
                                                        <w:top w:val="none" w:sz="0" w:space="0" w:color="auto"/>
                                                        <w:left w:val="none" w:sz="0" w:space="0" w:color="auto"/>
                                                        <w:bottom w:val="none" w:sz="0" w:space="0" w:color="auto"/>
                                                        <w:right w:val="none" w:sz="0" w:space="0" w:color="auto"/>
                                                      </w:divBdr>
                                                      <w:divsChild>
                                                        <w:div w:id="21732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9364829">
      <w:bodyDiv w:val="1"/>
      <w:marLeft w:val="0"/>
      <w:marRight w:val="0"/>
      <w:marTop w:val="0"/>
      <w:marBottom w:val="0"/>
      <w:divBdr>
        <w:top w:val="none" w:sz="0" w:space="0" w:color="auto"/>
        <w:left w:val="none" w:sz="0" w:space="0" w:color="auto"/>
        <w:bottom w:val="none" w:sz="0" w:space="0" w:color="auto"/>
        <w:right w:val="none" w:sz="0" w:space="0" w:color="auto"/>
      </w:divBdr>
    </w:div>
    <w:div w:id="592277873">
      <w:bodyDiv w:val="1"/>
      <w:marLeft w:val="0"/>
      <w:marRight w:val="0"/>
      <w:marTop w:val="0"/>
      <w:marBottom w:val="0"/>
      <w:divBdr>
        <w:top w:val="none" w:sz="0" w:space="0" w:color="auto"/>
        <w:left w:val="none" w:sz="0" w:space="0" w:color="auto"/>
        <w:bottom w:val="none" w:sz="0" w:space="0" w:color="auto"/>
        <w:right w:val="none" w:sz="0" w:space="0" w:color="auto"/>
      </w:divBdr>
      <w:divsChild>
        <w:div w:id="431172304">
          <w:marLeft w:val="0"/>
          <w:marRight w:val="0"/>
          <w:marTop w:val="0"/>
          <w:marBottom w:val="0"/>
          <w:divBdr>
            <w:top w:val="none" w:sz="0" w:space="0" w:color="auto"/>
            <w:left w:val="none" w:sz="0" w:space="0" w:color="auto"/>
            <w:bottom w:val="none" w:sz="0" w:space="0" w:color="auto"/>
            <w:right w:val="none" w:sz="0" w:space="0" w:color="auto"/>
          </w:divBdr>
        </w:div>
        <w:div w:id="1084568817">
          <w:marLeft w:val="0"/>
          <w:marRight w:val="0"/>
          <w:marTop w:val="0"/>
          <w:marBottom w:val="0"/>
          <w:divBdr>
            <w:top w:val="none" w:sz="0" w:space="0" w:color="auto"/>
            <w:left w:val="none" w:sz="0" w:space="0" w:color="auto"/>
            <w:bottom w:val="none" w:sz="0" w:space="0" w:color="auto"/>
            <w:right w:val="none" w:sz="0" w:space="0" w:color="auto"/>
          </w:divBdr>
          <w:divsChild>
            <w:div w:id="119737043">
              <w:marLeft w:val="0"/>
              <w:marRight w:val="0"/>
              <w:marTop w:val="0"/>
              <w:marBottom w:val="0"/>
              <w:divBdr>
                <w:top w:val="none" w:sz="0" w:space="0" w:color="auto"/>
                <w:left w:val="none" w:sz="0" w:space="0" w:color="auto"/>
                <w:bottom w:val="none" w:sz="0" w:space="0" w:color="auto"/>
                <w:right w:val="none" w:sz="0" w:space="0" w:color="auto"/>
              </w:divBdr>
              <w:divsChild>
                <w:div w:id="628971299">
                  <w:marLeft w:val="0"/>
                  <w:marRight w:val="0"/>
                  <w:marTop w:val="0"/>
                  <w:marBottom w:val="0"/>
                  <w:divBdr>
                    <w:top w:val="none" w:sz="0" w:space="0" w:color="auto"/>
                    <w:left w:val="none" w:sz="0" w:space="0" w:color="auto"/>
                    <w:bottom w:val="none" w:sz="0" w:space="0" w:color="auto"/>
                    <w:right w:val="none" w:sz="0" w:space="0" w:color="auto"/>
                  </w:divBdr>
                  <w:divsChild>
                    <w:div w:id="1109273497">
                      <w:marLeft w:val="0"/>
                      <w:marRight w:val="0"/>
                      <w:marTop w:val="0"/>
                      <w:marBottom w:val="0"/>
                      <w:divBdr>
                        <w:top w:val="none" w:sz="0" w:space="0" w:color="auto"/>
                        <w:left w:val="none" w:sz="0" w:space="0" w:color="auto"/>
                        <w:bottom w:val="none" w:sz="0" w:space="0" w:color="auto"/>
                        <w:right w:val="none" w:sz="0" w:space="0" w:color="auto"/>
                      </w:divBdr>
                      <w:divsChild>
                        <w:div w:id="10623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787207">
          <w:marLeft w:val="0"/>
          <w:marRight w:val="0"/>
          <w:marTop w:val="0"/>
          <w:marBottom w:val="0"/>
          <w:divBdr>
            <w:top w:val="none" w:sz="0" w:space="0" w:color="auto"/>
            <w:left w:val="none" w:sz="0" w:space="0" w:color="auto"/>
            <w:bottom w:val="none" w:sz="0" w:space="0" w:color="auto"/>
            <w:right w:val="none" w:sz="0" w:space="0" w:color="auto"/>
          </w:divBdr>
          <w:divsChild>
            <w:div w:id="1137147061">
              <w:marLeft w:val="0"/>
              <w:marRight w:val="0"/>
              <w:marTop w:val="0"/>
              <w:marBottom w:val="0"/>
              <w:divBdr>
                <w:top w:val="none" w:sz="0" w:space="0" w:color="auto"/>
                <w:left w:val="none" w:sz="0" w:space="0" w:color="auto"/>
                <w:bottom w:val="none" w:sz="0" w:space="0" w:color="auto"/>
                <w:right w:val="none" w:sz="0" w:space="0" w:color="auto"/>
              </w:divBdr>
              <w:divsChild>
                <w:div w:id="1896549815">
                  <w:marLeft w:val="0"/>
                  <w:marRight w:val="0"/>
                  <w:marTop w:val="0"/>
                  <w:marBottom w:val="0"/>
                  <w:divBdr>
                    <w:top w:val="none" w:sz="0" w:space="0" w:color="auto"/>
                    <w:left w:val="none" w:sz="0" w:space="0" w:color="auto"/>
                    <w:bottom w:val="none" w:sz="0" w:space="0" w:color="auto"/>
                    <w:right w:val="none" w:sz="0" w:space="0" w:color="auto"/>
                  </w:divBdr>
                  <w:divsChild>
                    <w:div w:id="904294064">
                      <w:marLeft w:val="0"/>
                      <w:marRight w:val="0"/>
                      <w:marTop w:val="0"/>
                      <w:marBottom w:val="0"/>
                      <w:divBdr>
                        <w:top w:val="none" w:sz="0" w:space="0" w:color="auto"/>
                        <w:left w:val="none" w:sz="0" w:space="0" w:color="auto"/>
                        <w:bottom w:val="none" w:sz="0" w:space="0" w:color="auto"/>
                        <w:right w:val="none" w:sz="0" w:space="0" w:color="auto"/>
                      </w:divBdr>
                      <w:divsChild>
                        <w:div w:id="222105452">
                          <w:marLeft w:val="0"/>
                          <w:marRight w:val="0"/>
                          <w:marTop w:val="0"/>
                          <w:marBottom w:val="0"/>
                          <w:divBdr>
                            <w:top w:val="none" w:sz="0" w:space="0" w:color="auto"/>
                            <w:left w:val="none" w:sz="0" w:space="0" w:color="auto"/>
                            <w:bottom w:val="none" w:sz="0" w:space="0" w:color="auto"/>
                            <w:right w:val="none" w:sz="0" w:space="0" w:color="auto"/>
                          </w:divBdr>
                          <w:divsChild>
                            <w:div w:id="2513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535204">
      <w:bodyDiv w:val="1"/>
      <w:marLeft w:val="0"/>
      <w:marRight w:val="0"/>
      <w:marTop w:val="0"/>
      <w:marBottom w:val="0"/>
      <w:divBdr>
        <w:top w:val="none" w:sz="0" w:space="0" w:color="auto"/>
        <w:left w:val="none" w:sz="0" w:space="0" w:color="auto"/>
        <w:bottom w:val="none" w:sz="0" w:space="0" w:color="auto"/>
        <w:right w:val="none" w:sz="0" w:space="0" w:color="auto"/>
      </w:divBdr>
    </w:div>
    <w:div w:id="604463714">
      <w:bodyDiv w:val="1"/>
      <w:marLeft w:val="0"/>
      <w:marRight w:val="0"/>
      <w:marTop w:val="0"/>
      <w:marBottom w:val="0"/>
      <w:divBdr>
        <w:top w:val="none" w:sz="0" w:space="0" w:color="auto"/>
        <w:left w:val="none" w:sz="0" w:space="0" w:color="auto"/>
        <w:bottom w:val="none" w:sz="0" w:space="0" w:color="auto"/>
        <w:right w:val="none" w:sz="0" w:space="0" w:color="auto"/>
      </w:divBdr>
      <w:divsChild>
        <w:div w:id="1172984359">
          <w:marLeft w:val="0"/>
          <w:marRight w:val="0"/>
          <w:marTop w:val="0"/>
          <w:marBottom w:val="0"/>
          <w:divBdr>
            <w:top w:val="none" w:sz="0" w:space="0" w:color="auto"/>
            <w:left w:val="none" w:sz="0" w:space="0" w:color="auto"/>
            <w:bottom w:val="none" w:sz="0" w:space="0" w:color="auto"/>
            <w:right w:val="none" w:sz="0" w:space="0" w:color="auto"/>
          </w:divBdr>
        </w:div>
        <w:div w:id="1412313719">
          <w:marLeft w:val="0"/>
          <w:marRight w:val="0"/>
          <w:marTop w:val="0"/>
          <w:marBottom w:val="0"/>
          <w:divBdr>
            <w:top w:val="none" w:sz="0" w:space="0" w:color="auto"/>
            <w:left w:val="none" w:sz="0" w:space="0" w:color="auto"/>
            <w:bottom w:val="none" w:sz="0" w:space="0" w:color="auto"/>
            <w:right w:val="none" w:sz="0" w:space="0" w:color="auto"/>
          </w:divBdr>
          <w:divsChild>
            <w:div w:id="1719477022">
              <w:marLeft w:val="0"/>
              <w:marRight w:val="0"/>
              <w:marTop w:val="0"/>
              <w:marBottom w:val="0"/>
              <w:divBdr>
                <w:top w:val="none" w:sz="0" w:space="0" w:color="auto"/>
                <w:left w:val="none" w:sz="0" w:space="0" w:color="auto"/>
                <w:bottom w:val="none" w:sz="0" w:space="0" w:color="auto"/>
                <w:right w:val="none" w:sz="0" w:space="0" w:color="auto"/>
              </w:divBdr>
              <w:divsChild>
                <w:div w:id="994378578">
                  <w:marLeft w:val="0"/>
                  <w:marRight w:val="0"/>
                  <w:marTop w:val="0"/>
                  <w:marBottom w:val="0"/>
                  <w:divBdr>
                    <w:top w:val="none" w:sz="0" w:space="0" w:color="auto"/>
                    <w:left w:val="none" w:sz="0" w:space="0" w:color="auto"/>
                    <w:bottom w:val="none" w:sz="0" w:space="0" w:color="auto"/>
                    <w:right w:val="none" w:sz="0" w:space="0" w:color="auto"/>
                  </w:divBdr>
                  <w:divsChild>
                    <w:div w:id="32853996">
                      <w:marLeft w:val="0"/>
                      <w:marRight w:val="0"/>
                      <w:marTop w:val="0"/>
                      <w:marBottom w:val="0"/>
                      <w:divBdr>
                        <w:top w:val="none" w:sz="0" w:space="0" w:color="auto"/>
                        <w:left w:val="none" w:sz="0" w:space="0" w:color="auto"/>
                        <w:bottom w:val="none" w:sz="0" w:space="0" w:color="auto"/>
                        <w:right w:val="none" w:sz="0" w:space="0" w:color="auto"/>
                      </w:divBdr>
                      <w:divsChild>
                        <w:div w:id="8704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8260">
          <w:marLeft w:val="0"/>
          <w:marRight w:val="0"/>
          <w:marTop w:val="0"/>
          <w:marBottom w:val="0"/>
          <w:divBdr>
            <w:top w:val="none" w:sz="0" w:space="0" w:color="auto"/>
            <w:left w:val="none" w:sz="0" w:space="0" w:color="auto"/>
            <w:bottom w:val="none" w:sz="0" w:space="0" w:color="auto"/>
            <w:right w:val="none" w:sz="0" w:space="0" w:color="auto"/>
          </w:divBdr>
          <w:divsChild>
            <w:div w:id="1868594331">
              <w:marLeft w:val="0"/>
              <w:marRight w:val="0"/>
              <w:marTop w:val="0"/>
              <w:marBottom w:val="0"/>
              <w:divBdr>
                <w:top w:val="none" w:sz="0" w:space="0" w:color="auto"/>
                <w:left w:val="none" w:sz="0" w:space="0" w:color="auto"/>
                <w:bottom w:val="none" w:sz="0" w:space="0" w:color="auto"/>
                <w:right w:val="none" w:sz="0" w:space="0" w:color="auto"/>
              </w:divBdr>
              <w:divsChild>
                <w:div w:id="999038020">
                  <w:marLeft w:val="0"/>
                  <w:marRight w:val="0"/>
                  <w:marTop w:val="0"/>
                  <w:marBottom w:val="0"/>
                  <w:divBdr>
                    <w:top w:val="none" w:sz="0" w:space="0" w:color="auto"/>
                    <w:left w:val="none" w:sz="0" w:space="0" w:color="auto"/>
                    <w:bottom w:val="none" w:sz="0" w:space="0" w:color="auto"/>
                    <w:right w:val="none" w:sz="0" w:space="0" w:color="auto"/>
                  </w:divBdr>
                  <w:divsChild>
                    <w:div w:id="1000473652">
                      <w:marLeft w:val="0"/>
                      <w:marRight w:val="0"/>
                      <w:marTop w:val="0"/>
                      <w:marBottom w:val="0"/>
                      <w:divBdr>
                        <w:top w:val="none" w:sz="0" w:space="0" w:color="auto"/>
                        <w:left w:val="none" w:sz="0" w:space="0" w:color="auto"/>
                        <w:bottom w:val="none" w:sz="0" w:space="0" w:color="auto"/>
                        <w:right w:val="none" w:sz="0" w:space="0" w:color="auto"/>
                      </w:divBdr>
                      <w:divsChild>
                        <w:div w:id="1988585290">
                          <w:marLeft w:val="0"/>
                          <w:marRight w:val="0"/>
                          <w:marTop w:val="0"/>
                          <w:marBottom w:val="0"/>
                          <w:divBdr>
                            <w:top w:val="none" w:sz="0" w:space="0" w:color="auto"/>
                            <w:left w:val="none" w:sz="0" w:space="0" w:color="auto"/>
                            <w:bottom w:val="none" w:sz="0" w:space="0" w:color="auto"/>
                            <w:right w:val="none" w:sz="0" w:space="0" w:color="auto"/>
                          </w:divBdr>
                          <w:divsChild>
                            <w:div w:id="11175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672332">
      <w:bodyDiv w:val="1"/>
      <w:marLeft w:val="0"/>
      <w:marRight w:val="0"/>
      <w:marTop w:val="0"/>
      <w:marBottom w:val="0"/>
      <w:divBdr>
        <w:top w:val="none" w:sz="0" w:space="0" w:color="auto"/>
        <w:left w:val="none" w:sz="0" w:space="0" w:color="auto"/>
        <w:bottom w:val="none" w:sz="0" w:space="0" w:color="auto"/>
        <w:right w:val="none" w:sz="0" w:space="0" w:color="auto"/>
      </w:divBdr>
    </w:div>
    <w:div w:id="649868438">
      <w:bodyDiv w:val="1"/>
      <w:marLeft w:val="0"/>
      <w:marRight w:val="0"/>
      <w:marTop w:val="0"/>
      <w:marBottom w:val="0"/>
      <w:divBdr>
        <w:top w:val="none" w:sz="0" w:space="0" w:color="auto"/>
        <w:left w:val="none" w:sz="0" w:space="0" w:color="auto"/>
        <w:bottom w:val="none" w:sz="0" w:space="0" w:color="auto"/>
        <w:right w:val="none" w:sz="0" w:space="0" w:color="auto"/>
      </w:divBdr>
    </w:div>
    <w:div w:id="657223985">
      <w:bodyDiv w:val="1"/>
      <w:marLeft w:val="0"/>
      <w:marRight w:val="0"/>
      <w:marTop w:val="0"/>
      <w:marBottom w:val="0"/>
      <w:divBdr>
        <w:top w:val="none" w:sz="0" w:space="0" w:color="auto"/>
        <w:left w:val="none" w:sz="0" w:space="0" w:color="auto"/>
        <w:bottom w:val="none" w:sz="0" w:space="0" w:color="auto"/>
        <w:right w:val="none" w:sz="0" w:space="0" w:color="auto"/>
      </w:divBdr>
    </w:div>
    <w:div w:id="685641306">
      <w:bodyDiv w:val="1"/>
      <w:marLeft w:val="0"/>
      <w:marRight w:val="0"/>
      <w:marTop w:val="0"/>
      <w:marBottom w:val="0"/>
      <w:divBdr>
        <w:top w:val="none" w:sz="0" w:space="0" w:color="auto"/>
        <w:left w:val="none" w:sz="0" w:space="0" w:color="auto"/>
        <w:bottom w:val="none" w:sz="0" w:space="0" w:color="auto"/>
        <w:right w:val="none" w:sz="0" w:space="0" w:color="auto"/>
      </w:divBdr>
    </w:div>
    <w:div w:id="700857889">
      <w:bodyDiv w:val="1"/>
      <w:marLeft w:val="0"/>
      <w:marRight w:val="0"/>
      <w:marTop w:val="0"/>
      <w:marBottom w:val="0"/>
      <w:divBdr>
        <w:top w:val="none" w:sz="0" w:space="0" w:color="auto"/>
        <w:left w:val="none" w:sz="0" w:space="0" w:color="auto"/>
        <w:bottom w:val="none" w:sz="0" w:space="0" w:color="auto"/>
        <w:right w:val="none" w:sz="0" w:space="0" w:color="auto"/>
      </w:divBdr>
      <w:divsChild>
        <w:div w:id="297076924">
          <w:marLeft w:val="0"/>
          <w:marRight w:val="0"/>
          <w:marTop w:val="0"/>
          <w:marBottom w:val="0"/>
          <w:divBdr>
            <w:top w:val="none" w:sz="0" w:space="0" w:color="auto"/>
            <w:left w:val="none" w:sz="0" w:space="0" w:color="auto"/>
            <w:bottom w:val="none" w:sz="0" w:space="0" w:color="auto"/>
            <w:right w:val="none" w:sz="0" w:space="0" w:color="auto"/>
          </w:divBdr>
          <w:divsChild>
            <w:div w:id="1719015136">
              <w:marLeft w:val="0"/>
              <w:marRight w:val="0"/>
              <w:marTop w:val="0"/>
              <w:marBottom w:val="0"/>
              <w:divBdr>
                <w:top w:val="none" w:sz="0" w:space="0" w:color="auto"/>
                <w:left w:val="none" w:sz="0" w:space="0" w:color="auto"/>
                <w:bottom w:val="none" w:sz="0" w:space="0" w:color="auto"/>
                <w:right w:val="none" w:sz="0" w:space="0" w:color="auto"/>
              </w:divBdr>
              <w:divsChild>
                <w:div w:id="1018657389">
                  <w:marLeft w:val="0"/>
                  <w:marRight w:val="0"/>
                  <w:marTop w:val="0"/>
                  <w:marBottom w:val="0"/>
                  <w:divBdr>
                    <w:top w:val="none" w:sz="0" w:space="0" w:color="auto"/>
                    <w:left w:val="none" w:sz="0" w:space="0" w:color="auto"/>
                    <w:bottom w:val="none" w:sz="0" w:space="0" w:color="auto"/>
                    <w:right w:val="none" w:sz="0" w:space="0" w:color="auto"/>
                  </w:divBdr>
                  <w:divsChild>
                    <w:div w:id="311374279">
                      <w:marLeft w:val="0"/>
                      <w:marRight w:val="0"/>
                      <w:marTop w:val="0"/>
                      <w:marBottom w:val="0"/>
                      <w:divBdr>
                        <w:top w:val="none" w:sz="0" w:space="0" w:color="auto"/>
                        <w:left w:val="none" w:sz="0" w:space="0" w:color="auto"/>
                        <w:bottom w:val="none" w:sz="0" w:space="0" w:color="auto"/>
                        <w:right w:val="none" w:sz="0" w:space="0" w:color="auto"/>
                      </w:divBdr>
                      <w:divsChild>
                        <w:div w:id="1091508716">
                          <w:marLeft w:val="0"/>
                          <w:marRight w:val="0"/>
                          <w:marTop w:val="0"/>
                          <w:marBottom w:val="0"/>
                          <w:divBdr>
                            <w:top w:val="none" w:sz="0" w:space="0" w:color="auto"/>
                            <w:left w:val="none" w:sz="0" w:space="0" w:color="auto"/>
                            <w:bottom w:val="none" w:sz="0" w:space="0" w:color="auto"/>
                            <w:right w:val="none" w:sz="0" w:space="0" w:color="auto"/>
                          </w:divBdr>
                          <w:divsChild>
                            <w:div w:id="2131967669">
                              <w:marLeft w:val="0"/>
                              <w:marRight w:val="0"/>
                              <w:marTop w:val="0"/>
                              <w:marBottom w:val="0"/>
                              <w:divBdr>
                                <w:top w:val="none" w:sz="0" w:space="0" w:color="auto"/>
                                <w:left w:val="none" w:sz="0" w:space="0" w:color="auto"/>
                                <w:bottom w:val="none" w:sz="0" w:space="0" w:color="auto"/>
                                <w:right w:val="none" w:sz="0" w:space="0" w:color="auto"/>
                              </w:divBdr>
                              <w:divsChild>
                                <w:div w:id="886837522">
                                  <w:marLeft w:val="0"/>
                                  <w:marRight w:val="0"/>
                                  <w:marTop w:val="0"/>
                                  <w:marBottom w:val="0"/>
                                  <w:divBdr>
                                    <w:top w:val="none" w:sz="0" w:space="0" w:color="auto"/>
                                    <w:left w:val="none" w:sz="0" w:space="0" w:color="auto"/>
                                    <w:bottom w:val="none" w:sz="0" w:space="0" w:color="auto"/>
                                    <w:right w:val="none" w:sz="0" w:space="0" w:color="auto"/>
                                  </w:divBdr>
                                  <w:divsChild>
                                    <w:div w:id="1476331345">
                                      <w:marLeft w:val="0"/>
                                      <w:marRight w:val="0"/>
                                      <w:marTop w:val="0"/>
                                      <w:marBottom w:val="0"/>
                                      <w:divBdr>
                                        <w:top w:val="none" w:sz="0" w:space="0" w:color="auto"/>
                                        <w:left w:val="none" w:sz="0" w:space="0" w:color="auto"/>
                                        <w:bottom w:val="none" w:sz="0" w:space="0" w:color="auto"/>
                                        <w:right w:val="none" w:sz="0" w:space="0" w:color="auto"/>
                                      </w:divBdr>
                                      <w:divsChild>
                                        <w:div w:id="546336114">
                                          <w:marLeft w:val="0"/>
                                          <w:marRight w:val="0"/>
                                          <w:marTop w:val="0"/>
                                          <w:marBottom w:val="0"/>
                                          <w:divBdr>
                                            <w:top w:val="none" w:sz="0" w:space="0" w:color="auto"/>
                                            <w:left w:val="none" w:sz="0" w:space="0" w:color="auto"/>
                                            <w:bottom w:val="none" w:sz="0" w:space="0" w:color="auto"/>
                                            <w:right w:val="none" w:sz="0" w:space="0" w:color="auto"/>
                                          </w:divBdr>
                                          <w:divsChild>
                                            <w:div w:id="520436657">
                                              <w:marLeft w:val="0"/>
                                              <w:marRight w:val="0"/>
                                              <w:marTop w:val="0"/>
                                              <w:marBottom w:val="0"/>
                                              <w:divBdr>
                                                <w:top w:val="none" w:sz="0" w:space="0" w:color="auto"/>
                                                <w:left w:val="none" w:sz="0" w:space="0" w:color="auto"/>
                                                <w:bottom w:val="none" w:sz="0" w:space="0" w:color="auto"/>
                                                <w:right w:val="none" w:sz="0" w:space="0" w:color="auto"/>
                                              </w:divBdr>
                                              <w:divsChild>
                                                <w:div w:id="1080100261">
                                                  <w:marLeft w:val="0"/>
                                                  <w:marRight w:val="0"/>
                                                  <w:marTop w:val="0"/>
                                                  <w:marBottom w:val="0"/>
                                                  <w:divBdr>
                                                    <w:top w:val="none" w:sz="0" w:space="0" w:color="auto"/>
                                                    <w:left w:val="none" w:sz="0" w:space="0" w:color="auto"/>
                                                    <w:bottom w:val="none" w:sz="0" w:space="0" w:color="auto"/>
                                                    <w:right w:val="none" w:sz="0" w:space="0" w:color="auto"/>
                                                  </w:divBdr>
                                                  <w:divsChild>
                                                    <w:div w:id="253978236">
                                                      <w:marLeft w:val="0"/>
                                                      <w:marRight w:val="0"/>
                                                      <w:marTop w:val="0"/>
                                                      <w:marBottom w:val="0"/>
                                                      <w:divBdr>
                                                        <w:top w:val="none" w:sz="0" w:space="0" w:color="auto"/>
                                                        <w:left w:val="none" w:sz="0" w:space="0" w:color="auto"/>
                                                        <w:bottom w:val="none" w:sz="0" w:space="0" w:color="auto"/>
                                                        <w:right w:val="none" w:sz="0" w:space="0" w:color="auto"/>
                                                      </w:divBdr>
                                                      <w:divsChild>
                                                        <w:div w:id="2726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4671893">
      <w:bodyDiv w:val="1"/>
      <w:marLeft w:val="0"/>
      <w:marRight w:val="0"/>
      <w:marTop w:val="0"/>
      <w:marBottom w:val="0"/>
      <w:divBdr>
        <w:top w:val="none" w:sz="0" w:space="0" w:color="auto"/>
        <w:left w:val="none" w:sz="0" w:space="0" w:color="auto"/>
        <w:bottom w:val="none" w:sz="0" w:space="0" w:color="auto"/>
        <w:right w:val="none" w:sz="0" w:space="0" w:color="auto"/>
      </w:divBdr>
    </w:div>
    <w:div w:id="713237575">
      <w:bodyDiv w:val="1"/>
      <w:marLeft w:val="0"/>
      <w:marRight w:val="0"/>
      <w:marTop w:val="0"/>
      <w:marBottom w:val="0"/>
      <w:divBdr>
        <w:top w:val="none" w:sz="0" w:space="0" w:color="auto"/>
        <w:left w:val="none" w:sz="0" w:space="0" w:color="auto"/>
        <w:bottom w:val="none" w:sz="0" w:space="0" w:color="auto"/>
        <w:right w:val="none" w:sz="0" w:space="0" w:color="auto"/>
      </w:divBdr>
    </w:div>
    <w:div w:id="722220329">
      <w:bodyDiv w:val="1"/>
      <w:marLeft w:val="0"/>
      <w:marRight w:val="0"/>
      <w:marTop w:val="0"/>
      <w:marBottom w:val="0"/>
      <w:divBdr>
        <w:top w:val="none" w:sz="0" w:space="0" w:color="auto"/>
        <w:left w:val="none" w:sz="0" w:space="0" w:color="auto"/>
        <w:bottom w:val="none" w:sz="0" w:space="0" w:color="auto"/>
        <w:right w:val="none" w:sz="0" w:space="0" w:color="auto"/>
      </w:divBdr>
      <w:divsChild>
        <w:div w:id="1845626054">
          <w:marLeft w:val="0"/>
          <w:marRight w:val="0"/>
          <w:marTop w:val="0"/>
          <w:marBottom w:val="0"/>
          <w:divBdr>
            <w:top w:val="none" w:sz="0" w:space="0" w:color="auto"/>
            <w:left w:val="none" w:sz="0" w:space="0" w:color="auto"/>
            <w:bottom w:val="none" w:sz="0" w:space="0" w:color="auto"/>
            <w:right w:val="none" w:sz="0" w:space="0" w:color="auto"/>
          </w:divBdr>
          <w:divsChild>
            <w:div w:id="1533763847">
              <w:marLeft w:val="0"/>
              <w:marRight w:val="0"/>
              <w:marTop w:val="0"/>
              <w:marBottom w:val="0"/>
              <w:divBdr>
                <w:top w:val="none" w:sz="0" w:space="0" w:color="auto"/>
                <w:left w:val="none" w:sz="0" w:space="0" w:color="auto"/>
                <w:bottom w:val="none" w:sz="0" w:space="0" w:color="auto"/>
                <w:right w:val="none" w:sz="0" w:space="0" w:color="auto"/>
              </w:divBdr>
              <w:divsChild>
                <w:div w:id="629868880">
                  <w:marLeft w:val="0"/>
                  <w:marRight w:val="0"/>
                  <w:marTop w:val="0"/>
                  <w:marBottom w:val="0"/>
                  <w:divBdr>
                    <w:top w:val="none" w:sz="0" w:space="0" w:color="auto"/>
                    <w:left w:val="none" w:sz="0" w:space="0" w:color="auto"/>
                    <w:bottom w:val="none" w:sz="0" w:space="0" w:color="auto"/>
                    <w:right w:val="none" w:sz="0" w:space="0" w:color="auto"/>
                  </w:divBdr>
                  <w:divsChild>
                    <w:div w:id="91049697">
                      <w:marLeft w:val="0"/>
                      <w:marRight w:val="0"/>
                      <w:marTop w:val="0"/>
                      <w:marBottom w:val="0"/>
                      <w:divBdr>
                        <w:top w:val="none" w:sz="0" w:space="0" w:color="auto"/>
                        <w:left w:val="none" w:sz="0" w:space="0" w:color="auto"/>
                        <w:bottom w:val="none" w:sz="0" w:space="0" w:color="auto"/>
                        <w:right w:val="none" w:sz="0" w:space="0" w:color="auto"/>
                      </w:divBdr>
                      <w:divsChild>
                        <w:div w:id="1180042764">
                          <w:marLeft w:val="0"/>
                          <w:marRight w:val="0"/>
                          <w:marTop w:val="0"/>
                          <w:marBottom w:val="0"/>
                          <w:divBdr>
                            <w:top w:val="none" w:sz="0" w:space="0" w:color="auto"/>
                            <w:left w:val="none" w:sz="0" w:space="0" w:color="auto"/>
                            <w:bottom w:val="none" w:sz="0" w:space="0" w:color="auto"/>
                            <w:right w:val="none" w:sz="0" w:space="0" w:color="auto"/>
                          </w:divBdr>
                          <w:divsChild>
                            <w:div w:id="897663573">
                              <w:marLeft w:val="0"/>
                              <w:marRight w:val="0"/>
                              <w:marTop w:val="0"/>
                              <w:marBottom w:val="0"/>
                              <w:divBdr>
                                <w:top w:val="none" w:sz="0" w:space="0" w:color="auto"/>
                                <w:left w:val="none" w:sz="0" w:space="0" w:color="auto"/>
                                <w:bottom w:val="none" w:sz="0" w:space="0" w:color="auto"/>
                                <w:right w:val="none" w:sz="0" w:space="0" w:color="auto"/>
                              </w:divBdr>
                              <w:divsChild>
                                <w:div w:id="450632687">
                                  <w:marLeft w:val="0"/>
                                  <w:marRight w:val="0"/>
                                  <w:marTop w:val="0"/>
                                  <w:marBottom w:val="0"/>
                                  <w:divBdr>
                                    <w:top w:val="none" w:sz="0" w:space="0" w:color="auto"/>
                                    <w:left w:val="none" w:sz="0" w:space="0" w:color="auto"/>
                                    <w:bottom w:val="none" w:sz="0" w:space="0" w:color="auto"/>
                                    <w:right w:val="none" w:sz="0" w:space="0" w:color="auto"/>
                                  </w:divBdr>
                                  <w:divsChild>
                                    <w:div w:id="927498106">
                                      <w:marLeft w:val="0"/>
                                      <w:marRight w:val="0"/>
                                      <w:marTop w:val="0"/>
                                      <w:marBottom w:val="0"/>
                                      <w:divBdr>
                                        <w:top w:val="none" w:sz="0" w:space="0" w:color="auto"/>
                                        <w:left w:val="none" w:sz="0" w:space="0" w:color="auto"/>
                                        <w:bottom w:val="none" w:sz="0" w:space="0" w:color="auto"/>
                                        <w:right w:val="none" w:sz="0" w:space="0" w:color="auto"/>
                                      </w:divBdr>
                                      <w:divsChild>
                                        <w:div w:id="1683118044">
                                          <w:marLeft w:val="0"/>
                                          <w:marRight w:val="0"/>
                                          <w:marTop w:val="0"/>
                                          <w:marBottom w:val="0"/>
                                          <w:divBdr>
                                            <w:top w:val="none" w:sz="0" w:space="0" w:color="auto"/>
                                            <w:left w:val="none" w:sz="0" w:space="0" w:color="auto"/>
                                            <w:bottom w:val="none" w:sz="0" w:space="0" w:color="auto"/>
                                            <w:right w:val="none" w:sz="0" w:space="0" w:color="auto"/>
                                          </w:divBdr>
                                          <w:divsChild>
                                            <w:div w:id="1242178378">
                                              <w:marLeft w:val="0"/>
                                              <w:marRight w:val="0"/>
                                              <w:marTop w:val="0"/>
                                              <w:marBottom w:val="0"/>
                                              <w:divBdr>
                                                <w:top w:val="none" w:sz="0" w:space="0" w:color="auto"/>
                                                <w:left w:val="none" w:sz="0" w:space="0" w:color="auto"/>
                                                <w:bottom w:val="none" w:sz="0" w:space="0" w:color="auto"/>
                                                <w:right w:val="none" w:sz="0" w:space="0" w:color="auto"/>
                                              </w:divBdr>
                                              <w:divsChild>
                                                <w:div w:id="593516232">
                                                  <w:marLeft w:val="0"/>
                                                  <w:marRight w:val="0"/>
                                                  <w:marTop w:val="0"/>
                                                  <w:marBottom w:val="0"/>
                                                  <w:divBdr>
                                                    <w:top w:val="none" w:sz="0" w:space="0" w:color="auto"/>
                                                    <w:left w:val="none" w:sz="0" w:space="0" w:color="auto"/>
                                                    <w:bottom w:val="none" w:sz="0" w:space="0" w:color="auto"/>
                                                    <w:right w:val="none" w:sz="0" w:space="0" w:color="auto"/>
                                                  </w:divBdr>
                                                  <w:divsChild>
                                                    <w:div w:id="1126045922">
                                                      <w:marLeft w:val="0"/>
                                                      <w:marRight w:val="0"/>
                                                      <w:marTop w:val="0"/>
                                                      <w:marBottom w:val="0"/>
                                                      <w:divBdr>
                                                        <w:top w:val="none" w:sz="0" w:space="0" w:color="auto"/>
                                                        <w:left w:val="none" w:sz="0" w:space="0" w:color="auto"/>
                                                        <w:bottom w:val="none" w:sz="0" w:space="0" w:color="auto"/>
                                                        <w:right w:val="none" w:sz="0" w:space="0" w:color="auto"/>
                                                      </w:divBdr>
                                                      <w:divsChild>
                                                        <w:div w:id="123262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7213618">
      <w:bodyDiv w:val="1"/>
      <w:marLeft w:val="0"/>
      <w:marRight w:val="0"/>
      <w:marTop w:val="0"/>
      <w:marBottom w:val="0"/>
      <w:divBdr>
        <w:top w:val="none" w:sz="0" w:space="0" w:color="auto"/>
        <w:left w:val="none" w:sz="0" w:space="0" w:color="auto"/>
        <w:bottom w:val="none" w:sz="0" w:space="0" w:color="auto"/>
        <w:right w:val="none" w:sz="0" w:space="0" w:color="auto"/>
      </w:divBdr>
    </w:div>
    <w:div w:id="796141679">
      <w:bodyDiv w:val="1"/>
      <w:marLeft w:val="0"/>
      <w:marRight w:val="0"/>
      <w:marTop w:val="0"/>
      <w:marBottom w:val="0"/>
      <w:divBdr>
        <w:top w:val="none" w:sz="0" w:space="0" w:color="auto"/>
        <w:left w:val="none" w:sz="0" w:space="0" w:color="auto"/>
        <w:bottom w:val="none" w:sz="0" w:space="0" w:color="auto"/>
        <w:right w:val="none" w:sz="0" w:space="0" w:color="auto"/>
      </w:divBdr>
    </w:div>
    <w:div w:id="797190135">
      <w:bodyDiv w:val="1"/>
      <w:marLeft w:val="0"/>
      <w:marRight w:val="0"/>
      <w:marTop w:val="0"/>
      <w:marBottom w:val="0"/>
      <w:divBdr>
        <w:top w:val="none" w:sz="0" w:space="0" w:color="auto"/>
        <w:left w:val="none" w:sz="0" w:space="0" w:color="auto"/>
        <w:bottom w:val="none" w:sz="0" w:space="0" w:color="auto"/>
        <w:right w:val="none" w:sz="0" w:space="0" w:color="auto"/>
      </w:divBdr>
    </w:div>
    <w:div w:id="816921967">
      <w:bodyDiv w:val="1"/>
      <w:marLeft w:val="0"/>
      <w:marRight w:val="0"/>
      <w:marTop w:val="0"/>
      <w:marBottom w:val="0"/>
      <w:divBdr>
        <w:top w:val="none" w:sz="0" w:space="0" w:color="auto"/>
        <w:left w:val="none" w:sz="0" w:space="0" w:color="auto"/>
        <w:bottom w:val="none" w:sz="0" w:space="0" w:color="auto"/>
        <w:right w:val="none" w:sz="0" w:space="0" w:color="auto"/>
      </w:divBdr>
      <w:divsChild>
        <w:div w:id="901330072">
          <w:marLeft w:val="0"/>
          <w:marRight w:val="0"/>
          <w:marTop w:val="0"/>
          <w:marBottom w:val="0"/>
          <w:divBdr>
            <w:top w:val="none" w:sz="0" w:space="0" w:color="auto"/>
            <w:left w:val="none" w:sz="0" w:space="0" w:color="auto"/>
            <w:bottom w:val="none" w:sz="0" w:space="0" w:color="auto"/>
            <w:right w:val="none" w:sz="0" w:space="0" w:color="auto"/>
          </w:divBdr>
          <w:divsChild>
            <w:div w:id="1573154051">
              <w:marLeft w:val="0"/>
              <w:marRight w:val="0"/>
              <w:marTop w:val="0"/>
              <w:marBottom w:val="0"/>
              <w:divBdr>
                <w:top w:val="none" w:sz="0" w:space="0" w:color="auto"/>
                <w:left w:val="none" w:sz="0" w:space="0" w:color="auto"/>
                <w:bottom w:val="none" w:sz="0" w:space="0" w:color="auto"/>
                <w:right w:val="none" w:sz="0" w:space="0" w:color="auto"/>
              </w:divBdr>
              <w:divsChild>
                <w:div w:id="1244337803">
                  <w:marLeft w:val="0"/>
                  <w:marRight w:val="0"/>
                  <w:marTop w:val="0"/>
                  <w:marBottom w:val="0"/>
                  <w:divBdr>
                    <w:top w:val="none" w:sz="0" w:space="0" w:color="auto"/>
                    <w:left w:val="none" w:sz="0" w:space="0" w:color="auto"/>
                    <w:bottom w:val="none" w:sz="0" w:space="0" w:color="auto"/>
                    <w:right w:val="none" w:sz="0" w:space="0" w:color="auto"/>
                  </w:divBdr>
                  <w:divsChild>
                    <w:div w:id="721977241">
                      <w:marLeft w:val="0"/>
                      <w:marRight w:val="0"/>
                      <w:marTop w:val="0"/>
                      <w:marBottom w:val="0"/>
                      <w:divBdr>
                        <w:top w:val="none" w:sz="0" w:space="0" w:color="auto"/>
                        <w:left w:val="none" w:sz="0" w:space="0" w:color="auto"/>
                        <w:bottom w:val="none" w:sz="0" w:space="0" w:color="auto"/>
                        <w:right w:val="none" w:sz="0" w:space="0" w:color="auto"/>
                      </w:divBdr>
                      <w:divsChild>
                        <w:div w:id="1720475075">
                          <w:marLeft w:val="0"/>
                          <w:marRight w:val="0"/>
                          <w:marTop w:val="0"/>
                          <w:marBottom w:val="0"/>
                          <w:divBdr>
                            <w:top w:val="none" w:sz="0" w:space="0" w:color="auto"/>
                            <w:left w:val="none" w:sz="0" w:space="0" w:color="auto"/>
                            <w:bottom w:val="none" w:sz="0" w:space="0" w:color="auto"/>
                            <w:right w:val="none" w:sz="0" w:space="0" w:color="auto"/>
                          </w:divBdr>
                          <w:divsChild>
                            <w:div w:id="2071953026">
                              <w:marLeft w:val="0"/>
                              <w:marRight w:val="0"/>
                              <w:marTop w:val="0"/>
                              <w:marBottom w:val="0"/>
                              <w:divBdr>
                                <w:top w:val="none" w:sz="0" w:space="0" w:color="auto"/>
                                <w:left w:val="none" w:sz="0" w:space="0" w:color="auto"/>
                                <w:bottom w:val="none" w:sz="0" w:space="0" w:color="auto"/>
                                <w:right w:val="none" w:sz="0" w:space="0" w:color="auto"/>
                              </w:divBdr>
                              <w:divsChild>
                                <w:div w:id="956331256">
                                  <w:marLeft w:val="0"/>
                                  <w:marRight w:val="0"/>
                                  <w:marTop w:val="0"/>
                                  <w:marBottom w:val="0"/>
                                  <w:divBdr>
                                    <w:top w:val="none" w:sz="0" w:space="0" w:color="auto"/>
                                    <w:left w:val="none" w:sz="0" w:space="0" w:color="auto"/>
                                    <w:bottom w:val="none" w:sz="0" w:space="0" w:color="auto"/>
                                    <w:right w:val="none" w:sz="0" w:space="0" w:color="auto"/>
                                  </w:divBdr>
                                  <w:divsChild>
                                    <w:div w:id="1431195411">
                                      <w:marLeft w:val="0"/>
                                      <w:marRight w:val="0"/>
                                      <w:marTop w:val="0"/>
                                      <w:marBottom w:val="0"/>
                                      <w:divBdr>
                                        <w:top w:val="none" w:sz="0" w:space="0" w:color="auto"/>
                                        <w:left w:val="none" w:sz="0" w:space="0" w:color="auto"/>
                                        <w:bottom w:val="none" w:sz="0" w:space="0" w:color="auto"/>
                                        <w:right w:val="none" w:sz="0" w:space="0" w:color="auto"/>
                                      </w:divBdr>
                                      <w:divsChild>
                                        <w:div w:id="656689079">
                                          <w:marLeft w:val="0"/>
                                          <w:marRight w:val="0"/>
                                          <w:marTop w:val="0"/>
                                          <w:marBottom w:val="0"/>
                                          <w:divBdr>
                                            <w:top w:val="none" w:sz="0" w:space="0" w:color="auto"/>
                                            <w:left w:val="none" w:sz="0" w:space="0" w:color="auto"/>
                                            <w:bottom w:val="none" w:sz="0" w:space="0" w:color="auto"/>
                                            <w:right w:val="none" w:sz="0" w:space="0" w:color="auto"/>
                                          </w:divBdr>
                                          <w:divsChild>
                                            <w:div w:id="1056079148">
                                              <w:marLeft w:val="0"/>
                                              <w:marRight w:val="0"/>
                                              <w:marTop w:val="0"/>
                                              <w:marBottom w:val="0"/>
                                              <w:divBdr>
                                                <w:top w:val="none" w:sz="0" w:space="0" w:color="auto"/>
                                                <w:left w:val="none" w:sz="0" w:space="0" w:color="auto"/>
                                                <w:bottom w:val="none" w:sz="0" w:space="0" w:color="auto"/>
                                                <w:right w:val="none" w:sz="0" w:space="0" w:color="auto"/>
                                              </w:divBdr>
                                              <w:divsChild>
                                                <w:div w:id="1555891892">
                                                  <w:marLeft w:val="0"/>
                                                  <w:marRight w:val="0"/>
                                                  <w:marTop w:val="0"/>
                                                  <w:marBottom w:val="0"/>
                                                  <w:divBdr>
                                                    <w:top w:val="none" w:sz="0" w:space="0" w:color="auto"/>
                                                    <w:left w:val="none" w:sz="0" w:space="0" w:color="auto"/>
                                                    <w:bottom w:val="none" w:sz="0" w:space="0" w:color="auto"/>
                                                    <w:right w:val="none" w:sz="0" w:space="0" w:color="auto"/>
                                                  </w:divBdr>
                                                  <w:divsChild>
                                                    <w:div w:id="1614360191">
                                                      <w:marLeft w:val="0"/>
                                                      <w:marRight w:val="0"/>
                                                      <w:marTop w:val="0"/>
                                                      <w:marBottom w:val="0"/>
                                                      <w:divBdr>
                                                        <w:top w:val="none" w:sz="0" w:space="0" w:color="auto"/>
                                                        <w:left w:val="none" w:sz="0" w:space="0" w:color="auto"/>
                                                        <w:bottom w:val="none" w:sz="0" w:space="0" w:color="auto"/>
                                                        <w:right w:val="none" w:sz="0" w:space="0" w:color="auto"/>
                                                      </w:divBdr>
                                                      <w:divsChild>
                                                        <w:div w:id="18212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6139376">
      <w:bodyDiv w:val="1"/>
      <w:marLeft w:val="0"/>
      <w:marRight w:val="0"/>
      <w:marTop w:val="0"/>
      <w:marBottom w:val="0"/>
      <w:divBdr>
        <w:top w:val="none" w:sz="0" w:space="0" w:color="auto"/>
        <w:left w:val="none" w:sz="0" w:space="0" w:color="auto"/>
        <w:bottom w:val="none" w:sz="0" w:space="0" w:color="auto"/>
        <w:right w:val="none" w:sz="0" w:space="0" w:color="auto"/>
      </w:divBdr>
    </w:div>
    <w:div w:id="868762746">
      <w:bodyDiv w:val="1"/>
      <w:marLeft w:val="0"/>
      <w:marRight w:val="0"/>
      <w:marTop w:val="0"/>
      <w:marBottom w:val="0"/>
      <w:divBdr>
        <w:top w:val="none" w:sz="0" w:space="0" w:color="auto"/>
        <w:left w:val="none" w:sz="0" w:space="0" w:color="auto"/>
        <w:bottom w:val="none" w:sz="0" w:space="0" w:color="auto"/>
        <w:right w:val="none" w:sz="0" w:space="0" w:color="auto"/>
      </w:divBdr>
    </w:div>
    <w:div w:id="872574515">
      <w:bodyDiv w:val="1"/>
      <w:marLeft w:val="0"/>
      <w:marRight w:val="0"/>
      <w:marTop w:val="0"/>
      <w:marBottom w:val="0"/>
      <w:divBdr>
        <w:top w:val="none" w:sz="0" w:space="0" w:color="auto"/>
        <w:left w:val="none" w:sz="0" w:space="0" w:color="auto"/>
        <w:bottom w:val="none" w:sz="0" w:space="0" w:color="auto"/>
        <w:right w:val="none" w:sz="0" w:space="0" w:color="auto"/>
      </w:divBdr>
    </w:div>
    <w:div w:id="911743342">
      <w:bodyDiv w:val="1"/>
      <w:marLeft w:val="0"/>
      <w:marRight w:val="0"/>
      <w:marTop w:val="0"/>
      <w:marBottom w:val="0"/>
      <w:divBdr>
        <w:top w:val="none" w:sz="0" w:space="0" w:color="auto"/>
        <w:left w:val="none" w:sz="0" w:space="0" w:color="auto"/>
        <w:bottom w:val="none" w:sz="0" w:space="0" w:color="auto"/>
        <w:right w:val="none" w:sz="0" w:space="0" w:color="auto"/>
      </w:divBdr>
    </w:div>
    <w:div w:id="914516515">
      <w:bodyDiv w:val="1"/>
      <w:marLeft w:val="0"/>
      <w:marRight w:val="0"/>
      <w:marTop w:val="0"/>
      <w:marBottom w:val="0"/>
      <w:divBdr>
        <w:top w:val="none" w:sz="0" w:space="0" w:color="auto"/>
        <w:left w:val="none" w:sz="0" w:space="0" w:color="auto"/>
        <w:bottom w:val="none" w:sz="0" w:space="0" w:color="auto"/>
        <w:right w:val="none" w:sz="0" w:space="0" w:color="auto"/>
      </w:divBdr>
      <w:divsChild>
        <w:div w:id="1581868561">
          <w:marLeft w:val="0"/>
          <w:marRight w:val="0"/>
          <w:marTop w:val="0"/>
          <w:marBottom w:val="0"/>
          <w:divBdr>
            <w:top w:val="none" w:sz="0" w:space="0" w:color="auto"/>
            <w:left w:val="none" w:sz="0" w:space="0" w:color="auto"/>
            <w:bottom w:val="none" w:sz="0" w:space="0" w:color="auto"/>
            <w:right w:val="none" w:sz="0" w:space="0" w:color="auto"/>
          </w:divBdr>
          <w:divsChild>
            <w:div w:id="320013568">
              <w:marLeft w:val="0"/>
              <w:marRight w:val="0"/>
              <w:marTop w:val="0"/>
              <w:marBottom w:val="0"/>
              <w:divBdr>
                <w:top w:val="none" w:sz="0" w:space="0" w:color="auto"/>
                <w:left w:val="none" w:sz="0" w:space="0" w:color="auto"/>
                <w:bottom w:val="none" w:sz="0" w:space="0" w:color="auto"/>
                <w:right w:val="none" w:sz="0" w:space="0" w:color="auto"/>
              </w:divBdr>
              <w:divsChild>
                <w:div w:id="168640026">
                  <w:marLeft w:val="0"/>
                  <w:marRight w:val="0"/>
                  <w:marTop w:val="0"/>
                  <w:marBottom w:val="0"/>
                  <w:divBdr>
                    <w:top w:val="none" w:sz="0" w:space="0" w:color="auto"/>
                    <w:left w:val="none" w:sz="0" w:space="0" w:color="auto"/>
                    <w:bottom w:val="none" w:sz="0" w:space="0" w:color="auto"/>
                    <w:right w:val="none" w:sz="0" w:space="0" w:color="auto"/>
                  </w:divBdr>
                  <w:divsChild>
                    <w:div w:id="761031157">
                      <w:marLeft w:val="0"/>
                      <w:marRight w:val="0"/>
                      <w:marTop w:val="0"/>
                      <w:marBottom w:val="0"/>
                      <w:divBdr>
                        <w:top w:val="none" w:sz="0" w:space="0" w:color="auto"/>
                        <w:left w:val="none" w:sz="0" w:space="0" w:color="auto"/>
                        <w:bottom w:val="none" w:sz="0" w:space="0" w:color="auto"/>
                        <w:right w:val="none" w:sz="0" w:space="0" w:color="auto"/>
                      </w:divBdr>
                      <w:divsChild>
                        <w:div w:id="1599488322">
                          <w:marLeft w:val="0"/>
                          <w:marRight w:val="0"/>
                          <w:marTop w:val="0"/>
                          <w:marBottom w:val="0"/>
                          <w:divBdr>
                            <w:top w:val="none" w:sz="0" w:space="0" w:color="auto"/>
                            <w:left w:val="none" w:sz="0" w:space="0" w:color="auto"/>
                            <w:bottom w:val="none" w:sz="0" w:space="0" w:color="auto"/>
                            <w:right w:val="none" w:sz="0" w:space="0" w:color="auto"/>
                          </w:divBdr>
                          <w:divsChild>
                            <w:div w:id="1275819309">
                              <w:marLeft w:val="0"/>
                              <w:marRight w:val="0"/>
                              <w:marTop w:val="0"/>
                              <w:marBottom w:val="0"/>
                              <w:divBdr>
                                <w:top w:val="none" w:sz="0" w:space="0" w:color="auto"/>
                                <w:left w:val="none" w:sz="0" w:space="0" w:color="auto"/>
                                <w:bottom w:val="none" w:sz="0" w:space="0" w:color="auto"/>
                                <w:right w:val="none" w:sz="0" w:space="0" w:color="auto"/>
                              </w:divBdr>
                              <w:divsChild>
                                <w:div w:id="1598831789">
                                  <w:marLeft w:val="0"/>
                                  <w:marRight w:val="0"/>
                                  <w:marTop w:val="0"/>
                                  <w:marBottom w:val="0"/>
                                  <w:divBdr>
                                    <w:top w:val="none" w:sz="0" w:space="0" w:color="auto"/>
                                    <w:left w:val="none" w:sz="0" w:space="0" w:color="auto"/>
                                    <w:bottom w:val="none" w:sz="0" w:space="0" w:color="auto"/>
                                    <w:right w:val="none" w:sz="0" w:space="0" w:color="auto"/>
                                  </w:divBdr>
                                  <w:divsChild>
                                    <w:div w:id="238828070">
                                      <w:marLeft w:val="0"/>
                                      <w:marRight w:val="0"/>
                                      <w:marTop w:val="0"/>
                                      <w:marBottom w:val="0"/>
                                      <w:divBdr>
                                        <w:top w:val="none" w:sz="0" w:space="0" w:color="auto"/>
                                        <w:left w:val="none" w:sz="0" w:space="0" w:color="auto"/>
                                        <w:bottom w:val="none" w:sz="0" w:space="0" w:color="auto"/>
                                        <w:right w:val="none" w:sz="0" w:space="0" w:color="auto"/>
                                      </w:divBdr>
                                      <w:divsChild>
                                        <w:div w:id="1755588664">
                                          <w:marLeft w:val="0"/>
                                          <w:marRight w:val="0"/>
                                          <w:marTop w:val="0"/>
                                          <w:marBottom w:val="0"/>
                                          <w:divBdr>
                                            <w:top w:val="none" w:sz="0" w:space="0" w:color="auto"/>
                                            <w:left w:val="none" w:sz="0" w:space="0" w:color="auto"/>
                                            <w:bottom w:val="none" w:sz="0" w:space="0" w:color="auto"/>
                                            <w:right w:val="none" w:sz="0" w:space="0" w:color="auto"/>
                                          </w:divBdr>
                                          <w:divsChild>
                                            <w:div w:id="36711536">
                                              <w:marLeft w:val="0"/>
                                              <w:marRight w:val="0"/>
                                              <w:marTop w:val="0"/>
                                              <w:marBottom w:val="0"/>
                                              <w:divBdr>
                                                <w:top w:val="none" w:sz="0" w:space="0" w:color="auto"/>
                                                <w:left w:val="none" w:sz="0" w:space="0" w:color="auto"/>
                                                <w:bottom w:val="none" w:sz="0" w:space="0" w:color="auto"/>
                                                <w:right w:val="none" w:sz="0" w:space="0" w:color="auto"/>
                                              </w:divBdr>
                                              <w:divsChild>
                                                <w:div w:id="105078090">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0263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8171461">
      <w:bodyDiv w:val="1"/>
      <w:marLeft w:val="0"/>
      <w:marRight w:val="0"/>
      <w:marTop w:val="0"/>
      <w:marBottom w:val="0"/>
      <w:divBdr>
        <w:top w:val="none" w:sz="0" w:space="0" w:color="auto"/>
        <w:left w:val="none" w:sz="0" w:space="0" w:color="auto"/>
        <w:bottom w:val="none" w:sz="0" w:space="0" w:color="auto"/>
        <w:right w:val="none" w:sz="0" w:space="0" w:color="auto"/>
      </w:divBdr>
      <w:divsChild>
        <w:div w:id="413479358">
          <w:marLeft w:val="0"/>
          <w:marRight w:val="0"/>
          <w:marTop w:val="0"/>
          <w:marBottom w:val="0"/>
          <w:divBdr>
            <w:top w:val="none" w:sz="0" w:space="0" w:color="auto"/>
            <w:left w:val="none" w:sz="0" w:space="0" w:color="auto"/>
            <w:bottom w:val="none" w:sz="0" w:space="0" w:color="auto"/>
            <w:right w:val="none" w:sz="0" w:space="0" w:color="auto"/>
          </w:divBdr>
        </w:div>
        <w:div w:id="70933769">
          <w:marLeft w:val="0"/>
          <w:marRight w:val="0"/>
          <w:marTop w:val="0"/>
          <w:marBottom w:val="0"/>
          <w:divBdr>
            <w:top w:val="none" w:sz="0" w:space="0" w:color="auto"/>
            <w:left w:val="none" w:sz="0" w:space="0" w:color="auto"/>
            <w:bottom w:val="none" w:sz="0" w:space="0" w:color="auto"/>
            <w:right w:val="none" w:sz="0" w:space="0" w:color="auto"/>
          </w:divBdr>
          <w:divsChild>
            <w:div w:id="2319804">
              <w:marLeft w:val="0"/>
              <w:marRight w:val="0"/>
              <w:marTop w:val="0"/>
              <w:marBottom w:val="0"/>
              <w:divBdr>
                <w:top w:val="none" w:sz="0" w:space="0" w:color="auto"/>
                <w:left w:val="none" w:sz="0" w:space="0" w:color="auto"/>
                <w:bottom w:val="none" w:sz="0" w:space="0" w:color="auto"/>
                <w:right w:val="none" w:sz="0" w:space="0" w:color="auto"/>
              </w:divBdr>
              <w:divsChild>
                <w:div w:id="1892695161">
                  <w:marLeft w:val="0"/>
                  <w:marRight w:val="0"/>
                  <w:marTop w:val="0"/>
                  <w:marBottom w:val="0"/>
                  <w:divBdr>
                    <w:top w:val="none" w:sz="0" w:space="0" w:color="auto"/>
                    <w:left w:val="none" w:sz="0" w:space="0" w:color="auto"/>
                    <w:bottom w:val="none" w:sz="0" w:space="0" w:color="auto"/>
                    <w:right w:val="none" w:sz="0" w:space="0" w:color="auto"/>
                  </w:divBdr>
                  <w:divsChild>
                    <w:div w:id="239101468">
                      <w:marLeft w:val="0"/>
                      <w:marRight w:val="0"/>
                      <w:marTop w:val="0"/>
                      <w:marBottom w:val="0"/>
                      <w:divBdr>
                        <w:top w:val="none" w:sz="0" w:space="0" w:color="auto"/>
                        <w:left w:val="none" w:sz="0" w:space="0" w:color="auto"/>
                        <w:bottom w:val="none" w:sz="0" w:space="0" w:color="auto"/>
                        <w:right w:val="none" w:sz="0" w:space="0" w:color="auto"/>
                      </w:divBdr>
                      <w:divsChild>
                        <w:div w:id="173041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4299">
          <w:marLeft w:val="0"/>
          <w:marRight w:val="0"/>
          <w:marTop w:val="0"/>
          <w:marBottom w:val="0"/>
          <w:divBdr>
            <w:top w:val="none" w:sz="0" w:space="0" w:color="auto"/>
            <w:left w:val="none" w:sz="0" w:space="0" w:color="auto"/>
            <w:bottom w:val="none" w:sz="0" w:space="0" w:color="auto"/>
            <w:right w:val="none" w:sz="0" w:space="0" w:color="auto"/>
          </w:divBdr>
          <w:divsChild>
            <w:div w:id="1409689302">
              <w:marLeft w:val="0"/>
              <w:marRight w:val="0"/>
              <w:marTop w:val="0"/>
              <w:marBottom w:val="0"/>
              <w:divBdr>
                <w:top w:val="none" w:sz="0" w:space="0" w:color="auto"/>
                <w:left w:val="none" w:sz="0" w:space="0" w:color="auto"/>
                <w:bottom w:val="none" w:sz="0" w:space="0" w:color="auto"/>
                <w:right w:val="none" w:sz="0" w:space="0" w:color="auto"/>
              </w:divBdr>
              <w:divsChild>
                <w:div w:id="1286109999">
                  <w:marLeft w:val="0"/>
                  <w:marRight w:val="0"/>
                  <w:marTop w:val="0"/>
                  <w:marBottom w:val="0"/>
                  <w:divBdr>
                    <w:top w:val="none" w:sz="0" w:space="0" w:color="auto"/>
                    <w:left w:val="none" w:sz="0" w:space="0" w:color="auto"/>
                    <w:bottom w:val="none" w:sz="0" w:space="0" w:color="auto"/>
                    <w:right w:val="none" w:sz="0" w:space="0" w:color="auto"/>
                  </w:divBdr>
                  <w:divsChild>
                    <w:div w:id="67072567">
                      <w:marLeft w:val="0"/>
                      <w:marRight w:val="0"/>
                      <w:marTop w:val="0"/>
                      <w:marBottom w:val="0"/>
                      <w:divBdr>
                        <w:top w:val="none" w:sz="0" w:space="0" w:color="auto"/>
                        <w:left w:val="none" w:sz="0" w:space="0" w:color="auto"/>
                        <w:bottom w:val="none" w:sz="0" w:space="0" w:color="auto"/>
                        <w:right w:val="none" w:sz="0" w:space="0" w:color="auto"/>
                      </w:divBdr>
                      <w:divsChild>
                        <w:div w:id="1777753355">
                          <w:marLeft w:val="0"/>
                          <w:marRight w:val="0"/>
                          <w:marTop w:val="0"/>
                          <w:marBottom w:val="0"/>
                          <w:divBdr>
                            <w:top w:val="none" w:sz="0" w:space="0" w:color="auto"/>
                            <w:left w:val="none" w:sz="0" w:space="0" w:color="auto"/>
                            <w:bottom w:val="none" w:sz="0" w:space="0" w:color="auto"/>
                            <w:right w:val="none" w:sz="0" w:space="0" w:color="auto"/>
                          </w:divBdr>
                          <w:divsChild>
                            <w:div w:id="9428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824316">
      <w:bodyDiv w:val="1"/>
      <w:marLeft w:val="0"/>
      <w:marRight w:val="0"/>
      <w:marTop w:val="0"/>
      <w:marBottom w:val="0"/>
      <w:divBdr>
        <w:top w:val="none" w:sz="0" w:space="0" w:color="auto"/>
        <w:left w:val="none" w:sz="0" w:space="0" w:color="auto"/>
        <w:bottom w:val="none" w:sz="0" w:space="0" w:color="auto"/>
        <w:right w:val="none" w:sz="0" w:space="0" w:color="auto"/>
      </w:divBdr>
      <w:divsChild>
        <w:div w:id="1206872430">
          <w:marLeft w:val="0"/>
          <w:marRight w:val="0"/>
          <w:marTop w:val="0"/>
          <w:marBottom w:val="0"/>
          <w:divBdr>
            <w:top w:val="none" w:sz="0" w:space="0" w:color="auto"/>
            <w:left w:val="none" w:sz="0" w:space="0" w:color="auto"/>
            <w:bottom w:val="none" w:sz="0" w:space="0" w:color="auto"/>
            <w:right w:val="none" w:sz="0" w:space="0" w:color="auto"/>
          </w:divBdr>
          <w:divsChild>
            <w:div w:id="338702461">
              <w:marLeft w:val="0"/>
              <w:marRight w:val="0"/>
              <w:marTop w:val="0"/>
              <w:marBottom w:val="0"/>
              <w:divBdr>
                <w:top w:val="none" w:sz="0" w:space="0" w:color="auto"/>
                <w:left w:val="none" w:sz="0" w:space="0" w:color="auto"/>
                <w:bottom w:val="none" w:sz="0" w:space="0" w:color="auto"/>
                <w:right w:val="none" w:sz="0" w:space="0" w:color="auto"/>
              </w:divBdr>
              <w:divsChild>
                <w:div w:id="719062741">
                  <w:marLeft w:val="0"/>
                  <w:marRight w:val="0"/>
                  <w:marTop w:val="0"/>
                  <w:marBottom w:val="0"/>
                  <w:divBdr>
                    <w:top w:val="none" w:sz="0" w:space="0" w:color="auto"/>
                    <w:left w:val="none" w:sz="0" w:space="0" w:color="auto"/>
                    <w:bottom w:val="none" w:sz="0" w:space="0" w:color="auto"/>
                    <w:right w:val="none" w:sz="0" w:space="0" w:color="auto"/>
                  </w:divBdr>
                  <w:divsChild>
                    <w:div w:id="1486892777">
                      <w:marLeft w:val="0"/>
                      <w:marRight w:val="0"/>
                      <w:marTop w:val="0"/>
                      <w:marBottom w:val="0"/>
                      <w:divBdr>
                        <w:top w:val="none" w:sz="0" w:space="0" w:color="auto"/>
                        <w:left w:val="none" w:sz="0" w:space="0" w:color="auto"/>
                        <w:bottom w:val="none" w:sz="0" w:space="0" w:color="auto"/>
                        <w:right w:val="none" w:sz="0" w:space="0" w:color="auto"/>
                      </w:divBdr>
                      <w:divsChild>
                        <w:div w:id="2126995485">
                          <w:marLeft w:val="0"/>
                          <w:marRight w:val="0"/>
                          <w:marTop w:val="0"/>
                          <w:marBottom w:val="0"/>
                          <w:divBdr>
                            <w:top w:val="none" w:sz="0" w:space="0" w:color="auto"/>
                            <w:left w:val="none" w:sz="0" w:space="0" w:color="auto"/>
                            <w:bottom w:val="none" w:sz="0" w:space="0" w:color="auto"/>
                            <w:right w:val="none" w:sz="0" w:space="0" w:color="auto"/>
                          </w:divBdr>
                          <w:divsChild>
                            <w:div w:id="1379088598">
                              <w:marLeft w:val="0"/>
                              <w:marRight w:val="0"/>
                              <w:marTop w:val="0"/>
                              <w:marBottom w:val="0"/>
                              <w:divBdr>
                                <w:top w:val="none" w:sz="0" w:space="0" w:color="auto"/>
                                <w:left w:val="none" w:sz="0" w:space="0" w:color="auto"/>
                                <w:bottom w:val="none" w:sz="0" w:space="0" w:color="auto"/>
                                <w:right w:val="none" w:sz="0" w:space="0" w:color="auto"/>
                              </w:divBdr>
                              <w:divsChild>
                                <w:div w:id="671225089">
                                  <w:marLeft w:val="0"/>
                                  <w:marRight w:val="0"/>
                                  <w:marTop w:val="0"/>
                                  <w:marBottom w:val="0"/>
                                  <w:divBdr>
                                    <w:top w:val="none" w:sz="0" w:space="0" w:color="auto"/>
                                    <w:left w:val="none" w:sz="0" w:space="0" w:color="auto"/>
                                    <w:bottom w:val="none" w:sz="0" w:space="0" w:color="auto"/>
                                    <w:right w:val="none" w:sz="0" w:space="0" w:color="auto"/>
                                  </w:divBdr>
                                  <w:divsChild>
                                    <w:div w:id="1868635376">
                                      <w:marLeft w:val="0"/>
                                      <w:marRight w:val="0"/>
                                      <w:marTop w:val="0"/>
                                      <w:marBottom w:val="0"/>
                                      <w:divBdr>
                                        <w:top w:val="none" w:sz="0" w:space="0" w:color="auto"/>
                                        <w:left w:val="none" w:sz="0" w:space="0" w:color="auto"/>
                                        <w:bottom w:val="none" w:sz="0" w:space="0" w:color="auto"/>
                                        <w:right w:val="none" w:sz="0" w:space="0" w:color="auto"/>
                                      </w:divBdr>
                                      <w:divsChild>
                                        <w:div w:id="1044017099">
                                          <w:marLeft w:val="0"/>
                                          <w:marRight w:val="0"/>
                                          <w:marTop w:val="0"/>
                                          <w:marBottom w:val="0"/>
                                          <w:divBdr>
                                            <w:top w:val="none" w:sz="0" w:space="0" w:color="auto"/>
                                            <w:left w:val="none" w:sz="0" w:space="0" w:color="auto"/>
                                            <w:bottom w:val="none" w:sz="0" w:space="0" w:color="auto"/>
                                            <w:right w:val="none" w:sz="0" w:space="0" w:color="auto"/>
                                          </w:divBdr>
                                          <w:divsChild>
                                            <w:div w:id="458912954">
                                              <w:marLeft w:val="0"/>
                                              <w:marRight w:val="0"/>
                                              <w:marTop w:val="0"/>
                                              <w:marBottom w:val="0"/>
                                              <w:divBdr>
                                                <w:top w:val="none" w:sz="0" w:space="0" w:color="auto"/>
                                                <w:left w:val="none" w:sz="0" w:space="0" w:color="auto"/>
                                                <w:bottom w:val="none" w:sz="0" w:space="0" w:color="auto"/>
                                                <w:right w:val="none" w:sz="0" w:space="0" w:color="auto"/>
                                              </w:divBdr>
                                              <w:divsChild>
                                                <w:div w:id="1974796405">
                                                  <w:marLeft w:val="0"/>
                                                  <w:marRight w:val="0"/>
                                                  <w:marTop w:val="0"/>
                                                  <w:marBottom w:val="0"/>
                                                  <w:divBdr>
                                                    <w:top w:val="none" w:sz="0" w:space="0" w:color="auto"/>
                                                    <w:left w:val="none" w:sz="0" w:space="0" w:color="auto"/>
                                                    <w:bottom w:val="none" w:sz="0" w:space="0" w:color="auto"/>
                                                    <w:right w:val="none" w:sz="0" w:space="0" w:color="auto"/>
                                                  </w:divBdr>
                                                  <w:divsChild>
                                                    <w:div w:id="1281837851">
                                                      <w:marLeft w:val="0"/>
                                                      <w:marRight w:val="0"/>
                                                      <w:marTop w:val="0"/>
                                                      <w:marBottom w:val="0"/>
                                                      <w:divBdr>
                                                        <w:top w:val="none" w:sz="0" w:space="0" w:color="auto"/>
                                                        <w:left w:val="none" w:sz="0" w:space="0" w:color="auto"/>
                                                        <w:bottom w:val="none" w:sz="0" w:space="0" w:color="auto"/>
                                                        <w:right w:val="none" w:sz="0" w:space="0" w:color="auto"/>
                                                      </w:divBdr>
                                                      <w:divsChild>
                                                        <w:div w:id="174505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6164331">
      <w:bodyDiv w:val="1"/>
      <w:marLeft w:val="0"/>
      <w:marRight w:val="0"/>
      <w:marTop w:val="0"/>
      <w:marBottom w:val="0"/>
      <w:divBdr>
        <w:top w:val="none" w:sz="0" w:space="0" w:color="auto"/>
        <w:left w:val="none" w:sz="0" w:space="0" w:color="auto"/>
        <w:bottom w:val="none" w:sz="0" w:space="0" w:color="auto"/>
        <w:right w:val="none" w:sz="0" w:space="0" w:color="auto"/>
      </w:divBdr>
    </w:div>
    <w:div w:id="968124902">
      <w:bodyDiv w:val="1"/>
      <w:marLeft w:val="0"/>
      <w:marRight w:val="0"/>
      <w:marTop w:val="0"/>
      <w:marBottom w:val="0"/>
      <w:divBdr>
        <w:top w:val="none" w:sz="0" w:space="0" w:color="auto"/>
        <w:left w:val="none" w:sz="0" w:space="0" w:color="auto"/>
        <w:bottom w:val="none" w:sz="0" w:space="0" w:color="auto"/>
        <w:right w:val="none" w:sz="0" w:space="0" w:color="auto"/>
      </w:divBdr>
      <w:divsChild>
        <w:div w:id="1589777935">
          <w:marLeft w:val="0"/>
          <w:marRight w:val="0"/>
          <w:marTop w:val="0"/>
          <w:marBottom w:val="0"/>
          <w:divBdr>
            <w:top w:val="none" w:sz="0" w:space="0" w:color="auto"/>
            <w:left w:val="none" w:sz="0" w:space="0" w:color="auto"/>
            <w:bottom w:val="none" w:sz="0" w:space="0" w:color="auto"/>
            <w:right w:val="none" w:sz="0" w:space="0" w:color="auto"/>
          </w:divBdr>
          <w:divsChild>
            <w:div w:id="1183472992">
              <w:marLeft w:val="0"/>
              <w:marRight w:val="0"/>
              <w:marTop w:val="0"/>
              <w:marBottom w:val="0"/>
              <w:divBdr>
                <w:top w:val="none" w:sz="0" w:space="0" w:color="auto"/>
                <w:left w:val="none" w:sz="0" w:space="0" w:color="auto"/>
                <w:bottom w:val="none" w:sz="0" w:space="0" w:color="auto"/>
                <w:right w:val="none" w:sz="0" w:space="0" w:color="auto"/>
              </w:divBdr>
              <w:divsChild>
                <w:div w:id="35392902">
                  <w:marLeft w:val="0"/>
                  <w:marRight w:val="0"/>
                  <w:marTop w:val="0"/>
                  <w:marBottom w:val="0"/>
                  <w:divBdr>
                    <w:top w:val="none" w:sz="0" w:space="0" w:color="auto"/>
                    <w:left w:val="none" w:sz="0" w:space="0" w:color="auto"/>
                    <w:bottom w:val="none" w:sz="0" w:space="0" w:color="auto"/>
                    <w:right w:val="none" w:sz="0" w:space="0" w:color="auto"/>
                  </w:divBdr>
                  <w:divsChild>
                    <w:div w:id="25520255">
                      <w:marLeft w:val="0"/>
                      <w:marRight w:val="0"/>
                      <w:marTop w:val="0"/>
                      <w:marBottom w:val="0"/>
                      <w:divBdr>
                        <w:top w:val="none" w:sz="0" w:space="0" w:color="auto"/>
                        <w:left w:val="none" w:sz="0" w:space="0" w:color="auto"/>
                        <w:bottom w:val="none" w:sz="0" w:space="0" w:color="auto"/>
                        <w:right w:val="none" w:sz="0" w:space="0" w:color="auto"/>
                      </w:divBdr>
                      <w:divsChild>
                        <w:div w:id="568157124">
                          <w:marLeft w:val="0"/>
                          <w:marRight w:val="0"/>
                          <w:marTop w:val="0"/>
                          <w:marBottom w:val="0"/>
                          <w:divBdr>
                            <w:top w:val="none" w:sz="0" w:space="0" w:color="auto"/>
                            <w:left w:val="none" w:sz="0" w:space="0" w:color="auto"/>
                            <w:bottom w:val="none" w:sz="0" w:space="0" w:color="auto"/>
                            <w:right w:val="none" w:sz="0" w:space="0" w:color="auto"/>
                          </w:divBdr>
                          <w:divsChild>
                            <w:div w:id="392461608">
                              <w:marLeft w:val="0"/>
                              <w:marRight w:val="0"/>
                              <w:marTop w:val="0"/>
                              <w:marBottom w:val="0"/>
                              <w:divBdr>
                                <w:top w:val="none" w:sz="0" w:space="0" w:color="auto"/>
                                <w:left w:val="none" w:sz="0" w:space="0" w:color="auto"/>
                                <w:bottom w:val="none" w:sz="0" w:space="0" w:color="auto"/>
                                <w:right w:val="none" w:sz="0" w:space="0" w:color="auto"/>
                              </w:divBdr>
                              <w:divsChild>
                                <w:div w:id="1124926692">
                                  <w:marLeft w:val="0"/>
                                  <w:marRight w:val="0"/>
                                  <w:marTop w:val="0"/>
                                  <w:marBottom w:val="0"/>
                                  <w:divBdr>
                                    <w:top w:val="none" w:sz="0" w:space="0" w:color="auto"/>
                                    <w:left w:val="none" w:sz="0" w:space="0" w:color="auto"/>
                                    <w:bottom w:val="none" w:sz="0" w:space="0" w:color="auto"/>
                                    <w:right w:val="none" w:sz="0" w:space="0" w:color="auto"/>
                                  </w:divBdr>
                                  <w:divsChild>
                                    <w:div w:id="1256403479">
                                      <w:marLeft w:val="0"/>
                                      <w:marRight w:val="0"/>
                                      <w:marTop w:val="0"/>
                                      <w:marBottom w:val="0"/>
                                      <w:divBdr>
                                        <w:top w:val="none" w:sz="0" w:space="0" w:color="auto"/>
                                        <w:left w:val="none" w:sz="0" w:space="0" w:color="auto"/>
                                        <w:bottom w:val="none" w:sz="0" w:space="0" w:color="auto"/>
                                        <w:right w:val="none" w:sz="0" w:space="0" w:color="auto"/>
                                      </w:divBdr>
                                      <w:divsChild>
                                        <w:div w:id="1836872924">
                                          <w:marLeft w:val="0"/>
                                          <w:marRight w:val="0"/>
                                          <w:marTop w:val="0"/>
                                          <w:marBottom w:val="0"/>
                                          <w:divBdr>
                                            <w:top w:val="none" w:sz="0" w:space="0" w:color="auto"/>
                                            <w:left w:val="none" w:sz="0" w:space="0" w:color="auto"/>
                                            <w:bottom w:val="none" w:sz="0" w:space="0" w:color="auto"/>
                                            <w:right w:val="none" w:sz="0" w:space="0" w:color="auto"/>
                                          </w:divBdr>
                                          <w:divsChild>
                                            <w:div w:id="810290300">
                                              <w:marLeft w:val="0"/>
                                              <w:marRight w:val="0"/>
                                              <w:marTop w:val="0"/>
                                              <w:marBottom w:val="0"/>
                                              <w:divBdr>
                                                <w:top w:val="none" w:sz="0" w:space="0" w:color="auto"/>
                                                <w:left w:val="none" w:sz="0" w:space="0" w:color="auto"/>
                                                <w:bottom w:val="none" w:sz="0" w:space="0" w:color="auto"/>
                                                <w:right w:val="none" w:sz="0" w:space="0" w:color="auto"/>
                                              </w:divBdr>
                                              <w:divsChild>
                                                <w:div w:id="424808554">
                                                  <w:marLeft w:val="0"/>
                                                  <w:marRight w:val="0"/>
                                                  <w:marTop w:val="0"/>
                                                  <w:marBottom w:val="0"/>
                                                  <w:divBdr>
                                                    <w:top w:val="none" w:sz="0" w:space="0" w:color="auto"/>
                                                    <w:left w:val="none" w:sz="0" w:space="0" w:color="auto"/>
                                                    <w:bottom w:val="none" w:sz="0" w:space="0" w:color="auto"/>
                                                    <w:right w:val="none" w:sz="0" w:space="0" w:color="auto"/>
                                                  </w:divBdr>
                                                  <w:divsChild>
                                                    <w:div w:id="591936990">
                                                      <w:marLeft w:val="0"/>
                                                      <w:marRight w:val="0"/>
                                                      <w:marTop w:val="0"/>
                                                      <w:marBottom w:val="0"/>
                                                      <w:divBdr>
                                                        <w:top w:val="none" w:sz="0" w:space="0" w:color="auto"/>
                                                        <w:left w:val="none" w:sz="0" w:space="0" w:color="auto"/>
                                                        <w:bottom w:val="none" w:sz="0" w:space="0" w:color="auto"/>
                                                        <w:right w:val="none" w:sz="0" w:space="0" w:color="auto"/>
                                                      </w:divBdr>
                                                      <w:divsChild>
                                                        <w:div w:id="149332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1077162">
      <w:bodyDiv w:val="1"/>
      <w:marLeft w:val="0"/>
      <w:marRight w:val="0"/>
      <w:marTop w:val="0"/>
      <w:marBottom w:val="0"/>
      <w:divBdr>
        <w:top w:val="none" w:sz="0" w:space="0" w:color="auto"/>
        <w:left w:val="none" w:sz="0" w:space="0" w:color="auto"/>
        <w:bottom w:val="none" w:sz="0" w:space="0" w:color="auto"/>
        <w:right w:val="none" w:sz="0" w:space="0" w:color="auto"/>
      </w:divBdr>
      <w:divsChild>
        <w:div w:id="2037581412">
          <w:marLeft w:val="0"/>
          <w:marRight w:val="0"/>
          <w:marTop w:val="0"/>
          <w:marBottom w:val="0"/>
          <w:divBdr>
            <w:top w:val="none" w:sz="0" w:space="0" w:color="auto"/>
            <w:left w:val="none" w:sz="0" w:space="0" w:color="auto"/>
            <w:bottom w:val="none" w:sz="0" w:space="0" w:color="auto"/>
            <w:right w:val="none" w:sz="0" w:space="0" w:color="auto"/>
          </w:divBdr>
          <w:divsChild>
            <w:div w:id="1931042292">
              <w:marLeft w:val="0"/>
              <w:marRight w:val="0"/>
              <w:marTop w:val="0"/>
              <w:marBottom w:val="0"/>
              <w:divBdr>
                <w:top w:val="none" w:sz="0" w:space="0" w:color="auto"/>
                <w:left w:val="none" w:sz="0" w:space="0" w:color="auto"/>
                <w:bottom w:val="none" w:sz="0" w:space="0" w:color="auto"/>
                <w:right w:val="none" w:sz="0" w:space="0" w:color="auto"/>
              </w:divBdr>
              <w:divsChild>
                <w:div w:id="972490285">
                  <w:marLeft w:val="0"/>
                  <w:marRight w:val="0"/>
                  <w:marTop w:val="0"/>
                  <w:marBottom w:val="0"/>
                  <w:divBdr>
                    <w:top w:val="none" w:sz="0" w:space="0" w:color="auto"/>
                    <w:left w:val="none" w:sz="0" w:space="0" w:color="auto"/>
                    <w:bottom w:val="none" w:sz="0" w:space="0" w:color="auto"/>
                    <w:right w:val="none" w:sz="0" w:space="0" w:color="auto"/>
                  </w:divBdr>
                  <w:divsChild>
                    <w:div w:id="1865098457">
                      <w:marLeft w:val="0"/>
                      <w:marRight w:val="0"/>
                      <w:marTop w:val="0"/>
                      <w:marBottom w:val="0"/>
                      <w:divBdr>
                        <w:top w:val="none" w:sz="0" w:space="0" w:color="auto"/>
                        <w:left w:val="none" w:sz="0" w:space="0" w:color="auto"/>
                        <w:bottom w:val="none" w:sz="0" w:space="0" w:color="auto"/>
                        <w:right w:val="none" w:sz="0" w:space="0" w:color="auto"/>
                      </w:divBdr>
                      <w:divsChild>
                        <w:div w:id="965894424">
                          <w:marLeft w:val="0"/>
                          <w:marRight w:val="0"/>
                          <w:marTop w:val="0"/>
                          <w:marBottom w:val="0"/>
                          <w:divBdr>
                            <w:top w:val="none" w:sz="0" w:space="0" w:color="auto"/>
                            <w:left w:val="none" w:sz="0" w:space="0" w:color="auto"/>
                            <w:bottom w:val="none" w:sz="0" w:space="0" w:color="auto"/>
                            <w:right w:val="none" w:sz="0" w:space="0" w:color="auto"/>
                          </w:divBdr>
                          <w:divsChild>
                            <w:div w:id="1523012278">
                              <w:marLeft w:val="0"/>
                              <w:marRight w:val="0"/>
                              <w:marTop w:val="0"/>
                              <w:marBottom w:val="0"/>
                              <w:divBdr>
                                <w:top w:val="none" w:sz="0" w:space="0" w:color="auto"/>
                                <w:left w:val="none" w:sz="0" w:space="0" w:color="auto"/>
                                <w:bottom w:val="none" w:sz="0" w:space="0" w:color="auto"/>
                                <w:right w:val="none" w:sz="0" w:space="0" w:color="auto"/>
                              </w:divBdr>
                              <w:divsChild>
                                <w:div w:id="2022852639">
                                  <w:marLeft w:val="0"/>
                                  <w:marRight w:val="0"/>
                                  <w:marTop w:val="0"/>
                                  <w:marBottom w:val="0"/>
                                  <w:divBdr>
                                    <w:top w:val="none" w:sz="0" w:space="0" w:color="auto"/>
                                    <w:left w:val="none" w:sz="0" w:space="0" w:color="auto"/>
                                    <w:bottom w:val="none" w:sz="0" w:space="0" w:color="auto"/>
                                    <w:right w:val="none" w:sz="0" w:space="0" w:color="auto"/>
                                  </w:divBdr>
                                  <w:divsChild>
                                    <w:div w:id="108741213">
                                      <w:marLeft w:val="0"/>
                                      <w:marRight w:val="0"/>
                                      <w:marTop w:val="0"/>
                                      <w:marBottom w:val="0"/>
                                      <w:divBdr>
                                        <w:top w:val="none" w:sz="0" w:space="0" w:color="auto"/>
                                        <w:left w:val="none" w:sz="0" w:space="0" w:color="auto"/>
                                        <w:bottom w:val="none" w:sz="0" w:space="0" w:color="auto"/>
                                        <w:right w:val="none" w:sz="0" w:space="0" w:color="auto"/>
                                      </w:divBdr>
                                      <w:divsChild>
                                        <w:div w:id="612833282">
                                          <w:marLeft w:val="0"/>
                                          <w:marRight w:val="0"/>
                                          <w:marTop w:val="0"/>
                                          <w:marBottom w:val="0"/>
                                          <w:divBdr>
                                            <w:top w:val="none" w:sz="0" w:space="0" w:color="auto"/>
                                            <w:left w:val="none" w:sz="0" w:space="0" w:color="auto"/>
                                            <w:bottom w:val="none" w:sz="0" w:space="0" w:color="auto"/>
                                            <w:right w:val="none" w:sz="0" w:space="0" w:color="auto"/>
                                          </w:divBdr>
                                          <w:divsChild>
                                            <w:div w:id="708989909">
                                              <w:marLeft w:val="0"/>
                                              <w:marRight w:val="0"/>
                                              <w:marTop w:val="0"/>
                                              <w:marBottom w:val="0"/>
                                              <w:divBdr>
                                                <w:top w:val="none" w:sz="0" w:space="0" w:color="auto"/>
                                                <w:left w:val="none" w:sz="0" w:space="0" w:color="auto"/>
                                                <w:bottom w:val="none" w:sz="0" w:space="0" w:color="auto"/>
                                                <w:right w:val="none" w:sz="0" w:space="0" w:color="auto"/>
                                              </w:divBdr>
                                              <w:divsChild>
                                                <w:div w:id="1039358817">
                                                  <w:marLeft w:val="0"/>
                                                  <w:marRight w:val="0"/>
                                                  <w:marTop w:val="0"/>
                                                  <w:marBottom w:val="0"/>
                                                  <w:divBdr>
                                                    <w:top w:val="none" w:sz="0" w:space="0" w:color="auto"/>
                                                    <w:left w:val="none" w:sz="0" w:space="0" w:color="auto"/>
                                                    <w:bottom w:val="none" w:sz="0" w:space="0" w:color="auto"/>
                                                    <w:right w:val="none" w:sz="0" w:space="0" w:color="auto"/>
                                                  </w:divBdr>
                                                  <w:divsChild>
                                                    <w:div w:id="345644202">
                                                      <w:marLeft w:val="0"/>
                                                      <w:marRight w:val="0"/>
                                                      <w:marTop w:val="0"/>
                                                      <w:marBottom w:val="0"/>
                                                      <w:divBdr>
                                                        <w:top w:val="none" w:sz="0" w:space="0" w:color="auto"/>
                                                        <w:left w:val="none" w:sz="0" w:space="0" w:color="auto"/>
                                                        <w:bottom w:val="none" w:sz="0" w:space="0" w:color="auto"/>
                                                        <w:right w:val="none" w:sz="0" w:space="0" w:color="auto"/>
                                                      </w:divBdr>
                                                      <w:divsChild>
                                                        <w:div w:id="44689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1541667">
      <w:bodyDiv w:val="1"/>
      <w:marLeft w:val="0"/>
      <w:marRight w:val="0"/>
      <w:marTop w:val="0"/>
      <w:marBottom w:val="0"/>
      <w:divBdr>
        <w:top w:val="none" w:sz="0" w:space="0" w:color="auto"/>
        <w:left w:val="none" w:sz="0" w:space="0" w:color="auto"/>
        <w:bottom w:val="none" w:sz="0" w:space="0" w:color="auto"/>
        <w:right w:val="none" w:sz="0" w:space="0" w:color="auto"/>
      </w:divBdr>
    </w:div>
    <w:div w:id="1011685695">
      <w:bodyDiv w:val="1"/>
      <w:marLeft w:val="0"/>
      <w:marRight w:val="0"/>
      <w:marTop w:val="0"/>
      <w:marBottom w:val="0"/>
      <w:divBdr>
        <w:top w:val="none" w:sz="0" w:space="0" w:color="auto"/>
        <w:left w:val="none" w:sz="0" w:space="0" w:color="auto"/>
        <w:bottom w:val="none" w:sz="0" w:space="0" w:color="auto"/>
        <w:right w:val="none" w:sz="0" w:space="0" w:color="auto"/>
      </w:divBdr>
    </w:div>
    <w:div w:id="1013999207">
      <w:bodyDiv w:val="1"/>
      <w:marLeft w:val="0"/>
      <w:marRight w:val="0"/>
      <w:marTop w:val="0"/>
      <w:marBottom w:val="0"/>
      <w:divBdr>
        <w:top w:val="none" w:sz="0" w:space="0" w:color="auto"/>
        <w:left w:val="none" w:sz="0" w:space="0" w:color="auto"/>
        <w:bottom w:val="none" w:sz="0" w:space="0" w:color="auto"/>
        <w:right w:val="none" w:sz="0" w:space="0" w:color="auto"/>
      </w:divBdr>
    </w:div>
    <w:div w:id="1017151401">
      <w:bodyDiv w:val="1"/>
      <w:marLeft w:val="0"/>
      <w:marRight w:val="0"/>
      <w:marTop w:val="0"/>
      <w:marBottom w:val="0"/>
      <w:divBdr>
        <w:top w:val="none" w:sz="0" w:space="0" w:color="auto"/>
        <w:left w:val="none" w:sz="0" w:space="0" w:color="auto"/>
        <w:bottom w:val="none" w:sz="0" w:space="0" w:color="auto"/>
        <w:right w:val="none" w:sz="0" w:space="0" w:color="auto"/>
      </w:divBdr>
    </w:div>
    <w:div w:id="1031341962">
      <w:bodyDiv w:val="1"/>
      <w:marLeft w:val="0"/>
      <w:marRight w:val="0"/>
      <w:marTop w:val="0"/>
      <w:marBottom w:val="0"/>
      <w:divBdr>
        <w:top w:val="none" w:sz="0" w:space="0" w:color="auto"/>
        <w:left w:val="none" w:sz="0" w:space="0" w:color="auto"/>
        <w:bottom w:val="none" w:sz="0" w:space="0" w:color="auto"/>
        <w:right w:val="none" w:sz="0" w:space="0" w:color="auto"/>
      </w:divBdr>
    </w:div>
    <w:div w:id="1056129101">
      <w:bodyDiv w:val="1"/>
      <w:marLeft w:val="0"/>
      <w:marRight w:val="0"/>
      <w:marTop w:val="0"/>
      <w:marBottom w:val="0"/>
      <w:divBdr>
        <w:top w:val="none" w:sz="0" w:space="0" w:color="auto"/>
        <w:left w:val="none" w:sz="0" w:space="0" w:color="auto"/>
        <w:bottom w:val="none" w:sz="0" w:space="0" w:color="auto"/>
        <w:right w:val="none" w:sz="0" w:space="0" w:color="auto"/>
      </w:divBdr>
    </w:div>
    <w:div w:id="1059010186">
      <w:bodyDiv w:val="1"/>
      <w:marLeft w:val="0"/>
      <w:marRight w:val="0"/>
      <w:marTop w:val="0"/>
      <w:marBottom w:val="0"/>
      <w:divBdr>
        <w:top w:val="none" w:sz="0" w:space="0" w:color="auto"/>
        <w:left w:val="none" w:sz="0" w:space="0" w:color="auto"/>
        <w:bottom w:val="none" w:sz="0" w:space="0" w:color="auto"/>
        <w:right w:val="none" w:sz="0" w:space="0" w:color="auto"/>
      </w:divBdr>
    </w:div>
    <w:div w:id="1062099064">
      <w:bodyDiv w:val="1"/>
      <w:marLeft w:val="0"/>
      <w:marRight w:val="0"/>
      <w:marTop w:val="0"/>
      <w:marBottom w:val="0"/>
      <w:divBdr>
        <w:top w:val="none" w:sz="0" w:space="0" w:color="auto"/>
        <w:left w:val="none" w:sz="0" w:space="0" w:color="auto"/>
        <w:bottom w:val="none" w:sz="0" w:space="0" w:color="auto"/>
        <w:right w:val="none" w:sz="0" w:space="0" w:color="auto"/>
      </w:divBdr>
    </w:div>
    <w:div w:id="1064912612">
      <w:bodyDiv w:val="1"/>
      <w:marLeft w:val="0"/>
      <w:marRight w:val="0"/>
      <w:marTop w:val="0"/>
      <w:marBottom w:val="0"/>
      <w:divBdr>
        <w:top w:val="none" w:sz="0" w:space="0" w:color="auto"/>
        <w:left w:val="none" w:sz="0" w:space="0" w:color="auto"/>
        <w:bottom w:val="none" w:sz="0" w:space="0" w:color="auto"/>
        <w:right w:val="none" w:sz="0" w:space="0" w:color="auto"/>
      </w:divBdr>
    </w:div>
    <w:div w:id="1071850418">
      <w:bodyDiv w:val="1"/>
      <w:marLeft w:val="0"/>
      <w:marRight w:val="0"/>
      <w:marTop w:val="0"/>
      <w:marBottom w:val="0"/>
      <w:divBdr>
        <w:top w:val="none" w:sz="0" w:space="0" w:color="auto"/>
        <w:left w:val="none" w:sz="0" w:space="0" w:color="auto"/>
        <w:bottom w:val="none" w:sz="0" w:space="0" w:color="auto"/>
        <w:right w:val="none" w:sz="0" w:space="0" w:color="auto"/>
      </w:divBdr>
    </w:div>
    <w:div w:id="1108311067">
      <w:bodyDiv w:val="1"/>
      <w:marLeft w:val="0"/>
      <w:marRight w:val="0"/>
      <w:marTop w:val="0"/>
      <w:marBottom w:val="0"/>
      <w:divBdr>
        <w:top w:val="none" w:sz="0" w:space="0" w:color="auto"/>
        <w:left w:val="none" w:sz="0" w:space="0" w:color="auto"/>
        <w:bottom w:val="none" w:sz="0" w:space="0" w:color="auto"/>
        <w:right w:val="none" w:sz="0" w:space="0" w:color="auto"/>
      </w:divBdr>
    </w:div>
    <w:div w:id="1187795134">
      <w:bodyDiv w:val="1"/>
      <w:marLeft w:val="0"/>
      <w:marRight w:val="0"/>
      <w:marTop w:val="0"/>
      <w:marBottom w:val="0"/>
      <w:divBdr>
        <w:top w:val="none" w:sz="0" w:space="0" w:color="auto"/>
        <w:left w:val="none" w:sz="0" w:space="0" w:color="auto"/>
        <w:bottom w:val="none" w:sz="0" w:space="0" w:color="auto"/>
        <w:right w:val="none" w:sz="0" w:space="0" w:color="auto"/>
      </w:divBdr>
      <w:divsChild>
        <w:div w:id="19161213">
          <w:marLeft w:val="0"/>
          <w:marRight w:val="0"/>
          <w:marTop w:val="0"/>
          <w:marBottom w:val="0"/>
          <w:divBdr>
            <w:top w:val="none" w:sz="0" w:space="0" w:color="auto"/>
            <w:left w:val="none" w:sz="0" w:space="0" w:color="auto"/>
            <w:bottom w:val="none" w:sz="0" w:space="0" w:color="auto"/>
            <w:right w:val="none" w:sz="0" w:space="0" w:color="auto"/>
          </w:divBdr>
          <w:divsChild>
            <w:div w:id="86391892">
              <w:marLeft w:val="0"/>
              <w:marRight w:val="0"/>
              <w:marTop w:val="0"/>
              <w:marBottom w:val="0"/>
              <w:divBdr>
                <w:top w:val="none" w:sz="0" w:space="0" w:color="auto"/>
                <w:left w:val="none" w:sz="0" w:space="0" w:color="auto"/>
                <w:bottom w:val="none" w:sz="0" w:space="0" w:color="auto"/>
                <w:right w:val="none" w:sz="0" w:space="0" w:color="auto"/>
              </w:divBdr>
              <w:divsChild>
                <w:div w:id="1929734245">
                  <w:marLeft w:val="0"/>
                  <w:marRight w:val="0"/>
                  <w:marTop w:val="0"/>
                  <w:marBottom w:val="0"/>
                  <w:divBdr>
                    <w:top w:val="none" w:sz="0" w:space="0" w:color="auto"/>
                    <w:left w:val="none" w:sz="0" w:space="0" w:color="auto"/>
                    <w:bottom w:val="none" w:sz="0" w:space="0" w:color="auto"/>
                    <w:right w:val="none" w:sz="0" w:space="0" w:color="auto"/>
                  </w:divBdr>
                  <w:divsChild>
                    <w:div w:id="1709330938">
                      <w:marLeft w:val="0"/>
                      <w:marRight w:val="0"/>
                      <w:marTop w:val="0"/>
                      <w:marBottom w:val="0"/>
                      <w:divBdr>
                        <w:top w:val="none" w:sz="0" w:space="0" w:color="auto"/>
                        <w:left w:val="none" w:sz="0" w:space="0" w:color="auto"/>
                        <w:bottom w:val="none" w:sz="0" w:space="0" w:color="auto"/>
                        <w:right w:val="none" w:sz="0" w:space="0" w:color="auto"/>
                      </w:divBdr>
                      <w:divsChild>
                        <w:div w:id="1628242460">
                          <w:marLeft w:val="0"/>
                          <w:marRight w:val="0"/>
                          <w:marTop w:val="0"/>
                          <w:marBottom w:val="0"/>
                          <w:divBdr>
                            <w:top w:val="none" w:sz="0" w:space="0" w:color="auto"/>
                            <w:left w:val="none" w:sz="0" w:space="0" w:color="auto"/>
                            <w:bottom w:val="none" w:sz="0" w:space="0" w:color="auto"/>
                            <w:right w:val="none" w:sz="0" w:space="0" w:color="auto"/>
                          </w:divBdr>
                          <w:divsChild>
                            <w:div w:id="447238923">
                              <w:marLeft w:val="0"/>
                              <w:marRight w:val="0"/>
                              <w:marTop w:val="0"/>
                              <w:marBottom w:val="0"/>
                              <w:divBdr>
                                <w:top w:val="none" w:sz="0" w:space="0" w:color="auto"/>
                                <w:left w:val="none" w:sz="0" w:space="0" w:color="auto"/>
                                <w:bottom w:val="none" w:sz="0" w:space="0" w:color="auto"/>
                                <w:right w:val="none" w:sz="0" w:space="0" w:color="auto"/>
                              </w:divBdr>
                              <w:divsChild>
                                <w:div w:id="1875730856">
                                  <w:marLeft w:val="0"/>
                                  <w:marRight w:val="0"/>
                                  <w:marTop w:val="0"/>
                                  <w:marBottom w:val="0"/>
                                  <w:divBdr>
                                    <w:top w:val="none" w:sz="0" w:space="0" w:color="auto"/>
                                    <w:left w:val="none" w:sz="0" w:space="0" w:color="auto"/>
                                    <w:bottom w:val="none" w:sz="0" w:space="0" w:color="auto"/>
                                    <w:right w:val="none" w:sz="0" w:space="0" w:color="auto"/>
                                  </w:divBdr>
                                  <w:divsChild>
                                    <w:div w:id="1570268550">
                                      <w:marLeft w:val="0"/>
                                      <w:marRight w:val="0"/>
                                      <w:marTop w:val="0"/>
                                      <w:marBottom w:val="0"/>
                                      <w:divBdr>
                                        <w:top w:val="none" w:sz="0" w:space="0" w:color="auto"/>
                                        <w:left w:val="none" w:sz="0" w:space="0" w:color="auto"/>
                                        <w:bottom w:val="none" w:sz="0" w:space="0" w:color="auto"/>
                                        <w:right w:val="none" w:sz="0" w:space="0" w:color="auto"/>
                                      </w:divBdr>
                                      <w:divsChild>
                                        <w:div w:id="365837078">
                                          <w:marLeft w:val="0"/>
                                          <w:marRight w:val="0"/>
                                          <w:marTop w:val="0"/>
                                          <w:marBottom w:val="0"/>
                                          <w:divBdr>
                                            <w:top w:val="none" w:sz="0" w:space="0" w:color="auto"/>
                                            <w:left w:val="none" w:sz="0" w:space="0" w:color="auto"/>
                                            <w:bottom w:val="none" w:sz="0" w:space="0" w:color="auto"/>
                                            <w:right w:val="none" w:sz="0" w:space="0" w:color="auto"/>
                                          </w:divBdr>
                                          <w:divsChild>
                                            <w:div w:id="2040471812">
                                              <w:marLeft w:val="0"/>
                                              <w:marRight w:val="0"/>
                                              <w:marTop w:val="0"/>
                                              <w:marBottom w:val="0"/>
                                              <w:divBdr>
                                                <w:top w:val="none" w:sz="0" w:space="0" w:color="auto"/>
                                                <w:left w:val="none" w:sz="0" w:space="0" w:color="auto"/>
                                                <w:bottom w:val="none" w:sz="0" w:space="0" w:color="auto"/>
                                                <w:right w:val="none" w:sz="0" w:space="0" w:color="auto"/>
                                              </w:divBdr>
                                              <w:divsChild>
                                                <w:div w:id="296566875">
                                                  <w:marLeft w:val="0"/>
                                                  <w:marRight w:val="0"/>
                                                  <w:marTop w:val="0"/>
                                                  <w:marBottom w:val="0"/>
                                                  <w:divBdr>
                                                    <w:top w:val="none" w:sz="0" w:space="0" w:color="auto"/>
                                                    <w:left w:val="none" w:sz="0" w:space="0" w:color="auto"/>
                                                    <w:bottom w:val="none" w:sz="0" w:space="0" w:color="auto"/>
                                                    <w:right w:val="none" w:sz="0" w:space="0" w:color="auto"/>
                                                  </w:divBdr>
                                                  <w:divsChild>
                                                    <w:div w:id="1971859830">
                                                      <w:marLeft w:val="0"/>
                                                      <w:marRight w:val="0"/>
                                                      <w:marTop w:val="0"/>
                                                      <w:marBottom w:val="0"/>
                                                      <w:divBdr>
                                                        <w:top w:val="none" w:sz="0" w:space="0" w:color="auto"/>
                                                        <w:left w:val="none" w:sz="0" w:space="0" w:color="auto"/>
                                                        <w:bottom w:val="none" w:sz="0" w:space="0" w:color="auto"/>
                                                        <w:right w:val="none" w:sz="0" w:space="0" w:color="auto"/>
                                                      </w:divBdr>
                                                      <w:divsChild>
                                                        <w:div w:id="9622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5897719">
      <w:bodyDiv w:val="1"/>
      <w:marLeft w:val="0"/>
      <w:marRight w:val="0"/>
      <w:marTop w:val="0"/>
      <w:marBottom w:val="0"/>
      <w:divBdr>
        <w:top w:val="none" w:sz="0" w:space="0" w:color="auto"/>
        <w:left w:val="none" w:sz="0" w:space="0" w:color="auto"/>
        <w:bottom w:val="none" w:sz="0" w:space="0" w:color="auto"/>
        <w:right w:val="none" w:sz="0" w:space="0" w:color="auto"/>
      </w:divBdr>
    </w:div>
    <w:div w:id="1246377895">
      <w:bodyDiv w:val="1"/>
      <w:marLeft w:val="0"/>
      <w:marRight w:val="0"/>
      <w:marTop w:val="0"/>
      <w:marBottom w:val="0"/>
      <w:divBdr>
        <w:top w:val="none" w:sz="0" w:space="0" w:color="auto"/>
        <w:left w:val="none" w:sz="0" w:space="0" w:color="auto"/>
        <w:bottom w:val="none" w:sz="0" w:space="0" w:color="auto"/>
        <w:right w:val="none" w:sz="0" w:space="0" w:color="auto"/>
      </w:divBdr>
    </w:div>
    <w:div w:id="1317496766">
      <w:bodyDiv w:val="1"/>
      <w:marLeft w:val="0"/>
      <w:marRight w:val="0"/>
      <w:marTop w:val="0"/>
      <w:marBottom w:val="0"/>
      <w:divBdr>
        <w:top w:val="none" w:sz="0" w:space="0" w:color="auto"/>
        <w:left w:val="none" w:sz="0" w:space="0" w:color="auto"/>
        <w:bottom w:val="none" w:sz="0" w:space="0" w:color="auto"/>
        <w:right w:val="none" w:sz="0" w:space="0" w:color="auto"/>
      </w:divBdr>
    </w:div>
    <w:div w:id="1353650573">
      <w:bodyDiv w:val="1"/>
      <w:marLeft w:val="0"/>
      <w:marRight w:val="0"/>
      <w:marTop w:val="0"/>
      <w:marBottom w:val="0"/>
      <w:divBdr>
        <w:top w:val="none" w:sz="0" w:space="0" w:color="auto"/>
        <w:left w:val="none" w:sz="0" w:space="0" w:color="auto"/>
        <w:bottom w:val="none" w:sz="0" w:space="0" w:color="auto"/>
        <w:right w:val="none" w:sz="0" w:space="0" w:color="auto"/>
      </w:divBdr>
    </w:div>
    <w:div w:id="1373190409">
      <w:bodyDiv w:val="1"/>
      <w:marLeft w:val="0"/>
      <w:marRight w:val="0"/>
      <w:marTop w:val="0"/>
      <w:marBottom w:val="0"/>
      <w:divBdr>
        <w:top w:val="none" w:sz="0" w:space="0" w:color="auto"/>
        <w:left w:val="none" w:sz="0" w:space="0" w:color="auto"/>
        <w:bottom w:val="none" w:sz="0" w:space="0" w:color="auto"/>
        <w:right w:val="none" w:sz="0" w:space="0" w:color="auto"/>
      </w:divBdr>
    </w:div>
    <w:div w:id="1401171529">
      <w:bodyDiv w:val="1"/>
      <w:marLeft w:val="0"/>
      <w:marRight w:val="0"/>
      <w:marTop w:val="0"/>
      <w:marBottom w:val="0"/>
      <w:divBdr>
        <w:top w:val="none" w:sz="0" w:space="0" w:color="auto"/>
        <w:left w:val="none" w:sz="0" w:space="0" w:color="auto"/>
        <w:bottom w:val="none" w:sz="0" w:space="0" w:color="auto"/>
        <w:right w:val="none" w:sz="0" w:space="0" w:color="auto"/>
      </w:divBdr>
    </w:div>
    <w:div w:id="1410418467">
      <w:bodyDiv w:val="1"/>
      <w:marLeft w:val="0"/>
      <w:marRight w:val="0"/>
      <w:marTop w:val="0"/>
      <w:marBottom w:val="0"/>
      <w:divBdr>
        <w:top w:val="none" w:sz="0" w:space="0" w:color="auto"/>
        <w:left w:val="none" w:sz="0" w:space="0" w:color="auto"/>
        <w:bottom w:val="none" w:sz="0" w:space="0" w:color="auto"/>
        <w:right w:val="none" w:sz="0" w:space="0" w:color="auto"/>
      </w:divBdr>
    </w:div>
    <w:div w:id="1474836502">
      <w:bodyDiv w:val="1"/>
      <w:marLeft w:val="0"/>
      <w:marRight w:val="0"/>
      <w:marTop w:val="0"/>
      <w:marBottom w:val="0"/>
      <w:divBdr>
        <w:top w:val="none" w:sz="0" w:space="0" w:color="auto"/>
        <w:left w:val="none" w:sz="0" w:space="0" w:color="auto"/>
        <w:bottom w:val="none" w:sz="0" w:space="0" w:color="auto"/>
        <w:right w:val="none" w:sz="0" w:space="0" w:color="auto"/>
      </w:divBdr>
    </w:div>
    <w:div w:id="1483233660">
      <w:bodyDiv w:val="1"/>
      <w:marLeft w:val="0"/>
      <w:marRight w:val="0"/>
      <w:marTop w:val="0"/>
      <w:marBottom w:val="0"/>
      <w:divBdr>
        <w:top w:val="none" w:sz="0" w:space="0" w:color="auto"/>
        <w:left w:val="none" w:sz="0" w:space="0" w:color="auto"/>
        <w:bottom w:val="none" w:sz="0" w:space="0" w:color="auto"/>
        <w:right w:val="none" w:sz="0" w:space="0" w:color="auto"/>
      </w:divBdr>
    </w:div>
    <w:div w:id="1505439798">
      <w:bodyDiv w:val="1"/>
      <w:marLeft w:val="0"/>
      <w:marRight w:val="0"/>
      <w:marTop w:val="0"/>
      <w:marBottom w:val="0"/>
      <w:divBdr>
        <w:top w:val="none" w:sz="0" w:space="0" w:color="auto"/>
        <w:left w:val="none" w:sz="0" w:space="0" w:color="auto"/>
        <w:bottom w:val="none" w:sz="0" w:space="0" w:color="auto"/>
        <w:right w:val="none" w:sz="0" w:space="0" w:color="auto"/>
      </w:divBdr>
      <w:divsChild>
        <w:div w:id="462620958">
          <w:marLeft w:val="0"/>
          <w:marRight w:val="0"/>
          <w:marTop w:val="0"/>
          <w:marBottom w:val="0"/>
          <w:divBdr>
            <w:top w:val="none" w:sz="0" w:space="0" w:color="auto"/>
            <w:left w:val="none" w:sz="0" w:space="0" w:color="auto"/>
            <w:bottom w:val="none" w:sz="0" w:space="0" w:color="auto"/>
            <w:right w:val="none" w:sz="0" w:space="0" w:color="auto"/>
          </w:divBdr>
          <w:divsChild>
            <w:div w:id="450712402">
              <w:marLeft w:val="0"/>
              <w:marRight w:val="0"/>
              <w:marTop w:val="0"/>
              <w:marBottom w:val="0"/>
              <w:divBdr>
                <w:top w:val="none" w:sz="0" w:space="0" w:color="auto"/>
                <w:left w:val="none" w:sz="0" w:space="0" w:color="auto"/>
                <w:bottom w:val="none" w:sz="0" w:space="0" w:color="auto"/>
                <w:right w:val="none" w:sz="0" w:space="0" w:color="auto"/>
              </w:divBdr>
              <w:divsChild>
                <w:div w:id="20279628">
                  <w:marLeft w:val="0"/>
                  <w:marRight w:val="0"/>
                  <w:marTop w:val="0"/>
                  <w:marBottom w:val="0"/>
                  <w:divBdr>
                    <w:top w:val="none" w:sz="0" w:space="0" w:color="auto"/>
                    <w:left w:val="none" w:sz="0" w:space="0" w:color="auto"/>
                    <w:bottom w:val="none" w:sz="0" w:space="0" w:color="auto"/>
                    <w:right w:val="none" w:sz="0" w:space="0" w:color="auto"/>
                  </w:divBdr>
                  <w:divsChild>
                    <w:div w:id="786774574">
                      <w:marLeft w:val="0"/>
                      <w:marRight w:val="0"/>
                      <w:marTop w:val="0"/>
                      <w:marBottom w:val="0"/>
                      <w:divBdr>
                        <w:top w:val="none" w:sz="0" w:space="0" w:color="auto"/>
                        <w:left w:val="none" w:sz="0" w:space="0" w:color="auto"/>
                        <w:bottom w:val="none" w:sz="0" w:space="0" w:color="auto"/>
                        <w:right w:val="none" w:sz="0" w:space="0" w:color="auto"/>
                      </w:divBdr>
                      <w:divsChild>
                        <w:div w:id="1485200348">
                          <w:marLeft w:val="0"/>
                          <w:marRight w:val="0"/>
                          <w:marTop w:val="0"/>
                          <w:marBottom w:val="0"/>
                          <w:divBdr>
                            <w:top w:val="none" w:sz="0" w:space="0" w:color="auto"/>
                            <w:left w:val="none" w:sz="0" w:space="0" w:color="auto"/>
                            <w:bottom w:val="none" w:sz="0" w:space="0" w:color="auto"/>
                            <w:right w:val="none" w:sz="0" w:space="0" w:color="auto"/>
                          </w:divBdr>
                          <w:divsChild>
                            <w:div w:id="754210721">
                              <w:marLeft w:val="0"/>
                              <w:marRight w:val="0"/>
                              <w:marTop w:val="0"/>
                              <w:marBottom w:val="0"/>
                              <w:divBdr>
                                <w:top w:val="none" w:sz="0" w:space="0" w:color="auto"/>
                                <w:left w:val="none" w:sz="0" w:space="0" w:color="auto"/>
                                <w:bottom w:val="none" w:sz="0" w:space="0" w:color="auto"/>
                                <w:right w:val="none" w:sz="0" w:space="0" w:color="auto"/>
                              </w:divBdr>
                              <w:divsChild>
                                <w:div w:id="2043901408">
                                  <w:marLeft w:val="0"/>
                                  <w:marRight w:val="0"/>
                                  <w:marTop w:val="0"/>
                                  <w:marBottom w:val="0"/>
                                  <w:divBdr>
                                    <w:top w:val="none" w:sz="0" w:space="0" w:color="auto"/>
                                    <w:left w:val="none" w:sz="0" w:space="0" w:color="auto"/>
                                    <w:bottom w:val="none" w:sz="0" w:space="0" w:color="auto"/>
                                    <w:right w:val="none" w:sz="0" w:space="0" w:color="auto"/>
                                  </w:divBdr>
                                  <w:divsChild>
                                    <w:div w:id="505292225">
                                      <w:marLeft w:val="0"/>
                                      <w:marRight w:val="0"/>
                                      <w:marTop w:val="0"/>
                                      <w:marBottom w:val="0"/>
                                      <w:divBdr>
                                        <w:top w:val="none" w:sz="0" w:space="0" w:color="auto"/>
                                        <w:left w:val="none" w:sz="0" w:space="0" w:color="auto"/>
                                        <w:bottom w:val="none" w:sz="0" w:space="0" w:color="auto"/>
                                        <w:right w:val="none" w:sz="0" w:space="0" w:color="auto"/>
                                      </w:divBdr>
                                      <w:divsChild>
                                        <w:div w:id="1466197160">
                                          <w:marLeft w:val="0"/>
                                          <w:marRight w:val="0"/>
                                          <w:marTop w:val="0"/>
                                          <w:marBottom w:val="0"/>
                                          <w:divBdr>
                                            <w:top w:val="none" w:sz="0" w:space="0" w:color="auto"/>
                                            <w:left w:val="none" w:sz="0" w:space="0" w:color="auto"/>
                                            <w:bottom w:val="none" w:sz="0" w:space="0" w:color="auto"/>
                                            <w:right w:val="none" w:sz="0" w:space="0" w:color="auto"/>
                                          </w:divBdr>
                                          <w:divsChild>
                                            <w:div w:id="2026666585">
                                              <w:marLeft w:val="0"/>
                                              <w:marRight w:val="0"/>
                                              <w:marTop w:val="0"/>
                                              <w:marBottom w:val="0"/>
                                              <w:divBdr>
                                                <w:top w:val="none" w:sz="0" w:space="0" w:color="auto"/>
                                                <w:left w:val="none" w:sz="0" w:space="0" w:color="auto"/>
                                                <w:bottom w:val="none" w:sz="0" w:space="0" w:color="auto"/>
                                                <w:right w:val="none" w:sz="0" w:space="0" w:color="auto"/>
                                              </w:divBdr>
                                              <w:divsChild>
                                                <w:div w:id="411312754">
                                                  <w:marLeft w:val="0"/>
                                                  <w:marRight w:val="0"/>
                                                  <w:marTop w:val="0"/>
                                                  <w:marBottom w:val="0"/>
                                                  <w:divBdr>
                                                    <w:top w:val="none" w:sz="0" w:space="0" w:color="auto"/>
                                                    <w:left w:val="none" w:sz="0" w:space="0" w:color="auto"/>
                                                    <w:bottom w:val="none" w:sz="0" w:space="0" w:color="auto"/>
                                                    <w:right w:val="none" w:sz="0" w:space="0" w:color="auto"/>
                                                  </w:divBdr>
                                                  <w:divsChild>
                                                    <w:div w:id="719018845">
                                                      <w:marLeft w:val="0"/>
                                                      <w:marRight w:val="0"/>
                                                      <w:marTop w:val="0"/>
                                                      <w:marBottom w:val="0"/>
                                                      <w:divBdr>
                                                        <w:top w:val="none" w:sz="0" w:space="0" w:color="auto"/>
                                                        <w:left w:val="none" w:sz="0" w:space="0" w:color="auto"/>
                                                        <w:bottom w:val="none" w:sz="0" w:space="0" w:color="auto"/>
                                                        <w:right w:val="none" w:sz="0" w:space="0" w:color="auto"/>
                                                      </w:divBdr>
                                                      <w:divsChild>
                                                        <w:div w:id="549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1552141">
      <w:bodyDiv w:val="1"/>
      <w:marLeft w:val="0"/>
      <w:marRight w:val="0"/>
      <w:marTop w:val="0"/>
      <w:marBottom w:val="0"/>
      <w:divBdr>
        <w:top w:val="none" w:sz="0" w:space="0" w:color="auto"/>
        <w:left w:val="none" w:sz="0" w:space="0" w:color="auto"/>
        <w:bottom w:val="none" w:sz="0" w:space="0" w:color="auto"/>
        <w:right w:val="none" w:sz="0" w:space="0" w:color="auto"/>
      </w:divBdr>
    </w:div>
    <w:div w:id="1544824819">
      <w:bodyDiv w:val="1"/>
      <w:marLeft w:val="0"/>
      <w:marRight w:val="0"/>
      <w:marTop w:val="0"/>
      <w:marBottom w:val="0"/>
      <w:divBdr>
        <w:top w:val="none" w:sz="0" w:space="0" w:color="auto"/>
        <w:left w:val="none" w:sz="0" w:space="0" w:color="auto"/>
        <w:bottom w:val="none" w:sz="0" w:space="0" w:color="auto"/>
        <w:right w:val="none" w:sz="0" w:space="0" w:color="auto"/>
      </w:divBdr>
      <w:divsChild>
        <w:div w:id="1972437351">
          <w:marLeft w:val="0"/>
          <w:marRight w:val="0"/>
          <w:marTop w:val="0"/>
          <w:marBottom w:val="0"/>
          <w:divBdr>
            <w:top w:val="none" w:sz="0" w:space="0" w:color="auto"/>
            <w:left w:val="none" w:sz="0" w:space="0" w:color="auto"/>
            <w:bottom w:val="none" w:sz="0" w:space="0" w:color="auto"/>
            <w:right w:val="none" w:sz="0" w:space="0" w:color="auto"/>
          </w:divBdr>
          <w:divsChild>
            <w:div w:id="1217205543">
              <w:marLeft w:val="0"/>
              <w:marRight w:val="0"/>
              <w:marTop w:val="0"/>
              <w:marBottom w:val="0"/>
              <w:divBdr>
                <w:top w:val="none" w:sz="0" w:space="0" w:color="auto"/>
                <w:left w:val="none" w:sz="0" w:space="0" w:color="auto"/>
                <w:bottom w:val="none" w:sz="0" w:space="0" w:color="auto"/>
                <w:right w:val="none" w:sz="0" w:space="0" w:color="auto"/>
              </w:divBdr>
              <w:divsChild>
                <w:div w:id="1674212856">
                  <w:marLeft w:val="0"/>
                  <w:marRight w:val="0"/>
                  <w:marTop w:val="0"/>
                  <w:marBottom w:val="0"/>
                  <w:divBdr>
                    <w:top w:val="none" w:sz="0" w:space="0" w:color="auto"/>
                    <w:left w:val="none" w:sz="0" w:space="0" w:color="auto"/>
                    <w:bottom w:val="none" w:sz="0" w:space="0" w:color="auto"/>
                    <w:right w:val="none" w:sz="0" w:space="0" w:color="auto"/>
                  </w:divBdr>
                  <w:divsChild>
                    <w:div w:id="1886789730">
                      <w:marLeft w:val="0"/>
                      <w:marRight w:val="0"/>
                      <w:marTop w:val="0"/>
                      <w:marBottom w:val="0"/>
                      <w:divBdr>
                        <w:top w:val="none" w:sz="0" w:space="0" w:color="auto"/>
                        <w:left w:val="none" w:sz="0" w:space="0" w:color="auto"/>
                        <w:bottom w:val="none" w:sz="0" w:space="0" w:color="auto"/>
                        <w:right w:val="none" w:sz="0" w:space="0" w:color="auto"/>
                      </w:divBdr>
                      <w:divsChild>
                        <w:div w:id="1736705611">
                          <w:marLeft w:val="0"/>
                          <w:marRight w:val="0"/>
                          <w:marTop w:val="0"/>
                          <w:marBottom w:val="0"/>
                          <w:divBdr>
                            <w:top w:val="none" w:sz="0" w:space="0" w:color="auto"/>
                            <w:left w:val="none" w:sz="0" w:space="0" w:color="auto"/>
                            <w:bottom w:val="none" w:sz="0" w:space="0" w:color="auto"/>
                            <w:right w:val="none" w:sz="0" w:space="0" w:color="auto"/>
                          </w:divBdr>
                          <w:divsChild>
                            <w:div w:id="252518889">
                              <w:marLeft w:val="0"/>
                              <w:marRight w:val="0"/>
                              <w:marTop w:val="0"/>
                              <w:marBottom w:val="0"/>
                              <w:divBdr>
                                <w:top w:val="none" w:sz="0" w:space="0" w:color="auto"/>
                                <w:left w:val="none" w:sz="0" w:space="0" w:color="auto"/>
                                <w:bottom w:val="none" w:sz="0" w:space="0" w:color="auto"/>
                                <w:right w:val="none" w:sz="0" w:space="0" w:color="auto"/>
                              </w:divBdr>
                              <w:divsChild>
                                <w:div w:id="1254238128">
                                  <w:marLeft w:val="0"/>
                                  <w:marRight w:val="0"/>
                                  <w:marTop w:val="0"/>
                                  <w:marBottom w:val="0"/>
                                  <w:divBdr>
                                    <w:top w:val="none" w:sz="0" w:space="0" w:color="auto"/>
                                    <w:left w:val="none" w:sz="0" w:space="0" w:color="auto"/>
                                    <w:bottom w:val="none" w:sz="0" w:space="0" w:color="auto"/>
                                    <w:right w:val="none" w:sz="0" w:space="0" w:color="auto"/>
                                  </w:divBdr>
                                  <w:divsChild>
                                    <w:div w:id="1734695437">
                                      <w:marLeft w:val="0"/>
                                      <w:marRight w:val="0"/>
                                      <w:marTop w:val="0"/>
                                      <w:marBottom w:val="0"/>
                                      <w:divBdr>
                                        <w:top w:val="none" w:sz="0" w:space="0" w:color="auto"/>
                                        <w:left w:val="none" w:sz="0" w:space="0" w:color="auto"/>
                                        <w:bottom w:val="none" w:sz="0" w:space="0" w:color="auto"/>
                                        <w:right w:val="none" w:sz="0" w:space="0" w:color="auto"/>
                                      </w:divBdr>
                                      <w:divsChild>
                                        <w:div w:id="141386725">
                                          <w:marLeft w:val="0"/>
                                          <w:marRight w:val="0"/>
                                          <w:marTop w:val="0"/>
                                          <w:marBottom w:val="0"/>
                                          <w:divBdr>
                                            <w:top w:val="none" w:sz="0" w:space="0" w:color="auto"/>
                                            <w:left w:val="none" w:sz="0" w:space="0" w:color="auto"/>
                                            <w:bottom w:val="none" w:sz="0" w:space="0" w:color="auto"/>
                                            <w:right w:val="none" w:sz="0" w:space="0" w:color="auto"/>
                                          </w:divBdr>
                                          <w:divsChild>
                                            <w:div w:id="2124575378">
                                              <w:marLeft w:val="0"/>
                                              <w:marRight w:val="0"/>
                                              <w:marTop w:val="0"/>
                                              <w:marBottom w:val="0"/>
                                              <w:divBdr>
                                                <w:top w:val="none" w:sz="0" w:space="0" w:color="auto"/>
                                                <w:left w:val="none" w:sz="0" w:space="0" w:color="auto"/>
                                                <w:bottom w:val="none" w:sz="0" w:space="0" w:color="auto"/>
                                                <w:right w:val="none" w:sz="0" w:space="0" w:color="auto"/>
                                              </w:divBdr>
                                              <w:divsChild>
                                                <w:div w:id="815535722">
                                                  <w:marLeft w:val="0"/>
                                                  <w:marRight w:val="0"/>
                                                  <w:marTop w:val="0"/>
                                                  <w:marBottom w:val="0"/>
                                                  <w:divBdr>
                                                    <w:top w:val="none" w:sz="0" w:space="0" w:color="auto"/>
                                                    <w:left w:val="none" w:sz="0" w:space="0" w:color="auto"/>
                                                    <w:bottom w:val="none" w:sz="0" w:space="0" w:color="auto"/>
                                                    <w:right w:val="none" w:sz="0" w:space="0" w:color="auto"/>
                                                  </w:divBdr>
                                                  <w:divsChild>
                                                    <w:div w:id="342509771">
                                                      <w:marLeft w:val="0"/>
                                                      <w:marRight w:val="0"/>
                                                      <w:marTop w:val="0"/>
                                                      <w:marBottom w:val="0"/>
                                                      <w:divBdr>
                                                        <w:top w:val="none" w:sz="0" w:space="0" w:color="auto"/>
                                                        <w:left w:val="none" w:sz="0" w:space="0" w:color="auto"/>
                                                        <w:bottom w:val="none" w:sz="0" w:space="0" w:color="auto"/>
                                                        <w:right w:val="none" w:sz="0" w:space="0" w:color="auto"/>
                                                      </w:divBdr>
                                                      <w:divsChild>
                                                        <w:div w:id="19636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2231596">
      <w:bodyDiv w:val="1"/>
      <w:marLeft w:val="0"/>
      <w:marRight w:val="0"/>
      <w:marTop w:val="0"/>
      <w:marBottom w:val="0"/>
      <w:divBdr>
        <w:top w:val="none" w:sz="0" w:space="0" w:color="auto"/>
        <w:left w:val="none" w:sz="0" w:space="0" w:color="auto"/>
        <w:bottom w:val="none" w:sz="0" w:space="0" w:color="auto"/>
        <w:right w:val="none" w:sz="0" w:space="0" w:color="auto"/>
      </w:divBdr>
    </w:div>
    <w:div w:id="1592809815">
      <w:bodyDiv w:val="1"/>
      <w:marLeft w:val="0"/>
      <w:marRight w:val="0"/>
      <w:marTop w:val="0"/>
      <w:marBottom w:val="0"/>
      <w:divBdr>
        <w:top w:val="none" w:sz="0" w:space="0" w:color="auto"/>
        <w:left w:val="none" w:sz="0" w:space="0" w:color="auto"/>
        <w:bottom w:val="none" w:sz="0" w:space="0" w:color="auto"/>
        <w:right w:val="none" w:sz="0" w:space="0" w:color="auto"/>
      </w:divBdr>
    </w:div>
    <w:div w:id="1600872259">
      <w:bodyDiv w:val="1"/>
      <w:marLeft w:val="0"/>
      <w:marRight w:val="0"/>
      <w:marTop w:val="0"/>
      <w:marBottom w:val="0"/>
      <w:divBdr>
        <w:top w:val="none" w:sz="0" w:space="0" w:color="auto"/>
        <w:left w:val="none" w:sz="0" w:space="0" w:color="auto"/>
        <w:bottom w:val="none" w:sz="0" w:space="0" w:color="auto"/>
        <w:right w:val="none" w:sz="0" w:space="0" w:color="auto"/>
      </w:divBdr>
    </w:div>
    <w:div w:id="1614093567">
      <w:bodyDiv w:val="1"/>
      <w:marLeft w:val="0"/>
      <w:marRight w:val="0"/>
      <w:marTop w:val="0"/>
      <w:marBottom w:val="0"/>
      <w:divBdr>
        <w:top w:val="none" w:sz="0" w:space="0" w:color="auto"/>
        <w:left w:val="none" w:sz="0" w:space="0" w:color="auto"/>
        <w:bottom w:val="none" w:sz="0" w:space="0" w:color="auto"/>
        <w:right w:val="none" w:sz="0" w:space="0" w:color="auto"/>
      </w:divBdr>
    </w:div>
    <w:div w:id="1615138584">
      <w:bodyDiv w:val="1"/>
      <w:marLeft w:val="0"/>
      <w:marRight w:val="0"/>
      <w:marTop w:val="0"/>
      <w:marBottom w:val="0"/>
      <w:divBdr>
        <w:top w:val="none" w:sz="0" w:space="0" w:color="auto"/>
        <w:left w:val="none" w:sz="0" w:space="0" w:color="auto"/>
        <w:bottom w:val="none" w:sz="0" w:space="0" w:color="auto"/>
        <w:right w:val="none" w:sz="0" w:space="0" w:color="auto"/>
      </w:divBdr>
    </w:div>
    <w:div w:id="1669092487">
      <w:bodyDiv w:val="1"/>
      <w:marLeft w:val="0"/>
      <w:marRight w:val="0"/>
      <w:marTop w:val="0"/>
      <w:marBottom w:val="0"/>
      <w:divBdr>
        <w:top w:val="none" w:sz="0" w:space="0" w:color="auto"/>
        <w:left w:val="none" w:sz="0" w:space="0" w:color="auto"/>
        <w:bottom w:val="none" w:sz="0" w:space="0" w:color="auto"/>
        <w:right w:val="none" w:sz="0" w:space="0" w:color="auto"/>
      </w:divBdr>
    </w:div>
    <w:div w:id="1689059583">
      <w:bodyDiv w:val="1"/>
      <w:marLeft w:val="0"/>
      <w:marRight w:val="0"/>
      <w:marTop w:val="0"/>
      <w:marBottom w:val="0"/>
      <w:divBdr>
        <w:top w:val="none" w:sz="0" w:space="0" w:color="auto"/>
        <w:left w:val="none" w:sz="0" w:space="0" w:color="auto"/>
        <w:bottom w:val="none" w:sz="0" w:space="0" w:color="auto"/>
        <w:right w:val="none" w:sz="0" w:space="0" w:color="auto"/>
      </w:divBdr>
    </w:div>
    <w:div w:id="1768848233">
      <w:bodyDiv w:val="1"/>
      <w:marLeft w:val="0"/>
      <w:marRight w:val="0"/>
      <w:marTop w:val="0"/>
      <w:marBottom w:val="0"/>
      <w:divBdr>
        <w:top w:val="none" w:sz="0" w:space="0" w:color="auto"/>
        <w:left w:val="none" w:sz="0" w:space="0" w:color="auto"/>
        <w:bottom w:val="none" w:sz="0" w:space="0" w:color="auto"/>
        <w:right w:val="none" w:sz="0" w:space="0" w:color="auto"/>
      </w:divBdr>
    </w:div>
    <w:div w:id="1791630768">
      <w:bodyDiv w:val="1"/>
      <w:marLeft w:val="0"/>
      <w:marRight w:val="0"/>
      <w:marTop w:val="0"/>
      <w:marBottom w:val="0"/>
      <w:divBdr>
        <w:top w:val="none" w:sz="0" w:space="0" w:color="auto"/>
        <w:left w:val="none" w:sz="0" w:space="0" w:color="auto"/>
        <w:bottom w:val="none" w:sz="0" w:space="0" w:color="auto"/>
        <w:right w:val="none" w:sz="0" w:space="0" w:color="auto"/>
      </w:divBdr>
    </w:div>
    <w:div w:id="1809515540">
      <w:bodyDiv w:val="1"/>
      <w:marLeft w:val="0"/>
      <w:marRight w:val="0"/>
      <w:marTop w:val="0"/>
      <w:marBottom w:val="0"/>
      <w:divBdr>
        <w:top w:val="none" w:sz="0" w:space="0" w:color="auto"/>
        <w:left w:val="none" w:sz="0" w:space="0" w:color="auto"/>
        <w:bottom w:val="none" w:sz="0" w:space="0" w:color="auto"/>
        <w:right w:val="none" w:sz="0" w:space="0" w:color="auto"/>
      </w:divBdr>
      <w:divsChild>
        <w:div w:id="1129857165">
          <w:marLeft w:val="0"/>
          <w:marRight w:val="0"/>
          <w:marTop w:val="0"/>
          <w:marBottom w:val="0"/>
          <w:divBdr>
            <w:top w:val="none" w:sz="0" w:space="0" w:color="auto"/>
            <w:left w:val="none" w:sz="0" w:space="0" w:color="auto"/>
            <w:bottom w:val="none" w:sz="0" w:space="0" w:color="auto"/>
            <w:right w:val="none" w:sz="0" w:space="0" w:color="auto"/>
          </w:divBdr>
          <w:divsChild>
            <w:div w:id="1489859767">
              <w:marLeft w:val="0"/>
              <w:marRight w:val="0"/>
              <w:marTop w:val="0"/>
              <w:marBottom w:val="0"/>
              <w:divBdr>
                <w:top w:val="none" w:sz="0" w:space="0" w:color="auto"/>
                <w:left w:val="none" w:sz="0" w:space="0" w:color="auto"/>
                <w:bottom w:val="none" w:sz="0" w:space="0" w:color="auto"/>
                <w:right w:val="none" w:sz="0" w:space="0" w:color="auto"/>
              </w:divBdr>
              <w:divsChild>
                <w:div w:id="411896578">
                  <w:marLeft w:val="0"/>
                  <w:marRight w:val="0"/>
                  <w:marTop w:val="0"/>
                  <w:marBottom w:val="0"/>
                  <w:divBdr>
                    <w:top w:val="none" w:sz="0" w:space="0" w:color="auto"/>
                    <w:left w:val="none" w:sz="0" w:space="0" w:color="auto"/>
                    <w:bottom w:val="none" w:sz="0" w:space="0" w:color="auto"/>
                    <w:right w:val="none" w:sz="0" w:space="0" w:color="auto"/>
                  </w:divBdr>
                  <w:divsChild>
                    <w:div w:id="901790501">
                      <w:marLeft w:val="0"/>
                      <w:marRight w:val="0"/>
                      <w:marTop w:val="0"/>
                      <w:marBottom w:val="0"/>
                      <w:divBdr>
                        <w:top w:val="none" w:sz="0" w:space="0" w:color="auto"/>
                        <w:left w:val="none" w:sz="0" w:space="0" w:color="auto"/>
                        <w:bottom w:val="none" w:sz="0" w:space="0" w:color="auto"/>
                        <w:right w:val="none" w:sz="0" w:space="0" w:color="auto"/>
                      </w:divBdr>
                      <w:divsChild>
                        <w:div w:id="1811439574">
                          <w:marLeft w:val="0"/>
                          <w:marRight w:val="0"/>
                          <w:marTop w:val="0"/>
                          <w:marBottom w:val="0"/>
                          <w:divBdr>
                            <w:top w:val="none" w:sz="0" w:space="0" w:color="auto"/>
                            <w:left w:val="none" w:sz="0" w:space="0" w:color="auto"/>
                            <w:bottom w:val="none" w:sz="0" w:space="0" w:color="auto"/>
                            <w:right w:val="none" w:sz="0" w:space="0" w:color="auto"/>
                          </w:divBdr>
                          <w:divsChild>
                            <w:div w:id="676540195">
                              <w:marLeft w:val="0"/>
                              <w:marRight w:val="0"/>
                              <w:marTop w:val="0"/>
                              <w:marBottom w:val="0"/>
                              <w:divBdr>
                                <w:top w:val="none" w:sz="0" w:space="0" w:color="auto"/>
                                <w:left w:val="none" w:sz="0" w:space="0" w:color="auto"/>
                                <w:bottom w:val="none" w:sz="0" w:space="0" w:color="auto"/>
                                <w:right w:val="none" w:sz="0" w:space="0" w:color="auto"/>
                              </w:divBdr>
                              <w:divsChild>
                                <w:div w:id="2080471490">
                                  <w:marLeft w:val="0"/>
                                  <w:marRight w:val="0"/>
                                  <w:marTop w:val="0"/>
                                  <w:marBottom w:val="0"/>
                                  <w:divBdr>
                                    <w:top w:val="none" w:sz="0" w:space="0" w:color="auto"/>
                                    <w:left w:val="none" w:sz="0" w:space="0" w:color="auto"/>
                                    <w:bottom w:val="none" w:sz="0" w:space="0" w:color="auto"/>
                                    <w:right w:val="none" w:sz="0" w:space="0" w:color="auto"/>
                                  </w:divBdr>
                                  <w:divsChild>
                                    <w:div w:id="1329870742">
                                      <w:marLeft w:val="0"/>
                                      <w:marRight w:val="0"/>
                                      <w:marTop w:val="0"/>
                                      <w:marBottom w:val="0"/>
                                      <w:divBdr>
                                        <w:top w:val="none" w:sz="0" w:space="0" w:color="auto"/>
                                        <w:left w:val="none" w:sz="0" w:space="0" w:color="auto"/>
                                        <w:bottom w:val="none" w:sz="0" w:space="0" w:color="auto"/>
                                        <w:right w:val="none" w:sz="0" w:space="0" w:color="auto"/>
                                      </w:divBdr>
                                      <w:divsChild>
                                        <w:div w:id="1934244330">
                                          <w:marLeft w:val="0"/>
                                          <w:marRight w:val="0"/>
                                          <w:marTop w:val="0"/>
                                          <w:marBottom w:val="0"/>
                                          <w:divBdr>
                                            <w:top w:val="none" w:sz="0" w:space="0" w:color="auto"/>
                                            <w:left w:val="none" w:sz="0" w:space="0" w:color="auto"/>
                                            <w:bottom w:val="none" w:sz="0" w:space="0" w:color="auto"/>
                                            <w:right w:val="none" w:sz="0" w:space="0" w:color="auto"/>
                                          </w:divBdr>
                                          <w:divsChild>
                                            <w:div w:id="803306584">
                                              <w:marLeft w:val="0"/>
                                              <w:marRight w:val="0"/>
                                              <w:marTop w:val="0"/>
                                              <w:marBottom w:val="0"/>
                                              <w:divBdr>
                                                <w:top w:val="none" w:sz="0" w:space="0" w:color="auto"/>
                                                <w:left w:val="none" w:sz="0" w:space="0" w:color="auto"/>
                                                <w:bottom w:val="none" w:sz="0" w:space="0" w:color="auto"/>
                                                <w:right w:val="none" w:sz="0" w:space="0" w:color="auto"/>
                                              </w:divBdr>
                                              <w:divsChild>
                                                <w:div w:id="1313414004">
                                                  <w:marLeft w:val="0"/>
                                                  <w:marRight w:val="0"/>
                                                  <w:marTop w:val="0"/>
                                                  <w:marBottom w:val="0"/>
                                                  <w:divBdr>
                                                    <w:top w:val="none" w:sz="0" w:space="0" w:color="auto"/>
                                                    <w:left w:val="none" w:sz="0" w:space="0" w:color="auto"/>
                                                    <w:bottom w:val="none" w:sz="0" w:space="0" w:color="auto"/>
                                                    <w:right w:val="none" w:sz="0" w:space="0" w:color="auto"/>
                                                  </w:divBdr>
                                                  <w:divsChild>
                                                    <w:div w:id="47610327">
                                                      <w:marLeft w:val="0"/>
                                                      <w:marRight w:val="0"/>
                                                      <w:marTop w:val="0"/>
                                                      <w:marBottom w:val="0"/>
                                                      <w:divBdr>
                                                        <w:top w:val="none" w:sz="0" w:space="0" w:color="auto"/>
                                                        <w:left w:val="none" w:sz="0" w:space="0" w:color="auto"/>
                                                        <w:bottom w:val="none" w:sz="0" w:space="0" w:color="auto"/>
                                                        <w:right w:val="none" w:sz="0" w:space="0" w:color="auto"/>
                                                      </w:divBdr>
                                                      <w:divsChild>
                                                        <w:div w:id="15451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0809240">
      <w:bodyDiv w:val="1"/>
      <w:marLeft w:val="0"/>
      <w:marRight w:val="0"/>
      <w:marTop w:val="0"/>
      <w:marBottom w:val="0"/>
      <w:divBdr>
        <w:top w:val="none" w:sz="0" w:space="0" w:color="auto"/>
        <w:left w:val="none" w:sz="0" w:space="0" w:color="auto"/>
        <w:bottom w:val="none" w:sz="0" w:space="0" w:color="auto"/>
        <w:right w:val="none" w:sz="0" w:space="0" w:color="auto"/>
      </w:divBdr>
    </w:div>
    <w:div w:id="1824539485">
      <w:bodyDiv w:val="1"/>
      <w:marLeft w:val="0"/>
      <w:marRight w:val="0"/>
      <w:marTop w:val="0"/>
      <w:marBottom w:val="0"/>
      <w:divBdr>
        <w:top w:val="none" w:sz="0" w:space="0" w:color="auto"/>
        <w:left w:val="none" w:sz="0" w:space="0" w:color="auto"/>
        <w:bottom w:val="none" w:sz="0" w:space="0" w:color="auto"/>
        <w:right w:val="none" w:sz="0" w:space="0" w:color="auto"/>
      </w:divBdr>
    </w:div>
    <w:div w:id="1857957543">
      <w:bodyDiv w:val="1"/>
      <w:marLeft w:val="0"/>
      <w:marRight w:val="0"/>
      <w:marTop w:val="0"/>
      <w:marBottom w:val="0"/>
      <w:divBdr>
        <w:top w:val="none" w:sz="0" w:space="0" w:color="auto"/>
        <w:left w:val="none" w:sz="0" w:space="0" w:color="auto"/>
        <w:bottom w:val="none" w:sz="0" w:space="0" w:color="auto"/>
        <w:right w:val="none" w:sz="0" w:space="0" w:color="auto"/>
      </w:divBdr>
    </w:div>
    <w:div w:id="1894804980">
      <w:bodyDiv w:val="1"/>
      <w:marLeft w:val="0"/>
      <w:marRight w:val="0"/>
      <w:marTop w:val="0"/>
      <w:marBottom w:val="0"/>
      <w:divBdr>
        <w:top w:val="none" w:sz="0" w:space="0" w:color="auto"/>
        <w:left w:val="none" w:sz="0" w:space="0" w:color="auto"/>
        <w:bottom w:val="none" w:sz="0" w:space="0" w:color="auto"/>
        <w:right w:val="none" w:sz="0" w:space="0" w:color="auto"/>
      </w:divBdr>
    </w:div>
    <w:div w:id="1908563206">
      <w:bodyDiv w:val="1"/>
      <w:marLeft w:val="0"/>
      <w:marRight w:val="0"/>
      <w:marTop w:val="0"/>
      <w:marBottom w:val="0"/>
      <w:divBdr>
        <w:top w:val="none" w:sz="0" w:space="0" w:color="auto"/>
        <w:left w:val="none" w:sz="0" w:space="0" w:color="auto"/>
        <w:bottom w:val="none" w:sz="0" w:space="0" w:color="auto"/>
        <w:right w:val="none" w:sz="0" w:space="0" w:color="auto"/>
      </w:divBdr>
      <w:divsChild>
        <w:div w:id="736978183">
          <w:marLeft w:val="0"/>
          <w:marRight w:val="0"/>
          <w:marTop w:val="0"/>
          <w:marBottom w:val="0"/>
          <w:divBdr>
            <w:top w:val="none" w:sz="0" w:space="0" w:color="auto"/>
            <w:left w:val="none" w:sz="0" w:space="0" w:color="auto"/>
            <w:bottom w:val="none" w:sz="0" w:space="0" w:color="auto"/>
            <w:right w:val="none" w:sz="0" w:space="0" w:color="auto"/>
          </w:divBdr>
          <w:divsChild>
            <w:div w:id="262422283">
              <w:marLeft w:val="0"/>
              <w:marRight w:val="0"/>
              <w:marTop w:val="0"/>
              <w:marBottom w:val="0"/>
              <w:divBdr>
                <w:top w:val="none" w:sz="0" w:space="0" w:color="auto"/>
                <w:left w:val="none" w:sz="0" w:space="0" w:color="auto"/>
                <w:bottom w:val="none" w:sz="0" w:space="0" w:color="auto"/>
                <w:right w:val="none" w:sz="0" w:space="0" w:color="auto"/>
              </w:divBdr>
              <w:divsChild>
                <w:div w:id="414132851">
                  <w:marLeft w:val="0"/>
                  <w:marRight w:val="0"/>
                  <w:marTop w:val="0"/>
                  <w:marBottom w:val="0"/>
                  <w:divBdr>
                    <w:top w:val="none" w:sz="0" w:space="0" w:color="auto"/>
                    <w:left w:val="none" w:sz="0" w:space="0" w:color="auto"/>
                    <w:bottom w:val="none" w:sz="0" w:space="0" w:color="auto"/>
                    <w:right w:val="none" w:sz="0" w:space="0" w:color="auto"/>
                  </w:divBdr>
                  <w:divsChild>
                    <w:div w:id="2048262848">
                      <w:marLeft w:val="0"/>
                      <w:marRight w:val="0"/>
                      <w:marTop w:val="0"/>
                      <w:marBottom w:val="0"/>
                      <w:divBdr>
                        <w:top w:val="none" w:sz="0" w:space="0" w:color="auto"/>
                        <w:left w:val="none" w:sz="0" w:space="0" w:color="auto"/>
                        <w:bottom w:val="none" w:sz="0" w:space="0" w:color="auto"/>
                        <w:right w:val="none" w:sz="0" w:space="0" w:color="auto"/>
                      </w:divBdr>
                      <w:divsChild>
                        <w:div w:id="520172531">
                          <w:marLeft w:val="0"/>
                          <w:marRight w:val="0"/>
                          <w:marTop w:val="0"/>
                          <w:marBottom w:val="0"/>
                          <w:divBdr>
                            <w:top w:val="none" w:sz="0" w:space="0" w:color="auto"/>
                            <w:left w:val="none" w:sz="0" w:space="0" w:color="auto"/>
                            <w:bottom w:val="none" w:sz="0" w:space="0" w:color="auto"/>
                            <w:right w:val="none" w:sz="0" w:space="0" w:color="auto"/>
                          </w:divBdr>
                          <w:divsChild>
                            <w:div w:id="1666854422">
                              <w:marLeft w:val="0"/>
                              <w:marRight w:val="0"/>
                              <w:marTop w:val="0"/>
                              <w:marBottom w:val="0"/>
                              <w:divBdr>
                                <w:top w:val="none" w:sz="0" w:space="0" w:color="auto"/>
                                <w:left w:val="none" w:sz="0" w:space="0" w:color="auto"/>
                                <w:bottom w:val="none" w:sz="0" w:space="0" w:color="auto"/>
                                <w:right w:val="none" w:sz="0" w:space="0" w:color="auto"/>
                              </w:divBdr>
                              <w:divsChild>
                                <w:div w:id="1871992654">
                                  <w:marLeft w:val="0"/>
                                  <w:marRight w:val="0"/>
                                  <w:marTop w:val="0"/>
                                  <w:marBottom w:val="0"/>
                                  <w:divBdr>
                                    <w:top w:val="none" w:sz="0" w:space="0" w:color="auto"/>
                                    <w:left w:val="none" w:sz="0" w:space="0" w:color="auto"/>
                                    <w:bottom w:val="none" w:sz="0" w:space="0" w:color="auto"/>
                                    <w:right w:val="none" w:sz="0" w:space="0" w:color="auto"/>
                                  </w:divBdr>
                                  <w:divsChild>
                                    <w:div w:id="343292214">
                                      <w:marLeft w:val="0"/>
                                      <w:marRight w:val="0"/>
                                      <w:marTop w:val="0"/>
                                      <w:marBottom w:val="0"/>
                                      <w:divBdr>
                                        <w:top w:val="none" w:sz="0" w:space="0" w:color="auto"/>
                                        <w:left w:val="none" w:sz="0" w:space="0" w:color="auto"/>
                                        <w:bottom w:val="none" w:sz="0" w:space="0" w:color="auto"/>
                                        <w:right w:val="none" w:sz="0" w:space="0" w:color="auto"/>
                                      </w:divBdr>
                                      <w:divsChild>
                                        <w:div w:id="808278923">
                                          <w:marLeft w:val="0"/>
                                          <w:marRight w:val="0"/>
                                          <w:marTop w:val="0"/>
                                          <w:marBottom w:val="0"/>
                                          <w:divBdr>
                                            <w:top w:val="none" w:sz="0" w:space="0" w:color="auto"/>
                                            <w:left w:val="none" w:sz="0" w:space="0" w:color="auto"/>
                                            <w:bottom w:val="none" w:sz="0" w:space="0" w:color="auto"/>
                                            <w:right w:val="none" w:sz="0" w:space="0" w:color="auto"/>
                                          </w:divBdr>
                                          <w:divsChild>
                                            <w:div w:id="1164587283">
                                              <w:marLeft w:val="0"/>
                                              <w:marRight w:val="0"/>
                                              <w:marTop w:val="0"/>
                                              <w:marBottom w:val="0"/>
                                              <w:divBdr>
                                                <w:top w:val="none" w:sz="0" w:space="0" w:color="auto"/>
                                                <w:left w:val="none" w:sz="0" w:space="0" w:color="auto"/>
                                                <w:bottom w:val="none" w:sz="0" w:space="0" w:color="auto"/>
                                                <w:right w:val="none" w:sz="0" w:space="0" w:color="auto"/>
                                              </w:divBdr>
                                              <w:divsChild>
                                                <w:div w:id="573048154">
                                                  <w:marLeft w:val="0"/>
                                                  <w:marRight w:val="0"/>
                                                  <w:marTop w:val="0"/>
                                                  <w:marBottom w:val="0"/>
                                                  <w:divBdr>
                                                    <w:top w:val="none" w:sz="0" w:space="0" w:color="auto"/>
                                                    <w:left w:val="none" w:sz="0" w:space="0" w:color="auto"/>
                                                    <w:bottom w:val="none" w:sz="0" w:space="0" w:color="auto"/>
                                                    <w:right w:val="none" w:sz="0" w:space="0" w:color="auto"/>
                                                  </w:divBdr>
                                                  <w:divsChild>
                                                    <w:div w:id="757292533">
                                                      <w:marLeft w:val="0"/>
                                                      <w:marRight w:val="0"/>
                                                      <w:marTop w:val="0"/>
                                                      <w:marBottom w:val="0"/>
                                                      <w:divBdr>
                                                        <w:top w:val="none" w:sz="0" w:space="0" w:color="auto"/>
                                                        <w:left w:val="none" w:sz="0" w:space="0" w:color="auto"/>
                                                        <w:bottom w:val="none" w:sz="0" w:space="0" w:color="auto"/>
                                                        <w:right w:val="none" w:sz="0" w:space="0" w:color="auto"/>
                                                      </w:divBdr>
                                                      <w:divsChild>
                                                        <w:div w:id="1543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7706687">
      <w:bodyDiv w:val="1"/>
      <w:marLeft w:val="0"/>
      <w:marRight w:val="0"/>
      <w:marTop w:val="0"/>
      <w:marBottom w:val="0"/>
      <w:divBdr>
        <w:top w:val="none" w:sz="0" w:space="0" w:color="auto"/>
        <w:left w:val="none" w:sz="0" w:space="0" w:color="auto"/>
        <w:bottom w:val="none" w:sz="0" w:space="0" w:color="auto"/>
        <w:right w:val="none" w:sz="0" w:space="0" w:color="auto"/>
      </w:divBdr>
    </w:div>
    <w:div w:id="1953710051">
      <w:bodyDiv w:val="1"/>
      <w:marLeft w:val="0"/>
      <w:marRight w:val="0"/>
      <w:marTop w:val="0"/>
      <w:marBottom w:val="0"/>
      <w:divBdr>
        <w:top w:val="none" w:sz="0" w:space="0" w:color="auto"/>
        <w:left w:val="none" w:sz="0" w:space="0" w:color="auto"/>
        <w:bottom w:val="none" w:sz="0" w:space="0" w:color="auto"/>
        <w:right w:val="none" w:sz="0" w:space="0" w:color="auto"/>
      </w:divBdr>
    </w:div>
    <w:div w:id="2021202990">
      <w:bodyDiv w:val="1"/>
      <w:marLeft w:val="0"/>
      <w:marRight w:val="0"/>
      <w:marTop w:val="0"/>
      <w:marBottom w:val="0"/>
      <w:divBdr>
        <w:top w:val="none" w:sz="0" w:space="0" w:color="auto"/>
        <w:left w:val="none" w:sz="0" w:space="0" w:color="auto"/>
        <w:bottom w:val="none" w:sz="0" w:space="0" w:color="auto"/>
        <w:right w:val="none" w:sz="0" w:space="0" w:color="auto"/>
      </w:divBdr>
    </w:div>
    <w:div w:id="2050064258">
      <w:bodyDiv w:val="1"/>
      <w:marLeft w:val="0"/>
      <w:marRight w:val="0"/>
      <w:marTop w:val="0"/>
      <w:marBottom w:val="0"/>
      <w:divBdr>
        <w:top w:val="none" w:sz="0" w:space="0" w:color="auto"/>
        <w:left w:val="none" w:sz="0" w:space="0" w:color="auto"/>
        <w:bottom w:val="none" w:sz="0" w:space="0" w:color="auto"/>
        <w:right w:val="none" w:sz="0" w:space="0" w:color="auto"/>
      </w:divBdr>
      <w:divsChild>
        <w:div w:id="1640838174">
          <w:marLeft w:val="0"/>
          <w:marRight w:val="0"/>
          <w:marTop w:val="0"/>
          <w:marBottom w:val="0"/>
          <w:divBdr>
            <w:top w:val="none" w:sz="0" w:space="0" w:color="auto"/>
            <w:left w:val="none" w:sz="0" w:space="0" w:color="auto"/>
            <w:bottom w:val="none" w:sz="0" w:space="0" w:color="auto"/>
            <w:right w:val="none" w:sz="0" w:space="0" w:color="auto"/>
          </w:divBdr>
          <w:divsChild>
            <w:div w:id="1107195738">
              <w:marLeft w:val="0"/>
              <w:marRight w:val="0"/>
              <w:marTop w:val="0"/>
              <w:marBottom w:val="0"/>
              <w:divBdr>
                <w:top w:val="none" w:sz="0" w:space="0" w:color="auto"/>
                <w:left w:val="none" w:sz="0" w:space="0" w:color="auto"/>
                <w:bottom w:val="none" w:sz="0" w:space="0" w:color="auto"/>
                <w:right w:val="none" w:sz="0" w:space="0" w:color="auto"/>
              </w:divBdr>
              <w:divsChild>
                <w:div w:id="520052331">
                  <w:marLeft w:val="0"/>
                  <w:marRight w:val="0"/>
                  <w:marTop w:val="0"/>
                  <w:marBottom w:val="0"/>
                  <w:divBdr>
                    <w:top w:val="none" w:sz="0" w:space="0" w:color="auto"/>
                    <w:left w:val="none" w:sz="0" w:space="0" w:color="auto"/>
                    <w:bottom w:val="none" w:sz="0" w:space="0" w:color="auto"/>
                    <w:right w:val="none" w:sz="0" w:space="0" w:color="auto"/>
                  </w:divBdr>
                  <w:divsChild>
                    <w:div w:id="9399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89483">
          <w:marLeft w:val="0"/>
          <w:marRight w:val="0"/>
          <w:marTop w:val="0"/>
          <w:marBottom w:val="0"/>
          <w:divBdr>
            <w:top w:val="none" w:sz="0" w:space="0" w:color="auto"/>
            <w:left w:val="none" w:sz="0" w:space="0" w:color="auto"/>
            <w:bottom w:val="none" w:sz="0" w:space="0" w:color="auto"/>
            <w:right w:val="none" w:sz="0" w:space="0" w:color="auto"/>
          </w:divBdr>
        </w:div>
        <w:div w:id="367875927">
          <w:marLeft w:val="0"/>
          <w:marRight w:val="0"/>
          <w:marTop w:val="0"/>
          <w:marBottom w:val="0"/>
          <w:divBdr>
            <w:top w:val="none" w:sz="0" w:space="0" w:color="auto"/>
            <w:left w:val="none" w:sz="0" w:space="0" w:color="auto"/>
            <w:bottom w:val="none" w:sz="0" w:space="0" w:color="auto"/>
            <w:right w:val="none" w:sz="0" w:space="0" w:color="auto"/>
          </w:divBdr>
          <w:divsChild>
            <w:div w:id="1644311262">
              <w:marLeft w:val="0"/>
              <w:marRight w:val="0"/>
              <w:marTop w:val="0"/>
              <w:marBottom w:val="0"/>
              <w:divBdr>
                <w:top w:val="none" w:sz="0" w:space="0" w:color="auto"/>
                <w:left w:val="none" w:sz="0" w:space="0" w:color="auto"/>
                <w:bottom w:val="none" w:sz="0" w:space="0" w:color="auto"/>
                <w:right w:val="none" w:sz="0" w:space="0" w:color="auto"/>
              </w:divBdr>
              <w:divsChild>
                <w:div w:id="2011638846">
                  <w:marLeft w:val="0"/>
                  <w:marRight w:val="0"/>
                  <w:marTop w:val="0"/>
                  <w:marBottom w:val="0"/>
                  <w:divBdr>
                    <w:top w:val="none" w:sz="0" w:space="0" w:color="auto"/>
                    <w:left w:val="none" w:sz="0" w:space="0" w:color="auto"/>
                    <w:bottom w:val="none" w:sz="0" w:space="0" w:color="auto"/>
                    <w:right w:val="none" w:sz="0" w:space="0" w:color="auto"/>
                  </w:divBdr>
                  <w:divsChild>
                    <w:div w:id="177669273">
                      <w:marLeft w:val="0"/>
                      <w:marRight w:val="0"/>
                      <w:marTop w:val="0"/>
                      <w:marBottom w:val="0"/>
                      <w:divBdr>
                        <w:top w:val="none" w:sz="0" w:space="0" w:color="auto"/>
                        <w:left w:val="none" w:sz="0" w:space="0" w:color="auto"/>
                        <w:bottom w:val="none" w:sz="0" w:space="0" w:color="auto"/>
                        <w:right w:val="none" w:sz="0" w:space="0" w:color="auto"/>
                      </w:divBdr>
                      <w:divsChild>
                        <w:div w:id="33711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4400">
          <w:marLeft w:val="0"/>
          <w:marRight w:val="0"/>
          <w:marTop w:val="0"/>
          <w:marBottom w:val="0"/>
          <w:divBdr>
            <w:top w:val="none" w:sz="0" w:space="0" w:color="auto"/>
            <w:left w:val="none" w:sz="0" w:space="0" w:color="auto"/>
            <w:bottom w:val="none" w:sz="0" w:space="0" w:color="auto"/>
            <w:right w:val="none" w:sz="0" w:space="0" w:color="auto"/>
          </w:divBdr>
          <w:divsChild>
            <w:div w:id="1278373586">
              <w:marLeft w:val="0"/>
              <w:marRight w:val="0"/>
              <w:marTop w:val="0"/>
              <w:marBottom w:val="0"/>
              <w:divBdr>
                <w:top w:val="none" w:sz="0" w:space="0" w:color="auto"/>
                <w:left w:val="none" w:sz="0" w:space="0" w:color="auto"/>
                <w:bottom w:val="none" w:sz="0" w:space="0" w:color="auto"/>
                <w:right w:val="none" w:sz="0" w:space="0" w:color="auto"/>
              </w:divBdr>
              <w:divsChild>
                <w:div w:id="754857259">
                  <w:marLeft w:val="0"/>
                  <w:marRight w:val="0"/>
                  <w:marTop w:val="0"/>
                  <w:marBottom w:val="0"/>
                  <w:divBdr>
                    <w:top w:val="none" w:sz="0" w:space="0" w:color="auto"/>
                    <w:left w:val="none" w:sz="0" w:space="0" w:color="auto"/>
                    <w:bottom w:val="none" w:sz="0" w:space="0" w:color="auto"/>
                    <w:right w:val="none" w:sz="0" w:space="0" w:color="auto"/>
                  </w:divBdr>
                  <w:divsChild>
                    <w:div w:id="392974206">
                      <w:marLeft w:val="0"/>
                      <w:marRight w:val="0"/>
                      <w:marTop w:val="0"/>
                      <w:marBottom w:val="0"/>
                      <w:divBdr>
                        <w:top w:val="none" w:sz="0" w:space="0" w:color="auto"/>
                        <w:left w:val="none" w:sz="0" w:space="0" w:color="auto"/>
                        <w:bottom w:val="none" w:sz="0" w:space="0" w:color="auto"/>
                        <w:right w:val="none" w:sz="0" w:space="0" w:color="auto"/>
                      </w:divBdr>
                      <w:divsChild>
                        <w:div w:id="953170822">
                          <w:marLeft w:val="0"/>
                          <w:marRight w:val="0"/>
                          <w:marTop w:val="0"/>
                          <w:marBottom w:val="0"/>
                          <w:divBdr>
                            <w:top w:val="none" w:sz="0" w:space="0" w:color="auto"/>
                            <w:left w:val="none" w:sz="0" w:space="0" w:color="auto"/>
                            <w:bottom w:val="none" w:sz="0" w:space="0" w:color="auto"/>
                            <w:right w:val="none" w:sz="0" w:space="0" w:color="auto"/>
                          </w:divBdr>
                          <w:divsChild>
                            <w:div w:id="13601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880768">
      <w:bodyDiv w:val="1"/>
      <w:marLeft w:val="0"/>
      <w:marRight w:val="0"/>
      <w:marTop w:val="0"/>
      <w:marBottom w:val="0"/>
      <w:divBdr>
        <w:top w:val="none" w:sz="0" w:space="0" w:color="auto"/>
        <w:left w:val="none" w:sz="0" w:space="0" w:color="auto"/>
        <w:bottom w:val="none" w:sz="0" w:space="0" w:color="auto"/>
        <w:right w:val="none" w:sz="0" w:space="0" w:color="auto"/>
      </w:divBdr>
    </w:div>
    <w:div w:id="2057778276">
      <w:bodyDiv w:val="1"/>
      <w:marLeft w:val="0"/>
      <w:marRight w:val="0"/>
      <w:marTop w:val="0"/>
      <w:marBottom w:val="0"/>
      <w:divBdr>
        <w:top w:val="none" w:sz="0" w:space="0" w:color="auto"/>
        <w:left w:val="none" w:sz="0" w:space="0" w:color="auto"/>
        <w:bottom w:val="none" w:sz="0" w:space="0" w:color="auto"/>
        <w:right w:val="none" w:sz="0" w:space="0" w:color="auto"/>
      </w:divBdr>
    </w:div>
    <w:div w:id="2077782525">
      <w:bodyDiv w:val="1"/>
      <w:marLeft w:val="0"/>
      <w:marRight w:val="0"/>
      <w:marTop w:val="0"/>
      <w:marBottom w:val="0"/>
      <w:divBdr>
        <w:top w:val="none" w:sz="0" w:space="0" w:color="auto"/>
        <w:left w:val="none" w:sz="0" w:space="0" w:color="auto"/>
        <w:bottom w:val="none" w:sz="0" w:space="0" w:color="auto"/>
        <w:right w:val="none" w:sz="0" w:space="0" w:color="auto"/>
      </w:divBdr>
    </w:div>
    <w:div w:id="2097749788">
      <w:bodyDiv w:val="1"/>
      <w:marLeft w:val="0"/>
      <w:marRight w:val="0"/>
      <w:marTop w:val="0"/>
      <w:marBottom w:val="0"/>
      <w:divBdr>
        <w:top w:val="none" w:sz="0" w:space="0" w:color="auto"/>
        <w:left w:val="none" w:sz="0" w:space="0" w:color="auto"/>
        <w:bottom w:val="none" w:sz="0" w:space="0" w:color="auto"/>
        <w:right w:val="none" w:sz="0" w:space="0" w:color="auto"/>
      </w:divBdr>
    </w:div>
    <w:div w:id="211879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hyperlink" Target="https://www.lincolninst.edu/subcenters/teaching-fiscal-dimensions-of-planning/materials/elmer-CIP.pdf" TargetMode="External"/><Relationship Id="rId21" Type="http://schemas.openxmlformats.org/officeDocument/2006/relationships/hyperlink" Target="http://www.finep.gov.br/perguntas-frequentes-questoes/perguntas-financiamentos/106-o-que-e-tjlp" TargetMode="External"/><Relationship Id="rId34" Type="http://schemas.openxmlformats.org/officeDocument/2006/relationships/image" Target="media/image10.png"/><Relationship Id="rId42" Type="http://schemas.openxmlformats.org/officeDocument/2006/relationships/hyperlink" Target="http://www.abecip.org.br/IMAGENS/CONTEUDO/REVISTA/34/31_34FundingSergio.pdfhttp" TargetMode="External"/><Relationship Id="rId47" Type="http://schemas.openxmlformats.org/officeDocument/2006/relationships/hyperlink" Target="http://www.lincolninst.edu/pubs/2244_Implementing-Value-Capture-in-Latin-America" TargetMode="External"/><Relationship Id="rId50" Type="http://schemas.openxmlformats.org/officeDocument/2006/relationships/hyperlink" Target="http://www.lincolninst.edu/pubs/2489_Recupera%C3%A7%C3%A3o-de-Mais-Valias-Fundi%C3%A1rias-na-Am%C3%A9rica-Latina" TargetMode="External"/><Relationship Id="rId55" Type="http://schemas.openxmlformats.org/officeDocument/2006/relationships/hyperlink" Target="http://www.lincolninst.edu/pubs/PubDetail.aspx?pubid=1912"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fazenda.pr.gov.br/modules/conteudo/conteudo.php?conteudo=434" TargetMode="External"/><Relationship Id="rId29" Type="http://schemas.openxmlformats.org/officeDocument/2006/relationships/hyperlink" Target="http://www.bcb.gov.br/pre/normativos/busca/normativo.asp?numero=4600&amp;tipo=Resolu%C3%A7%C3%A3o&amp;data=25/9/2017" TargetMode="External"/><Relationship Id="rId11" Type="http://schemas.openxmlformats.org/officeDocument/2006/relationships/footnotes" Target="footnotes.xml"/><Relationship Id="rId24" Type="http://schemas.openxmlformats.org/officeDocument/2006/relationships/chart" Target="charts/chart3.xml"/><Relationship Id="rId32" Type="http://schemas.openxmlformats.org/officeDocument/2006/relationships/image" Target="media/image8.png"/><Relationship Id="rId37" Type="http://schemas.openxmlformats.org/officeDocument/2006/relationships/hyperlink" Target="https://publications.iadb.org/handle/11319/8095" TargetMode="External"/><Relationship Id="rId40" Type="http://schemas.openxmlformats.org/officeDocument/2006/relationships/hyperlink" Target="https://www.lincolninst.edu/subcenters/teaching-fiscal-dimensions-of-planning/materials/elmer-CIP.pdf" TargetMode="External"/><Relationship Id="rId45" Type="http://schemas.openxmlformats.org/officeDocument/2006/relationships/hyperlink" Target="http://www.lincolninst.edu/pubs/2349_Implementaci%C3%B3n-de-la-recuperaci%C3%B3n-de-plusval%C3%ADas-en-Am%C3%A9rica-Latina" TargetMode="External"/><Relationship Id="rId53" Type="http://schemas.openxmlformats.org/officeDocument/2006/relationships/hyperlink" Target="http://www.lincolninst.edu/pubs/1971_Financiamiento-basado-en-el-suelo-para-los-municipios-brasile%C3%B1os" TargetMode="External"/><Relationship Id="rId58" Type="http://schemas.openxmlformats.org/officeDocument/2006/relationships/header" Target="header2.xml"/><Relationship Id="rId5" Type="http://schemas.openxmlformats.org/officeDocument/2006/relationships/customXml" Target="../customXml/item5.xml"/><Relationship Id="rId19" Type="http://schemas.openxmlformats.org/officeDocument/2006/relationships/hyperlink" Target="https://ww2.ibge.gov.br/home/estatistica/indicadores/precos/inpc_ipca/defaultinpc.shtm" TargetMode="External"/><Relationship Id="rId14" Type="http://schemas.openxmlformats.org/officeDocument/2006/relationships/hyperlink" Target="http://www.desenvolvimentourbano.pr.gov.br/modules/conteudo/conteudo.php?conteudo=100" TargetMode="External"/><Relationship Id="rId22" Type="http://schemas.openxmlformats.org/officeDocument/2006/relationships/chart" Target="charts/chart1.xml"/><Relationship Id="rId27" Type="http://schemas.openxmlformats.org/officeDocument/2006/relationships/image" Target="media/image5.png"/><Relationship Id="rId30" Type="http://schemas.openxmlformats.org/officeDocument/2006/relationships/hyperlink" Target="https://www.bndes.gov.br/wps/portal/site/home/financiamento/guia/custos-financeiros/taxa-juros-longo-prazo-tjlp" TargetMode="External"/><Relationship Id="rId35" Type="http://schemas.openxmlformats.org/officeDocument/2006/relationships/image" Target="media/image11.png"/><Relationship Id="rId43" Type="http://schemas.openxmlformats.org/officeDocument/2006/relationships/hyperlink" Target="http://www.scielo.br/scielo.php?script=sci_arttext&amp;pid=S0103-40142017000100075" TargetMode="External"/><Relationship Id="rId48" Type="http://schemas.openxmlformats.org/officeDocument/2006/relationships/hyperlink" Target="http://www.lincolninst.edu/pubs/2349_Implementaci%C3%B3n-de-la-recuperaci%C3%B3n-de-plusval%C3%ADas-en-Am%C3%A9rica-Latina" TargetMode="External"/><Relationship Id="rId56" Type="http://schemas.openxmlformats.org/officeDocument/2006/relationships/hyperlink" Target="https://openknowledge.worldbank.org/handle/10986/6669" TargetMode="External"/><Relationship Id="rId4" Type="http://schemas.openxmlformats.org/officeDocument/2006/relationships/customXml" Target="../customXml/item4.xml"/><Relationship Id="rId9" Type="http://schemas.openxmlformats.org/officeDocument/2006/relationships/settings" Target="settings.xml"/><Relationship Id="rId8" Type="http://schemas.openxmlformats.org/officeDocument/2006/relationships/styles" Target="styles.xml"/><Relationship Id="rId51" Type="http://schemas.openxmlformats.org/officeDocument/2006/relationships/hyperlink" Target="http://www.lincolninst.edu/pubs/1949_Land-Lines--October-2011"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fomento.pr.gov.br/arquivos/File/institucional/organograma2017a.pdf"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hyperlink" Target="https://publications.iadb.org/handle/11319/7799" TargetMode="External"/><Relationship Id="rId46" Type="http://schemas.openxmlformats.org/officeDocument/2006/relationships/hyperlink" Target="http://www.lincolninst.edu/pubs/2244_Implementing-Value-Capture-in-Latin-America" TargetMode="External"/><Relationship Id="rId59"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hyperlink" Target="http://www.scielo.br/pdf/rcf/v24n63/03.pdf" TargetMode="External"/><Relationship Id="rId54" Type="http://schemas.openxmlformats.org/officeDocument/2006/relationships/hyperlink" Target="http://www.lincolninst.edu/pubs/1971_Financiamiento-basado-en-el-suelo-para-los-municipios-brasile%C3%B1o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paranacidade.org.br/modules/conteudo/conteudo.php?conteudo=59" TargetMode="External"/><Relationship Id="rId23" Type="http://schemas.openxmlformats.org/officeDocument/2006/relationships/chart" Target="charts/chart2.xml"/><Relationship Id="rId28" Type="http://schemas.openxmlformats.org/officeDocument/2006/relationships/image" Target="media/image6.emf"/><Relationship Id="rId36" Type="http://schemas.openxmlformats.org/officeDocument/2006/relationships/image" Target="media/image12.png"/><Relationship Id="rId49" Type="http://schemas.openxmlformats.org/officeDocument/2006/relationships/hyperlink" Target="http://www.lincolninst.edu/pubs/2489_Recupera%C3%A7%C3%A3o-de-Mais-Valias-Fundi%C3%A1rias-na-Am%C3%A9rica-Latina" TargetMode="External"/><Relationship Id="rId57" Type="http://schemas.openxmlformats.org/officeDocument/2006/relationships/hyperlink" Target="http://siteresources.worldbank.org/INTTRANSPORT/Resources/336291-1227561426235/5611053-1231943010251/trn-7EENote2.pdf" TargetMode="External"/><Relationship Id="rId10" Type="http://schemas.openxmlformats.org/officeDocument/2006/relationships/webSettings" Target="webSettings.xml"/><Relationship Id="rId31" Type="http://schemas.openxmlformats.org/officeDocument/2006/relationships/image" Target="media/image7.png"/><Relationship Id="rId44" Type="http://schemas.openxmlformats.org/officeDocument/2006/relationships/hyperlink" Target="http://www.lincolninst.edu/pubs/2382_Recupera%C3%A7%C3%A3o-de-Mais-Valias-Urbanas-por-meio-de-Contribui%C3%A7%C3%A3o-de-Melhoria" TargetMode="External"/><Relationship Id="rId52" Type="http://schemas.openxmlformats.org/officeDocument/2006/relationships/hyperlink" Target="http://www.lincolninst.edu/pubs/1949_Land-Lines--October-2011"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oglobo.globo.com/economia/caixa-vai-analisar-liberacao-de-emprestimos-para-estados-municipios-22558136" TargetMode="External"/><Relationship Id="rId2" Type="http://schemas.openxmlformats.org/officeDocument/2006/relationships/hyperlink" Target="http://www.contabeis.com.br/artigos/2390/juros-sobre-capital-proprio-conceito/" TargetMode="External"/><Relationship Id="rId1" Type="http://schemas.openxmlformats.org/officeDocument/2006/relationships/hyperlink" Target="http://www.bcb.gov.br/pre/composicao/af.asp" TargetMode="External"/><Relationship Id="rId6" Type="http://schemas.openxmlformats.org/officeDocument/2006/relationships/hyperlink" Target="http://www.bcb.gov.br/pt-br/" TargetMode="External"/><Relationship Id="rId5" Type="http://schemas.openxmlformats.org/officeDocument/2006/relationships/hyperlink" Target="http://www.caixa.gov.br/sustentabilidade/responsabilidade-social/melhores-praticas/Paginas/default.aspx" TargetMode="External"/><Relationship Id="rId4" Type="http://schemas.openxmlformats.org/officeDocument/2006/relationships/hyperlink" Target="http://www.firjan.org.br/ifdm/consulta-ao-indice/consulta-ao-indice-grafico.h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avid%20Vetter\Dropbox\DOCUMENTOS\aaadocuments\aaaa%202018%20PARANACIDADE%20report\Spreadsheets%20Paranacidade\Revised%20tables%20and%20charts%20summary%20balan&#231;os%20empr&#233;stimos%202018%2004%201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'IPCA TJLP chart'!$B$4</c:f>
              <c:strCache>
                <c:ptCount val="1"/>
                <c:pt idx="0">
                  <c:v>Taxa real de juros = TJLP + margem - IPCA (% a.a.)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'IPCA TJLP chart'!$A$5:$A$15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'IPCA TJLP chart'!$B$5:$B$15</c:f>
            </c:numRef>
          </c:val>
          <c:smooth val="0"/>
          <c:extLst>
            <c:ext xmlns:c16="http://schemas.microsoft.com/office/drawing/2014/chart" uri="{C3380CC4-5D6E-409C-BE32-E72D297353CC}">
              <c16:uniqueId val="{00000000-1C49-4B0E-8CBC-CAE16D30DC2D}"/>
            </c:ext>
          </c:extLst>
        </c:ser>
        <c:ser>
          <c:idx val="2"/>
          <c:order val="2"/>
          <c:tx>
            <c:strRef>
              <c:f>'IPCA TJLP chart'!$C$4</c:f>
              <c:strCache>
                <c:ptCount val="1"/>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'IPCA TJLP chart'!$A$5:$A$15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'IPCA TJLP chart'!$C$5:$C$15</c:f>
            </c:numRef>
          </c:val>
          <c:smooth val="0"/>
          <c:extLst>
            <c:ext xmlns:c16="http://schemas.microsoft.com/office/drawing/2014/chart" uri="{C3380CC4-5D6E-409C-BE32-E72D297353CC}">
              <c16:uniqueId val="{00000001-1C49-4B0E-8CBC-CAE16D30DC2D}"/>
            </c:ext>
          </c:extLst>
        </c:ser>
        <c:ser>
          <c:idx val="3"/>
          <c:order val="3"/>
          <c:tx>
            <c:strRef>
              <c:f>'IPCA TJLP chart'!$D$4</c:f>
              <c:strCache>
                <c:ptCount val="1"/>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'IPCA TJLP chart'!$A$5:$A$15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'IPCA TJLP chart'!$D$5:$D$15</c:f>
            </c:numRef>
          </c:val>
          <c:smooth val="0"/>
          <c:extLst>
            <c:ext xmlns:c16="http://schemas.microsoft.com/office/drawing/2014/chart" uri="{C3380CC4-5D6E-409C-BE32-E72D297353CC}">
              <c16:uniqueId val="{00000002-1C49-4B0E-8CBC-CAE16D30DC2D}"/>
            </c:ext>
          </c:extLst>
        </c:ser>
        <c:ser>
          <c:idx val="4"/>
          <c:order val="4"/>
          <c:tx>
            <c:strRef>
              <c:f>'IPCA TJLP chart'!$E$4</c:f>
              <c:strCache>
                <c:ptCount val="1"/>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'IPCA TJLP chart'!$A$5:$A$15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'IPCA TJLP chart'!$E$5:$E$15</c:f>
            </c:numRef>
          </c:val>
          <c:smooth val="0"/>
          <c:extLst>
            <c:ext xmlns:c16="http://schemas.microsoft.com/office/drawing/2014/chart" uri="{C3380CC4-5D6E-409C-BE32-E72D297353CC}">
              <c16:uniqueId val="{00000003-1C49-4B0E-8CBC-CAE16D30DC2D}"/>
            </c:ext>
          </c:extLst>
        </c:ser>
        <c:ser>
          <c:idx val="5"/>
          <c:order val="5"/>
          <c:tx>
            <c:strRef>
              <c:f>'IPCA TJLP chart'!$F$4</c:f>
              <c:strCache>
                <c:ptCount val="1"/>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'IPCA TJLP chart'!$A$5:$A$15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'IPCA TJLP chart'!$F$5:$F$15</c:f>
            </c:numRef>
          </c:val>
          <c:smooth val="0"/>
          <c:extLst>
            <c:ext xmlns:c16="http://schemas.microsoft.com/office/drawing/2014/chart" uri="{C3380CC4-5D6E-409C-BE32-E72D297353CC}">
              <c16:uniqueId val="{00000004-1C49-4B0E-8CBC-CAE16D30DC2D}"/>
            </c:ext>
          </c:extLst>
        </c:ser>
        <c:ser>
          <c:idx val="6"/>
          <c:order val="6"/>
          <c:tx>
            <c:strRef>
              <c:f>'IPCA TJLP chart'!$G$4</c:f>
              <c:strCache>
                <c:ptCount val="1"/>
                <c:pt idx="0">
                  <c:v>Taxa de juros = TJLP + margem (% a.a.)</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'IPCA TJLP chart'!$A$5:$A$15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'IPCA TJLP chart'!$G$5:$G$15</c:f>
            </c:numRef>
          </c:val>
          <c:smooth val="0"/>
          <c:extLst>
            <c:ext xmlns:c16="http://schemas.microsoft.com/office/drawing/2014/chart" uri="{C3380CC4-5D6E-409C-BE32-E72D297353CC}">
              <c16:uniqueId val="{00000005-1C49-4B0E-8CBC-CAE16D30DC2D}"/>
            </c:ext>
          </c:extLst>
        </c:ser>
        <c:ser>
          <c:idx val="7"/>
          <c:order val="7"/>
          <c:tx>
            <c:strRef>
              <c:f>'IPCA TJLP chart'!$H$4</c:f>
              <c:strCache>
                <c:ptCount val="1"/>
                <c:pt idx="0">
                  <c:v>Taxa de juros = TJLP + margem (% 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'IPCA TJLP chart'!$A$5:$A$15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'IPCA TJLP chart'!$H$5:$H$15</c:f>
            </c:numRef>
          </c:val>
          <c:smooth val="0"/>
          <c:extLst>
            <c:ext xmlns:c16="http://schemas.microsoft.com/office/drawing/2014/chart" uri="{C3380CC4-5D6E-409C-BE32-E72D297353CC}">
              <c16:uniqueId val="{00000006-1C49-4B0E-8CBC-CAE16D30DC2D}"/>
            </c:ext>
          </c:extLst>
        </c:ser>
        <c:ser>
          <c:idx val="8"/>
          <c:order val="8"/>
          <c:tx>
            <c:strRef>
              <c:f>'IPCA TJLP chart'!$I$4</c:f>
              <c:strCache>
                <c:ptCount val="1"/>
                <c:pt idx="0">
                  <c:v>Taxa de juros = TJLP + margem de 5,5% (% a.a.)</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'IPCA TJLP chart'!$A$5:$A$15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'IPCA TJLP chart'!$I$5:$I$15</c:f>
            </c:numRef>
          </c:val>
          <c:smooth val="0"/>
          <c:extLst>
            <c:ext xmlns:c16="http://schemas.microsoft.com/office/drawing/2014/chart" uri="{C3380CC4-5D6E-409C-BE32-E72D297353CC}">
              <c16:uniqueId val="{00000007-1C49-4B0E-8CBC-CAE16D30DC2D}"/>
            </c:ext>
          </c:extLst>
        </c:ser>
        <c:ser>
          <c:idx val="9"/>
          <c:order val="9"/>
          <c:tx>
            <c:strRef>
              <c:f>'IPCA TJLP chart'!$J$4</c:f>
              <c:strCache>
                <c:ptCount val="1"/>
                <c:pt idx="0">
                  <c:v>Taxa de juros = TJLP + margem (% a.a.)</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'IPCA TJLP chart'!$A$5:$A$15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'IPCA TJLP chart'!$J$5:$J$15</c:f>
            </c:numRef>
          </c:val>
          <c:smooth val="0"/>
          <c:extLst>
            <c:ext xmlns:c16="http://schemas.microsoft.com/office/drawing/2014/chart" uri="{C3380CC4-5D6E-409C-BE32-E72D297353CC}">
              <c16:uniqueId val="{00000008-1C49-4B0E-8CBC-CAE16D30DC2D}"/>
            </c:ext>
          </c:extLst>
        </c:ser>
        <c:ser>
          <c:idx val="10"/>
          <c:order val="10"/>
          <c:tx>
            <c:strRef>
              <c:f>'IPCA TJLP chart'!$K$4</c:f>
              <c:strCache>
                <c:ptCount val="1"/>
                <c:pt idx="0">
                  <c:v>Taxa de juros = TJLP + margem (% a.a.)</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'IPCA TJLP chart'!$A$5:$A$15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'IPCA TJLP chart'!$K$5:$K$15</c:f>
            </c:numRef>
          </c:val>
          <c:smooth val="0"/>
          <c:extLst>
            <c:ext xmlns:c16="http://schemas.microsoft.com/office/drawing/2014/chart" uri="{C3380CC4-5D6E-409C-BE32-E72D297353CC}">
              <c16:uniqueId val="{00000009-1C49-4B0E-8CBC-CAE16D30DC2D}"/>
            </c:ext>
          </c:extLst>
        </c:ser>
        <c:ser>
          <c:idx val="11"/>
          <c:order val="11"/>
          <c:tx>
            <c:strRef>
              <c:f>'IPCA TJLP chart'!$L$4</c:f>
              <c:strCache>
                <c:ptCount val="1"/>
                <c:pt idx="0">
                  <c:v>Taxa real de juros TJLP (% a.m. anualizada) </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'IPCA TJLP chart'!$A$5:$A$15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'IPCA TJLP chart'!$L$5:$L$15</c:f>
            </c:numRef>
          </c:val>
          <c:smooth val="0"/>
          <c:extLst>
            <c:ext xmlns:c16="http://schemas.microsoft.com/office/drawing/2014/chart" uri="{C3380CC4-5D6E-409C-BE32-E72D297353CC}">
              <c16:uniqueId val="{0000000A-1C49-4B0E-8CBC-CAE16D30DC2D}"/>
            </c:ext>
          </c:extLst>
        </c:ser>
        <c:ser>
          <c:idx val="12"/>
          <c:order val="12"/>
          <c:tx>
            <c:strRef>
              <c:f>'IPCA TJLP chart'!$M$4</c:f>
              <c:strCache>
                <c:ptCount val="1"/>
                <c:pt idx="0">
                  <c:v> TJLP (% a.m. anualizada) </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f>'IPCA TJLP chart'!$A$5:$A$15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'IPCA TJLP chart'!$M$5:$M$15</c:f>
              <c:numCache>
                <c:formatCode>0.0%</c:formatCode>
                <c:ptCount val="11"/>
                <c:pt idx="0">
                  <c:v>6.2499999999999112E-2</c:v>
                </c:pt>
                <c:pt idx="1">
                  <c:v>6.1457676631523572E-2</c:v>
                </c:pt>
                <c:pt idx="2">
                  <c:v>5.9999992843669414E-2</c:v>
                </c:pt>
                <c:pt idx="3">
                  <c:v>6.0000000000000719E-2</c:v>
                </c:pt>
                <c:pt idx="4">
                  <c:v>5.7914032793956904E-2</c:v>
                </c:pt>
                <c:pt idx="5">
                  <c:v>5.0415835493721195E-2</c:v>
                </c:pt>
                <c:pt idx="6">
                  <c:v>4.9999999958034502E-2</c:v>
                </c:pt>
                <c:pt idx="7">
                  <c:v>6.0817428737212076E-2</c:v>
                </c:pt>
                <c:pt idx="8">
                  <c:v>7.4582516771064311E-2</c:v>
                </c:pt>
                <c:pt idx="9">
                  <c:v>7.1664293006678648E-2</c:v>
                </c:pt>
                <c:pt idx="10">
                  <c:v>6.8749329921793834E-2</c:v>
                </c:pt>
              </c:numCache>
            </c:numRef>
          </c:val>
          <c:smooth val="0"/>
          <c:extLst>
            <c:ext xmlns:c16="http://schemas.microsoft.com/office/drawing/2014/chart" uri="{C3380CC4-5D6E-409C-BE32-E72D297353CC}">
              <c16:uniqueId val="{0000000B-1C49-4B0E-8CBC-CAE16D30DC2D}"/>
            </c:ext>
          </c:extLst>
        </c:ser>
        <c:ser>
          <c:idx val="13"/>
          <c:order val="13"/>
          <c:tx>
            <c:strRef>
              <c:f>'IPCA TJLP chart'!$N$4</c:f>
              <c:strCache>
                <c:ptCount val="1"/>
                <c:pt idx="0">
                  <c:v>Taxa de juros = IPCA + margen de 5,5% (% a.a.)</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f>'IPCA TJLP chart'!$A$5:$A$15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'IPCA TJLP chart'!$N$5:$N$15</c:f>
            </c:numRef>
          </c:val>
          <c:smooth val="0"/>
          <c:extLst>
            <c:ext xmlns:c16="http://schemas.microsoft.com/office/drawing/2014/chart" uri="{C3380CC4-5D6E-409C-BE32-E72D297353CC}">
              <c16:uniqueId val="{0000000C-1C49-4B0E-8CBC-CAE16D30DC2D}"/>
            </c:ext>
          </c:extLst>
        </c:ser>
        <c:ser>
          <c:idx val="14"/>
          <c:order val="14"/>
          <c:tx>
            <c:strRef>
              <c:f>'IPCA TJLP chart'!$O$4</c:f>
              <c:strCache>
                <c:ptCount val="1"/>
                <c:pt idx="0">
                  <c:v>Inflação:  IPCA  (% a. a.)</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f>'IPCA TJLP chart'!$A$5:$A$15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'IPCA TJLP chart'!$O$5:$O$15</c:f>
              <c:numCache>
                <c:formatCode>0.0%</c:formatCode>
                <c:ptCount val="11"/>
                <c:pt idx="0">
                  <c:v>4.4576585533737195E-2</c:v>
                </c:pt>
                <c:pt idx="1">
                  <c:v>5.9027243906546498E-2</c:v>
                </c:pt>
                <c:pt idx="2">
                  <c:v>4.31165006256784E-2</c:v>
                </c:pt>
                <c:pt idx="3">
                  <c:v>5.9086887217945298E-2</c:v>
                </c:pt>
                <c:pt idx="4">
                  <c:v>6.50335274368017E-2</c:v>
                </c:pt>
                <c:pt idx="5">
                  <c:v>5.8385947181474496E-2</c:v>
                </c:pt>
                <c:pt idx="6">
                  <c:v>5.9106829999999999E-2</c:v>
                </c:pt>
                <c:pt idx="7">
                  <c:v>6.4074707960000005E-2</c:v>
                </c:pt>
                <c:pt idx="8">
                  <c:v>0.10673028130000001</c:v>
                </c:pt>
                <c:pt idx="9">
                  <c:v>6.2879882132213849E-2</c:v>
                </c:pt>
                <c:pt idx="10">
                  <c:v>2.9500000000000002E-2</c:v>
                </c:pt>
              </c:numCache>
            </c:numRef>
          </c:val>
          <c:smooth val="0"/>
          <c:extLst>
            <c:ext xmlns:c16="http://schemas.microsoft.com/office/drawing/2014/chart" uri="{C3380CC4-5D6E-409C-BE32-E72D297353CC}">
              <c16:uniqueId val="{0000000D-1C49-4B0E-8CBC-CAE16D30DC2D}"/>
            </c:ext>
          </c:extLst>
        </c:ser>
        <c:dLbls>
          <c:showLegendKey val="0"/>
          <c:showVal val="0"/>
          <c:showCatName val="0"/>
          <c:showSerName val="0"/>
          <c:showPercent val="0"/>
          <c:showBubbleSize val="0"/>
        </c:dLbls>
        <c:marker val="1"/>
        <c:smooth val="0"/>
        <c:axId val="1075514544"/>
        <c:axId val="1075520776"/>
        <c:extLst>
          <c:ext xmlns:c15="http://schemas.microsoft.com/office/drawing/2012/chart" uri="{02D57815-91ED-43cb-92C2-25804820EDAC}">
            <c15:filteredLineSeries>
              <c15:ser>
                <c:idx val="0"/>
                <c:order val="0"/>
                <c:tx>
                  <c:strRef>
                    <c:extLst>
                      <c:ext uri="{02D57815-91ED-43cb-92C2-25804820EDAC}">
                        <c15:formulaRef>
                          <c15:sqref>'IPCA TJLP chart'!$A$4</c15:sqref>
                        </c15:formulaRef>
                      </c:ext>
                    </c:extLst>
                    <c:strCache>
                      <c:ptCount val="1"/>
                      <c:pt idx="0">
                        <c:v>Ano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'IPCA TJLP chart'!$A$5:$A$15</c15:sqref>
                        </c15:formulaRef>
                      </c:ext>
                    </c:extLst>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extLst>
                      <c:ext uri="{02D57815-91ED-43cb-92C2-25804820EDAC}">
                        <c15:formulaRef>
                          <c15:sqref>'IPCA TJLP chart'!$A$5:$A$15</c15:sqref>
                        </c15:formulaRef>
                      </c:ext>
                    </c:extLst>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val>
                <c:smooth val="0"/>
                <c:extLst>
                  <c:ext xmlns:c16="http://schemas.microsoft.com/office/drawing/2014/chart" uri="{C3380CC4-5D6E-409C-BE32-E72D297353CC}">
                    <c16:uniqueId val="{0000000E-1C49-4B0E-8CBC-CAE16D30DC2D}"/>
                  </c:ext>
                </c:extLst>
              </c15:ser>
            </c15:filteredLineSeries>
          </c:ext>
        </c:extLst>
      </c:lineChart>
      <c:catAx>
        <c:axId val="107551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520776"/>
        <c:crosses val="autoZero"/>
        <c:auto val="1"/>
        <c:lblAlgn val="ctr"/>
        <c:lblOffset val="100"/>
        <c:noMultiLvlLbl val="0"/>
      </c:catAx>
      <c:valAx>
        <c:axId val="1075520776"/>
        <c:scaling>
          <c:orientation val="minMax"/>
          <c:max val="0.11000000000000001"/>
          <c:min val="2.0000000000000004E-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514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'Painel de Controle'!$C$25</c:f>
              <c:strCache>
                <c:ptCount val="1"/>
                <c:pt idx="0">
                  <c:v>Optimista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'Painel de Controle'!$D$22:$F$22</c:f>
              <c:numCache>
                <c:formatCode>General</c:formatCode>
                <c:ptCount val="3"/>
                <c:pt idx="0">
                  <c:v>2018</c:v>
                </c:pt>
                <c:pt idx="1">
                  <c:v>2028</c:v>
                </c:pt>
                <c:pt idx="2">
                  <c:v>2038</c:v>
                </c:pt>
              </c:numCache>
            </c:numRef>
          </c:cat>
          <c:val>
            <c:numRef>
              <c:f>'Painel de Controle'!$D$25:$F$25</c:f>
              <c:numCache>
                <c:formatCode>_-* #,##0_-;\-* #,##0_-;_-* "-"??_-;_-@_-</c:formatCode>
                <c:ptCount val="3"/>
                <c:pt idx="0">
                  <c:v>1464.8305367400001</c:v>
                </c:pt>
                <c:pt idx="1">
                  <c:v>2499.8362231023684</c:v>
                </c:pt>
                <c:pt idx="2">
                  <c:v>3659.3480173664866</c:v>
                </c:pt>
              </c:numCache>
            </c:numRef>
          </c:val>
          <c:smooth val="0"/>
          <c:extLst>
            <c:ext xmlns:c16="http://schemas.microsoft.com/office/drawing/2014/chart" uri="{C3380CC4-5D6E-409C-BE32-E72D297353CC}">
              <c16:uniqueId val="{00000000-E6AF-4350-A244-45CA80C2C6E6}"/>
            </c:ext>
          </c:extLst>
        </c:ser>
        <c:ser>
          <c:idx val="1"/>
          <c:order val="1"/>
          <c:tx>
            <c:strRef>
              <c:f>'Painel de Controle'!$C$26</c:f>
              <c:strCache>
                <c:ptCount val="1"/>
                <c:pt idx="0">
                  <c:v>Intermediário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'Painel de Controle'!$D$22:$F$22</c:f>
              <c:numCache>
                <c:formatCode>General</c:formatCode>
                <c:ptCount val="3"/>
                <c:pt idx="0">
                  <c:v>2018</c:v>
                </c:pt>
                <c:pt idx="1">
                  <c:v>2028</c:v>
                </c:pt>
                <c:pt idx="2">
                  <c:v>2038</c:v>
                </c:pt>
              </c:numCache>
            </c:numRef>
          </c:cat>
          <c:val>
            <c:numRef>
              <c:f>'Painel de Controle'!$D$26:$F$26</c:f>
              <c:numCache>
                <c:formatCode>_-* #,##0_-;\-* #,##0_-;_-* "-"??_-;_-@_-</c:formatCode>
                <c:ptCount val="3"/>
                <c:pt idx="0">
                  <c:v>1464.8305367400001</c:v>
                </c:pt>
                <c:pt idx="1">
                  <c:v>2220.8081781705323</c:v>
                </c:pt>
                <c:pt idx="2">
                  <c:v>2853.7663548091873</c:v>
                </c:pt>
              </c:numCache>
            </c:numRef>
          </c:val>
          <c:smooth val="0"/>
          <c:extLst>
            <c:ext xmlns:c16="http://schemas.microsoft.com/office/drawing/2014/chart" uri="{C3380CC4-5D6E-409C-BE32-E72D297353CC}">
              <c16:uniqueId val="{00000001-E6AF-4350-A244-45CA80C2C6E6}"/>
            </c:ext>
          </c:extLst>
        </c:ser>
        <c:ser>
          <c:idx val="2"/>
          <c:order val="2"/>
          <c:tx>
            <c:strRef>
              <c:f>'Painel de Controle'!$C$27</c:f>
              <c:strCache>
                <c:ptCount val="1"/>
                <c:pt idx="0">
                  <c:v>Pessimista</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'Painel de Controle'!$D$22:$F$22</c:f>
              <c:numCache>
                <c:formatCode>General</c:formatCode>
                <c:ptCount val="3"/>
                <c:pt idx="0">
                  <c:v>2018</c:v>
                </c:pt>
                <c:pt idx="1">
                  <c:v>2028</c:v>
                </c:pt>
                <c:pt idx="2">
                  <c:v>2038</c:v>
                </c:pt>
              </c:numCache>
            </c:numRef>
          </c:cat>
          <c:val>
            <c:numRef>
              <c:f>'Painel de Controle'!$D$27:$F$27</c:f>
              <c:numCache>
                <c:formatCode>_-* #,##0_-;\-* #,##0_-;_-* "-"??_-;_-@_-</c:formatCode>
                <c:ptCount val="3"/>
                <c:pt idx="0">
                  <c:v>1464.8305367400001</c:v>
                </c:pt>
                <c:pt idx="1">
                  <c:v>1972.0615376459396</c:v>
                </c:pt>
                <c:pt idx="2">
                  <c:v>2221.100153485073</c:v>
                </c:pt>
              </c:numCache>
            </c:numRef>
          </c:val>
          <c:smooth val="0"/>
          <c:extLst>
            <c:ext xmlns:c16="http://schemas.microsoft.com/office/drawing/2014/chart" uri="{C3380CC4-5D6E-409C-BE32-E72D297353CC}">
              <c16:uniqueId val="{00000002-E6AF-4350-A244-45CA80C2C6E6}"/>
            </c:ext>
          </c:extLst>
        </c:ser>
        <c:dLbls>
          <c:dLblPos val="t"/>
          <c:showLegendKey val="0"/>
          <c:showVal val="1"/>
          <c:showCatName val="0"/>
          <c:showSerName val="0"/>
          <c:showPercent val="0"/>
          <c:showBubbleSize val="0"/>
        </c:dLbls>
        <c:marker val="1"/>
        <c:smooth val="0"/>
        <c:axId val="838596280"/>
        <c:axId val="838596608"/>
      </c:lineChart>
      <c:catAx>
        <c:axId val="838596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596608"/>
        <c:crosses val="autoZero"/>
        <c:auto val="1"/>
        <c:lblAlgn val="ctr"/>
        <c:lblOffset val="100"/>
        <c:noMultiLvlLbl val="0"/>
      </c:catAx>
      <c:valAx>
        <c:axId val="838596608"/>
        <c:scaling>
          <c:orientation val="minMax"/>
          <c:min val="1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 Milhões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R$&quot;\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596280"/>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5395888013998"/>
          <c:y val="0.16700000000000004"/>
          <c:w val="0.84101596675415569"/>
          <c:h val="0.6517092446777486"/>
        </c:manualLayout>
      </c:layout>
      <c:lineChart>
        <c:grouping val="standard"/>
        <c:varyColors val="0"/>
        <c:ser>
          <c:idx val="1"/>
          <c:order val="0"/>
          <c:tx>
            <c:strRef>
              <c:f>'Painel de Controle'!$C$36</c:f>
              <c:strCache>
                <c:ptCount val="1"/>
                <c:pt idx="0">
                  <c:v>Optimista</c:v>
                </c:pt>
              </c:strCache>
            </c:strRef>
          </c:tx>
          <c:spPr>
            <a:ln w="28575" cap="rnd">
              <a:solidFill>
                <a:schemeClr val="accent1"/>
              </a:solidFill>
              <a:round/>
            </a:ln>
            <a:effectLst/>
          </c:spPr>
          <c:marker>
            <c:symbol val="circle"/>
            <c:size val="5"/>
            <c:spPr>
              <a:solidFill>
                <a:schemeClr val="accent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'Painel de Controle'!$D$22:$F$22</c:f>
              <c:numCache>
                <c:formatCode>General</c:formatCode>
                <c:ptCount val="3"/>
                <c:pt idx="0">
                  <c:v>2018</c:v>
                </c:pt>
                <c:pt idx="1">
                  <c:v>2028</c:v>
                </c:pt>
                <c:pt idx="2">
                  <c:v>2038</c:v>
                </c:pt>
              </c:numCache>
            </c:numRef>
          </c:cat>
          <c:val>
            <c:numRef>
              <c:f>'Painel de Controle'!$D$36:$F$36</c:f>
              <c:numCache>
                <c:formatCode>_-* #,##0_-;\-* #,##0_-;_-* "-"??_-;_-@_-</c:formatCode>
                <c:ptCount val="3"/>
                <c:pt idx="0">
                  <c:v>892.0104663715689</c:v>
                </c:pt>
                <c:pt idx="1">
                  <c:v>1522.2785293544691</c:v>
                </c:pt>
                <c:pt idx="2">
                  <c:v>2228.3647491753036</c:v>
                </c:pt>
              </c:numCache>
            </c:numRef>
          </c:val>
          <c:smooth val="0"/>
          <c:extLst>
            <c:ext xmlns:c16="http://schemas.microsoft.com/office/drawing/2014/chart" uri="{C3380CC4-5D6E-409C-BE32-E72D297353CC}">
              <c16:uniqueId val="{00000000-C54A-4587-BBE9-B10198E2DB91}"/>
            </c:ext>
          </c:extLst>
        </c:ser>
        <c:ser>
          <c:idx val="2"/>
          <c:order val="1"/>
          <c:tx>
            <c:strRef>
              <c:f>'Painel de Controle'!$C$37</c:f>
              <c:strCache>
                <c:ptCount val="1"/>
                <c:pt idx="0">
                  <c:v>Intermediário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'Painel de Controle'!$D$22:$F$22</c:f>
              <c:numCache>
                <c:formatCode>General</c:formatCode>
                <c:ptCount val="3"/>
                <c:pt idx="0">
                  <c:v>2018</c:v>
                </c:pt>
                <c:pt idx="1">
                  <c:v>2028</c:v>
                </c:pt>
                <c:pt idx="2">
                  <c:v>2038</c:v>
                </c:pt>
              </c:numCache>
            </c:numRef>
          </c:cat>
          <c:val>
            <c:numRef>
              <c:f>'Painel de Controle'!$D$37:$F$37</c:f>
              <c:numCache>
                <c:formatCode>_-* #,##0_-;\-* #,##0_-;_-* "-"??_-;_-@_-</c:formatCode>
                <c:ptCount val="3"/>
                <c:pt idx="0">
                  <c:v>892.0104663715689</c:v>
                </c:pt>
                <c:pt idx="1">
                  <c:v>1352.3640373721298</c:v>
                </c:pt>
                <c:pt idx="2">
                  <c:v>1737.8047447959943</c:v>
                </c:pt>
              </c:numCache>
            </c:numRef>
          </c:val>
          <c:smooth val="0"/>
          <c:extLst>
            <c:ext xmlns:c16="http://schemas.microsoft.com/office/drawing/2014/chart" uri="{C3380CC4-5D6E-409C-BE32-E72D297353CC}">
              <c16:uniqueId val="{00000001-C54A-4587-BBE9-B10198E2DB91}"/>
            </c:ext>
          </c:extLst>
        </c:ser>
        <c:ser>
          <c:idx val="3"/>
          <c:order val="2"/>
          <c:tx>
            <c:strRef>
              <c:f>'Painel de Controle'!$C$38</c:f>
              <c:strCache>
                <c:ptCount val="1"/>
                <c:pt idx="0">
                  <c:v>Pessimista</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'Painel de Controle'!$D$22:$F$22</c:f>
              <c:numCache>
                <c:formatCode>General</c:formatCode>
                <c:ptCount val="3"/>
                <c:pt idx="0">
                  <c:v>2018</c:v>
                </c:pt>
                <c:pt idx="1">
                  <c:v>2028</c:v>
                </c:pt>
                <c:pt idx="2">
                  <c:v>2038</c:v>
                </c:pt>
              </c:numCache>
            </c:numRef>
          </c:cat>
          <c:val>
            <c:numRef>
              <c:f>'Painel de Controle'!$D$38:$F$38</c:f>
              <c:numCache>
                <c:formatCode>_-* #,##0_-;\-* #,##0_-;_-* "-"??_-;_-@_-</c:formatCode>
                <c:ptCount val="3"/>
                <c:pt idx="0">
                  <c:v>892.0104663715689</c:v>
                </c:pt>
                <c:pt idx="1">
                  <c:v>1200.8894461088223</c:v>
                </c:pt>
                <c:pt idx="2">
                  <c:v>1352.5418361208319</c:v>
                </c:pt>
              </c:numCache>
            </c:numRef>
          </c:val>
          <c:smooth val="0"/>
          <c:extLst>
            <c:ext xmlns:c16="http://schemas.microsoft.com/office/drawing/2014/chart" uri="{C3380CC4-5D6E-409C-BE32-E72D297353CC}">
              <c16:uniqueId val="{00000002-C54A-4587-BBE9-B10198E2DB91}"/>
            </c:ext>
          </c:extLst>
        </c:ser>
        <c:dLbls>
          <c:dLblPos val="t"/>
          <c:showLegendKey val="0"/>
          <c:showVal val="1"/>
          <c:showCatName val="0"/>
          <c:showSerName val="0"/>
          <c:showPercent val="0"/>
          <c:showBubbleSize val="0"/>
        </c:dLbls>
        <c:marker val="1"/>
        <c:smooth val="0"/>
        <c:axId val="947404312"/>
        <c:axId val="947402016"/>
        <c:extLst/>
      </c:lineChart>
      <c:catAx>
        <c:axId val="94740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7402016"/>
        <c:crosses val="autoZero"/>
        <c:auto val="1"/>
        <c:lblAlgn val="ctr"/>
        <c:lblOffset val="100"/>
        <c:noMultiLvlLbl val="0"/>
      </c:catAx>
      <c:valAx>
        <c:axId val="947402016"/>
        <c:scaling>
          <c:orientation val="minMax"/>
          <c:max val="2400"/>
          <c:min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 Milhôes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R$&quot;\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740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67DC3D4050740141AB4D5EB8F27C8F11" ma:contentTypeVersion="1440" ma:contentTypeDescription="A content type to manage public (operations) IDB documents" ma:contentTypeScope="" ma:versionID="01cd008f418495c1a4d232afe29aa631">
  <xsd:schema xmlns:xsd="http://www.w3.org/2001/XMLSchema" xmlns:xs="http://www.w3.org/2001/XMLSchema" xmlns:p="http://schemas.microsoft.com/office/2006/metadata/properties" xmlns:ns2="cdc7663a-08f0-4737-9e8c-148ce897a09c" targetNamespace="http://schemas.microsoft.com/office/2006/metadata/properties" ma:root="true" ma:fieldsID="b62cdd36d604e7b9126f411f92cf93fc"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BR-L1520"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default="Loan Operation"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ae61f9b1-e23d-4f49-b3d7-56b991556c4b" ContentTypeId="0x0101001A458A224826124E8B45B1D613300CFC" PreviousValue="false"/>
</file>

<file path=customXml/item5.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Business_x0020_Area xmlns="cdc7663a-08f0-4737-9e8c-148ce897a09c" xsi:nil="true"/>
    <IDBDocs_x0020_Number xmlns="cdc7663a-08f0-4737-9e8c-148ce897a09c">39117657</IDBDocs_x0020_Number>
    <TaxCatchAll xmlns="cdc7663a-08f0-4737-9e8c-148ce897a09c">
      <Value>278</Value>
      <Value>11</Value>
      <Value>30</Value>
      <Value>107</Value>
      <Value>40</Value>
    </TaxCatchAll>
    <Phase xmlns="cdc7663a-08f0-4737-9e8c-148ce897a09c" xsi:nil="true"/>
    <SISCOR_x0020_Number xmlns="cdc7663a-08f0-4737-9e8c-148ce897a09c" xsi:nil="true"/>
    <Division_x0020_or_x0020_Unit xmlns="cdc7663a-08f0-4737-9e8c-148ce897a09c">CSD/HUD</Division_x0020_or_x0020_Unit>
    <Approval_x0020_Number xmlns="cdc7663a-08f0-4737-9e8c-148ce897a09c" xsi:nil="true"/>
    <Document_x0020_Author xmlns="cdc7663a-08f0-4737-9e8c-148ce897a09c">Hobbs, Jason Anthony</Document_x0020_Author>
    <Fiscal_x0020_Year_x0020_IDB xmlns="cdc7663a-08f0-4737-9e8c-148ce897a09c">2018</Fiscal_x0020_Year_x0020_IDB>
    <Other_x0020_Author xmlns="cdc7663a-08f0-4737-9e8c-148ce897a09c" xsi:nil="true"/>
    <Project_x0020_Number xmlns="cdc7663a-08f0-4737-9e8c-148ce897a09c">BR-L1520;</Project_x0020_Number>
    <Package_x0020_Code xmlns="cdc7663a-08f0-4737-9e8c-148ce897a09c" xsi:nil="true"/>
    <Key_x0020_Document xmlns="cdc7663a-08f0-4737-9e8c-148ce897a09c">false</Key_x0020_Document>
    <Migration_x0020_Info xmlns="cdc7663a-08f0-4737-9e8c-148ce897a09c">MS WORDLoan Proposal0NPO-BR-L1356-Anl</Migration_x0020_Info>
    <Operation_x0020_Type xmlns="cdc7663a-08f0-4737-9e8c-148ce897a09c" xsi:nil="true"/>
    <Document_x0020_Language_x0020_IDB xmlns="cdc7663a-08f0-4737-9e8c-148ce897a09c">Spanish</Document_x0020_Language_x0020_IDB>
    <Identifier xmlns="cdc7663a-08f0-4737-9e8c-148ce897a09c" xsi:nil="true"/>
    <Access_x0020_to_x0020_Information_x00a0_Policy xmlns="cdc7663a-08f0-4737-9e8c-148ce897a09c">Public</Access_x0020_to_x0020_Information_x00a0_Policy>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Brazil</TermName>
          <TermId xmlns="http://schemas.microsoft.com/office/infopath/2007/PartnerControls">7deb27ec-6837-4974-9aa8-6cfbac841ef8</TermId>
        </TermInfo>
      </Terms>
    </ic46d7e087fd4a108fb86518ca413cc6>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Legal</TermName>
          <TermId xmlns="http://schemas.microsoft.com/office/infopath/2007/PartnerControls">4a833e0c-b04e-4136-8e27-6c06cac1e274</TermId>
        </TermInfo>
      </Terms>
    </e46fe2894295491da65140ffd2369f49>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URBAN DEVELOPMENT AND HOUSING</TermName>
          <TermId xmlns="http://schemas.microsoft.com/office/infopath/2007/PartnerControls">8ddc6614-adee-4514-9e0d-114a08c823a2</TermId>
        </TermInfo>
      </Terms>
    </b2ec7cfb18674cb8803df6b262e8b107>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TBD</TermName>
          <TermId xmlns="http://schemas.microsoft.com/office/infopath/2007/PartnerControls">d62f6e05-3e80-4abd-9bb4-5f10b4906ff6</TermId>
        </TermInfo>
      </Terms>
    </g511464f9e53401d84b16fa9b379a574>
    <Related_x0020_SisCor_x0020_Number xmlns="cdc7663a-08f0-4737-9e8c-148ce897a09c" xsi:nil="true"/>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URBAN DEVELOPMENT AND HOUSING</TermName>
          <TermId xmlns="http://schemas.microsoft.com/office/infopath/2007/PartnerControls">d14615ee-683d-4ec6-a5cf-ae743c6c4ac1</TermId>
        </TermInfo>
      </Terms>
    </nddeef1749674d76abdbe4b239a70bc6>
    <Record_x0020_Number xmlns="cdc7663a-08f0-4737-9e8c-148ce897a09c">R0002201799</Record_x0020_Number>
    <_dlc_DocId xmlns="cdc7663a-08f0-4737-9e8c-148ce897a09c">EZSHARE-1413971071-21</_dlc_DocId>
    <_dlc_DocIdUrl xmlns="cdc7663a-08f0-4737-9e8c-148ce897a09c">
      <Url>https://idbg.sharepoint.com/teams/EZ-BR-LON/BR-L1520/_layouts/15/DocIdRedir.aspx?ID=EZSHARE-1413971071-21</Url>
      <Description>EZSHARE-1413971071-21</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Urls xmlns="http://schemas.microsoft.com/sharepoint/v3/contenttype/forms/url">
  <Display>_catalogs/masterpage/ECMForms/OperationsCT/View.aspx</Display>
  <Edit>_catalogs/masterpage/ECMForms/OperationsCT/Edit.aspx</Edit>
</FormUrls>
</file>

<file path=customXml/item8.xml><?xml version="1.0" encoding="utf-8"?>
<?mso-contentType ?>
<FormUrls xmlns="http://schemas.microsoft.com/sharepoint/v3/contenttype/forms/url">
  <Display>_catalogs/masterpage/ECMForms/OperationsCT/View.aspx</Display>
  <Edit>_catalogs/masterpage/ECMForms/OperationsCT/Edit.aspx</Edit>
</FormUrls>
</file>

<file path=customXml/item9.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8AB8331B-4ADA-4574-9108-571C661B7D82}"/>
</file>

<file path=customXml/itemProps2.xml><?xml version="1.0" encoding="utf-8"?>
<ds:datastoreItem xmlns:ds="http://schemas.openxmlformats.org/officeDocument/2006/customXml" ds:itemID="{398B34C9-6935-4A17-8D86-29E8F5913E5E}"/>
</file>

<file path=customXml/itemProps3.xml><?xml version="1.0" encoding="utf-8"?>
<ds:datastoreItem xmlns:ds="http://schemas.openxmlformats.org/officeDocument/2006/customXml" ds:itemID="{4676FB4A-768A-46B9-A444-998E4222509C}">
  <ds:schemaRefs>
    <ds:schemaRef ds:uri="http://schemas.microsoft.com/sharepoint/v3/contenttype/forms"/>
  </ds:schemaRefs>
</ds:datastoreItem>
</file>

<file path=customXml/itemProps4.xml><?xml version="1.0" encoding="utf-8"?>
<ds:datastoreItem xmlns:ds="http://schemas.openxmlformats.org/officeDocument/2006/customXml" ds:itemID="{CF026466-EF33-4CF9-A758-2BACD3AF1204}"/>
</file>

<file path=customXml/itemProps5.xml><?xml version="1.0" encoding="utf-8"?>
<ds:datastoreItem xmlns:ds="http://schemas.openxmlformats.org/officeDocument/2006/customXml" ds:itemID="{A5EB7C0A-D9C9-4498-8176-D491071E947E}">
  <ds:schemaRefs>
    <ds:schemaRef ds:uri="http://schemas.microsoft.com/office/2006/metadata/properties"/>
    <ds:schemaRef ds:uri="http://schemas.microsoft.com/office/infopath/2007/PartnerControls"/>
    <ds:schemaRef ds:uri="9c571b2f-e523-4ab2-ba2e-09e151a03ef4"/>
  </ds:schemaRefs>
</ds:datastoreItem>
</file>

<file path=customXml/itemProps6.xml><?xml version="1.0" encoding="utf-8"?>
<ds:datastoreItem xmlns:ds="http://schemas.openxmlformats.org/officeDocument/2006/customXml" ds:itemID="{9C4C1CFC-D3A4-48FB-9E82-FD6FEB221251}">
  <ds:schemaRefs>
    <ds:schemaRef ds:uri="http://schemas.openxmlformats.org/officeDocument/2006/bibliography"/>
  </ds:schemaRefs>
</ds:datastoreItem>
</file>

<file path=customXml/itemProps7.xml><?xml version="1.0" encoding="utf-8"?>
<ds:datastoreItem xmlns:ds="http://schemas.openxmlformats.org/officeDocument/2006/customXml" ds:itemID="{2F4D2163-20E2-4EE4-A070-128A6E553957}"/>
</file>

<file path=customXml/itemProps8.xml><?xml version="1.0" encoding="utf-8"?>
<ds:datastoreItem xmlns:ds="http://schemas.openxmlformats.org/officeDocument/2006/customXml" ds:itemID="{73F77CCD-64D2-424F-90B1-2C936F47A84B}"/>
</file>

<file path=customXml/itemProps9.xml><?xml version="1.0" encoding="utf-8"?>
<ds:datastoreItem xmlns:ds="http://schemas.openxmlformats.org/officeDocument/2006/customXml" ds:itemID="{D7550096-A3FF-4B06-B744-E2D966D72171}"/>
</file>

<file path=docProps/app.xml><?xml version="1.0" encoding="utf-8"?>
<Properties xmlns="http://schemas.openxmlformats.org/officeDocument/2006/extended-properties" xmlns:vt="http://schemas.openxmlformats.org/officeDocument/2006/docPropsVTypes">
  <Template>Normal</Template>
  <TotalTime>0</TotalTime>
  <Pages>98</Pages>
  <Words>25701</Words>
  <Characters>146498</Characters>
  <Application>Microsoft Office Word</Application>
  <DocSecurity>0</DocSecurity>
  <Lines>1220</Lines>
  <Paragraphs>343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Informe de Evaluación Financiera</vt:lpstr>
      <vt:lpstr>Informe de Evaluación Financiera</vt:lpstr>
    </vt:vector>
  </TitlesOfParts>
  <Company>Inter-American Development Bank</Company>
  <LinksUpToDate>false</LinksUpToDate>
  <CharactersWithSpaces>171856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Evaluación Financiera</dc:title>
  <dc:subject/>
  <dc:creator>Owner;EDUARDOG@iadb.org</dc:creator>
  <cp:keywords/>
  <dc:description/>
  <cp:lastModifiedBy>David Vetter</cp:lastModifiedBy>
  <cp:revision>2</cp:revision>
  <dcterms:created xsi:type="dcterms:W3CDTF">2018-05-08T22:23:00Z</dcterms:created>
  <dcterms:modified xsi:type="dcterms:W3CDTF">2018-05-08T22:23:00Z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Function Operations IDB">
    <vt:lpwstr>11;#Legal|4a833e0c-b04e-4136-8e27-6c06cac1e274</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10;#Loan Proposal|6ee86b6f-6e46-485b-8bfb-87a1f44622ac</vt:lpwstr>
  </property>
  <property fmtid="{D5CDD505-2E9C-101B-9397-08002B2CF9AE}" pid="8" name="Country">
    <vt:lpwstr>30;#Brazil|7deb27ec-6837-4974-9aa8-6cfbac841ef8</vt:lpwstr>
  </property>
  <property fmtid="{D5CDD505-2E9C-101B-9397-08002B2CF9AE}" pid="9" name="Fund IDB">
    <vt:lpwstr>278;#TBD|d62f6e05-3e80-4abd-9bb4-5f10b4906ff6</vt:lpwstr>
  </property>
  <property fmtid="{D5CDD505-2E9C-101B-9397-08002B2CF9AE}" pid="10" name="Series_x0020_Operations_x0020_IDB">
    <vt:lpwstr>10;#Loan Proposal|6ee86b6f-6e46-485b-8bfb-87a1f44622ac</vt:lpwstr>
  </property>
  <property fmtid="{D5CDD505-2E9C-101B-9397-08002B2CF9AE}" pid="11" name="To:">
    <vt:lpwstr/>
  </property>
  <property fmtid="{D5CDD505-2E9C-101B-9397-08002B2CF9AE}" pid="12" name="From:">
    <vt:lpwstr/>
  </property>
  <property fmtid="{D5CDD505-2E9C-101B-9397-08002B2CF9AE}" pid="13" name="Sector IDB">
    <vt:lpwstr>40;#URBAN DEVELOPMENT AND HOUSING|d14615ee-683d-4ec6-a5cf-ae743c6c4ac1</vt:lpwstr>
  </property>
  <property fmtid="{D5CDD505-2E9C-101B-9397-08002B2CF9AE}" pid="14" name="Sub-Sector">
    <vt:lpwstr>107;#URBAN DEVELOPMENT AND HOUSING|8ddc6614-adee-4514-9e0d-114a08c823a2</vt:lpwstr>
  </property>
  <property fmtid="{D5CDD505-2E9C-101B-9397-08002B2CF9AE}" pid="15" name="RecordStorageActiveId">
    <vt:lpwstr>51fbe001-8cd4-4aa6-9d62-22d17e5c86ed</vt:lpwstr>
  </property>
  <property fmtid="{D5CDD505-2E9C-101B-9397-08002B2CF9AE}" pid="16" name="_dlc_DocIdItemGuid">
    <vt:lpwstr>e2e85a72-d5e7-4a26-bafa-afd2d0a6f05c</vt:lpwstr>
  </property>
  <property fmtid="{D5CDD505-2E9C-101B-9397-08002B2CF9AE}" pid="17" name="ContentTypeId">
    <vt:lpwstr>0x0101001A458A224826124E8B45B1D613300CFC0067DC3D4050740141AB4D5EB8F27C8F11</vt:lpwstr>
  </property>
</Properties>
</file>