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09A" w:rsidRPr="0079509A" w:rsidRDefault="00C069F7" w:rsidP="00786D5B">
      <w:pPr>
        <w:jc w:val="center"/>
        <w:rPr>
          <w:b/>
          <w:color w:val="222222"/>
          <w:highlight w:val="white"/>
          <w:u w:val="single"/>
          <w:lang w:val="es-ES_tradnl"/>
        </w:rPr>
      </w:pPr>
      <w:r>
        <w:rPr>
          <w:b/>
          <w:color w:val="222222"/>
          <w:highlight w:val="white"/>
          <w:u w:val="single"/>
          <w:lang w:val="es-ES_tradnl"/>
        </w:rPr>
        <w:t>Enlace Electrónico No. 4</w:t>
      </w:r>
    </w:p>
    <w:p w:rsidR="0079509A" w:rsidRPr="0079509A" w:rsidRDefault="00C069F7" w:rsidP="00786D5B">
      <w:pPr>
        <w:jc w:val="center"/>
        <w:rPr>
          <w:b/>
          <w:color w:val="222222"/>
          <w:highlight w:val="white"/>
          <w:u w:val="single"/>
          <w:lang w:val="es-ES_tradnl"/>
        </w:rPr>
      </w:pPr>
      <w:r>
        <w:rPr>
          <w:b/>
          <w:color w:val="222222"/>
          <w:highlight w:val="white"/>
          <w:u w:val="single"/>
          <w:lang w:val="es-ES_tradnl"/>
        </w:rPr>
        <w:t xml:space="preserve">Nota </w:t>
      </w:r>
      <w:r w:rsidR="0079509A" w:rsidRPr="0079509A">
        <w:rPr>
          <w:b/>
          <w:color w:val="222222"/>
          <w:highlight w:val="white"/>
          <w:u w:val="single"/>
          <w:lang w:val="es-ES_tradnl"/>
        </w:rPr>
        <w:t>Estrategia Género</w:t>
      </w:r>
      <w:r w:rsidR="003A3B4B">
        <w:rPr>
          <w:b/>
          <w:color w:val="222222"/>
          <w:highlight w:val="white"/>
          <w:u w:val="single"/>
          <w:lang w:val="es-ES_tradnl"/>
        </w:rPr>
        <w:t xml:space="preserve">, </w:t>
      </w:r>
      <w:r w:rsidR="004C39C6">
        <w:rPr>
          <w:b/>
          <w:color w:val="222222"/>
          <w:highlight w:val="white"/>
          <w:u w:val="single"/>
          <w:lang w:val="es-ES_tradnl"/>
        </w:rPr>
        <w:t>d</w:t>
      </w:r>
      <w:r w:rsidR="0079509A" w:rsidRPr="0079509A">
        <w:rPr>
          <w:b/>
          <w:color w:val="222222"/>
          <w:highlight w:val="white"/>
          <w:u w:val="single"/>
          <w:lang w:val="es-ES_tradnl"/>
        </w:rPr>
        <w:t>iversidad</w:t>
      </w:r>
      <w:r w:rsidR="00B56871">
        <w:rPr>
          <w:rStyle w:val="EndnoteReference"/>
          <w:b/>
          <w:color w:val="222222"/>
          <w:highlight w:val="white"/>
          <w:u w:val="single"/>
          <w:lang w:val="es-ES_tradnl"/>
        </w:rPr>
        <w:endnoteReference w:id="1"/>
      </w:r>
      <w:r w:rsidR="003A3B4B">
        <w:rPr>
          <w:b/>
          <w:color w:val="222222"/>
          <w:highlight w:val="white"/>
          <w:u w:val="single"/>
          <w:lang w:val="es-ES_tradnl"/>
        </w:rPr>
        <w:t xml:space="preserve"> y poblaciones vulnerables</w:t>
      </w:r>
    </w:p>
    <w:p w:rsidR="0079509A" w:rsidRDefault="0079509A" w:rsidP="00786D5B">
      <w:pPr>
        <w:rPr>
          <w:color w:val="222222"/>
          <w:highlight w:val="white"/>
          <w:lang w:val="es-ES_tradnl"/>
        </w:rPr>
      </w:pPr>
    </w:p>
    <w:p w:rsidR="00BD5055" w:rsidRPr="00CB518E" w:rsidRDefault="00BD5055" w:rsidP="00C02B92">
      <w:pPr>
        <w:pStyle w:val="ColorfulList-Accent11"/>
        <w:numPr>
          <w:ilvl w:val="0"/>
          <w:numId w:val="3"/>
        </w:numPr>
        <w:ind w:left="284" w:hanging="284"/>
        <w:jc w:val="both"/>
        <w:rPr>
          <w:b/>
          <w:color w:val="222222"/>
          <w:u w:val="single"/>
          <w:lang w:val="es-ES_tradnl"/>
        </w:rPr>
      </w:pPr>
      <w:r w:rsidRPr="00CB518E">
        <w:rPr>
          <w:b/>
          <w:color w:val="222222"/>
          <w:u w:val="single"/>
          <w:lang w:val="es-ES_tradnl"/>
        </w:rPr>
        <w:t xml:space="preserve">Defensorías del Pueblo y </w:t>
      </w:r>
      <w:r w:rsidR="00F805B2">
        <w:rPr>
          <w:b/>
          <w:color w:val="222222"/>
          <w:u w:val="single"/>
          <w:lang w:val="es-ES_tradnl"/>
        </w:rPr>
        <w:t>el e</w:t>
      </w:r>
      <w:r w:rsidRPr="00CB518E">
        <w:rPr>
          <w:b/>
          <w:color w:val="222222"/>
          <w:u w:val="single"/>
          <w:lang w:val="es-ES_tradnl"/>
        </w:rPr>
        <w:t>nfoque de género</w:t>
      </w:r>
      <w:r w:rsidR="00AC484A">
        <w:rPr>
          <w:b/>
          <w:color w:val="222222"/>
          <w:u w:val="single"/>
          <w:lang w:val="es-ES_tradnl"/>
        </w:rPr>
        <w:t>,</w:t>
      </w:r>
      <w:r w:rsidR="0088772F">
        <w:rPr>
          <w:b/>
          <w:color w:val="222222"/>
          <w:u w:val="single"/>
          <w:lang w:val="es-ES_tradnl"/>
        </w:rPr>
        <w:t xml:space="preserve"> diversidad</w:t>
      </w:r>
      <w:r w:rsidR="00AC484A">
        <w:rPr>
          <w:b/>
          <w:color w:val="222222"/>
          <w:u w:val="single"/>
          <w:lang w:val="es-ES_tradnl"/>
        </w:rPr>
        <w:t xml:space="preserve"> y poblaciones vulnerables</w:t>
      </w:r>
    </w:p>
    <w:p w:rsidR="00BD5055" w:rsidRDefault="00BD5055" w:rsidP="00786D5B">
      <w:pPr>
        <w:jc w:val="both"/>
        <w:rPr>
          <w:color w:val="222222"/>
          <w:lang w:val="es-ES_tradnl"/>
        </w:rPr>
      </w:pPr>
    </w:p>
    <w:p w:rsidR="00B96783" w:rsidRDefault="00566341" w:rsidP="00786D5B">
      <w:pPr>
        <w:jc w:val="both"/>
        <w:rPr>
          <w:color w:val="222222"/>
          <w:lang w:val="es-ES_tradnl"/>
        </w:rPr>
      </w:pPr>
      <w:r>
        <w:rPr>
          <w:color w:val="222222"/>
          <w:highlight w:val="white"/>
          <w:lang w:val="es-ES_tradnl"/>
        </w:rPr>
        <w:t xml:space="preserve">Desde los años 80, se ha reconocido la importancia de la violencia </w:t>
      </w:r>
      <w:r w:rsidR="0044513F">
        <w:rPr>
          <w:color w:val="222222"/>
          <w:highlight w:val="white"/>
          <w:lang w:val="es-ES_tradnl"/>
        </w:rPr>
        <w:t>contra la mujer</w:t>
      </w:r>
      <w:r>
        <w:rPr>
          <w:color w:val="222222"/>
          <w:highlight w:val="white"/>
          <w:lang w:val="es-ES_tradnl"/>
        </w:rPr>
        <w:t xml:space="preserve"> u otras conductas lesivas de los derechos de las mujeres en la pervivencia de unas relaciones de género desiguales. A partir de esta premisa, los </w:t>
      </w:r>
      <w:r w:rsidRPr="00FC1230">
        <w:rPr>
          <w:i/>
          <w:color w:val="222222"/>
          <w:highlight w:val="white"/>
          <w:u w:val="single"/>
          <w:lang w:val="es-ES_tradnl"/>
        </w:rPr>
        <w:t>Ombudsman</w:t>
      </w:r>
      <w:r>
        <w:rPr>
          <w:color w:val="222222"/>
          <w:highlight w:val="white"/>
          <w:lang w:val="es-ES_tradnl"/>
        </w:rPr>
        <w:t xml:space="preserve"> o Defensores del Pueblo </w:t>
      </w:r>
      <w:r>
        <w:rPr>
          <w:color w:val="222222"/>
          <w:lang w:val="es-ES_tradnl"/>
        </w:rPr>
        <w:t>tienen un rol fundamental en la salvaguarda del E</w:t>
      </w:r>
      <w:r w:rsidRPr="00566341">
        <w:rPr>
          <w:color w:val="222222"/>
          <w:lang w:val="es-ES_tradnl"/>
        </w:rPr>
        <w:t xml:space="preserve">stado de </w:t>
      </w:r>
      <w:r>
        <w:rPr>
          <w:color w:val="222222"/>
          <w:lang w:val="es-ES_tradnl"/>
        </w:rPr>
        <w:t>D</w:t>
      </w:r>
      <w:r w:rsidRPr="00566341">
        <w:rPr>
          <w:color w:val="222222"/>
          <w:lang w:val="es-ES_tradnl"/>
        </w:rPr>
        <w:t xml:space="preserve">erecho </w:t>
      </w:r>
      <w:r>
        <w:rPr>
          <w:color w:val="222222"/>
          <w:lang w:val="es-ES_tradnl"/>
        </w:rPr>
        <w:t>con un enfoque diferenciado de género, así como en la garantía</w:t>
      </w:r>
      <w:r w:rsidRPr="00566341">
        <w:rPr>
          <w:color w:val="222222"/>
          <w:lang w:val="es-ES_tradnl"/>
        </w:rPr>
        <w:t xml:space="preserve"> </w:t>
      </w:r>
      <w:r>
        <w:rPr>
          <w:color w:val="222222"/>
          <w:lang w:val="es-ES_tradnl"/>
        </w:rPr>
        <w:t>d</w:t>
      </w:r>
      <w:r w:rsidRPr="00566341">
        <w:rPr>
          <w:color w:val="222222"/>
          <w:lang w:val="es-ES_tradnl"/>
        </w:rPr>
        <w:t>el acceso a la justicia para las víctimas</w:t>
      </w:r>
      <w:r>
        <w:rPr>
          <w:color w:val="222222"/>
          <w:lang w:val="es-ES_tradnl"/>
        </w:rPr>
        <w:t xml:space="preserve"> de lesión de derechos </w:t>
      </w:r>
      <w:r w:rsidR="006E3904">
        <w:rPr>
          <w:color w:val="222222"/>
          <w:lang w:val="es-ES_tradnl"/>
        </w:rPr>
        <w:t xml:space="preserve">con perspectiva de </w:t>
      </w:r>
      <w:r>
        <w:rPr>
          <w:color w:val="222222"/>
          <w:lang w:val="es-ES_tradnl"/>
        </w:rPr>
        <w:t xml:space="preserve">género, y más especialmente en lo que se refiere a violencia </w:t>
      </w:r>
      <w:r w:rsidR="006E3904">
        <w:rPr>
          <w:color w:val="222222"/>
          <w:lang w:val="es-ES_tradnl"/>
        </w:rPr>
        <w:t>basada en</w:t>
      </w:r>
      <w:r>
        <w:rPr>
          <w:color w:val="222222"/>
          <w:lang w:val="es-ES_tradnl"/>
        </w:rPr>
        <w:t xml:space="preserve"> género</w:t>
      </w:r>
      <w:r w:rsidR="00B96783">
        <w:rPr>
          <w:rStyle w:val="EndnoteReference"/>
          <w:color w:val="222222"/>
          <w:lang w:val="es-ES_tradnl"/>
        </w:rPr>
        <w:endnoteReference w:id="2"/>
      </w:r>
      <w:r w:rsidR="00B96783" w:rsidRPr="00566341">
        <w:rPr>
          <w:color w:val="222222"/>
          <w:lang w:val="es-ES_tradnl"/>
        </w:rPr>
        <w:t>.</w:t>
      </w:r>
      <w:r w:rsidR="00B96783">
        <w:rPr>
          <w:color w:val="222222"/>
          <w:lang w:val="es-ES_tradnl"/>
        </w:rPr>
        <w:t xml:space="preserve"> Según Naciones Unidas, la protección por género es u</w:t>
      </w:r>
      <w:r w:rsidR="00A1050C">
        <w:rPr>
          <w:color w:val="222222"/>
          <w:lang w:val="es-ES_tradnl"/>
        </w:rPr>
        <w:t>na obligación jurídica que ha de</w:t>
      </w:r>
      <w:r w:rsidR="00B96783">
        <w:rPr>
          <w:color w:val="222222"/>
          <w:lang w:val="es-ES_tradnl"/>
        </w:rPr>
        <w:t xml:space="preserve"> </w:t>
      </w:r>
      <w:r w:rsidR="000058D3">
        <w:rPr>
          <w:color w:val="222222"/>
          <w:lang w:val="es-ES_tradnl"/>
        </w:rPr>
        <w:t xml:space="preserve">ser </w:t>
      </w:r>
      <w:r w:rsidR="00A1050C">
        <w:rPr>
          <w:color w:val="222222"/>
          <w:lang w:val="es-ES_tradnl"/>
        </w:rPr>
        <w:t xml:space="preserve">ofrecida por </w:t>
      </w:r>
      <w:r w:rsidR="00B96783">
        <w:rPr>
          <w:color w:val="222222"/>
          <w:lang w:val="es-ES_tradnl"/>
        </w:rPr>
        <w:t>los Estados</w:t>
      </w:r>
      <w:r w:rsidR="00B96783">
        <w:rPr>
          <w:rStyle w:val="EndnoteReference"/>
          <w:color w:val="222222"/>
          <w:lang w:val="es-ES_tradnl"/>
        </w:rPr>
        <w:endnoteReference w:id="3"/>
      </w:r>
      <w:r w:rsidR="00B96783">
        <w:rPr>
          <w:color w:val="222222"/>
          <w:lang w:val="es-ES_tradnl"/>
        </w:rPr>
        <w:t>.</w:t>
      </w:r>
    </w:p>
    <w:p w:rsidR="00B96783" w:rsidRDefault="00B96783" w:rsidP="00786D5B">
      <w:pPr>
        <w:jc w:val="both"/>
        <w:rPr>
          <w:color w:val="222222"/>
          <w:lang w:val="es-ES_tradnl"/>
        </w:rPr>
      </w:pPr>
    </w:p>
    <w:p w:rsidR="00B96783" w:rsidRPr="00083891" w:rsidRDefault="00B96783" w:rsidP="00786D5B">
      <w:pPr>
        <w:jc w:val="both"/>
        <w:rPr>
          <w:color w:val="222222"/>
          <w:lang w:val="es-ES_tradnl"/>
        </w:rPr>
      </w:pPr>
      <w:r>
        <w:rPr>
          <w:color w:val="222222"/>
          <w:lang w:val="es-ES_tradnl"/>
        </w:rPr>
        <w:t>Esto ha llevado a varios países</w:t>
      </w:r>
      <w:r w:rsidR="009339FE">
        <w:rPr>
          <w:color w:val="222222"/>
          <w:lang w:val="es-ES_tradnl"/>
        </w:rPr>
        <w:t xml:space="preserve"> a crear Defensorías especialmente enfocadas </w:t>
      </w:r>
      <w:r w:rsidR="006E3904">
        <w:rPr>
          <w:color w:val="222222"/>
          <w:lang w:val="es-ES_tradnl"/>
        </w:rPr>
        <w:t>en los temas de</w:t>
      </w:r>
      <w:r w:rsidR="009339FE">
        <w:rPr>
          <w:color w:val="222222"/>
          <w:lang w:val="es-ES_tradnl"/>
        </w:rPr>
        <w:t xml:space="preserve"> g</w:t>
      </w:r>
      <w:r w:rsidR="00083891">
        <w:rPr>
          <w:color w:val="222222"/>
          <w:lang w:val="es-ES_tradnl"/>
        </w:rPr>
        <w:t>énero y/o a</w:t>
      </w:r>
      <w:r w:rsidR="007030B0">
        <w:rPr>
          <w:color w:val="222222"/>
          <w:lang w:val="es-ES_tradnl"/>
        </w:rPr>
        <w:t xml:space="preserve"> la</w:t>
      </w:r>
      <w:r w:rsidR="00083891">
        <w:rPr>
          <w:color w:val="222222"/>
          <w:lang w:val="es-ES_tradnl"/>
        </w:rPr>
        <w:t xml:space="preserve"> igualdad de género.</w:t>
      </w:r>
      <w:r w:rsidR="00A377D0" w:rsidRPr="00A377D0">
        <w:rPr>
          <w:color w:val="222222"/>
          <w:highlight w:val="white"/>
          <w:lang w:val="es-ES_tradnl"/>
        </w:rPr>
        <w:t xml:space="preserve"> </w:t>
      </w:r>
      <w:r w:rsidR="00A377D0">
        <w:rPr>
          <w:color w:val="222222"/>
          <w:highlight w:val="white"/>
          <w:lang w:val="es-ES_tradnl"/>
        </w:rPr>
        <w:t xml:space="preserve">Por ejemplo, en Finlandia, Noruega y Suecia, las Defensorías de Género son agencias independientes dentro del Gobierno. </w:t>
      </w:r>
      <w:r w:rsidR="00A377D0">
        <w:rPr>
          <w:color w:val="222222"/>
          <w:lang w:val="es-ES_tradnl"/>
        </w:rPr>
        <w:t>E</w:t>
      </w:r>
      <w:r w:rsidR="00083891">
        <w:rPr>
          <w:color w:val="222222"/>
          <w:lang w:val="es-ES_tradnl"/>
        </w:rPr>
        <w:t>n la región América Latina y Caribe</w:t>
      </w:r>
      <w:r w:rsidR="00A377D0">
        <w:rPr>
          <w:color w:val="222222"/>
          <w:lang w:val="es-ES_tradnl"/>
        </w:rPr>
        <w:t xml:space="preserve"> (ALC)</w:t>
      </w:r>
      <w:r w:rsidR="00083891">
        <w:rPr>
          <w:color w:val="222222"/>
          <w:lang w:val="es-ES_tradnl"/>
        </w:rPr>
        <w:t>, países como Bolivia, Colombia, Costa Rica, Ecuador, El Salvador, Guatemala, Honduras, Nicaragua, y Perú (entre otros) has plasmado la perspectiva de género creando al menos una sección encargada de estos temas en sus Defensorías.</w:t>
      </w:r>
    </w:p>
    <w:p w:rsidR="00B96783" w:rsidRDefault="00B96783" w:rsidP="00786D5B">
      <w:pPr>
        <w:jc w:val="both"/>
        <w:rPr>
          <w:color w:val="222222"/>
          <w:highlight w:val="white"/>
          <w:lang w:val="es-ES_tradnl"/>
        </w:rPr>
      </w:pPr>
    </w:p>
    <w:p w:rsidR="000058D3" w:rsidRDefault="00B96783" w:rsidP="00786D5B">
      <w:pPr>
        <w:jc w:val="both"/>
        <w:rPr>
          <w:color w:val="222222"/>
          <w:highlight w:val="white"/>
          <w:lang w:val="es-ES_tradnl"/>
        </w:rPr>
      </w:pPr>
      <w:r>
        <w:rPr>
          <w:color w:val="222222"/>
          <w:highlight w:val="white"/>
          <w:lang w:val="es-ES_tradnl"/>
        </w:rPr>
        <w:t xml:space="preserve">Sin embargo, la brecha de género en </w:t>
      </w:r>
      <w:r w:rsidR="00A1050C">
        <w:rPr>
          <w:color w:val="222222"/>
          <w:highlight w:val="white"/>
          <w:lang w:val="es-ES_tradnl"/>
        </w:rPr>
        <w:t xml:space="preserve">la labor </w:t>
      </w:r>
      <w:r>
        <w:rPr>
          <w:color w:val="222222"/>
          <w:highlight w:val="white"/>
          <w:lang w:val="es-ES_tradnl"/>
        </w:rPr>
        <w:t>de las Defensorías</w:t>
      </w:r>
      <w:r w:rsidR="000C4F42">
        <w:rPr>
          <w:color w:val="222222"/>
          <w:highlight w:val="white"/>
          <w:lang w:val="es-ES_tradnl"/>
        </w:rPr>
        <w:t xml:space="preserve"> a nivel mundial</w:t>
      </w:r>
      <w:r>
        <w:rPr>
          <w:color w:val="222222"/>
          <w:highlight w:val="white"/>
          <w:lang w:val="es-ES_tradnl"/>
        </w:rPr>
        <w:t xml:space="preserve"> es aún persistente. En primer lugar, esto se refiere </w:t>
      </w:r>
      <w:r w:rsidR="000058D3">
        <w:rPr>
          <w:color w:val="222222"/>
          <w:highlight w:val="white"/>
          <w:lang w:val="es-ES_tradnl"/>
        </w:rPr>
        <w:t xml:space="preserve">a </w:t>
      </w:r>
      <w:r w:rsidR="000C4F42">
        <w:rPr>
          <w:color w:val="222222"/>
          <w:highlight w:val="white"/>
          <w:lang w:val="es-ES_tradnl"/>
        </w:rPr>
        <w:t>una inadecuada</w:t>
      </w:r>
      <w:r w:rsidR="000058D3">
        <w:rPr>
          <w:color w:val="222222"/>
          <w:highlight w:val="white"/>
          <w:lang w:val="es-ES_tradnl"/>
        </w:rPr>
        <w:t xml:space="preserve"> planificación institucional </w:t>
      </w:r>
      <w:r w:rsidR="00A1050C">
        <w:rPr>
          <w:color w:val="222222"/>
          <w:highlight w:val="white"/>
          <w:lang w:val="es-ES_tradnl"/>
        </w:rPr>
        <w:t xml:space="preserve">de </w:t>
      </w:r>
      <w:r w:rsidR="000C4F42">
        <w:rPr>
          <w:color w:val="222222"/>
          <w:highlight w:val="white"/>
          <w:lang w:val="es-ES_tradnl"/>
        </w:rPr>
        <w:t>estas y otras</w:t>
      </w:r>
      <w:r w:rsidR="00A1050C">
        <w:rPr>
          <w:color w:val="222222"/>
          <w:highlight w:val="white"/>
          <w:lang w:val="es-ES_tradnl"/>
        </w:rPr>
        <w:t xml:space="preserve"> instituciones públicas. Por ejemplo, un estudio </w:t>
      </w:r>
      <w:r w:rsidR="006E3904">
        <w:rPr>
          <w:color w:val="222222"/>
          <w:highlight w:val="white"/>
          <w:lang w:val="es-ES_tradnl"/>
        </w:rPr>
        <w:t>para e</w:t>
      </w:r>
      <w:r w:rsidR="00A1050C">
        <w:rPr>
          <w:color w:val="222222"/>
          <w:highlight w:val="white"/>
          <w:lang w:val="es-ES_tradnl"/>
        </w:rPr>
        <w:t>l sistema de recogida de quejas del programa Oportunidades en México reveló la necesidad de implantar</w:t>
      </w:r>
      <w:r w:rsidR="00CE3F95">
        <w:rPr>
          <w:color w:val="222222"/>
          <w:highlight w:val="white"/>
          <w:lang w:val="es-ES_tradnl"/>
        </w:rPr>
        <w:t xml:space="preserve"> mecanismos para recoger brechas </w:t>
      </w:r>
      <w:r w:rsidR="00A1050C">
        <w:rPr>
          <w:color w:val="222222"/>
          <w:highlight w:val="white"/>
          <w:lang w:val="es-ES_tradnl"/>
        </w:rPr>
        <w:t xml:space="preserve">de género de forma integral en los Sistemas </w:t>
      </w:r>
      <w:r w:rsidR="000C4F42">
        <w:rPr>
          <w:color w:val="222222"/>
          <w:highlight w:val="white"/>
          <w:lang w:val="es-ES_tradnl"/>
        </w:rPr>
        <w:t>de Información de la institución supervisora del Programa. De igual modo, ciertos factores exógenos pueden tener especial incidencia en materia de género, como los desplazamientos producto de conflicto armado</w:t>
      </w:r>
      <w:r w:rsidR="000C4F42">
        <w:rPr>
          <w:rStyle w:val="EndnoteReference"/>
          <w:color w:val="222222"/>
          <w:highlight w:val="white"/>
          <w:lang w:val="es-ES_tradnl"/>
        </w:rPr>
        <w:endnoteReference w:id="4"/>
      </w:r>
      <w:r w:rsidR="000C4F42">
        <w:rPr>
          <w:color w:val="222222"/>
          <w:highlight w:val="white"/>
          <w:lang w:val="es-ES_tradnl"/>
        </w:rPr>
        <w:t>.</w:t>
      </w:r>
    </w:p>
    <w:p w:rsidR="000058D3" w:rsidRDefault="00C069F7" w:rsidP="00C069F7">
      <w:pPr>
        <w:tabs>
          <w:tab w:val="left" w:pos="2683"/>
        </w:tabs>
        <w:jc w:val="both"/>
        <w:rPr>
          <w:color w:val="222222"/>
          <w:highlight w:val="white"/>
          <w:lang w:val="es-ES_tradnl"/>
        </w:rPr>
      </w:pPr>
      <w:r>
        <w:rPr>
          <w:color w:val="222222"/>
          <w:highlight w:val="white"/>
          <w:lang w:val="es-ES_tradnl"/>
        </w:rPr>
        <w:tab/>
      </w:r>
    </w:p>
    <w:p w:rsidR="003A649A" w:rsidRPr="0079509A" w:rsidRDefault="000058D3" w:rsidP="00786D5B">
      <w:pPr>
        <w:jc w:val="both"/>
        <w:rPr>
          <w:color w:val="222222"/>
          <w:highlight w:val="white"/>
          <w:lang w:val="es-ES_tradnl"/>
        </w:rPr>
      </w:pPr>
      <w:r>
        <w:rPr>
          <w:color w:val="222222"/>
          <w:highlight w:val="white"/>
          <w:lang w:val="es-ES_tradnl"/>
        </w:rPr>
        <w:t xml:space="preserve">En </w:t>
      </w:r>
      <w:r w:rsidR="00A1050C">
        <w:rPr>
          <w:color w:val="222222"/>
          <w:highlight w:val="white"/>
          <w:lang w:val="es-ES_tradnl"/>
        </w:rPr>
        <w:t>segundo</w:t>
      </w:r>
      <w:r>
        <w:rPr>
          <w:color w:val="222222"/>
          <w:highlight w:val="white"/>
          <w:lang w:val="es-ES_tradnl"/>
        </w:rPr>
        <w:t xml:space="preserve"> lugar, </w:t>
      </w:r>
      <w:r w:rsidR="006E3904">
        <w:rPr>
          <w:color w:val="222222"/>
          <w:highlight w:val="white"/>
          <w:lang w:val="es-ES_tradnl"/>
        </w:rPr>
        <w:t xml:space="preserve">se </w:t>
      </w:r>
      <w:r w:rsidR="006E3904" w:rsidRPr="00C02B92">
        <w:rPr>
          <w:color w:val="222222"/>
          <w:highlight w:val="white"/>
          <w:lang w:val="es-ES_tradnl"/>
        </w:rPr>
        <w:t>reconoce</w:t>
      </w:r>
      <w:r w:rsidR="006E3904">
        <w:rPr>
          <w:color w:val="222222"/>
          <w:highlight w:val="white"/>
          <w:lang w:val="es-ES_tradnl"/>
        </w:rPr>
        <w:t xml:space="preserve"> que existen desigualdades en el acceso de hombres y mujeres </w:t>
      </w:r>
      <w:r w:rsidR="00B96783">
        <w:rPr>
          <w:color w:val="222222"/>
          <w:highlight w:val="white"/>
          <w:lang w:val="es-ES_tradnl"/>
        </w:rPr>
        <w:t>a los servicios de la institución.</w:t>
      </w:r>
      <w:r w:rsidR="003A649A">
        <w:rPr>
          <w:rStyle w:val="EndnoteReference"/>
          <w:color w:val="222222"/>
          <w:highlight w:val="white"/>
          <w:lang w:val="es-ES_tradnl"/>
        </w:rPr>
        <w:endnoteReference w:id="5"/>
      </w:r>
      <w:r w:rsidR="003A649A">
        <w:rPr>
          <w:color w:val="222222"/>
          <w:highlight w:val="white"/>
          <w:lang w:val="es-ES_tradnl"/>
        </w:rPr>
        <w:t xml:space="preserve"> Por ejemplo, datos de encuesta recogidos en Bélgica ejemplifican </w:t>
      </w:r>
      <w:r w:rsidR="003A649A" w:rsidRPr="0079509A">
        <w:rPr>
          <w:color w:val="222222"/>
          <w:highlight w:val="white"/>
          <w:lang w:val="es-ES_tradnl"/>
        </w:rPr>
        <w:t>que</w:t>
      </w:r>
      <w:r w:rsidR="003A649A">
        <w:rPr>
          <w:color w:val="222222"/>
          <w:highlight w:val="white"/>
          <w:lang w:val="es-ES_tradnl"/>
        </w:rPr>
        <w:t xml:space="preserve"> el porcentaje de hombres que remitieron una queja o consulta a la Defensoría del Pueblo del país fue el doble </w:t>
      </w:r>
      <w:r w:rsidR="003A649A" w:rsidRPr="0079509A">
        <w:rPr>
          <w:color w:val="222222"/>
          <w:highlight w:val="white"/>
          <w:lang w:val="es-ES_tradnl"/>
        </w:rPr>
        <w:t xml:space="preserve">que </w:t>
      </w:r>
      <w:r w:rsidR="003A649A">
        <w:rPr>
          <w:color w:val="222222"/>
          <w:highlight w:val="white"/>
          <w:lang w:val="es-ES_tradnl"/>
        </w:rPr>
        <w:t xml:space="preserve">el de </w:t>
      </w:r>
      <w:r w:rsidR="003A649A" w:rsidRPr="0079509A">
        <w:rPr>
          <w:color w:val="222222"/>
          <w:highlight w:val="white"/>
          <w:lang w:val="es-ES_tradnl"/>
        </w:rPr>
        <w:t>mujeres. En muchos casos, aunque</w:t>
      </w:r>
      <w:r w:rsidR="003A649A">
        <w:rPr>
          <w:color w:val="222222"/>
          <w:highlight w:val="white"/>
          <w:lang w:val="es-ES_tradnl"/>
        </w:rPr>
        <w:t xml:space="preserve"> los derechos de la mujer hayan sido</w:t>
      </w:r>
      <w:r w:rsidR="003A649A" w:rsidRPr="0079509A">
        <w:rPr>
          <w:color w:val="222222"/>
          <w:highlight w:val="white"/>
          <w:lang w:val="es-ES_tradnl"/>
        </w:rPr>
        <w:t xml:space="preserve"> </w:t>
      </w:r>
      <w:r w:rsidR="003A649A">
        <w:rPr>
          <w:color w:val="222222"/>
          <w:highlight w:val="white"/>
          <w:lang w:val="es-ES_tradnl"/>
        </w:rPr>
        <w:t xml:space="preserve">violados, </w:t>
      </w:r>
      <w:r w:rsidR="003A649A" w:rsidRPr="0079509A">
        <w:rPr>
          <w:color w:val="222222"/>
          <w:highlight w:val="white"/>
          <w:lang w:val="es-ES_tradnl"/>
        </w:rPr>
        <w:t>son sus parejas quienes remit</w:t>
      </w:r>
      <w:r w:rsidR="003A649A">
        <w:rPr>
          <w:color w:val="222222"/>
          <w:highlight w:val="white"/>
          <w:lang w:val="es-ES_tradnl"/>
        </w:rPr>
        <w:t>i</w:t>
      </w:r>
      <w:r w:rsidR="003A649A" w:rsidRPr="0079509A">
        <w:rPr>
          <w:color w:val="222222"/>
          <w:highlight w:val="white"/>
          <w:lang w:val="es-ES_tradnl"/>
        </w:rPr>
        <w:t>e</w:t>
      </w:r>
      <w:r w:rsidR="003A649A">
        <w:rPr>
          <w:color w:val="222222"/>
          <w:highlight w:val="white"/>
          <w:lang w:val="es-ES_tradnl"/>
        </w:rPr>
        <w:t>ro</w:t>
      </w:r>
      <w:r w:rsidR="003A649A" w:rsidRPr="0079509A">
        <w:rPr>
          <w:color w:val="222222"/>
          <w:highlight w:val="white"/>
          <w:lang w:val="es-ES_tradnl"/>
        </w:rPr>
        <w:t>n la</w:t>
      </w:r>
      <w:r w:rsidR="003A649A">
        <w:rPr>
          <w:color w:val="222222"/>
          <w:highlight w:val="white"/>
          <w:lang w:val="es-ES_tradnl"/>
        </w:rPr>
        <w:t>s</w:t>
      </w:r>
      <w:r w:rsidR="003A649A" w:rsidRPr="0079509A">
        <w:rPr>
          <w:color w:val="222222"/>
          <w:highlight w:val="white"/>
          <w:lang w:val="es-ES_tradnl"/>
        </w:rPr>
        <w:t xml:space="preserve"> denuncias</w:t>
      </w:r>
      <w:r w:rsidR="003A649A">
        <w:rPr>
          <w:color w:val="222222"/>
          <w:highlight w:val="white"/>
          <w:lang w:val="es-ES_tradnl"/>
        </w:rPr>
        <w:t xml:space="preserve">. Sobre este dato se montan otros dos que pueden ayudar a la caracterización de esta brecha de género por grupos sociodemográficos. Por un lado, </w:t>
      </w:r>
      <w:r w:rsidR="003A649A" w:rsidRPr="0079509A">
        <w:rPr>
          <w:color w:val="222222"/>
          <w:highlight w:val="white"/>
          <w:lang w:val="es-ES_tradnl"/>
        </w:rPr>
        <w:t xml:space="preserve">las poblaciones </w:t>
      </w:r>
      <w:r w:rsidR="003A649A">
        <w:rPr>
          <w:color w:val="222222"/>
          <w:highlight w:val="white"/>
          <w:lang w:val="es-ES_tradnl"/>
        </w:rPr>
        <w:t>por debajo de cuarenta años y por encima de sesenta han interpuesto menos denuncias. Además,</w:t>
      </w:r>
      <w:r w:rsidR="003A649A" w:rsidRPr="0079509A">
        <w:rPr>
          <w:color w:val="222222"/>
          <w:highlight w:val="white"/>
          <w:lang w:val="es-ES_tradnl"/>
        </w:rPr>
        <w:t xml:space="preserve"> </w:t>
      </w:r>
      <w:r w:rsidR="003A649A">
        <w:rPr>
          <w:color w:val="222222"/>
          <w:highlight w:val="white"/>
          <w:lang w:val="es-ES_tradnl"/>
        </w:rPr>
        <w:t xml:space="preserve">a más educación, </w:t>
      </w:r>
      <w:r w:rsidR="003A649A" w:rsidRPr="0079509A">
        <w:rPr>
          <w:color w:val="222222"/>
          <w:highlight w:val="white"/>
          <w:lang w:val="es-ES_tradnl"/>
        </w:rPr>
        <w:t xml:space="preserve">más </w:t>
      </w:r>
      <w:r w:rsidR="003A649A">
        <w:rPr>
          <w:color w:val="222222"/>
          <w:highlight w:val="white"/>
          <w:lang w:val="es-ES_tradnl"/>
        </w:rPr>
        <w:t xml:space="preserve">han utilizado </w:t>
      </w:r>
      <w:r w:rsidR="003A649A" w:rsidRPr="0079509A">
        <w:rPr>
          <w:color w:val="222222"/>
          <w:highlight w:val="white"/>
          <w:lang w:val="es-ES_tradnl"/>
        </w:rPr>
        <w:t>los servicios</w:t>
      </w:r>
      <w:r w:rsidR="003A649A">
        <w:rPr>
          <w:color w:val="222222"/>
          <w:highlight w:val="white"/>
          <w:lang w:val="es-ES_tradnl"/>
        </w:rPr>
        <w:t xml:space="preserve"> de la Defensoría belga</w:t>
      </w:r>
      <w:r w:rsidR="003A649A">
        <w:rPr>
          <w:rStyle w:val="EndnoteReference"/>
          <w:color w:val="222222"/>
          <w:highlight w:val="white"/>
          <w:lang w:val="es-ES_tradnl"/>
        </w:rPr>
        <w:endnoteReference w:id="6"/>
      </w:r>
      <w:r w:rsidR="003A649A">
        <w:rPr>
          <w:color w:val="222222"/>
          <w:highlight w:val="white"/>
          <w:lang w:val="es-ES_tradnl"/>
        </w:rPr>
        <w:t>.</w:t>
      </w:r>
      <w:r w:rsidR="003A649A" w:rsidRPr="0079509A">
        <w:rPr>
          <w:color w:val="222222"/>
          <w:highlight w:val="white"/>
          <w:lang w:val="es-ES_tradnl"/>
        </w:rPr>
        <w:t xml:space="preserve"> </w:t>
      </w:r>
    </w:p>
    <w:p w:rsidR="003A649A" w:rsidRDefault="003A649A" w:rsidP="00786D5B">
      <w:pPr>
        <w:jc w:val="both"/>
        <w:rPr>
          <w:color w:val="222222"/>
          <w:highlight w:val="white"/>
          <w:lang w:val="es-ES_tradnl"/>
        </w:rPr>
      </w:pPr>
    </w:p>
    <w:p w:rsidR="003A649A" w:rsidRDefault="003A649A" w:rsidP="00786D5B">
      <w:pPr>
        <w:jc w:val="both"/>
        <w:rPr>
          <w:color w:val="222222"/>
          <w:highlight w:val="white"/>
          <w:lang w:val="es-ES_tradnl"/>
        </w:rPr>
      </w:pPr>
      <w:r>
        <w:rPr>
          <w:color w:val="222222"/>
          <w:highlight w:val="white"/>
          <w:lang w:val="es-ES_tradnl"/>
        </w:rPr>
        <w:t>En tercer lugar, la correcta comunicación de las actividades de las defensorías en materia de género y con enfoque de género es fundamental para mejorar los servicios prestados por estas instituciones. En el caso antes citado de las Defensorías escandinavas y Finlandia</w:t>
      </w:r>
      <w:r>
        <w:rPr>
          <w:rStyle w:val="EndnoteReference"/>
          <w:color w:val="222222"/>
          <w:highlight w:val="white"/>
          <w:lang w:val="es-ES_tradnl"/>
        </w:rPr>
        <w:endnoteReference w:id="7"/>
      </w:r>
      <w:r>
        <w:rPr>
          <w:color w:val="222222"/>
          <w:highlight w:val="white"/>
          <w:lang w:val="es-ES_tradnl"/>
        </w:rPr>
        <w:t xml:space="preserve">, campañas específicas con enfoque de género (superando el enfoque exclusivamente centrado en la mujer) </w:t>
      </w:r>
      <w:r>
        <w:rPr>
          <w:color w:val="222222"/>
          <w:highlight w:val="white"/>
          <w:lang w:val="es-ES_tradnl"/>
        </w:rPr>
        <w:lastRenderedPageBreak/>
        <w:t>han sido llevadas a cabo para concienciar sobre la importancia de recurrir a los servicios del Ombudsman y ayudar a la participación de los ciudadanos con la institución.</w:t>
      </w:r>
    </w:p>
    <w:p w:rsidR="003A649A" w:rsidRDefault="003A649A" w:rsidP="00786D5B">
      <w:pPr>
        <w:jc w:val="both"/>
        <w:rPr>
          <w:color w:val="222222"/>
          <w:highlight w:val="white"/>
          <w:lang w:val="es-ES_tradnl"/>
        </w:rPr>
      </w:pPr>
    </w:p>
    <w:p w:rsidR="003A649A" w:rsidRPr="003A649A" w:rsidRDefault="003A649A" w:rsidP="00786D5B">
      <w:pPr>
        <w:jc w:val="both"/>
        <w:rPr>
          <w:color w:val="222222"/>
          <w:lang w:val="es-ES_tradnl"/>
        </w:rPr>
      </w:pPr>
      <w:r w:rsidRPr="00A8302F">
        <w:rPr>
          <w:color w:val="222222"/>
          <w:lang w:val="es-ES_tradnl"/>
        </w:rPr>
        <w:t>Así mismo los Defensores del Pueblo tienen un rol fundamental para</w:t>
      </w:r>
      <w:r>
        <w:rPr>
          <w:color w:val="222222"/>
          <w:lang w:val="es-ES_tradnl"/>
        </w:rPr>
        <w:t xml:space="preserve"> proteger los Derechos Humanos de las minorías especialmente vulnerables. En este sentido, lo expuesto en Carta de París para una Nueva Europa (1991) ejemplifica un conjunto de principios para una adecuada protección material de las personas</w:t>
      </w:r>
      <w:r>
        <w:rPr>
          <w:rStyle w:val="EndnoteReference"/>
          <w:color w:val="222222"/>
          <w:lang w:val="es-ES_tradnl"/>
        </w:rPr>
        <w:endnoteReference w:id="8"/>
      </w:r>
      <w:r>
        <w:rPr>
          <w:color w:val="222222"/>
          <w:lang w:val="es-ES_tradnl"/>
        </w:rPr>
        <w:t>. Estos principios fueron adoptados a posteriori por la Asamblea General de Naciones Unidas</w:t>
      </w:r>
      <w:r>
        <w:rPr>
          <w:rStyle w:val="EndnoteReference"/>
          <w:color w:val="222222"/>
          <w:lang w:val="es-ES_tradnl"/>
        </w:rPr>
        <w:endnoteReference w:id="9"/>
      </w:r>
      <w:r>
        <w:rPr>
          <w:color w:val="222222"/>
          <w:lang w:val="es-ES_tradnl"/>
        </w:rPr>
        <w:t xml:space="preserve"> y hoy presentan carácter general a nivel global para todos los Ombudsman</w:t>
      </w:r>
      <w:r>
        <w:rPr>
          <w:rStyle w:val="EndnoteReference"/>
          <w:color w:val="222222"/>
          <w:lang w:val="es-ES_tradnl"/>
        </w:rPr>
        <w:endnoteReference w:id="10"/>
      </w:r>
      <w:r>
        <w:rPr>
          <w:color w:val="222222"/>
          <w:lang w:val="es-ES_tradnl"/>
        </w:rPr>
        <w:t xml:space="preserve">. </w:t>
      </w:r>
      <w:r w:rsidR="006503FD">
        <w:rPr>
          <w:color w:val="222222"/>
          <w:lang w:val="es-ES_tradnl"/>
        </w:rPr>
        <w:t xml:space="preserve">Teniendo esto en cuenta, </w:t>
      </w:r>
      <w:r w:rsidR="006503FD">
        <w:rPr>
          <w:lang w:val="es-ES_tradnl"/>
        </w:rPr>
        <w:t>Finlandia y Hungría fueron los primeros países europeos en crear un Ombudsman especializado en protección de minorías</w:t>
      </w:r>
      <w:r w:rsidR="006503FD">
        <w:rPr>
          <w:rStyle w:val="EndnoteReference"/>
          <w:lang w:val="es-ES_tradnl"/>
        </w:rPr>
        <w:endnoteReference w:id="11"/>
      </w:r>
      <w:r w:rsidR="006503FD">
        <w:rPr>
          <w:lang w:val="es-ES_tradnl"/>
        </w:rPr>
        <w:t xml:space="preserve">. </w:t>
      </w:r>
      <w:r w:rsidR="006503FD">
        <w:rPr>
          <w:color w:val="222222"/>
          <w:lang w:val="es-ES_tradnl"/>
        </w:rPr>
        <w:t>En América Latina y el Caribe, estos principios también generaron un desarrollo legislativo e institucional posterior:</w:t>
      </w:r>
      <w:r>
        <w:rPr>
          <w:color w:val="222222"/>
          <w:lang w:val="es-ES_tradnl"/>
        </w:rPr>
        <w:t xml:space="preserve"> Uruguay llevó a cabo un proceso de adaptación legislativa interna para poder transponer el contenido material de dichos Principios</w:t>
      </w:r>
      <w:r>
        <w:rPr>
          <w:rStyle w:val="EndnoteReference"/>
          <w:color w:val="222222"/>
          <w:lang w:val="es-ES_tradnl"/>
        </w:rPr>
        <w:endnoteReference w:id="12"/>
      </w:r>
      <w:r>
        <w:rPr>
          <w:color w:val="222222"/>
          <w:lang w:val="es-ES_tradnl"/>
        </w:rPr>
        <w:t xml:space="preserve">, lo cual conllevó la creación de la </w:t>
      </w:r>
      <w:r w:rsidRPr="003A649A">
        <w:rPr>
          <w:lang w:val="es-ES_tradnl"/>
        </w:rPr>
        <w:t>Institución Nacional de Derechos Humanos y Defensoría del Pueblo (INDDHH</w:t>
      </w:r>
      <w:r>
        <w:rPr>
          <w:lang w:val="es-ES_tradnl"/>
        </w:rPr>
        <w:t>)</w:t>
      </w:r>
      <w:r w:rsidR="006503FD">
        <w:rPr>
          <w:lang w:val="es-ES_tradnl"/>
        </w:rPr>
        <w:t xml:space="preserve"> del país</w:t>
      </w:r>
      <w:r>
        <w:rPr>
          <w:lang w:val="es-ES_tradnl"/>
        </w:rPr>
        <w:t xml:space="preserve">. </w:t>
      </w:r>
    </w:p>
    <w:p w:rsidR="003A649A" w:rsidRPr="00C02B92" w:rsidRDefault="003A649A" w:rsidP="00786D5B">
      <w:pPr>
        <w:jc w:val="both"/>
        <w:rPr>
          <w:color w:val="222222"/>
          <w:highlight w:val="yellow"/>
          <w:lang w:val="es-ES_tradnl"/>
        </w:rPr>
      </w:pPr>
    </w:p>
    <w:p w:rsidR="003A649A" w:rsidRPr="00CB518E" w:rsidRDefault="003A649A" w:rsidP="00C02B92">
      <w:pPr>
        <w:pStyle w:val="ColorfulList-Accent11"/>
        <w:numPr>
          <w:ilvl w:val="0"/>
          <w:numId w:val="3"/>
        </w:numPr>
        <w:ind w:left="426" w:hanging="426"/>
        <w:jc w:val="both"/>
        <w:rPr>
          <w:b/>
          <w:color w:val="222222"/>
          <w:u w:val="single"/>
          <w:lang w:val="es-ES_tradnl"/>
        </w:rPr>
      </w:pPr>
      <w:r>
        <w:rPr>
          <w:b/>
          <w:color w:val="222222"/>
          <w:u w:val="single"/>
          <w:lang w:val="es-ES_tradnl"/>
        </w:rPr>
        <w:t>El enfoque de género, diversidad y poblaciones vulnerables en l</w:t>
      </w:r>
      <w:r w:rsidRPr="00CB518E">
        <w:rPr>
          <w:b/>
          <w:color w:val="222222"/>
          <w:u w:val="single"/>
          <w:lang w:val="es-ES_tradnl"/>
        </w:rPr>
        <w:t>a Defensoría del Pueblo de Colombia: situación y brechas.</w:t>
      </w:r>
    </w:p>
    <w:p w:rsidR="003A649A" w:rsidRDefault="003A649A" w:rsidP="00786D5B">
      <w:pPr>
        <w:pStyle w:val="ColorfulList-Accent11"/>
        <w:rPr>
          <w:color w:val="222222"/>
          <w:lang w:val="es-ES_tradnl"/>
        </w:rPr>
      </w:pPr>
    </w:p>
    <w:p w:rsidR="003A649A" w:rsidRDefault="003A649A" w:rsidP="00C02B92">
      <w:pPr>
        <w:jc w:val="both"/>
        <w:rPr>
          <w:color w:val="222222"/>
          <w:lang w:val="es-ES_tradnl"/>
        </w:rPr>
      </w:pPr>
      <w:r>
        <w:rPr>
          <w:color w:val="222222"/>
          <w:lang w:val="es-ES_tradnl"/>
        </w:rPr>
        <w:t xml:space="preserve">El </w:t>
      </w:r>
      <w:r w:rsidRPr="00C517B4">
        <w:rPr>
          <w:lang w:val="es-ES_tradnl" w:eastAsia="es-CO"/>
        </w:rPr>
        <w:t>enfoque diferencial</w:t>
      </w:r>
      <w:r>
        <w:rPr>
          <w:rStyle w:val="EndnoteReference"/>
          <w:lang w:val="es-ES_tradnl" w:eastAsia="es-CO"/>
        </w:rPr>
        <w:endnoteReference w:id="13"/>
      </w:r>
      <w:r w:rsidRPr="00C517B4">
        <w:rPr>
          <w:lang w:val="es-ES_tradnl" w:eastAsia="es-CO"/>
        </w:rPr>
        <w:t>y de género</w:t>
      </w:r>
      <w:r w:rsidRPr="00B276B0">
        <w:rPr>
          <w:color w:val="222222"/>
          <w:lang w:val="es-ES_tradnl"/>
        </w:rPr>
        <w:t xml:space="preserve"> </w:t>
      </w:r>
      <w:r>
        <w:rPr>
          <w:color w:val="222222"/>
          <w:lang w:val="es-ES_tradnl"/>
        </w:rPr>
        <w:t xml:space="preserve">es un principio orientador del Plan </w:t>
      </w:r>
      <w:r w:rsidRPr="00C517B4">
        <w:rPr>
          <w:lang w:val="es-ES_tradnl" w:eastAsia="es-CO"/>
        </w:rPr>
        <w:t xml:space="preserve">Estratégico 2017 – 2020 </w:t>
      </w:r>
      <w:r>
        <w:rPr>
          <w:lang w:val="es-ES_tradnl" w:eastAsia="es-CO"/>
        </w:rPr>
        <w:t>de l</w:t>
      </w:r>
      <w:r w:rsidRPr="00B276B0">
        <w:rPr>
          <w:color w:val="222222"/>
          <w:lang w:val="es-ES_tradnl"/>
        </w:rPr>
        <w:t>a Defensoría del Pueblo de Colombia (DPC)</w:t>
      </w:r>
      <w:r>
        <w:rPr>
          <w:color w:val="222222"/>
          <w:lang w:val="es-ES_tradnl"/>
        </w:rPr>
        <w:t>. En aras de operacionalizar la actividad en la materia, la DPC</w:t>
      </w:r>
      <w:r w:rsidRPr="00B276B0">
        <w:rPr>
          <w:color w:val="222222"/>
          <w:lang w:val="es-ES_tradnl"/>
        </w:rPr>
        <w:t xml:space="preserve"> cuenta con una Defensoría Delegada </w:t>
      </w:r>
      <w:r w:rsidRPr="00B276B0">
        <w:rPr>
          <w:lang w:val="es-ES_tradnl"/>
        </w:rPr>
        <w:t>para los Derechos de las Mujeres y los Asuntos de Género</w:t>
      </w:r>
      <w:r w:rsidRPr="00B276B0">
        <w:rPr>
          <w:color w:val="222222"/>
          <w:lang w:val="es-ES_tradnl"/>
        </w:rPr>
        <w:t xml:space="preserve">, creada mediante la </w:t>
      </w:r>
      <w:r w:rsidRPr="00B276B0">
        <w:rPr>
          <w:lang w:val="es-ES_tradnl"/>
        </w:rPr>
        <w:t xml:space="preserve">Resolución 063 </w:t>
      </w:r>
      <w:r>
        <w:rPr>
          <w:lang w:val="es-ES_tradnl"/>
        </w:rPr>
        <w:t>en el año 2014</w:t>
      </w:r>
      <w:r w:rsidRPr="00B276B0">
        <w:rPr>
          <w:color w:val="222222"/>
          <w:lang w:val="es-ES_tradnl"/>
        </w:rPr>
        <w:t>.</w:t>
      </w:r>
      <w:r>
        <w:rPr>
          <w:color w:val="222222"/>
          <w:lang w:val="es-ES_tradnl"/>
        </w:rPr>
        <w:t xml:space="preserve"> </w:t>
      </w:r>
      <w:r w:rsidRPr="00B276B0">
        <w:rPr>
          <w:lang w:val="es-ES_tradnl"/>
        </w:rPr>
        <w:t>Entre sus funciones</w:t>
      </w:r>
      <w:r>
        <w:rPr>
          <w:lang w:val="es-ES_tradnl"/>
        </w:rPr>
        <w:t xml:space="preserve"> se encuentran la de asesorar a las demás instituciones del Estado en estas materias,</w:t>
      </w:r>
      <w:r w:rsidRPr="00B276B0">
        <w:rPr>
          <w:lang w:val="es-ES_tradnl"/>
        </w:rPr>
        <w:t xml:space="preserve"> coordinar con las Defensorías Regionales la implementación, seguimiento, evaluación y monitoreo de los programas que permitan la realización de los </w:t>
      </w:r>
      <w:r>
        <w:rPr>
          <w:lang w:val="es-ES_tradnl"/>
        </w:rPr>
        <w:t>D</w:t>
      </w:r>
      <w:r w:rsidRPr="00B276B0">
        <w:rPr>
          <w:lang w:val="es-ES_tradnl"/>
        </w:rPr>
        <w:t xml:space="preserve">erechos </w:t>
      </w:r>
      <w:r>
        <w:rPr>
          <w:lang w:val="es-ES_tradnl"/>
        </w:rPr>
        <w:t>H</w:t>
      </w:r>
      <w:r w:rsidRPr="00B276B0">
        <w:rPr>
          <w:lang w:val="es-ES_tradnl"/>
        </w:rPr>
        <w:t>umanos</w:t>
      </w:r>
      <w:r>
        <w:rPr>
          <w:lang w:val="es-ES_tradnl"/>
        </w:rPr>
        <w:t xml:space="preserve"> bajo su mandato</w:t>
      </w:r>
      <w:r w:rsidRPr="00B276B0">
        <w:rPr>
          <w:lang w:val="es-ES_tradnl"/>
        </w:rPr>
        <w:t xml:space="preserve">, y participar en los procesos de capacitación y formación para la búsqueda de la promoción y acceso a la justicia de las personas sujetos de derechos, relacionados con la Delegada, en coordinación con el Despacho del </w:t>
      </w:r>
      <w:proofErr w:type="spellStart"/>
      <w:r w:rsidRPr="00B276B0">
        <w:rPr>
          <w:lang w:val="es-ES_tradnl"/>
        </w:rPr>
        <w:t>Vicedefensor</w:t>
      </w:r>
      <w:proofErr w:type="spellEnd"/>
      <w:r>
        <w:rPr>
          <w:rStyle w:val="EndnoteReference"/>
          <w:lang w:val="es-ES_tradnl"/>
        </w:rPr>
        <w:endnoteReference w:id="14"/>
      </w:r>
      <w:r>
        <w:rPr>
          <w:color w:val="222222"/>
          <w:lang w:val="es-ES_tradnl"/>
        </w:rPr>
        <w:t xml:space="preserve">. </w:t>
      </w:r>
    </w:p>
    <w:p w:rsidR="003A649A" w:rsidRDefault="003A649A" w:rsidP="00C02B92">
      <w:pPr>
        <w:jc w:val="both"/>
        <w:rPr>
          <w:color w:val="222222"/>
          <w:lang w:val="es-ES_tradnl"/>
        </w:rPr>
      </w:pPr>
    </w:p>
    <w:p w:rsidR="003A649A" w:rsidRDefault="003A649A" w:rsidP="00C02B92">
      <w:pPr>
        <w:jc w:val="both"/>
        <w:rPr>
          <w:color w:val="3D3C3B"/>
          <w:lang w:val="es-CO" w:eastAsia="es-CO"/>
        </w:rPr>
      </w:pPr>
      <w:r>
        <w:rPr>
          <w:color w:val="222222"/>
          <w:lang w:val="es-ES_tradnl"/>
        </w:rPr>
        <w:t xml:space="preserve">En materia de Defensoría Pública, se deben también de tutelar los derechos de las mujeres </w:t>
      </w:r>
      <w:proofErr w:type="gramStart"/>
      <w:r>
        <w:rPr>
          <w:color w:val="222222"/>
          <w:lang w:val="es-ES_tradnl"/>
        </w:rPr>
        <w:t>como</w:t>
      </w:r>
      <w:proofErr w:type="gramEnd"/>
      <w:r>
        <w:rPr>
          <w:color w:val="222222"/>
          <w:lang w:val="es-ES_tradnl"/>
        </w:rPr>
        <w:t xml:space="preserve"> </w:t>
      </w:r>
      <w:r w:rsidRPr="00377350">
        <w:rPr>
          <w:color w:val="222222"/>
          <w:lang w:val="es-ES_tradnl"/>
        </w:rPr>
        <w:t>por ejemplo</w:t>
      </w:r>
      <w:r>
        <w:rPr>
          <w:color w:val="222222"/>
          <w:lang w:val="es-ES_tradnl"/>
        </w:rPr>
        <w:t>,</w:t>
      </w:r>
      <w:r w:rsidRPr="00377350">
        <w:rPr>
          <w:color w:val="222222"/>
          <w:lang w:val="es-ES_tradnl"/>
        </w:rPr>
        <w:t xml:space="preserve"> </w:t>
      </w:r>
      <w:r w:rsidRPr="00377350">
        <w:rPr>
          <w:color w:val="3D3C3B"/>
          <w:lang w:val="es-CO" w:eastAsia="es-CO"/>
        </w:rPr>
        <w:t>evitar la revictimización basada en los prejuicios, actuar conforme a las exigencias procesales especiales cuando la víctima es una mujer, e identificar las causas estructurales de la violencia contra las mujeres, entre otras</w:t>
      </w:r>
      <w:r>
        <w:rPr>
          <w:color w:val="3D3C3B"/>
          <w:lang w:val="es-CO" w:eastAsia="es-CO"/>
        </w:rPr>
        <w:t xml:space="preserve"> causas</w:t>
      </w:r>
      <w:r w:rsidRPr="00377350">
        <w:rPr>
          <w:color w:val="3D3C3B"/>
          <w:lang w:val="es-CO" w:eastAsia="es-CO"/>
        </w:rPr>
        <w:t>.</w:t>
      </w:r>
    </w:p>
    <w:p w:rsidR="003A649A" w:rsidRDefault="003A649A" w:rsidP="00C02B92">
      <w:pPr>
        <w:jc w:val="both"/>
        <w:rPr>
          <w:color w:val="3D3C3B"/>
          <w:lang w:val="es-CO" w:eastAsia="es-CO"/>
        </w:rPr>
      </w:pPr>
    </w:p>
    <w:p w:rsidR="003A649A" w:rsidRDefault="003A649A" w:rsidP="00C02B92">
      <w:pPr>
        <w:jc w:val="both"/>
        <w:rPr>
          <w:lang w:val="es-ES_tradnl"/>
        </w:rPr>
      </w:pPr>
      <w:r>
        <w:rPr>
          <w:color w:val="222222"/>
          <w:highlight w:val="white"/>
          <w:lang w:val="es-ES_tradnl"/>
        </w:rPr>
        <w:t xml:space="preserve">Una característica fundamental en materia de género de la DPC es la existencia de las duplas de género. Estas duplas tienen la función de brindar atención psicológica especializada al ciudadano/a en el momento de la recepción de un caso y durante </w:t>
      </w:r>
      <w:r w:rsidRPr="005F63CC">
        <w:rPr>
          <w:lang w:val="es-ES_tradnl"/>
        </w:rPr>
        <w:t>todo el proceso de restitución de derechos</w:t>
      </w:r>
      <w:r>
        <w:rPr>
          <w:lang w:val="es-ES_tradnl"/>
        </w:rPr>
        <w:t xml:space="preserve"> a mujeres</w:t>
      </w:r>
      <w:r w:rsidRPr="005F63CC">
        <w:rPr>
          <w:lang w:val="es-ES_tradnl"/>
        </w:rPr>
        <w:t xml:space="preserve"> y personas con orientaciones sexuales e identidades de género diversas, </w:t>
      </w:r>
      <w:r>
        <w:rPr>
          <w:lang w:val="es-ES_tradnl"/>
        </w:rPr>
        <w:t xml:space="preserve">así como a </w:t>
      </w:r>
      <w:r w:rsidRPr="005F63CC">
        <w:rPr>
          <w:lang w:val="es-ES_tradnl"/>
        </w:rPr>
        <w:t>víctimas de violencia</w:t>
      </w:r>
      <w:r>
        <w:rPr>
          <w:lang w:val="es-ES_tradnl"/>
        </w:rPr>
        <w:t xml:space="preserve"> de género</w:t>
      </w:r>
      <w:r>
        <w:rPr>
          <w:color w:val="222222"/>
          <w:highlight w:val="white"/>
          <w:lang w:val="es-ES_tradnl"/>
        </w:rPr>
        <w:t xml:space="preserve"> en aras de ayudar a su orientación.</w:t>
      </w:r>
      <w:r w:rsidRPr="000854D1">
        <w:rPr>
          <w:color w:val="222222"/>
          <w:highlight w:val="white"/>
          <w:lang w:val="es-ES_tradnl"/>
        </w:rPr>
        <w:t xml:space="preserve"> </w:t>
      </w:r>
      <w:r>
        <w:rPr>
          <w:color w:val="222222"/>
          <w:highlight w:val="white"/>
          <w:lang w:val="es-ES_tradnl"/>
        </w:rPr>
        <w:t>Sin embargo, los miembros de la dupla no pueden entrar a gestionar los casos materialmente</w:t>
      </w:r>
      <w:r>
        <w:rPr>
          <w:rStyle w:val="EndnoteReference"/>
          <w:color w:val="222222"/>
          <w:highlight w:val="white"/>
          <w:lang w:val="es-ES_tradnl"/>
        </w:rPr>
        <w:endnoteReference w:id="15"/>
      </w:r>
      <w:r>
        <w:rPr>
          <w:color w:val="222222"/>
          <w:highlight w:val="white"/>
          <w:lang w:val="es-ES_tradnl"/>
        </w:rPr>
        <w:t xml:space="preserve">. </w:t>
      </w:r>
    </w:p>
    <w:p w:rsidR="003A649A" w:rsidRDefault="003A649A" w:rsidP="00C02B92">
      <w:pPr>
        <w:jc w:val="both"/>
        <w:rPr>
          <w:lang w:val="es-ES_tradnl"/>
        </w:rPr>
      </w:pPr>
    </w:p>
    <w:p w:rsidR="003A649A" w:rsidRDefault="003A649A" w:rsidP="00C02B92">
      <w:pPr>
        <w:jc w:val="both"/>
        <w:rPr>
          <w:lang w:val="es-CO"/>
        </w:rPr>
      </w:pPr>
      <w:r>
        <w:rPr>
          <w:lang w:val="es-ES_tradnl"/>
        </w:rPr>
        <w:t xml:space="preserve">En cuanto a </w:t>
      </w:r>
      <w:r>
        <w:rPr>
          <w:lang w:val="es-CO"/>
        </w:rPr>
        <w:t xml:space="preserve">la atención a poblaciones vulnerables, </w:t>
      </w:r>
      <w:r>
        <w:rPr>
          <w:lang w:val="es-ES_tradnl"/>
        </w:rPr>
        <w:t>l</w:t>
      </w:r>
      <w:r w:rsidRPr="00BE3244">
        <w:rPr>
          <w:lang w:val="es-ES_tradnl"/>
        </w:rPr>
        <w:t xml:space="preserve">a DPC </w:t>
      </w:r>
      <w:r>
        <w:rPr>
          <w:lang w:val="es-ES_tradnl"/>
        </w:rPr>
        <w:t xml:space="preserve">las </w:t>
      </w:r>
      <w:r w:rsidRPr="00BE3244">
        <w:rPr>
          <w:lang w:val="es-ES_tradnl"/>
        </w:rPr>
        <w:t xml:space="preserve">define como aquellos </w:t>
      </w:r>
      <w:r w:rsidRPr="00BE3244">
        <w:rPr>
          <w:lang w:val="es-CO"/>
        </w:rPr>
        <w:t xml:space="preserve">individuos o grupos de personas que se encuentran en estado de desprotección o incapacidad frente a una amenaza al goce efectivo de sus derechos. El grado de vulnerabilidad está determinado por su </w:t>
      </w:r>
      <w:r w:rsidRPr="00BE3244">
        <w:rPr>
          <w:lang w:val="es-CO"/>
        </w:rPr>
        <w:lastRenderedPageBreak/>
        <w:t xml:space="preserve">exposición a factores de riesgo y su capacidad para afrontar o resistir situaciones problemáticas. Conforme a la organización de la DPC estas poblaciones se pueden agrupar en 10 categorías: </w:t>
      </w:r>
      <w:r w:rsidRPr="00BE3244">
        <w:rPr>
          <w:iCs/>
          <w:lang w:val="es-CO"/>
        </w:rPr>
        <w:t xml:space="preserve">víctimas del conflicto, desplazados, comunidades étnicas (comunidades indígenas, negras, afrocolombianas, raizales, palenqueras y </w:t>
      </w:r>
      <w:proofErr w:type="spellStart"/>
      <w:r w:rsidRPr="00BE3244">
        <w:rPr>
          <w:iCs/>
          <w:lang w:val="es-CO"/>
        </w:rPr>
        <w:t>Rom</w:t>
      </w:r>
      <w:proofErr w:type="spellEnd"/>
      <w:r w:rsidRPr="00BE3244">
        <w:rPr>
          <w:iCs/>
          <w:lang w:val="es-CO"/>
        </w:rPr>
        <w:t>), niños, jóvenes y adultos mayores, privados de la libertad, personas en condición de discapacidad, mujeres y comunidades LGTBI</w:t>
      </w:r>
      <w:r>
        <w:rPr>
          <w:iCs/>
          <w:lang w:val="es-CO"/>
        </w:rPr>
        <w:t>.</w:t>
      </w:r>
    </w:p>
    <w:p w:rsidR="003A649A" w:rsidRDefault="003A649A" w:rsidP="00C02B92">
      <w:pPr>
        <w:jc w:val="both"/>
        <w:rPr>
          <w:lang w:val="es-CO"/>
        </w:rPr>
      </w:pPr>
    </w:p>
    <w:p w:rsidR="003A649A" w:rsidRDefault="003A649A" w:rsidP="00C02B92">
      <w:pPr>
        <w:jc w:val="both"/>
        <w:rPr>
          <w:lang w:val="es-CO"/>
        </w:rPr>
      </w:pPr>
      <w:r>
        <w:rPr>
          <w:lang w:val="es-CO"/>
        </w:rPr>
        <w:t>Para la atención a estas poblaciones, e</w:t>
      </w:r>
      <w:r w:rsidRPr="004924C3">
        <w:rPr>
          <w:lang w:val="es-CO"/>
        </w:rPr>
        <w:t>l ar</w:t>
      </w:r>
      <w:r>
        <w:rPr>
          <w:lang w:val="es-CO"/>
        </w:rPr>
        <w:t>tículo 13 de la Ley 1448/11 establece la aplicación de un enfoque diferencial definido como el r</w:t>
      </w:r>
      <w:r w:rsidRPr="004924C3">
        <w:rPr>
          <w:lang w:val="es-CO"/>
        </w:rPr>
        <w:t xml:space="preserve">econocimiento de la existencia de poblaciones con características particulares </w:t>
      </w:r>
      <w:proofErr w:type="gramStart"/>
      <w:r w:rsidRPr="004924C3">
        <w:rPr>
          <w:lang w:val="es-CO"/>
        </w:rPr>
        <w:t>en razón de</w:t>
      </w:r>
      <w:proofErr w:type="gramEnd"/>
      <w:r w:rsidRPr="004924C3">
        <w:rPr>
          <w:lang w:val="es-CO"/>
        </w:rPr>
        <w:t xml:space="preserve"> su edad, género, orientación sexual y situación de discapacidad que requieren medidas de ayuda humanitaria, atención, asistencia y reparación integral</w:t>
      </w:r>
      <w:r>
        <w:rPr>
          <w:lang w:val="es-CO"/>
        </w:rPr>
        <w:t xml:space="preserve"> adecuadas a esta situación. En este sentido, l</w:t>
      </w:r>
      <w:r w:rsidRPr="004924C3">
        <w:rPr>
          <w:lang w:val="es-CO"/>
        </w:rPr>
        <w:t xml:space="preserve">as políticas de asistencia y reparación </w:t>
      </w:r>
      <w:r>
        <w:rPr>
          <w:lang w:val="es-CO"/>
        </w:rPr>
        <w:t xml:space="preserve">estatales </w:t>
      </w:r>
      <w:r w:rsidRPr="004924C3">
        <w:rPr>
          <w:lang w:val="es-CO"/>
        </w:rPr>
        <w:t xml:space="preserve">deben contener criterios diferenciales que respondan a las particularidades y grado de vulnerabilidad de cada uno </w:t>
      </w:r>
      <w:r>
        <w:rPr>
          <w:lang w:val="es-CO"/>
        </w:rPr>
        <w:t xml:space="preserve">de estos grupos poblacionales. </w:t>
      </w:r>
    </w:p>
    <w:p w:rsidR="003A649A" w:rsidRDefault="003A649A" w:rsidP="00C02B92">
      <w:pPr>
        <w:jc w:val="both"/>
        <w:rPr>
          <w:lang w:val="es-CO"/>
        </w:rPr>
      </w:pPr>
    </w:p>
    <w:p w:rsidR="003A649A" w:rsidRPr="006000B6" w:rsidRDefault="003A649A" w:rsidP="00C02B92">
      <w:pPr>
        <w:jc w:val="both"/>
        <w:rPr>
          <w:lang w:val="es-CO"/>
        </w:rPr>
      </w:pPr>
      <w:r>
        <w:rPr>
          <w:lang w:val="es-CO"/>
        </w:rPr>
        <w:t>Otro</w:t>
      </w:r>
      <w:r w:rsidRPr="006000B6">
        <w:rPr>
          <w:lang w:val="es-CO"/>
        </w:rPr>
        <w:t xml:space="preserve"> compo</w:t>
      </w:r>
      <w:r>
        <w:rPr>
          <w:lang w:val="es-CO"/>
        </w:rPr>
        <w:t>nente del enfoque diferencial aborda la</w:t>
      </w:r>
      <w:r w:rsidRPr="006000B6">
        <w:rPr>
          <w:lang w:val="es-CO"/>
        </w:rPr>
        <w:t xml:space="preserve"> diversidad étnica y cultural. </w:t>
      </w:r>
      <w:r>
        <w:rPr>
          <w:lang w:val="es-CO"/>
        </w:rPr>
        <w:t xml:space="preserve">Las Naciones Unidas han definido jurisprudencia en la materia </w:t>
      </w:r>
      <w:r w:rsidRPr="006000B6">
        <w:rPr>
          <w:lang w:val="es-CO"/>
        </w:rPr>
        <w:t>particularmente con relación a los pueblos indígenas y tribales y han propuesto, c</w:t>
      </w:r>
      <w:r>
        <w:rPr>
          <w:lang w:val="es-CO"/>
        </w:rPr>
        <w:t xml:space="preserve">omo en el caso del Convenio 169/89 </w:t>
      </w:r>
      <w:r w:rsidRPr="006000B6">
        <w:rPr>
          <w:lang w:val="es-CO"/>
        </w:rPr>
        <w:t>sobre Pueblos Indígenas y Tribales en Países Independientes de la OIT, criterios para su identificación</w:t>
      </w:r>
      <w:r>
        <w:rPr>
          <w:rStyle w:val="EndnoteReference"/>
          <w:lang w:val="es-CO"/>
        </w:rPr>
        <w:endnoteReference w:id="16"/>
      </w:r>
      <w:r w:rsidRPr="006000B6">
        <w:rPr>
          <w:lang w:val="es-CO"/>
        </w:rPr>
        <w:t>.</w:t>
      </w:r>
    </w:p>
    <w:p w:rsidR="003A649A" w:rsidRPr="004924C3" w:rsidRDefault="003A649A" w:rsidP="00C02B92">
      <w:pPr>
        <w:jc w:val="both"/>
        <w:rPr>
          <w:lang w:val="es-CO"/>
        </w:rPr>
      </w:pPr>
    </w:p>
    <w:p w:rsidR="003A649A" w:rsidRPr="001D0AE8" w:rsidRDefault="003A649A" w:rsidP="00C02B92">
      <w:pPr>
        <w:jc w:val="both"/>
        <w:rPr>
          <w:color w:val="222222"/>
          <w:highlight w:val="white"/>
          <w:lang w:val="es-ES_tradnl"/>
        </w:rPr>
      </w:pPr>
      <w:r>
        <w:rPr>
          <w:color w:val="222222"/>
          <w:highlight w:val="white"/>
          <w:lang w:val="es-ES_tradnl"/>
        </w:rPr>
        <w:t xml:space="preserve">Teniendo en cuenta los </w:t>
      </w:r>
      <w:r w:rsidRPr="001D0AE8">
        <w:rPr>
          <w:color w:val="222222"/>
          <w:highlight w:val="white"/>
          <w:lang w:val="es-ES_tradnl"/>
        </w:rPr>
        <w:t xml:space="preserve">problemas antes descritos, se pueden ordenar las brechas existentes en la DPC en materia de género </w:t>
      </w:r>
      <w:r>
        <w:rPr>
          <w:color w:val="222222"/>
          <w:highlight w:val="white"/>
          <w:lang w:val="es-ES_tradnl"/>
        </w:rPr>
        <w:t xml:space="preserve">y diversidad </w:t>
      </w:r>
      <w:r w:rsidRPr="001D0AE8">
        <w:rPr>
          <w:color w:val="222222"/>
          <w:highlight w:val="white"/>
          <w:lang w:val="es-ES_tradnl"/>
        </w:rPr>
        <w:t xml:space="preserve">bajo los siguientes rubros: </w:t>
      </w:r>
      <w:r>
        <w:rPr>
          <w:color w:val="222222"/>
          <w:highlight w:val="white"/>
          <w:lang w:val="es-ES_tradnl"/>
        </w:rPr>
        <w:t xml:space="preserve">    </w:t>
      </w:r>
    </w:p>
    <w:p w:rsidR="003A649A" w:rsidRDefault="003A649A" w:rsidP="00C02B92">
      <w:pPr>
        <w:jc w:val="both"/>
        <w:rPr>
          <w:color w:val="222222"/>
          <w:highlight w:val="white"/>
          <w:lang w:val="es-ES_tradnl"/>
        </w:rPr>
      </w:pPr>
    </w:p>
    <w:p w:rsidR="003A649A" w:rsidRPr="00434C97" w:rsidRDefault="003A649A" w:rsidP="00C02B92">
      <w:pPr>
        <w:pStyle w:val="ColorfulList-Accent11"/>
        <w:numPr>
          <w:ilvl w:val="0"/>
          <w:numId w:val="10"/>
        </w:numPr>
        <w:ind w:left="284" w:hanging="284"/>
        <w:jc w:val="both"/>
        <w:rPr>
          <w:color w:val="222222"/>
          <w:highlight w:val="white"/>
          <w:lang w:val="es-ES_tradnl"/>
        </w:rPr>
      </w:pPr>
      <w:r w:rsidRPr="00E23538">
        <w:rPr>
          <w:b/>
          <w:lang w:val="es-CO"/>
        </w:rPr>
        <w:t xml:space="preserve">Baja eficiencia y eficacia en la gestión </w:t>
      </w:r>
      <w:r>
        <w:rPr>
          <w:b/>
          <w:lang w:val="es-CO"/>
        </w:rPr>
        <w:t>institucional</w:t>
      </w:r>
      <w:r w:rsidRPr="00434C97">
        <w:rPr>
          <w:color w:val="222222"/>
          <w:highlight w:val="white"/>
          <w:lang w:val="es-ES_tradnl"/>
        </w:rPr>
        <w:t xml:space="preserve">. </w:t>
      </w:r>
    </w:p>
    <w:p w:rsidR="003A649A" w:rsidRDefault="003A649A" w:rsidP="00C02B92">
      <w:pPr>
        <w:pStyle w:val="ColorfulList-Accent11"/>
        <w:ind w:left="284" w:hanging="284"/>
        <w:jc w:val="both"/>
        <w:rPr>
          <w:color w:val="222222"/>
          <w:highlight w:val="white"/>
          <w:lang w:val="es-ES_tradnl"/>
        </w:rPr>
      </w:pPr>
    </w:p>
    <w:p w:rsidR="003A649A" w:rsidRPr="00C517B4" w:rsidRDefault="003A649A" w:rsidP="00C02B92">
      <w:pPr>
        <w:pStyle w:val="ColorfulList-Accent11"/>
        <w:numPr>
          <w:ilvl w:val="0"/>
          <w:numId w:val="5"/>
        </w:numPr>
        <w:ind w:left="284" w:hanging="284"/>
        <w:jc w:val="both"/>
        <w:rPr>
          <w:color w:val="222222"/>
          <w:highlight w:val="white"/>
          <w:lang w:val="es-ES_tradnl"/>
        </w:rPr>
      </w:pPr>
      <w:r>
        <w:rPr>
          <w:color w:val="222222"/>
          <w:highlight w:val="white"/>
          <w:lang w:val="es-ES_tradnl"/>
        </w:rPr>
        <w:t>Aunque l</w:t>
      </w:r>
      <w:r w:rsidRPr="00C517B4">
        <w:rPr>
          <w:color w:val="222222"/>
          <w:highlight w:val="white"/>
          <w:lang w:val="es-ES_tradnl"/>
        </w:rPr>
        <w:t>a inclusión de</w:t>
      </w:r>
      <w:r w:rsidRPr="00C517B4">
        <w:rPr>
          <w:color w:val="222222"/>
          <w:lang w:val="es-ES_tradnl"/>
        </w:rPr>
        <w:t xml:space="preserve">l </w:t>
      </w:r>
      <w:r w:rsidRPr="00C517B4">
        <w:rPr>
          <w:lang w:val="es-ES_tradnl" w:eastAsia="es-CO"/>
        </w:rPr>
        <w:t>enfoque diferencial y de género</w:t>
      </w:r>
      <w:r w:rsidRPr="00C517B4">
        <w:rPr>
          <w:color w:val="222222"/>
          <w:lang w:val="es-ES_tradnl"/>
        </w:rPr>
        <w:t xml:space="preserve"> </w:t>
      </w:r>
      <w:r>
        <w:rPr>
          <w:color w:val="222222"/>
          <w:lang w:val="es-ES_tradnl"/>
        </w:rPr>
        <w:t xml:space="preserve">sea </w:t>
      </w:r>
      <w:r w:rsidRPr="00C517B4">
        <w:rPr>
          <w:color w:val="222222"/>
          <w:lang w:val="es-ES_tradnl"/>
        </w:rPr>
        <w:t xml:space="preserve">un principio orientador del Plan </w:t>
      </w:r>
      <w:r>
        <w:rPr>
          <w:lang w:val="es-ES_tradnl" w:eastAsia="es-CO"/>
        </w:rPr>
        <w:t xml:space="preserve">Estratégico 2017 – 2020, ello no obliga ni garantiza que </w:t>
      </w:r>
      <w:r w:rsidRPr="00C517B4">
        <w:rPr>
          <w:lang w:val="es-ES_tradnl" w:eastAsia="es-CO"/>
        </w:rPr>
        <w:t xml:space="preserve">cada una de las Direcciones y </w:t>
      </w:r>
      <w:proofErr w:type="gramStart"/>
      <w:r w:rsidRPr="00C517B4">
        <w:rPr>
          <w:lang w:val="es-ES_tradnl" w:eastAsia="es-CO"/>
        </w:rPr>
        <w:t>Delegadas</w:t>
      </w:r>
      <w:proofErr w:type="gramEnd"/>
      <w:r>
        <w:rPr>
          <w:rStyle w:val="EndnoteReference"/>
          <w:lang w:val="es-ES_tradnl" w:eastAsia="es-CO"/>
        </w:rPr>
        <w:endnoteReference w:id="17"/>
      </w:r>
      <w:r w:rsidRPr="00C517B4">
        <w:rPr>
          <w:lang w:val="es-ES_tradnl" w:eastAsia="es-CO"/>
        </w:rPr>
        <w:t xml:space="preserve"> lo incluyan dentro de sus Planes Operativos Estratégicos, ni </w:t>
      </w:r>
      <w:r>
        <w:rPr>
          <w:lang w:val="es-ES_tradnl" w:eastAsia="es-CO"/>
        </w:rPr>
        <w:t>tampoco en sus estrategias de día a día</w:t>
      </w:r>
      <w:r w:rsidRPr="00C517B4">
        <w:rPr>
          <w:lang w:val="es-ES_tradnl" w:eastAsia="es-CO"/>
        </w:rPr>
        <w:t>.</w:t>
      </w:r>
    </w:p>
    <w:p w:rsidR="003A649A" w:rsidRDefault="003A649A" w:rsidP="00C02B92">
      <w:pPr>
        <w:pStyle w:val="ColorfulList-Accent11"/>
        <w:numPr>
          <w:ilvl w:val="0"/>
          <w:numId w:val="5"/>
        </w:numPr>
        <w:ind w:left="284" w:hanging="284"/>
        <w:jc w:val="both"/>
        <w:rPr>
          <w:color w:val="222222"/>
          <w:highlight w:val="white"/>
          <w:lang w:val="es-ES_tradnl"/>
        </w:rPr>
      </w:pPr>
      <w:r w:rsidRPr="00DC742A">
        <w:rPr>
          <w:color w:val="222222"/>
          <w:highlight w:val="white"/>
          <w:lang w:val="es-ES_tradnl"/>
        </w:rPr>
        <w:t xml:space="preserve">No existe un sistema de registro integrado en las diferentes áreas de la defensoría donde se capturen las características de las personas que </w:t>
      </w:r>
      <w:r>
        <w:rPr>
          <w:color w:val="222222"/>
          <w:highlight w:val="white"/>
          <w:lang w:val="es-ES_tradnl"/>
        </w:rPr>
        <w:t>presentan requerimientos ciudadanos</w:t>
      </w:r>
      <w:r w:rsidRPr="00DC742A">
        <w:rPr>
          <w:color w:val="222222"/>
          <w:highlight w:val="white"/>
          <w:lang w:val="es-ES_tradnl"/>
        </w:rPr>
        <w:t xml:space="preserve"> (sexo, origen étnico, edad, orientación sexual)</w:t>
      </w:r>
      <w:r>
        <w:rPr>
          <w:color w:val="222222"/>
          <w:highlight w:val="white"/>
          <w:lang w:val="es-ES_tradnl"/>
        </w:rPr>
        <w:t xml:space="preserve"> ni el</w:t>
      </w:r>
      <w:r w:rsidRPr="00DC742A">
        <w:rPr>
          <w:color w:val="222222"/>
          <w:highlight w:val="white"/>
          <w:lang w:val="es-ES_tradnl"/>
        </w:rPr>
        <w:t xml:space="preserve"> tipo de </w:t>
      </w:r>
      <w:r>
        <w:rPr>
          <w:color w:val="222222"/>
          <w:highlight w:val="white"/>
          <w:lang w:val="es-ES_tradnl"/>
        </w:rPr>
        <w:t xml:space="preserve">requerimiento. </w:t>
      </w:r>
    </w:p>
    <w:p w:rsidR="003A649A" w:rsidRPr="001C5C3A" w:rsidRDefault="003A649A" w:rsidP="00C02B92">
      <w:pPr>
        <w:pStyle w:val="ColorfulList-Accent11"/>
        <w:numPr>
          <w:ilvl w:val="1"/>
          <w:numId w:val="1"/>
        </w:numPr>
        <w:ind w:left="709" w:hanging="425"/>
        <w:jc w:val="both"/>
        <w:rPr>
          <w:color w:val="222222"/>
          <w:lang w:val="es-ES_tradnl"/>
        </w:rPr>
      </w:pPr>
      <w:r w:rsidRPr="001C5C3A">
        <w:rPr>
          <w:color w:val="222222"/>
          <w:lang w:val="es-ES_tradnl"/>
        </w:rPr>
        <w:t xml:space="preserve">Concretamente, </w:t>
      </w:r>
      <w:r w:rsidRPr="001C5C3A">
        <w:rPr>
          <w:lang w:val="es-ES_tradnl"/>
        </w:rPr>
        <w:t>el sistema que contiene el registro de las atenciones brindadas por la entidad (</w:t>
      </w:r>
      <w:proofErr w:type="spellStart"/>
      <w:r w:rsidRPr="001C5C3A">
        <w:rPr>
          <w:lang w:val="es-ES_tradnl"/>
        </w:rPr>
        <w:t>Vision</w:t>
      </w:r>
      <w:proofErr w:type="spellEnd"/>
      <w:r w:rsidRPr="001C5C3A">
        <w:rPr>
          <w:lang w:val="es-ES_tradnl"/>
        </w:rPr>
        <w:t xml:space="preserve"> Web), y aquellos creados por las mismas </w:t>
      </w:r>
      <w:proofErr w:type="gramStart"/>
      <w:r w:rsidRPr="001C5C3A">
        <w:rPr>
          <w:lang w:val="es-ES_tradnl"/>
        </w:rPr>
        <w:t>Delegadas</w:t>
      </w:r>
      <w:proofErr w:type="gramEnd"/>
      <w:r w:rsidRPr="001C5C3A">
        <w:rPr>
          <w:lang w:val="es-ES_tradnl"/>
        </w:rPr>
        <w:t xml:space="preserve"> para suplir las falencias de este sistema difieren en los datos que arrojan. </w:t>
      </w:r>
    </w:p>
    <w:p w:rsidR="003A649A" w:rsidRPr="001C5C3A" w:rsidRDefault="003A649A" w:rsidP="00C02B92">
      <w:pPr>
        <w:pStyle w:val="ColorfulList-Accent11"/>
        <w:numPr>
          <w:ilvl w:val="1"/>
          <w:numId w:val="1"/>
        </w:numPr>
        <w:ind w:left="709" w:hanging="425"/>
        <w:jc w:val="both"/>
        <w:rPr>
          <w:color w:val="222222"/>
          <w:lang w:val="es-ES_tradnl"/>
        </w:rPr>
      </w:pPr>
      <w:r w:rsidRPr="001C5C3A">
        <w:rPr>
          <w:lang w:val="es-ES_tradnl"/>
        </w:rPr>
        <w:t xml:space="preserve">En cuanto al enfoque de género, </w:t>
      </w:r>
      <w:proofErr w:type="spellStart"/>
      <w:r w:rsidRPr="001C5C3A">
        <w:rPr>
          <w:lang w:val="es-ES_tradnl"/>
        </w:rPr>
        <w:t>Vision</w:t>
      </w:r>
      <w:proofErr w:type="spellEnd"/>
      <w:r w:rsidRPr="001C5C3A">
        <w:rPr>
          <w:lang w:val="es-ES_tradnl"/>
        </w:rPr>
        <w:t xml:space="preserve"> Web incluye las categorías mujer, Lesbiana, Gay, Bisexual, </w:t>
      </w:r>
      <w:r w:rsidRPr="0094313E">
        <w:rPr>
          <w:lang w:val="es-ES_tradnl"/>
        </w:rPr>
        <w:t xml:space="preserve">y Transgénero </w:t>
      </w:r>
      <w:r w:rsidRPr="001C5C3A">
        <w:rPr>
          <w:lang w:val="es-ES_tradnl"/>
        </w:rPr>
        <w:t xml:space="preserve">e Intersexual (LGBTI). Sin embargo, no permite realizar una discriminación y análisis más detallado teniendo en </w:t>
      </w:r>
      <w:r w:rsidRPr="0094313E">
        <w:rPr>
          <w:lang w:val="es-ES_tradnl"/>
        </w:rPr>
        <w:t>cuenta el enfoque de género y diversidad aplicado a las distintas categorías poblacionales (negros, afrodescendientes, indígenas, jóvenes, adultos mayores, etc.)</w:t>
      </w:r>
      <w:r w:rsidRPr="001C5C3A">
        <w:rPr>
          <w:lang w:val="es-ES_tradnl"/>
        </w:rPr>
        <w:t>.</w:t>
      </w:r>
    </w:p>
    <w:p w:rsidR="003A649A" w:rsidRPr="00D41484" w:rsidRDefault="003A649A" w:rsidP="00C02B92">
      <w:pPr>
        <w:pStyle w:val="ColorfulList-Accent11"/>
        <w:numPr>
          <w:ilvl w:val="0"/>
          <w:numId w:val="1"/>
        </w:numPr>
        <w:ind w:left="284" w:hanging="284"/>
        <w:jc w:val="both"/>
        <w:rPr>
          <w:color w:val="222222"/>
          <w:highlight w:val="white"/>
          <w:lang w:val="es-ES_tradnl"/>
        </w:rPr>
      </w:pPr>
      <w:r w:rsidRPr="001C5C3A">
        <w:rPr>
          <w:color w:val="222222"/>
          <w:lang w:val="es-ES_tradnl"/>
        </w:rPr>
        <w:t>Además, los requerimientos ciudadanos en materia de género no quedan necesariamente registradas en los Sistemas de información al uso de la DPC</w:t>
      </w:r>
      <w:r w:rsidRPr="001C5C3A">
        <w:rPr>
          <w:rStyle w:val="EndnoteReference"/>
          <w:color w:val="222222"/>
          <w:lang w:val="es-ES_tradnl"/>
        </w:rPr>
        <w:endnoteReference w:id="18"/>
      </w:r>
      <w:r w:rsidRPr="001C5C3A">
        <w:rPr>
          <w:color w:val="222222"/>
          <w:lang w:val="es-ES_tradnl"/>
        </w:rPr>
        <w:t xml:space="preserve"> (como en el caso de las otras Ate</w:t>
      </w:r>
      <w:r>
        <w:rPr>
          <w:color w:val="222222"/>
          <w:highlight w:val="white"/>
          <w:lang w:val="es-ES_tradnl"/>
        </w:rPr>
        <w:t xml:space="preserve">nciones de </w:t>
      </w:r>
      <w:r w:rsidRPr="00D41484">
        <w:rPr>
          <w:color w:val="222222"/>
          <w:highlight w:val="white"/>
          <w:lang w:val="es-ES_tradnl"/>
        </w:rPr>
        <w:t>T</w:t>
      </w:r>
      <w:r>
        <w:rPr>
          <w:color w:val="222222"/>
          <w:highlight w:val="white"/>
          <w:lang w:val="es-ES_tradnl"/>
        </w:rPr>
        <w:t xml:space="preserve">rámites y </w:t>
      </w:r>
      <w:r w:rsidRPr="00D41484">
        <w:rPr>
          <w:color w:val="222222"/>
          <w:highlight w:val="white"/>
          <w:lang w:val="es-ES_tradnl"/>
        </w:rPr>
        <w:t>Q</w:t>
      </w:r>
      <w:r>
        <w:rPr>
          <w:color w:val="222222"/>
          <w:lang w:val="es-ES_tradnl"/>
        </w:rPr>
        <w:t>uejas -ATQ-</w:t>
      </w:r>
      <w:r w:rsidRPr="00D41484">
        <w:rPr>
          <w:color w:val="222222"/>
          <w:highlight w:val="white"/>
          <w:lang w:val="es-ES_tradnl"/>
        </w:rPr>
        <w:t>)</w:t>
      </w:r>
      <w:r>
        <w:rPr>
          <w:rStyle w:val="EndnoteReference"/>
          <w:color w:val="222222"/>
          <w:highlight w:val="white"/>
          <w:lang w:val="es-ES_tradnl"/>
        </w:rPr>
        <w:endnoteReference w:id="19"/>
      </w:r>
      <w:r w:rsidRPr="00D41484">
        <w:rPr>
          <w:color w:val="222222"/>
          <w:highlight w:val="white"/>
          <w:lang w:val="es-ES_tradnl"/>
        </w:rPr>
        <w:t>.</w:t>
      </w:r>
    </w:p>
    <w:p w:rsidR="003A649A" w:rsidRPr="00434C97" w:rsidRDefault="003A649A" w:rsidP="00C02B92">
      <w:pPr>
        <w:pStyle w:val="ColorfulList-Accent11"/>
        <w:numPr>
          <w:ilvl w:val="1"/>
          <w:numId w:val="1"/>
        </w:numPr>
        <w:ind w:left="709" w:hanging="425"/>
        <w:jc w:val="both"/>
        <w:rPr>
          <w:color w:val="222222"/>
          <w:lang w:val="es-ES_tradnl"/>
        </w:rPr>
      </w:pPr>
      <w:r w:rsidRPr="00434C97">
        <w:rPr>
          <w:lang w:val="es-ES_tradnl" w:eastAsia="es-CO"/>
        </w:rPr>
        <w:t xml:space="preserve">Concretamente, la </w:t>
      </w:r>
      <w:proofErr w:type="gramStart"/>
      <w:r w:rsidRPr="00434C97">
        <w:rPr>
          <w:lang w:val="es-ES_tradnl" w:eastAsia="es-CO"/>
        </w:rPr>
        <w:t>Delegada</w:t>
      </w:r>
      <w:proofErr w:type="gramEnd"/>
      <w:r w:rsidRPr="00434C97">
        <w:rPr>
          <w:lang w:val="es-ES_tradnl" w:eastAsia="es-CO"/>
        </w:rPr>
        <w:t xml:space="preserve"> para los Derechos de las Mujeres y los Asuntos de género tiene </w:t>
      </w:r>
      <w:r>
        <w:rPr>
          <w:lang w:val="es-ES_tradnl" w:eastAsia="es-CO"/>
        </w:rPr>
        <w:t xml:space="preserve">un mecanismo de registro de </w:t>
      </w:r>
      <w:r w:rsidRPr="00434C97">
        <w:rPr>
          <w:lang w:val="es-ES_tradnl" w:eastAsia="es-CO"/>
        </w:rPr>
        <w:t xml:space="preserve">información propio en el que se ingresan todas las </w:t>
      </w:r>
      <w:r w:rsidRPr="00434C97">
        <w:rPr>
          <w:lang w:val="es-ES_tradnl" w:eastAsia="es-CO"/>
        </w:rPr>
        <w:lastRenderedPageBreak/>
        <w:t>atenciones realizadas por las duplas de género en el país. Este registro incorpora más variables de violencia contra las mujeres y personas con orientaciones sexuales e identidades de género diversas. El registro está compuesto por hojas Excel separadas cuyos campos en ocasiones no tienen posibilidad de integración entre sí.</w:t>
      </w:r>
    </w:p>
    <w:p w:rsidR="003A649A" w:rsidRPr="00434C97" w:rsidRDefault="003A649A" w:rsidP="00C02B92">
      <w:pPr>
        <w:pStyle w:val="ColorfulList-Accent11"/>
        <w:numPr>
          <w:ilvl w:val="1"/>
          <w:numId w:val="1"/>
        </w:numPr>
        <w:ind w:left="709" w:hanging="425"/>
        <w:jc w:val="both"/>
        <w:rPr>
          <w:color w:val="222222"/>
          <w:lang w:val="es-ES_tradnl"/>
        </w:rPr>
      </w:pPr>
      <w:r w:rsidRPr="00434C97">
        <w:rPr>
          <w:lang w:val="es-ES_tradnl" w:eastAsia="es-CO"/>
        </w:rPr>
        <w:t xml:space="preserve">Este sistema solo puede dar cuenta de las atenciones que se dan en 20 de las 36 regionales del país, y además no está conectado con </w:t>
      </w:r>
      <w:proofErr w:type="spellStart"/>
      <w:r w:rsidRPr="00434C97">
        <w:rPr>
          <w:lang w:val="es-ES_tradnl" w:eastAsia="es-CO"/>
        </w:rPr>
        <w:t>Vision</w:t>
      </w:r>
      <w:proofErr w:type="spellEnd"/>
      <w:r w:rsidRPr="00434C97">
        <w:rPr>
          <w:lang w:val="es-ES_tradnl" w:eastAsia="es-CO"/>
        </w:rPr>
        <w:t xml:space="preserve"> Web</w:t>
      </w:r>
      <w:r>
        <w:rPr>
          <w:lang w:val="es-ES_tradnl" w:eastAsia="es-CO"/>
        </w:rPr>
        <w:t xml:space="preserve"> lo cual genera una dispersión de la información para la toma de decisiones en asuntos de género y diversidad</w:t>
      </w:r>
      <w:r w:rsidRPr="00434C97">
        <w:rPr>
          <w:lang w:val="es-ES_tradnl" w:eastAsia="es-CO"/>
        </w:rPr>
        <w:t>.</w:t>
      </w:r>
    </w:p>
    <w:p w:rsidR="003A649A" w:rsidRDefault="003A649A" w:rsidP="00786D5B">
      <w:pPr>
        <w:jc w:val="both"/>
        <w:rPr>
          <w:color w:val="222222"/>
          <w:highlight w:val="white"/>
          <w:lang w:val="es-ES_tradnl"/>
        </w:rPr>
      </w:pPr>
    </w:p>
    <w:p w:rsidR="003A649A" w:rsidRPr="00434C97" w:rsidRDefault="003A649A" w:rsidP="00C02B92">
      <w:pPr>
        <w:pStyle w:val="ColorfulList-Accent11"/>
        <w:numPr>
          <w:ilvl w:val="0"/>
          <w:numId w:val="10"/>
        </w:numPr>
        <w:ind w:left="284" w:hanging="284"/>
        <w:jc w:val="both"/>
        <w:rPr>
          <w:color w:val="222222"/>
          <w:highlight w:val="white"/>
          <w:lang w:val="es-ES_tradnl"/>
        </w:rPr>
      </w:pPr>
      <w:r w:rsidRPr="00E23538">
        <w:rPr>
          <w:b/>
          <w:lang w:val="es-CO"/>
        </w:rPr>
        <w:t>Limitada calidad</w:t>
      </w:r>
      <w:r>
        <w:rPr>
          <w:b/>
          <w:lang w:val="es-CO"/>
        </w:rPr>
        <w:t xml:space="preserve"> y eficiencia</w:t>
      </w:r>
      <w:r w:rsidRPr="00E23538">
        <w:rPr>
          <w:b/>
          <w:lang w:val="es-CO"/>
        </w:rPr>
        <w:t xml:space="preserve"> en la prestación de se</w:t>
      </w:r>
      <w:r>
        <w:rPr>
          <w:b/>
          <w:lang w:val="es-CO"/>
        </w:rPr>
        <w:t>rvicios y atención al ciudadano</w:t>
      </w:r>
      <w:r>
        <w:rPr>
          <w:color w:val="222222"/>
          <w:highlight w:val="white"/>
          <w:lang w:val="es-ES_tradnl"/>
        </w:rPr>
        <w:t>:</w:t>
      </w:r>
    </w:p>
    <w:p w:rsidR="003A649A" w:rsidRPr="00D41484" w:rsidRDefault="003A649A" w:rsidP="00C02B92">
      <w:pPr>
        <w:pStyle w:val="ColorfulList-Accent11"/>
        <w:ind w:left="284" w:hanging="284"/>
        <w:jc w:val="both"/>
        <w:rPr>
          <w:color w:val="222222"/>
          <w:highlight w:val="white"/>
          <w:lang w:val="es-ES_tradnl"/>
        </w:rPr>
      </w:pPr>
    </w:p>
    <w:p w:rsidR="003A649A" w:rsidRDefault="003A649A" w:rsidP="00C02B92">
      <w:pPr>
        <w:pStyle w:val="ColorfulList-Accent11"/>
        <w:numPr>
          <w:ilvl w:val="0"/>
          <w:numId w:val="1"/>
        </w:numPr>
        <w:ind w:left="284" w:hanging="284"/>
        <w:jc w:val="both"/>
        <w:rPr>
          <w:color w:val="222222"/>
          <w:highlight w:val="white"/>
          <w:lang w:val="es-ES_tradnl"/>
        </w:rPr>
      </w:pPr>
      <w:r w:rsidRPr="00D41484">
        <w:rPr>
          <w:color w:val="222222"/>
          <w:highlight w:val="white"/>
          <w:lang w:val="es-ES_tradnl"/>
        </w:rPr>
        <w:t xml:space="preserve">No existen políticas y protocolos claros para derivar </w:t>
      </w:r>
      <w:r>
        <w:rPr>
          <w:color w:val="222222"/>
          <w:highlight w:val="white"/>
          <w:lang w:val="es-ES_tradnl"/>
        </w:rPr>
        <w:t>los requerimientos ciudadanos</w:t>
      </w:r>
      <w:r w:rsidRPr="00D41484">
        <w:rPr>
          <w:color w:val="222222"/>
          <w:highlight w:val="white"/>
          <w:lang w:val="es-ES_tradnl"/>
        </w:rPr>
        <w:t xml:space="preserve"> a las áreas correspondientes según el tipo y características de los/las </w:t>
      </w:r>
      <w:r>
        <w:rPr>
          <w:color w:val="222222"/>
          <w:highlight w:val="white"/>
          <w:lang w:val="es-ES_tradnl"/>
        </w:rPr>
        <w:t>peticionarios</w:t>
      </w:r>
      <w:r w:rsidRPr="00D41484">
        <w:rPr>
          <w:color w:val="222222"/>
          <w:highlight w:val="white"/>
          <w:lang w:val="es-ES_tradnl"/>
        </w:rPr>
        <w:t>.</w:t>
      </w:r>
      <w:r>
        <w:rPr>
          <w:color w:val="222222"/>
          <w:highlight w:val="white"/>
          <w:lang w:val="es-ES_tradnl"/>
        </w:rPr>
        <w:t xml:space="preserve"> </w:t>
      </w:r>
      <w:r w:rsidRPr="00434C97">
        <w:rPr>
          <w:color w:val="222222"/>
          <w:highlight w:val="white"/>
          <w:lang w:val="es-ES_tradnl"/>
        </w:rPr>
        <w:t xml:space="preserve">El personal contratado no cuenta con la capacitación pertinente </w:t>
      </w:r>
      <w:r>
        <w:rPr>
          <w:color w:val="222222"/>
          <w:highlight w:val="white"/>
          <w:lang w:val="es-ES_tradnl"/>
        </w:rPr>
        <w:t xml:space="preserve">para tratar los casos con enfoque de </w:t>
      </w:r>
      <w:r w:rsidRPr="00434C97">
        <w:rPr>
          <w:color w:val="222222"/>
          <w:highlight w:val="white"/>
          <w:lang w:val="es-ES_tradnl"/>
        </w:rPr>
        <w:t>género</w:t>
      </w:r>
      <w:r>
        <w:rPr>
          <w:color w:val="222222"/>
          <w:highlight w:val="white"/>
          <w:lang w:val="es-ES_tradnl"/>
        </w:rPr>
        <w:t>, diversidad y poblaciones vulnerables.</w:t>
      </w:r>
    </w:p>
    <w:p w:rsidR="003A649A" w:rsidRPr="00062EE7" w:rsidRDefault="003A649A" w:rsidP="008937D0">
      <w:pPr>
        <w:pStyle w:val="ColorfulList-Accent11"/>
        <w:numPr>
          <w:ilvl w:val="0"/>
          <w:numId w:val="1"/>
        </w:numPr>
        <w:ind w:left="284" w:hanging="284"/>
        <w:jc w:val="both"/>
        <w:rPr>
          <w:color w:val="222222"/>
          <w:lang w:val="es-ES_tradnl"/>
        </w:rPr>
      </w:pPr>
      <w:r w:rsidRPr="00062EE7">
        <w:rPr>
          <w:color w:val="222222"/>
          <w:lang w:val="es-ES_tradnl"/>
        </w:rPr>
        <w:t xml:space="preserve">Se desconoce el nivel de satisfacción de los usuarios con respecto a la resolución de sus </w:t>
      </w:r>
      <w:r>
        <w:rPr>
          <w:color w:val="222222"/>
          <w:lang w:val="es-ES_tradnl"/>
        </w:rPr>
        <w:t>requerimientos</w:t>
      </w:r>
      <w:r w:rsidRPr="00062EE7">
        <w:rPr>
          <w:color w:val="222222"/>
          <w:lang w:val="es-ES_tradnl"/>
        </w:rPr>
        <w:t xml:space="preserve"> en </w:t>
      </w:r>
      <w:r>
        <w:rPr>
          <w:color w:val="222222"/>
          <w:lang w:val="es-ES_tradnl"/>
        </w:rPr>
        <w:t>asuntos especializados relacionados con un enfoque de género, diversidad y poblaciones vulnerables</w:t>
      </w:r>
    </w:p>
    <w:p w:rsidR="003A649A" w:rsidRPr="00062EE7" w:rsidRDefault="003A649A" w:rsidP="00C02B92">
      <w:pPr>
        <w:pStyle w:val="ColorfulList-Accent11"/>
        <w:numPr>
          <w:ilvl w:val="0"/>
          <w:numId w:val="1"/>
        </w:numPr>
        <w:ind w:left="284" w:hanging="284"/>
        <w:jc w:val="both"/>
        <w:rPr>
          <w:color w:val="222222"/>
          <w:lang w:val="es-ES_tradnl"/>
        </w:rPr>
      </w:pPr>
      <w:r w:rsidRPr="00434C97">
        <w:rPr>
          <w:color w:val="222222"/>
          <w:highlight w:val="white"/>
          <w:lang w:val="es-ES_tradnl"/>
        </w:rPr>
        <w:t xml:space="preserve">Además, no todas las Defensorías Regionales cuentan con dupla de género para llevar a cabo una atención </w:t>
      </w:r>
      <w:r w:rsidRPr="00062EE7">
        <w:rPr>
          <w:color w:val="222222"/>
          <w:lang w:val="es-ES_tradnl"/>
        </w:rPr>
        <w:t xml:space="preserve">especializada. Sólo 21 de 36 Regionales cuentan con esta figura. En el ejercicio realizado en 2017 mencionado más arriba contestaron 7 </w:t>
      </w:r>
      <w:proofErr w:type="gramStart"/>
      <w:r w:rsidRPr="00062EE7">
        <w:rPr>
          <w:color w:val="222222"/>
          <w:lang w:val="es-ES_tradnl"/>
        </w:rPr>
        <w:t>Delegadas</w:t>
      </w:r>
      <w:proofErr w:type="gramEnd"/>
      <w:r w:rsidRPr="00062EE7">
        <w:rPr>
          <w:color w:val="222222"/>
          <w:lang w:val="es-ES_tradnl"/>
        </w:rPr>
        <w:t xml:space="preserve"> con duplas de género, que realizaron 39 asesorías cualificadas</w:t>
      </w:r>
      <w:r w:rsidRPr="00062EE7">
        <w:rPr>
          <w:rStyle w:val="EndnoteReference"/>
          <w:color w:val="222222"/>
          <w:lang w:val="es-ES_tradnl"/>
        </w:rPr>
        <w:endnoteReference w:id="20"/>
      </w:r>
      <w:r w:rsidRPr="00062EE7">
        <w:rPr>
          <w:color w:val="222222"/>
          <w:lang w:val="es-ES_tradnl"/>
        </w:rPr>
        <w:t>.</w:t>
      </w:r>
    </w:p>
    <w:p w:rsidR="003A649A" w:rsidRDefault="003A649A" w:rsidP="00C02B92">
      <w:pPr>
        <w:pStyle w:val="ColorfulList-Accent11"/>
        <w:numPr>
          <w:ilvl w:val="0"/>
          <w:numId w:val="1"/>
        </w:numPr>
        <w:ind w:left="284" w:hanging="284"/>
        <w:jc w:val="both"/>
        <w:rPr>
          <w:color w:val="222222"/>
          <w:lang w:val="es-ES_tradnl"/>
        </w:rPr>
      </w:pPr>
      <w:r w:rsidRPr="00062EE7">
        <w:rPr>
          <w:color w:val="222222"/>
          <w:lang w:val="es-ES_tradnl"/>
        </w:rPr>
        <w:t>La diferencia entre atención a orientada a género y violencia intrafamiliar es en ocasiones confusa, siendo interpretado cualquier asunto de género como susceptible de suponer violencia intrafamiliar.</w:t>
      </w:r>
      <w:r>
        <w:rPr>
          <w:color w:val="222222"/>
          <w:lang w:val="es-ES_tradnl"/>
        </w:rPr>
        <w:t xml:space="preserve"> </w:t>
      </w:r>
    </w:p>
    <w:p w:rsidR="003A649A" w:rsidRPr="00062EE7" w:rsidRDefault="003A649A" w:rsidP="00786D5B">
      <w:pPr>
        <w:pStyle w:val="ColorfulList-Accent11"/>
        <w:ind w:left="1440"/>
        <w:jc w:val="both"/>
        <w:rPr>
          <w:color w:val="222222"/>
          <w:lang w:val="es-ES_tradnl"/>
        </w:rPr>
      </w:pPr>
    </w:p>
    <w:p w:rsidR="003A649A" w:rsidRPr="00062EE7" w:rsidRDefault="003A649A" w:rsidP="00C02B92">
      <w:pPr>
        <w:pStyle w:val="ColorfulList-Accent11"/>
        <w:numPr>
          <w:ilvl w:val="0"/>
          <w:numId w:val="10"/>
        </w:numPr>
        <w:ind w:left="284" w:hanging="284"/>
        <w:jc w:val="both"/>
        <w:rPr>
          <w:color w:val="222222"/>
          <w:lang w:val="es-ES_tradnl"/>
        </w:rPr>
      </w:pPr>
      <w:r w:rsidRPr="00062EE7">
        <w:rPr>
          <w:b/>
          <w:lang w:val="es-CO"/>
        </w:rPr>
        <w:t xml:space="preserve">Insuficiente capacidad para promover la rendición de cuentas y la participación ciudadana. </w:t>
      </w:r>
    </w:p>
    <w:p w:rsidR="003A649A" w:rsidRPr="00062EE7" w:rsidRDefault="003A649A" w:rsidP="00C02B92">
      <w:pPr>
        <w:ind w:left="284" w:hanging="284"/>
        <w:jc w:val="both"/>
        <w:rPr>
          <w:b/>
          <w:lang w:val="es-CO"/>
        </w:rPr>
      </w:pPr>
    </w:p>
    <w:p w:rsidR="003A649A" w:rsidRDefault="003A649A" w:rsidP="00C02B92">
      <w:pPr>
        <w:pStyle w:val="ColorfulList-Accent11"/>
        <w:numPr>
          <w:ilvl w:val="0"/>
          <w:numId w:val="15"/>
        </w:numPr>
        <w:ind w:left="284" w:hanging="284"/>
        <w:jc w:val="both"/>
        <w:rPr>
          <w:color w:val="222222"/>
          <w:lang w:val="es-ES_tradnl"/>
        </w:rPr>
      </w:pPr>
      <w:r>
        <w:rPr>
          <w:color w:val="222222"/>
          <w:lang w:val="es-ES_tradnl"/>
        </w:rPr>
        <w:t xml:space="preserve">No existe una estrategia de rendición de cuentas, participación ciudadana </w:t>
      </w:r>
      <w:r w:rsidRPr="00C02B92">
        <w:rPr>
          <w:lang w:val="es-ES_tradnl"/>
        </w:rPr>
        <w:t>e incidencia en políticas públicas existentes en materia de género y poblaciones vulnerables.</w:t>
      </w:r>
    </w:p>
    <w:p w:rsidR="003A649A" w:rsidRDefault="003A649A" w:rsidP="00C02B92">
      <w:pPr>
        <w:pStyle w:val="ColorfulList-Accent11"/>
        <w:numPr>
          <w:ilvl w:val="0"/>
          <w:numId w:val="15"/>
        </w:numPr>
        <w:ind w:left="284" w:hanging="284"/>
        <w:jc w:val="both"/>
        <w:rPr>
          <w:color w:val="222222"/>
          <w:lang w:val="es-ES_tradnl"/>
        </w:rPr>
      </w:pPr>
      <w:r w:rsidRPr="00062EE7">
        <w:rPr>
          <w:color w:val="222222"/>
          <w:lang w:val="es-ES_tradnl"/>
        </w:rPr>
        <w:t>Igualmente, la oferta multicanal de la DPC tanto a nivel web como telefónico, o por correo no ha sido desarrollada siguiendo un enfoque de género</w:t>
      </w:r>
      <w:r>
        <w:rPr>
          <w:color w:val="222222"/>
          <w:lang w:val="es-ES_tradnl"/>
        </w:rPr>
        <w:t xml:space="preserve">, diversidad y </w:t>
      </w:r>
      <w:r w:rsidRPr="00062EE7">
        <w:rPr>
          <w:color w:val="222222"/>
          <w:lang w:val="es-ES_tradnl"/>
        </w:rPr>
        <w:t xml:space="preserve">poblaciones vulnerables, lo cual puede dificultar el acceso a la participación de </w:t>
      </w:r>
      <w:r>
        <w:rPr>
          <w:color w:val="222222"/>
          <w:lang w:val="es-ES_tradnl"/>
        </w:rPr>
        <w:t>estos grupos en condición especial.</w:t>
      </w:r>
    </w:p>
    <w:p w:rsidR="003A649A" w:rsidRPr="00C02B92" w:rsidRDefault="003A649A" w:rsidP="00C02B92">
      <w:pPr>
        <w:pStyle w:val="ColorfulList-Accent11"/>
        <w:numPr>
          <w:ilvl w:val="0"/>
          <w:numId w:val="15"/>
        </w:numPr>
        <w:ind w:left="284" w:hanging="284"/>
        <w:jc w:val="both"/>
        <w:rPr>
          <w:color w:val="222222"/>
          <w:lang w:val="es-ES_tradnl"/>
        </w:rPr>
      </w:pPr>
      <w:r>
        <w:rPr>
          <w:lang w:val="es-CO"/>
        </w:rPr>
        <w:t>Existen limitaciones en la aplicación y focalización de esfuerzos en materia de promoción, divulgación y comunicaciones</w:t>
      </w:r>
      <w:r w:rsidRPr="00062EE7">
        <w:rPr>
          <w:lang w:val="es-CO"/>
        </w:rPr>
        <w:t xml:space="preserve"> con un enfoque de género</w:t>
      </w:r>
      <w:r>
        <w:rPr>
          <w:lang w:val="es-CO"/>
        </w:rPr>
        <w:t>, diversidad y poblaciones vulnerables. debido a la falta de una estrategia integral tanto a nivel interno como</w:t>
      </w:r>
      <w:r w:rsidRPr="00062EE7">
        <w:rPr>
          <w:lang w:val="es-CO"/>
        </w:rPr>
        <w:t xml:space="preserve"> extern</w:t>
      </w:r>
      <w:r>
        <w:rPr>
          <w:lang w:val="es-CO"/>
        </w:rPr>
        <w:t>o</w:t>
      </w:r>
      <w:r w:rsidRPr="00062EE7">
        <w:rPr>
          <w:lang w:val="es-CO"/>
        </w:rPr>
        <w:t xml:space="preserve"> de la entidad</w:t>
      </w:r>
      <w:r>
        <w:rPr>
          <w:lang w:val="es-CO"/>
        </w:rPr>
        <w:t>.</w:t>
      </w:r>
      <w:r w:rsidR="00E2429E">
        <w:rPr>
          <w:lang w:val="es-CO"/>
        </w:rPr>
        <w:t xml:space="preserve"> </w:t>
      </w:r>
      <w:r>
        <w:rPr>
          <w:lang w:val="es-CO"/>
        </w:rPr>
        <w:t>A manera de ejemplo, l</w:t>
      </w:r>
      <w:r w:rsidRPr="00BC0DBB">
        <w:rPr>
          <w:lang w:val="es-CO"/>
        </w:rPr>
        <w:t>a Delegada de Género</w:t>
      </w:r>
      <w:r>
        <w:rPr>
          <w:lang w:val="es-CO"/>
        </w:rPr>
        <w:t>, la cual por su naturaleza debe tener una incidencia transversal en la gestión defensorial,</w:t>
      </w:r>
      <w:r w:rsidRPr="00BC0DBB">
        <w:rPr>
          <w:lang w:val="es-CO"/>
        </w:rPr>
        <w:t xml:space="preserve"> realiza comunicaciones focalizadas por su cuenta, adoleciendo en ocasiones de la falta de coordinación necesaria con otras instituciones y también con otras </w:t>
      </w:r>
      <w:proofErr w:type="gramStart"/>
      <w:r w:rsidRPr="00BC0DBB">
        <w:rPr>
          <w:lang w:val="es-CO"/>
        </w:rPr>
        <w:t>Delegadas</w:t>
      </w:r>
      <w:proofErr w:type="gramEnd"/>
      <w:r w:rsidRPr="00BC0DBB">
        <w:rPr>
          <w:lang w:val="es-CO"/>
        </w:rPr>
        <w:t xml:space="preserve"> de la DPC. </w:t>
      </w:r>
    </w:p>
    <w:p w:rsidR="003A649A" w:rsidRPr="00062EE7" w:rsidRDefault="003A649A" w:rsidP="00786D5B">
      <w:pPr>
        <w:rPr>
          <w:color w:val="222222"/>
          <w:lang w:val="es-ES_tradnl"/>
        </w:rPr>
      </w:pPr>
    </w:p>
    <w:p w:rsidR="003A649A" w:rsidRPr="00062EE7" w:rsidRDefault="003A649A" w:rsidP="00786D5B">
      <w:pPr>
        <w:rPr>
          <w:b/>
          <w:color w:val="222222"/>
          <w:u w:val="single"/>
          <w:lang w:val="es-ES_tradnl"/>
        </w:rPr>
      </w:pPr>
      <w:r w:rsidRPr="00062EE7">
        <w:rPr>
          <w:b/>
          <w:color w:val="222222"/>
          <w:u w:val="single"/>
          <w:lang w:val="es-ES_tradnl"/>
        </w:rPr>
        <w:t xml:space="preserve">3. </w:t>
      </w:r>
      <w:r>
        <w:rPr>
          <w:b/>
          <w:color w:val="222222"/>
          <w:u w:val="single"/>
          <w:lang w:val="es-ES_tradnl"/>
        </w:rPr>
        <w:t>S</w:t>
      </w:r>
      <w:r w:rsidRPr="00062EE7">
        <w:rPr>
          <w:b/>
          <w:color w:val="222222"/>
          <w:u w:val="single"/>
          <w:lang w:val="es-ES_tradnl"/>
        </w:rPr>
        <w:t>oluciones propuestas en materia de género</w:t>
      </w:r>
      <w:r>
        <w:rPr>
          <w:b/>
          <w:color w:val="222222"/>
          <w:u w:val="single"/>
          <w:lang w:val="es-ES_tradnl"/>
        </w:rPr>
        <w:t xml:space="preserve">, diversidad y poblaciones vulnerables en el POD </w:t>
      </w:r>
      <w:r w:rsidRPr="00062EE7">
        <w:rPr>
          <w:b/>
          <w:color w:val="222222"/>
          <w:u w:val="single"/>
          <w:lang w:val="es-ES_tradnl"/>
        </w:rPr>
        <w:t>(desagregado por componente).</w:t>
      </w:r>
    </w:p>
    <w:p w:rsidR="003A649A" w:rsidRPr="00062EE7" w:rsidRDefault="003A649A" w:rsidP="00786D5B">
      <w:pPr>
        <w:rPr>
          <w:color w:val="222222"/>
          <w:lang w:val="es-ES_tradnl"/>
        </w:rPr>
      </w:pPr>
    </w:p>
    <w:p w:rsidR="003A649A" w:rsidRPr="007F669D" w:rsidRDefault="003A649A" w:rsidP="00FC1230">
      <w:pPr>
        <w:rPr>
          <w:b/>
          <w:bCs/>
          <w:u w:val="single"/>
          <w:lang w:val="es-ES"/>
        </w:rPr>
      </w:pPr>
      <w:r w:rsidRPr="007F669D">
        <w:rPr>
          <w:b/>
          <w:color w:val="222222"/>
          <w:u w:val="single"/>
          <w:lang w:val="es-ES_tradnl"/>
        </w:rPr>
        <w:t>Componente 1.</w:t>
      </w:r>
      <w:r w:rsidRPr="007F669D">
        <w:rPr>
          <w:b/>
          <w:u w:val="single"/>
          <w:lang w:val="es-CO"/>
        </w:rPr>
        <w:t xml:space="preserve"> </w:t>
      </w:r>
      <w:r w:rsidRPr="007F669D">
        <w:rPr>
          <w:b/>
          <w:bCs/>
          <w:u w:val="single"/>
          <w:lang w:val="es-ES"/>
        </w:rPr>
        <w:t>Fortalecimiento de la Gestión y Planeación Estratégica.</w:t>
      </w:r>
    </w:p>
    <w:p w:rsidR="003A649A" w:rsidRDefault="003A649A" w:rsidP="007F669D">
      <w:pPr>
        <w:rPr>
          <w:b/>
          <w:lang w:val="es-ES"/>
        </w:rPr>
      </w:pPr>
    </w:p>
    <w:p w:rsidR="003A649A" w:rsidRDefault="003A649A" w:rsidP="00C02B92">
      <w:pPr>
        <w:pStyle w:val="ColorfulList-Accent11"/>
        <w:numPr>
          <w:ilvl w:val="0"/>
          <w:numId w:val="20"/>
        </w:numPr>
        <w:ind w:left="284" w:hanging="284"/>
        <w:jc w:val="both"/>
        <w:rPr>
          <w:lang w:val="es-AR"/>
        </w:rPr>
      </w:pPr>
      <w:bookmarkStart w:id="0" w:name="_Hlk509842718"/>
      <w:r>
        <w:rPr>
          <w:lang w:val="es-ES"/>
        </w:rPr>
        <w:t>D</w:t>
      </w:r>
      <w:proofErr w:type="spellStart"/>
      <w:r w:rsidRPr="007F669D">
        <w:rPr>
          <w:lang w:val="es-CO"/>
        </w:rPr>
        <w:t>iseño</w:t>
      </w:r>
      <w:proofErr w:type="spellEnd"/>
      <w:r w:rsidRPr="007F669D">
        <w:rPr>
          <w:lang w:val="es-CO"/>
        </w:rPr>
        <w:t xml:space="preserve"> e implementación de un Modelo de Gestión Defensorial por Resultados (MGDR)</w:t>
      </w:r>
      <w:bookmarkEnd w:id="0"/>
      <w:r w:rsidRPr="007059CB">
        <w:rPr>
          <w:vertAlign w:val="superscript"/>
          <w:lang w:val="es-CO"/>
        </w:rPr>
        <w:endnoteReference w:id="21"/>
      </w:r>
      <w:r w:rsidRPr="007F669D">
        <w:rPr>
          <w:lang w:val="es-CO"/>
        </w:rPr>
        <w:t xml:space="preserve"> que incluya los sistemas de planeación estratégica, </w:t>
      </w:r>
      <w:r w:rsidRPr="007F669D">
        <w:rPr>
          <w:bCs/>
          <w:lang w:val="es-ES_tradnl"/>
        </w:rPr>
        <w:t>presupuestación</w:t>
      </w:r>
      <w:r w:rsidRPr="007F669D">
        <w:rPr>
          <w:lang w:val="es-CO"/>
        </w:rPr>
        <w:t>, monitoreo y evaluación</w:t>
      </w:r>
      <w:r>
        <w:rPr>
          <w:lang w:val="es-CO"/>
        </w:rPr>
        <w:t>. El MGDR incluirá</w:t>
      </w:r>
      <w:r w:rsidRPr="007F669D">
        <w:rPr>
          <w:lang w:val="es-CO"/>
        </w:rPr>
        <w:t xml:space="preserve"> una línea de </w:t>
      </w:r>
      <w:r w:rsidRPr="007F669D">
        <w:rPr>
          <w:b/>
          <w:lang w:val="es-CO"/>
        </w:rPr>
        <w:t>generación de resultados y mecanismo de medición de impacto en materia de género</w:t>
      </w:r>
      <w:r w:rsidRPr="007F669D">
        <w:rPr>
          <w:lang w:val="es-CO"/>
        </w:rPr>
        <w:t xml:space="preserve">. Esto </w:t>
      </w:r>
      <w:r w:rsidRPr="007F669D">
        <w:rPr>
          <w:lang w:val="es-AR"/>
        </w:rPr>
        <w:t xml:space="preserve">reforzará la </w:t>
      </w:r>
      <w:r w:rsidRPr="007F669D">
        <w:rPr>
          <w:b/>
          <w:lang w:val="es-AR"/>
        </w:rPr>
        <w:t>perspectiva de género</w:t>
      </w:r>
      <w:r w:rsidRPr="007F669D">
        <w:rPr>
          <w:lang w:val="es-AR"/>
        </w:rPr>
        <w:t xml:space="preserve"> como parte integrante de la planificación en toda la entidad recomendando la inclusión de esta perspectiva en los Planes Operativos estratégicos de las Defensorías Delegadas</w:t>
      </w:r>
      <w:r>
        <w:rPr>
          <w:lang w:val="es-AR"/>
        </w:rPr>
        <w:t xml:space="preserve"> (Actividad i – Producto </w:t>
      </w:r>
      <w:r w:rsidRPr="00C02B92">
        <w:rPr>
          <w:lang w:val="es-ES_tradnl"/>
        </w:rPr>
        <w:t xml:space="preserve">P.1.2. </w:t>
      </w:r>
      <w:r>
        <w:t xml:space="preserve">Ver: </w:t>
      </w:r>
      <w:proofErr w:type="spellStart"/>
      <w:r>
        <w:t>Lógica</w:t>
      </w:r>
      <w:proofErr w:type="spellEnd"/>
      <w:r>
        <w:t xml:space="preserve"> vertical</w:t>
      </w:r>
      <w:r>
        <w:rPr>
          <w:lang w:val="es-AR"/>
        </w:rPr>
        <w:t>).</w:t>
      </w:r>
    </w:p>
    <w:p w:rsidR="003A649A" w:rsidRPr="00B653F4" w:rsidRDefault="003A649A" w:rsidP="00C02B92">
      <w:pPr>
        <w:pStyle w:val="ColorfulList-Accent11"/>
        <w:numPr>
          <w:ilvl w:val="0"/>
          <w:numId w:val="20"/>
        </w:numPr>
        <w:ind w:left="284" w:hanging="284"/>
        <w:jc w:val="both"/>
        <w:rPr>
          <w:lang w:val="es-ES_tradnl"/>
        </w:rPr>
      </w:pPr>
      <w:r>
        <w:rPr>
          <w:lang w:val="es-ES_tradnl"/>
        </w:rPr>
        <w:t>D</w:t>
      </w:r>
      <w:r w:rsidRPr="007059CB">
        <w:rPr>
          <w:lang w:val="es-ES_tradnl"/>
        </w:rPr>
        <w:t>iseño e implementación de una metodología para gestionar alertas y</w:t>
      </w:r>
      <w:r>
        <w:rPr>
          <w:lang w:val="es-ES_tradnl"/>
        </w:rPr>
        <w:t>/o</w:t>
      </w:r>
      <w:r w:rsidRPr="007059CB">
        <w:rPr>
          <w:lang w:val="es-ES_tradnl"/>
        </w:rPr>
        <w:t xml:space="preserve"> recomendaciones incluyendo criterios de priorización, monitoreo y seguimiento </w:t>
      </w:r>
      <w:r w:rsidRPr="007059CB">
        <w:rPr>
          <w:lang w:val="es-AR"/>
        </w:rPr>
        <w:t>poblacional, temático y territorial</w:t>
      </w:r>
      <w:r w:rsidRPr="007059CB">
        <w:rPr>
          <w:vertAlign w:val="superscript"/>
          <w:lang w:val="en-US"/>
        </w:rPr>
        <w:endnoteReference w:id="22"/>
      </w:r>
      <w:r>
        <w:rPr>
          <w:lang w:val="es-AR"/>
        </w:rPr>
        <w:t xml:space="preserve">. La incorporación de criterios de priorización poblacional en el marco de esta metodología, tendrán en cuenta aquellos elementos que permitan monitorear en detalle aquellas alertas y/o recomendaciones orientadas a mejorar la prestación de servicios y la respuesta del Estado en asuntos relacionados con género y poblaciones vulnerables (Actividad ii - Producto P.1.3. Ver: Lógica Vertical). Esta actividad se complementa con el </w:t>
      </w:r>
      <w:r w:rsidRPr="00B653F4">
        <w:rPr>
          <w:lang w:val="es-ES_tradnl"/>
        </w:rPr>
        <w:t xml:space="preserve">diseño e implementación de una solución tecnológica para la gestión de </w:t>
      </w:r>
      <w:r>
        <w:rPr>
          <w:lang w:val="es-ES_tradnl"/>
        </w:rPr>
        <w:t xml:space="preserve">dichas alertas y recomendaciones </w:t>
      </w:r>
      <w:r w:rsidRPr="00B653F4">
        <w:rPr>
          <w:lang w:val="es-ES_tradnl"/>
        </w:rPr>
        <w:t xml:space="preserve">y que soporte la metodología diseñada </w:t>
      </w:r>
      <w:r w:rsidRPr="00B653F4">
        <w:rPr>
          <w:lang w:val="es-CO"/>
        </w:rPr>
        <w:t>(Actividad ii</w:t>
      </w:r>
      <w:r>
        <w:rPr>
          <w:lang w:val="es-CO"/>
        </w:rPr>
        <w:t>i – Producto P.1.4. Ver: Lógica Vertical y Matriz de Productos</w:t>
      </w:r>
      <w:r w:rsidRPr="00B653F4">
        <w:rPr>
          <w:lang w:val="es-CO"/>
        </w:rPr>
        <w:t>)</w:t>
      </w:r>
      <w:r w:rsidRPr="00B653F4">
        <w:rPr>
          <w:lang w:val="es-ES_tradnl"/>
        </w:rPr>
        <w:t xml:space="preserve">. </w:t>
      </w:r>
    </w:p>
    <w:p w:rsidR="003A649A" w:rsidRPr="00C02B92" w:rsidRDefault="003A649A" w:rsidP="00C02B92">
      <w:pPr>
        <w:pStyle w:val="ColorfulList-Accent11"/>
        <w:numPr>
          <w:ilvl w:val="0"/>
          <w:numId w:val="20"/>
        </w:numPr>
        <w:ind w:left="284" w:hanging="284"/>
        <w:jc w:val="both"/>
        <w:rPr>
          <w:lang w:val="es-ES_tradnl"/>
        </w:rPr>
      </w:pPr>
      <w:r>
        <w:rPr>
          <w:lang w:val="es-ES_tradnl"/>
        </w:rPr>
        <w:t>Diseño e implementación de</w:t>
      </w:r>
      <w:r w:rsidRPr="007059CB">
        <w:rPr>
          <w:lang w:val="es-ES_tradnl"/>
        </w:rPr>
        <w:t xml:space="preserve"> un Modelo de Arquitectura Empresarial, Arquitectura de Software y Gobierno de TI y D</w:t>
      </w:r>
      <w:r>
        <w:rPr>
          <w:lang w:val="es-ES_tradnl"/>
        </w:rPr>
        <w:t>atos Actividad iv – Producto 1.5. Ver: Lógica Vertical y Matriz de Resultados)</w:t>
      </w:r>
      <w:r w:rsidRPr="007059CB">
        <w:rPr>
          <w:lang w:val="es-ES_tradnl"/>
        </w:rPr>
        <w:t>;</w:t>
      </w:r>
      <w:r>
        <w:rPr>
          <w:lang w:val="es-ES_tradnl"/>
        </w:rPr>
        <w:t xml:space="preserve"> el </w:t>
      </w:r>
      <w:r w:rsidRPr="007059CB">
        <w:rPr>
          <w:lang w:val="es-ES_tradnl"/>
        </w:rPr>
        <w:t>diseño e implementación de un Modelo de Inteligencia de Negocios y Analítica</w:t>
      </w:r>
      <w:r>
        <w:rPr>
          <w:lang w:val="es-ES_tradnl"/>
        </w:rPr>
        <w:t xml:space="preserve"> (Actividad v – Producto 1.5.). Todos los </w:t>
      </w:r>
      <w:r w:rsidRPr="00330C8B">
        <w:rPr>
          <w:lang w:val="es-CO"/>
        </w:rPr>
        <w:t xml:space="preserve">lineamientos y políticas para el diseño e implementación de </w:t>
      </w:r>
      <w:proofErr w:type="spellStart"/>
      <w:r w:rsidRPr="00330C8B">
        <w:rPr>
          <w:lang w:val="es-CO"/>
        </w:rPr>
        <w:t>TICs</w:t>
      </w:r>
      <w:proofErr w:type="spellEnd"/>
      <w:r w:rsidRPr="001F75AC">
        <w:rPr>
          <w:lang w:val="es-CO"/>
        </w:rPr>
        <w:t xml:space="preserve"> listados </w:t>
      </w:r>
      <w:proofErr w:type="gramStart"/>
      <w:r w:rsidRPr="001F75AC">
        <w:rPr>
          <w:lang w:val="es-CO"/>
        </w:rPr>
        <w:t>anteriormente,</w:t>
      </w:r>
      <w:proofErr w:type="gramEnd"/>
      <w:r w:rsidRPr="001F75AC">
        <w:rPr>
          <w:lang w:val="es-CO"/>
        </w:rPr>
        <w:t xml:space="preserve"> tendrán en consideración especificaciones orientadas a</w:t>
      </w:r>
      <w:r w:rsidRPr="002C14E1">
        <w:rPr>
          <w:lang w:val="es-CO"/>
        </w:rPr>
        <w:t xml:space="preserve"> gestionar información y conocimiento </w:t>
      </w:r>
      <w:r w:rsidRPr="00C02B92">
        <w:rPr>
          <w:lang w:val="es-CO"/>
        </w:rPr>
        <w:t xml:space="preserve">con perspectiva de género </w:t>
      </w:r>
      <w:r w:rsidRPr="00330C8B">
        <w:rPr>
          <w:lang w:val="es-CO"/>
        </w:rPr>
        <w:t xml:space="preserve">y poblaciones vulnerables </w:t>
      </w:r>
      <w:r>
        <w:rPr>
          <w:lang w:val="es-CO"/>
        </w:rPr>
        <w:t>en la gestión defensorial</w:t>
      </w:r>
      <w:r w:rsidRPr="00330C8B">
        <w:rPr>
          <w:lang w:val="es-CO"/>
        </w:rPr>
        <w:t>.</w:t>
      </w:r>
      <w:r w:rsidRPr="00330C8B" w:rsidDel="008F7A77">
        <w:rPr>
          <w:lang w:val="es-ES"/>
        </w:rPr>
        <w:t xml:space="preserve"> </w:t>
      </w:r>
    </w:p>
    <w:p w:rsidR="003A649A" w:rsidRPr="00C02B92" w:rsidRDefault="003A649A" w:rsidP="00C02B92">
      <w:pPr>
        <w:pStyle w:val="ColorfulList-Accent11"/>
        <w:numPr>
          <w:ilvl w:val="0"/>
          <w:numId w:val="20"/>
        </w:numPr>
        <w:ind w:left="284" w:hanging="284"/>
        <w:jc w:val="both"/>
        <w:rPr>
          <w:lang w:val="es-ES_tradnl"/>
        </w:rPr>
      </w:pPr>
      <w:r>
        <w:rPr>
          <w:lang w:val="es-ES_tradnl"/>
        </w:rPr>
        <w:t>D</w:t>
      </w:r>
      <w:r w:rsidRPr="007059CB">
        <w:rPr>
          <w:lang w:val="es-ES_tradnl"/>
        </w:rPr>
        <w:t>iseño e implementación de una Plataf</w:t>
      </w:r>
      <w:r>
        <w:rPr>
          <w:lang w:val="es-ES_tradnl"/>
        </w:rPr>
        <w:t>orma Integrada para la Gestión D</w:t>
      </w:r>
      <w:r w:rsidRPr="007059CB">
        <w:rPr>
          <w:lang w:val="es-ES_tradnl"/>
        </w:rPr>
        <w:t>efensorial</w:t>
      </w:r>
      <w:r>
        <w:rPr>
          <w:lang w:val="es-ES_tradnl"/>
        </w:rPr>
        <w:t xml:space="preserve"> que permitirá</w:t>
      </w:r>
      <w:r w:rsidRPr="00C02B92">
        <w:rPr>
          <w:lang w:val="es-ES_tradnl"/>
        </w:rPr>
        <w:t xml:space="preserve"> realizar una gestión estratégica sobre a la Línea de generación de resultados y mecanismo de medición de impacto en materia de género en el marco del MGDR. </w:t>
      </w:r>
      <w:r>
        <w:t>(</w:t>
      </w:r>
      <w:proofErr w:type="spellStart"/>
      <w:r>
        <w:t>Producto</w:t>
      </w:r>
      <w:proofErr w:type="spellEnd"/>
      <w:r>
        <w:t xml:space="preserve"> 1.2 - C1.)</w:t>
      </w:r>
      <w:r w:rsidRPr="007059CB">
        <w:rPr>
          <w:lang w:val="es-ES_tradnl"/>
        </w:rPr>
        <w:t xml:space="preserve"> (</w:t>
      </w:r>
      <w:r>
        <w:rPr>
          <w:lang w:val="es-ES_tradnl"/>
        </w:rPr>
        <w:t xml:space="preserve">Actividad </w:t>
      </w:r>
      <w:r w:rsidRPr="007059CB">
        <w:rPr>
          <w:lang w:val="es-ES_tradnl"/>
        </w:rPr>
        <w:t>vi</w:t>
      </w:r>
      <w:r>
        <w:rPr>
          <w:lang w:val="es-ES_tradnl"/>
        </w:rPr>
        <w:t xml:space="preserve"> – Producto 1.6.</w:t>
      </w:r>
      <w:r w:rsidRPr="007059CB">
        <w:rPr>
          <w:lang w:val="es-ES_tradnl"/>
        </w:rPr>
        <w:t>)</w:t>
      </w:r>
      <w:r>
        <w:rPr>
          <w:lang w:val="es-ES_tradnl"/>
        </w:rPr>
        <w:t>.</w:t>
      </w:r>
    </w:p>
    <w:p w:rsidR="003A649A" w:rsidRDefault="003A649A" w:rsidP="00C02B92">
      <w:pPr>
        <w:pStyle w:val="ColorfulList-Accent11"/>
        <w:numPr>
          <w:ilvl w:val="0"/>
          <w:numId w:val="20"/>
        </w:numPr>
        <w:ind w:left="284" w:hanging="284"/>
        <w:jc w:val="both"/>
        <w:rPr>
          <w:lang w:val="es-ES_tradnl"/>
        </w:rPr>
      </w:pPr>
      <w:r>
        <w:rPr>
          <w:lang w:val="es-ES_tradnl"/>
        </w:rPr>
        <w:t>D</w:t>
      </w:r>
      <w:r w:rsidRPr="007059CB">
        <w:rPr>
          <w:lang w:val="es-ES_tradnl"/>
        </w:rPr>
        <w:t>iseño e implementación de una plataforma de visualización y georreferenciación de la gestión de la DPC (</w:t>
      </w:r>
      <w:proofErr w:type="spellStart"/>
      <w:r w:rsidRPr="007059CB">
        <w:rPr>
          <w:lang w:val="es-ES_tradnl"/>
        </w:rPr>
        <w:t>Mapadefensorial</w:t>
      </w:r>
      <w:proofErr w:type="spellEnd"/>
      <w:r w:rsidRPr="007059CB">
        <w:rPr>
          <w:lang w:val="es-ES_tradnl"/>
        </w:rPr>
        <w:t xml:space="preserve">). </w:t>
      </w:r>
      <w:r w:rsidRPr="007F669D">
        <w:rPr>
          <w:lang w:val="es-ES_tradnl"/>
        </w:rPr>
        <w:t xml:space="preserve">La plataforma </w:t>
      </w:r>
      <w:proofErr w:type="spellStart"/>
      <w:r w:rsidRPr="007F669D">
        <w:rPr>
          <w:lang w:val="es-ES_tradnl"/>
        </w:rPr>
        <w:t>Mapadefensorial</w:t>
      </w:r>
      <w:proofErr w:type="spellEnd"/>
      <w:r w:rsidRPr="007F669D">
        <w:rPr>
          <w:lang w:val="es-ES_tradnl"/>
        </w:rPr>
        <w:t xml:space="preserve"> contará con mecanismos para la participación ciudadana y tendrá una interface específicamente diseñada para </w:t>
      </w:r>
      <w:r>
        <w:rPr>
          <w:lang w:val="es-ES_tradnl"/>
        </w:rPr>
        <w:t>gestionar</w:t>
      </w:r>
      <w:r w:rsidRPr="007F669D">
        <w:rPr>
          <w:lang w:val="es-ES_tradnl"/>
        </w:rPr>
        <w:t xml:space="preserve"> requerimientos ciudadanos </w:t>
      </w:r>
      <w:r w:rsidRPr="00C02B92">
        <w:rPr>
          <w:lang w:val="es-ES_tradnl"/>
        </w:rPr>
        <w:t>en materia de género y poblaciones vul</w:t>
      </w:r>
      <w:r>
        <w:rPr>
          <w:lang w:val="es-ES_tradnl"/>
        </w:rPr>
        <w:t>n</w:t>
      </w:r>
      <w:r w:rsidRPr="00C02B92">
        <w:rPr>
          <w:lang w:val="es-ES_tradnl"/>
        </w:rPr>
        <w:t>erables (Actividad vii</w:t>
      </w:r>
      <w:r>
        <w:rPr>
          <w:lang w:val="es-ES_tradnl"/>
        </w:rPr>
        <w:t>. Producto P 1.8. Ver: Lógica Vertical y Matriz de Productos</w:t>
      </w:r>
      <w:r w:rsidRPr="00C02B92">
        <w:rPr>
          <w:lang w:val="es-ES_tradnl"/>
        </w:rPr>
        <w:t>)</w:t>
      </w:r>
      <w:r>
        <w:rPr>
          <w:lang w:val="es-ES_tradnl"/>
        </w:rPr>
        <w:t>.</w:t>
      </w:r>
    </w:p>
    <w:p w:rsidR="003A649A" w:rsidRPr="00062EE7" w:rsidRDefault="003A649A" w:rsidP="00FC1230">
      <w:pPr>
        <w:pStyle w:val="ColorfulList-Accent11"/>
        <w:ind w:left="1080"/>
        <w:rPr>
          <w:lang w:val="es-ES_tradnl"/>
        </w:rPr>
      </w:pPr>
    </w:p>
    <w:p w:rsidR="003A649A" w:rsidRPr="007F669D" w:rsidRDefault="003A649A" w:rsidP="00786D5B">
      <w:pPr>
        <w:jc w:val="both"/>
        <w:rPr>
          <w:b/>
          <w:color w:val="222222"/>
          <w:u w:val="single"/>
          <w:lang w:val="es-ES_tradnl"/>
        </w:rPr>
      </w:pPr>
      <w:r w:rsidRPr="007F669D">
        <w:rPr>
          <w:b/>
          <w:color w:val="222222"/>
          <w:u w:val="single"/>
          <w:lang w:val="es-ES_tradnl"/>
        </w:rPr>
        <w:t xml:space="preserve">Componente 2. </w:t>
      </w:r>
      <w:r w:rsidRPr="007F669D">
        <w:rPr>
          <w:b/>
          <w:u w:val="single"/>
          <w:lang w:val="es-ES_tradnl"/>
        </w:rPr>
        <w:t>Atención y Servicio al Ciudadano</w:t>
      </w:r>
      <w:r w:rsidRPr="007F669D">
        <w:rPr>
          <w:b/>
          <w:u w:val="single"/>
          <w:lang w:val="es-CO"/>
        </w:rPr>
        <w:t>.</w:t>
      </w:r>
    </w:p>
    <w:p w:rsidR="003A649A" w:rsidRPr="00062EE7" w:rsidRDefault="003A649A" w:rsidP="00786D5B">
      <w:pPr>
        <w:jc w:val="both"/>
        <w:rPr>
          <w:b/>
          <w:color w:val="222222"/>
          <w:lang w:val="es-ES_tradnl"/>
        </w:rPr>
      </w:pPr>
    </w:p>
    <w:p w:rsidR="003A649A" w:rsidRPr="00C02B92" w:rsidRDefault="003A649A" w:rsidP="00C02B92">
      <w:pPr>
        <w:pStyle w:val="ColorfulList-Accent11"/>
        <w:numPr>
          <w:ilvl w:val="0"/>
          <w:numId w:val="12"/>
        </w:numPr>
        <w:ind w:left="284" w:hanging="284"/>
        <w:jc w:val="both"/>
        <w:rPr>
          <w:b/>
          <w:color w:val="222222"/>
          <w:lang w:val="es-ES_tradnl"/>
        </w:rPr>
      </w:pPr>
      <w:r w:rsidRPr="00C02B92">
        <w:rPr>
          <w:lang w:val="es-ES_tradnl"/>
        </w:rPr>
        <w:t xml:space="preserve">Diagnóstico de procesos de gestión de requerimientos ciudadanos identificando brechas que afectan su óptimo desempeño. Este diagnóstico comprenderá un análisis de brechas en la gestión de requerimientos en materia de género y poblaciones vulnerables (Actividad i </w:t>
      </w:r>
      <w:r w:rsidR="00E2429E">
        <w:rPr>
          <w:lang w:val="es-ES_tradnl"/>
        </w:rPr>
        <w:noBreakHyphen/>
        <w:t> </w:t>
      </w:r>
      <w:r w:rsidRPr="00C02B92">
        <w:rPr>
          <w:lang w:val="es-ES_tradnl"/>
        </w:rPr>
        <w:t xml:space="preserve">Producto 2.1. </w:t>
      </w:r>
      <w:r w:rsidRPr="00E2429E">
        <w:rPr>
          <w:lang w:val="es-ES_tradnl"/>
        </w:rPr>
        <w:t>Ver: Lógica Vertical y Matriz de Productos).</w:t>
      </w:r>
    </w:p>
    <w:p w:rsidR="003A649A" w:rsidRPr="00C02B92" w:rsidRDefault="003A649A" w:rsidP="00C02B92">
      <w:pPr>
        <w:pStyle w:val="ColorfulList-Accent11"/>
        <w:numPr>
          <w:ilvl w:val="0"/>
          <w:numId w:val="12"/>
        </w:numPr>
        <w:ind w:left="284" w:hanging="284"/>
        <w:jc w:val="both"/>
        <w:rPr>
          <w:b/>
          <w:color w:val="222222"/>
          <w:lang w:val="es-ES_tradnl"/>
        </w:rPr>
      </w:pPr>
      <w:r>
        <w:rPr>
          <w:lang w:val="es-ES_tradnl"/>
        </w:rPr>
        <w:lastRenderedPageBreak/>
        <w:t>D</w:t>
      </w:r>
      <w:r w:rsidRPr="007F669D">
        <w:rPr>
          <w:lang w:val="es-ES_tradnl"/>
        </w:rPr>
        <w:t xml:space="preserve">iseño e implementación de un modelo de atención de requerimientos ciudadanos con base en el diagnóstico realizado. </w:t>
      </w:r>
      <w:r w:rsidRPr="00C02B92">
        <w:rPr>
          <w:lang w:val="es-ES_tradnl"/>
        </w:rPr>
        <w:t>El modelo incorporará lineamientos y herramientas</w:t>
      </w:r>
      <w:r>
        <w:rPr>
          <w:rStyle w:val="EndnoteReference"/>
        </w:rPr>
        <w:endnoteReference w:id="23"/>
      </w:r>
      <w:r w:rsidRPr="00C02B92">
        <w:rPr>
          <w:lang w:val="es-ES_tradnl"/>
        </w:rPr>
        <w:t xml:space="preserve"> que permitan gestionar requerimientos ciudadanos en materia de género, diversidad y poblaciones vulnerables. (Actividad ii – Producto 2.2. Ver: Lógica Vertical y Matriz de Productos).</w:t>
      </w:r>
    </w:p>
    <w:p w:rsidR="003A649A" w:rsidRPr="007F669D" w:rsidRDefault="003A649A" w:rsidP="00C02B92">
      <w:pPr>
        <w:pStyle w:val="ColorfulList-Accent11"/>
        <w:numPr>
          <w:ilvl w:val="0"/>
          <w:numId w:val="12"/>
        </w:numPr>
        <w:ind w:left="284" w:hanging="284"/>
        <w:jc w:val="both"/>
        <w:rPr>
          <w:b/>
          <w:color w:val="222222"/>
          <w:lang w:val="es-ES_tradnl"/>
        </w:rPr>
      </w:pPr>
      <w:r w:rsidRPr="00C02B92">
        <w:rPr>
          <w:lang w:val="es-ES_tradnl"/>
        </w:rPr>
        <w:t>Diseño, implementación y evaluación de una estrategia</w:t>
      </w:r>
      <w:r>
        <w:rPr>
          <w:rStyle w:val="EndnoteReference"/>
        </w:rPr>
        <w:endnoteReference w:id="24"/>
      </w:r>
      <w:r w:rsidRPr="00C02B92">
        <w:rPr>
          <w:lang w:val="es-ES_tradnl"/>
        </w:rPr>
        <w:t xml:space="preserve"> para ampliar la cobertura en la prestación de servicios y la atención a poblaciones vulnerables a nivel territorial</w:t>
      </w:r>
      <w:r w:rsidRPr="000116CA">
        <w:rPr>
          <w:rStyle w:val="EndnoteReference"/>
        </w:rPr>
        <w:endnoteReference w:id="25"/>
      </w:r>
      <w:r w:rsidRPr="00C02B92">
        <w:rPr>
          <w:lang w:val="es-ES_tradnl"/>
        </w:rPr>
        <w:t>. (Actividad iii – Productos 2.3. y 2.4. Ver: Lógica Vertical y Matriz de Productos).</w:t>
      </w:r>
      <w:r w:rsidRPr="007F669D">
        <w:rPr>
          <w:lang w:val="es-ES_tradnl"/>
        </w:rPr>
        <w:t xml:space="preserve"> </w:t>
      </w:r>
    </w:p>
    <w:p w:rsidR="003A649A" w:rsidRPr="00062EE7" w:rsidRDefault="003A649A" w:rsidP="00786D5B">
      <w:pPr>
        <w:pStyle w:val="ColorfulList-Accent11"/>
        <w:rPr>
          <w:color w:val="222222"/>
          <w:lang w:val="es-ES_tradnl"/>
        </w:rPr>
      </w:pPr>
    </w:p>
    <w:p w:rsidR="003A649A" w:rsidRPr="00087D15" w:rsidRDefault="003A649A" w:rsidP="00786D5B">
      <w:pPr>
        <w:pBdr>
          <w:top w:val="none" w:sz="0" w:space="0" w:color="auto"/>
          <w:left w:val="none" w:sz="0" w:space="0" w:color="auto"/>
          <w:bottom w:val="none" w:sz="0" w:space="0" w:color="auto"/>
          <w:right w:val="none" w:sz="0" w:space="0" w:color="auto"/>
          <w:between w:val="none" w:sz="0" w:space="0" w:color="auto"/>
        </w:pBdr>
        <w:jc w:val="both"/>
        <w:rPr>
          <w:u w:val="single"/>
          <w:lang w:val="es-CO"/>
        </w:rPr>
      </w:pPr>
      <w:r w:rsidRPr="00087D15">
        <w:rPr>
          <w:b/>
          <w:u w:val="single"/>
          <w:lang w:val="es-CO"/>
        </w:rPr>
        <w:t>Componente 3.</w:t>
      </w:r>
      <w:r w:rsidRPr="00087D15">
        <w:rPr>
          <w:u w:val="single"/>
          <w:lang w:val="es-CO"/>
        </w:rPr>
        <w:t xml:space="preserve"> </w:t>
      </w:r>
      <w:r w:rsidRPr="00087D15">
        <w:rPr>
          <w:b/>
          <w:u w:val="single"/>
          <w:lang w:val="es-CO"/>
        </w:rPr>
        <w:t>Rendición de cuentas y Participación Ciudadana.</w:t>
      </w:r>
      <w:r w:rsidRPr="00087D15">
        <w:rPr>
          <w:u w:val="single"/>
          <w:lang w:val="es-CO"/>
        </w:rPr>
        <w:t xml:space="preserve"> </w:t>
      </w:r>
    </w:p>
    <w:p w:rsidR="003A649A" w:rsidRPr="00062EE7" w:rsidRDefault="003A649A" w:rsidP="00786D5B">
      <w:pPr>
        <w:pBdr>
          <w:top w:val="none" w:sz="0" w:space="0" w:color="auto"/>
          <w:left w:val="none" w:sz="0" w:space="0" w:color="auto"/>
          <w:bottom w:val="none" w:sz="0" w:space="0" w:color="auto"/>
          <w:right w:val="none" w:sz="0" w:space="0" w:color="auto"/>
          <w:between w:val="none" w:sz="0" w:space="0" w:color="auto"/>
        </w:pBdr>
        <w:jc w:val="both"/>
        <w:rPr>
          <w:lang w:val="es-CO"/>
        </w:rPr>
      </w:pPr>
    </w:p>
    <w:p w:rsidR="003A649A" w:rsidRPr="00F2006E" w:rsidRDefault="003A649A" w:rsidP="00C02B92">
      <w:pPr>
        <w:pStyle w:val="ColorfulList-Accent11"/>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jc w:val="both"/>
        <w:rPr>
          <w:b/>
          <w:lang w:val="es-CO"/>
        </w:rPr>
      </w:pPr>
      <w:r w:rsidRPr="00087D15">
        <w:rPr>
          <w:lang w:val="es-ES_tradnl"/>
        </w:rPr>
        <w:t xml:space="preserve">Fortalecimiento de la estrategia de rendición de cuentas, </w:t>
      </w:r>
      <w:r w:rsidRPr="00A84652">
        <w:rPr>
          <w:lang w:val="es-AR"/>
        </w:rPr>
        <w:t>participación ciudadana e incidencia en políticas públicas</w:t>
      </w:r>
      <w:r w:rsidRPr="00087D15">
        <w:rPr>
          <w:lang w:val="es-ES_tradnl"/>
        </w:rPr>
        <w:t xml:space="preserve"> a nivel nacional. Esto incluye: </w:t>
      </w:r>
      <w:r w:rsidR="003636FA" w:rsidRPr="003636FA">
        <w:rPr>
          <w:lang w:val="es-ES_tradnl"/>
        </w:rPr>
        <w:t>(</w:t>
      </w:r>
      <w:r w:rsidRPr="003636FA">
        <w:rPr>
          <w:lang w:val="es-ES_tradnl"/>
        </w:rPr>
        <w:t>a</w:t>
      </w:r>
      <w:r w:rsidR="003636FA" w:rsidRPr="003636FA">
        <w:rPr>
          <w:lang w:val="es-ES_tradnl"/>
        </w:rPr>
        <w:t>)</w:t>
      </w:r>
      <w:r w:rsidRPr="00087D15">
        <w:rPr>
          <w:lang w:val="es-ES_tradnl"/>
        </w:rPr>
        <w:t xml:space="preserve"> Un diagnóstico del estado actual de los mecanismos de rendición de cuentas, participación ciudadana e incidencia en políticas públicas existentes</w:t>
      </w:r>
      <w:r>
        <w:rPr>
          <w:lang w:val="es-ES_tradnl"/>
        </w:rPr>
        <w:t xml:space="preserve"> (</w:t>
      </w:r>
      <w:r>
        <w:rPr>
          <w:rFonts w:eastAsia="Calibri"/>
          <w:lang w:val="es-CO"/>
        </w:rPr>
        <w:t xml:space="preserve">Actividad i. Producto 3.1. </w:t>
      </w:r>
      <w:r w:rsidRPr="00C02B92">
        <w:rPr>
          <w:lang w:val="es-ES_tradnl"/>
        </w:rPr>
        <w:t>Ver: Lógica Vertical y Matriz de Productos</w:t>
      </w:r>
      <w:r>
        <w:rPr>
          <w:rFonts w:eastAsia="Calibri"/>
          <w:lang w:val="es-CO"/>
        </w:rPr>
        <w:t>)</w:t>
      </w:r>
      <w:r w:rsidRPr="00087D15">
        <w:rPr>
          <w:lang w:val="es-ES_tradnl"/>
        </w:rPr>
        <w:t xml:space="preserve">. </w:t>
      </w:r>
      <w:r w:rsidRPr="00C02B92">
        <w:rPr>
          <w:lang w:val="es-ES_tradnl"/>
        </w:rPr>
        <w:t>Esta estrategia concebirá una línea de trabajo específica en materia de género</w:t>
      </w:r>
      <w:r w:rsidRPr="007759B9">
        <w:rPr>
          <w:lang w:val="es-ES_tradnl"/>
        </w:rPr>
        <w:t xml:space="preserve"> y poblaciones vulnerables</w:t>
      </w:r>
      <w:r>
        <w:rPr>
          <w:lang w:val="es-ES_tradnl"/>
        </w:rPr>
        <w:t xml:space="preserve"> (</w:t>
      </w:r>
      <w:r>
        <w:rPr>
          <w:rFonts w:eastAsia="Calibri"/>
          <w:lang w:val="es-CO"/>
        </w:rPr>
        <w:t xml:space="preserve">Actividad i. Producto 3.2. </w:t>
      </w:r>
      <w:r w:rsidRPr="00C02B92">
        <w:rPr>
          <w:lang w:val="es-ES_tradnl"/>
        </w:rPr>
        <w:t>Ver: Lógica Vertical y Matriz de Productos</w:t>
      </w:r>
      <w:r>
        <w:rPr>
          <w:rFonts w:eastAsia="Calibri"/>
          <w:lang w:val="es-CO"/>
        </w:rPr>
        <w:t>)</w:t>
      </w:r>
      <w:r w:rsidRPr="00087D15">
        <w:rPr>
          <w:lang w:val="es-ES_tradnl"/>
        </w:rPr>
        <w:t xml:space="preserve">; </w:t>
      </w:r>
      <w:r w:rsidR="003636FA">
        <w:rPr>
          <w:lang w:val="es-ES_tradnl"/>
        </w:rPr>
        <w:t>(</w:t>
      </w:r>
      <w:r w:rsidRPr="003636FA">
        <w:rPr>
          <w:lang w:val="es-ES_tradnl"/>
        </w:rPr>
        <w:t>b</w:t>
      </w:r>
      <w:r w:rsidR="003636FA" w:rsidRPr="003636FA">
        <w:rPr>
          <w:lang w:val="es-ES_tradnl"/>
        </w:rPr>
        <w:t>)</w:t>
      </w:r>
      <w:r w:rsidRPr="00087D15">
        <w:rPr>
          <w:lang w:val="es-ES_tradnl"/>
        </w:rPr>
        <w:t xml:space="preserve"> El levantamiento de la línea base sobre rendición de cuentas, participación ciudadana e incidencia en políticas públicas de la gestión defensorial</w:t>
      </w:r>
      <w:r>
        <w:rPr>
          <w:lang w:val="es-ES_tradnl"/>
        </w:rPr>
        <w:t xml:space="preserve"> (</w:t>
      </w:r>
      <w:r>
        <w:rPr>
          <w:rFonts w:eastAsia="Calibri"/>
          <w:lang w:val="es-CO"/>
        </w:rPr>
        <w:t xml:space="preserve">Actividad i. Producto 3.3. </w:t>
      </w:r>
      <w:r w:rsidRPr="00C02B92">
        <w:rPr>
          <w:lang w:val="es-ES_tradnl"/>
        </w:rPr>
        <w:t>Ver: Lógica Vertical y Matriz de Productos</w:t>
      </w:r>
      <w:r>
        <w:rPr>
          <w:lang w:val="es-ES_tradnl"/>
        </w:rPr>
        <w:t>)</w:t>
      </w:r>
      <w:r w:rsidRPr="00087D15">
        <w:rPr>
          <w:lang w:val="es-ES_tradnl"/>
        </w:rPr>
        <w:t xml:space="preserve">; </w:t>
      </w:r>
      <w:r w:rsidR="003636FA">
        <w:rPr>
          <w:lang w:val="es-ES_tradnl"/>
        </w:rPr>
        <w:t>(</w:t>
      </w:r>
      <w:r w:rsidRPr="003636FA">
        <w:rPr>
          <w:lang w:val="es-ES_tradnl"/>
        </w:rPr>
        <w:t>c</w:t>
      </w:r>
      <w:r w:rsidR="003636FA" w:rsidRPr="003636FA">
        <w:rPr>
          <w:lang w:val="es-ES_tradnl"/>
        </w:rPr>
        <w:t>)</w:t>
      </w:r>
      <w:r w:rsidRPr="00087D15">
        <w:rPr>
          <w:lang w:val="es-ES_tradnl"/>
        </w:rPr>
        <w:t xml:space="preserve"> El </w:t>
      </w:r>
      <w:proofErr w:type="spellStart"/>
      <w:r w:rsidRPr="00087D15">
        <w:rPr>
          <w:lang w:val="es-ES_tradnl"/>
        </w:rPr>
        <w:t>dise</w:t>
      </w:r>
      <w:r w:rsidRPr="00A84652">
        <w:rPr>
          <w:lang w:val="es-AR"/>
        </w:rPr>
        <w:t>ño</w:t>
      </w:r>
      <w:proofErr w:type="spellEnd"/>
      <w:r w:rsidRPr="00A84652">
        <w:rPr>
          <w:lang w:val="es-AR"/>
        </w:rPr>
        <w:t xml:space="preserve"> e implementación de la estrategia de rendición de cuentas, participación ciudadana considerando </w:t>
      </w:r>
      <w:r w:rsidRPr="00087D15">
        <w:rPr>
          <w:lang w:val="es-ES_tradnl"/>
        </w:rPr>
        <w:t xml:space="preserve">una revisión del marco institucional existente, ajustes operativos necesarios para su institucionalización, </w:t>
      </w:r>
      <w:r w:rsidRPr="00A84652">
        <w:rPr>
          <w:lang w:val="es-AR"/>
        </w:rPr>
        <w:t xml:space="preserve">protocolos y mecanismos para el involucramiento del sector público, privado y sociedad civil en la gestión defensorial e </w:t>
      </w:r>
      <w:r w:rsidRPr="00087D15">
        <w:rPr>
          <w:lang w:val="es-ES_tradnl"/>
        </w:rPr>
        <w:t xml:space="preserve">indicadores para el monitoreo y evaluación de </w:t>
      </w:r>
      <w:proofErr w:type="gramStart"/>
      <w:r w:rsidRPr="00087D15">
        <w:rPr>
          <w:lang w:val="es-ES_tradnl"/>
        </w:rPr>
        <w:t>la misma</w:t>
      </w:r>
      <w:proofErr w:type="gramEnd"/>
      <w:r w:rsidRPr="003636FA">
        <w:rPr>
          <w:rFonts w:eastAsia="Calibri"/>
          <w:lang w:val="es-CO"/>
        </w:rPr>
        <w:t>.</w:t>
      </w:r>
      <w:r>
        <w:rPr>
          <w:rFonts w:eastAsia="Calibri"/>
          <w:b/>
          <w:lang w:val="es-CO"/>
        </w:rPr>
        <w:t xml:space="preserve"> </w:t>
      </w:r>
      <w:r w:rsidRPr="00C02B92">
        <w:rPr>
          <w:rFonts w:eastAsia="Calibri"/>
          <w:lang w:val="es-CO"/>
        </w:rPr>
        <w:t>(Actividad i. Producto</w:t>
      </w:r>
      <w:r w:rsidRPr="00606B78">
        <w:rPr>
          <w:rFonts w:eastAsia="Calibri"/>
          <w:lang w:val="es-CO"/>
        </w:rPr>
        <w:t xml:space="preserve"> </w:t>
      </w:r>
      <w:r>
        <w:rPr>
          <w:rFonts w:eastAsia="Calibri"/>
          <w:lang w:val="es-CO"/>
        </w:rPr>
        <w:t xml:space="preserve">3.4. </w:t>
      </w:r>
      <w:r w:rsidRPr="00C02B92">
        <w:rPr>
          <w:lang w:val="es-ES_tradnl"/>
        </w:rPr>
        <w:t>Ver: Lógica Vertical y Matriz de Productos</w:t>
      </w:r>
      <w:r>
        <w:rPr>
          <w:rFonts w:eastAsia="Calibri"/>
          <w:lang w:val="es-CO"/>
        </w:rPr>
        <w:t>)</w:t>
      </w:r>
    </w:p>
    <w:p w:rsidR="00330D3F" w:rsidRPr="00C02B92" w:rsidRDefault="003A649A" w:rsidP="00C02B92">
      <w:pPr>
        <w:pStyle w:val="ColorfulList-Accent11"/>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jc w:val="both"/>
        <w:rPr>
          <w:b/>
          <w:lang w:val="es-CO"/>
        </w:rPr>
      </w:pPr>
      <w:r w:rsidRPr="00F2006E">
        <w:rPr>
          <w:rFonts w:eastAsia="Calibri"/>
          <w:lang w:val="es-ES_tradnl"/>
        </w:rPr>
        <w:t>R</w:t>
      </w:r>
      <w:proofErr w:type="spellStart"/>
      <w:r w:rsidRPr="00A84652">
        <w:rPr>
          <w:rFonts w:eastAsia="Calibri"/>
          <w:lang w:val="es-CO"/>
        </w:rPr>
        <w:t>ediseño</w:t>
      </w:r>
      <w:proofErr w:type="spellEnd"/>
      <w:r w:rsidRPr="00A84652">
        <w:rPr>
          <w:rFonts w:eastAsia="Calibri"/>
          <w:lang w:val="es-CO"/>
        </w:rPr>
        <w:t xml:space="preserve"> e implementación del portal web</w:t>
      </w:r>
      <w:r w:rsidRPr="00A84652">
        <w:rPr>
          <w:rStyle w:val="EndnoteReference"/>
          <w:rFonts w:eastAsia="Calibri"/>
          <w:lang w:val="es-ES_tradnl"/>
        </w:rPr>
        <w:endnoteReference w:id="26"/>
      </w:r>
      <w:r w:rsidRPr="00A84652">
        <w:rPr>
          <w:rFonts w:eastAsia="Calibri"/>
          <w:lang w:val="es-CO"/>
        </w:rPr>
        <w:t xml:space="preserve"> </w:t>
      </w:r>
      <w:bookmarkStart w:id="2" w:name="_Hlk509845335"/>
      <w:r w:rsidR="00F2006E" w:rsidRPr="00A84652">
        <w:rPr>
          <w:rFonts w:eastAsia="Calibri"/>
          <w:lang w:val="es-CO"/>
        </w:rPr>
        <w:t xml:space="preserve">para el acceso y promoción de la oferta multi-canal habilitando </w:t>
      </w:r>
      <w:r w:rsidR="00F2006E" w:rsidRPr="00A84652">
        <w:rPr>
          <w:rFonts w:eastAsia="Calibri"/>
          <w:lang w:val="es-ES_tradnl"/>
        </w:rPr>
        <w:t xml:space="preserve">mecanismos interactivos para la administración y consulta de contenidos. </w:t>
      </w:r>
      <w:r w:rsidR="00874F88" w:rsidRPr="00A84652">
        <w:rPr>
          <w:rFonts w:eastAsia="Calibri"/>
          <w:lang w:val="es-CO"/>
        </w:rPr>
        <w:t xml:space="preserve">Este nuevo portal web, así como el resto de la oferta multi-canal de la DPC, </w:t>
      </w:r>
      <w:r w:rsidR="00874F88">
        <w:rPr>
          <w:rFonts w:eastAsia="Calibri"/>
          <w:lang w:val="es-CO"/>
        </w:rPr>
        <w:t>permitirá l</w:t>
      </w:r>
      <w:r w:rsidR="00874F88" w:rsidRPr="00A84652">
        <w:rPr>
          <w:rFonts w:eastAsia="Calibri"/>
          <w:lang w:val="es-CO"/>
        </w:rPr>
        <w:t xml:space="preserve">a participación </w:t>
      </w:r>
      <w:r w:rsidR="00874F88">
        <w:rPr>
          <w:rFonts w:eastAsia="Calibri"/>
          <w:lang w:val="es-CO"/>
        </w:rPr>
        <w:t>de la ciudadanía atendiendo a un enfoque d</w:t>
      </w:r>
      <w:r w:rsidR="00874F88" w:rsidRPr="00A84652">
        <w:rPr>
          <w:rFonts w:eastAsia="Calibri"/>
          <w:lang w:val="es-CO"/>
        </w:rPr>
        <w:t>e género</w:t>
      </w:r>
      <w:r w:rsidR="00874F88">
        <w:rPr>
          <w:rFonts w:eastAsia="Calibri"/>
          <w:lang w:val="es-CO"/>
        </w:rPr>
        <w:t>, diversidad y poblaciones vulnerables</w:t>
      </w:r>
      <w:r w:rsidR="00B82586">
        <w:rPr>
          <w:rFonts w:eastAsia="Calibri"/>
          <w:lang w:val="es-CO"/>
        </w:rPr>
        <w:t xml:space="preserve"> </w:t>
      </w:r>
      <w:r w:rsidR="00B82586" w:rsidRPr="00AD6A0A">
        <w:rPr>
          <w:rFonts w:eastAsia="Calibri"/>
          <w:lang w:val="es-CO"/>
        </w:rPr>
        <w:t xml:space="preserve">(Actividad </w:t>
      </w:r>
      <w:r w:rsidR="00B82586">
        <w:rPr>
          <w:rFonts w:eastAsia="Calibri"/>
          <w:lang w:val="es-CO"/>
        </w:rPr>
        <w:t>i</w:t>
      </w:r>
      <w:r w:rsidR="00B82586" w:rsidRPr="00AD6A0A">
        <w:rPr>
          <w:rFonts w:eastAsia="Calibri"/>
          <w:lang w:val="es-CO"/>
        </w:rPr>
        <w:t>i. Producto</w:t>
      </w:r>
      <w:r w:rsidR="00B82586" w:rsidRPr="00606B78">
        <w:rPr>
          <w:rFonts w:eastAsia="Calibri"/>
          <w:lang w:val="es-CO"/>
        </w:rPr>
        <w:t xml:space="preserve"> </w:t>
      </w:r>
      <w:r w:rsidR="00B82586">
        <w:rPr>
          <w:rFonts w:eastAsia="Calibri"/>
          <w:lang w:val="es-CO"/>
        </w:rPr>
        <w:t xml:space="preserve">5. </w:t>
      </w:r>
      <w:r w:rsidR="00B82586">
        <w:t xml:space="preserve">Ver: </w:t>
      </w:r>
      <w:proofErr w:type="spellStart"/>
      <w:r w:rsidR="00B82586">
        <w:t>Lógica</w:t>
      </w:r>
      <w:proofErr w:type="spellEnd"/>
      <w:r w:rsidR="00B82586">
        <w:t xml:space="preserve"> Vertical y </w:t>
      </w:r>
      <w:proofErr w:type="spellStart"/>
      <w:r w:rsidR="00B82586">
        <w:t>Matriz</w:t>
      </w:r>
      <w:proofErr w:type="spellEnd"/>
      <w:r w:rsidR="00B82586">
        <w:t xml:space="preserve"> de </w:t>
      </w:r>
      <w:proofErr w:type="spellStart"/>
      <w:r w:rsidR="00B82586">
        <w:t>Productos</w:t>
      </w:r>
      <w:proofErr w:type="spellEnd"/>
      <w:r w:rsidR="00B82586">
        <w:rPr>
          <w:rFonts w:eastAsia="Calibri"/>
          <w:lang w:val="es-CO"/>
        </w:rPr>
        <w:t>)</w:t>
      </w:r>
      <w:r w:rsidR="00874F88" w:rsidRPr="00A84652">
        <w:rPr>
          <w:rFonts w:eastAsia="Calibri"/>
          <w:lang w:val="es-CO"/>
        </w:rPr>
        <w:t>.</w:t>
      </w:r>
    </w:p>
    <w:p w:rsidR="00F2006E" w:rsidRPr="00F2006E" w:rsidRDefault="00330D3F" w:rsidP="00C02B92">
      <w:pPr>
        <w:pStyle w:val="ColorfulList-Accent11"/>
        <w:numPr>
          <w:ilvl w:val="0"/>
          <w:numId w:val="12"/>
        </w:numPr>
        <w:pBdr>
          <w:top w:val="none" w:sz="0" w:space="0" w:color="auto"/>
          <w:left w:val="none" w:sz="0" w:space="0" w:color="auto"/>
          <w:bottom w:val="none" w:sz="0" w:space="0" w:color="auto"/>
          <w:right w:val="none" w:sz="0" w:space="0" w:color="auto"/>
          <w:between w:val="none" w:sz="0" w:space="0" w:color="auto"/>
        </w:pBdr>
        <w:ind w:left="284" w:hanging="284"/>
        <w:jc w:val="both"/>
        <w:rPr>
          <w:b/>
          <w:lang w:val="es-CO"/>
        </w:rPr>
      </w:pPr>
      <w:r w:rsidRPr="00C02B92">
        <w:rPr>
          <w:lang w:val="es-ES_tradnl"/>
        </w:rPr>
        <w:t>Diseño e implementación de un modelo de promoción, divulgación y comunicaciones de la oferta institucional. Este modelo considerará estrategias y mecanismos para asegurar la adecuada atención de los asuntos de género, diversidad y poblaciones vulnerables.</w:t>
      </w:r>
      <w:bookmarkEnd w:id="2"/>
    </w:p>
    <w:p w:rsidR="00E11CB8" w:rsidRDefault="00E11CB8" w:rsidP="00F2006E">
      <w:pPr>
        <w:pBdr>
          <w:top w:val="none" w:sz="0" w:space="0" w:color="auto"/>
          <w:left w:val="none" w:sz="0" w:space="0" w:color="auto"/>
          <w:bottom w:val="none" w:sz="0" w:space="0" w:color="auto"/>
          <w:right w:val="none" w:sz="0" w:space="0" w:color="auto"/>
          <w:between w:val="none" w:sz="0" w:space="0" w:color="auto"/>
        </w:pBdr>
        <w:jc w:val="both"/>
        <w:rPr>
          <w:b/>
          <w:lang w:val="es-CO"/>
        </w:rPr>
      </w:pPr>
    </w:p>
    <w:p w:rsidR="00F2006E" w:rsidRDefault="00F2006E" w:rsidP="00F2006E">
      <w:pPr>
        <w:pBdr>
          <w:top w:val="none" w:sz="0" w:space="0" w:color="auto"/>
          <w:left w:val="none" w:sz="0" w:space="0" w:color="auto"/>
          <w:bottom w:val="none" w:sz="0" w:space="0" w:color="auto"/>
          <w:right w:val="none" w:sz="0" w:space="0" w:color="auto"/>
          <w:between w:val="none" w:sz="0" w:space="0" w:color="auto"/>
        </w:pBdr>
        <w:jc w:val="both"/>
        <w:rPr>
          <w:b/>
          <w:lang w:val="es-CO"/>
        </w:rPr>
      </w:pPr>
    </w:p>
    <w:p w:rsidR="00F2006E" w:rsidRDefault="00F2006E" w:rsidP="00F2006E">
      <w:pPr>
        <w:pBdr>
          <w:top w:val="none" w:sz="0" w:space="0" w:color="auto"/>
          <w:left w:val="none" w:sz="0" w:space="0" w:color="auto"/>
          <w:bottom w:val="none" w:sz="0" w:space="0" w:color="auto"/>
          <w:right w:val="none" w:sz="0" w:space="0" w:color="auto"/>
          <w:between w:val="none" w:sz="0" w:space="0" w:color="auto"/>
        </w:pBdr>
        <w:jc w:val="both"/>
        <w:rPr>
          <w:b/>
          <w:lang w:val="es-CO"/>
        </w:rPr>
      </w:pPr>
    </w:p>
    <w:p w:rsidR="00F2006E" w:rsidRDefault="00F2006E" w:rsidP="00F2006E">
      <w:pPr>
        <w:pBdr>
          <w:top w:val="none" w:sz="0" w:space="0" w:color="auto"/>
          <w:left w:val="none" w:sz="0" w:space="0" w:color="auto"/>
          <w:bottom w:val="none" w:sz="0" w:space="0" w:color="auto"/>
          <w:right w:val="none" w:sz="0" w:space="0" w:color="auto"/>
          <w:between w:val="none" w:sz="0" w:space="0" w:color="auto"/>
        </w:pBdr>
        <w:jc w:val="both"/>
        <w:rPr>
          <w:b/>
          <w:lang w:val="es-CO"/>
        </w:rPr>
      </w:pPr>
    </w:p>
    <w:p w:rsidR="00F2006E" w:rsidRPr="00F2006E" w:rsidRDefault="00F2006E" w:rsidP="00F2006E">
      <w:pPr>
        <w:pBdr>
          <w:top w:val="none" w:sz="0" w:space="0" w:color="auto"/>
          <w:left w:val="none" w:sz="0" w:space="0" w:color="auto"/>
          <w:bottom w:val="none" w:sz="0" w:space="0" w:color="auto"/>
          <w:right w:val="none" w:sz="0" w:space="0" w:color="auto"/>
          <w:between w:val="none" w:sz="0" w:space="0" w:color="auto"/>
        </w:pBdr>
        <w:jc w:val="both"/>
        <w:rPr>
          <w:b/>
          <w:lang w:val="es-CO"/>
        </w:rPr>
      </w:pPr>
    </w:p>
    <w:sectPr w:rsidR="00F2006E" w:rsidRPr="00F2006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9C" w:rsidRDefault="00C3709C" w:rsidP="00DC1CBE">
      <w:pPr>
        <w:spacing w:line="240" w:lineRule="auto"/>
      </w:pPr>
      <w:r>
        <w:separator/>
      </w:r>
    </w:p>
  </w:endnote>
  <w:endnote w:type="continuationSeparator" w:id="0">
    <w:p w:rsidR="00C3709C" w:rsidRDefault="00C3709C" w:rsidP="00DC1CBE">
      <w:pPr>
        <w:spacing w:line="240" w:lineRule="auto"/>
      </w:pPr>
      <w:r>
        <w:continuationSeparator/>
      </w:r>
    </w:p>
  </w:endnote>
  <w:endnote w:id="1">
    <w:p w:rsidR="003636FA" w:rsidRDefault="003636FA" w:rsidP="00C02B92">
      <w:pPr>
        <w:pStyle w:val="EndnoteText"/>
        <w:jc w:val="center"/>
        <w:rPr>
          <w:b/>
          <w:sz w:val="18"/>
          <w:szCs w:val="18"/>
          <w:lang w:val="es-ES_tradnl"/>
        </w:rPr>
      </w:pPr>
    </w:p>
    <w:p w:rsidR="003636FA" w:rsidRDefault="003636FA" w:rsidP="00C02B92">
      <w:pPr>
        <w:pStyle w:val="EndnoteText"/>
        <w:jc w:val="center"/>
        <w:rPr>
          <w:b/>
          <w:sz w:val="18"/>
          <w:szCs w:val="18"/>
          <w:lang w:val="es-ES_tradnl"/>
        </w:rPr>
      </w:pPr>
    </w:p>
    <w:p w:rsidR="003636FA" w:rsidRDefault="003636FA" w:rsidP="00C02B92">
      <w:pPr>
        <w:pStyle w:val="EndnoteText"/>
        <w:jc w:val="center"/>
        <w:rPr>
          <w:b/>
          <w:sz w:val="18"/>
          <w:szCs w:val="18"/>
          <w:lang w:val="es-ES_tradnl"/>
        </w:rPr>
      </w:pPr>
    </w:p>
    <w:p w:rsidR="003636FA" w:rsidRDefault="003636FA" w:rsidP="00C02B92">
      <w:pPr>
        <w:pStyle w:val="EndnoteText"/>
        <w:jc w:val="center"/>
        <w:rPr>
          <w:b/>
          <w:sz w:val="18"/>
          <w:szCs w:val="18"/>
          <w:lang w:val="es-ES_tradnl"/>
        </w:rPr>
      </w:pPr>
    </w:p>
    <w:p w:rsidR="00731A2C" w:rsidRPr="00C02B92" w:rsidRDefault="00731A2C" w:rsidP="00C02B92">
      <w:pPr>
        <w:pStyle w:val="EndnoteText"/>
        <w:jc w:val="center"/>
        <w:rPr>
          <w:b/>
          <w:sz w:val="18"/>
          <w:szCs w:val="18"/>
          <w:lang w:val="es-ES_tradnl"/>
        </w:rPr>
      </w:pPr>
      <w:r w:rsidRPr="00C02B92">
        <w:rPr>
          <w:b/>
          <w:sz w:val="18"/>
          <w:szCs w:val="18"/>
          <w:lang w:val="es-ES_tradnl"/>
        </w:rPr>
        <w:t>Notas al pie y bibliografía</w:t>
      </w:r>
    </w:p>
    <w:p w:rsidR="00731A2C" w:rsidRPr="00C02B92" w:rsidRDefault="00731A2C" w:rsidP="00C02B92">
      <w:pPr>
        <w:pStyle w:val="EndnoteText"/>
        <w:jc w:val="center"/>
        <w:rPr>
          <w:b/>
          <w:sz w:val="18"/>
          <w:szCs w:val="18"/>
          <w:lang w:val="es-ES_tradnl"/>
        </w:rPr>
      </w:pPr>
    </w:p>
    <w:p w:rsidR="00731A2C" w:rsidRPr="00C02B92" w:rsidRDefault="00731A2C" w:rsidP="003636FA">
      <w:pPr>
        <w:pStyle w:val="EndnoteText"/>
        <w:ind w:left="270" w:hanging="270"/>
        <w:jc w:val="both"/>
        <w:rPr>
          <w:sz w:val="18"/>
          <w:szCs w:val="18"/>
          <w:lang w:val="es-ES_tradnl"/>
        </w:rPr>
      </w:pPr>
      <w:r w:rsidRPr="00C02B92">
        <w:rPr>
          <w:rStyle w:val="EndnoteReference"/>
          <w:sz w:val="18"/>
          <w:szCs w:val="18"/>
        </w:rPr>
        <w:endnoteRef/>
      </w:r>
      <w:r w:rsidR="003636FA">
        <w:rPr>
          <w:sz w:val="18"/>
          <w:szCs w:val="18"/>
          <w:lang w:val="es-ES_tradnl"/>
        </w:rPr>
        <w:tab/>
      </w:r>
      <w:r w:rsidRPr="001755B7">
        <w:rPr>
          <w:sz w:val="18"/>
          <w:szCs w:val="18"/>
          <w:lang w:val="es-ES_tradnl"/>
        </w:rPr>
        <w:t>La diversidad a la que se refiere este documento es diversidad sexual y en la orientación sexual, no diversidad étnico-cultural.</w:t>
      </w:r>
    </w:p>
  </w:endnote>
  <w:endnote w:id="2">
    <w:p w:rsidR="00731A2C" w:rsidRPr="001755B7" w:rsidRDefault="00731A2C" w:rsidP="003636FA">
      <w:pPr>
        <w:pStyle w:val="EndnoteText"/>
        <w:ind w:left="270" w:hanging="270"/>
        <w:jc w:val="both"/>
        <w:rPr>
          <w:color w:val="auto"/>
          <w:sz w:val="18"/>
          <w:szCs w:val="18"/>
          <w:lang w:val="es-ES_tradnl"/>
        </w:rPr>
      </w:pPr>
      <w:r w:rsidRPr="001755B7">
        <w:rPr>
          <w:rStyle w:val="EndnoteReference"/>
          <w:color w:val="auto"/>
          <w:sz w:val="18"/>
          <w:szCs w:val="18"/>
        </w:rPr>
        <w:endnoteRef/>
      </w:r>
      <w:r w:rsidR="003636FA">
        <w:rPr>
          <w:color w:val="auto"/>
          <w:sz w:val="18"/>
          <w:szCs w:val="18"/>
        </w:rPr>
        <w:tab/>
      </w:r>
      <w:r w:rsidRPr="00246B6F">
        <w:rPr>
          <w:color w:val="auto"/>
          <w:sz w:val="18"/>
          <w:szCs w:val="18"/>
          <w:lang w:val="en-US"/>
        </w:rPr>
        <w:t>UN Women: “</w:t>
      </w:r>
      <w:r w:rsidRPr="00246B6F">
        <w:rPr>
          <w:i/>
          <w:color w:val="auto"/>
          <w:sz w:val="18"/>
          <w:szCs w:val="18"/>
          <w:lang w:val="en-US"/>
        </w:rPr>
        <w:t>The role of the Ombudsman in Ending Impunity for Gender-Based Violence</w:t>
      </w:r>
      <w:r w:rsidRPr="00246B6F">
        <w:rPr>
          <w:color w:val="auto"/>
          <w:sz w:val="18"/>
          <w:szCs w:val="18"/>
          <w:lang w:val="en-US"/>
        </w:rPr>
        <w:t xml:space="preserve">”. </w:t>
      </w:r>
      <w:r w:rsidR="003636FA" w:rsidRPr="00C069F7">
        <w:rPr>
          <w:rStyle w:val="Hyperlink"/>
          <w:lang w:val="es-ES_tradnl"/>
        </w:rPr>
        <w:t>(</w:t>
      </w:r>
      <w:hyperlink r:id="rId1" w:history="1">
        <w:r w:rsidR="003636FA" w:rsidRPr="00C069F7">
          <w:rPr>
            <w:rStyle w:val="Hyperlink"/>
            <w:sz w:val="18"/>
            <w:szCs w:val="18"/>
            <w:lang w:val="es-ES_tradnl"/>
          </w:rPr>
          <w:t>l</w:t>
        </w:r>
        <w:r w:rsidRPr="00C069F7">
          <w:rPr>
            <w:rStyle w:val="Hyperlink"/>
            <w:sz w:val="18"/>
            <w:szCs w:val="18"/>
            <w:lang w:val="es-ES_tradnl"/>
          </w:rPr>
          <w:t>ink</w:t>
        </w:r>
      </w:hyperlink>
      <w:r w:rsidR="003636FA" w:rsidRPr="00C069F7">
        <w:rPr>
          <w:rStyle w:val="Hyperlink"/>
          <w:sz w:val="18"/>
          <w:szCs w:val="18"/>
          <w:lang w:val="es-ES_tradnl"/>
        </w:rPr>
        <w:t>)</w:t>
      </w:r>
      <w:r w:rsidRPr="001755B7">
        <w:rPr>
          <w:color w:val="auto"/>
          <w:sz w:val="18"/>
          <w:szCs w:val="18"/>
          <w:lang w:val="es-ES_tradnl"/>
        </w:rPr>
        <w:t>.</w:t>
      </w:r>
    </w:p>
  </w:endnote>
  <w:endnote w:id="3">
    <w:p w:rsidR="00731A2C" w:rsidRPr="001755B7" w:rsidRDefault="00731A2C" w:rsidP="003636FA">
      <w:pPr>
        <w:pStyle w:val="EndnoteText"/>
        <w:spacing w:line="276" w:lineRule="auto"/>
        <w:ind w:left="270" w:hanging="270"/>
        <w:jc w:val="both"/>
        <w:rPr>
          <w:color w:val="auto"/>
          <w:sz w:val="18"/>
          <w:szCs w:val="18"/>
          <w:lang w:val="es-ES_tradnl"/>
        </w:rPr>
      </w:pPr>
      <w:r w:rsidRPr="001755B7">
        <w:rPr>
          <w:rStyle w:val="EndnoteReference"/>
          <w:color w:val="auto"/>
          <w:sz w:val="18"/>
          <w:szCs w:val="18"/>
        </w:rPr>
        <w:endnoteRef/>
      </w:r>
      <w:r w:rsidR="003636FA">
        <w:rPr>
          <w:color w:val="auto"/>
          <w:sz w:val="18"/>
          <w:szCs w:val="18"/>
          <w:lang w:val="es-ES_tradnl"/>
        </w:rPr>
        <w:tab/>
      </w:r>
      <w:proofErr w:type="spellStart"/>
      <w:r w:rsidRPr="001755B7">
        <w:rPr>
          <w:color w:val="auto"/>
          <w:sz w:val="18"/>
          <w:szCs w:val="18"/>
          <w:lang w:val="es-ES_tradnl"/>
        </w:rPr>
        <w:t>United</w:t>
      </w:r>
      <w:proofErr w:type="spellEnd"/>
      <w:r w:rsidRPr="001755B7">
        <w:rPr>
          <w:color w:val="auto"/>
          <w:sz w:val="18"/>
          <w:szCs w:val="18"/>
          <w:lang w:val="es-ES_tradnl"/>
        </w:rPr>
        <w:t xml:space="preserve"> </w:t>
      </w:r>
      <w:proofErr w:type="spellStart"/>
      <w:r w:rsidRPr="001755B7">
        <w:rPr>
          <w:color w:val="auto"/>
          <w:sz w:val="18"/>
          <w:szCs w:val="18"/>
          <w:lang w:val="es-ES_tradnl"/>
        </w:rPr>
        <w:t>Nations</w:t>
      </w:r>
      <w:proofErr w:type="spellEnd"/>
      <w:r w:rsidRPr="001755B7">
        <w:rPr>
          <w:color w:val="auto"/>
          <w:sz w:val="18"/>
          <w:szCs w:val="18"/>
          <w:lang w:val="es-ES_tradnl"/>
        </w:rPr>
        <w:t>: “</w:t>
      </w:r>
      <w:r w:rsidRPr="00246B6F">
        <w:rPr>
          <w:i/>
          <w:color w:val="auto"/>
          <w:sz w:val="18"/>
          <w:szCs w:val="18"/>
          <w:lang w:val="es-ES_tradnl"/>
        </w:rPr>
        <w:t>Los Derechos de la Mujer son Derechos Humanos</w:t>
      </w:r>
      <w:r w:rsidRPr="00246B6F">
        <w:rPr>
          <w:color w:val="auto"/>
          <w:sz w:val="18"/>
          <w:szCs w:val="18"/>
          <w:lang w:val="es-ES_tradnl"/>
        </w:rPr>
        <w:t xml:space="preserve">”. </w:t>
      </w:r>
      <w:r w:rsidR="003636FA" w:rsidRPr="00C069F7">
        <w:rPr>
          <w:rStyle w:val="Hyperlink"/>
          <w:lang w:val="es-ES_tradnl"/>
        </w:rPr>
        <w:t>(</w:t>
      </w:r>
      <w:hyperlink r:id="rId2" w:history="1">
        <w:r w:rsidR="003636FA" w:rsidRPr="00C069F7">
          <w:rPr>
            <w:rStyle w:val="Hyperlink"/>
            <w:sz w:val="18"/>
            <w:szCs w:val="18"/>
            <w:lang w:val="es-ES_tradnl"/>
          </w:rPr>
          <w:t>l</w:t>
        </w:r>
        <w:r w:rsidRPr="00C069F7">
          <w:rPr>
            <w:rStyle w:val="Hyperlink"/>
            <w:sz w:val="18"/>
            <w:szCs w:val="18"/>
            <w:lang w:val="es-ES_tradnl"/>
          </w:rPr>
          <w:t>ink</w:t>
        </w:r>
      </w:hyperlink>
      <w:r w:rsidR="003636FA" w:rsidRPr="00C069F7">
        <w:rPr>
          <w:rStyle w:val="Hyperlink"/>
          <w:sz w:val="18"/>
          <w:szCs w:val="18"/>
          <w:lang w:val="es-ES_tradnl"/>
        </w:rPr>
        <w:t>)</w:t>
      </w:r>
      <w:r w:rsidRPr="001755B7">
        <w:rPr>
          <w:color w:val="auto"/>
          <w:sz w:val="18"/>
          <w:szCs w:val="18"/>
          <w:lang w:val="es-ES_tradnl"/>
        </w:rPr>
        <w:t>.</w:t>
      </w:r>
    </w:p>
  </w:endnote>
  <w:endnote w:id="4">
    <w:p w:rsidR="00731A2C" w:rsidRPr="00DD00C8" w:rsidRDefault="00731A2C" w:rsidP="003636FA">
      <w:pPr>
        <w:pStyle w:val="EndnoteText"/>
        <w:ind w:left="274" w:hanging="274"/>
        <w:jc w:val="both"/>
        <w:rPr>
          <w:color w:val="auto"/>
          <w:sz w:val="18"/>
          <w:szCs w:val="18"/>
          <w:lang w:val="es-ES_tradnl"/>
        </w:rPr>
      </w:pPr>
      <w:r w:rsidRPr="001755B7">
        <w:rPr>
          <w:rStyle w:val="EndnoteReference"/>
          <w:color w:val="auto"/>
          <w:sz w:val="18"/>
          <w:szCs w:val="18"/>
        </w:rPr>
        <w:endnoteRef/>
      </w:r>
      <w:r w:rsidR="003636FA">
        <w:rPr>
          <w:color w:val="auto"/>
          <w:sz w:val="18"/>
          <w:szCs w:val="18"/>
          <w:lang w:val="es-ES_tradnl"/>
        </w:rPr>
        <w:tab/>
      </w:r>
      <w:r w:rsidRPr="001755B7">
        <w:rPr>
          <w:color w:val="auto"/>
          <w:sz w:val="18"/>
          <w:szCs w:val="18"/>
          <w:lang w:val="es-ES_tradnl"/>
        </w:rPr>
        <w:t>Comisión Interamericana de Derechos Humanos. (2017). “</w:t>
      </w:r>
      <w:r w:rsidRPr="00246B6F">
        <w:rPr>
          <w:i/>
          <w:color w:val="auto"/>
          <w:sz w:val="18"/>
          <w:szCs w:val="18"/>
          <w:lang w:val="es-ES_tradnl"/>
        </w:rPr>
        <w:t>Las mujeres indígenas y sus Derechos Humanos en las Américas</w:t>
      </w:r>
      <w:r w:rsidRPr="00DD00C8">
        <w:rPr>
          <w:color w:val="auto"/>
          <w:sz w:val="18"/>
          <w:szCs w:val="18"/>
          <w:lang w:val="es-ES_tradnl"/>
        </w:rPr>
        <w:t>”.</w:t>
      </w:r>
    </w:p>
  </w:endnote>
  <w:endnote w:id="5">
    <w:p w:rsidR="003A649A" w:rsidRPr="006503FD" w:rsidRDefault="003A649A" w:rsidP="003636FA">
      <w:pPr>
        <w:pStyle w:val="EndnoteText"/>
        <w:ind w:left="274" w:hanging="274"/>
        <w:rPr>
          <w:lang w:val="es-ES_tradnl"/>
        </w:rPr>
      </w:pPr>
    </w:p>
  </w:endnote>
  <w:endnote w:id="6">
    <w:p w:rsidR="003A649A" w:rsidRPr="00246B6F" w:rsidRDefault="003A649A" w:rsidP="003636FA">
      <w:pPr>
        <w:pStyle w:val="EndnoteText"/>
        <w:ind w:left="274" w:hanging="274"/>
        <w:jc w:val="both"/>
        <w:rPr>
          <w:color w:val="auto"/>
          <w:sz w:val="18"/>
          <w:szCs w:val="18"/>
          <w:lang w:val="en-US"/>
        </w:rPr>
      </w:pPr>
      <w:r w:rsidRPr="001755B7">
        <w:rPr>
          <w:rStyle w:val="EndnoteReference"/>
          <w:color w:val="auto"/>
          <w:sz w:val="18"/>
          <w:szCs w:val="18"/>
        </w:rPr>
        <w:endnoteRef/>
      </w:r>
      <w:r w:rsidR="003636FA">
        <w:rPr>
          <w:color w:val="auto"/>
          <w:sz w:val="18"/>
          <w:szCs w:val="18"/>
        </w:rPr>
        <w:tab/>
      </w:r>
      <w:r w:rsidRPr="00246B6F">
        <w:rPr>
          <w:color w:val="auto"/>
          <w:sz w:val="18"/>
          <w:szCs w:val="18"/>
          <w:lang w:val="en-US"/>
        </w:rPr>
        <w:t xml:space="preserve">Van </w:t>
      </w:r>
      <w:proofErr w:type="spellStart"/>
      <w:r w:rsidRPr="00246B6F">
        <w:rPr>
          <w:color w:val="auto"/>
          <w:sz w:val="18"/>
          <w:szCs w:val="18"/>
          <w:lang w:val="en-US"/>
        </w:rPr>
        <w:t>Roosbroek</w:t>
      </w:r>
      <w:proofErr w:type="spellEnd"/>
      <w:r w:rsidRPr="00246B6F">
        <w:rPr>
          <w:color w:val="auto"/>
          <w:sz w:val="18"/>
          <w:szCs w:val="18"/>
          <w:lang w:val="en-US"/>
        </w:rPr>
        <w:t xml:space="preserve"> S. and Van de </w:t>
      </w:r>
      <w:proofErr w:type="spellStart"/>
      <w:r w:rsidRPr="00246B6F">
        <w:rPr>
          <w:color w:val="auto"/>
          <w:sz w:val="18"/>
          <w:szCs w:val="18"/>
          <w:lang w:val="en-US"/>
        </w:rPr>
        <w:t>Walle</w:t>
      </w:r>
      <w:proofErr w:type="spellEnd"/>
      <w:r w:rsidRPr="00246B6F">
        <w:rPr>
          <w:color w:val="auto"/>
          <w:sz w:val="18"/>
          <w:szCs w:val="18"/>
          <w:lang w:val="en-US"/>
        </w:rPr>
        <w:t>, S. (2008). “</w:t>
      </w:r>
      <w:r w:rsidRPr="00246B6F">
        <w:rPr>
          <w:i/>
          <w:color w:val="auto"/>
          <w:sz w:val="18"/>
          <w:szCs w:val="18"/>
        </w:rPr>
        <w:t>The Relationship between Ombudsman, Government, and Citizens: A Survey Analysis</w:t>
      </w:r>
      <w:r w:rsidRPr="00246B6F">
        <w:rPr>
          <w:color w:val="auto"/>
          <w:sz w:val="18"/>
          <w:szCs w:val="18"/>
        </w:rPr>
        <w:t xml:space="preserve">” </w:t>
      </w:r>
      <w:r w:rsidR="003636FA" w:rsidRPr="003636FA">
        <w:rPr>
          <w:rStyle w:val="Hyperlink"/>
          <w:lang w:val="en-US"/>
        </w:rPr>
        <w:t>(</w:t>
      </w:r>
      <w:hyperlink r:id="rId3" w:history="1">
        <w:r w:rsidR="003636FA" w:rsidRPr="003636FA">
          <w:rPr>
            <w:rStyle w:val="Hyperlink"/>
            <w:sz w:val="18"/>
            <w:szCs w:val="18"/>
            <w:lang w:val="en-US"/>
          </w:rPr>
          <w:t>l</w:t>
        </w:r>
        <w:r w:rsidRPr="003636FA">
          <w:rPr>
            <w:rStyle w:val="Hyperlink"/>
            <w:sz w:val="18"/>
            <w:szCs w:val="18"/>
            <w:lang w:val="en-US"/>
          </w:rPr>
          <w:t>ink</w:t>
        </w:r>
      </w:hyperlink>
      <w:r w:rsidR="003636FA" w:rsidRPr="003636FA">
        <w:rPr>
          <w:rStyle w:val="Hyperlink"/>
          <w:sz w:val="18"/>
          <w:szCs w:val="18"/>
          <w:lang w:val="en-US"/>
        </w:rPr>
        <w:t>)</w:t>
      </w:r>
      <w:r w:rsidRPr="003636FA">
        <w:rPr>
          <w:rStyle w:val="Hyperlink"/>
          <w:lang w:val="en-US"/>
        </w:rPr>
        <w:t>.</w:t>
      </w:r>
    </w:p>
  </w:endnote>
  <w:endnote w:id="7">
    <w:p w:rsidR="003A649A" w:rsidRPr="006503FD" w:rsidRDefault="003A649A" w:rsidP="003636FA">
      <w:pPr>
        <w:pStyle w:val="EndnoteText"/>
        <w:spacing w:line="276" w:lineRule="auto"/>
        <w:ind w:left="270" w:hanging="270"/>
        <w:jc w:val="both"/>
        <w:rPr>
          <w:color w:val="auto"/>
          <w:sz w:val="18"/>
          <w:szCs w:val="18"/>
          <w:lang w:val="es-AR"/>
        </w:rPr>
      </w:pPr>
      <w:r w:rsidRPr="001755B7">
        <w:rPr>
          <w:rStyle w:val="EndnoteReference"/>
          <w:color w:val="auto"/>
          <w:sz w:val="18"/>
          <w:szCs w:val="18"/>
        </w:rPr>
        <w:endnoteRef/>
      </w:r>
      <w:r w:rsidR="003636FA">
        <w:rPr>
          <w:color w:val="auto"/>
          <w:sz w:val="18"/>
          <w:szCs w:val="18"/>
        </w:rPr>
        <w:tab/>
      </w:r>
      <w:r w:rsidRPr="001755B7">
        <w:rPr>
          <w:color w:val="auto"/>
          <w:sz w:val="18"/>
          <w:szCs w:val="18"/>
        </w:rPr>
        <w:t>Ombudsman de Finlandia: “</w:t>
      </w:r>
      <w:r w:rsidRPr="00246B6F">
        <w:rPr>
          <w:i/>
          <w:color w:val="auto"/>
          <w:sz w:val="18"/>
          <w:szCs w:val="18"/>
        </w:rPr>
        <w:t>The Ombudsman for Equality monitors and promotes gender equality</w:t>
      </w:r>
      <w:r w:rsidRPr="00246B6F">
        <w:rPr>
          <w:color w:val="auto"/>
          <w:sz w:val="18"/>
          <w:szCs w:val="18"/>
        </w:rPr>
        <w:t xml:space="preserve">”. </w:t>
      </w:r>
      <w:r w:rsidRPr="00246B6F">
        <w:rPr>
          <w:color w:val="auto"/>
          <w:sz w:val="18"/>
          <w:szCs w:val="18"/>
          <w:lang w:val="es-AR"/>
        </w:rPr>
        <w:t xml:space="preserve">Panfleto </w:t>
      </w:r>
      <w:r w:rsidRPr="006503FD">
        <w:rPr>
          <w:color w:val="auto"/>
          <w:sz w:val="18"/>
          <w:szCs w:val="18"/>
          <w:lang w:val="es-AR"/>
        </w:rPr>
        <w:t xml:space="preserve">comunicativo. </w:t>
      </w:r>
      <w:hyperlink r:id="rId4" w:history="1">
        <w:r w:rsidR="003636FA">
          <w:rPr>
            <w:rStyle w:val="Hyperlink"/>
            <w:sz w:val="18"/>
            <w:szCs w:val="18"/>
            <w:lang w:val="es-ES_tradnl"/>
          </w:rPr>
          <w:t>(l</w:t>
        </w:r>
        <w:r w:rsidRPr="003636FA">
          <w:rPr>
            <w:rStyle w:val="Hyperlink"/>
            <w:sz w:val="18"/>
            <w:szCs w:val="18"/>
            <w:lang w:val="es-ES_tradnl"/>
          </w:rPr>
          <w:t>ink</w:t>
        </w:r>
      </w:hyperlink>
      <w:r w:rsidR="003636FA">
        <w:rPr>
          <w:rStyle w:val="Hyperlink"/>
          <w:sz w:val="18"/>
          <w:szCs w:val="18"/>
          <w:lang w:val="es-ES_tradnl"/>
        </w:rPr>
        <w:t>)</w:t>
      </w:r>
      <w:r w:rsidRPr="006503FD">
        <w:rPr>
          <w:color w:val="auto"/>
          <w:sz w:val="18"/>
          <w:szCs w:val="18"/>
          <w:lang w:val="es-AR"/>
        </w:rPr>
        <w:t>.</w:t>
      </w:r>
    </w:p>
  </w:endnote>
  <w:endnote w:id="8">
    <w:p w:rsidR="003A649A" w:rsidRPr="006503FD" w:rsidRDefault="003A649A" w:rsidP="003636FA">
      <w:pPr>
        <w:pStyle w:val="EndnoteText"/>
        <w:ind w:left="270" w:hanging="270"/>
        <w:rPr>
          <w:sz w:val="18"/>
          <w:szCs w:val="18"/>
          <w:lang w:val="es-ES_tradnl"/>
        </w:rPr>
      </w:pPr>
      <w:r w:rsidRPr="006503FD">
        <w:rPr>
          <w:rStyle w:val="EndnoteReference"/>
          <w:sz w:val="18"/>
          <w:szCs w:val="18"/>
        </w:rPr>
        <w:endnoteRef/>
      </w:r>
      <w:r w:rsidR="003636FA">
        <w:rPr>
          <w:sz w:val="18"/>
          <w:szCs w:val="18"/>
          <w:lang w:val="es-ES_tradnl"/>
        </w:rPr>
        <w:tab/>
      </w:r>
      <w:r w:rsidRPr="006503FD">
        <w:rPr>
          <w:sz w:val="18"/>
          <w:szCs w:val="18"/>
          <w:lang w:val="es-ES_tradnl"/>
        </w:rPr>
        <w:t xml:space="preserve">Carta de París para una Nueva Europa, Organización para la Seguridad y Cooperación en Europa, París, 1990 </w:t>
      </w:r>
      <w:r w:rsidRPr="00C069F7">
        <w:rPr>
          <w:rStyle w:val="Hyperlink"/>
          <w:lang w:val="es-ES_tradnl"/>
        </w:rPr>
        <w:t>(</w:t>
      </w:r>
      <w:hyperlink r:id="rId5" w:history="1">
        <w:r w:rsidRPr="006503FD">
          <w:rPr>
            <w:rStyle w:val="Hyperlink"/>
            <w:sz w:val="18"/>
            <w:szCs w:val="18"/>
            <w:lang w:val="es-ES_tradnl"/>
          </w:rPr>
          <w:t>link</w:t>
        </w:r>
      </w:hyperlink>
      <w:r w:rsidRPr="00C069F7">
        <w:rPr>
          <w:rStyle w:val="Hyperlink"/>
          <w:lang w:val="es-ES_tradnl"/>
        </w:rPr>
        <w:t>)</w:t>
      </w:r>
      <w:r w:rsidRPr="006503FD">
        <w:rPr>
          <w:sz w:val="18"/>
          <w:szCs w:val="18"/>
          <w:lang w:val="es-ES_tradnl"/>
        </w:rPr>
        <w:t xml:space="preserve">. </w:t>
      </w:r>
    </w:p>
  </w:endnote>
  <w:endnote w:id="9">
    <w:p w:rsidR="003A649A" w:rsidRPr="006503FD" w:rsidRDefault="003A649A" w:rsidP="003636FA">
      <w:pPr>
        <w:pStyle w:val="EndnoteText"/>
        <w:ind w:left="270" w:hanging="270"/>
        <w:rPr>
          <w:sz w:val="18"/>
          <w:szCs w:val="18"/>
          <w:lang w:val="es-ES_tradnl"/>
        </w:rPr>
      </w:pPr>
      <w:r w:rsidRPr="006503FD">
        <w:rPr>
          <w:rStyle w:val="EndnoteReference"/>
          <w:sz w:val="18"/>
          <w:szCs w:val="18"/>
        </w:rPr>
        <w:endnoteRef/>
      </w:r>
      <w:r w:rsidR="003636FA">
        <w:rPr>
          <w:sz w:val="18"/>
          <w:szCs w:val="18"/>
          <w:lang w:val="es-ES_tradnl"/>
        </w:rPr>
        <w:tab/>
      </w:r>
      <w:r w:rsidRPr="006503FD">
        <w:rPr>
          <w:sz w:val="18"/>
          <w:szCs w:val="18"/>
          <w:lang w:val="es-ES_tradnl"/>
        </w:rPr>
        <w:t xml:space="preserve">Resolución 48/134 </w:t>
      </w:r>
      <w:r w:rsidRPr="00C069F7">
        <w:rPr>
          <w:rStyle w:val="Hyperlink"/>
          <w:lang w:val="es-ES_tradnl"/>
        </w:rPr>
        <w:t>(</w:t>
      </w:r>
      <w:hyperlink r:id="rId6" w:history="1">
        <w:r w:rsidRPr="006503FD">
          <w:rPr>
            <w:rStyle w:val="Hyperlink"/>
            <w:sz w:val="18"/>
            <w:szCs w:val="18"/>
            <w:lang w:val="es-ES_tradnl"/>
          </w:rPr>
          <w:t>link</w:t>
        </w:r>
      </w:hyperlink>
      <w:r w:rsidRPr="00C069F7">
        <w:rPr>
          <w:rStyle w:val="Hyperlink"/>
          <w:lang w:val="es-ES_tradnl"/>
        </w:rPr>
        <w:t>)</w:t>
      </w:r>
      <w:r w:rsidRPr="006503FD">
        <w:rPr>
          <w:sz w:val="18"/>
          <w:szCs w:val="18"/>
          <w:lang w:val="es-ES_tradnl"/>
        </w:rPr>
        <w:t>.</w:t>
      </w:r>
    </w:p>
  </w:endnote>
  <w:endnote w:id="10">
    <w:p w:rsidR="003A649A" w:rsidRPr="006503FD" w:rsidRDefault="003A649A" w:rsidP="003636FA">
      <w:pPr>
        <w:pStyle w:val="EndnoteText"/>
        <w:ind w:left="270" w:hanging="270"/>
        <w:rPr>
          <w:sz w:val="18"/>
          <w:szCs w:val="18"/>
          <w:lang w:val="es-ES_tradnl"/>
        </w:rPr>
      </w:pPr>
      <w:r w:rsidRPr="006503FD">
        <w:rPr>
          <w:rStyle w:val="EndnoteReference"/>
          <w:sz w:val="18"/>
          <w:szCs w:val="18"/>
        </w:rPr>
        <w:endnoteRef/>
      </w:r>
      <w:r w:rsidR="003636FA">
        <w:rPr>
          <w:sz w:val="18"/>
          <w:szCs w:val="18"/>
          <w:lang w:val="es-ES_tradnl"/>
        </w:rPr>
        <w:tab/>
      </w:r>
      <w:r w:rsidRPr="006503FD">
        <w:rPr>
          <w:sz w:val="18"/>
          <w:szCs w:val="18"/>
          <w:lang w:val="es-ES_tradnl"/>
        </w:rPr>
        <w:t xml:space="preserve">ELLA Network: “Instituciones Nacionales de DDHH en América Latina: Fomentando Transiciones Democráticas y Garantizando los Derechos Humanos” </w:t>
      </w:r>
      <w:r w:rsidRPr="00C069F7">
        <w:rPr>
          <w:rStyle w:val="Hyperlink"/>
          <w:lang w:val="es-ES_tradnl"/>
        </w:rPr>
        <w:t>(</w:t>
      </w:r>
      <w:hyperlink r:id="rId7" w:history="1">
        <w:r w:rsidRPr="006503FD">
          <w:rPr>
            <w:rStyle w:val="Hyperlink"/>
            <w:sz w:val="18"/>
            <w:szCs w:val="18"/>
            <w:lang w:val="es-ES_tradnl"/>
          </w:rPr>
          <w:t>link</w:t>
        </w:r>
      </w:hyperlink>
      <w:r w:rsidRPr="00C069F7">
        <w:rPr>
          <w:rStyle w:val="Hyperlink"/>
          <w:lang w:val="es-ES_tradnl"/>
        </w:rPr>
        <w:t>)</w:t>
      </w:r>
      <w:r w:rsidRPr="006503FD">
        <w:rPr>
          <w:sz w:val="18"/>
          <w:szCs w:val="18"/>
          <w:lang w:val="es-ES_tradnl"/>
        </w:rPr>
        <w:t xml:space="preserve">. Evidencias y Lecciones desde América Latina (ELLA) Network. Fundar, </w:t>
      </w:r>
      <w:proofErr w:type="spellStart"/>
      <w:r w:rsidRPr="006503FD">
        <w:rPr>
          <w:sz w:val="18"/>
          <w:szCs w:val="18"/>
          <w:lang w:val="es-ES_tradnl"/>
        </w:rPr>
        <w:t>UKAid</w:t>
      </w:r>
      <w:proofErr w:type="spellEnd"/>
      <w:r w:rsidRPr="006503FD">
        <w:rPr>
          <w:sz w:val="18"/>
          <w:szCs w:val="18"/>
          <w:lang w:val="es-ES_tradnl"/>
        </w:rPr>
        <w:t xml:space="preserve">, </w:t>
      </w:r>
      <w:proofErr w:type="spellStart"/>
      <w:r w:rsidRPr="006503FD">
        <w:rPr>
          <w:sz w:val="18"/>
          <w:szCs w:val="18"/>
          <w:lang w:val="es-ES_tradnl"/>
        </w:rPr>
        <w:t>Practical</w:t>
      </w:r>
      <w:proofErr w:type="spellEnd"/>
      <w:r w:rsidRPr="006503FD">
        <w:rPr>
          <w:sz w:val="18"/>
          <w:szCs w:val="18"/>
          <w:lang w:val="es-ES_tradnl"/>
        </w:rPr>
        <w:t xml:space="preserve"> </w:t>
      </w:r>
      <w:proofErr w:type="spellStart"/>
      <w:r w:rsidRPr="006503FD">
        <w:rPr>
          <w:sz w:val="18"/>
          <w:szCs w:val="18"/>
          <w:lang w:val="es-ES_tradnl"/>
        </w:rPr>
        <w:t>Action</w:t>
      </w:r>
      <w:proofErr w:type="spellEnd"/>
      <w:r w:rsidRPr="006503FD">
        <w:rPr>
          <w:sz w:val="18"/>
          <w:szCs w:val="18"/>
          <w:lang w:val="es-ES_tradnl"/>
        </w:rPr>
        <w:t xml:space="preserve"> </w:t>
      </w:r>
      <w:proofErr w:type="spellStart"/>
      <w:r w:rsidRPr="006503FD">
        <w:rPr>
          <w:sz w:val="18"/>
          <w:szCs w:val="18"/>
          <w:lang w:val="es-ES_tradnl"/>
        </w:rPr>
        <w:t>Consulting</w:t>
      </w:r>
      <w:proofErr w:type="spellEnd"/>
      <w:r w:rsidRPr="006503FD">
        <w:rPr>
          <w:sz w:val="18"/>
          <w:szCs w:val="18"/>
          <w:lang w:val="es-ES_tradnl"/>
        </w:rPr>
        <w:t xml:space="preserve">. </w:t>
      </w:r>
    </w:p>
  </w:endnote>
  <w:endnote w:id="11">
    <w:p w:rsidR="006503FD" w:rsidRPr="00E2429E" w:rsidRDefault="006503FD" w:rsidP="003636FA">
      <w:pPr>
        <w:pStyle w:val="EndnoteText"/>
        <w:ind w:left="270" w:hanging="270"/>
        <w:rPr>
          <w:sz w:val="18"/>
          <w:szCs w:val="18"/>
          <w:lang w:val="es-ES_tradnl"/>
        </w:rPr>
      </w:pPr>
      <w:r w:rsidRPr="006503FD">
        <w:rPr>
          <w:rStyle w:val="EndnoteReference"/>
          <w:sz w:val="18"/>
          <w:szCs w:val="18"/>
        </w:rPr>
        <w:endnoteRef/>
      </w:r>
      <w:r w:rsidR="003636FA">
        <w:rPr>
          <w:sz w:val="18"/>
          <w:szCs w:val="18"/>
          <w:lang w:val="en-US"/>
        </w:rPr>
        <w:tab/>
      </w:r>
      <w:r w:rsidRPr="00E2429E">
        <w:rPr>
          <w:sz w:val="18"/>
          <w:szCs w:val="18"/>
          <w:lang w:val="en-US"/>
        </w:rPr>
        <w:t xml:space="preserve">Lloyd M. (2005). </w:t>
      </w:r>
      <w:r w:rsidRPr="006503FD">
        <w:rPr>
          <w:sz w:val="18"/>
          <w:szCs w:val="18"/>
          <w:lang w:val="en-US"/>
        </w:rPr>
        <w:t xml:space="preserve">“Ombudsman Institutions and Minority Issues. A guide to good practice” </w:t>
      </w:r>
      <w:r w:rsidRPr="00DB64F6">
        <w:rPr>
          <w:rStyle w:val="Hyperlink"/>
        </w:rPr>
        <w:t>(</w:t>
      </w:r>
      <w:hyperlink r:id="rId8" w:history="1">
        <w:r w:rsidRPr="00DB64F6">
          <w:rPr>
            <w:rStyle w:val="Hyperlink"/>
          </w:rPr>
          <w:t>link</w:t>
        </w:r>
      </w:hyperlink>
      <w:r w:rsidRPr="00DB64F6">
        <w:rPr>
          <w:rStyle w:val="Hyperlink"/>
        </w:rPr>
        <w:t>)</w:t>
      </w:r>
      <w:r w:rsidRPr="006503FD">
        <w:rPr>
          <w:sz w:val="18"/>
          <w:szCs w:val="18"/>
          <w:lang w:val="en-US"/>
        </w:rPr>
        <w:t xml:space="preserve">. </w:t>
      </w:r>
      <w:r w:rsidRPr="00E2429E">
        <w:rPr>
          <w:sz w:val="18"/>
          <w:szCs w:val="18"/>
          <w:lang w:val="es-ES_tradnl"/>
        </w:rPr>
        <w:t xml:space="preserve">The </w:t>
      </w:r>
      <w:proofErr w:type="spellStart"/>
      <w:r w:rsidRPr="00E2429E">
        <w:rPr>
          <w:sz w:val="18"/>
          <w:szCs w:val="18"/>
          <w:lang w:val="es-ES_tradnl"/>
        </w:rPr>
        <w:t>European</w:t>
      </w:r>
      <w:proofErr w:type="spellEnd"/>
      <w:r w:rsidRPr="00E2429E">
        <w:rPr>
          <w:sz w:val="18"/>
          <w:szCs w:val="18"/>
          <w:lang w:val="es-ES_tradnl"/>
        </w:rPr>
        <w:t xml:space="preserve"> Centre for </w:t>
      </w:r>
      <w:proofErr w:type="spellStart"/>
      <w:r w:rsidRPr="00E2429E">
        <w:rPr>
          <w:sz w:val="18"/>
          <w:szCs w:val="18"/>
          <w:lang w:val="es-ES_tradnl"/>
        </w:rPr>
        <w:t>Minority</w:t>
      </w:r>
      <w:proofErr w:type="spellEnd"/>
      <w:r w:rsidRPr="00E2429E">
        <w:rPr>
          <w:sz w:val="18"/>
          <w:szCs w:val="18"/>
          <w:lang w:val="es-ES_tradnl"/>
        </w:rPr>
        <w:t xml:space="preserve"> Issues. </w:t>
      </w:r>
    </w:p>
  </w:endnote>
  <w:endnote w:id="12">
    <w:p w:rsidR="003A649A" w:rsidRPr="003A649A" w:rsidRDefault="003A649A" w:rsidP="003636FA">
      <w:pPr>
        <w:pStyle w:val="EndnoteText"/>
        <w:ind w:left="270" w:hanging="270"/>
        <w:rPr>
          <w:lang w:val="es-ES_tradnl"/>
        </w:rPr>
      </w:pPr>
      <w:r w:rsidRPr="006503FD">
        <w:rPr>
          <w:rStyle w:val="EndnoteReference"/>
          <w:sz w:val="18"/>
          <w:szCs w:val="18"/>
        </w:rPr>
        <w:endnoteRef/>
      </w:r>
      <w:r w:rsidR="003636FA">
        <w:rPr>
          <w:sz w:val="18"/>
          <w:szCs w:val="18"/>
          <w:lang w:val="es-ES_tradnl"/>
        </w:rPr>
        <w:tab/>
      </w:r>
      <w:r w:rsidRPr="006503FD">
        <w:rPr>
          <w:sz w:val="18"/>
          <w:szCs w:val="18"/>
          <w:lang w:val="es-ES_tradnl"/>
        </w:rPr>
        <w:t xml:space="preserve">El 24 de diciembre de 2008 se aprobó la Ley </w:t>
      </w:r>
      <w:proofErr w:type="spellStart"/>
      <w:r w:rsidRPr="006503FD">
        <w:rPr>
          <w:sz w:val="18"/>
          <w:szCs w:val="18"/>
          <w:lang w:val="es-ES_tradnl"/>
        </w:rPr>
        <w:t>Nº</w:t>
      </w:r>
      <w:proofErr w:type="spellEnd"/>
      <w:r w:rsidRPr="006503FD">
        <w:rPr>
          <w:sz w:val="18"/>
          <w:szCs w:val="18"/>
          <w:lang w:val="es-ES_tradnl"/>
        </w:rPr>
        <w:t xml:space="preserve"> 18.4461, por la que se crea la INDDHH.</w:t>
      </w:r>
    </w:p>
  </w:endnote>
  <w:endnote w:id="13">
    <w:p w:rsidR="003A649A" w:rsidRPr="00C02B92" w:rsidRDefault="003A649A" w:rsidP="003636FA">
      <w:pPr>
        <w:pStyle w:val="EndnoteText"/>
        <w:ind w:left="270" w:hanging="270"/>
        <w:jc w:val="both"/>
        <w:rPr>
          <w:sz w:val="18"/>
          <w:szCs w:val="18"/>
          <w:lang w:val="es-ES_tradnl"/>
        </w:rPr>
      </w:pPr>
      <w:r w:rsidRPr="00C02B92">
        <w:rPr>
          <w:rStyle w:val="EndnoteReference"/>
          <w:sz w:val="18"/>
          <w:szCs w:val="18"/>
        </w:rPr>
        <w:endnoteRef/>
      </w:r>
      <w:r w:rsidR="003636FA">
        <w:rPr>
          <w:sz w:val="18"/>
          <w:szCs w:val="18"/>
          <w:lang w:val="es-ES_tradnl"/>
        </w:rPr>
        <w:tab/>
      </w:r>
      <w:r w:rsidRPr="001755B7">
        <w:rPr>
          <w:sz w:val="18"/>
          <w:szCs w:val="18"/>
          <w:lang w:val="es-CO"/>
        </w:rPr>
        <w:t>A</w:t>
      </w:r>
      <w:r w:rsidRPr="00246B6F">
        <w:rPr>
          <w:sz w:val="18"/>
          <w:szCs w:val="18"/>
          <w:lang w:val="es-CO"/>
        </w:rPr>
        <w:t>rtículo 13 de la Ley 1448/11.</w:t>
      </w:r>
    </w:p>
  </w:endnote>
  <w:endnote w:id="14">
    <w:p w:rsidR="003A649A" w:rsidRPr="00246B6F" w:rsidRDefault="003A649A" w:rsidP="003636FA">
      <w:pPr>
        <w:pStyle w:val="EndnoteText"/>
        <w:spacing w:line="276" w:lineRule="auto"/>
        <w:ind w:left="270" w:hanging="270"/>
        <w:jc w:val="both"/>
        <w:rPr>
          <w:color w:val="auto"/>
          <w:sz w:val="18"/>
          <w:szCs w:val="18"/>
          <w:lang w:val="es-ES_tradnl"/>
        </w:rPr>
      </w:pPr>
      <w:r w:rsidRPr="001755B7">
        <w:rPr>
          <w:rStyle w:val="EndnoteReference"/>
          <w:color w:val="auto"/>
          <w:sz w:val="18"/>
          <w:szCs w:val="18"/>
        </w:rPr>
        <w:endnoteRef/>
      </w:r>
      <w:r w:rsidR="003636FA">
        <w:rPr>
          <w:color w:val="auto"/>
          <w:sz w:val="18"/>
          <w:szCs w:val="18"/>
          <w:lang w:val="es-ES_tradnl"/>
        </w:rPr>
        <w:tab/>
      </w:r>
      <w:r w:rsidRPr="001755B7">
        <w:rPr>
          <w:color w:val="auto"/>
          <w:sz w:val="18"/>
          <w:szCs w:val="18"/>
          <w:lang w:val="es-ES_tradnl"/>
        </w:rPr>
        <w:t>Defensoría del Pueblo de Colombia. (2017). “Fortalecimiento de capacidades institucionales para transversalizar el enf</w:t>
      </w:r>
      <w:r w:rsidRPr="00246B6F">
        <w:rPr>
          <w:color w:val="auto"/>
          <w:sz w:val="18"/>
          <w:szCs w:val="18"/>
          <w:lang w:val="es-ES_tradnl"/>
        </w:rPr>
        <w:t>oque de género”. Federación Iberoamericana del Ombudsman y GIZ.</w:t>
      </w:r>
    </w:p>
  </w:endnote>
  <w:endnote w:id="15">
    <w:p w:rsidR="003A649A" w:rsidRPr="001755B7" w:rsidRDefault="003A649A" w:rsidP="003636FA">
      <w:pPr>
        <w:pStyle w:val="EndnoteText"/>
        <w:ind w:left="270" w:hanging="270"/>
        <w:jc w:val="both"/>
        <w:rPr>
          <w:sz w:val="18"/>
          <w:szCs w:val="18"/>
          <w:lang w:val="es-ES_tradnl"/>
        </w:rPr>
      </w:pPr>
      <w:r w:rsidRPr="001755B7">
        <w:rPr>
          <w:rStyle w:val="EndnoteReference"/>
          <w:sz w:val="18"/>
          <w:szCs w:val="18"/>
        </w:rPr>
        <w:endnoteRef/>
      </w:r>
      <w:r w:rsidR="003636FA">
        <w:rPr>
          <w:sz w:val="18"/>
          <w:szCs w:val="18"/>
          <w:lang w:val="es-ES_tradnl"/>
        </w:rPr>
        <w:tab/>
      </w:r>
      <w:r w:rsidRPr="001755B7">
        <w:rPr>
          <w:sz w:val="18"/>
          <w:szCs w:val="18"/>
          <w:lang w:val="es-ES_tradnl"/>
        </w:rPr>
        <w:t>Cada dupla está conformada por un psicólogo-a y un abogado-a.</w:t>
      </w:r>
    </w:p>
  </w:endnote>
  <w:endnote w:id="16">
    <w:p w:rsidR="003A649A" w:rsidRPr="00C02B92" w:rsidRDefault="003A649A" w:rsidP="003636FA">
      <w:pPr>
        <w:pStyle w:val="EndnoteText"/>
        <w:ind w:left="270" w:hanging="270"/>
        <w:rPr>
          <w:lang w:val="es-ES_tradnl"/>
        </w:rPr>
      </w:pPr>
      <w:r>
        <w:rPr>
          <w:rStyle w:val="EndnoteReference"/>
        </w:rPr>
        <w:endnoteRef/>
      </w:r>
      <w:r w:rsidRPr="00C02B92">
        <w:rPr>
          <w:lang w:val="es-ES_tradnl"/>
        </w:rPr>
        <w:t xml:space="preserve"> </w:t>
      </w:r>
    </w:p>
  </w:endnote>
  <w:endnote w:id="17">
    <w:p w:rsidR="003A649A" w:rsidRPr="00246B6F" w:rsidRDefault="003A649A" w:rsidP="003636FA">
      <w:pPr>
        <w:pStyle w:val="EndnoteText"/>
        <w:ind w:left="270" w:hanging="270"/>
        <w:jc w:val="both"/>
        <w:rPr>
          <w:sz w:val="18"/>
          <w:szCs w:val="18"/>
          <w:lang w:val="es-ES_tradnl"/>
        </w:rPr>
      </w:pPr>
      <w:r w:rsidRPr="001755B7">
        <w:rPr>
          <w:rStyle w:val="EndnoteReference"/>
          <w:sz w:val="18"/>
          <w:szCs w:val="18"/>
        </w:rPr>
        <w:endnoteRef/>
      </w:r>
      <w:r w:rsidR="003636FA">
        <w:rPr>
          <w:rFonts w:eastAsia="Calibri"/>
          <w:sz w:val="18"/>
          <w:szCs w:val="18"/>
          <w:lang w:val="es-ES_tradnl"/>
        </w:rPr>
        <w:tab/>
      </w:r>
      <w:r w:rsidRPr="00246B6F">
        <w:rPr>
          <w:rFonts w:eastAsia="Calibri"/>
          <w:sz w:val="18"/>
          <w:szCs w:val="18"/>
          <w:lang w:val="es-ES_tradnl"/>
        </w:rPr>
        <w:t>La DPC cuenta con 4 direcciones nacionales, 10 Defensorías Delegadas y 38 oficinas regionales</w:t>
      </w:r>
      <w:r w:rsidRPr="00246B6F">
        <w:rPr>
          <w:sz w:val="18"/>
          <w:szCs w:val="18"/>
          <w:lang w:val="es-ES_tradnl"/>
        </w:rPr>
        <w:t xml:space="preserve">. </w:t>
      </w:r>
      <w:r w:rsidRPr="00246B6F">
        <w:rPr>
          <w:sz w:val="18"/>
          <w:szCs w:val="18"/>
          <w:lang w:val="es-ES"/>
        </w:rPr>
        <w:t xml:space="preserve">Ver </w:t>
      </w:r>
      <w:hyperlink r:id="rId9" w:anchor="http://www.defensoria.gov.co/es/public/institucional/115/Organigrama.htm%20" w:history="1">
        <w:r w:rsidRPr="00246B6F">
          <w:rPr>
            <w:rStyle w:val="Hyperlink"/>
            <w:sz w:val="18"/>
            <w:szCs w:val="18"/>
            <w:lang w:val="es-ES"/>
          </w:rPr>
          <w:t>Organigrama</w:t>
        </w:r>
      </w:hyperlink>
      <w:r w:rsidRPr="001755B7">
        <w:rPr>
          <w:rStyle w:val="Hyperlink"/>
          <w:sz w:val="18"/>
          <w:szCs w:val="18"/>
          <w:lang w:val="es-ES_tradnl"/>
        </w:rPr>
        <w:t>.</w:t>
      </w:r>
    </w:p>
  </w:endnote>
  <w:endnote w:id="18">
    <w:p w:rsidR="003A649A" w:rsidRPr="00246B6F" w:rsidRDefault="003A649A" w:rsidP="003636FA">
      <w:pPr>
        <w:pStyle w:val="EndnoteText"/>
        <w:ind w:left="270" w:hanging="270"/>
        <w:jc w:val="both"/>
        <w:rPr>
          <w:sz w:val="18"/>
          <w:szCs w:val="18"/>
          <w:lang w:val="es-ES_tradnl"/>
        </w:rPr>
      </w:pPr>
      <w:r w:rsidRPr="001755B7">
        <w:rPr>
          <w:rStyle w:val="EndnoteReference"/>
          <w:sz w:val="18"/>
          <w:szCs w:val="18"/>
        </w:rPr>
        <w:endnoteRef/>
      </w:r>
      <w:r w:rsidR="003636FA">
        <w:rPr>
          <w:sz w:val="18"/>
          <w:szCs w:val="18"/>
          <w:lang w:val="es-ES_tradnl"/>
        </w:rPr>
        <w:tab/>
      </w:r>
      <w:r w:rsidRPr="001755B7">
        <w:rPr>
          <w:sz w:val="18"/>
          <w:szCs w:val="18"/>
          <w:lang w:val="es-ES_tradnl"/>
        </w:rPr>
        <w:t xml:space="preserve">La </w:t>
      </w:r>
      <w:r w:rsidRPr="00246B6F">
        <w:rPr>
          <w:color w:val="222222"/>
          <w:sz w:val="18"/>
          <w:szCs w:val="18"/>
          <w:lang w:val="es-ES_tradnl"/>
        </w:rPr>
        <w:t xml:space="preserve">Defensoría Delegada </w:t>
      </w:r>
      <w:r w:rsidRPr="00246B6F">
        <w:rPr>
          <w:sz w:val="18"/>
          <w:szCs w:val="18"/>
          <w:lang w:val="es-ES_tradnl"/>
        </w:rPr>
        <w:t xml:space="preserve">para los Derechos de las Mujeres y los Asuntos de Género recibe casos que tienen que ver con la vulneración de derechos relacionados con brechas de género. Esto engloba, por ejemplo, situaciones de acoso o violencia intrafamiliar, pero también otras como discriminación laboral o en el acceso a la salud por razón de sexo. </w:t>
      </w:r>
    </w:p>
  </w:endnote>
  <w:endnote w:id="19">
    <w:p w:rsidR="003A649A" w:rsidRPr="00246B6F" w:rsidRDefault="003A649A" w:rsidP="003636FA">
      <w:pPr>
        <w:pStyle w:val="EndnoteText"/>
        <w:spacing w:line="276" w:lineRule="auto"/>
        <w:ind w:left="270" w:hanging="270"/>
        <w:jc w:val="both"/>
        <w:rPr>
          <w:color w:val="auto"/>
          <w:sz w:val="18"/>
          <w:szCs w:val="18"/>
          <w:lang w:val="es-ES_tradnl"/>
        </w:rPr>
      </w:pPr>
      <w:r w:rsidRPr="001755B7">
        <w:rPr>
          <w:rStyle w:val="EndnoteReference"/>
          <w:color w:val="auto"/>
          <w:sz w:val="18"/>
          <w:szCs w:val="18"/>
        </w:rPr>
        <w:endnoteRef/>
      </w:r>
      <w:r w:rsidR="003636FA">
        <w:rPr>
          <w:color w:val="auto"/>
          <w:sz w:val="18"/>
          <w:szCs w:val="18"/>
          <w:lang w:val="es-AR"/>
        </w:rPr>
        <w:tab/>
      </w:r>
      <w:r w:rsidRPr="001755B7">
        <w:rPr>
          <w:color w:val="auto"/>
          <w:sz w:val="18"/>
          <w:szCs w:val="18"/>
          <w:lang w:val="es-AR"/>
        </w:rPr>
        <w:t>Ibid.</w:t>
      </w:r>
    </w:p>
  </w:endnote>
  <w:endnote w:id="20">
    <w:p w:rsidR="003A649A" w:rsidRPr="00B82586" w:rsidRDefault="003A649A" w:rsidP="003636FA">
      <w:pPr>
        <w:ind w:left="270" w:hanging="270"/>
        <w:jc w:val="both"/>
        <w:rPr>
          <w:color w:val="auto"/>
          <w:sz w:val="18"/>
          <w:szCs w:val="18"/>
          <w:lang w:val="es-CO"/>
        </w:rPr>
      </w:pPr>
      <w:r w:rsidRPr="001755B7">
        <w:rPr>
          <w:rStyle w:val="EndnoteReference"/>
          <w:color w:val="auto"/>
          <w:sz w:val="18"/>
          <w:szCs w:val="18"/>
        </w:rPr>
        <w:endnoteRef/>
      </w:r>
      <w:r w:rsidR="003636FA">
        <w:rPr>
          <w:color w:val="auto"/>
          <w:sz w:val="18"/>
          <w:szCs w:val="18"/>
          <w:lang w:val="es-ES_tradnl"/>
        </w:rPr>
        <w:tab/>
      </w:r>
      <w:r w:rsidRPr="00246B6F">
        <w:rPr>
          <w:color w:val="auto"/>
          <w:sz w:val="18"/>
          <w:szCs w:val="18"/>
          <w:lang w:val="es-CO" w:eastAsia="es-CO"/>
        </w:rPr>
        <w:t>En el marco de un ejercicio de recogida de información realizado en 2017, la DPC envió una consulta a las 36 Defensorías Regionales sobre cómo estaba siendo incluido el enfoque de género en la defensa pública y en la representación judicial de mujeres y p</w:t>
      </w:r>
      <w:r w:rsidRPr="00DD00C8">
        <w:rPr>
          <w:color w:val="auto"/>
          <w:sz w:val="18"/>
          <w:szCs w:val="18"/>
          <w:lang w:val="es-CO" w:eastAsia="es-CO"/>
        </w:rPr>
        <w:t>ersonas con orientaciones sexuales e identidades de género diversas. El objetivo concreto de esta consulta fue mejorar la coordinación entre las distintas subentidades responsables en ma</w:t>
      </w:r>
      <w:r w:rsidRPr="00F805B2">
        <w:rPr>
          <w:color w:val="auto"/>
          <w:sz w:val="18"/>
          <w:szCs w:val="18"/>
          <w:lang w:val="es-CO" w:eastAsia="es-CO"/>
        </w:rPr>
        <w:t xml:space="preserve">teria de género dentro de la DPC, como son la propia </w:t>
      </w:r>
      <w:proofErr w:type="gramStart"/>
      <w:r w:rsidRPr="00F805B2">
        <w:rPr>
          <w:color w:val="auto"/>
          <w:sz w:val="18"/>
          <w:szCs w:val="18"/>
          <w:lang w:val="es-CO" w:eastAsia="es-CO"/>
        </w:rPr>
        <w:t>Delegada</w:t>
      </w:r>
      <w:proofErr w:type="gramEnd"/>
      <w:r w:rsidRPr="00F805B2">
        <w:rPr>
          <w:color w:val="auto"/>
          <w:sz w:val="18"/>
          <w:szCs w:val="18"/>
          <w:lang w:val="es-CO" w:eastAsia="es-CO"/>
        </w:rPr>
        <w:t>, las duplas de género y la Dirección Nacional de Defensoría Pública.</w:t>
      </w:r>
    </w:p>
  </w:endnote>
  <w:endnote w:id="21">
    <w:p w:rsidR="003A649A" w:rsidRPr="007F669D" w:rsidRDefault="003A649A" w:rsidP="00075951">
      <w:pPr>
        <w:pStyle w:val="EndnoteText"/>
        <w:ind w:left="274" w:hanging="274"/>
        <w:jc w:val="both"/>
        <w:rPr>
          <w:sz w:val="18"/>
          <w:szCs w:val="18"/>
          <w:lang w:val="es-ES_tradnl"/>
        </w:rPr>
      </w:pPr>
      <w:r w:rsidRPr="001755B7">
        <w:rPr>
          <w:rStyle w:val="EndnoteReference"/>
          <w:sz w:val="18"/>
          <w:szCs w:val="18"/>
        </w:rPr>
        <w:endnoteRef/>
      </w:r>
      <w:r w:rsidR="003636FA">
        <w:rPr>
          <w:sz w:val="18"/>
          <w:szCs w:val="18"/>
          <w:lang w:val="es-AR"/>
        </w:rPr>
        <w:tab/>
      </w:r>
      <w:r w:rsidRPr="00246B6F">
        <w:rPr>
          <w:sz w:val="18"/>
          <w:szCs w:val="18"/>
          <w:lang w:val="es-ES_tradnl"/>
        </w:rPr>
        <w:t>Se utilizará la metodología de Gestión para Resultados al Desarrollo (</w:t>
      </w:r>
      <w:proofErr w:type="spellStart"/>
      <w:r w:rsidRPr="00246B6F">
        <w:rPr>
          <w:sz w:val="18"/>
          <w:szCs w:val="18"/>
          <w:lang w:val="es-ES_tradnl"/>
        </w:rPr>
        <w:t>GpR</w:t>
      </w:r>
      <w:proofErr w:type="spellEnd"/>
      <w:r w:rsidRPr="00246B6F">
        <w:rPr>
          <w:sz w:val="18"/>
          <w:szCs w:val="18"/>
          <w:lang w:val="es-ES_tradnl"/>
        </w:rPr>
        <w:t>) del BID.</w:t>
      </w:r>
      <w:r w:rsidRPr="007F669D">
        <w:rPr>
          <w:sz w:val="18"/>
          <w:szCs w:val="18"/>
          <w:lang w:val="es-ES_tradnl"/>
        </w:rPr>
        <w:t xml:space="preserve"> </w:t>
      </w:r>
    </w:p>
  </w:endnote>
  <w:endnote w:id="22">
    <w:p w:rsidR="00936176" w:rsidRPr="00E2429E" w:rsidRDefault="00936176" w:rsidP="00075951">
      <w:pPr>
        <w:spacing w:line="240" w:lineRule="auto"/>
        <w:ind w:left="274" w:hanging="274"/>
        <w:rPr>
          <w:lang w:val="es-ES_tradnl"/>
        </w:rPr>
      </w:pPr>
      <w:bookmarkStart w:id="1" w:name="_GoBack"/>
      <w:bookmarkEnd w:id="1"/>
    </w:p>
  </w:endnote>
  <w:endnote w:id="23">
    <w:p w:rsidR="003A649A" w:rsidRPr="00C02B92" w:rsidRDefault="003A649A" w:rsidP="00075951">
      <w:pPr>
        <w:pStyle w:val="EndnoteText"/>
        <w:ind w:left="274" w:hanging="274"/>
        <w:jc w:val="both"/>
        <w:rPr>
          <w:sz w:val="18"/>
          <w:szCs w:val="18"/>
          <w:lang w:val="es-ES_tradnl"/>
        </w:rPr>
      </w:pPr>
      <w:r w:rsidRPr="00AB493E">
        <w:rPr>
          <w:rStyle w:val="EndnoteReference"/>
          <w:sz w:val="18"/>
          <w:szCs w:val="18"/>
        </w:rPr>
        <w:endnoteRef/>
      </w:r>
      <w:r w:rsidR="003636FA">
        <w:rPr>
          <w:sz w:val="18"/>
          <w:szCs w:val="18"/>
          <w:lang w:val="es-AR"/>
        </w:rPr>
        <w:tab/>
      </w:r>
      <w:r w:rsidRPr="00C02B92">
        <w:rPr>
          <w:sz w:val="18"/>
          <w:szCs w:val="18"/>
          <w:lang w:val="es-ES_tradnl"/>
        </w:rPr>
        <w:t xml:space="preserve">Los resultados se visualizarán en un módulo de consulta pública habilitado en la Plataforma Integrada para la Gestión y la Transparencia Defensorial por poblaciones, temas y territorios. </w:t>
      </w:r>
    </w:p>
    <w:p w:rsidR="003A649A" w:rsidRPr="00C02B92" w:rsidRDefault="003A649A" w:rsidP="003636FA">
      <w:pPr>
        <w:pStyle w:val="EndnoteText"/>
        <w:ind w:left="270" w:hanging="270"/>
        <w:jc w:val="both"/>
        <w:rPr>
          <w:lang w:val="es-ES_tradnl"/>
        </w:rPr>
      </w:pPr>
      <w:r>
        <w:rPr>
          <w:rStyle w:val="EndnoteReference"/>
        </w:rPr>
        <w:endnoteRef/>
      </w:r>
      <w:r w:rsidR="003636FA">
        <w:rPr>
          <w:lang w:val="es-ES_tradnl"/>
        </w:rPr>
        <w:tab/>
      </w:r>
      <w:r w:rsidRPr="00C02B92">
        <w:rPr>
          <w:sz w:val="18"/>
          <w:szCs w:val="18"/>
          <w:lang w:val="es-ES_tradnl"/>
        </w:rPr>
        <w:t xml:space="preserve">Esto incluye </w:t>
      </w:r>
      <w:r w:rsidRPr="00C02B92">
        <w:rPr>
          <w:color w:val="222222"/>
          <w:sz w:val="18"/>
          <w:szCs w:val="18"/>
          <w:lang w:val="es-ES_tradnl"/>
        </w:rPr>
        <w:t xml:space="preserve">sensibilizar a los funcionarios para poder identificar las necesidades específicas de atención de cada población y así poder brindar un servicio adecuado (por ejemplo, </w:t>
      </w:r>
      <w:proofErr w:type="spellStart"/>
      <w:r w:rsidRPr="00C02B92">
        <w:rPr>
          <w:color w:val="222222"/>
          <w:sz w:val="18"/>
          <w:szCs w:val="18"/>
          <w:lang w:val="es-ES_tradnl"/>
        </w:rPr>
        <w:t>proporc</w:t>
      </w:r>
      <w:proofErr w:type="spellEnd"/>
      <w:r>
        <w:rPr>
          <w:rStyle w:val="EndnoteReference"/>
        </w:rPr>
        <w:endnoteRef/>
      </w:r>
      <w:r w:rsidRPr="00C02B92">
        <w:rPr>
          <w:lang w:val="es-ES_tradnl"/>
        </w:rPr>
        <w:t xml:space="preserve"> </w:t>
      </w:r>
      <w:r w:rsidRPr="00C02B92">
        <w:rPr>
          <w:sz w:val="18"/>
          <w:szCs w:val="18"/>
          <w:lang w:val="es-ES_tradnl"/>
        </w:rPr>
        <w:t xml:space="preserve">Esto incluye </w:t>
      </w:r>
      <w:r w:rsidRPr="00C02B92">
        <w:rPr>
          <w:color w:val="222222"/>
          <w:sz w:val="18"/>
          <w:szCs w:val="18"/>
          <w:lang w:val="es-ES_tradnl"/>
        </w:rPr>
        <w:t xml:space="preserve">sensibilizar a los funcionarios para poder identificar las necesidades específicas de atención de cada población y así poder brindar un servicio adecuado (por ejemplo, proporcionando </w:t>
      </w:r>
      <w:proofErr w:type="gramStart"/>
      <w:r w:rsidRPr="00C02B92">
        <w:rPr>
          <w:color w:val="222222"/>
          <w:sz w:val="18"/>
          <w:szCs w:val="18"/>
          <w:lang w:val="es-ES_tradnl"/>
        </w:rPr>
        <w:t>re-direccionamiento</w:t>
      </w:r>
      <w:proofErr w:type="gramEnd"/>
      <w:r w:rsidRPr="00C02B92">
        <w:rPr>
          <w:color w:val="222222"/>
          <w:sz w:val="18"/>
          <w:szCs w:val="18"/>
          <w:lang w:val="es-ES_tradnl"/>
        </w:rPr>
        <w:t xml:space="preserve"> al canal adecuado para denunciar la vulneración del derecho).</w:t>
      </w:r>
    </w:p>
  </w:endnote>
  <w:endnote w:id="24">
    <w:p w:rsidR="003A649A" w:rsidRPr="00AD6A0A" w:rsidRDefault="003A649A" w:rsidP="003636FA">
      <w:pPr>
        <w:pStyle w:val="EndnoteText"/>
        <w:ind w:left="270" w:hanging="270"/>
        <w:jc w:val="both"/>
        <w:rPr>
          <w:sz w:val="18"/>
          <w:szCs w:val="18"/>
          <w:lang w:val="es-ES"/>
        </w:rPr>
      </w:pPr>
      <w:r w:rsidRPr="00AD6A0A">
        <w:rPr>
          <w:rStyle w:val="EndnoteReference"/>
          <w:sz w:val="18"/>
          <w:szCs w:val="18"/>
        </w:rPr>
        <w:endnoteRef/>
      </w:r>
      <w:r w:rsidR="003636FA" w:rsidRPr="003636FA">
        <w:rPr>
          <w:sz w:val="18"/>
          <w:szCs w:val="18"/>
          <w:lang w:val="es-ES_tradnl"/>
        </w:rPr>
        <w:tab/>
      </w:r>
      <w:r w:rsidRPr="00AB493E">
        <w:rPr>
          <w:sz w:val="18"/>
          <w:szCs w:val="18"/>
          <w:shd w:val="clear" w:color="auto" w:fill="FFFFFF"/>
          <w:lang w:val="es-CO"/>
        </w:rPr>
        <w:t xml:space="preserve">Los temas transversales a ser considerados en el marco de la estrategia para ampliar la cobertura de servicios incluyen: (i) </w:t>
      </w:r>
      <w:r w:rsidRPr="006A5F95">
        <w:rPr>
          <w:sz w:val="18"/>
          <w:szCs w:val="18"/>
          <w:shd w:val="clear" w:color="auto" w:fill="FFFFFF"/>
          <w:lang w:val="es-CO"/>
        </w:rPr>
        <w:t>aplicación del MDGR a ni</w:t>
      </w:r>
      <w:r w:rsidRPr="002C23C1">
        <w:rPr>
          <w:sz w:val="18"/>
          <w:szCs w:val="18"/>
          <w:shd w:val="clear" w:color="auto" w:fill="FFFFFF"/>
          <w:lang w:val="es-CO"/>
        </w:rPr>
        <w:t>vel territorial; (ii) mejoramiento de los sistemas de información que soporten el ejerci</w:t>
      </w:r>
      <w:r w:rsidR="003636FA">
        <w:rPr>
          <w:sz w:val="18"/>
          <w:szCs w:val="18"/>
          <w:shd w:val="clear" w:color="auto" w:fill="FFFFFF"/>
          <w:lang w:val="es-CO"/>
        </w:rPr>
        <w:t>ci</w:t>
      </w:r>
      <w:r w:rsidRPr="002C23C1">
        <w:rPr>
          <w:sz w:val="18"/>
          <w:szCs w:val="18"/>
          <w:shd w:val="clear" w:color="auto" w:fill="FFFFFF"/>
          <w:lang w:val="es-CO"/>
        </w:rPr>
        <w:t>o de las principales funciones misionales a nivel territorial</w:t>
      </w:r>
      <w:r w:rsidRPr="005562FE">
        <w:rPr>
          <w:sz w:val="18"/>
          <w:szCs w:val="18"/>
          <w:shd w:val="clear" w:color="auto" w:fill="FFFFFF"/>
          <w:lang w:val="es-ES"/>
        </w:rPr>
        <w:t>;</w:t>
      </w:r>
      <w:r w:rsidRPr="00A5677F">
        <w:rPr>
          <w:sz w:val="18"/>
          <w:szCs w:val="18"/>
          <w:shd w:val="clear" w:color="auto" w:fill="FFFFFF"/>
          <w:lang w:val="es-CO"/>
        </w:rPr>
        <w:t xml:space="preserve"> (iii) aprovechamiento de soluciones de servicios multi-canal</w:t>
      </w:r>
      <w:r w:rsidRPr="00A5677F">
        <w:rPr>
          <w:sz w:val="18"/>
          <w:szCs w:val="18"/>
          <w:shd w:val="clear" w:color="auto" w:fill="FFFFFF"/>
          <w:lang w:val="es-ES"/>
        </w:rPr>
        <w:t>;</w:t>
      </w:r>
      <w:r w:rsidRPr="00A5677F">
        <w:rPr>
          <w:sz w:val="18"/>
          <w:szCs w:val="18"/>
          <w:shd w:val="clear" w:color="auto" w:fill="FFFFFF"/>
          <w:lang w:val="es-CO"/>
        </w:rPr>
        <w:t xml:space="preserve"> (iii) capacitación a funcionarios en atención a poblaciones vulnerables específicas; y (iv)</w:t>
      </w:r>
      <w:r w:rsidR="003636FA">
        <w:rPr>
          <w:sz w:val="18"/>
          <w:szCs w:val="18"/>
          <w:shd w:val="clear" w:color="auto" w:fill="FFFFFF"/>
          <w:lang w:val="es-CO"/>
        </w:rPr>
        <w:t> </w:t>
      </w:r>
      <w:r w:rsidRPr="00A5677F">
        <w:rPr>
          <w:sz w:val="18"/>
          <w:szCs w:val="18"/>
          <w:shd w:val="clear" w:color="auto" w:fill="FFFFFF"/>
          <w:lang w:val="es-CO"/>
        </w:rPr>
        <w:t>actividades de promoción de la oferta institucional.</w:t>
      </w:r>
    </w:p>
  </w:endnote>
  <w:endnote w:id="25">
    <w:p w:rsidR="003A649A" w:rsidRPr="00C02B92" w:rsidRDefault="003A649A" w:rsidP="003636FA">
      <w:pPr>
        <w:pStyle w:val="EndnoteText"/>
        <w:ind w:left="270" w:hanging="270"/>
        <w:jc w:val="both"/>
        <w:rPr>
          <w:sz w:val="18"/>
          <w:szCs w:val="18"/>
          <w:lang w:val="es-ES_tradnl"/>
        </w:rPr>
      </w:pPr>
      <w:r w:rsidRPr="00AB493E">
        <w:rPr>
          <w:rStyle w:val="EndnoteReference"/>
          <w:sz w:val="18"/>
          <w:szCs w:val="18"/>
        </w:rPr>
        <w:endnoteRef/>
      </w:r>
      <w:r w:rsidR="003636FA">
        <w:rPr>
          <w:sz w:val="18"/>
          <w:szCs w:val="18"/>
          <w:shd w:val="clear" w:color="auto" w:fill="FFFFFF"/>
          <w:lang w:val="es-CO"/>
        </w:rPr>
        <w:tab/>
      </w:r>
      <w:r w:rsidRPr="00AB493E">
        <w:rPr>
          <w:sz w:val="18"/>
          <w:szCs w:val="18"/>
          <w:shd w:val="clear" w:color="auto" w:fill="FFFFFF"/>
          <w:lang w:val="es-CO"/>
        </w:rPr>
        <w:t>Esta estrategia</w:t>
      </w:r>
      <w:r w:rsidRPr="006A5F95">
        <w:rPr>
          <w:sz w:val="18"/>
          <w:szCs w:val="18"/>
          <w:shd w:val="clear" w:color="auto" w:fill="FFFFFF"/>
          <w:lang w:val="es-CO"/>
        </w:rPr>
        <w:t xml:space="preserve"> abarcará</w:t>
      </w:r>
      <w:r w:rsidRPr="002C23C1">
        <w:rPr>
          <w:sz w:val="18"/>
          <w:szCs w:val="18"/>
          <w:shd w:val="clear" w:color="auto" w:fill="FFFFFF"/>
          <w:lang w:val="es-CO"/>
        </w:rPr>
        <w:t xml:space="preserve"> a las defensorías delegadas y las oficinas regionales y, en el marco del programa, será definida a partir de un pilotaje </w:t>
      </w:r>
      <w:r w:rsidRPr="005562FE">
        <w:rPr>
          <w:sz w:val="18"/>
          <w:szCs w:val="18"/>
          <w:shd w:val="clear" w:color="auto" w:fill="FFFFFF"/>
          <w:lang w:val="es-CO"/>
        </w:rPr>
        <w:t>en</w:t>
      </w:r>
      <w:r w:rsidRPr="00A5677F">
        <w:rPr>
          <w:sz w:val="18"/>
          <w:szCs w:val="18"/>
          <w:shd w:val="clear" w:color="auto" w:fill="FFFFFF"/>
          <w:lang w:val="es-CO"/>
        </w:rPr>
        <w:t xml:space="preserve"> cinco territorios a ser priorizados por DPC. Los territorios serán priorizados a partir de los siguientes criterios: (i) baja cobertura de los servicios de la DPC en zonas rurales. (ii) al menos dos territorios con existencia de un alto porcentaje de vulneraciones de derechos contra la mujer y/o comunid</w:t>
      </w:r>
      <w:r w:rsidRPr="00AD6A0A">
        <w:rPr>
          <w:sz w:val="18"/>
          <w:szCs w:val="18"/>
          <w:shd w:val="clear" w:color="auto" w:fill="FFFFFF"/>
          <w:lang w:val="es-CO"/>
        </w:rPr>
        <w:t>ades LGTBI; y (iii)</w:t>
      </w:r>
      <w:r w:rsidR="005B4B0A">
        <w:rPr>
          <w:sz w:val="18"/>
          <w:szCs w:val="18"/>
          <w:shd w:val="clear" w:color="auto" w:fill="FFFFFF"/>
          <w:lang w:val="es-CO"/>
        </w:rPr>
        <w:t> </w:t>
      </w:r>
      <w:r w:rsidRPr="00AD6A0A">
        <w:rPr>
          <w:sz w:val="18"/>
          <w:szCs w:val="18"/>
          <w:shd w:val="clear" w:color="auto" w:fill="FFFFFF"/>
          <w:lang w:val="es-CO"/>
        </w:rPr>
        <w:t>al menos dos territorios con alto porcentaje de comunidades étnicas que presenten violaciones a DDHH.</w:t>
      </w:r>
    </w:p>
  </w:endnote>
  <w:endnote w:id="26">
    <w:p w:rsidR="003A649A" w:rsidRPr="00F2006E" w:rsidRDefault="003A649A" w:rsidP="003636FA">
      <w:pPr>
        <w:pStyle w:val="EndnoteText"/>
        <w:ind w:left="270" w:hanging="270"/>
        <w:rPr>
          <w:sz w:val="18"/>
          <w:szCs w:val="18"/>
          <w:lang w:val="es-ES_tradnl"/>
        </w:rPr>
      </w:pPr>
      <w:r w:rsidRPr="00803267">
        <w:rPr>
          <w:rStyle w:val="EndnoteReference"/>
          <w:sz w:val="18"/>
          <w:szCs w:val="18"/>
        </w:rPr>
        <w:endnoteRef/>
      </w:r>
      <w:r w:rsidRPr="00F2006E">
        <w:rPr>
          <w:sz w:val="18"/>
          <w:szCs w:val="18"/>
          <w:lang w:val="es-ES_tradnl"/>
        </w:rPr>
        <w:tab/>
      </w:r>
      <w:r w:rsidRPr="00F2006E">
        <w:rPr>
          <w:rFonts w:eastAsia="Calibri"/>
          <w:sz w:val="18"/>
          <w:szCs w:val="18"/>
          <w:lang w:val="es-ES_tradnl"/>
        </w:rPr>
        <w:t>El diseño del portal Web deberá contemplar los lineamientos definidos en las estrategias de rendición de cuentas, promoción, divulgación y comunicaciones, y participación ciudadana, así como los criterios definidos para los módulos de visualización y georreferenciación de la gestión defensorial.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2C" w:rsidRDefault="00731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2C" w:rsidRDefault="00731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2C" w:rsidRDefault="00731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9C" w:rsidRDefault="00C3709C" w:rsidP="00DC1CBE">
      <w:pPr>
        <w:spacing w:line="240" w:lineRule="auto"/>
      </w:pPr>
      <w:r>
        <w:separator/>
      </w:r>
    </w:p>
  </w:footnote>
  <w:footnote w:type="continuationSeparator" w:id="0">
    <w:p w:rsidR="00C3709C" w:rsidRDefault="00C3709C" w:rsidP="00DC1C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2C" w:rsidRDefault="00731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2C" w:rsidRDefault="00731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2C" w:rsidRDefault="00731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689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8444E"/>
    <w:multiLevelType w:val="hybridMultilevel"/>
    <w:tmpl w:val="5802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5568"/>
    <w:multiLevelType w:val="hybridMultilevel"/>
    <w:tmpl w:val="6B62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076DC"/>
    <w:multiLevelType w:val="hybridMultilevel"/>
    <w:tmpl w:val="E628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36EA8"/>
    <w:multiLevelType w:val="hybridMultilevel"/>
    <w:tmpl w:val="FFBC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37C65"/>
    <w:multiLevelType w:val="hybridMultilevel"/>
    <w:tmpl w:val="99F6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D3369"/>
    <w:multiLevelType w:val="hybridMultilevel"/>
    <w:tmpl w:val="414C7EC4"/>
    <w:lvl w:ilvl="0" w:tplc="4B50AEB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27794"/>
    <w:multiLevelType w:val="hybridMultilevel"/>
    <w:tmpl w:val="9B7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D59B8"/>
    <w:multiLevelType w:val="multilevel"/>
    <w:tmpl w:val="3962F1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BE0C2C"/>
    <w:multiLevelType w:val="hybridMultilevel"/>
    <w:tmpl w:val="76D2ECB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417FA"/>
    <w:multiLevelType w:val="hybridMultilevel"/>
    <w:tmpl w:val="2A1E2926"/>
    <w:lvl w:ilvl="0" w:tplc="0409000F">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92ED0"/>
    <w:multiLevelType w:val="hybridMultilevel"/>
    <w:tmpl w:val="FE1C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C1FBA"/>
    <w:multiLevelType w:val="hybridMultilevel"/>
    <w:tmpl w:val="B382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F0866"/>
    <w:multiLevelType w:val="hybridMultilevel"/>
    <w:tmpl w:val="B634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00069"/>
    <w:multiLevelType w:val="hybridMultilevel"/>
    <w:tmpl w:val="45E8591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F1AE5"/>
    <w:multiLevelType w:val="hybridMultilevel"/>
    <w:tmpl w:val="A868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B40C5"/>
    <w:multiLevelType w:val="hybridMultilevel"/>
    <w:tmpl w:val="5A0A977C"/>
    <w:lvl w:ilvl="0" w:tplc="E21AC3E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A4C1D"/>
    <w:multiLevelType w:val="hybridMultilevel"/>
    <w:tmpl w:val="608E7B36"/>
    <w:lvl w:ilvl="0" w:tplc="C6F2CE8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717D7"/>
    <w:multiLevelType w:val="hybridMultilevel"/>
    <w:tmpl w:val="DB5E3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47D26"/>
    <w:multiLevelType w:val="multilevel"/>
    <w:tmpl w:val="0304F2E6"/>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8150E52"/>
    <w:multiLevelType w:val="hybridMultilevel"/>
    <w:tmpl w:val="2D0C8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357FD2"/>
    <w:multiLevelType w:val="hybridMultilevel"/>
    <w:tmpl w:val="FF3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13"/>
  </w:num>
  <w:num w:numId="5">
    <w:abstractNumId w:val="11"/>
  </w:num>
  <w:num w:numId="6">
    <w:abstractNumId w:val="9"/>
  </w:num>
  <w:num w:numId="7">
    <w:abstractNumId w:val="1"/>
  </w:num>
  <w:num w:numId="8">
    <w:abstractNumId w:val="5"/>
  </w:num>
  <w:num w:numId="9">
    <w:abstractNumId w:val="10"/>
  </w:num>
  <w:num w:numId="10">
    <w:abstractNumId w:val="16"/>
  </w:num>
  <w:num w:numId="11">
    <w:abstractNumId w:val="14"/>
  </w:num>
  <w:num w:numId="12">
    <w:abstractNumId w:val="3"/>
  </w:num>
  <w:num w:numId="13">
    <w:abstractNumId w:val="19"/>
  </w:num>
  <w:num w:numId="14">
    <w:abstractNumId w:val="8"/>
  </w:num>
  <w:num w:numId="15">
    <w:abstractNumId w:val="12"/>
  </w:num>
  <w:num w:numId="16">
    <w:abstractNumId w:val="21"/>
  </w:num>
  <w:num w:numId="17">
    <w:abstractNumId w:val="7"/>
  </w:num>
  <w:num w:numId="18">
    <w:abstractNumId w:val="20"/>
  </w:num>
  <w:num w:numId="19">
    <w:abstractNumId w:val="4"/>
  </w:num>
  <w:num w:numId="20">
    <w:abstractNumId w:val="17"/>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wMDIzNzK2NDczM7BQ0lEKTi0uzszPAykwrAUAZtPEUiwAAAA="/>
  </w:docVars>
  <w:rsids>
    <w:rsidRoot w:val="00AE6EEE"/>
    <w:rsid w:val="00001AAC"/>
    <w:rsid w:val="0000441F"/>
    <w:rsid w:val="000058D3"/>
    <w:rsid w:val="00014B0C"/>
    <w:rsid w:val="00015EF5"/>
    <w:rsid w:val="0004130A"/>
    <w:rsid w:val="00062EE7"/>
    <w:rsid w:val="00074F56"/>
    <w:rsid w:val="00075951"/>
    <w:rsid w:val="00083891"/>
    <w:rsid w:val="000854D1"/>
    <w:rsid w:val="00087D15"/>
    <w:rsid w:val="000A1C4D"/>
    <w:rsid w:val="000C0EBB"/>
    <w:rsid w:val="000C4F42"/>
    <w:rsid w:val="000D2E09"/>
    <w:rsid w:val="00140CB0"/>
    <w:rsid w:val="001430BC"/>
    <w:rsid w:val="0015725F"/>
    <w:rsid w:val="00162938"/>
    <w:rsid w:val="00172743"/>
    <w:rsid w:val="00173135"/>
    <w:rsid w:val="001755B7"/>
    <w:rsid w:val="001940C0"/>
    <w:rsid w:val="00196CF5"/>
    <w:rsid w:val="001975E5"/>
    <w:rsid w:val="001C0D89"/>
    <w:rsid w:val="001C5C3A"/>
    <w:rsid w:val="001D0AE8"/>
    <w:rsid w:val="001F75AC"/>
    <w:rsid w:val="00206568"/>
    <w:rsid w:val="00207593"/>
    <w:rsid w:val="00221A66"/>
    <w:rsid w:val="002340BE"/>
    <w:rsid w:val="00246B6F"/>
    <w:rsid w:val="00267F97"/>
    <w:rsid w:val="002B6BED"/>
    <w:rsid w:val="002B717D"/>
    <w:rsid w:val="002C14E1"/>
    <w:rsid w:val="002C5A84"/>
    <w:rsid w:val="002D795B"/>
    <w:rsid w:val="002E7B4F"/>
    <w:rsid w:val="00330C8B"/>
    <w:rsid w:val="00330D3F"/>
    <w:rsid w:val="00360C85"/>
    <w:rsid w:val="00360E20"/>
    <w:rsid w:val="003636FA"/>
    <w:rsid w:val="003644AF"/>
    <w:rsid w:val="00377350"/>
    <w:rsid w:val="003A31F3"/>
    <w:rsid w:val="003A3B4B"/>
    <w:rsid w:val="003A649A"/>
    <w:rsid w:val="003B4E2C"/>
    <w:rsid w:val="003D2226"/>
    <w:rsid w:val="003E51D7"/>
    <w:rsid w:val="00411A6C"/>
    <w:rsid w:val="00417407"/>
    <w:rsid w:val="004336EA"/>
    <w:rsid w:val="00434C97"/>
    <w:rsid w:val="0044513F"/>
    <w:rsid w:val="0044680D"/>
    <w:rsid w:val="004924C3"/>
    <w:rsid w:val="004A0423"/>
    <w:rsid w:val="004C39C6"/>
    <w:rsid w:val="004C4B68"/>
    <w:rsid w:val="005174FD"/>
    <w:rsid w:val="00523BBF"/>
    <w:rsid w:val="00556245"/>
    <w:rsid w:val="00566341"/>
    <w:rsid w:val="0056644A"/>
    <w:rsid w:val="005B1423"/>
    <w:rsid w:val="005B4B0A"/>
    <w:rsid w:val="005B69E1"/>
    <w:rsid w:val="005F5CE2"/>
    <w:rsid w:val="006000B6"/>
    <w:rsid w:val="00606B78"/>
    <w:rsid w:val="00614624"/>
    <w:rsid w:val="00643EEA"/>
    <w:rsid w:val="006503FD"/>
    <w:rsid w:val="00655EB9"/>
    <w:rsid w:val="0067758A"/>
    <w:rsid w:val="006D277B"/>
    <w:rsid w:val="006E3904"/>
    <w:rsid w:val="006E4CA1"/>
    <w:rsid w:val="006F2846"/>
    <w:rsid w:val="007030B0"/>
    <w:rsid w:val="00714674"/>
    <w:rsid w:val="00731A2C"/>
    <w:rsid w:val="00762023"/>
    <w:rsid w:val="007759B9"/>
    <w:rsid w:val="007807D1"/>
    <w:rsid w:val="00786D5B"/>
    <w:rsid w:val="00793A49"/>
    <w:rsid w:val="0079509A"/>
    <w:rsid w:val="007F669D"/>
    <w:rsid w:val="00800DE3"/>
    <w:rsid w:val="00874F88"/>
    <w:rsid w:val="008809E2"/>
    <w:rsid w:val="0088772F"/>
    <w:rsid w:val="008937D0"/>
    <w:rsid w:val="008A4CFA"/>
    <w:rsid w:val="008C1D0A"/>
    <w:rsid w:val="008F5D31"/>
    <w:rsid w:val="008F7A77"/>
    <w:rsid w:val="009211B6"/>
    <w:rsid w:val="009244AD"/>
    <w:rsid w:val="009276EA"/>
    <w:rsid w:val="009339FE"/>
    <w:rsid w:val="00936176"/>
    <w:rsid w:val="00937F0B"/>
    <w:rsid w:val="0094313E"/>
    <w:rsid w:val="009832AA"/>
    <w:rsid w:val="00990514"/>
    <w:rsid w:val="009A72A4"/>
    <w:rsid w:val="009B606A"/>
    <w:rsid w:val="009D49C8"/>
    <w:rsid w:val="00A0482A"/>
    <w:rsid w:val="00A059AA"/>
    <w:rsid w:val="00A1050C"/>
    <w:rsid w:val="00A377D0"/>
    <w:rsid w:val="00A512DB"/>
    <w:rsid w:val="00A6261F"/>
    <w:rsid w:val="00A8302F"/>
    <w:rsid w:val="00AB2522"/>
    <w:rsid w:val="00AB3455"/>
    <w:rsid w:val="00AC1B55"/>
    <w:rsid w:val="00AC1BED"/>
    <w:rsid w:val="00AC484A"/>
    <w:rsid w:val="00AC6EDB"/>
    <w:rsid w:val="00AD7FC5"/>
    <w:rsid w:val="00AE6EEE"/>
    <w:rsid w:val="00AF5608"/>
    <w:rsid w:val="00B0105D"/>
    <w:rsid w:val="00B05F31"/>
    <w:rsid w:val="00B276B0"/>
    <w:rsid w:val="00B324E5"/>
    <w:rsid w:val="00B56871"/>
    <w:rsid w:val="00B62267"/>
    <w:rsid w:val="00B653F4"/>
    <w:rsid w:val="00B67BFC"/>
    <w:rsid w:val="00B75C72"/>
    <w:rsid w:val="00B8104C"/>
    <w:rsid w:val="00B82586"/>
    <w:rsid w:val="00B96783"/>
    <w:rsid w:val="00BC0DBB"/>
    <w:rsid w:val="00BD5055"/>
    <w:rsid w:val="00BE0351"/>
    <w:rsid w:val="00BE3244"/>
    <w:rsid w:val="00C02B92"/>
    <w:rsid w:val="00C069F7"/>
    <w:rsid w:val="00C25D2D"/>
    <w:rsid w:val="00C3709C"/>
    <w:rsid w:val="00C517B4"/>
    <w:rsid w:val="00C61F22"/>
    <w:rsid w:val="00C866B0"/>
    <w:rsid w:val="00C86FCB"/>
    <w:rsid w:val="00CB518E"/>
    <w:rsid w:val="00CC0970"/>
    <w:rsid w:val="00CD40FE"/>
    <w:rsid w:val="00CD78B4"/>
    <w:rsid w:val="00CD7E91"/>
    <w:rsid w:val="00CE3F95"/>
    <w:rsid w:val="00D03147"/>
    <w:rsid w:val="00D03D87"/>
    <w:rsid w:val="00D41484"/>
    <w:rsid w:val="00D87405"/>
    <w:rsid w:val="00DB64F6"/>
    <w:rsid w:val="00DC0219"/>
    <w:rsid w:val="00DC1CBE"/>
    <w:rsid w:val="00DC742A"/>
    <w:rsid w:val="00DD00C8"/>
    <w:rsid w:val="00DF73ED"/>
    <w:rsid w:val="00E11CB8"/>
    <w:rsid w:val="00E23B7C"/>
    <w:rsid w:val="00E2429E"/>
    <w:rsid w:val="00E26519"/>
    <w:rsid w:val="00E3621B"/>
    <w:rsid w:val="00E813A3"/>
    <w:rsid w:val="00E83C41"/>
    <w:rsid w:val="00E96EF3"/>
    <w:rsid w:val="00EA0E57"/>
    <w:rsid w:val="00EA5649"/>
    <w:rsid w:val="00EC3425"/>
    <w:rsid w:val="00EE44BB"/>
    <w:rsid w:val="00EF2ACD"/>
    <w:rsid w:val="00EF5FE1"/>
    <w:rsid w:val="00F06986"/>
    <w:rsid w:val="00F2006E"/>
    <w:rsid w:val="00F4760A"/>
    <w:rsid w:val="00F4782E"/>
    <w:rsid w:val="00F5403A"/>
    <w:rsid w:val="00F654CB"/>
    <w:rsid w:val="00F74DAE"/>
    <w:rsid w:val="00F778D7"/>
    <w:rsid w:val="00F805B2"/>
    <w:rsid w:val="00F851BA"/>
    <w:rsid w:val="00FB2866"/>
    <w:rsid w:val="00FC1230"/>
    <w:rsid w:val="00FD6E66"/>
    <w:rsid w:val="00FE50AB"/>
    <w:rsid w:val="00FE589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F3EB7"/>
  <w15:docId w15:val="{C9A4619A-8554-4BE9-8723-D9801A3B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CO"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pBdr>
      <w:spacing w:line="276" w:lineRule="auto"/>
    </w:pPr>
    <w:rPr>
      <w:color w:val="000000"/>
      <w:sz w:val="22"/>
      <w:szCs w:val="22"/>
      <w:lang w:val="en" w:eastAsia="en-US"/>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6D277B"/>
    <w:pPr>
      <w:ind w:left="720"/>
      <w:contextualSpacing/>
    </w:pPr>
  </w:style>
  <w:style w:type="paragraph" w:styleId="NormalWeb">
    <w:name w:val="Normal (Web)"/>
    <w:basedOn w:val="Normal"/>
    <w:uiPriority w:val="99"/>
    <w:semiHidden/>
    <w:unhideWhenUsed/>
    <w:rsid w:val="006D277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Strong">
    <w:name w:val="Strong"/>
    <w:uiPriority w:val="22"/>
    <w:qFormat/>
    <w:rsid w:val="006D277B"/>
    <w:rPr>
      <w:b/>
      <w:bCs/>
    </w:rPr>
  </w:style>
  <w:style w:type="character" w:styleId="Hyperlink">
    <w:name w:val="Hyperlink"/>
    <w:uiPriority w:val="99"/>
    <w:unhideWhenUsed/>
    <w:rsid w:val="00196CF5"/>
    <w:rPr>
      <w:color w:val="0000FF"/>
      <w:u w:val="single"/>
    </w:rPr>
  </w:style>
  <w:style w:type="character" w:customStyle="1" w:styleId="UnresolvedMention1">
    <w:name w:val="Unresolved Mention1"/>
    <w:uiPriority w:val="99"/>
    <w:semiHidden/>
    <w:unhideWhenUsed/>
    <w:rsid w:val="00196CF5"/>
    <w:rPr>
      <w:color w:val="808080"/>
      <w:shd w:val="clear" w:color="auto" w:fill="E6E6E6"/>
    </w:rPr>
  </w:style>
  <w:style w:type="character" w:styleId="CommentReference">
    <w:name w:val="annotation reference"/>
    <w:uiPriority w:val="99"/>
    <w:semiHidden/>
    <w:unhideWhenUsed/>
    <w:rsid w:val="004A0423"/>
    <w:rPr>
      <w:sz w:val="16"/>
      <w:szCs w:val="16"/>
    </w:rPr>
  </w:style>
  <w:style w:type="paragraph" w:styleId="CommentText">
    <w:name w:val="annotation text"/>
    <w:basedOn w:val="Normal"/>
    <w:link w:val="CommentTextChar"/>
    <w:uiPriority w:val="99"/>
    <w:unhideWhenUsed/>
    <w:rsid w:val="004A0423"/>
    <w:pPr>
      <w:spacing w:line="240" w:lineRule="auto"/>
    </w:pPr>
    <w:rPr>
      <w:sz w:val="20"/>
      <w:szCs w:val="20"/>
    </w:rPr>
  </w:style>
  <w:style w:type="character" w:customStyle="1" w:styleId="CommentTextChar">
    <w:name w:val="Comment Text Char"/>
    <w:link w:val="CommentText"/>
    <w:uiPriority w:val="99"/>
    <w:rsid w:val="004A0423"/>
    <w:rPr>
      <w:sz w:val="20"/>
      <w:szCs w:val="20"/>
    </w:rPr>
  </w:style>
  <w:style w:type="paragraph" w:styleId="CommentSubject">
    <w:name w:val="annotation subject"/>
    <w:basedOn w:val="CommentText"/>
    <w:next w:val="CommentText"/>
    <w:link w:val="CommentSubjectChar"/>
    <w:uiPriority w:val="99"/>
    <w:semiHidden/>
    <w:unhideWhenUsed/>
    <w:rsid w:val="004A0423"/>
    <w:rPr>
      <w:b/>
      <w:bCs/>
    </w:rPr>
  </w:style>
  <w:style w:type="character" w:customStyle="1" w:styleId="CommentSubjectChar">
    <w:name w:val="Comment Subject Char"/>
    <w:link w:val="CommentSubject"/>
    <w:uiPriority w:val="99"/>
    <w:semiHidden/>
    <w:rsid w:val="004A0423"/>
    <w:rPr>
      <w:b/>
      <w:bCs/>
      <w:sz w:val="20"/>
      <w:szCs w:val="20"/>
    </w:rPr>
  </w:style>
  <w:style w:type="paragraph" w:styleId="BalloonText">
    <w:name w:val="Balloon Text"/>
    <w:basedOn w:val="Normal"/>
    <w:link w:val="BalloonTextChar"/>
    <w:uiPriority w:val="99"/>
    <w:semiHidden/>
    <w:unhideWhenUsed/>
    <w:rsid w:val="004A0423"/>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A0423"/>
    <w:rPr>
      <w:rFonts w:ascii="Segoe UI" w:hAnsi="Segoe UI" w:cs="Segoe UI"/>
      <w:sz w:val="18"/>
      <w:szCs w:val="18"/>
    </w:rPr>
  </w:style>
  <w:style w:type="paragraph" w:styleId="Header">
    <w:name w:val="header"/>
    <w:basedOn w:val="Normal"/>
    <w:link w:val="HeaderChar"/>
    <w:uiPriority w:val="99"/>
    <w:unhideWhenUsed/>
    <w:rsid w:val="00DC1CBE"/>
    <w:pPr>
      <w:tabs>
        <w:tab w:val="center" w:pos="4680"/>
        <w:tab w:val="right" w:pos="9360"/>
      </w:tabs>
      <w:spacing w:line="240" w:lineRule="auto"/>
    </w:pPr>
  </w:style>
  <w:style w:type="character" w:customStyle="1" w:styleId="HeaderChar">
    <w:name w:val="Header Char"/>
    <w:basedOn w:val="DefaultParagraphFont"/>
    <w:link w:val="Header"/>
    <w:uiPriority w:val="99"/>
    <w:rsid w:val="00DC1CBE"/>
  </w:style>
  <w:style w:type="paragraph" w:styleId="Footer">
    <w:name w:val="footer"/>
    <w:basedOn w:val="Normal"/>
    <w:link w:val="FooterChar"/>
    <w:uiPriority w:val="99"/>
    <w:unhideWhenUsed/>
    <w:rsid w:val="00DC1CBE"/>
    <w:pPr>
      <w:tabs>
        <w:tab w:val="center" w:pos="4680"/>
        <w:tab w:val="right" w:pos="9360"/>
      </w:tabs>
      <w:spacing w:line="240" w:lineRule="auto"/>
    </w:pPr>
  </w:style>
  <w:style w:type="character" w:customStyle="1" w:styleId="FooterChar">
    <w:name w:val="Footer Char"/>
    <w:basedOn w:val="DefaultParagraphFont"/>
    <w:link w:val="Footer"/>
    <w:uiPriority w:val="99"/>
    <w:rsid w:val="00DC1CBE"/>
  </w:style>
  <w:style w:type="paragraph" w:styleId="FootnoteText">
    <w:name w:val="footnote text"/>
    <w:aliases w:val="Footnote Text Char Char Char Char Char,Footnote Text Char Char Char Char,Footnote reference,FA Fu,Footnote Text Char Char Char,Footnote Text Char Char Char Char Char Char Char Char,Footnote Text Cha,FA Fußnotentext,Ca,fn,foottextfra,ft,no"/>
    <w:basedOn w:val="Normal"/>
    <w:link w:val="FootnoteTextChar"/>
    <w:uiPriority w:val="99"/>
    <w:unhideWhenUsed/>
    <w:qFormat/>
    <w:rsid w:val="008809E2"/>
    <w:pPr>
      <w:spacing w:line="240" w:lineRule="auto"/>
    </w:pPr>
    <w:rPr>
      <w:sz w:val="20"/>
      <w:szCs w:val="20"/>
    </w:rPr>
  </w:style>
  <w:style w:type="character" w:customStyle="1" w:styleId="FootnoteTextChar">
    <w:name w:val="Footnote Text Char"/>
    <w:aliases w:val="Footnote Text Char Char Char Char Char Char1,Footnote Text Char Char Char Char Char2,Footnote reference Char1,FA Fu Char1,Footnote Text Char Char Char Char2,Footnote Text Char Char Char Char Char Char Char Char Char,Ca Char1,fn Char"/>
    <w:link w:val="FootnoteText"/>
    <w:uiPriority w:val="99"/>
    <w:rsid w:val="008809E2"/>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titulo 2,ftref"/>
    <w:uiPriority w:val="99"/>
    <w:unhideWhenUsed/>
    <w:qFormat/>
    <w:rsid w:val="008809E2"/>
    <w:rPr>
      <w:vertAlign w:val="superscript"/>
    </w:rPr>
  </w:style>
  <w:style w:type="paragraph" w:styleId="EndnoteText">
    <w:name w:val="endnote text"/>
    <w:basedOn w:val="Normal"/>
    <w:link w:val="EndnoteTextChar"/>
    <w:uiPriority w:val="99"/>
    <w:unhideWhenUsed/>
    <w:rsid w:val="00B96783"/>
    <w:pPr>
      <w:spacing w:line="240" w:lineRule="auto"/>
    </w:pPr>
    <w:rPr>
      <w:sz w:val="20"/>
      <w:szCs w:val="20"/>
    </w:rPr>
  </w:style>
  <w:style w:type="character" w:customStyle="1" w:styleId="EndnoteTextChar">
    <w:name w:val="Endnote Text Char"/>
    <w:link w:val="EndnoteText"/>
    <w:uiPriority w:val="99"/>
    <w:rsid w:val="00B96783"/>
    <w:rPr>
      <w:sz w:val="20"/>
      <w:szCs w:val="20"/>
    </w:rPr>
  </w:style>
  <w:style w:type="character" w:styleId="EndnoteReference">
    <w:name w:val="endnote reference"/>
    <w:uiPriority w:val="99"/>
    <w:unhideWhenUsed/>
    <w:rsid w:val="00B96783"/>
    <w:rPr>
      <w:vertAlign w:val="superscript"/>
    </w:rPr>
  </w:style>
  <w:style w:type="character" w:customStyle="1" w:styleId="Mention1">
    <w:name w:val="Mention1"/>
    <w:uiPriority w:val="99"/>
    <w:semiHidden/>
    <w:unhideWhenUsed/>
    <w:rsid w:val="00B96783"/>
    <w:rPr>
      <w:color w:val="2B579A"/>
      <w:shd w:val="clear" w:color="auto" w:fill="E6E6E6"/>
    </w:rPr>
  </w:style>
  <w:style w:type="character" w:styleId="FollowedHyperlink">
    <w:name w:val="FollowedHyperlink"/>
    <w:uiPriority w:val="99"/>
    <w:semiHidden/>
    <w:unhideWhenUsed/>
    <w:rsid w:val="00B96783"/>
    <w:rPr>
      <w:color w:val="800080"/>
      <w:u w:val="single"/>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r Char,Footnote Text Cha Char,FA Fußnotentext Char,Ca Char"/>
    <w:uiPriority w:val="99"/>
    <w:rsid w:val="00B276B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4757">
      <w:bodyDiv w:val="1"/>
      <w:marLeft w:val="0"/>
      <w:marRight w:val="0"/>
      <w:marTop w:val="0"/>
      <w:marBottom w:val="0"/>
      <w:divBdr>
        <w:top w:val="none" w:sz="0" w:space="0" w:color="auto"/>
        <w:left w:val="none" w:sz="0" w:space="0" w:color="auto"/>
        <w:bottom w:val="none" w:sz="0" w:space="0" w:color="auto"/>
        <w:right w:val="none" w:sz="0" w:space="0" w:color="auto"/>
      </w:divBdr>
    </w:div>
    <w:div w:id="376395690">
      <w:bodyDiv w:val="1"/>
      <w:marLeft w:val="0"/>
      <w:marRight w:val="0"/>
      <w:marTop w:val="0"/>
      <w:marBottom w:val="0"/>
      <w:divBdr>
        <w:top w:val="none" w:sz="0" w:space="0" w:color="auto"/>
        <w:left w:val="none" w:sz="0" w:space="0" w:color="auto"/>
        <w:bottom w:val="none" w:sz="0" w:space="0" w:color="auto"/>
        <w:right w:val="none" w:sz="0" w:space="0" w:color="auto"/>
      </w:divBdr>
    </w:div>
    <w:div w:id="1576551027">
      <w:bodyDiv w:val="1"/>
      <w:marLeft w:val="0"/>
      <w:marRight w:val="0"/>
      <w:marTop w:val="0"/>
      <w:marBottom w:val="0"/>
      <w:divBdr>
        <w:top w:val="none" w:sz="0" w:space="0" w:color="auto"/>
        <w:left w:val="none" w:sz="0" w:space="0" w:color="auto"/>
        <w:bottom w:val="none" w:sz="0" w:space="0" w:color="auto"/>
        <w:right w:val="none" w:sz="0" w:space="0" w:color="auto"/>
      </w:divBdr>
    </w:div>
    <w:div w:id="1624188072">
      <w:bodyDiv w:val="1"/>
      <w:marLeft w:val="0"/>
      <w:marRight w:val="0"/>
      <w:marTop w:val="0"/>
      <w:marBottom w:val="0"/>
      <w:divBdr>
        <w:top w:val="none" w:sz="0" w:space="0" w:color="auto"/>
        <w:left w:val="none" w:sz="0" w:space="0" w:color="auto"/>
        <w:bottom w:val="none" w:sz="0" w:space="0" w:color="auto"/>
        <w:right w:val="none" w:sz="0" w:space="0" w:color="auto"/>
      </w:divBdr>
    </w:div>
    <w:div w:id="1673871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8.xml"/></Relationships>
</file>

<file path=word/_rels/endnotes.xml.rels><?xml version="1.0" encoding="UTF-8" standalone="yes"?>
<Relationships xmlns="http://schemas.openxmlformats.org/package/2006/relationships"><Relationship Id="rId8" Type="http://schemas.openxmlformats.org/officeDocument/2006/relationships/hyperlink" Target="https://www.files.ethz.ch/isn/30173/2005_March.pdf" TargetMode="External"/><Relationship Id="rId3" Type="http://schemas.openxmlformats.org/officeDocument/2006/relationships/hyperlink" Target="https://www.google.com/url?url=http://scholar.google.com/scholar_url%3Furl%3Dhttps://repub.eur.nl/pub/13608/nejo_185.pdf%26hl%3Des%26sa%3DX%26scisig%3DAAGBfm3ItKc4ppSd7Jzh9lltotgm6ZUGeQ%26nossl%3D1%26oi%3Dscholarr&amp;rct=j&amp;q=&amp;esrc=s&amp;sa=X&amp;ved=0ahUKEwj3_dSn1u7ZAhXiguAKHZojCXcQgAMIJygAMAA&amp;usg=AOvVaw0HnDeD4CO5F0n1p-med2AV" TargetMode="External"/><Relationship Id="rId7" Type="http://schemas.openxmlformats.org/officeDocument/2006/relationships/hyperlink" Target="http://ella.practicalaction.org/wp-content/uploads/2012/09/120911_GOV_ProHumRig_BRIEF1_Esp.pdf" TargetMode="External"/><Relationship Id="rId2" Type="http://schemas.openxmlformats.org/officeDocument/2006/relationships/hyperlink" Target="http://www.ohchr.org/Documents/Publications/HR-PUB-14-2_SP.pdf" TargetMode="External"/><Relationship Id="rId1" Type="http://schemas.openxmlformats.org/officeDocument/2006/relationships/hyperlink" Target="http://www.theioi.org/downloads/q3at/Wellington%20Conference_21.%20Working%20Session%20D_Roberta%20Clarke%20Paper.pdf" TargetMode="External"/><Relationship Id="rId6" Type="http://schemas.openxmlformats.org/officeDocument/2006/relationships/hyperlink" Target="http://www.un.org/documents/ga/res/48/a48r134.htm" TargetMode="External"/><Relationship Id="rId5" Type="http://schemas.openxmlformats.org/officeDocument/2006/relationships/hyperlink" Target="https://www.osce.org/es/mc/39521?download=true" TargetMode="External"/><Relationship Id="rId4" Type="http://schemas.openxmlformats.org/officeDocument/2006/relationships/hyperlink" Target="https://julkaisut.valtioneuvosto.fi/bitstream/handle/10024/70506/URN%3ANBN%3Afi-fe201504226920.pdf?sequence=1&amp;isAllowed=y" TargetMode="External"/><Relationship Id="rId9" Type="http://schemas.openxmlformats.org/officeDocument/2006/relationships/hyperlink" Target="http://www.defensoria.gov.co/es/public/institucional/115/Organigra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41F700B1D239FD4C8CBDE2E2D26A7786" ma:contentTypeVersion="86" ma:contentTypeDescription="A content type to manage public (operations) IDB documents" ma:contentTypeScope="" ma:versionID="3377f702a4cd30e0e27deb50ba06aedc">
  <xsd:schema xmlns:xsd="http://www.w3.org/2001/XMLSchema" xmlns:xs="http://www.w3.org/2001/XMLSchema" xmlns:p="http://schemas.microsoft.com/office/2006/metadata/properties" xmlns:ns2="cdc7663a-08f0-4737-9e8c-148ce897a09c" targetNamespace="http://schemas.microsoft.com/office/2006/metadata/properties" ma:root="true" ma:fieldsID="6db759dd5cdac345fcf7dba4a0839ad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CO-L123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IDBDocs_x0020_Number xmlns="cdc7663a-08f0-4737-9e8c-148ce897a09c" xsi:nil="true"/>
    <Division_x0020_or_x0020_Unit xmlns="cdc7663a-08f0-4737-9e8c-148ce897a09c">IFD/ICS</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Rojas Gonzalez, Sonia Amalia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MODERNIZATION ＆ ADMINIST OFJUSTICE</TermName>
          <TermId xmlns="http://schemas.microsoft.com/office/infopath/2007/PartnerControls">8f414175-31d2-470b-971f-627feb27bbc3</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Related_x0020_SisCor_x0020_Number xmlns="cdc7663a-08f0-4737-9e8c-148ce897a09c" xsi:nil="true"/>
    <TaxCatchAll xmlns="cdc7663a-08f0-4737-9e8c-148ce897a09c">
      <Value>125</Value>
      <Value>57</Value>
      <Value>27</Value>
      <Value>1</Value>
      <Value>35</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CO-L1236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R0002288323</Record_x0020_Number>
    <_dlc_DocId xmlns="cdc7663a-08f0-4737-9e8c-148ce897a09c">EZSHARE-140723308-58</_dlc_DocId>
    <_dlc_DocIdUrl xmlns="cdc7663a-08f0-4737-9e8c-148ce897a09c">
      <Url>https://idbg.sharepoint.com/teams/EZ-CO-LON/CO-L1236/_layouts/15/DocIdRedir.aspx?ID=EZSHARE-140723308-58</Url>
      <Description>EZSHARE-140723308-58</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41CE2585-3B0C-4C92-AD7C-AAC835C04578}">
  <ds:schemaRefs>
    <ds:schemaRef ds:uri="http://schemas.openxmlformats.org/officeDocument/2006/bibliography"/>
  </ds:schemaRefs>
</ds:datastoreItem>
</file>

<file path=customXml/itemProps2.xml><?xml version="1.0" encoding="utf-8"?>
<ds:datastoreItem xmlns:ds="http://schemas.openxmlformats.org/officeDocument/2006/customXml" ds:itemID="{1B56BAB8-75D1-428B-81E2-1CF25F076F6C}"/>
</file>

<file path=customXml/itemProps3.xml><?xml version="1.0" encoding="utf-8"?>
<ds:datastoreItem xmlns:ds="http://schemas.openxmlformats.org/officeDocument/2006/customXml" ds:itemID="{BF64C5E7-F215-46DD-9CA8-D16A060A41F5}"/>
</file>

<file path=customXml/itemProps4.xml><?xml version="1.0" encoding="utf-8"?>
<ds:datastoreItem xmlns:ds="http://schemas.openxmlformats.org/officeDocument/2006/customXml" ds:itemID="{BC3A50E5-3B22-4052-8641-F890F72617B1}"/>
</file>

<file path=customXml/itemProps5.xml><?xml version="1.0" encoding="utf-8"?>
<ds:datastoreItem xmlns:ds="http://schemas.openxmlformats.org/officeDocument/2006/customXml" ds:itemID="{6BC7E414-E891-4510-B7CF-74D5FA52AB1E}"/>
</file>

<file path=customXml/itemProps6.xml><?xml version="1.0" encoding="utf-8"?>
<ds:datastoreItem xmlns:ds="http://schemas.openxmlformats.org/officeDocument/2006/customXml" ds:itemID="{8B8935BD-0EA9-4F2D-963D-FD5822D1B1BB}"/>
</file>

<file path=customXml/itemProps7.xml><?xml version="1.0" encoding="utf-8"?>
<ds:datastoreItem xmlns:ds="http://schemas.openxmlformats.org/officeDocument/2006/customXml" ds:itemID="{17443501-1A44-4D7C-925B-14BE7609BAA6}"/>
</file>

<file path=customXml/itemProps8.xml><?xml version="1.0" encoding="utf-8"?>
<ds:datastoreItem xmlns:ds="http://schemas.openxmlformats.org/officeDocument/2006/customXml" ds:itemID="{FF59C886-42F0-4E3C-9E59-47E7839B2E45}"/>
</file>

<file path=docProps/app.xml><?xml version="1.0" encoding="utf-8"?>
<Properties xmlns="http://schemas.openxmlformats.org/officeDocument/2006/extended-properties" xmlns:vt="http://schemas.openxmlformats.org/officeDocument/2006/docPropsVTypes">
  <Template>Normal.dotm</Template>
  <TotalTime>3</TotalTime>
  <Pages>7</Pages>
  <Words>2749</Words>
  <Characters>15671</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18384</CharactersWithSpaces>
  <SharedDoc>false</SharedDoc>
  <HLinks>
    <vt:vector size="54" baseType="variant">
      <vt:variant>
        <vt:i4>3276821</vt:i4>
      </vt:variant>
      <vt:variant>
        <vt:i4>24</vt:i4>
      </vt:variant>
      <vt:variant>
        <vt:i4>0</vt:i4>
      </vt:variant>
      <vt:variant>
        <vt:i4>5</vt:i4>
      </vt:variant>
      <vt:variant>
        <vt:lpwstr>http://www.defensoria.gov.co/es/public/institucional/115/Organigrama.htm</vt:lpwstr>
      </vt:variant>
      <vt:variant>
        <vt:lpwstr>http://www.defensoria.gov.co/es/public/institucional/115/Organigrama.htm%20</vt:lpwstr>
      </vt:variant>
      <vt:variant>
        <vt:i4>3670097</vt:i4>
      </vt:variant>
      <vt:variant>
        <vt:i4>21</vt:i4>
      </vt:variant>
      <vt:variant>
        <vt:i4>0</vt:i4>
      </vt:variant>
      <vt:variant>
        <vt:i4>5</vt:i4>
      </vt:variant>
      <vt:variant>
        <vt:lpwstr>https://www.files.ethz.ch/isn/30173/2005_March.pdf</vt:lpwstr>
      </vt:variant>
      <vt:variant>
        <vt:lpwstr/>
      </vt:variant>
      <vt:variant>
        <vt:i4>5570580</vt:i4>
      </vt:variant>
      <vt:variant>
        <vt:i4>18</vt:i4>
      </vt:variant>
      <vt:variant>
        <vt:i4>0</vt:i4>
      </vt:variant>
      <vt:variant>
        <vt:i4>5</vt:i4>
      </vt:variant>
      <vt:variant>
        <vt:lpwstr>http://ella.practicalaction.org/wp-content/uploads/2012/09/120911_GOV_ProHumRig_BRIEF1_Esp.pdf</vt:lpwstr>
      </vt:variant>
      <vt:variant>
        <vt:lpwstr/>
      </vt:variant>
      <vt:variant>
        <vt:i4>6094882</vt:i4>
      </vt:variant>
      <vt:variant>
        <vt:i4>15</vt:i4>
      </vt:variant>
      <vt:variant>
        <vt:i4>0</vt:i4>
      </vt:variant>
      <vt:variant>
        <vt:i4>5</vt:i4>
      </vt:variant>
      <vt:variant>
        <vt:lpwstr>http://www.un.org/documents/ga/res/48/a48r134.htm</vt:lpwstr>
      </vt:variant>
      <vt:variant>
        <vt:lpwstr/>
      </vt:variant>
      <vt:variant>
        <vt:i4>8126513</vt:i4>
      </vt:variant>
      <vt:variant>
        <vt:i4>12</vt:i4>
      </vt:variant>
      <vt:variant>
        <vt:i4>0</vt:i4>
      </vt:variant>
      <vt:variant>
        <vt:i4>5</vt:i4>
      </vt:variant>
      <vt:variant>
        <vt:lpwstr>https://www.osce.org/es/mc/39521?download=true</vt:lpwstr>
      </vt:variant>
      <vt:variant>
        <vt:lpwstr/>
      </vt:variant>
      <vt:variant>
        <vt:i4>5767282</vt:i4>
      </vt:variant>
      <vt:variant>
        <vt:i4>9</vt:i4>
      </vt:variant>
      <vt:variant>
        <vt:i4>0</vt:i4>
      </vt:variant>
      <vt:variant>
        <vt:i4>5</vt:i4>
      </vt:variant>
      <vt:variant>
        <vt:lpwstr>https://julkaisut.valtioneuvosto.fi/bitstream/handle/10024/70506/URN%3ANBN%3Afi-fe201504226920.pdf?sequence=1&amp;isAllowed=y</vt:lpwstr>
      </vt:variant>
      <vt:variant>
        <vt:lpwstr/>
      </vt:variant>
      <vt:variant>
        <vt:i4>4128872</vt:i4>
      </vt:variant>
      <vt:variant>
        <vt:i4>6</vt:i4>
      </vt:variant>
      <vt:variant>
        <vt:i4>0</vt:i4>
      </vt:variant>
      <vt:variant>
        <vt:i4>5</vt:i4>
      </vt:variant>
      <vt:variant>
        <vt:lpwstr>https://www.google.com/url?url=http://scholar.google.com/scholar_url%3Furl%3Dhttps://repub.eur.nl/pub/13608/nejo_185.pdf%26hl%3Des%26sa%3DX%26scisig%3DAAGBfm3ItKc4ppSd7Jzh9lltotgm6ZUGeQ%26nossl%3D1%26oi%3Dscholarr&amp;rct=j&amp;q=&amp;esrc=s&amp;sa=X&amp;ved=0ahUKEwj3_dSn1u7ZAhXiguAKHZojCXcQgAMIJygAMAA&amp;usg=AOvVaw0HnDeD4CO5F0n1p-med2AV</vt:lpwstr>
      </vt:variant>
      <vt:variant>
        <vt:lpwstr/>
      </vt:variant>
      <vt:variant>
        <vt:i4>6094903</vt:i4>
      </vt:variant>
      <vt:variant>
        <vt:i4>3</vt:i4>
      </vt:variant>
      <vt:variant>
        <vt:i4>0</vt:i4>
      </vt:variant>
      <vt:variant>
        <vt:i4>5</vt:i4>
      </vt:variant>
      <vt:variant>
        <vt:lpwstr>http://www.ohchr.org/Documents/Publications/HR-PUB-14-2_SP.pdf</vt:lpwstr>
      </vt:variant>
      <vt:variant>
        <vt:lpwstr/>
      </vt:variant>
      <vt:variant>
        <vt:i4>1966130</vt:i4>
      </vt:variant>
      <vt:variant>
        <vt:i4>0</vt:i4>
      </vt:variant>
      <vt:variant>
        <vt:i4>0</vt:i4>
      </vt:variant>
      <vt:variant>
        <vt:i4>5</vt:i4>
      </vt:variant>
      <vt:variant>
        <vt:lpwstr>http://www.theioi.org/downloads/q3at/Wellington Conference_21. Working Session D_Roberta Clarke 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Tejerina Camacho, Veronica</dc:creator>
  <cp:keywords/>
  <cp:lastModifiedBy>Rojas Gonzalez, Sonia Amalia</cp:lastModifiedBy>
  <cp:revision>4</cp:revision>
  <dcterms:created xsi:type="dcterms:W3CDTF">2018-05-29T15:08:00Z</dcterms:created>
  <dcterms:modified xsi:type="dcterms:W3CDTF">2018-05-29T15:13:00Z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57;#MODERNIZATION ＆ ADMINIST OFJUSTICE|8f414175-31d2-470b-971f-627feb27bbc3</vt:lpwstr>
  </property>
  <property fmtid="{D5CDD505-2E9C-101B-9397-08002B2CF9AE}" pid="7" name="Fund IDB">
    <vt:lpwstr>125;#TBD|d62f6e05-3e80-4abd-9bb4-5f10b4906ff6</vt:lpwstr>
  </property>
  <property fmtid="{D5CDD505-2E9C-101B-9397-08002B2CF9AE}" pid="8" name="Country">
    <vt:lpwstr>27;#Colombia|c7d386d6-75f3-4fc0-bde8-e021ccd68f5c</vt:lpwstr>
  </property>
  <property fmtid="{D5CDD505-2E9C-101B-9397-08002B2CF9AE}" pid="9" name="Sector IDB">
    <vt:lpwstr>35;#REFORM / MODERNIZATION OF THE STATE|c8fda4a7-691a-4c65-b227-9825197b5cd2</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f94e7f8b-41b0-4d7a-867e-2e5f9d86274f</vt:lpwstr>
  </property>
  <property fmtid="{D5CDD505-2E9C-101B-9397-08002B2CF9AE}" pid="12" name="Disclosure Activity">
    <vt:lpwstr>Loan Proposal</vt:lpwstr>
  </property>
  <property fmtid="{D5CDD505-2E9C-101B-9397-08002B2CF9AE}" pid="13" name="ContentTypeId">
    <vt:lpwstr>0x0101001A458A224826124E8B45B1D613300CFC0041F700B1D239FD4C8CBDE2E2D26A7786</vt:lpwstr>
  </property>
</Properties>
</file>