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BDA4" w14:textId="77777777" w:rsidR="00273300" w:rsidRPr="00196EC6" w:rsidRDefault="00273300" w:rsidP="00273300">
      <w:pPr>
        <w:jc w:val="center"/>
        <w:rPr>
          <w:rFonts w:ascii="Arial" w:hAnsi="Arial" w:cs="Arial"/>
          <w:b/>
          <w:bCs/>
          <w:smallCaps/>
          <w:sz w:val="24"/>
          <w:szCs w:val="24"/>
          <w:lang w:val="es-ES"/>
        </w:rPr>
      </w:pPr>
      <w:bookmarkStart w:id="0" w:name="_GoBack"/>
      <w:bookmarkEnd w:id="0"/>
      <w:r>
        <w:rPr>
          <w:rFonts w:ascii="Arial" w:hAnsi="Arial" w:cs="Arial"/>
          <w:b/>
          <w:bCs/>
          <w:smallCaps/>
          <w:sz w:val="24"/>
          <w:szCs w:val="24"/>
          <w:lang w:val="es-ES"/>
        </w:rPr>
        <w:t>Matriz de Medios de Verificación</w:t>
      </w:r>
    </w:p>
    <w:p w14:paraId="0A217AC4" w14:textId="42E4BA89" w:rsidR="00233FCB" w:rsidRDefault="00233FCB" w:rsidP="00273300">
      <w:pPr>
        <w:jc w:val="both"/>
        <w:rPr>
          <w:rFonts w:ascii="Arial" w:hAnsi="Arial" w:cs="Arial"/>
          <w:bCs/>
          <w:sz w:val="22"/>
          <w:szCs w:val="24"/>
          <w:lang w:val="es-ES_tradnl"/>
        </w:rPr>
      </w:pPr>
    </w:p>
    <w:tbl>
      <w:tblPr>
        <w:tblStyle w:val="TableGrid"/>
        <w:tblW w:w="0" w:type="auto"/>
        <w:tblInd w:w="108" w:type="dxa"/>
        <w:tblLook w:val="04A0" w:firstRow="1" w:lastRow="0" w:firstColumn="1" w:lastColumn="0" w:noHBand="0" w:noVBand="1"/>
      </w:tblPr>
      <w:tblGrid>
        <w:gridCol w:w="12842"/>
      </w:tblGrid>
      <w:tr w:rsidR="00233FCB" w:rsidRPr="00751D67" w14:paraId="25F8957B" w14:textId="77777777" w:rsidTr="00F779B9">
        <w:tc>
          <w:tcPr>
            <w:tcW w:w="12960" w:type="dxa"/>
          </w:tcPr>
          <w:p w14:paraId="06E3B233" w14:textId="77777777" w:rsidR="00233FCB" w:rsidRPr="00662C93" w:rsidRDefault="00233FCB" w:rsidP="00233FCB">
            <w:pPr>
              <w:jc w:val="both"/>
              <w:rPr>
                <w:rFonts w:ascii="Arial" w:hAnsi="Arial" w:cs="Arial"/>
                <w:b/>
                <w:smallCaps/>
                <w:sz w:val="22"/>
                <w:szCs w:val="24"/>
                <w:lang w:val="es-ES"/>
              </w:rPr>
            </w:pPr>
            <w:r w:rsidRPr="00662C93">
              <w:rPr>
                <w:rFonts w:ascii="Arial" w:hAnsi="Arial" w:cs="Arial"/>
                <w:b/>
                <w:smallCaps/>
                <w:sz w:val="22"/>
                <w:szCs w:val="24"/>
                <w:lang w:val="es-ES"/>
              </w:rPr>
              <w:t>Objetivo:</w:t>
            </w:r>
          </w:p>
          <w:p w14:paraId="6B5E9149" w14:textId="683804A0" w:rsidR="00233FCB" w:rsidRDefault="00233FCB" w:rsidP="00233FCB">
            <w:pPr>
              <w:jc w:val="both"/>
              <w:rPr>
                <w:rFonts w:ascii="Arial" w:hAnsi="Arial" w:cs="Arial"/>
                <w:bCs/>
                <w:sz w:val="22"/>
                <w:szCs w:val="24"/>
                <w:lang w:val="es-ES_tradnl"/>
              </w:rPr>
            </w:pPr>
            <w:r w:rsidRPr="001E2B9A">
              <w:rPr>
                <w:rFonts w:ascii="Arial" w:hAnsi="Arial" w:cs="Arial"/>
                <w:bCs/>
                <w:sz w:val="22"/>
                <w:szCs w:val="24"/>
                <w:lang w:val="es-ES_tradnl"/>
              </w:rPr>
              <w:t>El objetivo general del programa es contribuir a la mejora de la capacidad institucional del sector transporte en Bolivia, a través del desarrollo e implementación del marco reglamentario, regulatorio y técnico de la Ley General de Transporte (Ley 165), cuya aplicación contribuirá a la mejora de la productividad nacional, la integración regional y la sostenibilidad ambiental. Los objetivos específicos son: (i) la mejora de la calidad de la infraestructura de transporte, a través de la implementación de mecanismos de planificación estratégica plurianual; y (ii) la mejora de los servicios asociados, a través de la adopción de marcos normativos y regulatorios adecuados a la demanda, y orientados a la eficiencia, calidad, seguridad y sostenibilidad</w:t>
            </w:r>
            <w:r>
              <w:rPr>
                <w:rFonts w:ascii="Arial" w:hAnsi="Arial" w:cs="Arial"/>
                <w:bCs/>
                <w:sz w:val="22"/>
                <w:szCs w:val="24"/>
                <w:lang w:val="es-ES_tradnl"/>
              </w:rPr>
              <w:t>.</w:t>
            </w:r>
          </w:p>
        </w:tc>
      </w:tr>
    </w:tbl>
    <w:p w14:paraId="230E2D4E" w14:textId="416F650E" w:rsidR="001E2B9A" w:rsidRDefault="001E2B9A" w:rsidP="00273300">
      <w:pPr>
        <w:jc w:val="both"/>
        <w:rPr>
          <w:rFonts w:ascii="Arial" w:hAnsi="Arial" w:cs="Arial"/>
          <w:bCs/>
          <w:sz w:val="22"/>
          <w:szCs w:val="24"/>
          <w:lang w:val="es-ES_tradnl"/>
        </w:rPr>
      </w:pPr>
      <w:r w:rsidRPr="001E2B9A">
        <w:rPr>
          <w:rFonts w:ascii="Arial" w:hAnsi="Arial" w:cs="Arial"/>
          <w:bCs/>
          <w:sz w:val="22"/>
          <w:szCs w:val="24"/>
          <w:lang w:val="es-ES_tradnl"/>
        </w:rPr>
        <w:t xml:space="preserve"> </w:t>
      </w:r>
    </w:p>
    <w:tbl>
      <w:tblPr>
        <w:tblStyle w:val="TableGrid"/>
        <w:tblW w:w="12960" w:type="dxa"/>
        <w:tblInd w:w="108" w:type="dxa"/>
        <w:tblLayout w:type="fixed"/>
        <w:tblLook w:val="04A0" w:firstRow="1" w:lastRow="0" w:firstColumn="1" w:lastColumn="0" w:noHBand="0" w:noVBand="1"/>
      </w:tblPr>
      <w:tblGrid>
        <w:gridCol w:w="2970"/>
        <w:gridCol w:w="1800"/>
        <w:gridCol w:w="2970"/>
        <w:gridCol w:w="3150"/>
        <w:gridCol w:w="2070"/>
      </w:tblGrid>
      <w:tr w:rsidR="00596782" w:rsidRPr="00233FCB" w14:paraId="732C9531" w14:textId="77777777" w:rsidTr="00C00B0C">
        <w:trPr>
          <w:tblHeader/>
        </w:trPr>
        <w:tc>
          <w:tcPr>
            <w:tcW w:w="2970" w:type="dxa"/>
            <w:shd w:val="clear" w:color="auto" w:fill="BFBFBF" w:themeFill="background1" w:themeFillShade="BF"/>
            <w:vAlign w:val="center"/>
          </w:tcPr>
          <w:p w14:paraId="46E8745B" w14:textId="77777777" w:rsidR="00596782" w:rsidRPr="00233FCB" w:rsidRDefault="00596782" w:rsidP="00AB0EB2">
            <w:pPr>
              <w:spacing w:line="0" w:lineRule="atLeast"/>
              <w:jc w:val="center"/>
              <w:rPr>
                <w:rFonts w:ascii="Arial" w:hAnsi="Arial" w:cs="Arial"/>
                <w:b/>
                <w:bCs/>
                <w:smallCaps/>
                <w:lang w:val="es-ES"/>
              </w:rPr>
            </w:pPr>
            <w:r w:rsidRPr="00233FCB">
              <w:rPr>
                <w:rFonts w:ascii="Arial" w:hAnsi="Arial" w:cs="Arial"/>
                <w:b/>
                <w:bCs/>
                <w:smallCaps/>
                <w:lang w:val="es-ES"/>
              </w:rPr>
              <w:t>Objetivos y Alcances</w:t>
            </w:r>
          </w:p>
        </w:tc>
        <w:tc>
          <w:tcPr>
            <w:tcW w:w="1800" w:type="dxa"/>
            <w:shd w:val="clear" w:color="auto" w:fill="BFBFBF" w:themeFill="background1" w:themeFillShade="BF"/>
            <w:vAlign w:val="center"/>
          </w:tcPr>
          <w:p w14:paraId="5EC4919C" w14:textId="77777777" w:rsidR="00596782" w:rsidRPr="00233FCB" w:rsidRDefault="00596782" w:rsidP="00AB0EB2">
            <w:pPr>
              <w:spacing w:line="0" w:lineRule="atLeast"/>
              <w:jc w:val="center"/>
              <w:rPr>
                <w:rFonts w:ascii="Arial" w:hAnsi="Arial" w:cs="Arial"/>
                <w:b/>
                <w:bCs/>
                <w:smallCaps/>
                <w:lang w:val="es-ES"/>
              </w:rPr>
            </w:pPr>
            <w:r w:rsidRPr="00233FCB">
              <w:rPr>
                <w:rFonts w:ascii="Arial" w:hAnsi="Arial" w:cs="Arial"/>
                <w:b/>
                <w:bCs/>
                <w:smallCaps/>
                <w:lang w:val="es-ES"/>
              </w:rPr>
              <w:t>Agencia Responsable</w:t>
            </w:r>
          </w:p>
        </w:tc>
        <w:tc>
          <w:tcPr>
            <w:tcW w:w="2970" w:type="dxa"/>
            <w:shd w:val="clear" w:color="auto" w:fill="BFBFBF" w:themeFill="background1" w:themeFillShade="BF"/>
            <w:vAlign w:val="center"/>
          </w:tcPr>
          <w:p w14:paraId="3613039C" w14:textId="73A0C167" w:rsidR="00596782" w:rsidRPr="00233FCB" w:rsidRDefault="00C2796A" w:rsidP="00AB0EB2">
            <w:pPr>
              <w:spacing w:line="0" w:lineRule="atLeast"/>
              <w:jc w:val="center"/>
              <w:rPr>
                <w:rFonts w:ascii="Arial" w:hAnsi="Arial" w:cs="Arial"/>
                <w:b/>
                <w:bCs/>
                <w:smallCaps/>
                <w:lang w:val="es-ES"/>
              </w:rPr>
            </w:pPr>
            <w:r w:rsidRPr="00233FCB">
              <w:rPr>
                <w:rFonts w:ascii="Arial" w:hAnsi="Arial" w:cs="Arial"/>
                <w:b/>
                <w:bCs/>
                <w:smallCaps/>
                <w:lang w:val="es-ES"/>
              </w:rPr>
              <w:t>Acciones de Polít</w:t>
            </w:r>
            <w:r w:rsidR="00F779B9">
              <w:rPr>
                <w:rFonts w:ascii="Arial" w:hAnsi="Arial" w:cs="Arial"/>
                <w:b/>
                <w:bCs/>
                <w:smallCaps/>
                <w:lang w:val="es-ES"/>
              </w:rPr>
              <w:t>i</w:t>
            </w:r>
            <w:r w:rsidRPr="00233FCB">
              <w:rPr>
                <w:rFonts w:ascii="Arial" w:hAnsi="Arial" w:cs="Arial"/>
                <w:b/>
                <w:bCs/>
                <w:smallCaps/>
                <w:lang w:val="es-ES"/>
              </w:rPr>
              <w:t>ca</w:t>
            </w:r>
            <w:r w:rsidR="00596782" w:rsidRPr="00233FCB">
              <w:rPr>
                <w:rFonts w:ascii="Arial" w:hAnsi="Arial" w:cs="Arial"/>
                <w:b/>
                <w:bCs/>
                <w:smallCaps/>
                <w:lang w:val="es-ES"/>
              </w:rPr>
              <w:t xml:space="preserve"> II</w:t>
            </w:r>
          </w:p>
        </w:tc>
        <w:tc>
          <w:tcPr>
            <w:tcW w:w="3150" w:type="dxa"/>
            <w:shd w:val="clear" w:color="auto" w:fill="BFBFBF" w:themeFill="background1" w:themeFillShade="BF"/>
            <w:vAlign w:val="center"/>
          </w:tcPr>
          <w:p w14:paraId="127E4DC5" w14:textId="77777777" w:rsidR="00596782" w:rsidRPr="00233FCB" w:rsidRDefault="00596782" w:rsidP="00AB0EB2">
            <w:pPr>
              <w:spacing w:line="0" w:lineRule="atLeast"/>
              <w:jc w:val="center"/>
              <w:rPr>
                <w:rFonts w:ascii="Arial" w:hAnsi="Arial" w:cs="Arial"/>
                <w:b/>
                <w:bCs/>
                <w:smallCaps/>
                <w:lang w:val="es-ES"/>
              </w:rPr>
            </w:pPr>
            <w:r w:rsidRPr="00233FCB">
              <w:rPr>
                <w:rFonts w:ascii="Arial" w:hAnsi="Arial" w:cs="Arial"/>
                <w:b/>
                <w:bCs/>
                <w:smallCaps/>
                <w:lang w:val="es-ES"/>
              </w:rPr>
              <w:t>Medio de Verificación</w:t>
            </w:r>
          </w:p>
        </w:tc>
        <w:tc>
          <w:tcPr>
            <w:tcW w:w="2070" w:type="dxa"/>
            <w:shd w:val="clear" w:color="auto" w:fill="BFBFBF" w:themeFill="background1" w:themeFillShade="BF"/>
            <w:vAlign w:val="center"/>
          </w:tcPr>
          <w:p w14:paraId="127A26BB" w14:textId="77777777" w:rsidR="00596782" w:rsidRPr="00233FCB" w:rsidRDefault="00596782" w:rsidP="00AB0EB2">
            <w:pPr>
              <w:spacing w:line="0" w:lineRule="atLeast"/>
              <w:jc w:val="center"/>
              <w:rPr>
                <w:rFonts w:ascii="Arial" w:hAnsi="Arial" w:cs="Arial"/>
                <w:b/>
                <w:bCs/>
                <w:smallCaps/>
                <w:lang w:val="es-ES"/>
              </w:rPr>
            </w:pPr>
            <w:r w:rsidRPr="00233FCB">
              <w:rPr>
                <w:rFonts w:ascii="Arial" w:hAnsi="Arial" w:cs="Arial"/>
                <w:b/>
                <w:bCs/>
                <w:smallCaps/>
                <w:lang w:val="es-ES"/>
              </w:rPr>
              <w:t>Situación</w:t>
            </w:r>
          </w:p>
        </w:tc>
      </w:tr>
      <w:tr w:rsidR="00596782" w:rsidRPr="00233FCB" w14:paraId="7AB67F58" w14:textId="77777777" w:rsidTr="00C00B0C">
        <w:tc>
          <w:tcPr>
            <w:tcW w:w="12960" w:type="dxa"/>
            <w:gridSpan w:val="5"/>
            <w:shd w:val="clear" w:color="auto" w:fill="D9D9D9" w:themeFill="background1" w:themeFillShade="D9"/>
          </w:tcPr>
          <w:p w14:paraId="10648106" w14:textId="452F2798" w:rsidR="00596782" w:rsidRPr="00233FCB" w:rsidRDefault="00233FCB">
            <w:pPr>
              <w:spacing w:line="0" w:lineRule="atLeast"/>
              <w:rPr>
                <w:rFonts w:ascii="Arial" w:hAnsi="Arial" w:cs="Arial"/>
                <w:lang w:val="es-ES"/>
              </w:rPr>
            </w:pPr>
            <w:r w:rsidRPr="00233FCB">
              <w:rPr>
                <w:rFonts w:ascii="Arial" w:hAnsi="Arial" w:cs="Arial"/>
                <w:b/>
                <w:bCs/>
                <w:lang w:val="es-ES"/>
              </w:rPr>
              <w:t>Componente 1. Estabilidad macroeconómica.</w:t>
            </w:r>
          </w:p>
        </w:tc>
      </w:tr>
      <w:tr w:rsidR="00596782" w:rsidRPr="00751D67" w14:paraId="19257F09" w14:textId="77777777" w:rsidTr="00C00B0C">
        <w:trPr>
          <w:trHeight w:val="1007"/>
        </w:trPr>
        <w:tc>
          <w:tcPr>
            <w:tcW w:w="2970" w:type="dxa"/>
          </w:tcPr>
          <w:p w14:paraId="46404DB4" w14:textId="77777777" w:rsidR="00596782" w:rsidRPr="00233FCB" w:rsidRDefault="00596782" w:rsidP="00AB0EB2">
            <w:pPr>
              <w:pStyle w:val="ListParagraph"/>
              <w:numPr>
                <w:ilvl w:val="0"/>
                <w:numId w:val="3"/>
              </w:numPr>
              <w:suppressAutoHyphens/>
              <w:spacing w:after="0" w:line="0" w:lineRule="atLeast"/>
              <w:ind w:left="151" w:hanging="180"/>
              <w:jc w:val="both"/>
              <w:rPr>
                <w:rFonts w:ascii="Arial" w:hAnsi="Arial" w:cs="Arial"/>
                <w:sz w:val="20"/>
                <w:szCs w:val="20"/>
                <w:lang w:val="es-ES_tradnl"/>
              </w:rPr>
            </w:pPr>
            <w:r w:rsidRPr="00233FCB">
              <w:rPr>
                <w:rFonts w:ascii="Arial" w:hAnsi="Arial" w:cs="Arial"/>
                <w:sz w:val="20"/>
                <w:szCs w:val="20"/>
                <w:lang w:val="es-ES"/>
              </w:rPr>
              <w:t>Contribuir a la mejora de la estabilidad macroeconómica.</w:t>
            </w:r>
          </w:p>
        </w:tc>
        <w:tc>
          <w:tcPr>
            <w:tcW w:w="1800" w:type="dxa"/>
          </w:tcPr>
          <w:p w14:paraId="2BF1BA40" w14:textId="77777777" w:rsidR="00596782" w:rsidRPr="00233FCB" w:rsidRDefault="00596782" w:rsidP="00AB0EB2">
            <w:pPr>
              <w:spacing w:line="0" w:lineRule="atLeast"/>
              <w:jc w:val="center"/>
              <w:rPr>
                <w:rFonts w:ascii="Arial" w:hAnsi="Arial" w:cs="Arial"/>
                <w:lang w:val="es-ES_tradnl"/>
              </w:rPr>
            </w:pPr>
            <w:r w:rsidRPr="00233FCB">
              <w:rPr>
                <w:rFonts w:ascii="Arial" w:hAnsi="Arial" w:cs="Arial"/>
                <w:lang w:val="es-ES_tradnl"/>
              </w:rPr>
              <w:t>BID/RES</w:t>
            </w:r>
          </w:p>
        </w:tc>
        <w:tc>
          <w:tcPr>
            <w:tcW w:w="2970" w:type="dxa"/>
          </w:tcPr>
          <w:p w14:paraId="1A8A202B" w14:textId="354A0C4C" w:rsidR="00AB0EB2" w:rsidRPr="00C00B0C" w:rsidRDefault="00596782" w:rsidP="00C00B0C">
            <w:pPr>
              <w:pStyle w:val="ListParagraph"/>
              <w:numPr>
                <w:ilvl w:val="0"/>
                <w:numId w:val="7"/>
              </w:numPr>
              <w:spacing w:after="0" w:line="0" w:lineRule="atLeast"/>
              <w:ind w:left="252"/>
              <w:jc w:val="both"/>
              <w:rPr>
                <w:rFonts w:ascii="Arial" w:hAnsi="Arial" w:cs="Arial"/>
                <w:lang w:val="es-ES"/>
              </w:rPr>
            </w:pPr>
            <w:r w:rsidRPr="00120A39">
              <w:rPr>
                <w:rFonts w:ascii="Arial" w:hAnsi="Arial" w:cs="Arial"/>
                <w:sz w:val="20"/>
                <w:szCs w:val="20"/>
                <w:lang w:val="es-ES"/>
              </w:rPr>
              <w:t>El marco macroeconómico es consistente con los objetivos del Programa y la carta de políticas.</w:t>
            </w:r>
          </w:p>
        </w:tc>
        <w:tc>
          <w:tcPr>
            <w:tcW w:w="3150" w:type="dxa"/>
          </w:tcPr>
          <w:p w14:paraId="4000BF41" w14:textId="77777777" w:rsidR="00596782" w:rsidRPr="00233FCB" w:rsidRDefault="00596782" w:rsidP="00AB0EB2">
            <w:pPr>
              <w:spacing w:line="0" w:lineRule="atLeast"/>
              <w:jc w:val="both"/>
              <w:rPr>
                <w:rFonts w:ascii="Arial" w:hAnsi="Arial" w:cs="Arial"/>
                <w:lang w:val="es-ES_tradnl"/>
              </w:rPr>
            </w:pPr>
            <w:r w:rsidRPr="00233FCB">
              <w:rPr>
                <w:rFonts w:ascii="Arial" w:hAnsi="Arial" w:cs="Arial"/>
                <w:lang w:val="es-ES_tradnl"/>
              </w:rPr>
              <w:t xml:space="preserve">Evaluación Independiente </w:t>
            </w:r>
            <w:r w:rsidR="00AB0EB2" w:rsidRPr="00233FCB">
              <w:rPr>
                <w:rFonts w:ascii="Arial" w:hAnsi="Arial" w:cs="Arial"/>
                <w:lang w:val="es-ES_tradnl"/>
              </w:rPr>
              <w:t xml:space="preserve">de Condiciones </w:t>
            </w:r>
            <w:r w:rsidR="001D56AF" w:rsidRPr="00233FCB">
              <w:rPr>
                <w:rFonts w:ascii="Arial" w:hAnsi="Arial" w:cs="Arial"/>
                <w:lang w:val="es-ES_tradnl"/>
              </w:rPr>
              <w:t xml:space="preserve">Macroeconómicas (IAMC) vigente al momento de solicitar el desembolso. </w:t>
            </w:r>
          </w:p>
        </w:tc>
        <w:tc>
          <w:tcPr>
            <w:tcW w:w="2070" w:type="dxa"/>
          </w:tcPr>
          <w:p w14:paraId="77B5EBD7" w14:textId="7EC0A790" w:rsidR="00596782" w:rsidRPr="00233FCB" w:rsidRDefault="00DD413C" w:rsidP="00AB0EB2">
            <w:pPr>
              <w:spacing w:line="0" w:lineRule="atLeast"/>
              <w:jc w:val="both"/>
              <w:rPr>
                <w:rFonts w:ascii="Arial" w:hAnsi="Arial" w:cs="Arial"/>
                <w:lang w:val="es-ES_tradnl"/>
              </w:rPr>
            </w:pPr>
            <w:r>
              <w:rPr>
                <w:rFonts w:ascii="Arial" w:hAnsi="Arial" w:cs="Arial"/>
                <w:lang w:val="es-ES"/>
              </w:rPr>
              <w:t>IAMC vigente hasta el 8 diciembre 2017</w:t>
            </w:r>
          </w:p>
        </w:tc>
      </w:tr>
      <w:tr w:rsidR="00596782" w:rsidRPr="00751D67" w14:paraId="32E38833" w14:textId="77777777" w:rsidTr="00C00B0C">
        <w:tc>
          <w:tcPr>
            <w:tcW w:w="12960" w:type="dxa"/>
            <w:gridSpan w:val="5"/>
            <w:shd w:val="clear" w:color="auto" w:fill="D9D9D9" w:themeFill="background1" w:themeFillShade="D9"/>
          </w:tcPr>
          <w:p w14:paraId="4E872D59" w14:textId="7E88ACA8" w:rsidR="00596782" w:rsidRPr="00233FCB" w:rsidRDefault="00233FCB">
            <w:pPr>
              <w:spacing w:line="0" w:lineRule="atLeast"/>
              <w:jc w:val="both"/>
              <w:rPr>
                <w:rFonts w:ascii="Arial" w:hAnsi="Arial" w:cs="Arial"/>
                <w:lang w:val="es-ES"/>
              </w:rPr>
            </w:pPr>
            <w:r w:rsidRPr="00233FCB">
              <w:rPr>
                <w:rFonts w:ascii="Arial" w:hAnsi="Arial" w:cs="Arial"/>
                <w:b/>
                <w:lang w:val="es-ES"/>
              </w:rPr>
              <w:t>Componente 2.  Marco normativo y regulatorio.</w:t>
            </w:r>
          </w:p>
        </w:tc>
      </w:tr>
      <w:tr w:rsidR="00596782" w:rsidRPr="00233FCB" w14:paraId="61015BD7" w14:textId="77777777" w:rsidTr="00C00B0C">
        <w:tc>
          <w:tcPr>
            <w:tcW w:w="12960" w:type="dxa"/>
            <w:gridSpan w:val="5"/>
            <w:shd w:val="clear" w:color="auto" w:fill="D9D9D9" w:themeFill="background1" w:themeFillShade="D9"/>
          </w:tcPr>
          <w:p w14:paraId="5DECD056" w14:textId="5C54AA35" w:rsidR="00596782" w:rsidRPr="00233FCB" w:rsidRDefault="0086092C">
            <w:pPr>
              <w:spacing w:line="0" w:lineRule="atLeast"/>
              <w:jc w:val="both"/>
              <w:rPr>
                <w:rFonts w:ascii="Arial" w:hAnsi="Arial" w:cs="Arial"/>
                <w:lang w:val="es-ES"/>
              </w:rPr>
            </w:pPr>
            <w:r w:rsidRPr="00233FCB">
              <w:rPr>
                <w:rFonts w:ascii="Arial" w:hAnsi="Arial" w:cs="Arial"/>
                <w:b/>
                <w:lang w:val="es-ES"/>
              </w:rPr>
              <w:t>Subcomponente 2.1</w:t>
            </w:r>
            <w:r w:rsidR="00233FCB" w:rsidRPr="00233FCB">
              <w:rPr>
                <w:rFonts w:ascii="Arial" w:hAnsi="Arial" w:cs="Arial"/>
                <w:b/>
                <w:lang w:val="es-ES"/>
              </w:rPr>
              <w:t>.</w:t>
            </w:r>
            <w:r w:rsidRPr="00233FCB">
              <w:rPr>
                <w:rFonts w:ascii="Arial" w:hAnsi="Arial" w:cs="Arial"/>
                <w:b/>
                <w:lang w:val="es-ES"/>
              </w:rPr>
              <w:t xml:space="preserve"> Marco Normativo </w:t>
            </w:r>
            <w:r w:rsidR="0000260F" w:rsidRPr="00233FCB">
              <w:rPr>
                <w:rFonts w:ascii="Arial" w:hAnsi="Arial" w:cs="Arial"/>
                <w:b/>
                <w:lang w:val="es-ES"/>
              </w:rPr>
              <w:t>General.</w:t>
            </w:r>
          </w:p>
        </w:tc>
      </w:tr>
      <w:tr w:rsidR="001D56AF" w:rsidRPr="00233FCB" w14:paraId="1FAFCCCE" w14:textId="77777777" w:rsidTr="00C00B0C">
        <w:tc>
          <w:tcPr>
            <w:tcW w:w="2970" w:type="dxa"/>
            <w:vMerge w:val="restart"/>
          </w:tcPr>
          <w:p w14:paraId="0C2D36D4" w14:textId="77777777" w:rsidR="001D56AF" w:rsidRPr="00233FCB" w:rsidRDefault="001D56AF" w:rsidP="00AB0EB2">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Desarrollar la Reglamentación General de la Ley 165, que permita el desarrollo de políticas y la planificación del sector, a fin de mejorar la integración (regional e internacional) del país de manera eficiente y eficaz.</w:t>
            </w:r>
          </w:p>
          <w:p w14:paraId="3D9D0FD3" w14:textId="77777777" w:rsidR="001D56AF" w:rsidRPr="00233FCB" w:rsidRDefault="001D56AF" w:rsidP="00AB0EB2">
            <w:pPr>
              <w:pStyle w:val="ListParagraph"/>
              <w:suppressAutoHyphens/>
              <w:spacing w:after="0" w:line="0" w:lineRule="atLeast"/>
              <w:ind w:left="151"/>
              <w:jc w:val="both"/>
              <w:rPr>
                <w:rFonts w:ascii="Arial" w:hAnsi="Arial" w:cs="Arial"/>
                <w:sz w:val="20"/>
                <w:szCs w:val="20"/>
                <w:lang w:val="es-ES"/>
              </w:rPr>
            </w:pPr>
          </w:p>
          <w:p w14:paraId="4D74DCF4" w14:textId="77777777" w:rsidR="001D56AF" w:rsidRPr="00233FCB" w:rsidRDefault="001D56AF" w:rsidP="00AB0EB2">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Implementar la planificación plurianual del sector en forma integral.</w:t>
            </w:r>
          </w:p>
        </w:tc>
        <w:tc>
          <w:tcPr>
            <w:tcW w:w="1800" w:type="dxa"/>
          </w:tcPr>
          <w:p w14:paraId="174D6B8A" w14:textId="77777777" w:rsidR="001D56AF" w:rsidRPr="00233FCB" w:rsidRDefault="00655F38" w:rsidP="00AB0EB2">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10233A05" w14:textId="77777777" w:rsidR="001D56AF" w:rsidRPr="00233FCB" w:rsidRDefault="001D56AF" w:rsidP="00AB0EB2">
            <w:pPr>
              <w:pStyle w:val="ListParagraph"/>
              <w:numPr>
                <w:ilvl w:val="0"/>
                <w:numId w:val="7"/>
              </w:numPr>
              <w:spacing w:after="0" w:line="0" w:lineRule="atLeast"/>
              <w:ind w:left="252"/>
              <w:jc w:val="both"/>
              <w:rPr>
                <w:rFonts w:ascii="Arial" w:hAnsi="Arial" w:cs="Arial"/>
                <w:sz w:val="20"/>
                <w:szCs w:val="20"/>
                <w:lang w:val="es-ES"/>
              </w:rPr>
            </w:pPr>
            <w:r w:rsidRPr="00233FCB">
              <w:rPr>
                <w:rFonts w:ascii="Arial" w:hAnsi="Arial" w:cs="Arial"/>
                <w:sz w:val="20"/>
                <w:szCs w:val="20"/>
                <w:lang w:val="es-ES"/>
              </w:rPr>
              <w:t>Consejo de Coordinación Sectorial de Transporte (CCS-TRANS) operativo.</w:t>
            </w:r>
          </w:p>
        </w:tc>
        <w:tc>
          <w:tcPr>
            <w:tcW w:w="3150" w:type="dxa"/>
          </w:tcPr>
          <w:p w14:paraId="32757DBA" w14:textId="77777777" w:rsidR="001D56AF" w:rsidRPr="00233FCB" w:rsidRDefault="009463E8" w:rsidP="00AB0EB2">
            <w:pPr>
              <w:spacing w:line="0" w:lineRule="atLeast"/>
              <w:jc w:val="both"/>
              <w:rPr>
                <w:rFonts w:ascii="Arial" w:hAnsi="Arial" w:cs="Arial"/>
                <w:lang w:val="es-ES"/>
              </w:rPr>
            </w:pPr>
            <w:r w:rsidRPr="00233FCB">
              <w:rPr>
                <w:rFonts w:ascii="Arial" w:hAnsi="Arial" w:cs="Arial"/>
                <w:lang w:val="es-ES"/>
              </w:rPr>
              <w:t>Certificación emitida por el VMT dirigida al Banco acompañando el Acta de la primera Reunión del CCS-TRANS.</w:t>
            </w:r>
          </w:p>
        </w:tc>
        <w:tc>
          <w:tcPr>
            <w:tcW w:w="2070" w:type="dxa"/>
          </w:tcPr>
          <w:p w14:paraId="60650CFA" w14:textId="712E0898" w:rsidR="001D56AF" w:rsidRPr="00233FCB" w:rsidRDefault="00DD413C" w:rsidP="00F20A68">
            <w:pPr>
              <w:spacing w:line="0" w:lineRule="atLeast"/>
              <w:jc w:val="both"/>
              <w:rPr>
                <w:rFonts w:ascii="Arial" w:hAnsi="Arial" w:cs="Arial"/>
                <w:lang w:val="es-ES"/>
              </w:rPr>
            </w:pPr>
            <w:r>
              <w:rPr>
                <w:rFonts w:ascii="Arial" w:hAnsi="Arial" w:cs="Arial"/>
                <w:lang w:val="es-ES"/>
              </w:rPr>
              <w:t>Medio de verificación entregado</w:t>
            </w:r>
            <w:r w:rsidR="002C7A44">
              <w:rPr>
                <w:rFonts w:ascii="Arial" w:hAnsi="Arial" w:cs="Arial"/>
                <w:lang w:val="es-ES"/>
              </w:rPr>
              <w:t>.</w:t>
            </w:r>
          </w:p>
        </w:tc>
      </w:tr>
      <w:tr w:rsidR="001D56AF" w:rsidRPr="00233FCB" w14:paraId="58664647" w14:textId="77777777" w:rsidTr="3D8CB173">
        <w:tc>
          <w:tcPr>
            <w:tcW w:w="2970" w:type="dxa"/>
            <w:vMerge/>
          </w:tcPr>
          <w:p w14:paraId="3650C996" w14:textId="77777777" w:rsidR="001D56AF" w:rsidRPr="00233FCB" w:rsidRDefault="001D56AF" w:rsidP="00AB0EB2">
            <w:pPr>
              <w:spacing w:line="0" w:lineRule="atLeast"/>
              <w:jc w:val="both"/>
              <w:rPr>
                <w:rFonts w:ascii="Arial" w:hAnsi="Arial" w:cs="Arial"/>
                <w:lang w:val="es-ES"/>
              </w:rPr>
            </w:pPr>
          </w:p>
        </w:tc>
        <w:tc>
          <w:tcPr>
            <w:tcW w:w="1800" w:type="dxa"/>
          </w:tcPr>
          <w:p w14:paraId="545255A9" w14:textId="77777777" w:rsidR="001D56AF" w:rsidRPr="00233FCB" w:rsidRDefault="009463E8" w:rsidP="00AB0EB2">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75AD09E2" w14:textId="0E0CB173" w:rsidR="001D56AF" w:rsidRPr="00233FCB" w:rsidRDefault="00B437E8" w:rsidP="00AB0EB2">
            <w:pPr>
              <w:pStyle w:val="ListParagraph"/>
              <w:numPr>
                <w:ilvl w:val="0"/>
                <w:numId w:val="7"/>
              </w:numPr>
              <w:spacing w:after="0" w:line="0" w:lineRule="atLeast"/>
              <w:ind w:left="252"/>
              <w:jc w:val="both"/>
              <w:rPr>
                <w:rFonts w:ascii="Arial" w:hAnsi="Arial" w:cs="Arial"/>
                <w:sz w:val="20"/>
                <w:szCs w:val="20"/>
                <w:lang w:val="es-ES"/>
              </w:rPr>
            </w:pPr>
            <w:r w:rsidRPr="00233FCB">
              <w:rPr>
                <w:rFonts w:ascii="Arial" w:hAnsi="Arial" w:cs="Arial"/>
                <w:sz w:val="20"/>
                <w:szCs w:val="20"/>
                <w:lang w:val="es-ES"/>
              </w:rPr>
              <w:t>Plan Nacional Sectorial de Transportes (PLANAST)</w:t>
            </w:r>
            <w:r w:rsidR="00182EB2" w:rsidRPr="00233FCB">
              <w:rPr>
                <w:rFonts w:ascii="Arial" w:hAnsi="Arial" w:cs="Arial"/>
                <w:sz w:val="20"/>
                <w:szCs w:val="20"/>
                <w:lang w:val="es-ES"/>
              </w:rPr>
              <w:t xml:space="preserve"> en elaboración</w:t>
            </w:r>
            <w:r w:rsidRPr="00233FCB">
              <w:rPr>
                <w:rFonts w:ascii="Arial" w:hAnsi="Arial" w:cs="Arial"/>
                <w:sz w:val="20"/>
                <w:szCs w:val="20"/>
                <w:lang w:val="es-ES"/>
              </w:rPr>
              <w:t xml:space="preserve"> conforme a los lineamientos </w:t>
            </w:r>
            <w:r w:rsidR="001D39ED">
              <w:rPr>
                <w:rFonts w:ascii="Arial" w:hAnsi="Arial" w:cs="Arial"/>
                <w:sz w:val="20"/>
                <w:szCs w:val="20"/>
                <w:lang w:val="es-ES"/>
              </w:rPr>
              <w:t xml:space="preserve">estipulados en la Ley </w:t>
            </w:r>
            <w:r w:rsidRPr="00233FCB">
              <w:rPr>
                <w:rFonts w:ascii="Arial" w:hAnsi="Arial" w:cs="Arial"/>
                <w:sz w:val="20"/>
                <w:szCs w:val="20"/>
                <w:lang w:val="es-ES"/>
              </w:rPr>
              <w:t>165.</w:t>
            </w:r>
          </w:p>
        </w:tc>
        <w:tc>
          <w:tcPr>
            <w:tcW w:w="3150" w:type="dxa"/>
          </w:tcPr>
          <w:p w14:paraId="0A612CF9" w14:textId="2BD4F196" w:rsidR="009463E8" w:rsidRPr="00233FCB" w:rsidRDefault="00121F3E" w:rsidP="00AB0EB2">
            <w:pPr>
              <w:pStyle w:val="ListParagraph"/>
              <w:suppressAutoHyphens/>
              <w:spacing w:after="0" w:line="0" w:lineRule="atLeast"/>
              <w:ind w:left="0"/>
              <w:jc w:val="both"/>
              <w:rPr>
                <w:rFonts w:ascii="Arial" w:hAnsi="Arial" w:cs="Arial"/>
                <w:sz w:val="20"/>
                <w:szCs w:val="20"/>
                <w:lang w:val="es-ES"/>
              </w:rPr>
            </w:pPr>
            <w:r w:rsidRPr="00233FCB">
              <w:rPr>
                <w:rFonts w:ascii="Arial" w:hAnsi="Arial" w:cs="Arial"/>
                <w:sz w:val="20"/>
                <w:szCs w:val="20"/>
                <w:lang w:val="es-ES"/>
              </w:rPr>
              <w:t>Certificación</w:t>
            </w:r>
            <w:r w:rsidR="009463E8" w:rsidRPr="00233FCB">
              <w:rPr>
                <w:rFonts w:ascii="Arial" w:hAnsi="Arial" w:cs="Arial"/>
                <w:sz w:val="20"/>
                <w:szCs w:val="20"/>
                <w:lang w:val="es-ES"/>
              </w:rPr>
              <w:t xml:space="preserve"> emitida por el VMT </w:t>
            </w:r>
            <w:r w:rsidR="004F4523" w:rsidRPr="00233FCB">
              <w:rPr>
                <w:rFonts w:ascii="Arial" w:hAnsi="Arial" w:cs="Arial"/>
                <w:sz w:val="20"/>
                <w:szCs w:val="20"/>
                <w:lang w:val="es-ES"/>
              </w:rPr>
              <w:t xml:space="preserve">dirigida al Banco </w:t>
            </w:r>
            <w:r w:rsidR="009463E8" w:rsidRPr="00233FCB">
              <w:rPr>
                <w:rFonts w:ascii="Arial" w:hAnsi="Arial" w:cs="Arial"/>
                <w:sz w:val="20"/>
                <w:szCs w:val="20"/>
                <w:lang w:val="es-ES"/>
              </w:rPr>
              <w:t>acompaña</w:t>
            </w:r>
            <w:r w:rsidR="004F4523" w:rsidRPr="00233FCB">
              <w:rPr>
                <w:rFonts w:ascii="Arial" w:hAnsi="Arial" w:cs="Arial"/>
                <w:sz w:val="20"/>
                <w:szCs w:val="20"/>
                <w:lang w:val="es-ES"/>
              </w:rPr>
              <w:t xml:space="preserve">ndo un </w:t>
            </w:r>
            <w:r w:rsidR="008E734B" w:rsidRPr="00233FCB">
              <w:rPr>
                <w:rFonts w:ascii="Arial" w:hAnsi="Arial" w:cs="Arial"/>
                <w:sz w:val="20"/>
                <w:szCs w:val="20"/>
                <w:lang w:val="es-ES"/>
              </w:rPr>
              <w:t>in</w:t>
            </w:r>
            <w:r w:rsidRPr="00233FCB">
              <w:rPr>
                <w:rFonts w:ascii="Arial" w:hAnsi="Arial" w:cs="Arial"/>
                <w:sz w:val="20"/>
                <w:szCs w:val="20"/>
                <w:lang w:val="es-ES"/>
              </w:rPr>
              <w:t xml:space="preserve">forme de avance de elaboración del </w:t>
            </w:r>
            <w:r w:rsidR="009463E8" w:rsidRPr="00233FCB">
              <w:rPr>
                <w:rFonts w:ascii="Arial" w:hAnsi="Arial" w:cs="Arial"/>
                <w:sz w:val="20"/>
                <w:szCs w:val="20"/>
                <w:lang w:val="es-ES"/>
              </w:rPr>
              <w:t>PLANAST</w:t>
            </w:r>
            <w:r w:rsidR="004F4523" w:rsidRPr="00233FCB">
              <w:rPr>
                <w:rFonts w:ascii="Arial" w:hAnsi="Arial" w:cs="Arial"/>
                <w:sz w:val="20"/>
                <w:szCs w:val="20"/>
                <w:lang w:val="es-ES"/>
              </w:rPr>
              <w:t xml:space="preserve"> conforme a los lineamientos estipulados en la Ley</w:t>
            </w:r>
            <w:r w:rsidR="001D39ED">
              <w:rPr>
                <w:rFonts w:ascii="Arial" w:hAnsi="Arial" w:cs="Arial"/>
                <w:sz w:val="20"/>
                <w:szCs w:val="20"/>
                <w:lang w:val="es-ES"/>
              </w:rPr>
              <w:t xml:space="preserve"> </w:t>
            </w:r>
            <w:r w:rsidR="004F4523" w:rsidRPr="00233FCB">
              <w:rPr>
                <w:rFonts w:ascii="Arial" w:hAnsi="Arial" w:cs="Arial"/>
                <w:sz w:val="20"/>
                <w:szCs w:val="20"/>
                <w:lang w:val="es-ES"/>
              </w:rPr>
              <w:t>165</w:t>
            </w:r>
            <w:r w:rsidR="009463E8" w:rsidRPr="00233FCB">
              <w:rPr>
                <w:rFonts w:ascii="Arial" w:hAnsi="Arial" w:cs="Arial"/>
                <w:sz w:val="20"/>
                <w:szCs w:val="20"/>
                <w:lang w:val="es-ES"/>
              </w:rPr>
              <w:t>.</w:t>
            </w:r>
          </w:p>
          <w:p w14:paraId="4D070853" w14:textId="77777777" w:rsidR="001D56AF" w:rsidRPr="00233FCB" w:rsidRDefault="001D56AF" w:rsidP="00AB0EB2">
            <w:pPr>
              <w:spacing w:line="0" w:lineRule="atLeast"/>
              <w:jc w:val="both"/>
              <w:rPr>
                <w:rFonts w:ascii="Arial" w:hAnsi="Arial" w:cs="Arial"/>
                <w:lang w:val="es-ES"/>
              </w:rPr>
            </w:pPr>
          </w:p>
        </w:tc>
        <w:tc>
          <w:tcPr>
            <w:tcW w:w="2070" w:type="dxa"/>
          </w:tcPr>
          <w:p w14:paraId="21D73704" w14:textId="5A53EF75" w:rsidR="001D56AF" w:rsidRPr="00233FCB" w:rsidRDefault="00DD413C" w:rsidP="00F20A68">
            <w:pPr>
              <w:spacing w:line="0" w:lineRule="atLeast"/>
              <w:jc w:val="both"/>
              <w:rPr>
                <w:rFonts w:ascii="Arial" w:hAnsi="Arial" w:cs="Arial"/>
                <w:lang w:val="es-ES"/>
              </w:rPr>
            </w:pPr>
            <w:r>
              <w:rPr>
                <w:rFonts w:ascii="Arial" w:hAnsi="Arial" w:cs="Arial"/>
                <w:lang w:val="es-ES"/>
              </w:rPr>
              <w:t>Medio de verificación entregado</w:t>
            </w:r>
            <w:r w:rsidR="00BF5537">
              <w:rPr>
                <w:rFonts w:ascii="Arial" w:hAnsi="Arial" w:cs="Arial"/>
                <w:lang w:val="es-ES"/>
              </w:rPr>
              <w:t>.</w:t>
            </w:r>
          </w:p>
        </w:tc>
      </w:tr>
      <w:tr w:rsidR="00596782" w:rsidRPr="00751D67" w14:paraId="17C2A326" w14:textId="77777777" w:rsidTr="00C00B0C">
        <w:tc>
          <w:tcPr>
            <w:tcW w:w="12960" w:type="dxa"/>
            <w:gridSpan w:val="5"/>
            <w:shd w:val="clear" w:color="auto" w:fill="D9D9D9" w:themeFill="background1" w:themeFillShade="D9"/>
          </w:tcPr>
          <w:p w14:paraId="66A309FA" w14:textId="7722A3CB" w:rsidR="00596782" w:rsidRPr="00233FCB" w:rsidRDefault="0086092C" w:rsidP="00AB0EB2">
            <w:pPr>
              <w:spacing w:line="0" w:lineRule="atLeast"/>
              <w:jc w:val="both"/>
              <w:rPr>
                <w:rFonts w:ascii="Arial" w:hAnsi="Arial" w:cs="Arial"/>
                <w:lang w:val="es-ES"/>
              </w:rPr>
            </w:pPr>
            <w:r w:rsidRPr="00233FCB">
              <w:rPr>
                <w:rFonts w:ascii="Arial" w:hAnsi="Arial" w:cs="Arial"/>
                <w:b/>
                <w:lang w:val="es-ES"/>
              </w:rPr>
              <w:t>Subcomponente 2.2. Marco Regulatorio y Normativo para el Transporte Terrestre</w:t>
            </w:r>
            <w:r w:rsidR="0000260F" w:rsidRPr="00233FCB">
              <w:rPr>
                <w:rFonts w:ascii="Arial" w:hAnsi="Arial" w:cs="Arial"/>
                <w:b/>
                <w:lang w:val="es-ES"/>
              </w:rPr>
              <w:t>.</w:t>
            </w:r>
          </w:p>
        </w:tc>
      </w:tr>
      <w:tr w:rsidR="005216C1" w:rsidRPr="00233FCB" w14:paraId="2DC40F52" w14:textId="77777777" w:rsidTr="3D8CB173">
        <w:tc>
          <w:tcPr>
            <w:tcW w:w="2970" w:type="dxa"/>
          </w:tcPr>
          <w:p w14:paraId="20F9AECA" w14:textId="77777777" w:rsidR="005216C1" w:rsidRPr="00233FCB" w:rsidRDefault="005216C1" w:rsidP="00CC7DB5">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 xml:space="preserve">Desarrollar el marco regulatorio de la Ley 165, en relación a la prestación del servicio en términos de calidad, seguridad y </w:t>
            </w:r>
            <w:r w:rsidRPr="00233FCB">
              <w:rPr>
                <w:rFonts w:ascii="Arial" w:hAnsi="Arial" w:cs="Arial"/>
                <w:sz w:val="20"/>
                <w:szCs w:val="20"/>
                <w:lang w:val="es-ES"/>
              </w:rPr>
              <w:lastRenderedPageBreak/>
              <w:t>economía, a fin de lograr un servicio de mejor calidad y eficiencia.</w:t>
            </w:r>
          </w:p>
          <w:p w14:paraId="25B347E3" w14:textId="77777777" w:rsidR="005216C1" w:rsidRPr="00233FCB" w:rsidRDefault="005216C1" w:rsidP="00CC7DB5">
            <w:pPr>
              <w:suppressAutoHyphens/>
              <w:spacing w:line="0" w:lineRule="atLeast"/>
              <w:jc w:val="both"/>
              <w:rPr>
                <w:rFonts w:ascii="Arial" w:hAnsi="Arial" w:cs="Arial"/>
                <w:lang w:val="es-ES"/>
              </w:rPr>
            </w:pPr>
          </w:p>
          <w:p w14:paraId="69D99466" w14:textId="07180708" w:rsidR="005216C1" w:rsidRPr="00C00B0C" w:rsidRDefault="005216C1" w:rsidP="005216C1">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5216C1">
              <w:rPr>
                <w:rFonts w:ascii="Arial" w:hAnsi="Arial" w:cs="Arial"/>
                <w:sz w:val="20"/>
                <w:szCs w:val="20"/>
                <w:lang w:val="es-ES"/>
              </w:rPr>
              <w:t>Implementar la regulación y fiscalización en áreas de derechos y obligaciones, tarifas y seguros.</w:t>
            </w:r>
          </w:p>
        </w:tc>
        <w:tc>
          <w:tcPr>
            <w:tcW w:w="1800" w:type="dxa"/>
          </w:tcPr>
          <w:p w14:paraId="5B1EEB17"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lastRenderedPageBreak/>
              <w:t>VMT-MOPSV</w:t>
            </w:r>
          </w:p>
        </w:tc>
        <w:tc>
          <w:tcPr>
            <w:tcW w:w="2970" w:type="dxa"/>
          </w:tcPr>
          <w:p w14:paraId="4C2DA99F" w14:textId="320478D8" w:rsidR="005216C1" w:rsidRPr="00233FCB" w:rsidRDefault="005216C1" w:rsidP="003923D0">
            <w:pPr>
              <w:pStyle w:val="ListParagraph"/>
              <w:numPr>
                <w:ilvl w:val="0"/>
                <w:numId w:val="7"/>
              </w:numPr>
              <w:spacing w:after="0" w:line="0" w:lineRule="atLeast"/>
              <w:ind w:left="252"/>
              <w:jc w:val="both"/>
              <w:rPr>
                <w:rFonts w:ascii="Arial" w:hAnsi="Arial" w:cs="Arial"/>
                <w:sz w:val="20"/>
                <w:szCs w:val="20"/>
                <w:lang w:val="es-ES"/>
              </w:rPr>
            </w:pPr>
            <w:r w:rsidRPr="00233FCB">
              <w:rPr>
                <w:rFonts w:ascii="Arial" w:hAnsi="Arial" w:cs="Arial"/>
                <w:sz w:val="20"/>
                <w:szCs w:val="20"/>
                <w:lang w:val="es-ES"/>
              </w:rPr>
              <w:t xml:space="preserve">Aprobación </w:t>
            </w:r>
            <w:r>
              <w:rPr>
                <w:rFonts w:ascii="Arial" w:hAnsi="Arial" w:cs="Arial"/>
                <w:sz w:val="20"/>
                <w:szCs w:val="20"/>
                <w:lang w:val="es-ES"/>
              </w:rPr>
              <w:t>de la reglamentación</w:t>
            </w:r>
            <w:r w:rsidRPr="00233FCB">
              <w:rPr>
                <w:rFonts w:ascii="Arial" w:hAnsi="Arial" w:cs="Arial"/>
                <w:sz w:val="20"/>
                <w:szCs w:val="20"/>
                <w:lang w:val="es-ES"/>
              </w:rPr>
              <w:t xml:space="preserve"> </w:t>
            </w:r>
            <w:r>
              <w:rPr>
                <w:rFonts w:ascii="Arial" w:hAnsi="Arial" w:cs="Arial"/>
                <w:sz w:val="20"/>
                <w:szCs w:val="20"/>
                <w:lang w:val="es-ES"/>
              </w:rPr>
              <w:t>regulatoria para</w:t>
            </w:r>
            <w:r w:rsidRPr="00233FCB">
              <w:rPr>
                <w:rFonts w:ascii="Arial" w:hAnsi="Arial" w:cs="Arial"/>
                <w:sz w:val="20"/>
                <w:szCs w:val="20"/>
                <w:lang w:val="es-ES"/>
              </w:rPr>
              <w:t xml:space="preserve"> la </w:t>
            </w:r>
            <w:r>
              <w:rPr>
                <w:rFonts w:ascii="Arial" w:hAnsi="Arial" w:cs="Arial"/>
                <w:sz w:val="20"/>
                <w:szCs w:val="20"/>
                <w:lang w:val="es-ES"/>
              </w:rPr>
              <w:t>m</w:t>
            </w:r>
            <w:r w:rsidRPr="00233FCB">
              <w:rPr>
                <w:rFonts w:ascii="Arial" w:hAnsi="Arial" w:cs="Arial"/>
                <w:sz w:val="20"/>
                <w:szCs w:val="20"/>
                <w:lang w:val="es-ES"/>
              </w:rPr>
              <w:t xml:space="preserve">odalidad </w:t>
            </w:r>
            <w:r>
              <w:rPr>
                <w:rFonts w:ascii="Arial" w:hAnsi="Arial" w:cs="Arial"/>
                <w:sz w:val="20"/>
                <w:szCs w:val="20"/>
                <w:lang w:val="es-ES"/>
              </w:rPr>
              <w:t>de t</w:t>
            </w:r>
            <w:r w:rsidRPr="00233FCB">
              <w:rPr>
                <w:rFonts w:ascii="Arial" w:hAnsi="Arial" w:cs="Arial"/>
                <w:sz w:val="20"/>
                <w:szCs w:val="20"/>
                <w:lang w:val="es-ES"/>
              </w:rPr>
              <w:t xml:space="preserve">ransporte </w:t>
            </w:r>
            <w:r>
              <w:rPr>
                <w:rFonts w:ascii="Arial" w:hAnsi="Arial" w:cs="Arial"/>
                <w:sz w:val="20"/>
                <w:szCs w:val="20"/>
                <w:lang w:val="es-ES"/>
              </w:rPr>
              <w:t>t</w:t>
            </w:r>
            <w:r w:rsidRPr="00233FCB">
              <w:rPr>
                <w:rFonts w:ascii="Arial" w:hAnsi="Arial" w:cs="Arial"/>
                <w:sz w:val="20"/>
                <w:szCs w:val="20"/>
                <w:lang w:val="es-ES"/>
              </w:rPr>
              <w:t xml:space="preserve">errestre, en </w:t>
            </w:r>
            <w:r>
              <w:rPr>
                <w:rFonts w:ascii="Arial" w:hAnsi="Arial" w:cs="Arial"/>
                <w:sz w:val="20"/>
                <w:szCs w:val="20"/>
                <w:lang w:val="es-ES"/>
              </w:rPr>
              <w:t>la</w:t>
            </w:r>
            <w:r w:rsidRPr="00233FCB">
              <w:rPr>
                <w:rFonts w:ascii="Arial" w:hAnsi="Arial" w:cs="Arial"/>
                <w:sz w:val="20"/>
                <w:szCs w:val="20"/>
                <w:lang w:val="es-ES"/>
              </w:rPr>
              <w:t xml:space="preserve"> cual se incluye aspectos </w:t>
            </w:r>
            <w:r w:rsidRPr="00233FCB">
              <w:rPr>
                <w:rFonts w:ascii="Arial" w:hAnsi="Arial" w:cs="Arial"/>
                <w:sz w:val="20"/>
                <w:szCs w:val="20"/>
                <w:lang w:val="es-ES"/>
              </w:rPr>
              <w:lastRenderedPageBreak/>
              <w:t>relacionados con derechos, obligaciones y prohibiciones en conformidad con lo establecido en la Ley 165, control y fiscalización de servicios, regulación tarifaria, seguros, infracciones y sanciones, y defensa de la competencia.</w:t>
            </w:r>
          </w:p>
        </w:tc>
        <w:tc>
          <w:tcPr>
            <w:tcW w:w="3150" w:type="dxa"/>
          </w:tcPr>
          <w:p w14:paraId="0ED1118E" w14:textId="709CBE3F" w:rsidR="005216C1" w:rsidRPr="00862C07" w:rsidRDefault="005216C1" w:rsidP="00AB0EB2">
            <w:pPr>
              <w:spacing w:line="0" w:lineRule="atLeast"/>
              <w:jc w:val="both"/>
              <w:rPr>
                <w:rFonts w:ascii="Arial" w:hAnsi="Arial" w:cs="Arial"/>
                <w:lang w:val="es-ES"/>
              </w:rPr>
            </w:pPr>
            <w:r w:rsidRPr="00120946">
              <w:rPr>
                <w:rFonts w:ascii="Arial" w:hAnsi="Arial" w:cs="Arial"/>
                <w:lang w:val="es-ES"/>
              </w:rPr>
              <w:lastRenderedPageBreak/>
              <w:t>Resolución Ministerial emitida por el MOPSV, aprobando el Reglamento Regulatorio para la Modalidad de Transporte Terrestre</w:t>
            </w:r>
            <w:r>
              <w:rPr>
                <w:rFonts w:ascii="Arial" w:hAnsi="Arial" w:cs="Arial"/>
                <w:lang w:val="es-ES"/>
              </w:rPr>
              <w:t xml:space="preserve"> de P</w:t>
            </w:r>
            <w:r w:rsidRPr="00120946">
              <w:rPr>
                <w:rFonts w:ascii="Arial" w:hAnsi="Arial" w:cs="Arial"/>
                <w:lang w:val="es-ES"/>
              </w:rPr>
              <w:t xml:space="preserve">asajeros y </w:t>
            </w:r>
            <w:r>
              <w:rPr>
                <w:rFonts w:ascii="Arial" w:hAnsi="Arial" w:cs="Arial"/>
                <w:lang w:val="es-ES"/>
              </w:rPr>
              <w:t>C</w:t>
            </w:r>
            <w:r w:rsidRPr="00862C07">
              <w:rPr>
                <w:rFonts w:ascii="Arial" w:hAnsi="Arial" w:cs="Arial"/>
                <w:lang w:val="es-ES"/>
              </w:rPr>
              <w:t xml:space="preserve">arga. </w:t>
            </w:r>
          </w:p>
        </w:tc>
        <w:tc>
          <w:tcPr>
            <w:tcW w:w="2070" w:type="dxa"/>
          </w:tcPr>
          <w:p w14:paraId="059B316E" w14:textId="2C65BE54" w:rsidR="005216C1" w:rsidRPr="00233FCB" w:rsidRDefault="005216C1" w:rsidP="00F20A68">
            <w:pPr>
              <w:spacing w:line="0" w:lineRule="atLeast"/>
              <w:jc w:val="both"/>
              <w:rPr>
                <w:rFonts w:ascii="Arial" w:hAnsi="Arial" w:cs="Arial"/>
                <w:lang w:val="es-ES"/>
              </w:rPr>
            </w:pPr>
            <w:r>
              <w:rPr>
                <w:rFonts w:ascii="Arial" w:hAnsi="Arial" w:cs="Arial"/>
                <w:lang w:val="es-ES"/>
              </w:rPr>
              <w:t>Medio de verificación entregado.</w:t>
            </w:r>
          </w:p>
        </w:tc>
      </w:tr>
      <w:tr w:rsidR="005216C1" w:rsidRPr="00233FCB" w14:paraId="2158AB4B" w14:textId="77777777" w:rsidTr="00C00B0C">
        <w:tc>
          <w:tcPr>
            <w:tcW w:w="2970" w:type="dxa"/>
            <w:vMerge w:val="restart"/>
          </w:tcPr>
          <w:p w14:paraId="558C85C5" w14:textId="705DCD63" w:rsidR="005216C1" w:rsidRPr="00233FCB" w:rsidRDefault="005216C1" w:rsidP="00C00B0C">
            <w:pPr>
              <w:pStyle w:val="ListParagraph"/>
              <w:numPr>
                <w:ilvl w:val="0"/>
                <w:numId w:val="3"/>
              </w:numPr>
              <w:suppressAutoHyphens/>
              <w:spacing w:after="0" w:line="0" w:lineRule="atLeast"/>
              <w:ind w:left="151" w:hanging="180"/>
              <w:jc w:val="both"/>
              <w:rPr>
                <w:rFonts w:ascii="Arial" w:hAnsi="Arial" w:cs="Arial"/>
                <w:lang w:val="es-ES"/>
              </w:rPr>
            </w:pPr>
            <w:r w:rsidRPr="00CF6FEA">
              <w:rPr>
                <w:rFonts w:ascii="Arial" w:hAnsi="Arial" w:cs="Arial"/>
                <w:sz w:val="20"/>
                <w:szCs w:val="20"/>
                <w:lang w:val="es-ES"/>
              </w:rPr>
              <w:t>Desarrollar la Reglamentación Técnica para la Modalidad de Transporte Terrestre, que permita normar aspectos relacionados con la infraestructura, seguridad de transporte y regulación vehicular (seguridad y emisiones vehiculares), a fin de permitir que la infraestructura alcance su vida útil en condiciones de servicio adecuadas, preservar la vida humana y reducir el crecimiento de emisiones de gases de efecto invernadero.</w:t>
            </w:r>
          </w:p>
        </w:tc>
        <w:tc>
          <w:tcPr>
            <w:tcW w:w="1800" w:type="dxa"/>
          </w:tcPr>
          <w:p w14:paraId="0AF4AD43"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VMT-MOPSV</w:t>
            </w:r>
          </w:p>
          <w:p w14:paraId="67A79CE2" w14:textId="77777777" w:rsidR="005216C1" w:rsidRPr="00233FCB" w:rsidRDefault="005216C1" w:rsidP="000164D0">
            <w:pPr>
              <w:spacing w:line="0" w:lineRule="atLeast"/>
              <w:jc w:val="center"/>
              <w:rPr>
                <w:rFonts w:ascii="Arial" w:hAnsi="Arial" w:cs="Arial"/>
                <w:lang w:val="es-ES"/>
              </w:rPr>
            </w:pPr>
          </w:p>
        </w:tc>
        <w:tc>
          <w:tcPr>
            <w:tcW w:w="2970" w:type="dxa"/>
          </w:tcPr>
          <w:p w14:paraId="243A7720" w14:textId="77777777" w:rsidR="005216C1" w:rsidRPr="00233FCB" w:rsidRDefault="005216C1" w:rsidP="00AB0EB2">
            <w:pPr>
              <w:pStyle w:val="ListParagraph"/>
              <w:numPr>
                <w:ilvl w:val="0"/>
                <w:numId w:val="7"/>
              </w:numPr>
              <w:spacing w:after="0" w:line="0" w:lineRule="atLeast"/>
              <w:ind w:left="252"/>
              <w:jc w:val="both"/>
              <w:rPr>
                <w:rFonts w:ascii="Arial" w:hAnsi="Arial" w:cs="Arial"/>
                <w:sz w:val="20"/>
                <w:szCs w:val="20"/>
                <w:lang w:val="es-ES"/>
              </w:rPr>
            </w:pPr>
            <w:r w:rsidRPr="00233FCB">
              <w:rPr>
                <w:rFonts w:ascii="Arial" w:hAnsi="Arial" w:cs="Arial"/>
                <w:sz w:val="20"/>
                <w:szCs w:val="20"/>
                <w:lang w:val="es-ES"/>
              </w:rPr>
              <w:t>Remisión a la Asamblea Legislativa del Anteproyecto de Ley del Sistema Nacional de Revisión Técnica Vehicular, donde se establece la organización y funcionamiento del Sistema Nacional de Revisión Técnica Vehicular.</w:t>
            </w:r>
          </w:p>
        </w:tc>
        <w:tc>
          <w:tcPr>
            <w:tcW w:w="3150" w:type="dxa"/>
          </w:tcPr>
          <w:p w14:paraId="71F8C51D" w14:textId="56436425" w:rsidR="005216C1" w:rsidRPr="00120946" w:rsidRDefault="005216C1" w:rsidP="00AB0EB2">
            <w:pPr>
              <w:spacing w:line="0" w:lineRule="atLeast"/>
              <w:jc w:val="both"/>
              <w:rPr>
                <w:rFonts w:ascii="Arial" w:hAnsi="Arial" w:cs="Arial"/>
                <w:lang w:val="es-ES"/>
              </w:rPr>
            </w:pPr>
            <w:r w:rsidRPr="00120946">
              <w:rPr>
                <w:rFonts w:ascii="Arial" w:hAnsi="Arial" w:cs="Arial"/>
                <w:lang w:val="es-ES"/>
              </w:rPr>
              <w:t>Nota de remisión del Anteproyecto de Ley del Sistema Nacional de Revisión Técnica Vehicular por parte del Ministerio de la Presidencia, con el sello de recepción de</w:t>
            </w:r>
            <w:r w:rsidRPr="004040A5">
              <w:rPr>
                <w:rFonts w:ascii="Arial" w:hAnsi="Arial" w:cs="Arial"/>
                <w:lang w:val="es-ES"/>
              </w:rPr>
              <w:t xml:space="preserve"> la Asamb</w:t>
            </w:r>
            <w:r w:rsidRPr="00DC364E">
              <w:rPr>
                <w:rFonts w:ascii="Arial" w:hAnsi="Arial" w:cs="Arial"/>
                <w:lang w:val="es-ES"/>
              </w:rPr>
              <w:t>lea Legislativa incluyendo el Anteproyecto de Ley.</w:t>
            </w:r>
          </w:p>
        </w:tc>
        <w:tc>
          <w:tcPr>
            <w:tcW w:w="2070" w:type="dxa"/>
          </w:tcPr>
          <w:p w14:paraId="6FAED61B" w14:textId="69868241" w:rsidR="005216C1" w:rsidRPr="00233FCB" w:rsidRDefault="005216C1" w:rsidP="00AB0EB2">
            <w:pPr>
              <w:spacing w:line="0" w:lineRule="atLeast"/>
              <w:jc w:val="both"/>
              <w:rPr>
                <w:rFonts w:ascii="Arial" w:hAnsi="Arial" w:cs="Arial"/>
                <w:lang w:val="es-ES"/>
              </w:rPr>
            </w:pPr>
            <w:r>
              <w:rPr>
                <w:rFonts w:ascii="Arial" w:hAnsi="Arial" w:cs="Arial"/>
                <w:lang w:val="es-ES"/>
              </w:rPr>
              <w:t>Medio de verificación integrado.</w:t>
            </w:r>
          </w:p>
        </w:tc>
      </w:tr>
      <w:tr w:rsidR="005216C1" w:rsidRPr="001E50F3" w14:paraId="3D099156" w14:textId="77777777" w:rsidTr="3D8CB173">
        <w:tc>
          <w:tcPr>
            <w:tcW w:w="2970" w:type="dxa"/>
            <w:vMerge/>
          </w:tcPr>
          <w:p w14:paraId="61B01BDC" w14:textId="77777777" w:rsidR="005216C1" w:rsidRPr="00233FCB" w:rsidRDefault="005216C1" w:rsidP="00AB0EB2">
            <w:pPr>
              <w:spacing w:line="0" w:lineRule="atLeast"/>
              <w:jc w:val="both"/>
              <w:rPr>
                <w:rFonts w:ascii="Arial" w:hAnsi="Arial" w:cs="Arial"/>
                <w:lang w:val="es-ES"/>
              </w:rPr>
            </w:pPr>
          </w:p>
        </w:tc>
        <w:tc>
          <w:tcPr>
            <w:tcW w:w="1800" w:type="dxa"/>
          </w:tcPr>
          <w:p w14:paraId="3C29A8EE"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VMT-MOPSV</w:t>
            </w:r>
          </w:p>
          <w:p w14:paraId="25427C6B"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MMAyA</w:t>
            </w:r>
          </w:p>
        </w:tc>
        <w:tc>
          <w:tcPr>
            <w:tcW w:w="2970" w:type="dxa"/>
          </w:tcPr>
          <w:p w14:paraId="02ABD311" w14:textId="7B111483" w:rsidR="005216C1" w:rsidRPr="00C00B0C" w:rsidRDefault="005216C1" w:rsidP="001E50F3">
            <w:pPr>
              <w:pStyle w:val="ListParagraph"/>
              <w:numPr>
                <w:ilvl w:val="0"/>
                <w:numId w:val="7"/>
              </w:numPr>
              <w:spacing w:after="0" w:line="0" w:lineRule="atLeast"/>
              <w:ind w:left="252"/>
              <w:jc w:val="both"/>
              <w:rPr>
                <w:rFonts w:ascii="Arial" w:hAnsi="Arial" w:cs="Arial"/>
                <w:sz w:val="20"/>
                <w:szCs w:val="20"/>
                <w:lang w:val="es-ES"/>
              </w:rPr>
            </w:pPr>
            <w:r w:rsidRPr="00233FCB">
              <w:rPr>
                <w:rFonts w:ascii="Arial" w:hAnsi="Arial" w:cs="Arial"/>
                <w:sz w:val="20"/>
                <w:szCs w:val="20"/>
                <w:lang w:val="es-ES"/>
              </w:rPr>
              <w:t>Aprobación de</w:t>
            </w:r>
            <w:r>
              <w:rPr>
                <w:rFonts w:ascii="Arial" w:hAnsi="Arial" w:cs="Arial"/>
                <w:sz w:val="20"/>
                <w:szCs w:val="20"/>
                <w:lang w:val="es-ES"/>
              </w:rPr>
              <w:t xml:space="preserve"> </w:t>
            </w:r>
            <w:r w:rsidRPr="00233FCB">
              <w:rPr>
                <w:rFonts w:ascii="Arial" w:hAnsi="Arial" w:cs="Arial"/>
                <w:sz w:val="20"/>
                <w:szCs w:val="20"/>
                <w:lang w:val="es-ES"/>
              </w:rPr>
              <w:t>l</w:t>
            </w:r>
            <w:r>
              <w:rPr>
                <w:rFonts w:ascii="Arial" w:hAnsi="Arial" w:cs="Arial"/>
                <w:sz w:val="20"/>
                <w:szCs w:val="20"/>
                <w:lang w:val="es-ES"/>
              </w:rPr>
              <w:t>a</w:t>
            </w:r>
            <w:r w:rsidRPr="00233FCB">
              <w:rPr>
                <w:rFonts w:ascii="Arial" w:hAnsi="Arial" w:cs="Arial"/>
                <w:sz w:val="20"/>
                <w:szCs w:val="20"/>
                <w:lang w:val="es-ES"/>
              </w:rPr>
              <w:t xml:space="preserve"> </w:t>
            </w:r>
            <w:r>
              <w:rPr>
                <w:rFonts w:ascii="Arial" w:hAnsi="Arial" w:cs="Arial"/>
                <w:sz w:val="20"/>
                <w:szCs w:val="20"/>
                <w:lang w:val="es-ES"/>
              </w:rPr>
              <w:t>r</w:t>
            </w:r>
            <w:r w:rsidRPr="00233FCB">
              <w:rPr>
                <w:rFonts w:ascii="Arial" w:hAnsi="Arial" w:cs="Arial"/>
                <w:sz w:val="20"/>
                <w:szCs w:val="20"/>
                <w:lang w:val="es-ES"/>
              </w:rPr>
              <w:t>eglament</w:t>
            </w:r>
            <w:r>
              <w:rPr>
                <w:rFonts w:ascii="Arial" w:hAnsi="Arial" w:cs="Arial"/>
                <w:sz w:val="20"/>
                <w:szCs w:val="20"/>
                <w:lang w:val="es-ES"/>
              </w:rPr>
              <w:t xml:space="preserve">ación </w:t>
            </w:r>
            <w:r w:rsidRPr="00233FCB">
              <w:rPr>
                <w:rFonts w:ascii="Arial" w:hAnsi="Arial" w:cs="Arial"/>
                <w:sz w:val="20"/>
                <w:szCs w:val="20"/>
                <w:lang w:val="es-ES"/>
              </w:rPr>
              <w:t xml:space="preserve">para la </w:t>
            </w:r>
            <w:r>
              <w:rPr>
                <w:rFonts w:ascii="Arial" w:hAnsi="Arial" w:cs="Arial"/>
                <w:sz w:val="20"/>
                <w:szCs w:val="20"/>
                <w:lang w:val="es-ES"/>
              </w:rPr>
              <w:t>i</w:t>
            </w:r>
            <w:r w:rsidRPr="00C00B0C">
              <w:rPr>
                <w:rFonts w:ascii="Arial" w:hAnsi="Arial" w:cs="Arial"/>
                <w:sz w:val="20"/>
                <w:szCs w:val="20"/>
                <w:lang w:val="es-ES"/>
              </w:rPr>
              <w:t xml:space="preserve">nternación (importación) de </w:t>
            </w:r>
            <w:r>
              <w:rPr>
                <w:rFonts w:ascii="Arial" w:hAnsi="Arial" w:cs="Arial"/>
                <w:sz w:val="20"/>
                <w:szCs w:val="20"/>
                <w:lang w:val="es-ES"/>
              </w:rPr>
              <w:t>v</w:t>
            </w:r>
            <w:r w:rsidRPr="00C00B0C">
              <w:rPr>
                <w:rFonts w:ascii="Arial" w:hAnsi="Arial" w:cs="Arial"/>
                <w:sz w:val="20"/>
                <w:szCs w:val="20"/>
                <w:lang w:val="es-ES"/>
              </w:rPr>
              <w:t xml:space="preserve">ehículos bajo </w:t>
            </w:r>
            <w:r>
              <w:rPr>
                <w:rFonts w:ascii="Arial" w:hAnsi="Arial" w:cs="Arial"/>
                <w:sz w:val="20"/>
                <w:szCs w:val="20"/>
                <w:lang w:val="es-ES"/>
              </w:rPr>
              <w:t>n</w:t>
            </w:r>
            <w:r w:rsidRPr="00C00B0C">
              <w:rPr>
                <w:rFonts w:ascii="Arial" w:hAnsi="Arial" w:cs="Arial"/>
                <w:sz w:val="20"/>
                <w:szCs w:val="20"/>
                <w:lang w:val="es-ES"/>
              </w:rPr>
              <w:t xml:space="preserve">ormas </w:t>
            </w:r>
            <w:r>
              <w:rPr>
                <w:rFonts w:ascii="Arial" w:hAnsi="Arial" w:cs="Arial"/>
                <w:sz w:val="20"/>
                <w:szCs w:val="20"/>
                <w:lang w:val="es-ES"/>
              </w:rPr>
              <w:t>E</w:t>
            </w:r>
            <w:r w:rsidRPr="00C00B0C">
              <w:rPr>
                <w:rFonts w:ascii="Arial" w:hAnsi="Arial" w:cs="Arial"/>
                <w:sz w:val="20"/>
                <w:szCs w:val="20"/>
                <w:lang w:val="es-ES"/>
              </w:rPr>
              <w:t>uro</w:t>
            </w:r>
            <w:r>
              <w:rPr>
                <w:rFonts w:ascii="Arial" w:hAnsi="Arial" w:cs="Arial"/>
                <w:sz w:val="20"/>
                <w:szCs w:val="20"/>
                <w:lang w:val="es-ES"/>
              </w:rPr>
              <w:t xml:space="preserve"> o equivalentes</w:t>
            </w:r>
            <w:r w:rsidRPr="00C00B0C">
              <w:rPr>
                <w:rFonts w:ascii="Arial" w:hAnsi="Arial" w:cs="Arial"/>
                <w:sz w:val="20"/>
                <w:szCs w:val="20"/>
                <w:lang w:val="es-ES"/>
              </w:rPr>
              <w:t>, considerando mecanismos de verificación de emisiones gaseosas de vehículos automotores nuevos, en el marco de lo establecido en el Anexo, sección 6, del Decreto Supremo N°28139 modificatorio del Reglamento en Materia de Contaminación Atmosférica.</w:t>
            </w:r>
          </w:p>
        </w:tc>
        <w:tc>
          <w:tcPr>
            <w:tcW w:w="3150" w:type="dxa"/>
          </w:tcPr>
          <w:p w14:paraId="14CCDD83" w14:textId="747A811D" w:rsidR="005216C1" w:rsidRPr="00120946" w:rsidRDefault="005216C1" w:rsidP="00AB0EB2">
            <w:pPr>
              <w:spacing w:line="0" w:lineRule="atLeast"/>
              <w:jc w:val="both"/>
              <w:rPr>
                <w:rFonts w:ascii="Arial" w:hAnsi="Arial" w:cs="Arial"/>
                <w:lang w:val="es-ES"/>
              </w:rPr>
            </w:pPr>
            <w:r w:rsidRPr="00120946">
              <w:rPr>
                <w:rFonts w:ascii="Arial" w:hAnsi="Arial" w:cs="Arial"/>
                <w:lang w:val="es-ES"/>
              </w:rPr>
              <w:t>Resolución Ministerial emitida por el MOPSV, apro</w:t>
            </w:r>
            <w:r w:rsidRPr="004040A5">
              <w:rPr>
                <w:rFonts w:ascii="Arial" w:hAnsi="Arial" w:cs="Arial"/>
                <w:lang w:val="es-ES"/>
              </w:rPr>
              <w:t>bando el Reglamento</w:t>
            </w:r>
            <w:r>
              <w:rPr>
                <w:rFonts w:ascii="Arial" w:hAnsi="Arial" w:cs="Arial"/>
                <w:lang w:val="es-ES"/>
              </w:rPr>
              <w:t xml:space="preserve"> para la E</w:t>
            </w:r>
            <w:r w:rsidRPr="004040A5">
              <w:rPr>
                <w:rFonts w:ascii="Arial" w:hAnsi="Arial" w:cs="Arial"/>
                <w:lang w:val="es-ES"/>
              </w:rPr>
              <w:t>misi</w:t>
            </w:r>
            <w:r w:rsidRPr="00DC364E">
              <w:rPr>
                <w:rFonts w:ascii="Arial" w:hAnsi="Arial" w:cs="Arial"/>
                <w:lang w:val="es-ES"/>
              </w:rPr>
              <w:t xml:space="preserve">ón de </w:t>
            </w:r>
            <w:r w:rsidRPr="00862C07">
              <w:rPr>
                <w:rFonts w:ascii="Arial" w:hAnsi="Arial" w:cs="Arial"/>
                <w:lang w:val="es-ES"/>
              </w:rPr>
              <w:t xml:space="preserve">las </w:t>
            </w:r>
            <w:r>
              <w:rPr>
                <w:rFonts w:ascii="Arial" w:hAnsi="Arial" w:cs="Arial"/>
                <w:lang w:val="es-ES"/>
              </w:rPr>
              <w:t>A</w:t>
            </w:r>
            <w:r w:rsidRPr="00862C07">
              <w:rPr>
                <w:rFonts w:ascii="Arial" w:hAnsi="Arial" w:cs="Arial"/>
                <w:lang w:val="es-ES"/>
              </w:rPr>
              <w:t>utorizacion</w:t>
            </w:r>
            <w:r>
              <w:rPr>
                <w:rFonts w:ascii="Arial" w:hAnsi="Arial" w:cs="Arial"/>
                <w:lang w:val="es-ES"/>
              </w:rPr>
              <w:t>es P</w:t>
            </w:r>
            <w:r w:rsidRPr="00862C07">
              <w:rPr>
                <w:rFonts w:ascii="Arial" w:hAnsi="Arial" w:cs="Arial"/>
                <w:lang w:val="es-ES"/>
              </w:rPr>
              <w:t xml:space="preserve">revias para Vehículos </w:t>
            </w:r>
            <w:r>
              <w:rPr>
                <w:rFonts w:ascii="Arial" w:hAnsi="Arial" w:cs="Arial"/>
                <w:lang w:val="es-ES"/>
              </w:rPr>
              <w:t>A</w:t>
            </w:r>
            <w:r w:rsidRPr="00862C07">
              <w:rPr>
                <w:rFonts w:ascii="Arial" w:hAnsi="Arial" w:cs="Arial"/>
                <w:lang w:val="es-ES"/>
              </w:rPr>
              <w:t>utomotores N</w:t>
            </w:r>
            <w:r w:rsidRPr="00120946">
              <w:rPr>
                <w:rFonts w:ascii="Arial" w:hAnsi="Arial" w:cs="Arial"/>
                <w:lang w:val="es-ES"/>
              </w:rPr>
              <w:t>uevos.</w:t>
            </w:r>
          </w:p>
        </w:tc>
        <w:tc>
          <w:tcPr>
            <w:tcW w:w="2070" w:type="dxa"/>
          </w:tcPr>
          <w:p w14:paraId="125AB61F" w14:textId="66EFCE8F" w:rsidR="005216C1" w:rsidRPr="00233FCB" w:rsidRDefault="005216C1" w:rsidP="00AB0EB2">
            <w:pPr>
              <w:spacing w:line="0" w:lineRule="atLeast"/>
              <w:jc w:val="both"/>
              <w:rPr>
                <w:rFonts w:ascii="Arial" w:hAnsi="Arial" w:cs="Arial"/>
                <w:lang w:val="es-ES"/>
              </w:rPr>
            </w:pPr>
            <w:r>
              <w:rPr>
                <w:rFonts w:ascii="Arial" w:hAnsi="Arial" w:cs="Arial"/>
                <w:lang w:val="es-ES"/>
              </w:rPr>
              <w:t>Medio de verificación integrado.</w:t>
            </w:r>
          </w:p>
        </w:tc>
      </w:tr>
      <w:tr w:rsidR="005216C1" w:rsidRPr="00233FCB" w14:paraId="04E459D1" w14:textId="77777777" w:rsidTr="3D8CB173">
        <w:tc>
          <w:tcPr>
            <w:tcW w:w="2970" w:type="dxa"/>
            <w:vMerge/>
          </w:tcPr>
          <w:p w14:paraId="3319746C" w14:textId="77777777" w:rsidR="005216C1" w:rsidRPr="00233FCB" w:rsidRDefault="005216C1" w:rsidP="00AB0EB2">
            <w:pPr>
              <w:spacing w:line="0" w:lineRule="atLeast"/>
              <w:jc w:val="both"/>
              <w:rPr>
                <w:rFonts w:ascii="Arial" w:hAnsi="Arial" w:cs="Arial"/>
                <w:lang w:val="es-ES"/>
              </w:rPr>
            </w:pPr>
          </w:p>
        </w:tc>
        <w:tc>
          <w:tcPr>
            <w:tcW w:w="1800" w:type="dxa"/>
          </w:tcPr>
          <w:p w14:paraId="72942773"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38BA6D46" w14:textId="626E7CFC" w:rsidR="005216C1" w:rsidRPr="00233FCB" w:rsidRDefault="005216C1" w:rsidP="00AB0EB2">
            <w:pPr>
              <w:pStyle w:val="ListParagraph"/>
              <w:numPr>
                <w:ilvl w:val="0"/>
                <w:numId w:val="7"/>
              </w:numPr>
              <w:spacing w:after="0" w:line="0" w:lineRule="atLeast"/>
              <w:ind w:left="252"/>
              <w:jc w:val="both"/>
              <w:rPr>
                <w:rFonts w:ascii="Arial" w:hAnsi="Arial" w:cs="Arial"/>
                <w:sz w:val="20"/>
                <w:szCs w:val="20"/>
                <w:lang w:val="es-ES"/>
              </w:rPr>
            </w:pPr>
            <w:r w:rsidRPr="00233FCB">
              <w:rPr>
                <w:rFonts w:ascii="Arial" w:hAnsi="Arial" w:cs="Arial"/>
                <w:sz w:val="20"/>
                <w:szCs w:val="20"/>
                <w:lang w:val="es-ES"/>
              </w:rPr>
              <w:t>Aprobación de</w:t>
            </w:r>
            <w:r>
              <w:rPr>
                <w:rFonts w:ascii="Arial" w:hAnsi="Arial" w:cs="Arial"/>
                <w:sz w:val="20"/>
                <w:szCs w:val="20"/>
                <w:lang w:val="es-ES"/>
              </w:rPr>
              <w:t xml:space="preserve"> </w:t>
            </w:r>
            <w:r w:rsidRPr="00233FCB">
              <w:rPr>
                <w:rFonts w:ascii="Arial" w:hAnsi="Arial" w:cs="Arial"/>
                <w:sz w:val="20"/>
                <w:szCs w:val="20"/>
                <w:lang w:val="es-ES"/>
              </w:rPr>
              <w:t>l</w:t>
            </w:r>
            <w:r>
              <w:rPr>
                <w:rFonts w:ascii="Arial" w:hAnsi="Arial" w:cs="Arial"/>
                <w:sz w:val="20"/>
                <w:szCs w:val="20"/>
                <w:lang w:val="es-ES"/>
              </w:rPr>
              <w:t>a</w:t>
            </w:r>
            <w:r w:rsidRPr="00233FCB">
              <w:rPr>
                <w:rFonts w:ascii="Arial" w:hAnsi="Arial" w:cs="Arial"/>
                <w:sz w:val="20"/>
                <w:szCs w:val="20"/>
                <w:lang w:val="es-ES"/>
              </w:rPr>
              <w:t xml:space="preserve"> </w:t>
            </w:r>
            <w:r>
              <w:rPr>
                <w:rFonts w:ascii="Arial" w:hAnsi="Arial" w:cs="Arial"/>
                <w:sz w:val="20"/>
                <w:szCs w:val="20"/>
                <w:lang w:val="es-ES"/>
              </w:rPr>
              <w:t>r</w:t>
            </w:r>
            <w:r w:rsidRPr="00233FCB">
              <w:rPr>
                <w:rFonts w:ascii="Arial" w:hAnsi="Arial" w:cs="Arial"/>
                <w:sz w:val="20"/>
                <w:szCs w:val="20"/>
                <w:lang w:val="es-ES"/>
              </w:rPr>
              <w:t>eglament</w:t>
            </w:r>
            <w:r>
              <w:rPr>
                <w:rFonts w:ascii="Arial" w:hAnsi="Arial" w:cs="Arial"/>
                <w:sz w:val="20"/>
                <w:szCs w:val="20"/>
                <w:lang w:val="es-ES"/>
              </w:rPr>
              <w:t>ación</w:t>
            </w:r>
            <w:r w:rsidRPr="00233FCB">
              <w:rPr>
                <w:rFonts w:ascii="Arial" w:hAnsi="Arial" w:cs="Arial"/>
                <w:sz w:val="20"/>
                <w:szCs w:val="20"/>
                <w:lang w:val="es-ES"/>
              </w:rPr>
              <w:t xml:space="preserve"> </w:t>
            </w:r>
            <w:r>
              <w:rPr>
                <w:rFonts w:ascii="Arial" w:hAnsi="Arial" w:cs="Arial"/>
                <w:sz w:val="20"/>
                <w:szCs w:val="20"/>
                <w:lang w:val="es-ES"/>
              </w:rPr>
              <w:t>para el</w:t>
            </w:r>
            <w:r w:rsidRPr="00233FCB">
              <w:rPr>
                <w:rFonts w:ascii="Arial" w:hAnsi="Arial" w:cs="Arial"/>
                <w:sz w:val="20"/>
                <w:szCs w:val="20"/>
                <w:lang w:val="es-ES"/>
              </w:rPr>
              <w:t xml:space="preserve"> </w:t>
            </w:r>
            <w:r w:rsidRPr="004040A5">
              <w:rPr>
                <w:rFonts w:ascii="Arial" w:hAnsi="Arial" w:cs="Arial"/>
                <w:sz w:val="20"/>
                <w:szCs w:val="20"/>
                <w:lang w:val="es-ES"/>
              </w:rPr>
              <w:t>t</w:t>
            </w:r>
            <w:r w:rsidRPr="00DC364E">
              <w:rPr>
                <w:rFonts w:ascii="Arial" w:hAnsi="Arial" w:cs="Arial"/>
                <w:sz w:val="20"/>
                <w:szCs w:val="20"/>
                <w:lang w:val="es-ES"/>
              </w:rPr>
              <w:t>ransporte de</w:t>
            </w:r>
            <w:r w:rsidRPr="00862C07">
              <w:rPr>
                <w:rFonts w:ascii="Arial" w:hAnsi="Arial" w:cs="Arial"/>
                <w:sz w:val="20"/>
                <w:szCs w:val="20"/>
                <w:lang w:val="es-ES"/>
              </w:rPr>
              <w:t xml:space="preserve"> m</w:t>
            </w:r>
            <w:r w:rsidRPr="004C5ED1">
              <w:rPr>
                <w:rFonts w:ascii="Arial" w:hAnsi="Arial" w:cs="Arial"/>
                <w:sz w:val="20"/>
                <w:szCs w:val="20"/>
                <w:lang w:val="es-ES"/>
              </w:rPr>
              <w:t xml:space="preserve">ercancías peligrosas por carretera, </w:t>
            </w:r>
            <w:r>
              <w:rPr>
                <w:rFonts w:ascii="Arial" w:hAnsi="Arial" w:cs="Arial"/>
                <w:sz w:val="20"/>
                <w:szCs w:val="20"/>
                <w:lang w:val="es-ES"/>
              </w:rPr>
              <w:t>la</w:t>
            </w:r>
            <w:r w:rsidRPr="004040A5">
              <w:rPr>
                <w:rFonts w:ascii="Arial" w:hAnsi="Arial" w:cs="Arial"/>
                <w:sz w:val="20"/>
                <w:szCs w:val="20"/>
                <w:lang w:val="es-ES"/>
              </w:rPr>
              <w:t xml:space="preserve"> cual </w:t>
            </w:r>
            <w:r w:rsidRPr="004C5ED1">
              <w:rPr>
                <w:rFonts w:ascii="Arial" w:hAnsi="Arial" w:cs="Arial"/>
                <w:sz w:val="20"/>
                <w:szCs w:val="20"/>
                <w:lang w:val="es-ES"/>
              </w:rPr>
              <w:t xml:space="preserve">incluye aspectos </w:t>
            </w:r>
            <w:r w:rsidRPr="004C5ED1">
              <w:rPr>
                <w:rFonts w:ascii="Arial" w:hAnsi="Arial" w:cs="Arial"/>
                <w:sz w:val="20"/>
                <w:szCs w:val="20"/>
                <w:lang w:val="es-ES"/>
              </w:rPr>
              <w:lastRenderedPageBreak/>
              <w:t>relacionados con las condiciones para el manejo y transporte de mercancías peligrosas por carreteras, con el fin de minimizar los riesgos y velar</w:t>
            </w:r>
            <w:r w:rsidRPr="00233FCB">
              <w:rPr>
                <w:rFonts w:ascii="Arial" w:hAnsi="Arial" w:cs="Arial"/>
                <w:sz w:val="20"/>
                <w:szCs w:val="20"/>
                <w:lang w:val="es-ES"/>
              </w:rPr>
              <w:t xml:space="preserve"> por la seguridad, la salud de los habitantes y la protección del medio ambiente.</w:t>
            </w:r>
          </w:p>
        </w:tc>
        <w:tc>
          <w:tcPr>
            <w:tcW w:w="3150" w:type="dxa"/>
          </w:tcPr>
          <w:p w14:paraId="62FEF211" w14:textId="35465EFF" w:rsidR="005216C1" w:rsidRPr="00120946" w:rsidRDefault="005216C1" w:rsidP="00AB0EB2">
            <w:pPr>
              <w:suppressAutoHyphens/>
              <w:spacing w:line="0" w:lineRule="atLeast"/>
              <w:jc w:val="both"/>
              <w:rPr>
                <w:rFonts w:ascii="Arial" w:hAnsi="Arial" w:cs="Arial"/>
                <w:lang w:val="es-ES"/>
              </w:rPr>
            </w:pPr>
            <w:r w:rsidRPr="00120946">
              <w:rPr>
                <w:rFonts w:ascii="Arial" w:hAnsi="Arial" w:cs="Arial"/>
                <w:lang w:val="es-ES"/>
              </w:rPr>
              <w:lastRenderedPageBreak/>
              <w:t>Decreto supremo publicado en la Gaceta Oficial de Bolivia acompañado del Reglamento</w:t>
            </w:r>
            <w:r w:rsidRPr="004040A5">
              <w:rPr>
                <w:rFonts w:ascii="Arial" w:hAnsi="Arial" w:cs="Arial"/>
                <w:lang w:val="es-ES"/>
              </w:rPr>
              <w:t xml:space="preserve"> de Transporte de Mercancías </w:t>
            </w:r>
            <w:r w:rsidRPr="004040A5">
              <w:rPr>
                <w:rFonts w:ascii="Arial" w:hAnsi="Arial" w:cs="Arial"/>
                <w:lang w:val="es-ES"/>
              </w:rPr>
              <w:lastRenderedPageBreak/>
              <w:t xml:space="preserve">Peligrosas por Carretera </w:t>
            </w:r>
            <w:r w:rsidRPr="00120946">
              <w:rPr>
                <w:rFonts w:ascii="Arial" w:hAnsi="Arial" w:cs="Arial"/>
                <w:lang w:val="es-ES"/>
              </w:rPr>
              <w:t>y Vía Férrea.</w:t>
            </w:r>
          </w:p>
          <w:p w14:paraId="699955A2" w14:textId="77777777" w:rsidR="005216C1" w:rsidRPr="00120946" w:rsidRDefault="005216C1" w:rsidP="00AB0EB2">
            <w:pPr>
              <w:spacing w:line="0" w:lineRule="atLeast"/>
              <w:jc w:val="both"/>
              <w:rPr>
                <w:rFonts w:ascii="Arial" w:hAnsi="Arial" w:cs="Arial"/>
                <w:lang w:val="es-ES"/>
              </w:rPr>
            </w:pPr>
          </w:p>
        </w:tc>
        <w:tc>
          <w:tcPr>
            <w:tcW w:w="2070" w:type="dxa"/>
          </w:tcPr>
          <w:p w14:paraId="3A77116D" w14:textId="5E9966D1" w:rsidR="005216C1" w:rsidRPr="00233FCB" w:rsidRDefault="005216C1" w:rsidP="00AB0EB2">
            <w:pPr>
              <w:spacing w:line="0" w:lineRule="atLeast"/>
              <w:jc w:val="both"/>
              <w:rPr>
                <w:rFonts w:ascii="Arial" w:hAnsi="Arial" w:cs="Arial"/>
                <w:lang w:val="es-ES"/>
              </w:rPr>
            </w:pPr>
            <w:r>
              <w:rPr>
                <w:rFonts w:ascii="Arial" w:hAnsi="Arial" w:cs="Arial"/>
                <w:lang w:val="es-ES"/>
              </w:rPr>
              <w:lastRenderedPageBreak/>
              <w:t>Medio de verificación entregado.</w:t>
            </w:r>
          </w:p>
        </w:tc>
      </w:tr>
      <w:tr w:rsidR="005216C1" w:rsidRPr="00233FCB" w14:paraId="2394C9C7" w14:textId="77777777" w:rsidTr="3D8CB173">
        <w:tc>
          <w:tcPr>
            <w:tcW w:w="2970" w:type="dxa"/>
            <w:vMerge/>
          </w:tcPr>
          <w:p w14:paraId="47566AE3" w14:textId="77777777" w:rsidR="005216C1" w:rsidRPr="00233FCB" w:rsidRDefault="005216C1" w:rsidP="00AB0EB2">
            <w:pPr>
              <w:spacing w:line="0" w:lineRule="atLeast"/>
              <w:jc w:val="both"/>
              <w:rPr>
                <w:rFonts w:ascii="Arial" w:hAnsi="Arial" w:cs="Arial"/>
                <w:lang w:val="es-ES"/>
              </w:rPr>
            </w:pPr>
          </w:p>
        </w:tc>
        <w:tc>
          <w:tcPr>
            <w:tcW w:w="1800" w:type="dxa"/>
          </w:tcPr>
          <w:p w14:paraId="594F56A3"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53BB92B1" w14:textId="3A6BB275" w:rsidR="005216C1" w:rsidRPr="00DA29DB" w:rsidRDefault="005216C1" w:rsidP="00AB0EB2">
            <w:pPr>
              <w:pStyle w:val="ListParagraph"/>
              <w:numPr>
                <w:ilvl w:val="0"/>
                <w:numId w:val="7"/>
              </w:numPr>
              <w:spacing w:after="0" w:line="0" w:lineRule="atLeast"/>
              <w:ind w:left="252"/>
              <w:jc w:val="both"/>
              <w:rPr>
                <w:rFonts w:ascii="Arial" w:hAnsi="Arial" w:cs="Arial"/>
                <w:sz w:val="20"/>
                <w:szCs w:val="20"/>
                <w:lang w:val="es-ES"/>
              </w:rPr>
            </w:pPr>
            <w:r w:rsidRPr="00DA29DB">
              <w:rPr>
                <w:rFonts w:ascii="Arial" w:hAnsi="Arial" w:cs="Arial"/>
                <w:sz w:val="20"/>
                <w:szCs w:val="20"/>
                <w:lang w:val="es-ES"/>
              </w:rPr>
              <w:t xml:space="preserve">Aprobación del procedimiento de certificación de habilitación para el transporte de mercancías peligrosas por carretera, lo cual </w:t>
            </w:r>
            <w:r w:rsidRPr="00C00B0C">
              <w:rPr>
                <w:rFonts w:ascii="Arial" w:hAnsi="Arial" w:cs="Arial"/>
                <w:sz w:val="20"/>
                <w:szCs w:val="20"/>
                <w:lang w:val="es-ES"/>
              </w:rPr>
              <w:t>implica el inicio de la implementación de la reglamentación para el transporte de mercancías peligrosas por carretera.</w:t>
            </w:r>
          </w:p>
        </w:tc>
        <w:tc>
          <w:tcPr>
            <w:tcW w:w="3150" w:type="dxa"/>
          </w:tcPr>
          <w:p w14:paraId="5DF76438" w14:textId="2837EBAB" w:rsidR="005216C1" w:rsidRPr="00DA29DB" w:rsidRDefault="005216C1" w:rsidP="00AB0EB2">
            <w:pPr>
              <w:spacing w:line="0" w:lineRule="atLeast"/>
              <w:jc w:val="both"/>
              <w:rPr>
                <w:rFonts w:ascii="Arial" w:hAnsi="Arial" w:cs="Arial"/>
                <w:lang w:val="es-ES"/>
              </w:rPr>
            </w:pPr>
            <w:r w:rsidRPr="00DA29DB">
              <w:rPr>
                <w:rFonts w:ascii="Arial" w:hAnsi="Arial" w:cs="Arial"/>
                <w:lang w:val="es-ES"/>
              </w:rPr>
              <w:t>Resolución Ministerial emitida por el MOPSV, aprobando el procedimiento para la emisión del certificado de habilitación u homologación para el transporte de mercancías peligrosas.</w:t>
            </w:r>
          </w:p>
        </w:tc>
        <w:tc>
          <w:tcPr>
            <w:tcW w:w="2070" w:type="dxa"/>
          </w:tcPr>
          <w:p w14:paraId="76CCA2F7" w14:textId="0458B4C6" w:rsidR="005216C1" w:rsidRPr="00233FCB" w:rsidRDefault="005216C1" w:rsidP="00F20A68">
            <w:pPr>
              <w:spacing w:line="0" w:lineRule="atLeast"/>
              <w:jc w:val="both"/>
              <w:rPr>
                <w:rFonts w:ascii="Arial" w:hAnsi="Arial" w:cs="Arial"/>
                <w:lang w:val="es-ES"/>
              </w:rPr>
            </w:pPr>
            <w:r>
              <w:rPr>
                <w:rFonts w:ascii="Arial" w:hAnsi="Arial" w:cs="Arial"/>
                <w:lang w:val="es-ES"/>
              </w:rPr>
              <w:t>Medio de verificación entregado.</w:t>
            </w:r>
          </w:p>
        </w:tc>
      </w:tr>
      <w:tr w:rsidR="005216C1" w:rsidRPr="00233FCB" w14:paraId="0AD3EF02" w14:textId="77777777" w:rsidTr="3D8CB173">
        <w:tc>
          <w:tcPr>
            <w:tcW w:w="2970" w:type="dxa"/>
            <w:vMerge/>
          </w:tcPr>
          <w:p w14:paraId="1E0DAE70" w14:textId="77777777" w:rsidR="005216C1" w:rsidRPr="00233FCB" w:rsidRDefault="005216C1" w:rsidP="00AB0EB2">
            <w:pPr>
              <w:spacing w:line="0" w:lineRule="atLeast"/>
              <w:jc w:val="both"/>
              <w:rPr>
                <w:rFonts w:ascii="Arial" w:hAnsi="Arial" w:cs="Arial"/>
                <w:lang w:val="es-ES"/>
              </w:rPr>
            </w:pPr>
          </w:p>
        </w:tc>
        <w:tc>
          <w:tcPr>
            <w:tcW w:w="1800" w:type="dxa"/>
          </w:tcPr>
          <w:p w14:paraId="0DE9BBAF"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 xml:space="preserve">VMT-MOPSV </w:t>
            </w:r>
          </w:p>
          <w:p w14:paraId="5AD1D681"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VMSC-MG</w:t>
            </w:r>
          </w:p>
        </w:tc>
        <w:tc>
          <w:tcPr>
            <w:tcW w:w="2970" w:type="dxa"/>
          </w:tcPr>
          <w:p w14:paraId="3F1EF9F7" w14:textId="77777777" w:rsidR="005216C1" w:rsidRPr="00DA29DB" w:rsidRDefault="005216C1" w:rsidP="00AB0EB2">
            <w:pPr>
              <w:pStyle w:val="ListParagraph"/>
              <w:numPr>
                <w:ilvl w:val="0"/>
                <w:numId w:val="7"/>
              </w:numPr>
              <w:spacing w:after="0" w:line="0" w:lineRule="atLeast"/>
              <w:ind w:left="252"/>
              <w:jc w:val="both"/>
              <w:rPr>
                <w:rFonts w:ascii="Arial" w:hAnsi="Arial" w:cs="Arial"/>
                <w:sz w:val="20"/>
                <w:szCs w:val="20"/>
                <w:lang w:val="es-ES"/>
              </w:rPr>
            </w:pPr>
            <w:r w:rsidRPr="00DA29DB">
              <w:rPr>
                <w:rFonts w:ascii="Arial" w:hAnsi="Arial" w:cs="Arial"/>
                <w:sz w:val="20"/>
                <w:szCs w:val="20"/>
                <w:lang w:val="es-ES"/>
              </w:rPr>
              <w:t>Elaboración del Marco Normativo acorde al Plan Nacional de Seguridad Vial, que incluye: el Anteproyecto de Ley de Seguridad Vial, la Resolución Administrativa de conformación de la instancia responsable de velar por el cumplimiento del Plan de Seguridad Vial, y la inserción de temáticas de seguridad ciudadana y educación vial en el currículo escolar.</w:t>
            </w:r>
          </w:p>
        </w:tc>
        <w:tc>
          <w:tcPr>
            <w:tcW w:w="3150" w:type="dxa"/>
          </w:tcPr>
          <w:p w14:paraId="2268502D" w14:textId="14721263" w:rsidR="005216C1" w:rsidRPr="00DA29DB" w:rsidRDefault="005216C1" w:rsidP="00AB0EB2">
            <w:pPr>
              <w:spacing w:line="0" w:lineRule="atLeast"/>
              <w:jc w:val="both"/>
              <w:rPr>
                <w:rFonts w:ascii="Arial" w:hAnsi="Arial" w:cs="Arial"/>
                <w:lang w:val="es-ES"/>
              </w:rPr>
            </w:pPr>
            <w:r w:rsidRPr="00DA29DB">
              <w:rPr>
                <w:rFonts w:ascii="Arial" w:hAnsi="Arial" w:cs="Arial"/>
                <w:lang w:val="es-ES"/>
              </w:rPr>
              <w:t xml:space="preserve">Comunicación emitida por el MOPSV dirigida al Banco acompañando </w:t>
            </w:r>
            <w:r w:rsidRPr="00C00B0C">
              <w:rPr>
                <w:rFonts w:ascii="Arial" w:hAnsi="Arial" w:cs="Arial"/>
                <w:lang w:val="es-ES"/>
              </w:rPr>
              <w:t xml:space="preserve">los documentos que conforman </w:t>
            </w:r>
            <w:r w:rsidRPr="00DA29DB">
              <w:rPr>
                <w:rFonts w:ascii="Arial" w:hAnsi="Arial" w:cs="Arial"/>
                <w:lang w:val="es-ES"/>
              </w:rPr>
              <w:t>el marco normativo.</w:t>
            </w:r>
          </w:p>
        </w:tc>
        <w:tc>
          <w:tcPr>
            <w:tcW w:w="2070" w:type="dxa"/>
          </w:tcPr>
          <w:p w14:paraId="16D880DA" w14:textId="77381CE1" w:rsidR="005216C1" w:rsidRPr="00233FCB" w:rsidRDefault="005216C1" w:rsidP="00F20A68">
            <w:pPr>
              <w:spacing w:line="0" w:lineRule="atLeast"/>
              <w:jc w:val="both"/>
              <w:rPr>
                <w:rFonts w:ascii="Arial" w:hAnsi="Arial" w:cs="Arial"/>
                <w:lang w:val="es-ES"/>
              </w:rPr>
            </w:pPr>
            <w:r>
              <w:rPr>
                <w:rFonts w:ascii="Arial" w:hAnsi="Arial" w:cs="Arial"/>
                <w:lang w:val="es-ES"/>
              </w:rPr>
              <w:t>Medio de verificación entregado.</w:t>
            </w:r>
          </w:p>
        </w:tc>
      </w:tr>
      <w:tr w:rsidR="005216C1" w:rsidRPr="00233FCB" w14:paraId="71C938A8" w14:textId="77777777" w:rsidTr="3D8CB173">
        <w:tc>
          <w:tcPr>
            <w:tcW w:w="2970" w:type="dxa"/>
            <w:vMerge/>
          </w:tcPr>
          <w:p w14:paraId="7F84E1F6" w14:textId="77777777" w:rsidR="005216C1" w:rsidRPr="00233FCB" w:rsidRDefault="005216C1" w:rsidP="00AB0EB2">
            <w:pPr>
              <w:spacing w:line="0" w:lineRule="atLeast"/>
              <w:jc w:val="both"/>
              <w:rPr>
                <w:rFonts w:ascii="Arial" w:hAnsi="Arial" w:cs="Arial"/>
                <w:lang w:val="es-ES"/>
              </w:rPr>
            </w:pPr>
          </w:p>
        </w:tc>
        <w:tc>
          <w:tcPr>
            <w:tcW w:w="1800" w:type="dxa"/>
          </w:tcPr>
          <w:p w14:paraId="27DD8A16"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VMSC-MG</w:t>
            </w:r>
          </w:p>
        </w:tc>
        <w:tc>
          <w:tcPr>
            <w:tcW w:w="2970" w:type="dxa"/>
          </w:tcPr>
          <w:p w14:paraId="7907413C" w14:textId="3EB8D76E" w:rsidR="005216C1" w:rsidRPr="00233FCB" w:rsidRDefault="005216C1" w:rsidP="00B437E8">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Aprobación del Manual de Prevención de Accidentes en Carretera, que incluye aspectos relacionados con: (i) el establecimiento de los </w:t>
            </w:r>
            <w:r w:rsidRPr="00233FCB">
              <w:rPr>
                <w:rFonts w:ascii="Arial" w:hAnsi="Arial" w:cs="Arial"/>
                <w:sz w:val="20"/>
                <w:szCs w:val="20"/>
                <w:lang w:val="es-ES"/>
              </w:rPr>
              <w:lastRenderedPageBreak/>
              <w:t>aspectos relevantes que contribuyan a la prevención de accidentes en la prestación del servicio público de transporte terrestre; (ii) la inclusión en el currículo escolar de la educación vial; y (iii) las actividades de difusión, comunicación y concientización para la información sobre aspectos de educación vial y prestación de servicios de transporte público.</w:t>
            </w:r>
          </w:p>
        </w:tc>
        <w:tc>
          <w:tcPr>
            <w:tcW w:w="3150" w:type="dxa"/>
          </w:tcPr>
          <w:p w14:paraId="265E936F" w14:textId="542D5BD2" w:rsidR="005216C1" w:rsidRPr="00120946" w:rsidRDefault="005216C1" w:rsidP="00AB0EB2">
            <w:pPr>
              <w:spacing w:line="0" w:lineRule="atLeast"/>
              <w:jc w:val="both"/>
              <w:rPr>
                <w:rFonts w:ascii="Arial" w:hAnsi="Arial" w:cs="Arial"/>
                <w:lang w:val="es-ES"/>
              </w:rPr>
            </w:pPr>
            <w:r w:rsidRPr="00120946">
              <w:rPr>
                <w:rFonts w:ascii="Arial" w:hAnsi="Arial" w:cs="Arial"/>
                <w:lang w:val="es-ES"/>
              </w:rPr>
              <w:lastRenderedPageBreak/>
              <w:t>Resolución Ministerial emitida por el Ministerio de Gobierno</w:t>
            </w:r>
            <w:r w:rsidRPr="004040A5">
              <w:rPr>
                <w:rFonts w:ascii="Arial" w:hAnsi="Arial" w:cs="Arial"/>
                <w:lang w:val="es-ES"/>
              </w:rPr>
              <w:t xml:space="preserve">, acompañada del </w:t>
            </w:r>
            <w:r w:rsidRPr="00120946">
              <w:rPr>
                <w:rFonts w:ascii="Arial" w:hAnsi="Arial" w:cs="Arial"/>
                <w:lang w:val="es-ES"/>
              </w:rPr>
              <w:t>Manual.</w:t>
            </w:r>
          </w:p>
        </w:tc>
        <w:tc>
          <w:tcPr>
            <w:tcW w:w="2070" w:type="dxa"/>
          </w:tcPr>
          <w:p w14:paraId="154ACDE3" w14:textId="6B285E5A" w:rsidR="005216C1" w:rsidRPr="00233FCB" w:rsidRDefault="005216C1" w:rsidP="00F20A68">
            <w:pPr>
              <w:spacing w:line="0" w:lineRule="atLeast"/>
              <w:jc w:val="both"/>
              <w:rPr>
                <w:rFonts w:ascii="Arial" w:hAnsi="Arial" w:cs="Arial"/>
                <w:lang w:val="es-ES"/>
              </w:rPr>
            </w:pPr>
            <w:r>
              <w:rPr>
                <w:rFonts w:ascii="Arial" w:hAnsi="Arial" w:cs="Arial"/>
                <w:lang w:val="es-ES"/>
              </w:rPr>
              <w:t>Medio de verificación entregado.</w:t>
            </w:r>
          </w:p>
        </w:tc>
      </w:tr>
      <w:tr w:rsidR="005216C1" w:rsidRPr="00233FCB" w14:paraId="456BC70F" w14:textId="77777777" w:rsidTr="3D8CB173">
        <w:tc>
          <w:tcPr>
            <w:tcW w:w="2970" w:type="dxa"/>
            <w:vMerge/>
          </w:tcPr>
          <w:p w14:paraId="4F8F71E7" w14:textId="77777777" w:rsidR="005216C1" w:rsidRPr="00233FCB" w:rsidRDefault="005216C1" w:rsidP="00AB0EB2">
            <w:pPr>
              <w:spacing w:line="0" w:lineRule="atLeast"/>
              <w:jc w:val="both"/>
              <w:rPr>
                <w:rFonts w:ascii="Arial" w:hAnsi="Arial" w:cs="Arial"/>
                <w:lang w:val="es-ES"/>
              </w:rPr>
            </w:pPr>
          </w:p>
        </w:tc>
        <w:tc>
          <w:tcPr>
            <w:tcW w:w="1800" w:type="dxa"/>
          </w:tcPr>
          <w:p w14:paraId="4D1181E9" w14:textId="77777777"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ABC-MOPSV</w:t>
            </w:r>
          </w:p>
        </w:tc>
        <w:tc>
          <w:tcPr>
            <w:tcW w:w="2970" w:type="dxa"/>
          </w:tcPr>
          <w:p w14:paraId="33B19D10" w14:textId="77777777" w:rsidR="005216C1" w:rsidRPr="004040A5" w:rsidRDefault="005216C1" w:rsidP="00AB0EB2">
            <w:pPr>
              <w:pStyle w:val="ListParagraph"/>
              <w:numPr>
                <w:ilvl w:val="0"/>
                <w:numId w:val="7"/>
              </w:numPr>
              <w:spacing w:after="0" w:line="0" w:lineRule="atLeast"/>
              <w:ind w:left="342" w:hanging="450"/>
              <w:jc w:val="both"/>
              <w:rPr>
                <w:rFonts w:ascii="Arial" w:hAnsi="Arial" w:cs="Arial"/>
                <w:sz w:val="20"/>
                <w:szCs w:val="20"/>
                <w:lang w:val="es-ES"/>
              </w:rPr>
            </w:pPr>
            <w:r w:rsidRPr="008B6E48">
              <w:rPr>
                <w:rFonts w:ascii="Arial" w:hAnsi="Arial" w:cs="Arial"/>
                <w:sz w:val="20"/>
                <w:szCs w:val="20"/>
                <w:lang w:val="es-ES"/>
              </w:rPr>
              <w:t xml:space="preserve">Aprobación de un programa de implementación para equipamiento de estaciones de control de pesos y dimensiones vehiculares en la RVF (con presupuesto estimado y </w:t>
            </w:r>
            <w:r w:rsidRPr="004040A5">
              <w:rPr>
                <w:rFonts w:ascii="Arial" w:hAnsi="Arial" w:cs="Arial"/>
                <w:sz w:val="20"/>
                <w:szCs w:val="20"/>
                <w:lang w:val="es-ES"/>
              </w:rPr>
              <w:t>plan de inversiones).</w:t>
            </w:r>
          </w:p>
        </w:tc>
        <w:tc>
          <w:tcPr>
            <w:tcW w:w="3150" w:type="dxa"/>
          </w:tcPr>
          <w:p w14:paraId="3FE34B59" w14:textId="06B8A573" w:rsidR="005216C1" w:rsidRPr="008B6E48" w:rsidRDefault="005216C1" w:rsidP="00AB0EB2">
            <w:pPr>
              <w:spacing w:line="0" w:lineRule="atLeast"/>
              <w:jc w:val="both"/>
              <w:rPr>
                <w:rFonts w:ascii="Arial" w:hAnsi="Arial" w:cs="Arial"/>
                <w:lang w:val="es-ES"/>
              </w:rPr>
            </w:pPr>
            <w:r w:rsidRPr="008B6E48">
              <w:rPr>
                <w:rFonts w:ascii="Arial" w:hAnsi="Arial" w:cs="Arial"/>
                <w:lang w:val="es-ES"/>
              </w:rPr>
              <w:t>Comunicación emitida por la Presidencia de ABC dirigida al Banco, acompañando y certificando la aprobación del Plan Integral de Implementación del Sistema Inteligente de Transporte en la RVF, que incluye un programa de implementación para equipamiento de estaciones de control de pesos y dimensiones vehiculares en la RVF (con presupuesto estimado y plan de inversiones).</w:t>
            </w:r>
          </w:p>
        </w:tc>
        <w:tc>
          <w:tcPr>
            <w:tcW w:w="2070" w:type="dxa"/>
          </w:tcPr>
          <w:p w14:paraId="0DCE7BB0" w14:textId="74AFDEE7" w:rsidR="005216C1" w:rsidRPr="00233FCB" w:rsidRDefault="005216C1" w:rsidP="00AB0EB2">
            <w:pPr>
              <w:spacing w:line="0" w:lineRule="atLeast"/>
              <w:jc w:val="both"/>
              <w:rPr>
                <w:rFonts w:ascii="Arial" w:hAnsi="Arial" w:cs="Arial"/>
                <w:lang w:val="es-ES"/>
              </w:rPr>
            </w:pPr>
            <w:r>
              <w:rPr>
                <w:rFonts w:ascii="Arial" w:hAnsi="Arial" w:cs="Arial"/>
                <w:lang w:val="es-ES"/>
              </w:rPr>
              <w:t>Medio de verificación entregado.</w:t>
            </w:r>
          </w:p>
        </w:tc>
      </w:tr>
      <w:tr w:rsidR="005216C1" w:rsidRPr="00751D67" w14:paraId="4967AE2C" w14:textId="77777777" w:rsidTr="3D8CB173">
        <w:tc>
          <w:tcPr>
            <w:tcW w:w="2970" w:type="dxa"/>
            <w:vMerge/>
          </w:tcPr>
          <w:p w14:paraId="52C06629" w14:textId="77777777" w:rsidR="005216C1" w:rsidRPr="00233FCB" w:rsidRDefault="005216C1" w:rsidP="00AB0EB2">
            <w:pPr>
              <w:spacing w:line="0" w:lineRule="atLeast"/>
              <w:jc w:val="both"/>
              <w:rPr>
                <w:rFonts w:ascii="Arial" w:hAnsi="Arial" w:cs="Arial"/>
                <w:lang w:val="es-ES"/>
              </w:rPr>
            </w:pPr>
          </w:p>
        </w:tc>
        <w:tc>
          <w:tcPr>
            <w:tcW w:w="1800" w:type="dxa"/>
          </w:tcPr>
          <w:p w14:paraId="3A1C1952" w14:textId="7E55A92C" w:rsidR="005216C1" w:rsidRPr="00233FCB" w:rsidRDefault="005216C1" w:rsidP="000164D0">
            <w:pPr>
              <w:spacing w:line="0" w:lineRule="atLeast"/>
              <w:jc w:val="center"/>
              <w:rPr>
                <w:rFonts w:ascii="Arial" w:hAnsi="Arial" w:cs="Arial"/>
                <w:lang w:val="es-ES"/>
              </w:rPr>
            </w:pPr>
            <w:r w:rsidRPr="00233FCB">
              <w:rPr>
                <w:rFonts w:ascii="Arial" w:hAnsi="Arial" w:cs="Arial"/>
                <w:lang w:val="es-ES"/>
              </w:rPr>
              <w:t>VMT-MOPSV-ABC</w:t>
            </w:r>
          </w:p>
        </w:tc>
        <w:tc>
          <w:tcPr>
            <w:tcW w:w="2970" w:type="dxa"/>
          </w:tcPr>
          <w:p w14:paraId="6304443D" w14:textId="74F7791E" w:rsidR="005216C1" w:rsidRPr="008B6E48" w:rsidRDefault="005216C1" w:rsidP="004913C8">
            <w:pPr>
              <w:pStyle w:val="ListParagraph"/>
              <w:numPr>
                <w:ilvl w:val="0"/>
                <w:numId w:val="7"/>
              </w:numPr>
              <w:spacing w:after="0" w:line="0" w:lineRule="atLeast"/>
              <w:ind w:left="342" w:hanging="450"/>
              <w:jc w:val="both"/>
              <w:rPr>
                <w:rFonts w:ascii="Arial" w:hAnsi="Arial" w:cs="Arial"/>
                <w:sz w:val="20"/>
                <w:szCs w:val="20"/>
                <w:lang w:val="es-ES"/>
              </w:rPr>
            </w:pPr>
            <w:r w:rsidRPr="008B6E48">
              <w:rPr>
                <w:rFonts w:ascii="Arial" w:hAnsi="Arial" w:cs="Arial"/>
                <w:sz w:val="20"/>
                <w:szCs w:val="20"/>
                <w:lang w:val="es-ES"/>
              </w:rPr>
              <w:t xml:space="preserve">Remisión a la Asamblea </w:t>
            </w:r>
            <w:r w:rsidRPr="004040A5">
              <w:rPr>
                <w:rFonts w:ascii="Arial" w:hAnsi="Arial" w:cs="Arial"/>
                <w:sz w:val="20"/>
                <w:szCs w:val="20"/>
                <w:lang w:val="es-ES"/>
              </w:rPr>
              <w:t xml:space="preserve">Legislativa </w:t>
            </w:r>
            <w:r>
              <w:rPr>
                <w:rFonts w:ascii="Arial" w:hAnsi="Arial" w:cs="Arial"/>
                <w:sz w:val="20"/>
                <w:szCs w:val="20"/>
                <w:lang w:val="es-ES"/>
              </w:rPr>
              <w:t xml:space="preserve">de </w:t>
            </w:r>
            <w:r w:rsidRPr="004040A5">
              <w:rPr>
                <w:rFonts w:ascii="Arial" w:hAnsi="Arial" w:cs="Arial"/>
                <w:sz w:val="20"/>
                <w:szCs w:val="20"/>
                <w:lang w:val="es-ES"/>
              </w:rPr>
              <w:t xml:space="preserve">un </w:t>
            </w:r>
            <w:r w:rsidRPr="008B6E48">
              <w:rPr>
                <w:rFonts w:ascii="Arial" w:hAnsi="Arial" w:cs="Arial"/>
                <w:sz w:val="20"/>
                <w:szCs w:val="20"/>
                <w:lang w:val="es-ES"/>
              </w:rPr>
              <w:t xml:space="preserve">anteproyecto de ley del derecho de vía y del registro de dominio vial, en el cual se incluyen aspectos relacionados con los criterios generales para determinar el ancho de la </w:t>
            </w:r>
            <w:r w:rsidRPr="008B6E48">
              <w:rPr>
                <w:rFonts w:ascii="Arial" w:hAnsi="Arial" w:cs="Arial"/>
                <w:sz w:val="20"/>
                <w:szCs w:val="20"/>
                <w:lang w:val="es-ES"/>
              </w:rPr>
              <w:lastRenderedPageBreak/>
              <w:t>zona de vía, tomando en cuenta los posibles usos y la forma de los mismos.</w:t>
            </w:r>
          </w:p>
        </w:tc>
        <w:tc>
          <w:tcPr>
            <w:tcW w:w="3150" w:type="dxa"/>
          </w:tcPr>
          <w:p w14:paraId="35BAD61E" w14:textId="5C3C0BEE" w:rsidR="005216C1" w:rsidRPr="008B6E48" w:rsidRDefault="005216C1" w:rsidP="00AB0EB2">
            <w:pPr>
              <w:spacing w:line="0" w:lineRule="atLeast"/>
              <w:jc w:val="both"/>
              <w:rPr>
                <w:rFonts w:ascii="Arial" w:hAnsi="Arial" w:cs="Arial"/>
                <w:lang w:val="es-ES"/>
              </w:rPr>
            </w:pPr>
            <w:r w:rsidRPr="008B6E48">
              <w:rPr>
                <w:rFonts w:ascii="Arial" w:hAnsi="Arial" w:cs="Arial"/>
                <w:lang w:val="es-ES"/>
              </w:rPr>
              <w:lastRenderedPageBreak/>
              <w:t xml:space="preserve">Nota de remisión del Anteproyecto de Ley del Derecho de Vía y </w:t>
            </w:r>
            <w:r w:rsidR="00E82445">
              <w:rPr>
                <w:rFonts w:ascii="Arial" w:hAnsi="Arial" w:cs="Arial"/>
                <w:lang w:val="es-ES"/>
              </w:rPr>
              <w:t>del Registro de Dominio V</w:t>
            </w:r>
            <w:r w:rsidRPr="008B6E48">
              <w:rPr>
                <w:rFonts w:ascii="Arial" w:hAnsi="Arial" w:cs="Arial"/>
                <w:lang w:val="es-ES"/>
              </w:rPr>
              <w:t>ial por parte del Ministerio de la Presidencia, con el sello de recepción de la Asamblea Legislativa, acompañada por el Anteproyecto de Ley.</w:t>
            </w:r>
          </w:p>
        </w:tc>
        <w:tc>
          <w:tcPr>
            <w:tcW w:w="2070" w:type="dxa"/>
          </w:tcPr>
          <w:p w14:paraId="64783EC2" w14:textId="06A29643" w:rsidR="00622023" w:rsidRPr="00C00B0C" w:rsidRDefault="005216C1" w:rsidP="00622023">
            <w:pPr>
              <w:rPr>
                <w:rFonts w:ascii="Segoe UI" w:hAnsi="Segoe UI" w:cs="Segoe UI"/>
                <w:color w:val="1A1A1A"/>
                <w:lang w:val="es-ES_tradnl"/>
              </w:rPr>
            </w:pPr>
            <w:r>
              <w:rPr>
                <w:rFonts w:ascii="Arial" w:hAnsi="Arial" w:cs="Arial"/>
                <w:lang w:val="es-ES"/>
              </w:rPr>
              <w:t xml:space="preserve">Medio de verificación entregado. </w:t>
            </w:r>
            <w:r w:rsidR="00622023" w:rsidRPr="00C00B0C">
              <w:rPr>
                <w:rFonts w:ascii="Arial" w:hAnsi="Arial" w:cs="Arial"/>
                <w:lang w:val="es-ES"/>
              </w:rPr>
              <w:t xml:space="preserve"> El An</w:t>
            </w:r>
            <w:r w:rsidR="00622023" w:rsidRPr="00622023">
              <w:rPr>
                <w:rFonts w:ascii="Arial" w:hAnsi="Arial" w:cs="Arial"/>
                <w:lang w:val="es-ES"/>
              </w:rPr>
              <w:t xml:space="preserve">teproyecto de Ley fue Remitido </w:t>
            </w:r>
            <w:r w:rsidR="00622023" w:rsidRPr="00C00B0C">
              <w:rPr>
                <w:rFonts w:ascii="Arial" w:hAnsi="Arial" w:cs="Arial"/>
                <w:lang w:val="es-ES"/>
              </w:rPr>
              <w:t xml:space="preserve">a la Asamblea Legislativa y fue aprobada como Ley </w:t>
            </w:r>
            <w:r w:rsidR="00622023" w:rsidRPr="00C00B0C">
              <w:rPr>
                <w:rFonts w:ascii="Arial" w:hAnsi="Arial" w:cs="Arial"/>
                <w:lang w:val="es-ES"/>
              </w:rPr>
              <w:lastRenderedPageBreak/>
              <w:t>Nº966 el 13 de julio de 2017</w:t>
            </w:r>
            <w:r w:rsidR="00622023">
              <w:rPr>
                <w:rFonts w:ascii="Arial" w:hAnsi="Arial" w:cs="Arial"/>
                <w:lang w:val="es-ES"/>
              </w:rPr>
              <w:t>.</w:t>
            </w:r>
          </w:p>
          <w:p w14:paraId="5BB4FD56" w14:textId="3A3C4167" w:rsidR="005216C1" w:rsidRPr="00C00B0C" w:rsidRDefault="005216C1" w:rsidP="008005B7">
            <w:pPr>
              <w:spacing w:line="0" w:lineRule="atLeast"/>
              <w:jc w:val="both"/>
              <w:rPr>
                <w:rFonts w:ascii="Arial" w:hAnsi="Arial" w:cs="Arial"/>
                <w:lang w:val="es-ES_tradnl"/>
              </w:rPr>
            </w:pPr>
          </w:p>
        </w:tc>
      </w:tr>
      <w:tr w:rsidR="00F20A68" w:rsidRPr="00751D67" w14:paraId="5633208D" w14:textId="77777777" w:rsidTr="00C00B0C">
        <w:tc>
          <w:tcPr>
            <w:tcW w:w="12960" w:type="dxa"/>
            <w:gridSpan w:val="5"/>
            <w:shd w:val="clear" w:color="auto" w:fill="D9D9D9" w:themeFill="background1" w:themeFillShade="D9"/>
          </w:tcPr>
          <w:p w14:paraId="2991B756" w14:textId="06F290D2" w:rsidR="00F20A68" w:rsidRPr="00233FCB" w:rsidRDefault="00F20A68" w:rsidP="00AB0EB2">
            <w:pPr>
              <w:spacing w:line="0" w:lineRule="atLeast"/>
              <w:jc w:val="both"/>
              <w:rPr>
                <w:rFonts w:ascii="Arial" w:hAnsi="Arial" w:cs="Arial"/>
                <w:lang w:val="es-ES"/>
              </w:rPr>
            </w:pPr>
            <w:r w:rsidRPr="00233FCB">
              <w:rPr>
                <w:rFonts w:ascii="Arial" w:hAnsi="Arial" w:cs="Arial"/>
                <w:b/>
                <w:lang w:val="es-ES"/>
              </w:rPr>
              <w:lastRenderedPageBreak/>
              <w:t>Subcomponente 2.3. Marco Regulatorio y Normativo para el Transporte Ferroviario</w:t>
            </w:r>
            <w:r w:rsidR="0000260F" w:rsidRPr="00233FCB">
              <w:rPr>
                <w:rFonts w:ascii="Arial" w:hAnsi="Arial" w:cs="Arial"/>
                <w:b/>
                <w:lang w:val="es-ES"/>
              </w:rPr>
              <w:t>.</w:t>
            </w:r>
          </w:p>
        </w:tc>
      </w:tr>
      <w:tr w:rsidR="00F20A68" w:rsidRPr="00233FCB" w14:paraId="65197527" w14:textId="77777777" w:rsidTr="3D8CB173">
        <w:tc>
          <w:tcPr>
            <w:tcW w:w="2970" w:type="dxa"/>
          </w:tcPr>
          <w:p w14:paraId="0274B7EA" w14:textId="77777777" w:rsidR="00F20A68" w:rsidRPr="00233FCB" w:rsidRDefault="00F20A68" w:rsidP="00DC714B">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Desarrollar el marco regulatorio de la Ley 165, en relación a la prestación del servicio en términos de calidad, seguridad y economía, a fin de lograr un servicio de mejor calidad y eficiencia.</w:t>
            </w:r>
          </w:p>
          <w:p w14:paraId="52C034B1" w14:textId="77777777" w:rsidR="00F20A68" w:rsidRPr="00233FCB" w:rsidRDefault="00F20A68" w:rsidP="00DC714B">
            <w:pPr>
              <w:pStyle w:val="ListParagraph"/>
              <w:suppressAutoHyphens/>
              <w:spacing w:after="0" w:line="0" w:lineRule="atLeast"/>
              <w:ind w:left="151"/>
              <w:jc w:val="both"/>
              <w:rPr>
                <w:rFonts w:ascii="Arial" w:hAnsi="Arial" w:cs="Arial"/>
                <w:sz w:val="20"/>
                <w:szCs w:val="20"/>
                <w:lang w:val="es-ES"/>
              </w:rPr>
            </w:pPr>
          </w:p>
          <w:p w14:paraId="32B25C58" w14:textId="77777777" w:rsidR="00F20A68" w:rsidRPr="00233FCB" w:rsidRDefault="00F20A68" w:rsidP="00DC714B">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Implementar la regulación y fiscalización en las áreas de derechos y obligaciones, tarifas y seguros.</w:t>
            </w:r>
          </w:p>
        </w:tc>
        <w:tc>
          <w:tcPr>
            <w:tcW w:w="1800" w:type="dxa"/>
          </w:tcPr>
          <w:p w14:paraId="7F8D77FA"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7140B41E" w14:textId="3913EB79" w:rsidR="00F20A68" w:rsidRPr="00233FCB" w:rsidRDefault="00B437E8" w:rsidP="003923D0">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Aprobación </w:t>
            </w:r>
            <w:r w:rsidR="003A182A">
              <w:rPr>
                <w:rFonts w:ascii="Arial" w:hAnsi="Arial" w:cs="Arial"/>
                <w:sz w:val="20"/>
                <w:szCs w:val="20"/>
                <w:lang w:val="es-ES"/>
              </w:rPr>
              <w:t xml:space="preserve">de la reglamentación </w:t>
            </w:r>
            <w:r w:rsidR="008B038B">
              <w:rPr>
                <w:rFonts w:ascii="Arial" w:hAnsi="Arial" w:cs="Arial"/>
                <w:sz w:val="20"/>
                <w:szCs w:val="20"/>
                <w:lang w:val="es-ES"/>
              </w:rPr>
              <w:t xml:space="preserve">regulatoria </w:t>
            </w:r>
            <w:r w:rsidR="003A182A">
              <w:rPr>
                <w:rFonts w:ascii="Arial" w:hAnsi="Arial" w:cs="Arial"/>
                <w:sz w:val="20"/>
                <w:szCs w:val="20"/>
                <w:lang w:val="es-ES"/>
              </w:rPr>
              <w:t>para</w:t>
            </w:r>
            <w:r w:rsidR="0000260F" w:rsidRPr="00233FCB">
              <w:rPr>
                <w:rFonts w:ascii="Arial" w:hAnsi="Arial" w:cs="Arial"/>
                <w:sz w:val="20"/>
                <w:szCs w:val="20"/>
                <w:lang w:val="es-ES"/>
              </w:rPr>
              <w:t xml:space="preserve"> la </w:t>
            </w:r>
            <w:r w:rsidR="008B038B">
              <w:rPr>
                <w:rFonts w:ascii="Arial" w:hAnsi="Arial" w:cs="Arial"/>
                <w:sz w:val="20"/>
                <w:szCs w:val="20"/>
                <w:lang w:val="es-ES"/>
              </w:rPr>
              <w:t>m</w:t>
            </w:r>
            <w:r w:rsidR="0000260F" w:rsidRPr="00233FCB">
              <w:rPr>
                <w:rFonts w:ascii="Arial" w:hAnsi="Arial" w:cs="Arial"/>
                <w:sz w:val="20"/>
                <w:szCs w:val="20"/>
                <w:lang w:val="es-ES"/>
              </w:rPr>
              <w:t xml:space="preserve">odalidad de </w:t>
            </w:r>
            <w:r w:rsidR="008B038B">
              <w:rPr>
                <w:rFonts w:ascii="Arial" w:hAnsi="Arial" w:cs="Arial"/>
                <w:sz w:val="20"/>
                <w:szCs w:val="20"/>
                <w:lang w:val="es-ES"/>
              </w:rPr>
              <w:t>t</w:t>
            </w:r>
            <w:r w:rsidR="0000260F" w:rsidRPr="00233FCB">
              <w:rPr>
                <w:rFonts w:ascii="Arial" w:hAnsi="Arial" w:cs="Arial"/>
                <w:sz w:val="20"/>
                <w:szCs w:val="20"/>
                <w:lang w:val="es-ES"/>
              </w:rPr>
              <w:t xml:space="preserve">ransporte </w:t>
            </w:r>
            <w:r w:rsidR="008B038B">
              <w:rPr>
                <w:rFonts w:ascii="Arial" w:hAnsi="Arial" w:cs="Arial"/>
                <w:sz w:val="20"/>
                <w:szCs w:val="20"/>
                <w:lang w:val="es-ES"/>
              </w:rPr>
              <w:t>f</w:t>
            </w:r>
            <w:r w:rsidR="0000260F" w:rsidRPr="00233FCB">
              <w:rPr>
                <w:rFonts w:ascii="Arial" w:hAnsi="Arial" w:cs="Arial"/>
                <w:sz w:val="20"/>
                <w:szCs w:val="20"/>
                <w:lang w:val="es-ES"/>
              </w:rPr>
              <w:t>erroviario</w:t>
            </w:r>
            <w:r w:rsidRPr="00233FCB">
              <w:rPr>
                <w:rFonts w:ascii="Arial" w:hAnsi="Arial" w:cs="Arial"/>
                <w:sz w:val="20"/>
                <w:szCs w:val="20"/>
                <w:lang w:val="es-ES"/>
              </w:rPr>
              <w:t xml:space="preserve">, en </w:t>
            </w:r>
            <w:r w:rsidR="004040A5">
              <w:rPr>
                <w:rFonts w:ascii="Arial" w:hAnsi="Arial" w:cs="Arial"/>
                <w:sz w:val="20"/>
                <w:szCs w:val="20"/>
                <w:lang w:val="es-ES"/>
              </w:rPr>
              <w:t>la</w:t>
            </w:r>
            <w:r w:rsidR="004040A5" w:rsidRPr="00233FCB">
              <w:rPr>
                <w:rFonts w:ascii="Arial" w:hAnsi="Arial" w:cs="Arial"/>
                <w:sz w:val="20"/>
                <w:szCs w:val="20"/>
                <w:lang w:val="es-ES"/>
              </w:rPr>
              <w:t xml:space="preserve"> </w:t>
            </w:r>
            <w:r w:rsidRPr="00233FCB">
              <w:rPr>
                <w:rFonts w:ascii="Arial" w:hAnsi="Arial" w:cs="Arial"/>
                <w:sz w:val="20"/>
                <w:szCs w:val="20"/>
                <w:lang w:val="es-ES"/>
              </w:rPr>
              <w:t>cual se incluyen entre otros, aspectos relacionados con derechos, obligaciones y prohibiciones en conformidad con lo establecido en la Ley 165, control y fiscalización de servicios, regulación tarifaria, seguros, infracciones y sanciones, y defensa de la competencia.</w:t>
            </w:r>
          </w:p>
        </w:tc>
        <w:tc>
          <w:tcPr>
            <w:tcW w:w="3150" w:type="dxa"/>
          </w:tcPr>
          <w:p w14:paraId="5A4ADE4E" w14:textId="4C3D4212" w:rsidR="00F20A68" w:rsidRPr="00120946" w:rsidRDefault="006B41A2" w:rsidP="00AB0EB2">
            <w:pPr>
              <w:spacing w:line="0" w:lineRule="atLeast"/>
              <w:jc w:val="both"/>
              <w:rPr>
                <w:rFonts w:ascii="Arial" w:hAnsi="Arial" w:cs="Arial"/>
                <w:lang w:val="es-ES"/>
              </w:rPr>
            </w:pPr>
            <w:r w:rsidRPr="00120946">
              <w:rPr>
                <w:rFonts w:ascii="Arial" w:hAnsi="Arial" w:cs="Arial"/>
                <w:lang w:val="es-ES"/>
              </w:rPr>
              <w:t>Resolución Ministerial emitida por el MOPSV, aprobando el Reglamento</w:t>
            </w:r>
            <w:r w:rsidR="003A182A" w:rsidRPr="004040A5">
              <w:rPr>
                <w:rFonts w:ascii="Arial" w:hAnsi="Arial" w:cs="Arial"/>
                <w:lang w:val="es-ES"/>
              </w:rPr>
              <w:t xml:space="preserve"> Regulatorio para la </w:t>
            </w:r>
            <w:r w:rsidR="00120A39" w:rsidRPr="00120946">
              <w:rPr>
                <w:rFonts w:ascii="Arial" w:hAnsi="Arial" w:cs="Arial"/>
                <w:lang w:val="es-ES"/>
              </w:rPr>
              <w:t>M</w:t>
            </w:r>
            <w:r w:rsidR="003A182A" w:rsidRPr="00120946">
              <w:rPr>
                <w:rFonts w:ascii="Arial" w:hAnsi="Arial" w:cs="Arial"/>
                <w:lang w:val="es-ES"/>
              </w:rPr>
              <w:t xml:space="preserve">odalidad </w:t>
            </w:r>
            <w:r w:rsidR="00120A39" w:rsidRPr="00120946">
              <w:rPr>
                <w:rFonts w:ascii="Arial" w:hAnsi="Arial" w:cs="Arial"/>
                <w:lang w:val="es-ES"/>
              </w:rPr>
              <w:t>de Transporte F</w:t>
            </w:r>
            <w:r w:rsidR="003A182A" w:rsidRPr="00120946">
              <w:rPr>
                <w:rFonts w:ascii="Arial" w:hAnsi="Arial" w:cs="Arial"/>
                <w:lang w:val="es-ES"/>
              </w:rPr>
              <w:t>erroviario</w:t>
            </w:r>
            <w:r w:rsidRPr="00120946">
              <w:rPr>
                <w:rFonts w:ascii="Arial" w:hAnsi="Arial" w:cs="Arial"/>
                <w:lang w:val="es-ES"/>
              </w:rPr>
              <w:t>.</w:t>
            </w:r>
          </w:p>
        </w:tc>
        <w:tc>
          <w:tcPr>
            <w:tcW w:w="2070" w:type="dxa"/>
          </w:tcPr>
          <w:p w14:paraId="053F3679" w14:textId="651C8BEC" w:rsidR="00F20A68" w:rsidRPr="00233FCB" w:rsidRDefault="006B41A2" w:rsidP="008005B7">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34A1C1A4" w14:textId="77777777" w:rsidTr="00C00B0C">
        <w:tc>
          <w:tcPr>
            <w:tcW w:w="2970" w:type="dxa"/>
            <w:vMerge w:val="restart"/>
            <w:vAlign w:val="center"/>
          </w:tcPr>
          <w:p w14:paraId="1CB05806" w14:textId="77777777" w:rsidR="00F20A68" w:rsidRPr="00233FCB" w:rsidRDefault="00F20A68" w:rsidP="00DC714B">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Desarrollar la Reglamentación Técnica para la Modalidad de Transporte Ferroviario, que permita normar aspectos relacionados con la infraestructura, seguridad y medio ambiente, a fin de fomentar el uso de la red ferroviaria para transporte de carga y pasajeros, incentivando un transporte seguro y multimodal.</w:t>
            </w:r>
          </w:p>
        </w:tc>
        <w:tc>
          <w:tcPr>
            <w:tcW w:w="1800" w:type="dxa"/>
          </w:tcPr>
          <w:p w14:paraId="342DA583"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5633696E" w14:textId="579FA978"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Aprobación del Manual Ambiental para la Construcción de Vías Férreas, que incluye </w:t>
            </w:r>
            <w:r w:rsidR="004040A5">
              <w:rPr>
                <w:rFonts w:ascii="Arial" w:hAnsi="Arial" w:cs="Arial"/>
                <w:sz w:val="20"/>
                <w:szCs w:val="20"/>
                <w:lang w:val="es-ES"/>
              </w:rPr>
              <w:t xml:space="preserve">la </w:t>
            </w:r>
            <w:r w:rsidRPr="00233FCB">
              <w:rPr>
                <w:rFonts w:ascii="Arial" w:hAnsi="Arial" w:cs="Arial"/>
                <w:sz w:val="20"/>
                <w:szCs w:val="20"/>
                <w:lang w:val="es-ES"/>
              </w:rPr>
              <w:t xml:space="preserve">normativa y </w:t>
            </w:r>
            <w:r w:rsidR="004040A5">
              <w:rPr>
                <w:rFonts w:ascii="Arial" w:hAnsi="Arial" w:cs="Arial"/>
                <w:sz w:val="20"/>
                <w:szCs w:val="20"/>
                <w:lang w:val="es-ES"/>
              </w:rPr>
              <w:t xml:space="preserve">las </w:t>
            </w:r>
            <w:r w:rsidRPr="00233FCB">
              <w:rPr>
                <w:rFonts w:ascii="Arial" w:hAnsi="Arial" w:cs="Arial"/>
                <w:sz w:val="20"/>
                <w:szCs w:val="20"/>
                <w:lang w:val="es-ES"/>
              </w:rPr>
              <w:t>recomendaciones para la construcción de infraestructura ferroviaria.</w:t>
            </w:r>
          </w:p>
        </w:tc>
        <w:tc>
          <w:tcPr>
            <w:tcW w:w="3150" w:type="dxa"/>
          </w:tcPr>
          <w:p w14:paraId="0D608ECF" w14:textId="1330BF58" w:rsidR="00F20A68" w:rsidRPr="00120946" w:rsidRDefault="00F20A68" w:rsidP="00AB0EB2">
            <w:pPr>
              <w:spacing w:line="0" w:lineRule="atLeast"/>
              <w:jc w:val="both"/>
              <w:rPr>
                <w:rFonts w:ascii="Arial" w:hAnsi="Arial" w:cs="Arial"/>
                <w:lang w:val="es-ES"/>
              </w:rPr>
            </w:pPr>
            <w:r w:rsidRPr="00120946">
              <w:rPr>
                <w:rFonts w:ascii="Arial" w:hAnsi="Arial" w:cs="Arial"/>
                <w:lang w:val="es-ES"/>
              </w:rPr>
              <w:t xml:space="preserve">Resolución Ministerial emitida por el </w:t>
            </w:r>
            <w:r w:rsidR="003A182A" w:rsidRPr="00120946">
              <w:rPr>
                <w:rFonts w:ascii="Arial" w:hAnsi="Arial" w:cs="Arial"/>
                <w:lang w:val="es-ES"/>
              </w:rPr>
              <w:t>MOPSV,</w:t>
            </w:r>
            <w:r w:rsidRPr="00120946">
              <w:rPr>
                <w:rFonts w:ascii="Arial" w:hAnsi="Arial" w:cs="Arial"/>
                <w:lang w:val="es-ES"/>
              </w:rPr>
              <w:t xml:space="preserve"> acompañada del Manual.</w:t>
            </w:r>
          </w:p>
        </w:tc>
        <w:tc>
          <w:tcPr>
            <w:tcW w:w="2070" w:type="dxa"/>
          </w:tcPr>
          <w:p w14:paraId="4C53599D" w14:textId="502947F1" w:rsidR="00F20A68" w:rsidRPr="00233FCB" w:rsidRDefault="00C5434C"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6AF145B5" w14:textId="77777777" w:rsidTr="3D8CB173">
        <w:tc>
          <w:tcPr>
            <w:tcW w:w="2970" w:type="dxa"/>
            <w:vMerge/>
          </w:tcPr>
          <w:p w14:paraId="3C8E6FBE" w14:textId="77777777" w:rsidR="00F20A68" w:rsidRPr="00233FCB" w:rsidRDefault="00F20A68" w:rsidP="00AB0EB2">
            <w:pPr>
              <w:spacing w:line="0" w:lineRule="atLeast"/>
              <w:jc w:val="both"/>
              <w:rPr>
                <w:rFonts w:ascii="Arial" w:hAnsi="Arial" w:cs="Arial"/>
                <w:lang w:val="es-ES"/>
              </w:rPr>
            </w:pPr>
          </w:p>
        </w:tc>
        <w:tc>
          <w:tcPr>
            <w:tcW w:w="1800" w:type="dxa"/>
          </w:tcPr>
          <w:p w14:paraId="3F61AA95"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20D9F8D0" w14:textId="0249A539" w:rsidR="00F20A68" w:rsidRPr="00C00B0C" w:rsidRDefault="00F20A68" w:rsidP="000E3D0C">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Aprobación </w:t>
            </w:r>
            <w:r w:rsidR="003A182A">
              <w:rPr>
                <w:rFonts w:ascii="Arial" w:hAnsi="Arial" w:cs="Arial"/>
                <w:sz w:val="20"/>
                <w:szCs w:val="20"/>
                <w:lang w:val="es-ES"/>
              </w:rPr>
              <w:t>de la reglamentación</w:t>
            </w:r>
            <w:r w:rsidRPr="00C00B0C">
              <w:rPr>
                <w:rFonts w:ascii="Arial" w:hAnsi="Arial" w:cs="Arial"/>
                <w:sz w:val="20"/>
                <w:szCs w:val="20"/>
                <w:lang w:val="es-ES"/>
              </w:rPr>
              <w:t xml:space="preserve"> para el </w:t>
            </w:r>
            <w:r w:rsidR="004040A5">
              <w:rPr>
                <w:rFonts w:ascii="Arial" w:hAnsi="Arial" w:cs="Arial"/>
                <w:sz w:val="20"/>
                <w:szCs w:val="20"/>
                <w:lang w:val="es-ES"/>
              </w:rPr>
              <w:t>t</w:t>
            </w:r>
            <w:r w:rsidRPr="00C00B0C">
              <w:rPr>
                <w:rFonts w:ascii="Arial" w:hAnsi="Arial" w:cs="Arial"/>
                <w:sz w:val="20"/>
                <w:szCs w:val="20"/>
                <w:lang w:val="es-ES"/>
              </w:rPr>
              <w:t xml:space="preserve">ransporte de </w:t>
            </w:r>
            <w:r w:rsidR="004040A5" w:rsidRPr="004040A5">
              <w:rPr>
                <w:rFonts w:ascii="Arial" w:hAnsi="Arial" w:cs="Arial"/>
                <w:sz w:val="20"/>
                <w:szCs w:val="20"/>
                <w:lang w:val="es-ES"/>
              </w:rPr>
              <w:t>m</w:t>
            </w:r>
            <w:r w:rsidR="003A182A" w:rsidRPr="00C00B0C">
              <w:rPr>
                <w:rFonts w:ascii="Arial" w:hAnsi="Arial" w:cs="Arial"/>
                <w:sz w:val="20"/>
                <w:szCs w:val="20"/>
                <w:lang w:val="es-ES"/>
              </w:rPr>
              <w:t xml:space="preserve">ercancías </w:t>
            </w:r>
            <w:r w:rsidR="004040A5">
              <w:rPr>
                <w:rFonts w:ascii="Arial" w:hAnsi="Arial" w:cs="Arial"/>
                <w:sz w:val="20"/>
                <w:szCs w:val="20"/>
                <w:lang w:val="es-ES"/>
              </w:rPr>
              <w:t>p</w:t>
            </w:r>
            <w:r w:rsidRPr="00C00B0C">
              <w:rPr>
                <w:rFonts w:ascii="Arial" w:hAnsi="Arial" w:cs="Arial"/>
                <w:sz w:val="20"/>
                <w:szCs w:val="20"/>
                <w:lang w:val="es-ES"/>
              </w:rPr>
              <w:t xml:space="preserve">eligrosas por </w:t>
            </w:r>
            <w:r w:rsidR="004040A5">
              <w:rPr>
                <w:rFonts w:ascii="Arial" w:hAnsi="Arial" w:cs="Arial"/>
                <w:sz w:val="20"/>
                <w:szCs w:val="20"/>
                <w:lang w:val="es-ES"/>
              </w:rPr>
              <w:t>v</w:t>
            </w:r>
            <w:r w:rsidRPr="00C00B0C">
              <w:rPr>
                <w:rFonts w:ascii="Arial" w:hAnsi="Arial" w:cs="Arial"/>
                <w:sz w:val="20"/>
                <w:szCs w:val="20"/>
                <w:lang w:val="es-ES"/>
              </w:rPr>
              <w:t xml:space="preserve">ía </w:t>
            </w:r>
            <w:r w:rsidR="004040A5">
              <w:rPr>
                <w:rFonts w:ascii="Arial" w:hAnsi="Arial" w:cs="Arial"/>
                <w:sz w:val="20"/>
                <w:szCs w:val="20"/>
                <w:lang w:val="es-ES"/>
              </w:rPr>
              <w:t>f</w:t>
            </w:r>
            <w:r w:rsidRPr="00C00B0C">
              <w:rPr>
                <w:rFonts w:ascii="Arial" w:hAnsi="Arial" w:cs="Arial"/>
                <w:sz w:val="20"/>
                <w:szCs w:val="20"/>
                <w:lang w:val="es-ES"/>
              </w:rPr>
              <w:t xml:space="preserve">érrea, en </w:t>
            </w:r>
            <w:r w:rsidR="004040A5">
              <w:rPr>
                <w:rFonts w:ascii="Arial" w:hAnsi="Arial" w:cs="Arial"/>
                <w:sz w:val="20"/>
                <w:szCs w:val="20"/>
                <w:lang w:val="es-ES"/>
              </w:rPr>
              <w:t>la</w:t>
            </w:r>
            <w:r w:rsidRPr="00C00B0C">
              <w:rPr>
                <w:rFonts w:ascii="Arial" w:hAnsi="Arial" w:cs="Arial"/>
                <w:sz w:val="20"/>
                <w:szCs w:val="20"/>
                <w:lang w:val="es-ES"/>
              </w:rPr>
              <w:t xml:space="preserve"> cual se incluyen aspectos relacionados con las condiciones para el manejo y transporte de mercancías peligrosas por vías férreas, con el fin de </w:t>
            </w:r>
            <w:r w:rsidRPr="00C00B0C">
              <w:rPr>
                <w:rFonts w:ascii="Arial" w:hAnsi="Arial" w:cs="Arial"/>
                <w:sz w:val="20"/>
                <w:szCs w:val="20"/>
                <w:lang w:val="es-ES"/>
              </w:rPr>
              <w:lastRenderedPageBreak/>
              <w:t>minimizar los riesgos y velar por la seguridad, la salud de los habitantes y la protección del medio ambiente.</w:t>
            </w:r>
          </w:p>
        </w:tc>
        <w:tc>
          <w:tcPr>
            <w:tcW w:w="3150" w:type="dxa"/>
          </w:tcPr>
          <w:p w14:paraId="652AFF81" w14:textId="534A4D53" w:rsidR="00F20A68" w:rsidRPr="00120946" w:rsidRDefault="00F20A68" w:rsidP="00AB0EB2">
            <w:pPr>
              <w:suppressAutoHyphens/>
              <w:spacing w:line="0" w:lineRule="atLeast"/>
              <w:rPr>
                <w:rFonts w:ascii="Arial" w:hAnsi="Arial" w:cs="Arial"/>
                <w:lang w:val="es-ES"/>
              </w:rPr>
            </w:pPr>
            <w:r w:rsidRPr="00120946">
              <w:rPr>
                <w:rFonts w:ascii="Arial" w:hAnsi="Arial" w:cs="Arial"/>
                <w:lang w:val="es-ES"/>
              </w:rPr>
              <w:lastRenderedPageBreak/>
              <w:t>Decreto supremo publicado en la Gaceta Oficial de Bolivia</w:t>
            </w:r>
            <w:r w:rsidR="003A182A" w:rsidRPr="004040A5">
              <w:rPr>
                <w:rFonts w:ascii="Arial" w:hAnsi="Arial" w:cs="Arial"/>
                <w:lang w:val="es-ES"/>
              </w:rPr>
              <w:t>,</w:t>
            </w:r>
            <w:r w:rsidRPr="004040A5">
              <w:rPr>
                <w:rFonts w:ascii="Arial" w:hAnsi="Arial" w:cs="Arial"/>
                <w:lang w:val="es-ES"/>
              </w:rPr>
              <w:t xml:space="preserve"> acompañado del Reglamento</w:t>
            </w:r>
            <w:r w:rsidR="003A182A" w:rsidRPr="00120946">
              <w:rPr>
                <w:rFonts w:ascii="Arial" w:hAnsi="Arial" w:cs="Arial"/>
                <w:lang w:val="es-ES"/>
              </w:rPr>
              <w:t xml:space="preserve"> de Transporte de Mercancías Peligrosas por Carretera y Vía Férrea</w:t>
            </w:r>
            <w:r w:rsidRPr="00120946">
              <w:rPr>
                <w:rFonts w:ascii="Arial" w:hAnsi="Arial" w:cs="Arial"/>
                <w:lang w:val="es-ES"/>
              </w:rPr>
              <w:t>.</w:t>
            </w:r>
          </w:p>
          <w:p w14:paraId="3D98DDB1" w14:textId="77777777" w:rsidR="00F20A68" w:rsidRPr="00120946" w:rsidRDefault="00F20A68" w:rsidP="00AB0EB2">
            <w:pPr>
              <w:spacing w:line="0" w:lineRule="atLeast"/>
              <w:jc w:val="both"/>
              <w:rPr>
                <w:rFonts w:ascii="Arial" w:hAnsi="Arial" w:cs="Arial"/>
                <w:lang w:val="es-ES"/>
              </w:rPr>
            </w:pPr>
          </w:p>
        </w:tc>
        <w:tc>
          <w:tcPr>
            <w:tcW w:w="2070" w:type="dxa"/>
          </w:tcPr>
          <w:p w14:paraId="2C7DA35F" w14:textId="5E543613" w:rsidR="00F20A68" w:rsidRPr="00233FCB" w:rsidRDefault="00C5434C" w:rsidP="008005B7">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6646FA0F" w14:textId="77777777" w:rsidTr="3D8CB173">
        <w:tc>
          <w:tcPr>
            <w:tcW w:w="2970" w:type="dxa"/>
            <w:vMerge/>
          </w:tcPr>
          <w:p w14:paraId="450C148F" w14:textId="77777777" w:rsidR="00F20A68" w:rsidRPr="00233FCB" w:rsidRDefault="00F20A68" w:rsidP="00AB0EB2">
            <w:pPr>
              <w:spacing w:line="0" w:lineRule="atLeast"/>
              <w:jc w:val="both"/>
              <w:rPr>
                <w:rFonts w:ascii="Arial" w:hAnsi="Arial" w:cs="Arial"/>
                <w:lang w:val="es-ES"/>
              </w:rPr>
            </w:pPr>
          </w:p>
        </w:tc>
        <w:tc>
          <w:tcPr>
            <w:tcW w:w="1800" w:type="dxa"/>
          </w:tcPr>
          <w:p w14:paraId="7B7D89B0"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1A1819AE" w14:textId="6E242853" w:rsidR="00F20A68" w:rsidRPr="00C00B0C" w:rsidRDefault="00BE69B3" w:rsidP="00862C07">
            <w:pPr>
              <w:pStyle w:val="ListParagraph"/>
              <w:numPr>
                <w:ilvl w:val="0"/>
                <w:numId w:val="7"/>
              </w:numPr>
              <w:spacing w:after="0" w:line="0" w:lineRule="atLeast"/>
              <w:ind w:left="342" w:hanging="450"/>
              <w:jc w:val="both"/>
              <w:rPr>
                <w:rFonts w:ascii="Arial" w:hAnsi="Arial" w:cs="Arial"/>
                <w:sz w:val="20"/>
                <w:szCs w:val="20"/>
                <w:lang w:val="es-ES"/>
              </w:rPr>
            </w:pPr>
            <w:r w:rsidRPr="00C5434C">
              <w:rPr>
                <w:rFonts w:ascii="Arial" w:hAnsi="Arial" w:cs="Arial"/>
                <w:sz w:val="20"/>
                <w:szCs w:val="20"/>
                <w:lang w:val="es-ES"/>
              </w:rPr>
              <w:t xml:space="preserve">Aprobación del procedimiento de certificación </w:t>
            </w:r>
            <w:r w:rsidR="009B3541">
              <w:rPr>
                <w:rFonts w:ascii="Arial" w:hAnsi="Arial" w:cs="Arial"/>
                <w:sz w:val="20"/>
                <w:szCs w:val="20"/>
                <w:lang w:val="es-ES"/>
              </w:rPr>
              <w:t>de habilitación</w:t>
            </w:r>
            <w:r w:rsidRPr="00C5434C">
              <w:rPr>
                <w:rFonts w:ascii="Arial" w:hAnsi="Arial" w:cs="Arial"/>
                <w:sz w:val="20"/>
                <w:szCs w:val="20"/>
                <w:lang w:val="es-ES"/>
              </w:rPr>
              <w:t xml:space="preserve"> </w:t>
            </w:r>
            <w:r w:rsidR="009B3541">
              <w:rPr>
                <w:rFonts w:ascii="Arial" w:hAnsi="Arial" w:cs="Arial"/>
                <w:sz w:val="20"/>
                <w:szCs w:val="20"/>
                <w:lang w:val="es-ES"/>
              </w:rPr>
              <w:t>para el</w:t>
            </w:r>
            <w:r w:rsidRPr="00C5434C">
              <w:rPr>
                <w:rFonts w:ascii="Arial" w:hAnsi="Arial" w:cs="Arial"/>
                <w:sz w:val="20"/>
                <w:szCs w:val="20"/>
                <w:lang w:val="es-ES"/>
              </w:rPr>
              <w:t xml:space="preserve"> transporte de </w:t>
            </w:r>
            <w:r w:rsidR="009B3541">
              <w:rPr>
                <w:rFonts w:ascii="Arial" w:hAnsi="Arial" w:cs="Arial"/>
                <w:sz w:val="20"/>
                <w:szCs w:val="20"/>
                <w:lang w:val="es-ES"/>
              </w:rPr>
              <w:t xml:space="preserve">mercancías </w:t>
            </w:r>
            <w:r w:rsidRPr="00C5434C">
              <w:rPr>
                <w:rFonts w:ascii="Arial" w:hAnsi="Arial" w:cs="Arial"/>
                <w:sz w:val="20"/>
                <w:szCs w:val="20"/>
                <w:lang w:val="es-ES"/>
              </w:rPr>
              <w:t xml:space="preserve"> peligrosas</w:t>
            </w:r>
            <w:r w:rsidR="009B3541">
              <w:rPr>
                <w:rFonts w:ascii="Arial" w:hAnsi="Arial" w:cs="Arial"/>
                <w:sz w:val="20"/>
                <w:szCs w:val="20"/>
                <w:lang w:val="es-ES"/>
              </w:rPr>
              <w:t xml:space="preserve"> por vías férreas</w:t>
            </w:r>
            <w:r w:rsidR="00E9718A">
              <w:rPr>
                <w:rFonts w:ascii="Arial" w:hAnsi="Arial" w:cs="Arial"/>
                <w:sz w:val="20"/>
                <w:szCs w:val="20"/>
                <w:lang w:val="es-ES"/>
              </w:rPr>
              <w:t xml:space="preserve">, lo cual </w:t>
            </w:r>
            <w:r w:rsidR="00E9718A" w:rsidRPr="00C00B0C">
              <w:rPr>
                <w:rFonts w:ascii="Arial" w:hAnsi="Arial" w:cs="Arial"/>
                <w:sz w:val="20"/>
                <w:szCs w:val="20"/>
                <w:lang w:val="es-ES"/>
              </w:rPr>
              <w:t>implica el inicio de la implementación de</w:t>
            </w:r>
            <w:r w:rsidR="00DC364E" w:rsidRPr="00C00B0C">
              <w:rPr>
                <w:rFonts w:ascii="Arial" w:hAnsi="Arial" w:cs="Arial"/>
                <w:sz w:val="20"/>
                <w:szCs w:val="20"/>
                <w:lang w:val="es-ES"/>
              </w:rPr>
              <w:t xml:space="preserve"> </w:t>
            </w:r>
            <w:r w:rsidR="00E9718A" w:rsidRPr="00C00B0C">
              <w:rPr>
                <w:rFonts w:ascii="Arial" w:hAnsi="Arial" w:cs="Arial"/>
                <w:sz w:val="20"/>
                <w:szCs w:val="20"/>
                <w:lang w:val="es-ES"/>
              </w:rPr>
              <w:t>l</w:t>
            </w:r>
            <w:r w:rsidR="00DC364E" w:rsidRPr="00C00B0C">
              <w:rPr>
                <w:rFonts w:ascii="Arial" w:hAnsi="Arial" w:cs="Arial"/>
                <w:sz w:val="20"/>
                <w:szCs w:val="20"/>
                <w:lang w:val="es-ES"/>
              </w:rPr>
              <w:t>a reglamentación para el t</w:t>
            </w:r>
            <w:r w:rsidR="00E9718A" w:rsidRPr="00C00B0C">
              <w:rPr>
                <w:rFonts w:ascii="Arial" w:hAnsi="Arial" w:cs="Arial"/>
                <w:sz w:val="20"/>
                <w:szCs w:val="20"/>
                <w:lang w:val="es-ES"/>
              </w:rPr>
              <w:t xml:space="preserve">ransporte de </w:t>
            </w:r>
            <w:r w:rsidR="009B3541" w:rsidRPr="00C00B0C">
              <w:rPr>
                <w:rFonts w:ascii="Arial" w:hAnsi="Arial" w:cs="Arial"/>
                <w:sz w:val="20"/>
                <w:szCs w:val="20"/>
                <w:lang w:val="es-ES"/>
              </w:rPr>
              <w:t>mercancías</w:t>
            </w:r>
            <w:r w:rsidR="00DC364E" w:rsidRPr="00C00B0C">
              <w:rPr>
                <w:rFonts w:ascii="Arial" w:hAnsi="Arial" w:cs="Arial"/>
                <w:sz w:val="20"/>
                <w:szCs w:val="20"/>
                <w:lang w:val="es-ES"/>
              </w:rPr>
              <w:t xml:space="preserve"> peligrosas por vías f</w:t>
            </w:r>
            <w:r w:rsidR="00E9718A" w:rsidRPr="00C00B0C">
              <w:rPr>
                <w:rFonts w:ascii="Arial" w:hAnsi="Arial" w:cs="Arial"/>
                <w:sz w:val="20"/>
                <w:szCs w:val="20"/>
                <w:lang w:val="es-ES"/>
              </w:rPr>
              <w:t>érreas</w:t>
            </w:r>
            <w:r w:rsidRPr="00C00B0C">
              <w:rPr>
                <w:rFonts w:ascii="Arial" w:hAnsi="Arial" w:cs="Arial"/>
                <w:sz w:val="20"/>
                <w:szCs w:val="20"/>
                <w:lang w:val="es-ES"/>
              </w:rPr>
              <w:t>.</w:t>
            </w:r>
          </w:p>
        </w:tc>
        <w:tc>
          <w:tcPr>
            <w:tcW w:w="3150" w:type="dxa"/>
          </w:tcPr>
          <w:p w14:paraId="299DDBB0" w14:textId="7C2BEE76" w:rsidR="009B3541" w:rsidRPr="00120946" w:rsidRDefault="00F20A68" w:rsidP="000E3D0C">
            <w:pPr>
              <w:spacing w:line="0" w:lineRule="atLeast"/>
              <w:jc w:val="both"/>
              <w:rPr>
                <w:rFonts w:ascii="Arial" w:hAnsi="Arial" w:cs="Arial"/>
                <w:lang w:val="es-ES"/>
              </w:rPr>
            </w:pPr>
            <w:r w:rsidRPr="00120946">
              <w:rPr>
                <w:rFonts w:ascii="Arial" w:hAnsi="Arial" w:cs="Arial"/>
                <w:lang w:val="es-ES"/>
              </w:rPr>
              <w:t xml:space="preserve">Resolución Ministerial emitida por el MOPSV, aprobando el </w:t>
            </w:r>
            <w:r w:rsidRPr="004040A5">
              <w:rPr>
                <w:rFonts w:ascii="Arial" w:hAnsi="Arial" w:cs="Arial"/>
                <w:lang w:val="es-ES"/>
              </w:rPr>
              <w:t xml:space="preserve">procedimiento </w:t>
            </w:r>
            <w:r w:rsidR="009B3541" w:rsidRPr="00120946">
              <w:rPr>
                <w:rFonts w:ascii="Arial" w:hAnsi="Arial" w:cs="Arial"/>
                <w:lang w:val="es-ES"/>
              </w:rPr>
              <w:t>para la emisión del certificado de habilitación u homologación para el transporte de mercancías peligrosas.</w:t>
            </w:r>
          </w:p>
        </w:tc>
        <w:tc>
          <w:tcPr>
            <w:tcW w:w="2070" w:type="dxa"/>
          </w:tcPr>
          <w:p w14:paraId="2801C09C" w14:textId="3C681DE0" w:rsidR="00F20A68" w:rsidRPr="00233FCB" w:rsidRDefault="00C5434C" w:rsidP="00F20A68">
            <w:pPr>
              <w:spacing w:line="0" w:lineRule="atLeast"/>
              <w:jc w:val="both"/>
              <w:rPr>
                <w:rFonts w:ascii="Arial" w:hAnsi="Arial" w:cs="Arial"/>
                <w:lang w:val="es-ES"/>
              </w:rPr>
            </w:pPr>
            <w:r>
              <w:rPr>
                <w:rFonts w:ascii="Arial" w:hAnsi="Arial" w:cs="Arial"/>
                <w:lang w:val="es-ES"/>
              </w:rPr>
              <w:t>Medio de verificación entregado.</w:t>
            </w:r>
          </w:p>
        </w:tc>
      </w:tr>
      <w:tr w:rsidR="00F20A68" w:rsidRPr="00751D67" w14:paraId="6B987962" w14:textId="77777777" w:rsidTr="00C00B0C">
        <w:tc>
          <w:tcPr>
            <w:tcW w:w="12960" w:type="dxa"/>
            <w:gridSpan w:val="5"/>
            <w:shd w:val="clear" w:color="auto" w:fill="D9D9D9" w:themeFill="background1" w:themeFillShade="D9"/>
          </w:tcPr>
          <w:p w14:paraId="4BF4060A" w14:textId="22AA7553" w:rsidR="00F20A68" w:rsidRPr="00233FCB" w:rsidRDefault="00F20A68" w:rsidP="00AB0EB2">
            <w:pPr>
              <w:spacing w:line="0" w:lineRule="atLeast"/>
              <w:jc w:val="both"/>
              <w:rPr>
                <w:rFonts w:ascii="Arial" w:hAnsi="Arial" w:cs="Arial"/>
                <w:lang w:val="es-ES"/>
              </w:rPr>
            </w:pPr>
            <w:r w:rsidRPr="00233FCB">
              <w:rPr>
                <w:rFonts w:ascii="Arial" w:hAnsi="Arial" w:cs="Arial"/>
                <w:b/>
                <w:lang w:val="es-ES"/>
              </w:rPr>
              <w:t>Subcomponente 2.4. Marco Regulatorio y Normativo para el Transporte Aéreo</w:t>
            </w:r>
            <w:r w:rsidR="0000260F" w:rsidRPr="00233FCB">
              <w:rPr>
                <w:rFonts w:ascii="Arial" w:hAnsi="Arial" w:cs="Arial"/>
                <w:b/>
                <w:lang w:val="es-ES"/>
              </w:rPr>
              <w:t>.</w:t>
            </w:r>
          </w:p>
        </w:tc>
      </w:tr>
      <w:tr w:rsidR="00F20A68" w:rsidRPr="00233FCB" w14:paraId="5BB8CA45" w14:textId="77777777" w:rsidTr="00C00B0C">
        <w:tc>
          <w:tcPr>
            <w:tcW w:w="2970" w:type="dxa"/>
            <w:vAlign w:val="center"/>
          </w:tcPr>
          <w:p w14:paraId="537596F1" w14:textId="77777777" w:rsidR="00F20A68" w:rsidRPr="00233FCB" w:rsidRDefault="00F20A68" w:rsidP="00FC74D7">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Desarrollar el marco regulatorio de la Ley 165, en relación a la prestación del servicio en términos de calidad y economía, a fin de lograr un servicio de mejor calidad y eficiencia.</w:t>
            </w:r>
          </w:p>
          <w:p w14:paraId="612C7C95" w14:textId="77777777" w:rsidR="00F20A68" w:rsidRPr="00233FCB" w:rsidRDefault="00F20A68" w:rsidP="00FC74D7">
            <w:pPr>
              <w:pStyle w:val="ListParagraph"/>
              <w:suppressAutoHyphens/>
              <w:spacing w:after="0" w:line="0" w:lineRule="atLeast"/>
              <w:ind w:left="151"/>
              <w:jc w:val="both"/>
              <w:rPr>
                <w:rFonts w:ascii="Arial" w:hAnsi="Arial" w:cs="Arial"/>
                <w:sz w:val="20"/>
                <w:szCs w:val="20"/>
                <w:lang w:val="es-ES"/>
              </w:rPr>
            </w:pPr>
          </w:p>
          <w:p w14:paraId="02B44297" w14:textId="77777777" w:rsidR="00F20A68" w:rsidRPr="00233FCB" w:rsidRDefault="00F20A68" w:rsidP="00FC74D7">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Implementar la regulación y fiscalización en las áreas de derechos y obligaciones, tarifas y seguros.</w:t>
            </w:r>
          </w:p>
        </w:tc>
        <w:tc>
          <w:tcPr>
            <w:tcW w:w="1800" w:type="dxa"/>
          </w:tcPr>
          <w:p w14:paraId="586B41E4"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25CBBA06" w14:textId="2EB1E61D" w:rsidR="00F20A68" w:rsidRPr="00233FCB" w:rsidRDefault="00B437E8" w:rsidP="003923D0">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Aprobación </w:t>
            </w:r>
            <w:r w:rsidR="009B3541">
              <w:rPr>
                <w:rFonts w:ascii="Arial" w:hAnsi="Arial" w:cs="Arial"/>
                <w:sz w:val="20"/>
                <w:szCs w:val="20"/>
                <w:lang w:val="es-ES"/>
              </w:rPr>
              <w:t>de la r</w:t>
            </w:r>
            <w:r w:rsidR="0000260F" w:rsidRPr="00233FCB">
              <w:rPr>
                <w:rFonts w:ascii="Arial" w:hAnsi="Arial" w:cs="Arial"/>
                <w:sz w:val="20"/>
                <w:szCs w:val="20"/>
                <w:lang w:val="es-ES"/>
              </w:rPr>
              <w:t>eglament</w:t>
            </w:r>
            <w:r w:rsidR="009B3541">
              <w:rPr>
                <w:rFonts w:ascii="Arial" w:hAnsi="Arial" w:cs="Arial"/>
                <w:sz w:val="20"/>
                <w:szCs w:val="20"/>
                <w:lang w:val="es-ES"/>
              </w:rPr>
              <w:t xml:space="preserve">ación regulatoria </w:t>
            </w:r>
            <w:r w:rsidR="0000260F" w:rsidRPr="00233FCB">
              <w:rPr>
                <w:rFonts w:ascii="Arial" w:hAnsi="Arial" w:cs="Arial"/>
                <w:sz w:val="20"/>
                <w:szCs w:val="20"/>
                <w:lang w:val="es-ES"/>
              </w:rPr>
              <w:t xml:space="preserve">para la </w:t>
            </w:r>
            <w:r w:rsidR="008B038B">
              <w:rPr>
                <w:rFonts w:ascii="Arial" w:hAnsi="Arial" w:cs="Arial"/>
                <w:sz w:val="20"/>
                <w:szCs w:val="20"/>
                <w:lang w:val="es-ES"/>
              </w:rPr>
              <w:t>m</w:t>
            </w:r>
            <w:r w:rsidR="0000260F" w:rsidRPr="00233FCB">
              <w:rPr>
                <w:rFonts w:ascii="Arial" w:hAnsi="Arial" w:cs="Arial"/>
                <w:sz w:val="20"/>
                <w:szCs w:val="20"/>
                <w:lang w:val="es-ES"/>
              </w:rPr>
              <w:t>odalidad de</w:t>
            </w:r>
            <w:r w:rsidR="00DC364E">
              <w:rPr>
                <w:rFonts w:ascii="Arial" w:hAnsi="Arial" w:cs="Arial"/>
                <w:sz w:val="20"/>
                <w:szCs w:val="20"/>
                <w:lang w:val="es-ES"/>
              </w:rPr>
              <w:t>l</w:t>
            </w:r>
            <w:r w:rsidR="0000260F" w:rsidRPr="00233FCB">
              <w:rPr>
                <w:rFonts w:ascii="Arial" w:hAnsi="Arial" w:cs="Arial"/>
                <w:sz w:val="20"/>
                <w:szCs w:val="20"/>
                <w:lang w:val="es-ES"/>
              </w:rPr>
              <w:t xml:space="preserve"> </w:t>
            </w:r>
            <w:r w:rsidR="008B038B">
              <w:rPr>
                <w:rFonts w:ascii="Arial" w:hAnsi="Arial" w:cs="Arial"/>
                <w:sz w:val="20"/>
                <w:szCs w:val="20"/>
                <w:lang w:val="es-ES"/>
              </w:rPr>
              <w:t>t</w:t>
            </w:r>
            <w:r w:rsidR="0000260F" w:rsidRPr="00233FCB">
              <w:rPr>
                <w:rFonts w:ascii="Arial" w:hAnsi="Arial" w:cs="Arial"/>
                <w:sz w:val="20"/>
                <w:szCs w:val="20"/>
                <w:lang w:val="es-ES"/>
              </w:rPr>
              <w:t xml:space="preserve">ransporte </w:t>
            </w:r>
            <w:r w:rsidR="008B038B">
              <w:rPr>
                <w:rFonts w:ascii="Arial" w:hAnsi="Arial" w:cs="Arial"/>
                <w:sz w:val="20"/>
                <w:szCs w:val="20"/>
                <w:lang w:val="es-ES"/>
              </w:rPr>
              <w:t>a</w:t>
            </w:r>
            <w:r w:rsidR="0000260F" w:rsidRPr="00233FCB">
              <w:rPr>
                <w:rFonts w:ascii="Arial" w:hAnsi="Arial" w:cs="Arial"/>
                <w:sz w:val="20"/>
                <w:szCs w:val="20"/>
                <w:lang w:val="es-ES"/>
              </w:rPr>
              <w:t xml:space="preserve">éreo de </w:t>
            </w:r>
            <w:r w:rsidR="008B038B">
              <w:rPr>
                <w:rFonts w:ascii="Arial" w:hAnsi="Arial" w:cs="Arial"/>
                <w:sz w:val="20"/>
                <w:szCs w:val="20"/>
                <w:lang w:val="es-ES"/>
              </w:rPr>
              <w:t>p</w:t>
            </w:r>
            <w:r w:rsidR="0000260F" w:rsidRPr="00233FCB">
              <w:rPr>
                <w:rFonts w:ascii="Arial" w:hAnsi="Arial" w:cs="Arial"/>
                <w:sz w:val="20"/>
                <w:szCs w:val="20"/>
                <w:lang w:val="es-ES"/>
              </w:rPr>
              <w:t xml:space="preserve">asajeros, </w:t>
            </w:r>
            <w:r w:rsidR="008B038B">
              <w:rPr>
                <w:rFonts w:ascii="Arial" w:hAnsi="Arial" w:cs="Arial"/>
                <w:sz w:val="20"/>
                <w:szCs w:val="20"/>
                <w:lang w:val="es-ES"/>
              </w:rPr>
              <w:t>s</w:t>
            </w:r>
            <w:r w:rsidR="0000260F" w:rsidRPr="00233FCB">
              <w:rPr>
                <w:rFonts w:ascii="Arial" w:hAnsi="Arial" w:cs="Arial"/>
                <w:sz w:val="20"/>
                <w:szCs w:val="20"/>
                <w:lang w:val="es-ES"/>
              </w:rPr>
              <w:t xml:space="preserve">ervicios </w:t>
            </w:r>
            <w:r w:rsidR="008B038B">
              <w:rPr>
                <w:rFonts w:ascii="Arial" w:hAnsi="Arial" w:cs="Arial"/>
                <w:sz w:val="20"/>
                <w:szCs w:val="20"/>
                <w:lang w:val="es-ES"/>
              </w:rPr>
              <w:t>a</w:t>
            </w:r>
            <w:r w:rsidR="0000260F" w:rsidRPr="00233FCB">
              <w:rPr>
                <w:rFonts w:ascii="Arial" w:hAnsi="Arial" w:cs="Arial"/>
                <w:sz w:val="20"/>
                <w:szCs w:val="20"/>
                <w:lang w:val="es-ES"/>
              </w:rPr>
              <w:t xml:space="preserve">eroportuarios, </w:t>
            </w:r>
            <w:r w:rsidR="008B038B">
              <w:rPr>
                <w:rFonts w:ascii="Arial" w:hAnsi="Arial" w:cs="Arial"/>
                <w:sz w:val="20"/>
                <w:szCs w:val="20"/>
                <w:lang w:val="es-ES"/>
              </w:rPr>
              <w:t>c</w:t>
            </w:r>
            <w:r w:rsidR="0000260F" w:rsidRPr="00233FCB">
              <w:rPr>
                <w:rFonts w:ascii="Arial" w:hAnsi="Arial" w:cs="Arial"/>
                <w:sz w:val="20"/>
                <w:szCs w:val="20"/>
                <w:lang w:val="es-ES"/>
              </w:rPr>
              <w:t xml:space="preserve">arga y </w:t>
            </w:r>
            <w:r w:rsidR="008B038B">
              <w:rPr>
                <w:rFonts w:ascii="Arial" w:hAnsi="Arial" w:cs="Arial"/>
                <w:sz w:val="20"/>
                <w:szCs w:val="20"/>
                <w:lang w:val="es-ES"/>
              </w:rPr>
              <w:t>c</w:t>
            </w:r>
            <w:r w:rsidR="0000260F" w:rsidRPr="00233FCB">
              <w:rPr>
                <w:rFonts w:ascii="Arial" w:hAnsi="Arial" w:cs="Arial"/>
                <w:sz w:val="20"/>
                <w:szCs w:val="20"/>
                <w:lang w:val="es-ES"/>
              </w:rPr>
              <w:t xml:space="preserve">arga </w:t>
            </w:r>
            <w:r w:rsidR="00DC364E">
              <w:rPr>
                <w:rFonts w:ascii="Arial" w:hAnsi="Arial" w:cs="Arial"/>
                <w:sz w:val="20"/>
                <w:szCs w:val="20"/>
                <w:lang w:val="es-ES"/>
              </w:rPr>
              <w:t>p</w:t>
            </w:r>
            <w:r w:rsidR="0000260F" w:rsidRPr="00233FCB">
              <w:rPr>
                <w:rFonts w:ascii="Arial" w:hAnsi="Arial" w:cs="Arial"/>
                <w:sz w:val="20"/>
                <w:szCs w:val="20"/>
                <w:lang w:val="es-ES"/>
              </w:rPr>
              <w:t>ostal</w:t>
            </w:r>
            <w:r w:rsidRPr="00233FCB">
              <w:rPr>
                <w:rFonts w:ascii="Arial" w:hAnsi="Arial" w:cs="Arial"/>
                <w:sz w:val="20"/>
                <w:szCs w:val="20"/>
                <w:lang w:val="es-ES"/>
              </w:rPr>
              <w:t xml:space="preserve">, en </w:t>
            </w:r>
            <w:r w:rsidR="00DC364E">
              <w:rPr>
                <w:rFonts w:ascii="Arial" w:hAnsi="Arial" w:cs="Arial"/>
                <w:sz w:val="20"/>
                <w:szCs w:val="20"/>
                <w:lang w:val="es-ES"/>
              </w:rPr>
              <w:t>la</w:t>
            </w:r>
            <w:r w:rsidR="00DC364E" w:rsidRPr="00233FCB">
              <w:rPr>
                <w:rFonts w:ascii="Arial" w:hAnsi="Arial" w:cs="Arial"/>
                <w:sz w:val="20"/>
                <w:szCs w:val="20"/>
                <w:lang w:val="es-ES"/>
              </w:rPr>
              <w:t xml:space="preserve"> </w:t>
            </w:r>
            <w:r w:rsidRPr="00233FCB">
              <w:rPr>
                <w:rFonts w:ascii="Arial" w:hAnsi="Arial" w:cs="Arial"/>
                <w:sz w:val="20"/>
                <w:szCs w:val="20"/>
                <w:lang w:val="es-ES"/>
              </w:rPr>
              <w:t>cual se incluyen entre otros, aspectos relacionados con derechos, obligaciones y prohibiciones en conformidad con lo establecido en la Ley 165, control y fiscalización de servicios, regulación tarifaria, seguros, infracciones y sanciones, y defensa de la competencia.</w:t>
            </w:r>
          </w:p>
        </w:tc>
        <w:tc>
          <w:tcPr>
            <w:tcW w:w="3150" w:type="dxa"/>
          </w:tcPr>
          <w:p w14:paraId="13AC3BC5" w14:textId="13BB88AB" w:rsidR="00F20A68" w:rsidRPr="00233FCB" w:rsidRDefault="00C5434C" w:rsidP="00AB0EB2">
            <w:pPr>
              <w:spacing w:line="0" w:lineRule="atLeast"/>
              <w:jc w:val="both"/>
              <w:rPr>
                <w:rFonts w:ascii="Arial" w:hAnsi="Arial" w:cs="Arial"/>
                <w:lang w:val="es-ES"/>
              </w:rPr>
            </w:pPr>
            <w:r w:rsidRPr="00233FCB">
              <w:rPr>
                <w:rFonts w:ascii="Arial" w:hAnsi="Arial" w:cs="Arial"/>
                <w:lang w:val="es-ES"/>
              </w:rPr>
              <w:t>Resolución Ministerial emitida por el MOPSV, aprobando el Reglamento</w:t>
            </w:r>
            <w:r w:rsidR="00DA29DB">
              <w:rPr>
                <w:rFonts w:ascii="Arial" w:hAnsi="Arial" w:cs="Arial"/>
                <w:lang w:val="es-ES"/>
              </w:rPr>
              <w:t xml:space="preserve"> Regulatorio para la M</w:t>
            </w:r>
            <w:r w:rsidR="009B3541">
              <w:rPr>
                <w:rFonts w:ascii="Arial" w:hAnsi="Arial" w:cs="Arial"/>
                <w:lang w:val="es-ES"/>
              </w:rPr>
              <w:t>odalidad de Transporte Aéreo</w:t>
            </w:r>
            <w:r w:rsidRPr="00233FCB">
              <w:rPr>
                <w:rFonts w:ascii="Arial" w:hAnsi="Arial" w:cs="Arial"/>
                <w:lang w:val="es-ES"/>
              </w:rPr>
              <w:t>.</w:t>
            </w:r>
          </w:p>
        </w:tc>
        <w:tc>
          <w:tcPr>
            <w:tcW w:w="2070" w:type="dxa"/>
          </w:tcPr>
          <w:p w14:paraId="517DA1E6" w14:textId="1C76C664" w:rsidR="00F20A68" w:rsidRPr="00233FCB" w:rsidRDefault="00C5434C" w:rsidP="008005B7">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623C6053" w14:textId="77777777" w:rsidTr="00C00B0C">
        <w:tc>
          <w:tcPr>
            <w:tcW w:w="2970" w:type="dxa"/>
            <w:vMerge w:val="restart"/>
          </w:tcPr>
          <w:p w14:paraId="5B34B17A" w14:textId="77777777" w:rsidR="00F20A68" w:rsidRPr="00233FCB" w:rsidRDefault="00F20A68" w:rsidP="00FC74D7">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 xml:space="preserve">Desarrollar la Reglamentación Técnica para la Modalidad de </w:t>
            </w:r>
            <w:r w:rsidRPr="00233FCB">
              <w:rPr>
                <w:rFonts w:ascii="Arial" w:hAnsi="Arial" w:cs="Arial"/>
                <w:sz w:val="20"/>
                <w:szCs w:val="20"/>
                <w:lang w:val="es-ES"/>
              </w:rPr>
              <w:lastRenderedPageBreak/>
              <w:t>Transporte Aéreo, que permita normar aspectos relacionados con la infraestructura, seguridad y medio ambiente, a fin de, mejorar y prolongar la vida útil de las infraestructuras y equipamiento de aeropuertos.</w:t>
            </w:r>
          </w:p>
          <w:p w14:paraId="0F896B31" w14:textId="77777777" w:rsidR="00F20A68" w:rsidRPr="00233FCB" w:rsidRDefault="00F20A68" w:rsidP="00FC74D7">
            <w:pPr>
              <w:pStyle w:val="ListParagraph"/>
              <w:suppressAutoHyphens/>
              <w:spacing w:after="0" w:line="0" w:lineRule="atLeast"/>
              <w:ind w:left="151"/>
              <w:jc w:val="both"/>
              <w:rPr>
                <w:rFonts w:ascii="Arial" w:hAnsi="Arial" w:cs="Arial"/>
                <w:sz w:val="20"/>
                <w:szCs w:val="20"/>
                <w:lang w:val="es-ES"/>
              </w:rPr>
            </w:pPr>
          </w:p>
          <w:p w14:paraId="25E1F06C" w14:textId="77777777" w:rsidR="00F20A68" w:rsidRPr="00233FCB" w:rsidRDefault="00F20A68" w:rsidP="00FC74D7">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Contar con un plan de mantenimiento de la infraestructura y equipamientos de los aeropuertos que permita garantizar operaciones aéreas seguras, cumpliendo con las normativas de la aviación nacional e internacional.</w:t>
            </w:r>
          </w:p>
          <w:p w14:paraId="67D12CDC" w14:textId="77777777" w:rsidR="00F20A68" w:rsidRPr="00233FCB" w:rsidRDefault="00F20A68" w:rsidP="00FC74D7">
            <w:pPr>
              <w:pStyle w:val="ListParagraph"/>
              <w:suppressAutoHyphens/>
              <w:spacing w:after="0" w:line="0" w:lineRule="atLeast"/>
              <w:ind w:left="151"/>
              <w:jc w:val="both"/>
              <w:rPr>
                <w:rFonts w:ascii="Arial" w:hAnsi="Arial" w:cs="Arial"/>
                <w:sz w:val="20"/>
                <w:szCs w:val="20"/>
                <w:lang w:val="es-ES"/>
              </w:rPr>
            </w:pPr>
          </w:p>
          <w:p w14:paraId="5EB2D4A7" w14:textId="77777777" w:rsidR="00F20A68" w:rsidRPr="00233FCB" w:rsidRDefault="00F20A68" w:rsidP="00FC74D7">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Mantener actualizada la normativa, considerando entre otras los resultados de las auditorías de OACI.</w:t>
            </w:r>
          </w:p>
          <w:p w14:paraId="0D94F79E" w14:textId="77777777" w:rsidR="00F20A68" w:rsidRPr="00233FCB" w:rsidRDefault="00F20A68" w:rsidP="00FC74D7">
            <w:pPr>
              <w:pStyle w:val="ListParagraph"/>
              <w:rPr>
                <w:rFonts w:ascii="Arial" w:hAnsi="Arial" w:cs="Arial"/>
                <w:sz w:val="20"/>
                <w:szCs w:val="20"/>
                <w:lang w:val="es-ES"/>
              </w:rPr>
            </w:pPr>
          </w:p>
          <w:p w14:paraId="26EC1FEC" w14:textId="77777777" w:rsidR="00F20A68" w:rsidRPr="00233FCB" w:rsidRDefault="00F20A68" w:rsidP="00FC74D7">
            <w:pPr>
              <w:pStyle w:val="ListParagraph"/>
              <w:numPr>
                <w:ilvl w:val="0"/>
                <w:numId w:val="3"/>
              </w:numPr>
              <w:suppressAutoHyphens/>
              <w:spacing w:after="0" w:line="0" w:lineRule="atLeast"/>
              <w:ind w:left="151" w:hanging="180"/>
              <w:jc w:val="both"/>
              <w:rPr>
                <w:rFonts w:ascii="Arial" w:hAnsi="Arial" w:cs="Arial"/>
                <w:b/>
                <w:sz w:val="20"/>
                <w:szCs w:val="20"/>
                <w:lang w:val="es-ES"/>
              </w:rPr>
            </w:pPr>
            <w:r w:rsidRPr="00233FCB">
              <w:rPr>
                <w:rFonts w:ascii="Arial" w:hAnsi="Arial" w:cs="Arial"/>
                <w:sz w:val="20"/>
                <w:szCs w:val="20"/>
                <w:lang w:val="es-ES"/>
              </w:rPr>
              <w:t>Contar con un documento Guía de Gestión Ambiental que sea aplicado para la operación de los aeropuertos.</w:t>
            </w:r>
          </w:p>
        </w:tc>
        <w:tc>
          <w:tcPr>
            <w:tcW w:w="1800" w:type="dxa"/>
          </w:tcPr>
          <w:p w14:paraId="4B916B10"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lastRenderedPageBreak/>
              <w:t>VMT-MOPSV</w:t>
            </w:r>
          </w:p>
        </w:tc>
        <w:tc>
          <w:tcPr>
            <w:tcW w:w="2970" w:type="dxa"/>
          </w:tcPr>
          <w:p w14:paraId="24C525D9" w14:textId="53505D42"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Aprobación de la guía de preparación de planes maestros</w:t>
            </w:r>
            <w:r w:rsidR="008B038B">
              <w:rPr>
                <w:rFonts w:ascii="Arial" w:hAnsi="Arial" w:cs="Arial"/>
                <w:sz w:val="20"/>
                <w:szCs w:val="20"/>
                <w:lang w:val="es-ES"/>
              </w:rPr>
              <w:t xml:space="preserve"> aeroportuarios</w:t>
            </w:r>
            <w:r w:rsidRPr="00233FCB">
              <w:rPr>
                <w:rFonts w:ascii="Arial" w:hAnsi="Arial" w:cs="Arial"/>
                <w:sz w:val="20"/>
                <w:szCs w:val="20"/>
                <w:lang w:val="es-ES"/>
              </w:rPr>
              <w:t xml:space="preserve">, </w:t>
            </w:r>
            <w:r w:rsidRPr="00233FCB">
              <w:rPr>
                <w:rFonts w:ascii="Arial" w:hAnsi="Arial" w:cs="Arial"/>
                <w:sz w:val="20"/>
                <w:szCs w:val="20"/>
                <w:lang w:val="es-ES"/>
              </w:rPr>
              <w:lastRenderedPageBreak/>
              <w:t xml:space="preserve">incluyendo recomendaciones para la elaboración de diagnósticos, </w:t>
            </w:r>
            <w:r w:rsidR="008B038B">
              <w:rPr>
                <w:rFonts w:ascii="Arial" w:hAnsi="Arial" w:cs="Arial"/>
                <w:sz w:val="20"/>
                <w:szCs w:val="20"/>
                <w:lang w:val="es-ES"/>
              </w:rPr>
              <w:t xml:space="preserve">análisis de variables y factores estratégicos, </w:t>
            </w:r>
            <w:r w:rsidRPr="00233FCB">
              <w:rPr>
                <w:rFonts w:ascii="Arial" w:hAnsi="Arial" w:cs="Arial"/>
                <w:sz w:val="20"/>
                <w:szCs w:val="20"/>
                <w:lang w:val="es-ES"/>
              </w:rPr>
              <w:t>estudios de mercado y procedimientos de estimación de demanda presente y futura.</w:t>
            </w:r>
          </w:p>
        </w:tc>
        <w:tc>
          <w:tcPr>
            <w:tcW w:w="3150" w:type="dxa"/>
          </w:tcPr>
          <w:p w14:paraId="3A49B1ED"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lastRenderedPageBreak/>
              <w:t>Resolución Ministerial emitida por el MOPSV acompañada de la guía.</w:t>
            </w:r>
          </w:p>
        </w:tc>
        <w:tc>
          <w:tcPr>
            <w:tcW w:w="2070" w:type="dxa"/>
          </w:tcPr>
          <w:p w14:paraId="383B9E80" w14:textId="4D168AC9" w:rsidR="00F20A68" w:rsidRPr="00233FCB" w:rsidRDefault="00C5434C" w:rsidP="00F20A68">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1C6B21F0" w14:textId="77777777" w:rsidTr="3D8CB173">
        <w:tc>
          <w:tcPr>
            <w:tcW w:w="2970" w:type="dxa"/>
            <w:vMerge/>
          </w:tcPr>
          <w:p w14:paraId="41484976" w14:textId="77777777" w:rsidR="00F20A68" w:rsidRPr="00233FCB" w:rsidRDefault="00F20A68" w:rsidP="00AB0EB2">
            <w:pPr>
              <w:spacing w:line="0" w:lineRule="atLeast"/>
              <w:jc w:val="both"/>
              <w:rPr>
                <w:rFonts w:ascii="Arial" w:hAnsi="Arial" w:cs="Arial"/>
                <w:b/>
                <w:lang w:val="es-ES"/>
              </w:rPr>
            </w:pPr>
          </w:p>
        </w:tc>
        <w:tc>
          <w:tcPr>
            <w:tcW w:w="1800" w:type="dxa"/>
          </w:tcPr>
          <w:p w14:paraId="0D3710A2" w14:textId="77777777" w:rsidR="00F20A68" w:rsidRPr="00233FCB" w:rsidRDefault="00F019EB" w:rsidP="000164D0">
            <w:pPr>
              <w:spacing w:line="0" w:lineRule="atLeast"/>
              <w:jc w:val="center"/>
              <w:rPr>
                <w:rFonts w:ascii="Arial" w:hAnsi="Arial" w:cs="Arial"/>
                <w:lang w:val="es-ES"/>
              </w:rPr>
            </w:pPr>
            <w:r w:rsidRPr="00233FCB">
              <w:rPr>
                <w:rFonts w:ascii="Arial" w:hAnsi="Arial" w:cs="Arial"/>
                <w:lang w:val="es-ES"/>
              </w:rPr>
              <w:t>DGAC-</w:t>
            </w:r>
            <w:r w:rsidR="00F20A68" w:rsidRPr="00233FCB">
              <w:rPr>
                <w:rFonts w:ascii="Arial" w:hAnsi="Arial" w:cs="Arial"/>
                <w:lang w:val="es-ES"/>
              </w:rPr>
              <w:t>VMT-MOPSV</w:t>
            </w:r>
          </w:p>
        </w:tc>
        <w:tc>
          <w:tcPr>
            <w:tcW w:w="2970" w:type="dxa"/>
          </w:tcPr>
          <w:p w14:paraId="1485C563" w14:textId="0A00C095"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Aprobación de la actualización de la Reglamentación Aeronáutica Boliviana (RAB) tomando en consideración las recomendaciones de la auditoría realizada por la Organización de Aviación Civil Internacional (OACI) en 2013 y su mis</w:t>
            </w:r>
            <w:r w:rsidR="007C69DA">
              <w:rPr>
                <w:rFonts w:ascii="Arial" w:hAnsi="Arial" w:cs="Arial"/>
                <w:sz w:val="20"/>
                <w:szCs w:val="20"/>
                <w:lang w:val="es-ES"/>
              </w:rPr>
              <w:t>ión de validación de 2016, en la</w:t>
            </w:r>
            <w:r w:rsidRPr="00233FCB">
              <w:rPr>
                <w:rFonts w:ascii="Arial" w:hAnsi="Arial" w:cs="Arial"/>
                <w:sz w:val="20"/>
                <w:szCs w:val="20"/>
                <w:lang w:val="es-ES"/>
              </w:rPr>
              <w:t xml:space="preserve"> cual se </w:t>
            </w:r>
            <w:r w:rsidR="008B038B" w:rsidRPr="00233FCB">
              <w:rPr>
                <w:rFonts w:ascii="Arial" w:hAnsi="Arial" w:cs="Arial"/>
                <w:sz w:val="20"/>
                <w:szCs w:val="20"/>
                <w:lang w:val="es-ES"/>
              </w:rPr>
              <w:t>considera</w:t>
            </w:r>
            <w:r w:rsidR="00210FE4">
              <w:rPr>
                <w:rFonts w:ascii="Arial" w:hAnsi="Arial" w:cs="Arial"/>
                <w:sz w:val="20"/>
                <w:szCs w:val="20"/>
                <w:lang w:val="es-ES"/>
              </w:rPr>
              <w:t>ro</w:t>
            </w:r>
            <w:r w:rsidR="008B038B">
              <w:rPr>
                <w:rFonts w:ascii="Arial" w:hAnsi="Arial" w:cs="Arial"/>
                <w:sz w:val="20"/>
                <w:szCs w:val="20"/>
                <w:lang w:val="es-ES"/>
              </w:rPr>
              <w:t>n</w:t>
            </w:r>
            <w:r w:rsidR="008B038B" w:rsidRPr="00233FCB">
              <w:rPr>
                <w:rFonts w:ascii="Arial" w:hAnsi="Arial" w:cs="Arial"/>
                <w:sz w:val="20"/>
                <w:szCs w:val="20"/>
                <w:lang w:val="es-ES"/>
              </w:rPr>
              <w:t xml:space="preserve"> </w:t>
            </w:r>
            <w:r w:rsidR="008B038B">
              <w:rPr>
                <w:rFonts w:ascii="Arial" w:hAnsi="Arial" w:cs="Arial"/>
                <w:sz w:val="20"/>
                <w:szCs w:val="20"/>
                <w:lang w:val="es-ES"/>
              </w:rPr>
              <w:t>aspectos relacionados con</w:t>
            </w:r>
            <w:r w:rsidRPr="00233FCB">
              <w:rPr>
                <w:rFonts w:ascii="Arial" w:hAnsi="Arial" w:cs="Arial"/>
                <w:sz w:val="20"/>
                <w:szCs w:val="20"/>
                <w:lang w:val="es-ES"/>
              </w:rPr>
              <w:t>: (i)  certificación de aeródromos; (ii) licencias para pilotos, miembros de la tripulación y personal aeronáutico;</w:t>
            </w:r>
            <w:r w:rsidR="00CF479A">
              <w:rPr>
                <w:rFonts w:ascii="Arial" w:hAnsi="Arial" w:cs="Arial"/>
                <w:sz w:val="20"/>
                <w:szCs w:val="20"/>
                <w:lang w:val="es-ES"/>
              </w:rPr>
              <w:t xml:space="preserve"> </w:t>
            </w:r>
            <w:r w:rsidRPr="00233FCB">
              <w:rPr>
                <w:rFonts w:ascii="Arial" w:hAnsi="Arial" w:cs="Arial"/>
                <w:sz w:val="20"/>
                <w:szCs w:val="20"/>
                <w:lang w:val="es-ES"/>
              </w:rPr>
              <w:t>(iii) reglamento del servicio de tránsito aéreo; y (iv)  certificación de explotadores de servicio aéreo.</w:t>
            </w:r>
          </w:p>
        </w:tc>
        <w:tc>
          <w:tcPr>
            <w:tcW w:w="3150" w:type="dxa"/>
          </w:tcPr>
          <w:p w14:paraId="6AF212B8"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t>Resoluciones Administrativas emitidas por la DGAC acompañadas de la actualización de la Reglamentación.</w:t>
            </w:r>
          </w:p>
        </w:tc>
        <w:tc>
          <w:tcPr>
            <w:tcW w:w="2070" w:type="dxa"/>
          </w:tcPr>
          <w:p w14:paraId="63C5200B" w14:textId="59E8CCB3" w:rsidR="00F20A68" w:rsidRPr="00233FCB" w:rsidRDefault="00C5434C" w:rsidP="00F20A68">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049A0879" w14:textId="77777777" w:rsidTr="3D8CB173">
        <w:tc>
          <w:tcPr>
            <w:tcW w:w="2970" w:type="dxa"/>
            <w:vMerge/>
          </w:tcPr>
          <w:p w14:paraId="5501A2CB" w14:textId="77777777" w:rsidR="00F20A68" w:rsidRPr="00233FCB" w:rsidRDefault="00F20A68" w:rsidP="00AB0EB2">
            <w:pPr>
              <w:spacing w:line="0" w:lineRule="atLeast"/>
              <w:jc w:val="both"/>
              <w:rPr>
                <w:rFonts w:ascii="Arial" w:hAnsi="Arial" w:cs="Arial"/>
                <w:b/>
                <w:lang w:val="es-ES"/>
              </w:rPr>
            </w:pPr>
          </w:p>
        </w:tc>
        <w:tc>
          <w:tcPr>
            <w:tcW w:w="1800" w:type="dxa"/>
          </w:tcPr>
          <w:p w14:paraId="3ACF1ED6"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36DED075" w14:textId="074FD524" w:rsidR="00F20A68" w:rsidRPr="00233FCB" w:rsidRDefault="00F20A68" w:rsidP="00EB0CBC">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Remisión </w:t>
            </w:r>
            <w:r w:rsidR="00EB0CBC" w:rsidRPr="00233FCB">
              <w:rPr>
                <w:rFonts w:ascii="Arial" w:hAnsi="Arial" w:cs="Arial"/>
                <w:sz w:val="20"/>
                <w:szCs w:val="20"/>
                <w:lang w:val="es-ES"/>
              </w:rPr>
              <w:t>a</w:t>
            </w:r>
            <w:r w:rsidR="007E0327">
              <w:rPr>
                <w:rFonts w:ascii="Arial" w:hAnsi="Arial" w:cs="Arial"/>
                <w:sz w:val="20"/>
                <w:szCs w:val="20"/>
                <w:lang w:val="es-ES"/>
              </w:rPr>
              <w:t>l</w:t>
            </w:r>
            <w:r w:rsidR="00EB0CBC" w:rsidRPr="00233FCB">
              <w:rPr>
                <w:rFonts w:ascii="Arial" w:hAnsi="Arial" w:cs="Arial"/>
                <w:sz w:val="20"/>
                <w:szCs w:val="20"/>
                <w:lang w:val="es-ES"/>
              </w:rPr>
              <w:t xml:space="preserve"> </w:t>
            </w:r>
            <w:r w:rsidR="007E0327">
              <w:rPr>
                <w:rFonts w:ascii="Arial" w:hAnsi="Arial" w:cs="Arial"/>
                <w:sz w:val="20"/>
                <w:szCs w:val="20"/>
                <w:lang w:val="es-ES"/>
              </w:rPr>
              <w:t xml:space="preserve"> Ministerio de la </w:t>
            </w:r>
            <w:r w:rsidR="00DF3711">
              <w:rPr>
                <w:rFonts w:ascii="Arial" w:hAnsi="Arial" w:cs="Arial"/>
                <w:sz w:val="20"/>
                <w:szCs w:val="20"/>
                <w:lang w:val="es-ES"/>
              </w:rPr>
              <w:t>Presidencia</w:t>
            </w:r>
            <w:r w:rsidRPr="00233FCB">
              <w:rPr>
                <w:rFonts w:ascii="Arial" w:hAnsi="Arial" w:cs="Arial"/>
                <w:sz w:val="20"/>
                <w:szCs w:val="20"/>
                <w:lang w:val="es-ES"/>
              </w:rPr>
              <w:t xml:space="preserve"> </w:t>
            </w:r>
            <w:r w:rsidR="00210FE4">
              <w:rPr>
                <w:rFonts w:ascii="Arial" w:hAnsi="Arial" w:cs="Arial"/>
                <w:sz w:val="20"/>
                <w:szCs w:val="20"/>
                <w:lang w:val="es-ES"/>
              </w:rPr>
              <w:t>de un</w:t>
            </w:r>
            <w:r w:rsidR="00210FE4" w:rsidRPr="00233FCB">
              <w:rPr>
                <w:rFonts w:ascii="Arial" w:hAnsi="Arial" w:cs="Arial"/>
                <w:sz w:val="20"/>
                <w:szCs w:val="20"/>
                <w:lang w:val="es-ES"/>
              </w:rPr>
              <w:t xml:space="preserve"> </w:t>
            </w:r>
            <w:r w:rsidRPr="00233FCB">
              <w:rPr>
                <w:rFonts w:ascii="Arial" w:hAnsi="Arial" w:cs="Arial"/>
                <w:sz w:val="20"/>
                <w:szCs w:val="20"/>
                <w:lang w:val="es-ES"/>
              </w:rPr>
              <w:t xml:space="preserve">Anteproyecto de Ley de Aeronáutica Civil del Estado Plurinacional de </w:t>
            </w:r>
            <w:r w:rsidRPr="00233FCB">
              <w:rPr>
                <w:rFonts w:ascii="Arial" w:hAnsi="Arial" w:cs="Arial"/>
                <w:sz w:val="20"/>
                <w:szCs w:val="20"/>
                <w:lang w:val="es-ES"/>
              </w:rPr>
              <w:lastRenderedPageBreak/>
              <w:t>Bolivia en el cual se consideran aspectos técnicos, legales y de competencia sobre la aeronáutica civil, y se incluye la gestión de la seguridad operacional en el marco de las regulaciones de la OACI</w:t>
            </w:r>
            <w:r w:rsidR="00DF3711">
              <w:rPr>
                <w:rFonts w:ascii="Arial" w:hAnsi="Arial" w:cs="Arial"/>
                <w:sz w:val="20"/>
                <w:szCs w:val="20"/>
                <w:lang w:val="es-ES"/>
              </w:rPr>
              <w:t>, incorporando propuesta del nuevo marco institucional</w:t>
            </w:r>
            <w:r w:rsidRPr="00233FCB">
              <w:rPr>
                <w:rFonts w:ascii="Arial" w:hAnsi="Arial" w:cs="Arial"/>
                <w:sz w:val="20"/>
                <w:szCs w:val="20"/>
                <w:lang w:val="es-ES"/>
              </w:rPr>
              <w:t>.</w:t>
            </w:r>
          </w:p>
        </w:tc>
        <w:tc>
          <w:tcPr>
            <w:tcW w:w="3150" w:type="dxa"/>
          </w:tcPr>
          <w:p w14:paraId="1CEFF4BE" w14:textId="4DF65923" w:rsidR="00F20A68" w:rsidRPr="00233FCB" w:rsidRDefault="00F20A68" w:rsidP="00AB0EB2">
            <w:pPr>
              <w:spacing w:line="0" w:lineRule="atLeast"/>
              <w:jc w:val="both"/>
              <w:rPr>
                <w:rFonts w:ascii="Arial" w:hAnsi="Arial" w:cs="Arial"/>
                <w:lang w:val="es-ES"/>
              </w:rPr>
            </w:pPr>
            <w:r w:rsidRPr="00233FCB">
              <w:rPr>
                <w:rFonts w:ascii="Arial" w:hAnsi="Arial" w:cs="Arial"/>
                <w:lang w:val="es-ES"/>
              </w:rPr>
              <w:lastRenderedPageBreak/>
              <w:t xml:space="preserve">Nota de remisión del Anteproyecto de Ley de Aeronáutica Civil del Estado Plurinacional de Bolivia por parte del </w:t>
            </w:r>
            <w:r w:rsidR="00836EC3">
              <w:rPr>
                <w:rFonts w:ascii="Arial" w:hAnsi="Arial" w:cs="Arial"/>
                <w:lang w:val="es-ES"/>
              </w:rPr>
              <w:t>MOPSV</w:t>
            </w:r>
            <w:r w:rsidR="0088277C">
              <w:rPr>
                <w:rFonts w:ascii="Arial" w:hAnsi="Arial" w:cs="Arial"/>
                <w:lang w:val="es-ES"/>
              </w:rPr>
              <w:t xml:space="preserve"> a</w:t>
            </w:r>
            <w:r w:rsidR="003A5CD2">
              <w:rPr>
                <w:rFonts w:ascii="Arial" w:hAnsi="Arial" w:cs="Arial"/>
                <w:lang w:val="es-ES"/>
              </w:rPr>
              <w:t>l Ministerio de la</w:t>
            </w:r>
            <w:r w:rsidR="0088277C">
              <w:rPr>
                <w:rFonts w:ascii="Arial" w:hAnsi="Arial" w:cs="Arial"/>
                <w:lang w:val="es-ES"/>
              </w:rPr>
              <w:t xml:space="preserve"> </w:t>
            </w:r>
            <w:r w:rsidR="0088277C">
              <w:rPr>
                <w:rFonts w:ascii="Arial" w:hAnsi="Arial" w:cs="Arial"/>
                <w:lang w:val="es-ES"/>
              </w:rPr>
              <w:lastRenderedPageBreak/>
              <w:t xml:space="preserve">Presidencia para su tratamiento en la Unidad de Análisis de Políticas Sociales y Económicas (UDAPE), adjuntando el </w:t>
            </w:r>
            <w:r w:rsidRPr="00233FCB">
              <w:rPr>
                <w:rFonts w:ascii="Arial" w:hAnsi="Arial" w:cs="Arial"/>
                <w:lang w:val="es-ES"/>
              </w:rPr>
              <w:t>Anteproyecto de Ley</w:t>
            </w:r>
            <w:r w:rsidR="0088277C">
              <w:rPr>
                <w:rFonts w:ascii="Arial" w:hAnsi="Arial" w:cs="Arial"/>
                <w:lang w:val="es-ES"/>
              </w:rPr>
              <w:t xml:space="preserve"> de</w:t>
            </w:r>
            <w:r w:rsidR="3D8CB173">
              <w:rPr>
                <w:rFonts w:ascii="Arial" w:hAnsi="Arial" w:cs="Arial"/>
                <w:lang w:val="es-ES"/>
              </w:rPr>
              <w:t xml:space="preserve"> </w:t>
            </w:r>
            <w:r w:rsidR="0088277C">
              <w:rPr>
                <w:rFonts w:ascii="Arial" w:hAnsi="Arial" w:cs="Arial"/>
                <w:lang w:val="es-ES"/>
              </w:rPr>
              <w:t>Aeronáutica Civil del Estado Plurinacional de Bolivia.</w:t>
            </w:r>
          </w:p>
        </w:tc>
        <w:tc>
          <w:tcPr>
            <w:tcW w:w="2070" w:type="dxa"/>
          </w:tcPr>
          <w:p w14:paraId="3C8CE781" w14:textId="1C9723B1" w:rsidR="00F20A68" w:rsidRPr="00233FCB" w:rsidRDefault="00862C07" w:rsidP="00F20A68">
            <w:pPr>
              <w:spacing w:line="0" w:lineRule="atLeast"/>
              <w:jc w:val="both"/>
              <w:rPr>
                <w:rFonts w:ascii="Arial" w:hAnsi="Arial" w:cs="Arial"/>
                <w:lang w:val="es-ES"/>
              </w:rPr>
            </w:pPr>
            <w:r>
              <w:rPr>
                <w:rFonts w:ascii="Arial" w:hAnsi="Arial" w:cs="Arial"/>
                <w:lang w:val="es-ES"/>
              </w:rPr>
              <w:lastRenderedPageBreak/>
              <w:t>Medio de verificación entregado.</w:t>
            </w:r>
          </w:p>
        </w:tc>
      </w:tr>
      <w:tr w:rsidR="00F20A68" w:rsidRPr="00233FCB" w14:paraId="09A4072C" w14:textId="77777777" w:rsidTr="3D8CB173">
        <w:tc>
          <w:tcPr>
            <w:tcW w:w="2970" w:type="dxa"/>
            <w:vMerge/>
          </w:tcPr>
          <w:p w14:paraId="2443BDCF" w14:textId="77777777" w:rsidR="00F20A68" w:rsidRPr="00233FCB" w:rsidRDefault="00F20A68" w:rsidP="00AB0EB2">
            <w:pPr>
              <w:spacing w:line="0" w:lineRule="atLeast"/>
              <w:jc w:val="both"/>
              <w:rPr>
                <w:rFonts w:ascii="Arial" w:hAnsi="Arial" w:cs="Arial"/>
                <w:b/>
                <w:lang w:val="es-ES"/>
              </w:rPr>
            </w:pPr>
          </w:p>
        </w:tc>
        <w:tc>
          <w:tcPr>
            <w:tcW w:w="1800" w:type="dxa"/>
          </w:tcPr>
          <w:p w14:paraId="55D57C59"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7A104D7A" w14:textId="77777777"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Aprobación de la Guía de Gestión Ambiental para la operación de aeropuertos (área de movimiento de aeronaves) en la cual se incluyen aspectos relacionados con el control de contaminación atmosférica, la gestión de residuos sólidos, la gestión de sustancias peligrosas y la protección de suelos.</w:t>
            </w:r>
          </w:p>
        </w:tc>
        <w:tc>
          <w:tcPr>
            <w:tcW w:w="3150" w:type="dxa"/>
          </w:tcPr>
          <w:p w14:paraId="5E7937C8" w14:textId="6D40EED3" w:rsidR="00F20A68" w:rsidRPr="00233FCB" w:rsidRDefault="00F20A68" w:rsidP="00AB0EB2">
            <w:pPr>
              <w:spacing w:line="0" w:lineRule="atLeast"/>
              <w:jc w:val="both"/>
              <w:rPr>
                <w:rFonts w:ascii="Arial" w:hAnsi="Arial" w:cs="Arial"/>
                <w:lang w:val="es-ES"/>
              </w:rPr>
            </w:pPr>
            <w:r w:rsidRPr="00233FCB">
              <w:rPr>
                <w:rFonts w:ascii="Arial" w:hAnsi="Arial" w:cs="Arial"/>
                <w:lang w:val="es-ES"/>
              </w:rPr>
              <w:t xml:space="preserve">Resolución Ministerial emitida por el </w:t>
            </w:r>
            <w:r w:rsidR="00210FE4">
              <w:rPr>
                <w:rFonts w:ascii="Arial" w:hAnsi="Arial" w:cs="Arial"/>
                <w:lang w:val="es-ES"/>
              </w:rPr>
              <w:t>MOPSV</w:t>
            </w:r>
            <w:r w:rsidRPr="00233FCB">
              <w:rPr>
                <w:rFonts w:ascii="Arial" w:hAnsi="Arial" w:cs="Arial"/>
                <w:lang w:val="es-ES"/>
              </w:rPr>
              <w:t xml:space="preserve"> acompañada de la Guía.</w:t>
            </w:r>
          </w:p>
        </w:tc>
        <w:tc>
          <w:tcPr>
            <w:tcW w:w="2070" w:type="dxa"/>
          </w:tcPr>
          <w:p w14:paraId="6B5DD43D" w14:textId="6F171753" w:rsidR="00F20A68" w:rsidRPr="00233FCB" w:rsidRDefault="00C5434C"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1BA7A550" w14:textId="77777777" w:rsidTr="3D8CB173">
        <w:tc>
          <w:tcPr>
            <w:tcW w:w="2970" w:type="dxa"/>
            <w:vMerge/>
          </w:tcPr>
          <w:p w14:paraId="74B3E2BF" w14:textId="77777777" w:rsidR="00F20A68" w:rsidRPr="00233FCB" w:rsidRDefault="00F20A68" w:rsidP="00AB0EB2">
            <w:pPr>
              <w:spacing w:line="0" w:lineRule="atLeast"/>
              <w:jc w:val="both"/>
              <w:rPr>
                <w:rFonts w:ascii="Arial" w:hAnsi="Arial" w:cs="Arial"/>
                <w:b/>
                <w:lang w:val="es-ES"/>
              </w:rPr>
            </w:pPr>
          </w:p>
        </w:tc>
        <w:tc>
          <w:tcPr>
            <w:tcW w:w="1800" w:type="dxa"/>
          </w:tcPr>
          <w:p w14:paraId="340EA955"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3182E3BE" w14:textId="77777777"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Aprobación de la Guía de Gestión del Mantenimiento Sostenible del área de movimiento de aeronaves en aeropuertos que incluye la tipificación de los aeropuertos, la ejecución de mantenimiento y su frecuencia, y las operaciones de mantenimiento por tipo de aeropuerto.</w:t>
            </w:r>
          </w:p>
        </w:tc>
        <w:tc>
          <w:tcPr>
            <w:tcW w:w="3150" w:type="dxa"/>
          </w:tcPr>
          <w:p w14:paraId="0567BCE7"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t>Resolución Ministerial emitida por el MOPSV acompañada de la Guía.</w:t>
            </w:r>
          </w:p>
        </w:tc>
        <w:tc>
          <w:tcPr>
            <w:tcW w:w="2070" w:type="dxa"/>
          </w:tcPr>
          <w:p w14:paraId="77C6AB54" w14:textId="63E6C2F6" w:rsidR="00F20A68" w:rsidRPr="00233FCB" w:rsidRDefault="008005B7"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60B0E563" w14:textId="77777777" w:rsidTr="3D8CB173">
        <w:tc>
          <w:tcPr>
            <w:tcW w:w="2970" w:type="dxa"/>
            <w:vMerge/>
          </w:tcPr>
          <w:p w14:paraId="097DA1D7" w14:textId="77777777" w:rsidR="00F20A68" w:rsidRPr="00233FCB" w:rsidRDefault="00F20A68" w:rsidP="00AB0EB2">
            <w:pPr>
              <w:spacing w:line="0" w:lineRule="atLeast"/>
              <w:jc w:val="both"/>
              <w:rPr>
                <w:rFonts w:ascii="Arial" w:hAnsi="Arial" w:cs="Arial"/>
                <w:b/>
                <w:lang w:val="es-ES"/>
              </w:rPr>
            </w:pPr>
          </w:p>
        </w:tc>
        <w:tc>
          <w:tcPr>
            <w:tcW w:w="1800" w:type="dxa"/>
          </w:tcPr>
          <w:p w14:paraId="33B67C4A"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7ACAEBC9" w14:textId="77777777"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Elaboración del Plan de Inversión para Mantenimiento de </w:t>
            </w:r>
            <w:r w:rsidRPr="00233FCB">
              <w:rPr>
                <w:rFonts w:ascii="Arial" w:hAnsi="Arial" w:cs="Arial"/>
                <w:sz w:val="20"/>
                <w:szCs w:val="20"/>
                <w:lang w:val="es-ES"/>
              </w:rPr>
              <w:lastRenderedPageBreak/>
              <w:t>Aeropuertos que incluye la programación plurianual de las inversiones de mantenimiento de infraestructura aeroportuaria nacional.</w:t>
            </w:r>
          </w:p>
        </w:tc>
        <w:tc>
          <w:tcPr>
            <w:tcW w:w="3150" w:type="dxa"/>
          </w:tcPr>
          <w:p w14:paraId="55C4741B"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lastRenderedPageBreak/>
              <w:t xml:space="preserve">Comunicación emitida por el MOPSV dirigida al Banco, </w:t>
            </w:r>
            <w:r w:rsidRPr="00233FCB">
              <w:rPr>
                <w:rFonts w:ascii="Arial" w:hAnsi="Arial" w:cs="Arial"/>
                <w:lang w:val="es-ES"/>
              </w:rPr>
              <w:lastRenderedPageBreak/>
              <w:t>acompañando el Plan de Inversión.</w:t>
            </w:r>
          </w:p>
        </w:tc>
        <w:tc>
          <w:tcPr>
            <w:tcW w:w="2070" w:type="dxa"/>
          </w:tcPr>
          <w:p w14:paraId="6CA713D6" w14:textId="26D2424B" w:rsidR="00F20A68" w:rsidRPr="00233FCB" w:rsidRDefault="008005B7" w:rsidP="00AB0EB2">
            <w:pPr>
              <w:spacing w:line="0" w:lineRule="atLeast"/>
              <w:jc w:val="both"/>
              <w:rPr>
                <w:rFonts w:ascii="Arial" w:hAnsi="Arial" w:cs="Arial"/>
                <w:lang w:val="es-ES"/>
              </w:rPr>
            </w:pPr>
            <w:r>
              <w:rPr>
                <w:rFonts w:ascii="Arial" w:hAnsi="Arial" w:cs="Arial"/>
                <w:lang w:val="es-ES"/>
              </w:rPr>
              <w:lastRenderedPageBreak/>
              <w:t>Medio de verificación entregado.</w:t>
            </w:r>
          </w:p>
        </w:tc>
      </w:tr>
      <w:tr w:rsidR="00F20A68" w:rsidRPr="00233FCB" w14:paraId="1E9DB6AE" w14:textId="77777777" w:rsidTr="3D8CB173">
        <w:tc>
          <w:tcPr>
            <w:tcW w:w="2970" w:type="dxa"/>
            <w:vMerge/>
          </w:tcPr>
          <w:p w14:paraId="7D5CEF7D" w14:textId="77777777" w:rsidR="00F20A68" w:rsidRPr="00233FCB" w:rsidRDefault="00F20A68" w:rsidP="00AB0EB2">
            <w:pPr>
              <w:spacing w:line="0" w:lineRule="atLeast"/>
              <w:jc w:val="both"/>
              <w:rPr>
                <w:rFonts w:ascii="Arial" w:hAnsi="Arial" w:cs="Arial"/>
                <w:b/>
                <w:lang w:val="es-ES"/>
              </w:rPr>
            </w:pPr>
          </w:p>
        </w:tc>
        <w:tc>
          <w:tcPr>
            <w:tcW w:w="1800" w:type="dxa"/>
          </w:tcPr>
          <w:p w14:paraId="715C7728"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03543757" w14:textId="77777777"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Aprobación de la actualización del Plan Nacional de Navegación Aérea.</w:t>
            </w:r>
          </w:p>
        </w:tc>
        <w:tc>
          <w:tcPr>
            <w:tcW w:w="3150" w:type="dxa"/>
          </w:tcPr>
          <w:p w14:paraId="50DBB72E"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t>Resolución Administrativa emitida por la DGAC acompañada del Plan.</w:t>
            </w:r>
          </w:p>
        </w:tc>
        <w:tc>
          <w:tcPr>
            <w:tcW w:w="2070" w:type="dxa"/>
          </w:tcPr>
          <w:p w14:paraId="180F50DC" w14:textId="6B45F270" w:rsidR="00F20A68" w:rsidRPr="00233FCB" w:rsidRDefault="008005B7"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C00B0C" w14:paraId="7ECCEED8" w14:textId="77777777" w:rsidTr="00C00B0C">
        <w:tc>
          <w:tcPr>
            <w:tcW w:w="12960" w:type="dxa"/>
            <w:gridSpan w:val="5"/>
            <w:shd w:val="clear" w:color="auto" w:fill="D9D9D9" w:themeFill="background1" w:themeFillShade="D9"/>
          </w:tcPr>
          <w:p w14:paraId="2375F1E0" w14:textId="708B65E2" w:rsidR="00F20A68" w:rsidRPr="00233FCB" w:rsidRDefault="00F20A68" w:rsidP="000164D0">
            <w:pPr>
              <w:spacing w:line="0" w:lineRule="atLeast"/>
              <w:rPr>
                <w:rFonts w:ascii="Arial" w:hAnsi="Arial" w:cs="Arial"/>
                <w:lang w:val="es-ES"/>
              </w:rPr>
            </w:pPr>
            <w:r w:rsidRPr="00233FCB">
              <w:rPr>
                <w:rFonts w:ascii="Arial" w:hAnsi="Arial" w:cs="Arial"/>
                <w:b/>
                <w:lang w:val="es-ES"/>
              </w:rPr>
              <w:t>Subcomponente 2.5. Marc</w:t>
            </w:r>
            <w:r w:rsidR="00233FCB" w:rsidRPr="00233FCB">
              <w:rPr>
                <w:rFonts w:ascii="Arial" w:hAnsi="Arial" w:cs="Arial"/>
                <w:b/>
                <w:lang w:val="es-ES"/>
              </w:rPr>
              <w:t>o regulatorio y normativo para el transporte acuático.</w:t>
            </w:r>
          </w:p>
        </w:tc>
      </w:tr>
      <w:tr w:rsidR="00F20A68" w:rsidRPr="00233FCB" w14:paraId="2B8522A5" w14:textId="77777777" w:rsidTr="3D8CB173">
        <w:tc>
          <w:tcPr>
            <w:tcW w:w="2970" w:type="dxa"/>
          </w:tcPr>
          <w:p w14:paraId="16F3D7D2"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Desarrollar el marco regulatorio de la Ley 165, en relación a la prestación del servicio en términos de calidad y economía, a fin de lograr un servicio de mejor calidad y eficiencia.</w:t>
            </w:r>
          </w:p>
          <w:p w14:paraId="23AB56CD" w14:textId="77777777" w:rsidR="00F20A68" w:rsidRPr="00233FCB" w:rsidRDefault="00F20A68" w:rsidP="00F963A2">
            <w:pPr>
              <w:pStyle w:val="ListParagraph"/>
              <w:suppressAutoHyphens/>
              <w:spacing w:after="0" w:line="0" w:lineRule="atLeast"/>
              <w:ind w:left="151"/>
              <w:jc w:val="both"/>
              <w:rPr>
                <w:rFonts w:ascii="Arial" w:hAnsi="Arial" w:cs="Arial"/>
                <w:sz w:val="20"/>
                <w:szCs w:val="20"/>
                <w:lang w:val="es-ES"/>
              </w:rPr>
            </w:pPr>
          </w:p>
          <w:p w14:paraId="7F2DC332"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b/>
                <w:sz w:val="20"/>
                <w:szCs w:val="20"/>
                <w:lang w:val="es-ES"/>
              </w:rPr>
            </w:pPr>
            <w:r w:rsidRPr="00233FCB">
              <w:rPr>
                <w:rFonts w:ascii="Arial" w:hAnsi="Arial" w:cs="Arial"/>
                <w:sz w:val="20"/>
                <w:szCs w:val="20"/>
                <w:lang w:val="es-ES"/>
              </w:rPr>
              <w:t>Implementar las regulaciones y fiscalización en las áreas de derechos y obligaciones, tarifas y seguros.</w:t>
            </w:r>
          </w:p>
        </w:tc>
        <w:tc>
          <w:tcPr>
            <w:tcW w:w="1800" w:type="dxa"/>
          </w:tcPr>
          <w:p w14:paraId="19A6555E"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1D25C8E6" w14:textId="39F412CF" w:rsidR="00F20A68" w:rsidRPr="00233FCB" w:rsidRDefault="00B437E8" w:rsidP="003923D0">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Aprobación</w:t>
            </w:r>
            <w:r w:rsidR="00CF479A">
              <w:rPr>
                <w:rFonts w:ascii="Arial" w:hAnsi="Arial" w:cs="Arial"/>
                <w:sz w:val="20"/>
                <w:szCs w:val="20"/>
                <w:lang w:val="es-ES"/>
              </w:rPr>
              <w:t xml:space="preserve"> de</w:t>
            </w:r>
            <w:r w:rsidRPr="00233FCB">
              <w:rPr>
                <w:rFonts w:ascii="Arial" w:hAnsi="Arial" w:cs="Arial"/>
                <w:sz w:val="20"/>
                <w:szCs w:val="20"/>
                <w:lang w:val="es-ES"/>
              </w:rPr>
              <w:t xml:space="preserve"> </w:t>
            </w:r>
            <w:r w:rsidR="00210FE4">
              <w:rPr>
                <w:rFonts w:ascii="Arial" w:hAnsi="Arial" w:cs="Arial"/>
                <w:sz w:val="20"/>
                <w:szCs w:val="20"/>
                <w:lang w:val="es-ES"/>
              </w:rPr>
              <w:t>la reglamentación regulatoria</w:t>
            </w:r>
            <w:r w:rsidR="0000260F" w:rsidRPr="00233FCB">
              <w:rPr>
                <w:rFonts w:ascii="Arial" w:hAnsi="Arial" w:cs="Arial"/>
                <w:sz w:val="20"/>
                <w:szCs w:val="20"/>
                <w:lang w:val="es-ES"/>
              </w:rPr>
              <w:t xml:space="preserve"> </w:t>
            </w:r>
            <w:r w:rsidR="00605498">
              <w:rPr>
                <w:rFonts w:ascii="Arial" w:hAnsi="Arial" w:cs="Arial"/>
                <w:sz w:val="20"/>
                <w:szCs w:val="20"/>
                <w:lang w:val="es-ES"/>
              </w:rPr>
              <w:t>para</w:t>
            </w:r>
            <w:r w:rsidR="0000260F" w:rsidRPr="00233FCB">
              <w:rPr>
                <w:rFonts w:ascii="Arial" w:hAnsi="Arial" w:cs="Arial"/>
                <w:sz w:val="20"/>
                <w:szCs w:val="20"/>
                <w:lang w:val="es-ES"/>
              </w:rPr>
              <w:t xml:space="preserve"> la </w:t>
            </w:r>
            <w:r w:rsidR="009E79C0">
              <w:rPr>
                <w:rFonts w:ascii="Arial" w:hAnsi="Arial" w:cs="Arial"/>
                <w:sz w:val="20"/>
                <w:szCs w:val="20"/>
                <w:lang w:val="es-ES"/>
              </w:rPr>
              <w:t>m</w:t>
            </w:r>
            <w:r w:rsidR="0000260F" w:rsidRPr="00233FCB">
              <w:rPr>
                <w:rFonts w:ascii="Arial" w:hAnsi="Arial" w:cs="Arial"/>
                <w:sz w:val="20"/>
                <w:szCs w:val="20"/>
                <w:lang w:val="es-ES"/>
              </w:rPr>
              <w:t xml:space="preserve">odalidad de </w:t>
            </w:r>
            <w:r w:rsidR="009E79C0">
              <w:rPr>
                <w:rFonts w:ascii="Arial" w:hAnsi="Arial" w:cs="Arial"/>
                <w:sz w:val="20"/>
                <w:szCs w:val="20"/>
                <w:lang w:val="es-ES"/>
              </w:rPr>
              <w:t>t</w:t>
            </w:r>
            <w:r w:rsidR="0000260F" w:rsidRPr="00233FCB">
              <w:rPr>
                <w:rFonts w:ascii="Arial" w:hAnsi="Arial" w:cs="Arial"/>
                <w:sz w:val="20"/>
                <w:szCs w:val="20"/>
                <w:lang w:val="es-ES"/>
              </w:rPr>
              <w:t xml:space="preserve">ransporte </w:t>
            </w:r>
            <w:r w:rsidR="009E79C0">
              <w:rPr>
                <w:rFonts w:ascii="Arial" w:hAnsi="Arial" w:cs="Arial"/>
                <w:sz w:val="20"/>
                <w:szCs w:val="20"/>
                <w:lang w:val="es-ES"/>
              </w:rPr>
              <w:t>a</w:t>
            </w:r>
            <w:r w:rsidR="0000260F" w:rsidRPr="00233FCB">
              <w:rPr>
                <w:rFonts w:ascii="Arial" w:hAnsi="Arial" w:cs="Arial"/>
                <w:sz w:val="20"/>
                <w:szCs w:val="20"/>
                <w:lang w:val="es-ES"/>
              </w:rPr>
              <w:t>cuático</w:t>
            </w:r>
            <w:r w:rsidR="00233FCB" w:rsidRPr="00233FCB">
              <w:rPr>
                <w:rFonts w:ascii="Arial" w:hAnsi="Arial" w:cs="Arial"/>
                <w:sz w:val="20"/>
                <w:szCs w:val="20"/>
                <w:lang w:val="es-ES"/>
              </w:rPr>
              <w:t xml:space="preserve"> </w:t>
            </w:r>
            <w:r w:rsidRPr="00233FCB">
              <w:rPr>
                <w:rFonts w:ascii="Arial" w:hAnsi="Arial" w:cs="Arial"/>
                <w:sz w:val="20"/>
                <w:szCs w:val="20"/>
                <w:lang w:val="es-ES"/>
              </w:rPr>
              <w:t>que incluye entre otros, aspectos relacionados con derechos, obligaciones y prohibiciones en conformidad con lo establecido en la Ley 165, control y fiscalización de servicios, regulación tarifaria, seguros, infracciones y sanciones, y defensa de la competencia.</w:t>
            </w:r>
          </w:p>
        </w:tc>
        <w:tc>
          <w:tcPr>
            <w:tcW w:w="3150" w:type="dxa"/>
          </w:tcPr>
          <w:p w14:paraId="4D98D98C" w14:textId="1B32CB42" w:rsidR="00F20A68" w:rsidRPr="00233FCB" w:rsidRDefault="008005B7" w:rsidP="00AB0EB2">
            <w:pPr>
              <w:spacing w:line="0" w:lineRule="atLeast"/>
              <w:jc w:val="both"/>
              <w:rPr>
                <w:rFonts w:ascii="Arial" w:hAnsi="Arial" w:cs="Arial"/>
                <w:lang w:val="es-ES"/>
              </w:rPr>
            </w:pPr>
            <w:r w:rsidRPr="00233FCB">
              <w:rPr>
                <w:rFonts w:ascii="Arial" w:hAnsi="Arial" w:cs="Arial"/>
                <w:lang w:val="es-ES"/>
              </w:rPr>
              <w:t>Resolución Ministerial emitida por el MOPSV, aprobando el Reglamento</w:t>
            </w:r>
            <w:r w:rsidR="00210FE4">
              <w:rPr>
                <w:rFonts w:ascii="Arial" w:hAnsi="Arial" w:cs="Arial"/>
                <w:lang w:val="es-ES"/>
              </w:rPr>
              <w:t xml:space="preserve"> Regulatorio de la Modalidad de Transporte Acuático</w:t>
            </w:r>
            <w:r w:rsidRPr="00233FCB">
              <w:rPr>
                <w:rFonts w:ascii="Arial" w:hAnsi="Arial" w:cs="Arial"/>
                <w:lang w:val="es-ES"/>
              </w:rPr>
              <w:t>.</w:t>
            </w:r>
          </w:p>
        </w:tc>
        <w:tc>
          <w:tcPr>
            <w:tcW w:w="2070" w:type="dxa"/>
          </w:tcPr>
          <w:p w14:paraId="7BDEC053" w14:textId="06AC6571" w:rsidR="00F20A68" w:rsidRPr="00233FCB" w:rsidRDefault="008005B7" w:rsidP="00F20A68">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4A906055" w14:textId="77777777" w:rsidTr="3D8CB173">
        <w:tc>
          <w:tcPr>
            <w:tcW w:w="2970" w:type="dxa"/>
          </w:tcPr>
          <w:p w14:paraId="2D8EDC66"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b/>
                <w:sz w:val="20"/>
                <w:szCs w:val="20"/>
                <w:lang w:val="es-ES"/>
              </w:rPr>
            </w:pPr>
            <w:r w:rsidRPr="00233FCB">
              <w:rPr>
                <w:rFonts w:ascii="Arial" w:hAnsi="Arial" w:cs="Arial"/>
                <w:sz w:val="20"/>
                <w:szCs w:val="20"/>
                <w:lang w:val="es-ES"/>
              </w:rPr>
              <w:t>Desarrollar la Reglamentación Técnica para la Modalidad de Transporte Acuático, que permita normar aspectos relacionados con la infraestructura, seguridad y medio ambiente, a fin de fomentar el uso del transporte acuático, incentivando un transporte seguro y multimodal.</w:t>
            </w:r>
          </w:p>
        </w:tc>
        <w:tc>
          <w:tcPr>
            <w:tcW w:w="1800" w:type="dxa"/>
          </w:tcPr>
          <w:p w14:paraId="5CAA0155" w14:textId="77777777" w:rsidR="00F20A68" w:rsidRPr="00233FCB" w:rsidRDefault="00F20A68" w:rsidP="000164D0">
            <w:pPr>
              <w:spacing w:line="0" w:lineRule="atLeast"/>
              <w:jc w:val="center"/>
              <w:rPr>
                <w:rFonts w:ascii="Arial" w:hAnsi="Arial" w:cs="Arial"/>
                <w:lang w:val="es-ES"/>
              </w:rPr>
            </w:pPr>
            <w:r w:rsidRPr="00233FCB">
              <w:rPr>
                <w:rFonts w:ascii="Arial" w:hAnsi="Arial" w:cs="Arial"/>
                <w:lang w:val="es-ES"/>
              </w:rPr>
              <w:t>VMT-MOPSV</w:t>
            </w:r>
          </w:p>
        </w:tc>
        <w:tc>
          <w:tcPr>
            <w:tcW w:w="2970" w:type="dxa"/>
          </w:tcPr>
          <w:p w14:paraId="0101F047" w14:textId="5B5FD89D" w:rsidR="00F20A68" w:rsidRPr="00233FCB" w:rsidRDefault="00F20A68" w:rsidP="00C23FD4">
            <w:pPr>
              <w:pStyle w:val="ListParagraph"/>
              <w:numPr>
                <w:ilvl w:val="0"/>
                <w:numId w:val="7"/>
              </w:numPr>
              <w:spacing w:after="0" w:line="0" w:lineRule="atLeast"/>
              <w:ind w:left="342" w:hanging="450"/>
              <w:jc w:val="both"/>
              <w:rPr>
                <w:rFonts w:ascii="Arial" w:hAnsi="Arial" w:cs="Arial"/>
                <w:sz w:val="20"/>
                <w:szCs w:val="20"/>
                <w:lang w:val="es-ES"/>
              </w:rPr>
            </w:pPr>
            <w:bookmarkStart w:id="1" w:name="_Ref465848476"/>
            <w:r w:rsidRPr="00233FCB">
              <w:rPr>
                <w:rFonts w:ascii="Arial" w:hAnsi="Arial" w:cs="Arial"/>
                <w:sz w:val="20"/>
                <w:szCs w:val="20"/>
                <w:lang w:val="es-ES"/>
              </w:rPr>
              <w:t xml:space="preserve">Aprobación de la </w:t>
            </w:r>
            <w:r w:rsidR="00CF479A">
              <w:rPr>
                <w:rFonts w:ascii="Arial" w:hAnsi="Arial" w:cs="Arial"/>
                <w:sz w:val="20"/>
                <w:szCs w:val="20"/>
                <w:lang w:val="es-ES"/>
              </w:rPr>
              <w:t>r</w:t>
            </w:r>
            <w:r w:rsidRPr="00233FCB">
              <w:rPr>
                <w:rFonts w:ascii="Arial" w:hAnsi="Arial" w:cs="Arial"/>
                <w:sz w:val="20"/>
                <w:szCs w:val="20"/>
                <w:lang w:val="es-ES"/>
              </w:rPr>
              <w:t xml:space="preserve">eglamentación de la Ley General de Transporte para la modalidad de </w:t>
            </w:r>
            <w:r w:rsidR="00CF479A">
              <w:rPr>
                <w:rFonts w:ascii="Arial" w:hAnsi="Arial" w:cs="Arial"/>
                <w:sz w:val="20"/>
                <w:szCs w:val="20"/>
                <w:lang w:val="es-ES"/>
              </w:rPr>
              <w:t>t</w:t>
            </w:r>
            <w:r w:rsidRPr="00233FCB">
              <w:rPr>
                <w:rFonts w:ascii="Arial" w:hAnsi="Arial" w:cs="Arial"/>
                <w:sz w:val="20"/>
                <w:szCs w:val="20"/>
                <w:lang w:val="es-ES"/>
              </w:rPr>
              <w:t xml:space="preserve">ransporte </w:t>
            </w:r>
            <w:r w:rsidR="00CF479A">
              <w:rPr>
                <w:rFonts w:ascii="Arial" w:hAnsi="Arial" w:cs="Arial"/>
                <w:sz w:val="20"/>
                <w:szCs w:val="20"/>
                <w:lang w:val="es-ES"/>
              </w:rPr>
              <w:t>a</w:t>
            </w:r>
            <w:r w:rsidRPr="00233FCB">
              <w:rPr>
                <w:rFonts w:ascii="Arial" w:hAnsi="Arial" w:cs="Arial"/>
                <w:sz w:val="20"/>
                <w:szCs w:val="20"/>
                <w:lang w:val="es-ES"/>
              </w:rPr>
              <w:t xml:space="preserve">cuático en temas de cargas peligrosas, clasificación y categorización de puertos, registro y arqueo, actividad naviero mercante, seguridad y prestación de servicios en puertos, la </w:t>
            </w:r>
            <w:r w:rsidRPr="00233FCB">
              <w:rPr>
                <w:rFonts w:ascii="Arial" w:hAnsi="Arial" w:cs="Arial"/>
                <w:sz w:val="20"/>
                <w:szCs w:val="20"/>
                <w:lang w:val="es-ES"/>
              </w:rPr>
              <w:lastRenderedPageBreak/>
              <w:t xml:space="preserve">protección del medio ambiente en puertos y vías navegables, y autoridad competente de vías navegables. </w:t>
            </w:r>
            <w:r w:rsidR="00C23FD4">
              <w:rPr>
                <w:rFonts w:ascii="Arial" w:hAnsi="Arial" w:cs="Arial"/>
                <w:sz w:val="20"/>
                <w:szCs w:val="20"/>
                <w:lang w:val="es-ES"/>
              </w:rPr>
              <w:t>Dich</w:t>
            </w:r>
            <w:r w:rsidR="000A5AF2">
              <w:rPr>
                <w:rFonts w:ascii="Arial" w:hAnsi="Arial" w:cs="Arial"/>
                <w:sz w:val="20"/>
                <w:szCs w:val="20"/>
                <w:lang w:val="es-ES"/>
              </w:rPr>
              <w:t>a</w:t>
            </w:r>
            <w:r w:rsidR="00C23FD4">
              <w:rPr>
                <w:rFonts w:ascii="Arial" w:hAnsi="Arial" w:cs="Arial"/>
                <w:sz w:val="20"/>
                <w:szCs w:val="20"/>
                <w:lang w:val="es-ES"/>
              </w:rPr>
              <w:t xml:space="preserve"> reglament</w:t>
            </w:r>
            <w:r w:rsidR="000A5AF2">
              <w:rPr>
                <w:rFonts w:ascii="Arial" w:hAnsi="Arial" w:cs="Arial"/>
                <w:sz w:val="20"/>
                <w:szCs w:val="20"/>
                <w:lang w:val="es-ES"/>
              </w:rPr>
              <w:t>ación</w:t>
            </w:r>
            <w:r w:rsidR="00C23FD4">
              <w:rPr>
                <w:rFonts w:ascii="Arial" w:hAnsi="Arial" w:cs="Arial"/>
                <w:sz w:val="20"/>
                <w:szCs w:val="20"/>
                <w:lang w:val="es-ES"/>
              </w:rPr>
              <w:t xml:space="preserve"> incluirá</w:t>
            </w:r>
            <w:r w:rsidRPr="00233FCB">
              <w:rPr>
                <w:rFonts w:ascii="Arial" w:hAnsi="Arial" w:cs="Arial"/>
                <w:sz w:val="20"/>
                <w:szCs w:val="20"/>
                <w:lang w:val="es-ES"/>
              </w:rPr>
              <w:t xml:space="preserve"> los criterios para que todos los operadores cuenten con seguros que cubran a las embarcaciones, a terceras personas, a los pasajeros y a los bienes transportados.</w:t>
            </w:r>
            <w:bookmarkEnd w:id="1"/>
          </w:p>
        </w:tc>
        <w:tc>
          <w:tcPr>
            <w:tcW w:w="3150" w:type="dxa"/>
          </w:tcPr>
          <w:p w14:paraId="426B7177" w14:textId="6298AFAF" w:rsidR="00F20A68" w:rsidRPr="00233FCB" w:rsidRDefault="00F20A68" w:rsidP="00AB0EB2">
            <w:pPr>
              <w:spacing w:line="0" w:lineRule="atLeast"/>
              <w:jc w:val="both"/>
              <w:rPr>
                <w:rFonts w:ascii="Arial" w:hAnsi="Arial" w:cs="Arial"/>
                <w:lang w:val="es-ES"/>
              </w:rPr>
            </w:pPr>
            <w:r w:rsidRPr="00233FCB">
              <w:rPr>
                <w:rFonts w:ascii="Arial" w:hAnsi="Arial" w:cs="Arial"/>
                <w:lang w:val="es-ES"/>
              </w:rPr>
              <w:lastRenderedPageBreak/>
              <w:t>Decreto supremo publicado en la Gaceta Oficial de Bolivia acompañado del Reglamento</w:t>
            </w:r>
            <w:r w:rsidR="000E3D0C">
              <w:rPr>
                <w:rFonts w:ascii="Arial" w:hAnsi="Arial" w:cs="Arial"/>
                <w:lang w:val="es-ES"/>
              </w:rPr>
              <w:t xml:space="preserve"> Técnico a la Ley No 165</w:t>
            </w:r>
            <w:r w:rsidRPr="00233FCB">
              <w:rPr>
                <w:rFonts w:ascii="Arial" w:hAnsi="Arial" w:cs="Arial"/>
                <w:lang w:val="es-ES"/>
              </w:rPr>
              <w:t>.</w:t>
            </w:r>
          </w:p>
        </w:tc>
        <w:tc>
          <w:tcPr>
            <w:tcW w:w="2070" w:type="dxa"/>
          </w:tcPr>
          <w:p w14:paraId="2EECB960" w14:textId="2715059F" w:rsidR="00F20A68" w:rsidRPr="00233FCB" w:rsidRDefault="008E7094"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C00B0C" w14:paraId="7FEAF9EC" w14:textId="77777777" w:rsidTr="00C00B0C">
        <w:tc>
          <w:tcPr>
            <w:tcW w:w="12960" w:type="dxa"/>
            <w:gridSpan w:val="5"/>
            <w:shd w:val="clear" w:color="auto" w:fill="D9D9D9" w:themeFill="background1" w:themeFillShade="D9"/>
          </w:tcPr>
          <w:p w14:paraId="1FCC6928" w14:textId="25B73B5A" w:rsidR="00F20A68" w:rsidRPr="00233FCB" w:rsidRDefault="00F20A68" w:rsidP="00453234">
            <w:pPr>
              <w:spacing w:line="0" w:lineRule="atLeast"/>
              <w:jc w:val="both"/>
              <w:rPr>
                <w:rFonts w:ascii="Arial" w:hAnsi="Arial" w:cs="Arial"/>
                <w:lang w:val="es-ES"/>
              </w:rPr>
            </w:pPr>
            <w:r w:rsidRPr="00233FCB">
              <w:rPr>
                <w:rFonts w:ascii="Arial" w:hAnsi="Arial" w:cs="Arial"/>
                <w:b/>
                <w:lang w:val="es-ES"/>
              </w:rPr>
              <w:t xml:space="preserve">Subcomponente 2.6. </w:t>
            </w:r>
            <w:r w:rsidR="00453234" w:rsidRPr="00233FCB">
              <w:rPr>
                <w:rFonts w:ascii="Arial" w:hAnsi="Arial" w:cs="Arial"/>
                <w:b/>
                <w:lang w:val="es-ES"/>
              </w:rPr>
              <w:t>In</w:t>
            </w:r>
            <w:r w:rsidR="00233FCB" w:rsidRPr="00233FCB">
              <w:rPr>
                <w:rFonts w:ascii="Arial" w:hAnsi="Arial" w:cs="Arial"/>
                <w:b/>
                <w:lang w:val="es-ES"/>
              </w:rPr>
              <w:t>tervenciones en infraestructura vial.</w:t>
            </w:r>
          </w:p>
        </w:tc>
      </w:tr>
      <w:tr w:rsidR="00F20A68" w:rsidRPr="00233FCB" w14:paraId="7BC41270" w14:textId="77777777" w:rsidTr="00C00B0C">
        <w:tc>
          <w:tcPr>
            <w:tcW w:w="2970" w:type="dxa"/>
            <w:vMerge w:val="restart"/>
            <w:vAlign w:val="center"/>
          </w:tcPr>
          <w:p w14:paraId="7482BD21"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Contar con un inventario vial calificado de la RVF, permanentemente actualizado.</w:t>
            </w:r>
          </w:p>
          <w:p w14:paraId="569E987E" w14:textId="77777777" w:rsidR="00F20A68" w:rsidRPr="00233FCB" w:rsidRDefault="00F20A68" w:rsidP="00F963A2">
            <w:pPr>
              <w:pStyle w:val="ListParagraph"/>
              <w:suppressAutoHyphens/>
              <w:spacing w:after="0" w:line="0" w:lineRule="atLeast"/>
              <w:ind w:left="151"/>
              <w:jc w:val="both"/>
              <w:rPr>
                <w:rFonts w:ascii="Arial" w:hAnsi="Arial" w:cs="Arial"/>
                <w:sz w:val="20"/>
                <w:szCs w:val="20"/>
                <w:lang w:val="es-ES"/>
              </w:rPr>
            </w:pPr>
          </w:p>
          <w:p w14:paraId="1D4CFD35"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 xml:space="preserve">Sistematizar la información almacenada en documentos e informes y aquella a ser producida en el futuro. </w:t>
            </w:r>
          </w:p>
          <w:p w14:paraId="2D9A8F28" w14:textId="77777777" w:rsidR="00F20A68" w:rsidRPr="00233FCB" w:rsidRDefault="00F20A68" w:rsidP="00F963A2">
            <w:pPr>
              <w:pStyle w:val="ListParagraph"/>
              <w:suppressAutoHyphens/>
              <w:spacing w:after="0" w:line="0" w:lineRule="atLeast"/>
              <w:ind w:left="151"/>
              <w:jc w:val="both"/>
              <w:rPr>
                <w:rFonts w:ascii="Arial" w:hAnsi="Arial" w:cs="Arial"/>
                <w:sz w:val="20"/>
                <w:szCs w:val="20"/>
                <w:lang w:val="es-ES"/>
              </w:rPr>
            </w:pPr>
          </w:p>
          <w:p w14:paraId="1D72AE27"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Contar con las herramientas técnicas para la planificación de la gestión de la conservación de la red.</w:t>
            </w:r>
          </w:p>
        </w:tc>
        <w:tc>
          <w:tcPr>
            <w:tcW w:w="1800" w:type="dxa"/>
          </w:tcPr>
          <w:p w14:paraId="538FBF9F" w14:textId="77777777" w:rsidR="00F20A68" w:rsidRPr="00233FCB" w:rsidRDefault="00F019EB" w:rsidP="00F019EB">
            <w:pPr>
              <w:spacing w:line="0" w:lineRule="atLeast"/>
              <w:jc w:val="center"/>
              <w:rPr>
                <w:rFonts w:ascii="Arial" w:hAnsi="Arial" w:cs="Arial"/>
                <w:lang w:val="es-ES"/>
              </w:rPr>
            </w:pPr>
            <w:r w:rsidRPr="00233FCB">
              <w:rPr>
                <w:rFonts w:ascii="Arial" w:hAnsi="Arial" w:cs="Arial"/>
                <w:lang w:val="es-ES"/>
              </w:rPr>
              <w:t>ABC-MOPSV</w:t>
            </w:r>
          </w:p>
        </w:tc>
        <w:tc>
          <w:tcPr>
            <w:tcW w:w="2970" w:type="dxa"/>
          </w:tcPr>
          <w:p w14:paraId="4CB70C1B" w14:textId="6C1F6E3D" w:rsidR="00F20A68" w:rsidRPr="00233FCB" w:rsidRDefault="00F20A68" w:rsidP="001C1495">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Contratación del Sistema de gestión vial, el cual </w:t>
            </w:r>
            <w:r w:rsidR="001C1495">
              <w:rPr>
                <w:rFonts w:ascii="Arial" w:hAnsi="Arial" w:cs="Arial"/>
                <w:sz w:val="20"/>
                <w:szCs w:val="20"/>
                <w:lang w:val="es-ES"/>
              </w:rPr>
              <w:t>incluirá</w:t>
            </w:r>
            <w:r w:rsidRPr="00233FCB">
              <w:rPr>
                <w:rFonts w:ascii="Arial" w:hAnsi="Arial" w:cs="Arial"/>
                <w:sz w:val="20"/>
                <w:szCs w:val="20"/>
                <w:lang w:val="es-ES"/>
              </w:rPr>
              <w:t>: (i) una base de datos</w:t>
            </w:r>
            <w:r w:rsidR="00233FCB">
              <w:rPr>
                <w:rFonts w:ascii="Arial" w:hAnsi="Arial" w:cs="Arial"/>
                <w:sz w:val="20"/>
                <w:szCs w:val="20"/>
                <w:lang w:val="es-ES"/>
              </w:rPr>
              <w:t>;</w:t>
            </w:r>
            <w:r w:rsidRPr="00233FCB">
              <w:rPr>
                <w:rFonts w:ascii="Arial" w:hAnsi="Arial" w:cs="Arial"/>
                <w:sz w:val="20"/>
                <w:szCs w:val="20"/>
                <w:lang w:val="es-ES"/>
              </w:rPr>
              <w:t xml:space="preserve"> (ii) un módulo de inventario calificado</w:t>
            </w:r>
            <w:r w:rsidR="00233FCB">
              <w:rPr>
                <w:rFonts w:ascii="Arial" w:hAnsi="Arial" w:cs="Arial"/>
                <w:sz w:val="20"/>
                <w:szCs w:val="20"/>
                <w:lang w:val="es-ES"/>
              </w:rPr>
              <w:t>;</w:t>
            </w:r>
            <w:r w:rsidRPr="00233FCB">
              <w:rPr>
                <w:rFonts w:ascii="Arial" w:hAnsi="Arial" w:cs="Arial"/>
                <w:sz w:val="20"/>
                <w:szCs w:val="20"/>
                <w:lang w:val="es-ES"/>
              </w:rPr>
              <w:t xml:space="preserve"> (iii)</w:t>
            </w:r>
            <w:r w:rsidR="00233FCB">
              <w:rPr>
                <w:rFonts w:ascii="Arial" w:hAnsi="Arial" w:cs="Arial"/>
                <w:sz w:val="20"/>
                <w:szCs w:val="20"/>
                <w:lang w:val="es-ES"/>
              </w:rPr>
              <w:t> </w:t>
            </w:r>
            <w:r w:rsidRPr="00233FCB">
              <w:rPr>
                <w:rFonts w:ascii="Arial" w:hAnsi="Arial" w:cs="Arial"/>
                <w:sz w:val="20"/>
                <w:szCs w:val="20"/>
                <w:lang w:val="es-ES"/>
              </w:rPr>
              <w:t>un módulo de condición de los pavimentos</w:t>
            </w:r>
            <w:r w:rsidR="00233FCB">
              <w:rPr>
                <w:rFonts w:ascii="Arial" w:hAnsi="Arial" w:cs="Arial"/>
                <w:sz w:val="20"/>
                <w:szCs w:val="20"/>
                <w:lang w:val="es-ES"/>
              </w:rPr>
              <w:t>;</w:t>
            </w:r>
            <w:r w:rsidRPr="00233FCB">
              <w:rPr>
                <w:rFonts w:ascii="Arial" w:hAnsi="Arial" w:cs="Arial"/>
                <w:sz w:val="20"/>
                <w:szCs w:val="20"/>
                <w:lang w:val="es-ES"/>
              </w:rPr>
              <w:t xml:space="preserve"> (iv) un módulo de tráfico y costos de operación vehicular</w:t>
            </w:r>
            <w:r w:rsidR="00233FCB">
              <w:rPr>
                <w:rFonts w:ascii="Arial" w:hAnsi="Arial" w:cs="Arial"/>
                <w:sz w:val="20"/>
                <w:szCs w:val="20"/>
                <w:lang w:val="es-ES"/>
              </w:rPr>
              <w:t>;</w:t>
            </w:r>
            <w:r w:rsidRPr="00233FCB">
              <w:rPr>
                <w:rFonts w:ascii="Arial" w:hAnsi="Arial" w:cs="Arial"/>
                <w:sz w:val="20"/>
                <w:szCs w:val="20"/>
                <w:lang w:val="es-ES"/>
              </w:rPr>
              <w:t xml:space="preserve"> (v) un módulo de actividades de conservación</w:t>
            </w:r>
            <w:r w:rsidR="00233FCB">
              <w:rPr>
                <w:rFonts w:ascii="Arial" w:hAnsi="Arial" w:cs="Arial"/>
                <w:sz w:val="20"/>
                <w:szCs w:val="20"/>
                <w:lang w:val="es-ES"/>
              </w:rPr>
              <w:t>;</w:t>
            </w:r>
            <w:r w:rsidRPr="00233FCB">
              <w:rPr>
                <w:rFonts w:ascii="Arial" w:hAnsi="Arial" w:cs="Arial"/>
                <w:sz w:val="20"/>
                <w:szCs w:val="20"/>
                <w:lang w:val="es-ES"/>
              </w:rPr>
              <w:t xml:space="preserve"> (vi) un módulo de predicción del comportamiento del pavimento</w:t>
            </w:r>
            <w:r w:rsidR="00233FCB">
              <w:rPr>
                <w:rFonts w:ascii="Arial" w:hAnsi="Arial" w:cs="Arial"/>
                <w:sz w:val="20"/>
                <w:szCs w:val="20"/>
                <w:lang w:val="es-ES"/>
              </w:rPr>
              <w:t>;</w:t>
            </w:r>
            <w:r w:rsidRPr="00233FCB">
              <w:rPr>
                <w:rFonts w:ascii="Arial" w:hAnsi="Arial" w:cs="Arial"/>
                <w:sz w:val="20"/>
                <w:szCs w:val="20"/>
                <w:lang w:val="es-ES"/>
              </w:rPr>
              <w:t xml:space="preserve"> (vii) un módulo de planes de conservación</w:t>
            </w:r>
            <w:r w:rsidR="00233FCB">
              <w:rPr>
                <w:rFonts w:ascii="Arial" w:hAnsi="Arial" w:cs="Arial"/>
                <w:sz w:val="20"/>
                <w:szCs w:val="20"/>
                <w:lang w:val="es-ES"/>
              </w:rPr>
              <w:t>;</w:t>
            </w:r>
            <w:r w:rsidRPr="00233FCB">
              <w:rPr>
                <w:rFonts w:ascii="Arial" w:hAnsi="Arial" w:cs="Arial"/>
                <w:sz w:val="20"/>
                <w:szCs w:val="20"/>
                <w:lang w:val="es-ES"/>
              </w:rPr>
              <w:t xml:space="preserve"> (viii) un módulo de presupuesto de los planes de conservación</w:t>
            </w:r>
            <w:r w:rsidR="00233FCB">
              <w:rPr>
                <w:rFonts w:ascii="Arial" w:hAnsi="Arial" w:cs="Arial"/>
                <w:sz w:val="20"/>
                <w:szCs w:val="20"/>
                <w:lang w:val="es-ES"/>
              </w:rPr>
              <w:t>;</w:t>
            </w:r>
            <w:r w:rsidRPr="00233FCB">
              <w:rPr>
                <w:rFonts w:ascii="Arial" w:hAnsi="Arial" w:cs="Arial"/>
                <w:sz w:val="20"/>
                <w:szCs w:val="20"/>
                <w:lang w:val="es-ES"/>
              </w:rPr>
              <w:t xml:space="preserve"> (ix) un módulo de análisis de costos de operación</w:t>
            </w:r>
            <w:r w:rsidR="00233FCB">
              <w:rPr>
                <w:rFonts w:ascii="Arial" w:hAnsi="Arial" w:cs="Arial"/>
                <w:sz w:val="20"/>
                <w:szCs w:val="20"/>
                <w:lang w:val="es-ES"/>
              </w:rPr>
              <w:t>;</w:t>
            </w:r>
            <w:r w:rsidRPr="00233FCB">
              <w:rPr>
                <w:rFonts w:ascii="Arial" w:hAnsi="Arial" w:cs="Arial"/>
                <w:sz w:val="20"/>
                <w:szCs w:val="20"/>
                <w:lang w:val="es-ES"/>
              </w:rPr>
              <w:t xml:space="preserve"> (x) un módulo de planificación y gestión integrada</w:t>
            </w:r>
            <w:r w:rsidR="00233FCB">
              <w:rPr>
                <w:rFonts w:ascii="Arial" w:hAnsi="Arial" w:cs="Arial"/>
                <w:sz w:val="20"/>
                <w:szCs w:val="20"/>
                <w:lang w:val="es-ES"/>
              </w:rPr>
              <w:t>;</w:t>
            </w:r>
            <w:r w:rsidRPr="00233FCB">
              <w:rPr>
                <w:rFonts w:ascii="Arial" w:hAnsi="Arial" w:cs="Arial"/>
                <w:sz w:val="20"/>
                <w:szCs w:val="20"/>
                <w:lang w:val="es-ES"/>
              </w:rPr>
              <w:t xml:space="preserve"> (xi) un módulo de sistema de información geo-referenciada</w:t>
            </w:r>
            <w:r w:rsidR="00233FCB">
              <w:rPr>
                <w:rFonts w:ascii="Arial" w:hAnsi="Arial" w:cs="Arial"/>
                <w:sz w:val="20"/>
                <w:szCs w:val="20"/>
                <w:lang w:val="es-ES"/>
              </w:rPr>
              <w:t>;</w:t>
            </w:r>
            <w:r w:rsidRPr="00233FCB">
              <w:rPr>
                <w:rFonts w:ascii="Arial" w:hAnsi="Arial" w:cs="Arial"/>
                <w:sz w:val="20"/>
                <w:szCs w:val="20"/>
                <w:lang w:val="es-ES"/>
              </w:rPr>
              <w:t xml:space="preserve"> (xii) un </w:t>
            </w:r>
            <w:r w:rsidRPr="00233FCB">
              <w:rPr>
                <w:rFonts w:ascii="Arial" w:hAnsi="Arial" w:cs="Arial"/>
                <w:sz w:val="20"/>
                <w:szCs w:val="20"/>
                <w:lang w:val="es-ES"/>
              </w:rPr>
              <w:lastRenderedPageBreak/>
              <w:t>módulo de administración</w:t>
            </w:r>
            <w:r w:rsidR="00233FCB">
              <w:rPr>
                <w:rFonts w:ascii="Arial" w:hAnsi="Arial" w:cs="Arial"/>
                <w:sz w:val="20"/>
                <w:szCs w:val="20"/>
                <w:lang w:val="es-ES"/>
              </w:rPr>
              <w:t>;</w:t>
            </w:r>
            <w:r w:rsidRPr="00233FCB">
              <w:rPr>
                <w:rFonts w:ascii="Arial" w:hAnsi="Arial" w:cs="Arial"/>
                <w:sz w:val="20"/>
                <w:szCs w:val="20"/>
                <w:lang w:val="es-ES"/>
              </w:rPr>
              <w:t xml:space="preserve"> (xiii) mapas y escalas</w:t>
            </w:r>
            <w:r w:rsidR="00233FCB">
              <w:rPr>
                <w:rFonts w:ascii="Arial" w:hAnsi="Arial" w:cs="Arial"/>
                <w:sz w:val="20"/>
                <w:szCs w:val="20"/>
                <w:lang w:val="es-ES"/>
              </w:rPr>
              <w:t>;</w:t>
            </w:r>
            <w:r w:rsidRPr="00233FCB">
              <w:rPr>
                <w:rFonts w:ascii="Arial" w:hAnsi="Arial" w:cs="Arial"/>
                <w:sz w:val="20"/>
                <w:szCs w:val="20"/>
                <w:lang w:val="es-ES"/>
              </w:rPr>
              <w:t xml:space="preserve"> y (xiv) un módulo de administración de actividades de conservación.</w:t>
            </w:r>
          </w:p>
        </w:tc>
        <w:tc>
          <w:tcPr>
            <w:tcW w:w="3150" w:type="dxa"/>
          </w:tcPr>
          <w:p w14:paraId="25583D61"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lastRenderedPageBreak/>
              <w:t>Comunicación emitida por la Presidencia de ABC al Banco informando del inicio del proceso de contratación, acompañando las cartas de invitación que incluyan los TdRs, enviadas a las firmas consultoras de la lista corta para la presentación de propuestas.</w:t>
            </w:r>
          </w:p>
        </w:tc>
        <w:tc>
          <w:tcPr>
            <w:tcW w:w="2070" w:type="dxa"/>
          </w:tcPr>
          <w:p w14:paraId="45377659" w14:textId="55E9C78D" w:rsidR="00F20A68" w:rsidRPr="00233FCB" w:rsidRDefault="008E7094"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6897CAB7" w14:textId="77777777" w:rsidTr="3D8CB173">
        <w:tc>
          <w:tcPr>
            <w:tcW w:w="2970" w:type="dxa"/>
            <w:vMerge/>
          </w:tcPr>
          <w:p w14:paraId="2C045849" w14:textId="77777777" w:rsidR="00F20A68" w:rsidRPr="00233FCB" w:rsidRDefault="00F20A68" w:rsidP="00AB0EB2">
            <w:pPr>
              <w:spacing w:line="0" w:lineRule="atLeast"/>
              <w:jc w:val="both"/>
              <w:rPr>
                <w:rFonts w:ascii="Arial" w:hAnsi="Arial" w:cs="Arial"/>
                <w:b/>
                <w:lang w:val="es-ES"/>
              </w:rPr>
            </w:pPr>
          </w:p>
        </w:tc>
        <w:tc>
          <w:tcPr>
            <w:tcW w:w="1800" w:type="dxa"/>
          </w:tcPr>
          <w:p w14:paraId="3DBBBD44" w14:textId="77777777" w:rsidR="00F20A68" w:rsidRPr="00233FCB" w:rsidRDefault="00F019EB" w:rsidP="00F019EB">
            <w:pPr>
              <w:spacing w:line="0" w:lineRule="atLeast"/>
              <w:jc w:val="center"/>
              <w:rPr>
                <w:rFonts w:ascii="Arial" w:hAnsi="Arial" w:cs="Arial"/>
                <w:lang w:val="es-ES"/>
              </w:rPr>
            </w:pPr>
            <w:r w:rsidRPr="00233FCB">
              <w:rPr>
                <w:rFonts w:ascii="Arial" w:hAnsi="Arial" w:cs="Arial"/>
                <w:lang w:val="es-ES"/>
              </w:rPr>
              <w:t>ABC-MOPSV</w:t>
            </w:r>
          </w:p>
        </w:tc>
        <w:tc>
          <w:tcPr>
            <w:tcW w:w="2970" w:type="dxa"/>
          </w:tcPr>
          <w:p w14:paraId="66589DE3" w14:textId="77777777"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Sistema de registro y clasificación de conteos vehiculares completo</w:t>
            </w:r>
            <w:r w:rsidR="00970087" w:rsidRPr="00233FCB">
              <w:rPr>
                <w:rFonts w:ascii="Arial" w:hAnsi="Arial" w:cs="Arial"/>
                <w:sz w:val="20"/>
                <w:szCs w:val="20"/>
                <w:lang w:val="es-ES"/>
              </w:rPr>
              <w:t>.</w:t>
            </w:r>
          </w:p>
        </w:tc>
        <w:tc>
          <w:tcPr>
            <w:tcW w:w="3150" w:type="dxa"/>
          </w:tcPr>
          <w:p w14:paraId="70ADF28A"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t>Comunicación emitida por la Presidencia de ABC al Banco, acompañando el informe sobre conteos vehiculares registrados en la gestión 2015 de acuerdo al Procedimiento de Registro de Conteo Vehicular implementado.</w:t>
            </w:r>
          </w:p>
        </w:tc>
        <w:tc>
          <w:tcPr>
            <w:tcW w:w="2070" w:type="dxa"/>
          </w:tcPr>
          <w:p w14:paraId="5C3E999C" w14:textId="04994D8F" w:rsidR="00F20A68" w:rsidRPr="00233FCB" w:rsidRDefault="008E7094"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291FB228" w14:textId="77777777" w:rsidTr="3D8CB173">
        <w:tc>
          <w:tcPr>
            <w:tcW w:w="2970" w:type="dxa"/>
          </w:tcPr>
          <w:p w14:paraId="2248AE8A" w14:textId="0841188E"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sz w:val="20"/>
                <w:szCs w:val="20"/>
                <w:lang w:val="es-ES"/>
              </w:rPr>
            </w:pPr>
            <w:r w:rsidRPr="00233FCB">
              <w:rPr>
                <w:rFonts w:ascii="Arial" w:hAnsi="Arial" w:cs="Arial"/>
                <w:sz w:val="20"/>
                <w:szCs w:val="20"/>
                <w:lang w:val="es-ES"/>
              </w:rPr>
              <w:t>Contar con un sistema de gestión para registro y clasificación de accidentes que permita identificar puntos críticos en la RVF a fin de tomar las previsiones y acciones que reduzcan el número de accidentes.</w:t>
            </w:r>
          </w:p>
        </w:tc>
        <w:tc>
          <w:tcPr>
            <w:tcW w:w="1800" w:type="dxa"/>
          </w:tcPr>
          <w:p w14:paraId="595CB8BA" w14:textId="77777777" w:rsidR="00F20A68" w:rsidRPr="00233FCB" w:rsidRDefault="00F019EB" w:rsidP="00F019EB">
            <w:pPr>
              <w:spacing w:line="0" w:lineRule="atLeast"/>
              <w:jc w:val="center"/>
              <w:rPr>
                <w:rFonts w:ascii="Arial" w:hAnsi="Arial" w:cs="Arial"/>
                <w:lang w:val="es-ES"/>
              </w:rPr>
            </w:pPr>
            <w:r w:rsidRPr="00233FCB">
              <w:rPr>
                <w:rFonts w:ascii="Arial" w:hAnsi="Arial" w:cs="Arial"/>
                <w:lang w:val="es-ES"/>
              </w:rPr>
              <w:t>ABC-MOPSV</w:t>
            </w:r>
          </w:p>
        </w:tc>
        <w:tc>
          <w:tcPr>
            <w:tcW w:w="2970" w:type="dxa"/>
          </w:tcPr>
          <w:p w14:paraId="5527942E" w14:textId="77777777"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Sistema de gestión para registro y clasificación de accidentes completo y actualizado.</w:t>
            </w:r>
          </w:p>
        </w:tc>
        <w:tc>
          <w:tcPr>
            <w:tcW w:w="3150" w:type="dxa"/>
          </w:tcPr>
          <w:p w14:paraId="6A6C9607" w14:textId="77777777" w:rsidR="00F20A68" w:rsidRPr="00233FCB" w:rsidRDefault="00F20A68" w:rsidP="00AB0EB2">
            <w:pPr>
              <w:spacing w:line="0" w:lineRule="atLeast"/>
              <w:jc w:val="both"/>
              <w:rPr>
                <w:rFonts w:ascii="Arial" w:hAnsi="Arial" w:cs="Arial"/>
                <w:lang w:val="es-ES"/>
              </w:rPr>
            </w:pPr>
            <w:r w:rsidRPr="00233FCB">
              <w:rPr>
                <w:rFonts w:ascii="Arial" w:hAnsi="Arial" w:cs="Arial"/>
                <w:lang w:val="es-ES"/>
              </w:rPr>
              <w:t>Comunicación emitida por la Presidencia de ABC al Banco, acompañando el informe de accidentalidad de la gestión 2015, de acuerdo al Procedimiento de Registro de Accidentes de Tránsito implementado.</w:t>
            </w:r>
          </w:p>
        </w:tc>
        <w:tc>
          <w:tcPr>
            <w:tcW w:w="2070" w:type="dxa"/>
          </w:tcPr>
          <w:p w14:paraId="62C48B45" w14:textId="4457BC81" w:rsidR="00F20A68" w:rsidRPr="00233FCB" w:rsidRDefault="008E7094"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1ECE3A8A" w14:textId="77777777" w:rsidTr="3D8CB173">
        <w:tc>
          <w:tcPr>
            <w:tcW w:w="2970" w:type="dxa"/>
          </w:tcPr>
          <w:p w14:paraId="40026513"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b/>
                <w:sz w:val="20"/>
                <w:szCs w:val="20"/>
                <w:lang w:val="es-ES"/>
              </w:rPr>
            </w:pPr>
            <w:r w:rsidRPr="00233FCB">
              <w:rPr>
                <w:rFonts w:ascii="Arial" w:hAnsi="Arial" w:cs="Arial"/>
                <w:sz w:val="20"/>
                <w:szCs w:val="20"/>
                <w:lang w:val="es-ES"/>
              </w:rPr>
              <w:t>Contar con una guía que permita identificar el estado del derecho de vía, establecer las tipologías y los correspondientes procedimientos a ser aplicados en los distintos casos que se presentan al momento de la liberación. Esta guía permitiría aplicar los procedimientos a cada caso de liberación del derecho de vía en la etapa de ejecución de los proyectos que pertenecen a la RVF.</w:t>
            </w:r>
          </w:p>
        </w:tc>
        <w:tc>
          <w:tcPr>
            <w:tcW w:w="1800" w:type="dxa"/>
          </w:tcPr>
          <w:p w14:paraId="36EC5AC0" w14:textId="77777777" w:rsidR="00F20A68" w:rsidRPr="00233FCB" w:rsidRDefault="00F019EB" w:rsidP="00F019EB">
            <w:pPr>
              <w:spacing w:line="0" w:lineRule="atLeast"/>
              <w:jc w:val="center"/>
              <w:rPr>
                <w:rFonts w:ascii="Arial" w:hAnsi="Arial" w:cs="Arial"/>
                <w:lang w:val="es-ES"/>
              </w:rPr>
            </w:pPr>
            <w:r w:rsidRPr="00233FCB">
              <w:rPr>
                <w:rFonts w:ascii="Arial" w:hAnsi="Arial" w:cs="Arial"/>
                <w:lang w:val="es-ES"/>
              </w:rPr>
              <w:t>ABC-MOPSV</w:t>
            </w:r>
          </w:p>
        </w:tc>
        <w:tc>
          <w:tcPr>
            <w:tcW w:w="2970" w:type="dxa"/>
          </w:tcPr>
          <w:p w14:paraId="24625137" w14:textId="74E76E30" w:rsidR="00F20A68" w:rsidRPr="00233FCB" w:rsidRDefault="00970087"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Preparación </w:t>
            </w:r>
            <w:r w:rsidR="000E3D0C">
              <w:rPr>
                <w:rFonts w:ascii="Arial" w:hAnsi="Arial" w:cs="Arial"/>
                <w:sz w:val="20"/>
                <w:szCs w:val="20"/>
                <w:lang w:val="es-ES"/>
              </w:rPr>
              <w:t>de un procedimiento</w:t>
            </w:r>
            <w:r w:rsidRPr="00233FCB">
              <w:rPr>
                <w:rFonts w:ascii="Arial" w:hAnsi="Arial" w:cs="Arial"/>
                <w:sz w:val="20"/>
                <w:szCs w:val="20"/>
                <w:lang w:val="es-ES"/>
              </w:rPr>
              <w:t xml:space="preserve"> para la liberación del derecho de vía en la RVF que incluye tipologías, aspectos geométricos, cobertura vegetal y ocupación.</w:t>
            </w:r>
          </w:p>
        </w:tc>
        <w:tc>
          <w:tcPr>
            <w:tcW w:w="3150" w:type="dxa"/>
          </w:tcPr>
          <w:p w14:paraId="6AD2802C" w14:textId="2587B48A" w:rsidR="00F20A68" w:rsidRPr="00233FCB" w:rsidRDefault="00F20A68" w:rsidP="00AB0EB2">
            <w:pPr>
              <w:spacing w:line="0" w:lineRule="atLeast"/>
              <w:jc w:val="both"/>
              <w:rPr>
                <w:rFonts w:ascii="Arial" w:hAnsi="Arial" w:cs="Arial"/>
                <w:lang w:val="es-ES"/>
              </w:rPr>
            </w:pPr>
            <w:r w:rsidRPr="00233FCB">
              <w:rPr>
                <w:rFonts w:ascii="Arial" w:hAnsi="Arial" w:cs="Arial"/>
                <w:lang w:val="es-ES"/>
              </w:rPr>
              <w:t>Comunicación emitida por la Presidencia de ABC al Banco, acompañando el procedimiento para la liberación del derecho de vía.</w:t>
            </w:r>
          </w:p>
        </w:tc>
        <w:tc>
          <w:tcPr>
            <w:tcW w:w="2070" w:type="dxa"/>
          </w:tcPr>
          <w:p w14:paraId="288C05FB" w14:textId="6225CF33" w:rsidR="00F20A68" w:rsidRPr="00233FCB" w:rsidRDefault="008E7094" w:rsidP="00AB0EB2">
            <w:pPr>
              <w:spacing w:line="0" w:lineRule="atLeast"/>
              <w:jc w:val="both"/>
              <w:rPr>
                <w:rFonts w:ascii="Arial" w:hAnsi="Arial" w:cs="Arial"/>
                <w:lang w:val="es-ES"/>
              </w:rPr>
            </w:pPr>
            <w:r>
              <w:rPr>
                <w:rFonts w:ascii="Arial" w:hAnsi="Arial" w:cs="Arial"/>
                <w:lang w:val="es-ES"/>
              </w:rPr>
              <w:t>Medio de verificación entregado.</w:t>
            </w:r>
          </w:p>
        </w:tc>
      </w:tr>
      <w:tr w:rsidR="00F20A68" w:rsidRPr="00233FCB" w14:paraId="7106B4E6" w14:textId="77777777" w:rsidTr="3D8CB173">
        <w:tc>
          <w:tcPr>
            <w:tcW w:w="2970" w:type="dxa"/>
          </w:tcPr>
          <w:p w14:paraId="68A87721" w14:textId="77777777" w:rsidR="00F20A68" w:rsidRPr="00233FCB" w:rsidRDefault="00F20A68" w:rsidP="00F963A2">
            <w:pPr>
              <w:pStyle w:val="ListParagraph"/>
              <w:numPr>
                <w:ilvl w:val="0"/>
                <w:numId w:val="3"/>
              </w:numPr>
              <w:suppressAutoHyphens/>
              <w:spacing w:after="0" w:line="0" w:lineRule="atLeast"/>
              <w:ind w:left="151" w:hanging="180"/>
              <w:jc w:val="both"/>
              <w:rPr>
                <w:rFonts w:ascii="Arial" w:hAnsi="Arial" w:cs="Arial"/>
                <w:b/>
                <w:sz w:val="20"/>
                <w:szCs w:val="20"/>
                <w:lang w:val="es-ES"/>
              </w:rPr>
            </w:pPr>
            <w:r w:rsidRPr="00233FCB">
              <w:rPr>
                <w:rFonts w:ascii="Arial" w:hAnsi="Arial" w:cs="Arial"/>
                <w:sz w:val="20"/>
                <w:szCs w:val="20"/>
                <w:lang w:val="es-ES"/>
              </w:rPr>
              <w:t xml:space="preserve">Contar con una guía que permita tipificar los pasivos </w:t>
            </w:r>
            <w:r w:rsidRPr="00233FCB">
              <w:rPr>
                <w:rFonts w:ascii="Arial" w:hAnsi="Arial" w:cs="Arial"/>
                <w:sz w:val="20"/>
                <w:szCs w:val="20"/>
                <w:lang w:val="es-ES"/>
              </w:rPr>
              <w:lastRenderedPageBreak/>
              <w:t>ambientales, establecer las tipologías y las correspondientes medidas de mitigación y recuperación a ser aplicadas en cada caso. Esta guía permitiría aplicar las medidas correspondientes a cada tipo de pasivo ambiental.</w:t>
            </w:r>
          </w:p>
        </w:tc>
        <w:tc>
          <w:tcPr>
            <w:tcW w:w="1800" w:type="dxa"/>
          </w:tcPr>
          <w:p w14:paraId="21EF1344" w14:textId="77777777" w:rsidR="00F20A68" w:rsidRPr="00233FCB" w:rsidRDefault="00F019EB" w:rsidP="00F019EB">
            <w:pPr>
              <w:spacing w:line="0" w:lineRule="atLeast"/>
              <w:jc w:val="center"/>
              <w:rPr>
                <w:rFonts w:ascii="Arial" w:hAnsi="Arial" w:cs="Arial"/>
                <w:lang w:val="es-ES"/>
              </w:rPr>
            </w:pPr>
            <w:r w:rsidRPr="00233FCB">
              <w:rPr>
                <w:rFonts w:ascii="Arial" w:hAnsi="Arial" w:cs="Arial"/>
                <w:lang w:val="es-ES"/>
              </w:rPr>
              <w:lastRenderedPageBreak/>
              <w:t>ABC-MOPSV</w:t>
            </w:r>
          </w:p>
        </w:tc>
        <w:tc>
          <w:tcPr>
            <w:tcW w:w="2970" w:type="dxa"/>
          </w:tcPr>
          <w:p w14:paraId="6BC2EF38" w14:textId="77777777" w:rsidR="00F20A68" w:rsidRPr="00233FCB" w:rsidRDefault="00F20A68" w:rsidP="00AB0EB2">
            <w:pPr>
              <w:pStyle w:val="ListParagraph"/>
              <w:numPr>
                <w:ilvl w:val="0"/>
                <w:numId w:val="7"/>
              </w:numPr>
              <w:spacing w:after="0" w:line="0" w:lineRule="atLeast"/>
              <w:ind w:left="342" w:hanging="450"/>
              <w:jc w:val="both"/>
              <w:rPr>
                <w:rFonts w:ascii="Arial" w:hAnsi="Arial" w:cs="Arial"/>
                <w:sz w:val="20"/>
                <w:szCs w:val="20"/>
                <w:lang w:val="es-ES"/>
              </w:rPr>
            </w:pPr>
            <w:r w:rsidRPr="00233FCB">
              <w:rPr>
                <w:rFonts w:ascii="Arial" w:hAnsi="Arial" w:cs="Arial"/>
                <w:sz w:val="20"/>
                <w:szCs w:val="20"/>
                <w:lang w:val="es-ES"/>
              </w:rPr>
              <w:t xml:space="preserve">Preparación de la guía para la identificación y </w:t>
            </w:r>
            <w:r w:rsidRPr="00233FCB">
              <w:rPr>
                <w:rFonts w:ascii="Arial" w:hAnsi="Arial" w:cs="Arial"/>
                <w:sz w:val="20"/>
                <w:szCs w:val="20"/>
                <w:lang w:val="es-ES"/>
              </w:rPr>
              <w:lastRenderedPageBreak/>
              <w:t>evaluación de pasivos ambientales en proyectos viales que incluye tipologías y potenciales medidas de mitigación.</w:t>
            </w:r>
          </w:p>
        </w:tc>
        <w:tc>
          <w:tcPr>
            <w:tcW w:w="3150" w:type="dxa"/>
          </w:tcPr>
          <w:p w14:paraId="3060172E" w14:textId="66F9D25C" w:rsidR="00F20A68" w:rsidRPr="00233FCB" w:rsidRDefault="00F20A68" w:rsidP="00AB0EB2">
            <w:pPr>
              <w:spacing w:line="0" w:lineRule="atLeast"/>
              <w:jc w:val="both"/>
              <w:rPr>
                <w:rFonts w:ascii="Arial" w:hAnsi="Arial" w:cs="Arial"/>
                <w:lang w:val="es-ES"/>
              </w:rPr>
            </w:pPr>
            <w:r w:rsidRPr="00233FCB">
              <w:rPr>
                <w:rFonts w:ascii="Arial" w:hAnsi="Arial" w:cs="Arial"/>
                <w:lang w:val="es-ES"/>
              </w:rPr>
              <w:lastRenderedPageBreak/>
              <w:t xml:space="preserve">Comunicación emitida por la Presidencia de ABC al Banco, </w:t>
            </w:r>
            <w:r w:rsidRPr="00233FCB">
              <w:rPr>
                <w:rFonts w:ascii="Arial" w:hAnsi="Arial" w:cs="Arial"/>
                <w:lang w:val="es-ES"/>
              </w:rPr>
              <w:lastRenderedPageBreak/>
              <w:t>acompañando la guía para la identificación y evaluación de pasivos ambientales en proyectos viales.</w:t>
            </w:r>
          </w:p>
        </w:tc>
        <w:tc>
          <w:tcPr>
            <w:tcW w:w="2070" w:type="dxa"/>
          </w:tcPr>
          <w:p w14:paraId="7165FF79" w14:textId="1908119B" w:rsidR="00F20A68" w:rsidRPr="00233FCB" w:rsidRDefault="008E7094" w:rsidP="00AB0EB2">
            <w:pPr>
              <w:spacing w:line="0" w:lineRule="atLeast"/>
              <w:jc w:val="both"/>
              <w:rPr>
                <w:rFonts w:ascii="Arial" w:hAnsi="Arial" w:cs="Arial"/>
                <w:lang w:val="es-ES"/>
              </w:rPr>
            </w:pPr>
            <w:r>
              <w:rPr>
                <w:rFonts w:ascii="Arial" w:hAnsi="Arial" w:cs="Arial"/>
                <w:lang w:val="es-ES"/>
              </w:rPr>
              <w:lastRenderedPageBreak/>
              <w:t>Medio de verificación entregado.</w:t>
            </w:r>
          </w:p>
        </w:tc>
      </w:tr>
    </w:tbl>
    <w:p w14:paraId="2956C3C8" w14:textId="77777777" w:rsidR="0033160B" w:rsidRDefault="0033160B">
      <w:pPr>
        <w:rPr>
          <w:lang w:val="es-ES"/>
        </w:rPr>
      </w:pPr>
    </w:p>
    <w:sectPr w:rsidR="0033160B" w:rsidSect="00273300">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C057" w14:textId="77777777" w:rsidR="00F96DA7" w:rsidRDefault="00F96DA7" w:rsidP="00273300">
      <w:r>
        <w:separator/>
      </w:r>
    </w:p>
  </w:endnote>
  <w:endnote w:type="continuationSeparator" w:id="0">
    <w:p w14:paraId="10776394" w14:textId="77777777" w:rsidR="00F96DA7" w:rsidRDefault="00F96DA7" w:rsidP="0027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3A4C" w14:textId="77777777" w:rsidR="00F96DA7" w:rsidRDefault="00F96DA7" w:rsidP="00273300">
      <w:r>
        <w:separator/>
      </w:r>
    </w:p>
  </w:footnote>
  <w:footnote w:type="continuationSeparator" w:id="0">
    <w:p w14:paraId="6346F583" w14:textId="77777777" w:rsidR="00F96DA7" w:rsidRDefault="00F96DA7" w:rsidP="0027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lang w:val="es-ES"/>
      </w:rPr>
      <w:id w:val="1477648756"/>
      <w:docPartObj>
        <w:docPartGallery w:val="Page Numbers (Top of Page)"/>
        <w:docPartUnique/>
      </w:docPartObj>
    </w:sdtPr>
    <w:sdtEndPr>
      <w:rPr>
        <w:sz w:val="14"/>
      </w:rPr>
    </w:sdtEndPr>
    <w:sdtContent>
      <w:p w14:paraId="1ACD6414" w14:textId="65196809" w:rsidR="008005B7" w:rsidRPr="00F779B9" w:rsidRDefault="008005B7" w:rsidP="00273300">
        <w:pPr>
          <w:pStyle w:val="Header"/>
          <w:jc w:val="right"/>
          <w:rPr>
            <w:rFonts w:ascii="Arial" w:hAnsi="Arial" w:cs="Arial"/>
            <w:sz w:val="18"/>
            <w:szCs w:val="24"/>
            <w:lang w:val="es-ES"/>
          </w:rPr>
        </w:pPr>
        <w:r w:rsidRPr="00F779B9">
          <w:rPr>
            <w:rFonts w:ascii="Arial" w:hAnsi="Arial" w:cs="Arial"/>
            <w:sz w:val="18"/>
            <w:szCs w:val="24"/>
            <w:lang w:val="es-ES"/>
          </w:rPr>
          <w:t>EER#</w:t>
        </w:r>
        <w:r w:rsidR="00C00B0C">
          <w:rPr>
            <w:rFonts w:ascii="Arial" w:hAnsi="Arial" w:cs="Arial"/>
            <w:sz w:val="18"/>
            <w:szCs w:val="24"/>
            <w:lang w:val="es-ES"/>
          </w:rPr>
          <w:t>2</w:t>
        </w:r>
        <w:r w:rsidRPr="00F779B9">
          <w:rPr>
            <w:rFonts w:ascii="Arial" w:hAnsi="Arial" w:cs="Arial"/>
            <w:sz w:val="18"/>
            <w:szCs w:val="24"/>
            <w:lang w:val="es-ES"/>
          </w:rPr>
          <w:t xml:space="preserve"> - BO-L1112</w:t>
        </w:r>
      </w:p>
      <w:p w14:paraId="548508FD" w14:textId="124C99A2" w:rsidR="008005B7" w:rsidRPr="00F779B9" w:rsidRDefault="008005B7" w:rsidP="00273300">
        <w:pPr>
          <w:pStyle w:val="Header"/>
          <w:jc w:val="right"/>
          <w:rPr>
            <w:rFonts w:ascii="Arial" w:hAnsi="Arial" w:cs="Arial"/>
            <w:sz w:val="18"/>
            <w:szCs w:val="24"/>
            <w:lang w:val="es-ES"/>
          </w:rPr>
        </w:pPr>
        <w:r w:rsidRPr="00F779B9">
          <w:rPr>
            <w:rFonts w:ascii="Arial" w:hAnsi="Arial" w:cs="Arial"/>
            <w:sz w:val="18"/>
            <w:szCs w:val="24"/>
            <w:lang w:val="es-ES"/>
          </w:rPr>
          <w:t xml:space="preserve">Página </w:t>
        </w:r>
        <w:r w:rsidRPr="00F779B9">
          <w:rPr>
            <w:rFonts w:ascii="Arial" w:hAnsi="Arial" w:cs="Arial"/>
            <w:bCs/>
            <w:sz w:val="18"/>
            <w:szCs w:val="24"/>
            <w:lang w:val="es-ES"/>
          </w:rPr>
          <w:fldChar w:fldCharType="begin"/>
        </w:r>
        <w:r w:rsidRPr="00F779B9">
          <w:rPr>
            <w:rFonts w:ascii="Arial" w:hAnsi="Arial" w:cs="Arial"/>
            <w:bCs/>
            <w:sz w:val="18"/>
            <w:szCs w:val="24"/>
            <w:lang w:val="es-ES"/>
          </w:rPr>
          <w:instrText xml:space="preserve"> PAGE </w:instrText>
        </w:r>
        <w:r w:rsidRPr="00F779B9">
          <w:rPr>
            <w:rFonts w:ascii="Arial" w:hAnsi="Arial" w:cs="Arial"/>
            <w:bCs/>
            <w:sz w:val="18"/>
            <w:szCs w:val="24"/>
            <w:lang w:val="es-ES"/>
          </w:rPr>
          <w:fldChar w:fldCharType="separate"/>
        </w:r>
        <w:r w:rsidR="0074606C">
          <w:rPr>
            <w:rFonts w:ascii="Arial" w:hAnsi="Arial" w:cs="Arial"/>
            <w:bCs/>
            <w:noProof/>
            <w:sz w:val="18"/>
            <w:szCs w:val="24"/>
            <w:lang w:val="es-ES"/>
          </w:rPr>
          <w:t>1</w:t>
        </w:r>
        <w:r w:rsidRPr="00F779B9">
          <w:rPr>
            <w:rFonts w:ascii="Arial" w:hAnsi="Arial" w:cs="Arial"/>
            <w:bCs/>
            <w:sz w:val="18"/>
            <w:szCs w:val="24"/>
            <w:lang w:val="es-ES"/>
          </w:rPr>
          <w:fldChar w:fldCharType="end"/>
        </w:r>
        <w:r w:rsidRPr="00F779B9">
          <w:rPr>
            <w:rFonts w:ascii="Arial" w:hAnsi="Arial" w:cs="Arial"/>
            <w:sz w:val="18"/>
            <w:szCs w:val="24"/>
            <w:lang w:val="es-ES"/>
          </w:rPr>
          <w:t xml:space="preserve"> de </w:t>
        </w:r>
        <w:r w:rsidRPr="00F779B9">
          <w:rPr>
            <w:rFonts w:ascii="Arial" w:hAnsi="Arial" w:cs="Arial"/>
            <w:bCs/>
            <w:sz w:val="18"/>
            <w:szCs w:val="24"/>
            <w:lang w:val="es-ES"/>
          </w:rPr>
          <w:fldChar w:fldCharType="begin"/>
        </w:r>
        <w:r w:rsidRPr="00F779B9">
          <w:rPr>
            <w:rFonts w:ascii="Arial" w:hAnsi="Arial" w:cs="Arial"/>
            <w:bCs/>
            <w:sz w:val="18"/>
            <w:szCs w:val="24"/>
            <w:lang w:val="es-ES"/>
          </w:rPr>
          <w:instrText xml:space="preserve"> NUMPAGES  </w:instrText>
        </w:r>
        <w:r w:rsidRPr="00F779B9">
          <w:rPr>
            <w:rFonts w:ascii="Arial" w:hAnsi="Arial" w:cs="Arial"/>
            <w:bCs/>
            <w:sz w:val="18"/>
            <w:szCs w:val="24"/>
            <w:lang w:val="es-ES"/>
          </w:rPr>
          <w:fldChar w:fldCharType="separate"/>
        </w:r>
        <w:r w:rsidR="0074606C">
          <w:rPr>
            <w:rFonts w:ascii="Arial" w:hAnsi="Arial" w:cs="Arial"/>
            <w:bCs/>
            <w:noProof/>
            <w:sz w:val="18"/>
            <w:szCs w:val="24"/>
            <w:lang w:val="es-ES"/>
          </w:rPr>
          <w:t>12</w:t>
        </w:r>
        <w:r w:rsidRPr="00F779B9">
          <w:rPr>
            <w:rFonts w:ascii="Arial" w:hAnsi="Arial" w:cs="Arial"/>
            <w:bCs/>
            <w:sz w:val="18"/>
            <w:szCs w:val="24"/>
            <w:lang w:val="es-E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7674"/>
    <w:multiLevelType w:val="hybridMultilevel"/>
    <w:tmpl w:val="84C85652"/>
    <w:lvl w:ilvl="0" w:tplc="1E3090DA">
      <w:start w:val="1"/>
      <w:numFmt w:val="decimal"/>
      <w:lvlText w:val="2.%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59CE"/>
    <w:multiLevelType w:val="hybridMultilevel"/>
    <w:tmpl w:val="E35CF448"/>
    <w:lvl w:ilvl="0" w:tplc="4FB64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C1F8C"/>
    <w:multiLevelType w:val="hybridMultilevel"/>
    <w:tmpl w:val="F4702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C26336E"/>
    <w:multiLevelType w:val="hybridMultilevel"/>
    <w:tmpl w:val="5D8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368E5"/>
    <w:multiLevelType w:val="hybridMultilevel"/>
    <w:tmpl w:val="B48C0F5E"/>
    <w:lvl w:ilvl="0" w:tplc="F780ABD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52229"/>
    <w:multiLevelType w:val="hybridMultilevel"/>
    <w:tmpl w:val="8BC80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A7B8C"/>
    <w:multiLevelType w:val="hybridMultilevel"/>
    <w:tmpl w:val="08702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D6801"/>
    <w:multiLevelType w:val="multilevel"/>
    <w:tmpl w:val="F836B99A"/>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00"/>
    <w:rsid w:val="0000260F"/>
    <w:rsid w:val="000164D0"/>
    <w:rsid w:val="0004063D"/>
    <w:rsid w:val="000422A7"/>
    <w:rsid w:val="00044195"/>
    <w:rsid w:val="000828BB"/>
    <w:rsid w:val="000975DA"/>
    <w:rsid w:val="000A5AF2"/>
    <w:rsid w:val="000B51BC"/>
    <w:rsid w:val="000D0941"/>
    <w:rsid w:val="000E3D0C"/>
    <w:rsid w:val="0011162F"/>
    <w:rsid w:val="00120946"/>
    <w:rsid w:val="00120A39"/>
    <w:rsid w:val="00121F3E"/>
    <w:rsid w:val="00171513"/>
    <w:rsid w:val="00182EB2"/>
    <w:rsid w:val="001C1495"/>
    <w:rsid w:val="001C560E"/>
    <w:rsid w:val="001D39ED"/>
    <w:rsid w:val="001D56AF"/>
    <w:rsid w:val="001E2B9A"/>
    <w:rsid w:val="001E50F3"/>
    <w:rsid w:val="00210FE4"/>
    <w:rsid w:val="00233C01"/>
    <w:rsid w:val="00233FCB"/>
    <w:rsid w:val="0024565E"/>
    <w:rsid w:val="00247684"/>
    <w:rsid w:val="00273300"/>
    <w:rsid w:val="0028117B"/>
    <w:rsid w:val="002B1DFC"/>
    <w:rsid w:val="002C7A44"/>
    <w:rsid w:val="002D48A7"/>
    <w:rsid w:val="003276E1"/>
    <w:rsid w:val="0033160B"/>
    <w:rsid w:val="00337D67"/>
    <w:rsid w:val="00343555"/>
    <w:rsid w:val="0036080E"/>
    <w:rsid w:val="003923D0"/>
    <w:rsid w:val="003A182A"/>
    <w:rsid w:val="003A5CD2"/>
    <w:rsid w:val="003F3B76"/>
    <w:rsid w:val="004040A5"/>
    <w:rsid w:val="00405414"/>
    <w:rsid w:val="00453234"/>
    <w:rsid w:val="0047758B"/>
    <w:rsid w:val="004913C8"/>
    <w:rsid w:val="004C5ED1"/>
    <w:rsid w:val="004F4523"/>
    <w:rsid w:val="0051058D"/>
    <w:rsid w:val="00510EDD"/>
    <w:rsid w:val="005216C1"/>
    <w:rsid w:val="0052286E"/>
    <w:rsid w:val="005372B1"/>
    <w:rsid w:val="00596782"/>
    <w:rsid w:val="005C5AA7"/>
    <w:rsid w:val="00605498"/>
    <w:rsid w:val="00622023"/>
    <w:rsid w:val="00644D75"/>
    <w:rsid w:val="00653991"/>
    <w:rsid w:val="00655F38"/>
    <w:rsid w:val="00690D86"/>
    <w:rsid w:val="006B41A2"/>
    <w:rsid w:val="006B7872"/>
    <w:rsid w:val="006D1CD8"/>
    <w:rsid w:val="006D2FF1"/>
    <w:rsid w:val="006E49AF"/>
    <w:rsid w:val="00720287"/>
    <w:rsid w:val="0074606C"/>
    <w:rsid w:val="00751D67"/>
    <w:rsid w:val="00760886"/>
    <w:rsid w:val="00775E7E"/>
    <w:rsid w:val="00776781"/>
    <w:rsid w:val="007816C2"/>
    <w:rsid w:val="0078720D"/>
    <w:rsid w:val="007C69DA"/>
    <w:rsid w:val="007E0327"/>
    <w:rsid w:val="007E51B6"/>
    <w:rsid w:val="008005B7"/>
    <w:rsid w:val="00827944"/>
    <w:rsid w:val="00836EC3"/>
    <w:rsid w:val="00851BDA"/>
    <w:rsid w:val="0086092C"/>
    <w:rsid w:val="00862C07"/>
    <w:rsid w:val="008700A6"/>
    <w:rsid w:val="0088277C"/>
    <w:rsid w:val="00882A07"/>
    <w:rsid w:val="008B038B"/>
    <w:rsid w:val="008B2E22"/>
    <w:rsid w:val="008B6E48"/>
    <w:rsid w:val="008C45A5"/>
    <w:rsid w:val="008E7094"/>
    <w:rsid w:val="008E734B"/>
    <w:rsid w:val="008F3F49"/>
    <w:rsid w:val="00906388"/>
    <w:rsid w:val="00910A77"/>
    <w:rsid w:val="00913413"/>
    <w:rsid w:val="009409B4"/>
    <w:rsid w:val="009463E8"/>
    <w:rsid w:val="00970087"/>
    <w:rsid w:val="00986793"/>
    <w:rsid w:val="009971DA"/>
    <w:rsid w:val="009A6231"/>
    <w:rsid w:val="009B3541"/>
    <w:rsid w:val="009E79C0"/>
    <w:rsid w:val="009F70C8"/>
    <w:rsid w:val="00A1727D"/>
    <w:rsid w:val="00AA554B"/>
    <w:rsid w:val="00AA6820"/>
    <w:rsid w:val="00AB0EB2"/>
    <w:rsid w:val="00AC5425"/>
    <w:rsid w:val="00B0710F"/>
    <w:rsid w:val="00B437E8"/>
    <w:rsid w:val="00B45AC9"/>
    <w:rsid w:val="00B61021"/>
    <w:rsid w:val="00B926C4"/>
    <w:rsid w:val="00BC2FAB"/>
    <w:rsid w:val="00BD1A32"/>
    <w:rsid w:val="00BE431C"/>
    <w:rsid w:val="00BE46F3"/>
    <w:rsid w:val="00BE69B3"/>
    <w:rsid w:val="00BF5537"/>
    <w:rsid w:val="00C00B0C"/>
    <w:rsid w:val="00C23FD4"/>
    <w:rsid w:val="00C2796A"/>
    <w:rsid w:val="00C30855"/>
    <w:rsid w:val="00C5434C"/>
    <w:rsid w:val="00C76EF2"/>
    <w:rsid w:val="00CC7DB5"/>
    <w:rsid w:val="00CE0CD9"/>
    <w:rsid w:val="00CF1837"/>
    <w:rsid w:val="00CF1969"/>
    <w:rsid w:val="00CF479A"/>
    <w:rsid w:val="00D32024"/>
    <w:rsid w:val="00DA29DB"/>
    <w:rsid w:val="00DC364E"/>
    <w:rsid w:val="00DC714B"/>
    <w:rsid w:val="00DD413C"/>
    <w:rsid w:val="00DE1034"/>
    <w:rsid w:val="00DF3711"/>
    <w:rsid w:val="00DF5550"/>
    <w:rsid w:val="00E02037"/>
    <w:rsid w:val="00E057B8"/>
    <w:rsid w:val="00E34B00"/>
    <w:rsid w:val="00E40AF5"/>
    <w:rsid w:val="00E42A7F"/>
    <w:rsid w:val="00E82445"/>
    <w:rsid w:val="00E8506D"/>
    <w:rsid w:val="00E9718A"/>
    <w:rsid w:val="00EB0CBC"/>
    <w:rsid w:val="00EF7F6E"/>
    <w:rsid w:val="00F019EB"/>
    <w:rsid w:val="00F14924"/>
    <w:rsid w:val="00F159C4"/>
    <w:rsid w:val="00F16290"/>
    <w:rsid w:val="00F20A68"/>
    <w:rsid w:val="00F779B9"/>
    <w:rsid w:val="00F963A2"/>
    <w:rsid w:val="00F96DA7"/>
    <w:rsid w:val="00FC74D7"/>
    <w:rsid w:val="00FF32FE"/>
    <w:rsid w:val="00FF41A7"/>
    <w:rsid w:val="3D8CB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E7EE2"/>
  <w15:docId w15:val="{F0EAE9E9-20D6-439A-87C8-3C438D3A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3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300"/>
    <w:pPr>
      <w:tabs>
        <w:tab w:val="center" w:pos="4680"/>
        <w:tab w:val="right" w:pos="9360"/>
      </w:tabs>
    </w:pPr>
  </w:style>
  <w:style w:type="character" w:customStyle="1" w:styleId="HeaderChar">
    <w:name w:val="Header Char"/>
    <w:basedOn w:val="DefaultParagraphFont"/>
    <w:link w:val="Header"/>
    <w:uiPriority w:val="99"/>
    <w:rsid w:val="00273300"/>
  </w:style>
  <w:style w:type="paragraph" w:styleId="Footer">
    <w:name w:val="footer"/>
    <w:basedOn w:val="Normal"/>
    <w:link w:val="FooterChar"/>
    <w:uiPriority w:val="99"/>
    <w:unhideWhenUsed/>
    <w:rsid w:val="00273300"/>
    <w:pPr>
      <w:tabs>
        <w:tab w:val="center" w:pos="4680"/>
        <w:tab w:val="right" w:pos="9360"/>
      </w:tabs>
    </w:pPr>
  </w:style>
  <w:style w:type="character" w:customStyle="1" w:styleId="FooterChar">
    <w:name w:val="Footer Char"/>
    <w:basedOn w:val="DefaultParagraphFont"/>
    <w:link w:val="Footer"/>
    <w:uiPriority w:val="99"/>
    <w:rsid w:val="00273300"/>
  </w:style>
  <w:style w:type="table" w:styleId="TableGrid">
    <w:name w:val="Table Grid"/>
    <w:basedOn w:val="TableNormal"/>
    <w:uiPriority w:val="59"/>
    <w:rsid w:val="0027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30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C7D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C7DB5"/>
    <w:rPr>
      <w:rFonts w:ascii="Tahoma" w:hAnsi="Tahoma" w:cs="Tahoma"/>
      <w:sz w:val="16"/>
      <w:szCs w:val="16"/>
    </w:rPr>
  </w:style>
  <w:style w:type="paragraph" w:styleId="FootnoteText">
    <w:name w:val="footnote text"/>
    <w:basedOn w:val="Normal"/>
    <w:link w:val="FootnoteTextChar"/>
    <w:semiHidden/>
    <w:rsid w:val="00BE69B3"/>
    <w:rPr>
      <w:rFonts w:ascii="Arial" w:hAnsi="Arial"/>
      <w:lang w:val="es-ES_tradnl" w:eastAsia="es-ES"/>
    </w:rPr>
  </w:style>
  <w:style w:type="character" w:customStyle="1" w:styleId="FootnoteTextChar">
    <w:name w:val="Footnote Text Char"/>
    <w:basedOn w:val="DefaultParagraphFont"/>
    <w:link w:val="FootnoteText"/>
    <w:semiHidden/>
    <w:rsid w:val="00BE69B3"/>
    <w:rPr>
      <w:rFonts w:ascii="Arial" w:eastAsia="Times New Roman" w:hAnsi="Arial" w:cs="Times New Roman"/>
      <w:sz w:val="20"/>
      <w:szCs w:val="20"/>
      <w:lang w:val="es-ES_tradnl" w:eastAsia="es-ES"/>
    </w:rPr>
  </w:style>
  <w:style w:type="character" w:styleId="FootnoteReference">
    <w:name w:val="footnote reference"/>
    <w:basedOn w:val="DefaultParagraphFont"/>
    <w:semiHidden/>
    <w:rsid w:val="00BE6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87370">
      <w:bodyDiv w:val="1"/>
      <w:marLeft w:val="0"/>
      <w:marRight w:val="0"/>
      <w:marTop w:val="0"/>
      <w:marBottom w:val="0"/>
      <w:divBdr>
        <w:top w:val="none" w:sz="0" w:space="0" w:color="auto"/>
        <w:left w:val="none" w:sz="0" w:space="0" w:color="auto"/>
        <w:bottom w:val="none" w:sz="0" w:space="0" w:color="auto"/>
        <w:right w:val="none" w:sz="0" w:space="0" w:color="auto"/>
      </w:divBdr>
      <w:divsChild>
        <w:div w:id="1350067248">
          <w:marLeft w:val="0"/>
          <w:marRight w:val="0"/>
          <w:marTop w:val="0"/>
          <w:marBottom w:val="0"/>
          <w:divBdr>
            <w:top w:val="none" w:sz="0" w:space="0" w:color="auto"/>
            <w:left w:val="none" w:sz="0" w:space="0" w:color="auto"/>
            <w:bottom w:val="none" w:sz="0" w:space="0" w:color="auto"/>
            <w:right w:val="none" w:sz="0" w:space="0" w:color="auto"/>
          </w:divBdr>
          <w:divsChild>
            <w:div w:id="1132820117">
              <w:marLeft w:val="0"/>
              <w:marRight w:val="0"/>
              <w:marTop w:val="0"/>
              <w:marBottom w:val="0"/>
              <w:divBdr>
                <w:top w:val="none" w:sz="0" w:space="0" w:color="auto"/>
                <w:left w:val="none" w:sz="0" w:space="0" w:color="auto"/>
                <w:bottom w:val="none" w:sz="0" w:space="0" w:color="auto"/>
                <w:right w:val="none" w:sz="0" w:space="0" w:color="auto"/>
              </w:divBdr>
              <w:divsChild>
                <w:div w:id="639454622">
                  <w:marLeft w:val="0"/>
                  <w:marRight w:val="0"/>
                  <w:marTop w:val="0"/>
                  <w:marBottom w:val="0"/>
                  <w:divBdr>
                    <w:top w:val="none" w:sz="0" w:space="0" w:color="auto"/>
                    <w:left w:val="none" w:sz="0" w:space="0" w:color="auto"/>
                    <w:bottom w:val="none" w:sz="0" w:space="0" w:color="auto"/>
                    <w:right w:val="none" w:sz="0" w:space="0" w:color="auto"/>
                  </w:divBdr>
                  <w:divsChild>
                    <w:div w:id="899822493">
                      <w:marLeft w:val="0"/>
                      <w:marRight w:val="0"/>
                      <w:marTop w:val="0"/>
                      <w:marBottom w:val="0"/>
                      <w:divBdr>
                        <w:top w:val="none" w:sz="0" w:space="0" w:color="auto"/>
                        <w:left w:val="none" w:sz="0" w:space="0" w:color="auto"/>
                        <w:bottom w:val="none" w:sz="0" w:space="0" w:color="auto"/>
                        <w:right w:val="none" w:sz="0" w:space="0" w:color="auto"/>
                      </w:divBdr>
                      <w:divsChild>
                        <w:div w:id="1702126704">
                          <w:marLeft w:val="0"/>
                          <w:marRight w:val="0"/>
                          <w:marTop w:val="0"/>
                          <w:marBottom w:val="0"/>
                          <w:divBdr>
                            <w:top w:val="none" w:sz="0" w:space="0" w:color="auto"/>
                            <w:left w:val="none" w:sz="0" w:space="0" w:color="auto"/>
                            <w:bottom w:val="none" w:sz="0" w:space="0" w:color="auto"/>
                            <w:right w:val="none" w:sz="0" w:space="0" w:color="auto"/>
                          </w:divBdr>
                          <w:divsChild>
                            <w:div w:id="720133099">
                              <w:marLeft w:val="0"/>
                              <w:marRight w:val="0"/>
                              <w:marTop w:val="0"/>
                              <w:marBottom w:val="0"/>
                              <w:divBdr>
                                <w:top w:val="none" w:sz="0" w:space="0" w:color="auto"/>
                                <w:left w:val="none" w:sz="0" w:space="0" w:color="auto"/>
                                <w:bottom w:val="none" w:sz="0" w:space="0" w:color="auto"/>
                                <w:right w:val="none" w:sz="0" w:space="0" w:color="auto"/>
                              </w:divBdr>
                              <w:divsChild>
                                <w:div w:id="1534154686">
                                  <w:marLeft w:val="0"/>
                                  <w:marRight w:val="0"/>
                                  <w:marTop w:val="0"/>
                                  <w:marBottom w:val="0"/>
                                  <w:divBdr>
                                    <w:top w:val="none" w:sz="0" w:space="0" w:color="auto"/>
                                    <w:left w:val="none" w:sz="0" w:space="0" w:color="auto"/>
                                    <w:bottom w:val="none" w:sz="0" w:space="0" w:color="auto"/>
                                    <w:right w:val="none" w:sz="0" w:space="0" w:color="auto"/>
                                  </w:divBdr>
                                  <w:divsChild>
                                    <w:div w:id="1347554841">
                                      <w:marLeft w:val="0"/>
                                      <w:marRight w:val="0"/>
                                      <w:marTop w:val="0"/>
                                      <w:marBottom w:val="0"/>
                                      <w:divBdr>
                                        <w:top w:val="none" w:sz="0" w:space="0" w:color="auto"/>
                                        <w:left w:val="none" w:sz="0" w:space="0" w:color="auto"/>
                                        <w:bottom w:val="none" w:sz="0" w:space="0" w:color="auto"/>
                                        <w:right w:val="none" w:sz="0" w:space="0" w:color="auto"/>
                                      </w:divBdr>
                                      <w:divsChild>
                                        <w:div w:id="1370833556">
                                          <w:marLeft w:val="0"/>
                                          <w:marRight w:val="0"/>
                                          <w:marTop w:val="0"/>
                                          <w:marBottom w:val="0"/>
                                          <w:divBdr>
                                            <w:top w:val="none" w:sz="0" w:space="0" w:color="auto"/>
                                            <w:left w:val="none" w:sz="0" w:space="0" w:color="auto"/>
                                            <w:bottom w:val="none" w:sz="0" w:space="0" w:color="auto"/>
                                            <w:right w:val="none" w:sz="0" w:space="0" w:color="auto"/>
                                          </w:divBdr>
                                          <w:divsChild>
                                            <w:div w:id="1699621226">
                                              <w:marLeft w:val="0"/>
                                              <w:marRight w:val="0"/>
                                              <w:marTop w:val="0"/>
                                              <w:marBottom w:val="0"/>
                                              <w:divBdr>
                                                <w:top w:val="none" w:sz="0" w:space="0" w:color="auto"/>
                                                <w:left w:val="none" w:sz="0" w:space="0" w:color="auto"/>
                                                <w:bottom w:val="none" w:sz="0" w:space="0" w:color="auto"/>
                                                <w:right w:val="none" w:sz="0" w:space="0" w:color="auto"/>
                                              </w:divBdr>
                                              <w:divsChild>
                                                <w:div w:id="1073242408">
                                                  <w:marLeft w:val="0"/>
                                                  <w:marRight w:val="0"/>
                                                  <w:marTop w:val="0"/>
                                                  <w:marBottom w:val="0"/>
                                                  <w:divBdr>
                                                    <w:top w:val="none" w:sz="0" w:space="0" w:color="auto"/>
                                                    <w:left w:val="none" w:sz="0" w:space="0" w:color="auto"/>
                                                    <w:bottom w:val="none" w:sz="0" w:space="0" w:color="auto"/>
                                                    <w:right w:val="none" w:sz="0" w:space="0" w:color="auto"/>
                                                  </w:divBdr>
                                                  <w:divsChild>
                                                    <w:div w:id="13105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customXml" Target="../customXml/item7.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INE/TSP</Division_x0020_or_x0020_Unit>
    <Other_x0020_Author xmlns="cdc7663a-08f0-4737-9e8c-148ce897a09c" xsi:nil="true"/>
    <IDBDocs_x0020_Number xmlns="cdc7663a-08f0-4737-9e8c-148ce897a09c">40735545</IDBDocs_x0020_Number>
    <Document_x0020_Author xmlns="cdc7663a-08f0-4737-9e8c-148ce897a09c">Cocha, Agustina</Document_x0020_Author>
    <Operation_x0020_Type xmlns="cdc7663a-08f0-4737-9e8c-148ce897a09c">Loan Operation</Operation_x0020_Type>
    <TaxCatchAll xmlns="cdc7663a-08f0-4737-9e8c-148ce897a09c">
      <Value>44</Value>
      <Value>26</Value>
      <Value>2</Value>
      <Value>29</Value>
      <Value>43</Value>
    </TaxCatchAll>
    <Fiscal_x0020_Year_x0020_IDB xmlns="cdc7663a-08f0-4737-9e8c-148ce897a09c">2017</Fiscal_x0020_Year_x0020_IDB>
    <Project_x0020_Number xmlns="cdc7663a-08f0-4737-9e8c-148ce897a09c">BO-L1112</Project_x0020_Number>
    <Package_x0020_Code xmlns="cdc7663a-08f0-4737-9e8c-148ce897a09c" xsi:nil="true"/>
    <Migration_x0020_Info xmlns="cdc7663a-08f0-4737-9e8c-148ce897a09c">&lt;Data&gt;&lt;APPLICATION&gt;MS WORD&lt;/APPLICATION&gt;&lt;STAGE_CODE&gt;POD&lt;/STAGE_CODE&gt;&lt;USER_STAGE&gt;Proposal for Operation Development&lt;/USER_STAGE&gt;&lt;PD_OBJ_TYPE&gt;0&lt;/PD_OBJ_TYPE&gt;&lt;MAKERECORD&gt;N&lt;/MAKERECORD&gt;&lt;/Data&gt;</Migration_x0020_Info>
    <Approval_x0020_Number xmlns="cdc7663a-08f0-4737-9e8c-148ce897a09c" xsi:nil="true"/>
    <Business_x0020_Area xmlns="cdc7663a-08f0-4737-9e8c-148ce897a09c">Life Cycle</Business_x0020_Area>
    <SISCOR_x0020_Number xmlns="cdc7663a-08f0-4737-9e8c-148ce897a09c" xsi:nil="true"/>
    <Identifier xmlns="cdc7663a-08f0-4737-9e8c-148ce897a09c">Raul Rodriguez Molina #2224 TECFILE</Identifier>
    <Document_x0020_Language_x0020_IDB xmlns="cdc7663a-08f0-4737-9e8c-148ce897a09c"/>
    <Phase xmlns="cdc7663a-08f0-4737-9e8c-148ce897a09c">ACTIVE</Phase>
    <Access_x0020_to_x0020_Information_x00a0_Policy xmlns="cdc7663a-08f0-4737-9e8c-148ce897a09c">Public - Simultaneous Disclosure</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 NETWORKS CONNECTIVITY</TermName>
          <TermId xmlns="http://schemas.microsoft.com/office/infopath/2007/PartnerControls">8ac6e18a-47fc-496c-8842-4870f8aa7a8e</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_dlc_DocId xmlns="cdc7663a-08f0-4737-9e8c-148ce897a09c">EZSHARE-1399068172-30</_dlc_DocId>
    <_dlc_DocIdUrl xmlns="cdc7663a-08f0-4737-9e8c-148ce897a09c">
      <Url>https://idbg.sharepoint.com/teams/EZ-BO-LON/BO-L1112/_layouts/15/DocIdRedir.aspx?ID=EZSHARE-1399068172-30</Url>
      <Description>EZSHARE-1399068172-30</Description>
    </_dlc_DocIdUrl>
    <Record_x0020_Number xmlns="cdc7663a-08f0-4737-9e8c-148ce897a09c">R0000053911</Record_x0020_Number>
    <Disclosure_x0020_Activity xmlns="cdc7663a-08f0-4737-9e8c-148ce897a09c">Proposal for Operation Development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EC3EEEC6B1A7349BA7EAEAD22B64195" ma:contentTypeVersion="27" ma:contentTypeDescription="A content type to manage public (operations) IDB documents" ma:contentTypeScope="" ma:versionID="933a24ca23298115da64eb33d6bc24a3">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99A3A2F4-11FD-4A3F-ACCE-5EADDF2D7A20}"/>
</file>

<file path=customXml/itemProps2.xml><?xml version="1.0" encoding="utf-8"?>
<ds:datastoreItem xmlns:ds="http://schemas.openxmlformats.org/officeDocument/2006/customXml" ds:itemID="{A2DCCFC5-E654-4C1D-9B4A-EB76EA09C49F}">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cdc7663a-08f0-4737-9e8c-148ce897a09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04CBE2-5D49-449F-BC1D-B7DB5A9674B8}"/>
</file>

<file path=customXml/itemProps4.xml><?xml version="1.0" encoding="utf-8"?>
<ds:datastoreItem xmlns:ds="http://schemas.openxmlformats.org/officeDocument/2006/customXml" ds:itemID="{A5FCEC8D-3DE9-4D12-92E3-698FCD41513C}">
  <ds:schemaRefs>
    <ds:schemaRef ds:uri="http://schemas.microsoft.com/sharepoint/events"/>
  </ds:schemaRefs>
</ds:datastoreItem>
</file>

<file path=customXml/itemProps5.xml><?xml version="1.0" encoding="utf-8"?>
<ds:datastoreItem xmlns:ds="http://schemas.openxmlformats.org/officeDocument/2006/customXml" ds:itemID="{C09A800B-64F6-44FC-AA72-3DF74FB14BA4}">
  <ds:schemaRefs>
    <ds:schemaRef ds:uri="http://schemas.microsoft.com/sharepoint/v3/contenttype/forms"/>
  </ds:schemaRefs>
</ds:datastoreItem>
</file>

<file path=customXml/itemProps6.xml><?xml version="1.0" encoding="utf-8"?>
<ds:datastoreItem xmlns:ds="http://schemas.openxmlformats.org/officeDocument/2006/customXml" ds:itemID="{D8C797B5-A7D7-4594-9152-1B9D5A4F8011}">
  <ds:schemaRefs>
    <ds:schemaRef ds:uri="http://schemas.openxmlformats.org/officeDocument/2006/bibliography"/>
  </ds:schemaRefs>
</ds:datastoreItem>
</file>

<file path=customXml/itemProps7.xml><?xml version="1.0" encoding="utf-8"?>
<ds:datastoreItem xmlns:ds="http://schemas.openxmlformats.org/officeDocument/2006/customXml" ds:itemID="{99931D0D-6952-4426-83D4-307658464489}"/>
</file>

<file path=customXml/itemProps8.xml><?xml version="1.0" encoding="utf-8"?>
<ds:datastoreItem xmlns:ds="http://schemas.openxmlformats.org/officeDocument/2006/customXml" ds:itemID="{57B5EF75-5D5F-434F-8E77-37AF46B617E0}"/>
</file>

<file path=docProps/app.xml><?xml version="1.0" encoding="utf-8"?>
<Properties xmlns="http://schemas.openxmlformats.org/officeDocument/2006/extended-properties" xmlns:vt="http://schemas.openxmlformats.org/officeDocument/2006/docPropsVTypes">
  <Template>Normal.dotm</Template>
  <TotalTime>2</TotalTime>
  <Pages>12</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EER_3_ Matriz de Medios de Verificación</vt:lpstr>
    </vt:vector>
  </TitlesOfParts>
  <Company>Inter-American Development Bank</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EER_3_ Matriz de Medios de Verificación</dc:title>
  <dc:creator>Laureen Montes</dc:creator>
  <cp:keywords/>
  <cp:lastModifiedBy>Cocha, Agustina</cp:lastModifiedBy>
  <cp:revision>20</cp:revision>
  <dcterms:created xsi:type="dcterms:W3CDTF">2017-08-18T19:04:00Z</dcterms:created>
  <dcterms:modified xsi:type="dcterms:W3CDTF">2017-08-28T14:32:00Z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closure Activity">
    <vt:lpwstr>Proposal for Operation Development</vt:lpwstr>
  </property>
  <property fmtid="{D5CDD505-2E9C-101B-9397-08002B2CF9AE}" pid="4" name="Sub_x002d_Sector">
    <vt:lpwstr/>
  </property>
  <property fmtid="{D5CDD505-2E9C-101B-9397-08002B2CF9AE}" pid="6" name="TaxKeywordTaxHTField">
    <vt:lpwstr/>
  </property>
  <property fmtid="{D5CDD505-2E9C-101B-9397-08002B2CF9AE}" pid="7" name="Sub-Sector">
    <vt:lpwstr>44;#TRANSPORT NETWORKS CONNECTIVITY|8ac6e18a-47fc-496c-8842-4870f8aa7a8e</vt:lpwstr>
  </property>
  <property fmtid="{D5CDD505-2E9C-101B-9397-08002B2CF9AE}" pid="8" name="Country">
    <vt:lpwstr>26;#Bolivia|6445a937-aea4-4907-9f24-bff96a7c61c8</vt:lpwstr>
  </property>
  <property fmtid="{D5CDD505-2E9C-101B-9397-08002B2CF9AE}" pid="9" name="Fund IDB">
    <vt:lpwstr/>
  </property>
  <property fmtid="{D5CDD505-2E9C-101B-9397-08002B2CF9AE}" pid="10" name="Series_x0020_Operations_x0020_IDB">
    <vt:lpwstr/>
  </property>
  <property fmtid="{D5CDD505-2E9C-101B-9397-08002B2CF9AE}" pid="11" name="Sector IDB">
    <vt:lpwstr/>
  </property>
  <property fmtid="{D5CDD505-2E9C-101B-9397-08002B2CF9AE}" pid="12" name="Issue_x0020_Date">
    <vt:lpwstr/>
  </property>
  <property fmtid="{D5CDD505-2E9C-101B-9397-08002B2CF9AE}" pid="13" name="Publication_x0020_Type">
    <vt:lpwstr/>
  </property>
  <property fmtid="{D5CDD505-2E9C-101B-9397-08002B2CF9AE}" pid="14" name="Publishing_x0020_House">
    <vt:lpwstr/>
  </property>
  <property fmtid="{D5CDD505-2E9C-101B-9397-08002B2CF9AE}" pid="15" name="Abstract">
    <vt:lpwstr/>
  </property>
  <property fmtid="{D5CDD505-2E9C-101B-9397-08002B2CF9AE}" pid="16" name="Function_x0020_Operations_x0020_IDB">
    <vt:lpwstr/>
  </property>
  <property fmtid="{D5CDD505-2E9C-101B-9397-08002B2CF9AE}" pid="17" name="Region">
    <vt:lpwstr/>
  </property>
  <property fmtid="{D5CDD505-2E9C-101B-9397-08002B2CF9AE}" pid="18" name="Disclosure_x0020_Activity">
    <vt:lpwstr>Proposal for Operation Development</vt:lpwstr>
  </property>
  <property fmtid="{D5CDD505-2E9C-101B-9397-08002B2CF9AE}" pid="19" name="Fund_x0020_IDB">
    <vt:lpwstr/>
  </property>
  <property fmtid="{D5CDD505-2E9C-101B-9397-08002B2CF9AE}" pid="20" name="_dlc_DocIdItemGuid">
    <vt:lpwstr>3fabdccc-e288-4f8c-81fe-8c7f99c86a50</vt:lpwstr>
  </property>
  <property fmtid="{D5CDD505-2E9C-101B-9397-08002B2CF9AE}" pid="21" name="Webtopic">
    <vt:lpwstr/>
  </property>
  <property fmtid="{D5CDD505-2E9C-101B-9397-08002B2CF9AE}" pid="22" name="Publishing House">
    <vt:lpwstr/>
  </property>
  <property fmtid="{D5CDD505-2E9C-101B-9397-08002B2CF9AE}" pid="23" name="Disclosed">
    <vt:bool>false</vt:bool>
  </property>
  <property fmtid="{D5CDD505-2E9C-101B-9397-08002B2CF9AE}" pid="24" name="KP Topics">
    <vt:lpwstr/>
  </property>
  <property fmtid="{D5CDD505-2E9C-101B-9397-08002B2CF9AE}" pid="25" name="KP_x0020_Topics">
    <vt:lpwstr/>
  </property>
  <property fmtid="{D5CDD505-2E9C-101B-9397-08002B2CF9AE}" pid="26" name="Editor1">
    <vt:lpwstr/>
  </property>
  <property fmtid="{D5CDD505-2E9C-101B-9397-08002B2CF9AE}" pid="27" name="Sector_x0020_IDB">
    <vt:lpwstr/>
  </property>
  <property fmtid="{D5CDD505-2E9C-101B-9397-08002B2CF9AE}" pid="28" name="Publication Type">
    <vt:lpwstr/>
  </property>
  <property fmtid="{D5CDD505-2E9C-101B-9397-08002B2CF9AE}" pid="29" name="Issue Date">
    <vt:lpwstr/>
  </property>
  <property fmtid="{D5CDD505-2E9C-101B-9397-08002B2CF9AE}" pid="30" name="Function Operations IDB">
    <vt:lpwstr>2;#Monitoring and Reporting|df3c2aa1-d63e-41aa-b1f5-bb15dee691ca</vt:lpwstr>
  </property>
  <property fmtid="{D5CDD505-2E9C-101B-9397-08002B2CF9AE}" pid="32" name="RecordPoint_ActiveItemMoved">
    <vt:lpwstr>/teams/EZ-BO-LON/BO-L1112/15 LifeCycle Milestones/Draft Area/EER_2_ Matriz de Medios de Verificación [40735545].docx</vt:lpwstr>
  </property>
  <property fmtid="{D5CDD505-2E9C-101B-9397-08002B2CF9AE}" pid="33" name="RecordStorageActiveId">
    <vt:lpwstr>691befa7-699b-478f-8574-d33867ff3935</vt:lpwstr>
  </property>
  <property fmtid="{D5CDD505-2E9C-101B-9397-08002B2CF9AE}" pid="38" name="To_x003A_">
    <vt:lpwstr/>
  </property>
  <property fmtid="{D5CDD505-2E9C-101B-9397-08002B2CF9AE}" pid="39" name="From_x003A_">
    <vt:lpwstr/>
  </property>
  <property fmtid="{D5CDD505-2E9C-101B-9397-08002B2CF9AE}" pid="40" name="From:">
    <vt:lpwstr/>
  </property>
  <property fmtid="{D5CDD505-2E9C-101B-9397-08002B2CF9AE}" pid="41" name="To:">
    <vt:lpwstr/>
  </property>
  <property fmtid="{D5CDD505-2E9C-101B-9397-08002B2CF9AE}" pid="43" name="ContentTypeId">
    <vt:lpwstr>0x0101001A458A224826124E8B45B1D613300CFC00BEC3EEEC6B1A7349BA7EAEAD22B64195</vt:lpwstr>
  </property>
  <property fmtid="{D5CDD505-2E9C-101B-9397-08002B2CF9AE}" pid="44" name="Series Operations IDB">
    <vt:lpwstr/>
  </property>
</Properties>
</file>