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s-CR"/>
        </w:rPr>
        <w:id w:val="681250797"/>
        <w:docPartObj>
          <w:docPartGallery w:val="Cover Pages"/>
          <w:docPartUnique/>
        </w:docPartObj>
      </w:sdtPr>
      <w:sdtEndPr>
        <w:rPr>
          <w:lang w:eastAsia="ja-JP"/>
        </w:rPr>
      </w:sdtEndPr>
      <w:sdtContent>
        <w:p w:rsidR="00082C02" w:rsidRPr="00EE3D14" w:rsidRDefault="00082C02" w:rsidP="00082C02">
          <w:pPr>
            <w:pStyle w:val="Title"/>
            <w:rPr>
              <w:rFonts w:asciiTheme="majorHAnsi" w:eastAsiaTheme="majorEastAsia" w:hAnsiTheme="majorHAnsi" w:cstheme="majorBidi"/>
              <w:sz w:val="72"/>
              <w:szCs w:val="72"/>
              <w:lang w:val="es-CR"/>
            </w:rPr>
          </w:pPr>
        </w:p>
        <w:p w:rsidR="00082C02" w:rsidRPr="00EE3D14" w:rsidRDefault="00082C02" w:rsidP="000906B0">
          <w:pPr>
            <w:spacing w:after="0"/>
            <w:jc w:val="center"/>
            <w:rPr>
              <w:rFonts w:asciiTheme="majorHAnsi" w:eastAsiaTheme="majorEastAsia" w:hAnsiTheme="majorHAnsi" w:cstheme="majorBidi"/>
              <w:sz w:val="32"/>
              <w:szCs w:val="72"/>
              <w:lang w:val="es-CR" w:eastAsia="ja-JP"/>
            </w:rPr>
          </w:pPr>
          <w:r w:rsidRPr="00EE3D14">
            <w:rPr>
              <w:rFonts w:asciiTheme="majorHAnsi" w:eastAsiaTheme="majorEastAsia" w:hAnsiTheme="majorHAnsi" w:cstheme="majorBidi"/>
              <w:sz w:val="32"/>
              <w:szCs w:val="72"/>
              <w:lang w:val="es-CR" w:eastAsia="ja-JP"/>
            </w:rPr>
            <w:t>Documento del Banco Interamericano de Desarrollo</w:t>
          </w:r>
        </w:p>
        <w:p w:rsidR="007C08C7" w:rsidRPr="00EE3D14" w:rsidRDefault="007C08C7">
          <w:pPr>
            <w:pStyle w:val="NoSpacing"/>
            <w:rPr>
              <w:rFonts w:asciiTheme="majorHAnsi" w:eastAsiaTheme="majorEastAsia" w:hAnsiTheme="majorHAnsi" w:cstheme="majorBidi"/>
              <w:sz w:val="72"/>
              <w:szCs w:val="72"/>
              <w:lang w:val="es-CR"/>
            </w:rPr>
          </w:pPr>
        </w:p>
        <w:p w:rsidR="00082C02" w:rsidRPr="00EE3D14" w:rsidRDefault="00082C02">
          <w:pPr>
            <w:pStyle w:val="NoSpacing"/>
            <w:rPr>
              <w:rFonts w:asciiTheme="majorHAnsi" w:eastAsiaTheme="majorEastAsia" w:hAnsiTheme="majorHAnsi" w:cstheme="majorBidi"/>
              <w:sz w:val="72"/>
              <w:szCs w:val="72"/>
              <w:lang w:val="es-CR"/>
            </w:rPr>
          </w:pPr>
          <w:r w:rsidRPr="00EE3D14">
            <w:rPr>
              <w:noProof/>
              <w:lang w:eastAsia="en-US"/>
            </w:rPr>
            <mc:AlternateContent>
              <mc:Choice Requires="wps">
                <w:drawing>
                  <wp:anchor distT="0" distB="0" distL="114300" distR="114300" simplePos="0" relativeHeight="251659264" behindDoc="0" locked="0" layoutInCell="0" allowOverlap="1" wp14:anchorId="37BDD172" wp14:editId="0818DA7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EE3D14">
            <w:rPr>
              <w:noProof/>
              <w:lang w:eastAsia="en-US"/>
            </w:rPr>
            <mc:AlternateContent>
              <mc:Choice Requires="wps">
                <w:drawing>
                  <wp:anchor distT="0" distB="0" distL="114300" distR="114300" simplePos="0" relativeHeight="251662336" behindDoc="0" locked="0" layoutInCell="0" allowOverlap="1" wp14:anchorId="3C817E64" wp14:editId="4EDA8B88">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EE3D14">
            <w:rPr>
              <w:noProof/>
              <w:lang w:eastAsia="en-US"/>
            </w:rPr>
            <mc:AlternateContent>
              <mc:Choice Requires="wps">
                <w:drawing>
                  <wp:anchor distT="0" distB="0" distL="114300" distR="114300" simplePos="0" relativeHeight="251661312" behindDoc="0" locked="0" layoutInCell="0" allowOverlap="1" wp14:anchorId="3127CC01" wp14:editId="5ECA15E8">
                    <wp:simplePos x="0" y="0"/>
                    <wp:positionH relativeFrom="rightMargin">
                      <wp:align>center</wp:align>
                    </wp:positionH>
                    <wp:positionV relativeFrom="page">
                      <wp:align>center</wp:align>
                    </wp:positionV>
                    <wp:extent cx="90805" cy="10556240"/>
                    <wp:effectExtent l="0" t="0" r="4445" b="508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AU5Jgi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EE3D14">
            <w:rPr>
              <w:noProof/>
              <w:lang w:eastAsia="en-US"/>
            </w:rPr>
            <mc:AlternateContent>
              <mc:Choice Requires="wps">
                <w:drawing>
                  <wp:anchor distT="0" distB="0" distL="114300" distR="114300" simplePos="0" relativeHeight="251660288" behindDoc="0" locked="0" layoutInCell="0" allowOverlap="1" wp14:anchorId="09B7536E" wp14:editId="590856E3">
                    <wp:simplePos x="0" y="0"/>
                    <wp:positionH relativeFrom="page">
                      <wp:align>center</wp:align>
                    </wp:positionH>
                    <wp:positionV relativeFrom="topMargin">
                      <wp:align>top</wp:align>
                    </wp:positionV>
                    <wp:extent cx="8161020" cy="82296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xG6TsC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52"/>
              <w:szCs w:val="72"/>
              <w:lang w:val="es-CR"/>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082C02" w:rsidRPr="00EE3D14" w:rsidRDefault="005B5C3A" w:rsidP="005B5C3A">
              <w:pPr>
                <w:pStyle w:val="NoSpacing"/>
                <w:jc w:val="center"/>
                <w:rPr>
                  <w:rFonts w:asciiTheme="majorHAnsi" w:eastAsiaTheme="majorEastAsia" w:hAnsiTheme="majorHAnsi" w:cstheme="majorBidi"/>
                  <w:sz w:val="72"/>
                  <w:szCs w:val="72"/>
                  <w:lang w:val="es-CR"/>
                </w:rPr>
              </w:pPr>
              <w:r w:rsidRPr="00EE3D14">
                <w:rPr>
                  <w:rFonts w:asciiTheme="majorHAnsi" w:eastAsiaTheme="majorEastAsia" w:hAnsiTheme="majorHAnsi" w:cstheme="majorBidi"/>
                  <w:sz w:val="52"/>
                  <w:szCs w:val="72"/>
                  <w:lang w:val="es-CR"/>
                </w:rPr>
                <w:t xml:space="preserve">Estimación de la probabilidad de sobrecostos en el proyecto </w:t>
              </w:r>
              <w:r>
                <w:rPr>
                  <w:rFonts w:asciiTheme="majorHAnsi" w:eastAsiaTheme="majorEastAsia" w:hAnsiTheme="majorHAnsi" w:cstheme="majorBidi"/>
                  <w:sz w:val="52"/>
                  <w:szCs w:val="72"/>
                  <w:lang w:val="es-CR"/>
                </w:rPr>
                <w:t xml:space="preserve">Programa de Integración Fronteriza de </w:t>
              </w:r>
              <w:r w:rsidRPr="00EE3D14">
                <w:rPr>
                  <w:rFonts w:asciiTheme="majorHAnsi" w:eastAsiaTheme="majorEastAsia" w:hAnsiTheme="majorHAnsi" w:cstheme="majorBidi"/>
                  <w:sz w:val="52"/>
                  <w:szCs w:val="72"/>
                  <w:lang w:val="es-CR"/>
                </w:rPr>
                <w:t>Costa Rica” (CR-L1066)</w:t>
              </w:r>
            </w:p>
          </w:sdtContent>
        </w:sdt>
        <w:p w:rsidR="00082C02" w:rsidRPr="00EE3D14" w:rsidRDefault="00082C02">
          <w:pPr>
            <w:pStyle w:val="NoSpacing"/>
            <w:rPr>
              <w:rFonts w:asciiTheme="majorHAnsi" w:eastAsiaTheme="majorEastAsia" w:hAnsiTheme="majorHAnsi" w:cstheme="majorBidi"/>
              <w:sz w:val="36"/>
              <w:szCs w:val="36"/>
              <w:lang w:val="es-CR"/>
            </w:rPr>
          </w:pPr>
        </w:p>
        <w:p w:rsidR="00082C02" w:rsidRPr="00EE3D14" w:rsidRDefault="00082C02">
          <w:pPr>
            <w:pStyle w:val="NoSpacing"/>
            <w:rPr>
              <w:rFonts w:asciiTheme="majorHAnsi" w:eastAsiaTheme="majorEastAsia" w:hAnsiTheme="majorHAnsi" w:cstheme="majorBidi"/>
              <w:sz w:val="36"/>
              <w:szCs w:val="36"/>
              <w:lang w:val="es-CR"/>
            </w:rPr>
          </w:pPr>
        </w:p>
        <w:p w:rsidR="00082C02" w:rsidRPr="00EE3D14" w:rsidRDefault="00082C02">
          <w:pPr>
            <w:pStyle w:val="NoSpacing"/>
            <w:rPr>
              <w:rFonts w:asciiTheme="majorHAnsi" w:eastAsiaTheme="majorEastAsia" w:hAnsiTheme="majorHAnsi" w:cstheme="majorBidi"/>
              <w:sz w:val="36"/>
              <w:szCs w:val="36"/>
              <w:lang w:val="es-CR"/>
            </w:rPr>
          </w:pPr>
        </w:p>
        <w:p w:rsidR="00082C02" w:rsidRPr="00EE3D14" w:rsidRDefault="00082C02">
          <w:pPr>
            <w:pStyle w:val="NoSpacing"/>
            <w:rPr>
              <w:lang w:val="es-CR"/>
            </w:rPr>
          </w:pPr>
        </w:p>
        <w:p w:rsidR="00082C02" w:rsidRPr="005B5C3A" w:rsidRDefault="00082C02" w:rsidP="000906B0">
          <w:pPr>
            <w:spacing w:after="0"/>
            <w:rPr>
              <w:rFonts w:asciiTheme="majorHAnsi" w:eastAsiaTheme="majorEastAsia" w:hAnsiTheme="majorHAnsi" w:cstheme="majorBidi"/>
              <w:sz w:val="32"/>
              <w:szCs w:val="72"/>
              <w:lang w:val="pt-BR" w:eastAsia="ja-JP"/>
            </w:rPr>
          </w:pPr>
          <w:r w:rsidRPr="005B5C3A">
            <w:rPr>
              <w:rFonts w:asciiTheme="majorHAnsi" w:eastAsiaTheme="majorEastAsia" w:hAnsiTheme="majorHAnsi" w:cstheme="majorBidi"/>
              <w:sz w:val="32"/>
              <w:szCs w:val="72"/>
              <w:lang w:val="pt-BR" w:eastAsia="ja-JP"/>
            </w:rPr>
            <w:t xml:space="preserve">Preparado por: </w:t>
          </w:r>
        </w:p>
        <w:p w:rsidR="00082C02" w:rsidRPr="005B5C3A" w:rsidRDefault="007C08C7" w:rsidP="000906B0">
          <w:pPr>
            <w:spacing w:after="0"/>
            <w:rPr>
              <w:rFonts w:asciiTheme="majorHAnsi" w:eastAsiaTheme="majorEastAsia" w:hAnsiTheme="majorHAnsi" w:cstheme="majorBidi"/>
              <w:sz w:val="32"/>
              <w:szCs w:val="72"/>
              <w:lang w:val="pt-BR" w:eastAsia="ja-JP"/>
            </w:rPr>
          </w:pPr>
          <w:r w:rsidRPr="005B5C3A">
            <w:rPr>
              <w:rFonts w:asciiTheme="majorHAnsi" w:eastAsiaTheme="majorEastAsia" w:hAnsiTheme="majorHAnsi" w:cstheme="majorBidi"/>
              <w:sz w:val="32"/>
              <w:szCs w:val="72"/>
              <w:lang w:val="pt-BR" w:eastAsia="ja-JP"/>
            </w:rPr>
            <w:t xml:space="preserve">Ing. </w:t>
          </w:r>
          <w:r w:rsidR="00082C02" w:rsidRPr="005B5C3A">
            <w:rPr>
              <w:rFonts w:asciiTheme="majorHAnsi" w:eastAsiaTheme="majorEastAsia" w:hAnsiTheme="majorHAnsi" w:cstheme="majorBidi"/>
              <w:sz w:val="32"/>
              <w:szCs w:val="72"/>
              <w:lang w:val="pt-BR" w:eastAsia="ja-JP"/>
            </w:rPr>
            <w:t>Carlos Alberto Patiño</w:t>
          </w:r>
          <w:r w:rsidRPr="005B5C3A">
            <w:rPr>
              <w:rFonts w:asciiTheme="majorHAnsi" w:eastAsiaTheme="majorEastAsia" w:hAnsiTheme="majorHAnsi" w:cstheme="majorBidi"/>
              <w:sz w:val="32"/>
              <w:szCs w:val="72"/>
              <w:lang w:val="pt-BR" w:eastAsia="ja-JP"/>
            </w:rPr>
            <w:t xml:space="preserve"> R.</w:t>
          </w:r>
        </w:p>
        <w:p w:rsidR="00082C02" w:rsidRPr="00EE3D14" w:rsidRDefault="00082C02" w:rsidP="000906B0">
          <w:pPr>
            <w:spacing w:after="0"/>
            <w:rPr>
              <w:rFonts w:asciiTheme="majorHAnsi" w:eastAsiaTheme="majorEastAsia" w:hAnsiTheme="majorHAnsi" w:cstheme="majorBidi"/>
              <w:sz w:val="32"/>
              <w:szCs w:val="72"/>
              <w:lang w:val="es-CR" w:eastAsia="ja-JP"/>
            </w:rPr>
          </w:pPr>
          <w:r w:rsidRPr="00EE3D14">
            <w:rPr>
              <w:rFonts w:asciiTheme="majorHAnsi" w:eastAsiaTheme="majorEastAsia" w:hAnsiTheme="majorHAnsi" w:cstheme="majorBidi"/>
              <w:sz w:val="32"/>
              <w:szCs w:val="72"/>
              <w:lang w:val="es-CR" w:eastAsia="ja-JP"/>
            </w:rPr>
            <w:t>Consultor</w:t>
          </w:r>
        </w:p>
        <w:p w:rsidR="00082C02" w:rsidRPr="00EE3D14" w:rsidRDefault="00082C02" w:rsidP="00082C02">
          <w:pPr>
            <w:jc w:val="center"/>
            <w:rPr>
              <w:rFonts w:asciiTheme="majorHAnsi" w:eastAsiaTheme="majorEastAsia" w:hAnsiTheme="majorHAnsi" w:cstheme="majorBidi"/>
              <w:sz w:val="48"/>
              <w:szCs w:val="72"/>
              <w:lang w:val="es-CR" w:eastAsia="ja-JP"/>
            </w:rPr>
          </w:pPr>
        </w:p>
        <w:p w:rsidR="007C08C7" w:rsidRPr="00EE3D14" w:rsidRDefault="007C08C7" w:rsidP="00082C02">
          <w:pPr>
            <w:jc w:val="center"/>
            <w:rPr>
              <w:rFonts w:asciiTheme="majorHAnsi" w:eastAsiaTheme="majorEastAsia" w:hAnsiTheme="majorHAnsi" w:cstheme="majorBidi"/>
              <w:sz w:val="48"/>
              <w:szCs w:val="72"/>
              <w:lang w:val="es-CR" w:eastAsia="ja-JP"/>
            </w:rPr>
          </w:pPr>
        </w:p>
        <w:p w:rsidR="007C08C7" w:rsidRPr="00EE3D14" w:rsidRDefault="007C08C7" w:rsidP="00082C02">
          <w:pPr>
            <w:jc w:val="center"/>
            <w:rPr>
              <w:rFonts w:asciiTheme="majorHAnsi" w:eastAsiaTheme="majorEastAsia" w:hAnsiTheme="majorHAnsi" w:cstheme="majorBidi"/>
              <w:sz w:val="48"/>
              <w:szCs w:val="72"/>
              <w:lang w:val="es-CR" w:eastAsia="ja-JP"/>
            </w:rPr>
          </w:pPr>
        </w:p>
        <w:p w:rsidR="00082C02" w:rsidRPr="00EE3D14" w:rsidRDefault="00082C02" w:rsidP="00082C02">
          <w:pPr>
            <w:jc w:val="center"/>
            <w:rPr>
              <w:rFonts w:asciiTheme="majorHAnsi" w:eastAsiaTheme="majorEastAsia" w:hAnsiTheme="majorHAnsi" w:cstheme="majorBidi"/>
              <w:sz w:val="72"/>
              <w:szCs w:val="72"/>
              <w:lang w:val="es-CR" w:eastAsia="ja-JP"/>
            </w:rPr>
          </w:pPr>
          <w:r w:rsidRPr="00EE3D14">
            <w:rPr>
              <w:rFonts w:asciiTheme="majorHAnsi" w:eastAsiaTheme="majorEastAsia" w:hAnsiTheme="majorHAnsi" w:cstheme="majorBidi"/>
              <w:sz w:val="48"/>
              <w:szCs w:val="72"/>
              <w:lang w:val="es-CR" w:eastAsia="ja-JP"/>
            </w:rPr>
            <w:t>Marzo 2015</w:t>
          </w:r>
          <w:r w:rsidRPr="00EE3D14">
            <w:rPr>
              <w:rFonts w:asciiTheme="majorHAnsi" w:eastAsiaTheme="majorEastAsia" w:hAnsiTheme="majorHAnsi" w:cstheme="majorBidi"/>
              <w:sz w:val="72"/>
              <w:szCs w:val="72"/>
              <w:lang w:val="es-CR" w:eastAsia="ja-JP"/>
            </w:rPr>
            <w:br w:type="page"/>
          </w:r>
        </w:p>
      </w:sdtContent>
    </w:sdt>
    <w:sdt>
      <w:sdtPr>
        <w:rPr>
          <w:rFonts w:asciiTheme="minorHAnsi" w:eastAsiaTheme="minorHAnsi" w:hAnsiTheme="minorHAnsi" w:cstheme="minorBidi"/>
          <w:b w:val="0"/>
          <w:bCs w:val="0"/>
          <w:color w:val="auto"/>
          <w:sz w:val="22"/>
          <w:szCs w:val="22"/>
          <w:lang w:val="es-CR" w:eastAsia="en-US"/>
        </w:rPr>
        <w:id w:val="815685704"/>
        <w:docPartObj>
          <w:docPartGallery w:val="Table of Contents"/>
          <w:docPartUnique/>
        </w:docPartObj>
      </w:sdtPr>
      <w:sdtEndPr>
        <w:rPr>
          <w:rFonts w:ascii="Times New Roman" w:hAnsi="Times New Roman" w:cs="Times New Roman"/>
          <w:noProof/>
        </w:rPr>
      </w:sdtEndPr>
      <w:sdtContent>
        <w:p w:rsidR="00082C02" w:rsidRPr="00EE3D14" w:rsidRDefault="00082C02">
          <w:pPr>
            <w:pStyle w:val="TOCHeading"/>
            <w:rPr>
              <w:lang w:val="es-CR"/>
            </w:rPr>
          </w:pPr>
          <w:r w:rsidRPr="00EE3D14">
            <w:rPr>
              <w:lang w:val="es-CR"/>
            </w:rPr>
            <w:t>Tabla de contenido</w:t>
          </w:r>
        </w:p>
        <w:p w:rsidR="007C686A" w:rsidRPr="00EE3D14" w:rsidRDefault="00082C02">
          <w:pPr>
            <w:pStyle w:val="TOC1"/>
            <w:tabs>
              <w:tab w:val="left" w:pos="440"/>
              <w:tab w:val="right" w:leader="dot" w:pos="9350"/>
            </w:tabs>
            <w:rPr>
              <w:rFonts w:ascii="Times New Roman" w:eastAsiaTheme="minorEastAsia" w:hAnsi="Times New Roman" w:cs="Times New Roman"/>
              <w:noProof/>
              <w:lang w:val="es-CR" w:eastAsia="es-ES"/>
            </w:rPr>
          </w:pPr>
          <w:r w:rsidRPr="00EE3D14">
            <w:rPr>
              <w:rFonts w:ascii="Times New Roman" w:hAnsi="Times New Roman" w:cs="Times New Roman"/>
              <w:lang w:val="es-CR"/>
            </w:rPr>
            <w:fldChar w:fldCharType="begin"/>
          </w:r>
          <w:r w:rsidRPr="00EE3D14">
            <w:rPr>
              <w:rFonts w:ascii="Times New Roman" w:hAnsi="Times New Roman" w:cs="Times New Roman"/>
              <w:lang w:val="es-CR"/>
            </w:rPr>
            <w:instrText xml:space="preserve"> TOC \o "1-3" \h \z \u </w:instrText>
          </w:r>
          <w:r w:rsidRPr="00EE3D14">
            <w:rPr>
              <w:rFonts w:ascii="Times New Roman" w:hAnsi="Times New Roman" w:cs="Times New Roman"/>
              <w:lang w:val="es-CR"/>
            </w:rPr>
            <w:fldChar w:fldCharType="separate"/>
          </w:r>
          <w:hyperlink w:anchor="_Toc415421139" w:history="1">
            <w:r w:rsidR="007C686A" w:rsidRPr="00EE3D14">
              <w:rPr>
                <w:rStyle w:val="Hyperlink"/>
                <w:rFonts w:ascii="Times New Roman" w:hAnsi="Times New Roman" w:cs="Times New Roman"/>
                <w:noProof/>
                <w:lang w:val="es-CR"/>
              </w:rPr>
              <w:t>I.</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Contexto</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_Toc415421139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1</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0" w:history="1">
            <w:r w:rsidR="007C686A" w:rsidRPr="00EE3D14">
              <w:rPr>
                <w:rStyle w:val="Hyperlink"/>
                <w:rFonts w:ascii="Times New Roman" w:hAnsi="Times New Roman" w:cs="Times New Roman"/>
                <w:noProof/>
                <w:lang w:val="es-CR"/>
              </w:rPr>
              <w:t>a)</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Pasos de frontera de Costa Rica</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_Toc415421140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1</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1" w:history="1">
            <w:r w:rsidR="007C686A" w:rsidRPr="00EE3D14">
              <w:rPr>
                <w:rStyle w:val="Hyperlink"/>
                <w:rFonts w:ascii="Times New Roman" w:hAnsi="Times New Roman" w:cs="Times New Roman"/>
                <w:noProof/>
                <w:lang w:val="es-CR"/>
              </w:rPr>
              <w:t>b)</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El proyecto</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_Toc415421141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1</w:t>
            </w:r>
            <w:r w:rsidR="007C686A" w:rsidRPr="00EE3D14">
              <w:rPr>
                <w:rFonts w:ascii="Times New Roman" w:hAnsi="Times New Roman" w:cs="Times New Roman"/>
                <w:noProof/>
                <w:webHidden/>
                <w:lang w:val="es-CR"/>
              </w:rPr>
              <w:fldChar w:fldCharType="end"/>
            </w:r>
          </w:hyperlink>
        </w:p>
        <w:p w:rsidR="007C686A" w:rsidRPr="00EE3D14" w:rsidRDefault="005B5C3A">
          <w:pPr>
            <w:pStyle w:val="TOC1"/>
            <w:tabs>
              <w:tab w:val="left" w:pos="440"/>
              <w:tab w:val="right" w:leader="dot" w:pos="9350"/>
            </w:tabs>
            <w:rPr>
              <w:rFonts w:ascii="Times New Roman" w:eastAsiaTheme="minorEastAsia" w:hAnsi="Times New Roman" w:cs="Times New Roman"/>
              <w:noProof/>
              <w:lang w:val="es-CR" w:eastAsia="es-ES"/>
            </w:rPr>
          </w:pPr>
          <w:hyperlink w:anchor="_Toc415421142" w:history="1">
            <w:r w:rsidR="007C686A" w:rsidRPr="00EE3D14">
              <w:rPr>
                <w:rStyle w:val="Hyperlink"/>
                <w:rFonts w:ascii="Times New Roman" w:hAnsi="Times New Roman" w:cs="Times New Roman"/>
                <w:noProof/>
                <w:lang w:val="es-CR"/>
              </w:rPr>
              <w:t>II.</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Objetivo del estudio</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_Toc415421142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3</w:t>
            </w:r>
            <w:r w:rsidR="007C686A" w:rsidRPr="00EE3D14">
              <w:rPr>
                <w:rFonts w:ascii="Times New Roman" w:hAnsi="Times New Roman" w:cs="Times New Roman"/>
                <w:noProof/>
                <w:webHidden/>
                <w:lang w:val="es-CR"/>
              </w:rPr>
              <w:fldChar w:fldCharType="end"/>
            </w:r>
          </w:hyperlink>
        </w:p>
        <w:p w:rsidR="007C686A" w:rsidRPr="00EE3D14" w:rsidRDefault="005B5C3A">
          <w:pPr>
            <w:pStyle w:val="TOC1"/>
            <w:tabs>
              <w:tab w:val="left" w:pos="660"/>
              <w:tab w:val="right" w:leader="dot" w:pos="9350"/>
            </w:tabs>
            <w:rPr>
              <w:rFonts w:ascii="Times New Roman" w:eastAsiaTheme="minorEastAsia" w:hAnsi="Times New Roman" w:cs="Times New Roman"/>
              <w:noProof/>
              <w:lang w:val="es-CR" w:eastAsia="es-ES"/>
            </w:rPr>
          </w:pPr>
          <w:hyperlink w:anchor="_Toc415421143" w:history="1">
            <w:r w:rsidR="007C686A" w:rsidRPr="00EE3D14">
              <w:rPr>
                <w:rStyle w:val="Hyperlink"/>
                <w:rFonts w:ascii="Times New Roman" w:hAnsi="Times New Roman" w:cs="Times New Roman"/>
                <w:noProof/>
                <w:lang w:val="es-CR"/>
              </w:rPr>
              <w:t>III.</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Metodología</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_Toc415421143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3</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4" w:history="1">
            <w:r w:rsidR="007C686A" w:rsidRPr="00EE3D14">
              <w:rPr>
                <w:rStyle w:val="Hyperlink"/>
                <w:rFonts w:ascii="Times New Roman" w:hAnsi="Times New Roman" w:cs="Times New Roman"/>
                <w:noProof/>
                <w:lang w:val="es-CR"/>
              </w:rPr>
              <w:t>a)</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Identificación de los factores de costos adicionales</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_Toc415421144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3</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5" w:history="1">
            <w:r w:rsidR="007C686A" w:rsidRPr="00EE3D14">
              <w:rPr>
                <w:rStyle w:val="Hyperlink"/>
                <w:rFonts w:ascii="Times New Roman" w:hAnsi="Times New Roman" w:cs="Times New Roman"/>
                <w:noProof/>
                <w:lang w:val="es-CR"/>
              </w:rPr>
              <w:t>b)</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Información base para el estudio</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_Toc415421145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4</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6" w:history="1">
            <w:r w:rsidR="007C686A" w:rsidRPr="00EE3D14">
              <w:rPr>
                <w:rStyle w:val="Hyperlink"/>
                <w:rFonts w:ascii="Times New Roman" w:hAnsi="Times New Roman" w:cs="Times New Roman"/>
                <w:noProof/>
                <w:lang w:val="es-CR"/>
              </w:rPr>
              <w:t>c)</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Análisis de las variaciones (simulación por el método de Montecarlo)</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_Toc415421146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5</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7" w:history="1">
            <w:r w:rsidR="007C686A" w:rsidRPr="00EE3D14">
              <w:rPr>
                <w:rStyle w:val="Hyperlink"/>
                <w:rFonts w:ascii="Times New Roman" w:hAnsi="Times New Roman" w:cs="Times New Roman"/>
                <w:noProof/>
                <w:lang w:val="es-CR"/>
              </w:rPr>
              <w:t>d)</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Proceso de evaluación de resultados</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_Toc415421147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6</w:t>
            </w:r>
            <w:r w:rsidR="007C686A" w:rsidRPr="00EE3D14">
              <w:rPr>
                <w:rFonts w:ascii="Times New Roman" w:hAnsi="Times New Roman" w:cs="Times New Roman"/>
                <w:noProof/>
                <w:webHidden/>
                <w:lang w:val="es-CR"/>
              </w:rPr>
              <w:fldChar w:fldCharType="end"/>
            </w:r>
          </w:hyperlink>
        </w:p>
        <w:p w:rsidR="007C686A" w:rsidRPr="00EE3D14" w:rsidRDefault="005B5C3A">
          <w:pPr>
            <w:pStyle w:val="TOC1"/>
            <w:tabs>
              <w:tab w:val="left" w:pos="660"/>
              <w:tab w:val="right" w:leader="dot" w:pos="9350"/>
            </w:tabs>
            <w:rPr>
              <w:rFonts w:ascii="Times New Roman" w:eastAsiaTheme="minorEastAsia" w:hAnsi="Times New Roman" w:cs="Times New Roman"/>
              <w:noProof/>
              <w:lang w:val="es-CR" w:eastAsia="es-ES"/>
            </w:rPr>
          </w:pPr>
          <w:hyperlink w:anchor="_Toc415421148" w:history="1">
            <w:r w:rsidR="007C686A" w:rsidRPr="00EE3D14">
              <w:rPr>
                <w:rStyle w:val="Hyperlink"/>
                <w:rFonts w:ascii="Times New Roman" w:hAnsi="Times New Roman" w:cs="Times New Roman"/>
                <w:noProof/>
                <w:lang w:val="es-CR"/>
              </w:rPr>
              <w:t>IV.</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Cuantificación de las posibles variaciones de costos</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_Toc415421148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7</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49" w:history="1">
            <w:r w:rsidR="007C686A" w:rsidRPr="00EE3D14">
              <w:rPr>
                <w:rStyle w:val="Hyperlink"/>
                <w:rFonts w:ascii="Times New Roman" w:hAnsi="Times New Roman" w:cs="Times New Roman"/>
                <w:noProof/>
                <w:lang w:val="es-CR"/>
              </w:rPr>
              <w:t>a)</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Actualización de presupuestos a 2015</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_Toc415421149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7</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50" w:history="1">
            <w:r w:rsidR="007C686A" w:rsidRPr="00EE3D14">
              <w:rPr>
                <w:rStyle w:val="Hyperlink"/>
                <w:rFonts w:ascii="Times New Roman" w:hAnsi="Times New Roman" w:cs="Times New Roman"/>
                <w:noProof/>
                <w:lang w:val="es-CR"/>
              </w:rPr>
              <w:t>b)</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Estimación del escalamiento de precios</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_Toc415421150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8</w:t>
            </w:r>
            <w:r w:rsidR="007C686A" w:rsidRPr="00EE3D14">
              <w:rPr>
                <w:rFonts w:ascii="Times New Roman" w:hAnsi="Times New Roman" w:cs="Times New Roman"/>
                <w:noProof/>
                <w:webHidden/>
                <w:lang w:val="es-CR"/>
              </w:rPr>
              <w:fldChar w:fldCharType="end"/>
            </w:r>
          </w:hyperlink>
        </w:p>
        <w:p w:rsidR="007C686A" w:rsidRPr="00EE3D14" w:rsidRDefault="005B5C3A">
          <w:pPr>
            <w:pStyle w:val="TOC2"/>
            <w:tabs>
              <w:tab w:val="left" w:pos="660"/>
              <w:tab w:val="right" w:leader="dot" w:pos="9350"/>
            </w:tabs>
            <w:rPr>
              <w:rFonts w:ascii="Times New Roman" w:eastAsiaTheme="minorEastAsia" w:hAnsi="Times New Roman" w:cs="Times New Roman"/>
              <w:noProof/>
              <w:lang w:val="es-CR" w:eastAsia="es-ES"/>
            </w:rPr>
          </w:pPr>
          <w:hyperlink w:anchor="_Toc415421151" w:history="1">
            <w:r w:rsidR="007C686A" w:rsidRPr="00EE3D14">
              <w:rPr>
                <w:rStyle w:val="Hyperlink"/>
                <w:rFonts w:ascii="Times New Roman" w:hAnsi="Times New Roman" w:cs="Times New Roman"/>
                <w:noProof/>
                <w:lang w:val="es-CR"/>
              </w:rPr>
              <w:t>c)</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Estimación de costos por imprevistos y variaciones</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_Toc415421151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8</w:t>
            </w:r>
            <w:r w:rsidR="007C686A" w:rsidRPr="00EE3D14">
              <w:rPr>
                <w:rFonts w:ascii="Times New Roman" w:hAnsi="Times New Roman" w:cs="Times New Roman"/>
                <w:noProof/>
                <w:webHidden/>
                <w:lang w:val="es-CR"/>
              </w:rPr>
              <w:fldChar w:fldCharType="end"/>
            </w:r>
          </w:hyperlink>
        </w:p>
        <w:p w:rsidR="007C686A" w:rsidRPr="00EE3D14" w:rsidRDefault="005B5C3A">
          <w:pPr>
            <w:pStyle w:val="TOC1"/>
            <w:tabs>
              <w:tab w:val="left" w:pos="440"/>
              <w:tab w:val="right" w:leader="dot" w:pos="9350"/>
            </w:tabs>
            <w:rPr>
              <w:rFonts w:ascii="Times New Roman" w:eastAsiaTheme="minorEastAsia" w:hAnsi="Times New Roman" w:cs="Times New Roman"/>
              <w:noProof/>
              <w:lang w:val="es-CR" w:eastAsia="es-ES"/>
            </w:rPr>
          </w:pPr>
          <w:hyperlink w:anchor="_Toc415421152" w:history="1">
            <w:r w:rsidR="007C686A" w:rsidRPr="00EE3D14">
              <w:rPr>
                <w:rStyle w:val="Hyperlink"/>
                <w:rFonts w:ascii="Times New Roman" w:hAnsi="Times New Roman" w:cs="Times New Roman"/>
                <w:noProof/>
                <w:lang w:val="es-CR"/>
              </w:rPr>
              <w:t>V.</w:t>
            </w:r>
            <w:r w:rsidR="007C686A" w:rsidRPr="00EE3D14">
              <w:rPr>
                <w:rFonts w:ascii="Times New Roman" w:eastAsiaTheme="minorEastAsia" w:hAnsi="Times New Roman" w:cs="Times New Roman"/>
                <w:noProof/>
                <w:lang w:val="es-CR" w:eastAsia="es-ES"/>
              </w:rPr>
              <w:tab/>
            </w:r>
            <w:r w:rsidR="007C686A" w:rsidRPr="00EE3D14">
              <w:rPr>
                <w:rStyle w:val="Hyperlink"/>
                <w:rFonts w:ascii="Times New Roman" w:hAnsi="Times New Roman" w:cs="Times New Roman"/>
                <w:noProof/>
                <w:lang w:val="es-CR"/>
              </w:rPr>
              <w:t>Resultados y conclusiones</w:t>
            </w:r>
            <w:r w:rsidR="007C686A" w:rsidRPr="00EE3D14">
              <w:rPr>
                <w:rFonts w:ascii="Times New Roman" w:hAnsi="Times New Roman" w:cs="Times New Roman"/>
                <w:noProof/>
                <w:webHidden/>
                <w:lang w:val="es-CR"/>
              </w:rPr>
              <w:tab/>
            </w:r>
            <w:r w:rsidR="007C686A" w:rsidRPr="00EE3D14">
              <w:rPr>
                <w:rFonts w:ascii="Times New Roman" w:hAnsi="Times New Roman" w:cs="Times New Roman"/>
                <w:noProof/>
                <w:webHidden/>
                <w:lang w:val="es-CR"/>
              </w:rPr>
              <w:fldChar w:fldCharType="begin"/>
            </w:r>
            <w:r w:rsidR="007C686A" w:rsidRPr="00EE3D14">
              <w:rPr>
                <w:rFonts w:ascii="Times New Roman" w:hAnsi="Times New Roman" w:cs="Times New Roman"/>
                <w:noProof/>
                <w:webHidden/>
                <w:lang w:val="es-CR"/>
              </w:rPr>
              <w:instrText xml:space="preserve"> PAGEREF _Toc415421152 \h </w:instrText>
            </w:r>
            <w:r w:rsidR="007C686A" w:rsidRPr="00EE3D14">
              <w:rPr>
                <w:rFonts w:ascii="Times New Roman" w:hAnsi="Times New Roman" w:cs="Times New Roman"/>
                <w:noProof/>
                <w:webHidden/>
                <w:lang w:val="es-CR"/>
              </w:rPr>
            </w:r>
            <w:r w:rsidR="007C686A" w:rsidRPr="00EE3D14">
              <w:rPr>
                <w:rFonts w:ascii="Times New Roman" w:hAnsi="Times New Roman" w:cs="Times New Roman"/>
                <w:noProof/>
                <w:webHidden/>
                <w:lang w:val="es-CR"/>
              </w:rPr>
              <w:fldChar w:fldCharType="separate"/>
            </w:r>
            <w:r w:rsidR="007C686A" w:rsidRPr="00EE3D14">
              <w:rPr>
                <w:rFonts w:ascii="Times New Roman" w:hAnsi="Times New Roman" w:cs="Times New Roman"/>
                <w:noProof/>
                <w:webHidden/>
                <w:lang w:val="es-CR"/>
              </w:rPr>
              <w:t>10</w:t>
            </w:r>
            <w:r w:rsidR="007C686A" w:rsidRPr="00EE3D14">
              <w:rPr>
                <w:rFonts w:ascii="Times New Roman" w:hAnsi="Times New Roman" w:cs="Times New Roman"/>
                <w:noProof/>
                <w:webHidden/>
                <w:lang w:val="es-CR"/>
              </w:rPr>
              <w:fldChar w:fldCharType="end"/>
            </w:r>
          </w:hyperlink>
        </w:p>
        <w:p w:rsidR="00082C02" w:rsidRPr="00EE3D14" w:rsidRDefault="00082C02">
          <w:pPr>
            <w:rPr>
              <w:rFonts w:ascii="Times New Roman" w:hAnsi="Times New Roman" w:cs="Times New Roman"/>
              <w:lang w:val="es-CR"/>
            </w:rPr>
          </w:pPr>
          <w:r w:rsidRPr="00EE3D14">
            <w:rPr>
              <w:rFonts w:ascii="Times New Roman" w:hAnsi="Times New Roman" w:cs="Times New Roman"/>
              <w:b/>
              <w:bCs/>
              <w:noProof/>
              <w:lang w:val="es-CR"/>
            </w:rPr>
            <w:fldChar w:fldCharType="end"/>
          </w:r>
        </w:p>
      </w:sdtContent>
    </w:sdt>
    <w:p w:rsidR="000906B0" w:rsidRPr="00EE3D14" w:rsidRDefault="00082C02">
      <w:pPr>
        <w:rPr>
          <w:b/>
          <w:lang w:val="es-CR"/>
        </w:rPr>
        <w:sectPr w:rsidR="000906B0" w:rsidRPr="00EE3D14" w:rsidSect="00082C02">
          <w:footerReference w:type="default" r:id="rId10"/>
          <w:footerReference w:type="first" r:id="rId11"/>
          <w:pgSz w:w="12240" w:h="15840"/>
          <w:pgMar w:top="1440" w:right="1440" w:bottom="1440" w:left="1440" w:header="720" w:footer="720" w:gutter="0"/>
          <w:pgNumType w:start="0"/>
          <w:cols w:space="720"/>
          <w:titlePg/>
          <w:docGrid w:linePitch="360"/>
        </w:sectPr>
      </w:pPr>
      <w:r w:rsidRPr="00EE3D14">
        <w:rPr>
          <w:b/>
          <w:lang w:val="es-CR"/>
        </w:rPr>
        <w:br w:type="page"/>
      </w:r>
    </w:p>
    <w:p w:rsidR="002D4583" w:rsidRPr="00EE3D14" w:rsidRDefault="004A2C0F" w:rsidP="00AE5CDE">
      <w:pPr>
        <w:pStyle w:val="Heading1"/>
        <w:numPr>
          <w:ilvl w:val="0"/>
          <w:numId w:val="7"/>
        </w:numPr>
        <w:rPr>
          <w:lang w:val="es-CR"/>
        </w:rPr>
      </w:pPr>
      <w:bookmarkStart w:id="0" w:name="_Toc415421139"/>
      <w:r w:rsidRPr="00EE3D14">
        <w:rPr>
          <w:lang w:val="es-CR"/>
        </w:rPr>
        <w:lastRenderedPageBreak/>
        <w:t>Contexto</w:t>
      </w:r>
      <w:bookmarkEnd w:id="0"/>
    </w:p>
    <w:p w:rsidR="004A2C0F" w:rsidRPr="00EE3D14" w:rsidRDefault="004A2C0F" w:rsidP="004A2C0F">
      <w:pPr>
        <w:pStyle w:val="Heading2"/>
        <w:numPr>
          <w:ilvl w:val="0"/>
          <w:numId w:val="8"/>
        </w:numPr>
        <w:spacing w:after="240"/>
        <w:rPr>
          <w:color w:val="auto"/>
          <w:sz w:val="22"/>
          <w:lang w:val="es-CR"/>
        </w:rPr>
      </w:pPr>
      <w:bookmarkStart w:id="1" w:name="_Toc415421140"/>
      <w:r w:rsidRPr="00EE3D14">
        <w:rPr>
          <w:color w:val="auto"/>
          <w:sz w:val="22"/>
          <w:lang w:val="es-CR"/>
        </w:rPr>
        <w:t>Pasos de frontera de Costa Rica</w:t>
      </w:r>
      <w:bookmarkEnd w:id="1"/>
    </w:p>
    <w:p w:rsidR="00047FC1" w:rsidRPr="00EE3D14" w:rsidRDefault="00047FC1" w:rsidP="00047FC1">
      <w:pPr>
        <w:jc w:val="both"/>
        <w:rPr>
          <w:lang w:val="es-CR"/>
        </w:rPr>
      </w:pPr>
      <w:bookmarkStart w:id="2" w:name="_Ref387047152"/>
      <w:r w:rsidRPr="00EE3D1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CFEE1F1" wp14:editId="492EB8BC">
                <wp:simplePos x="0" y="0"/>
                <wp:positionH relativeFrom="column">
                  <wp:posOffset>2524760</wp:posOffset>
                </wp:positionH>
                <wp:positionV relativeFrom="paragraph">
                  <wp:posOffset>205105</wp:posOffset>
                </wp:positionV>
                <wp:extent cx="3128010" cy="2797175"/>
                <wp:effectExtent l="0" t="0" r="0" b="31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2797175"/>
                        </a:xfrm>
                        <a:prstGeom prst="rect">
                          <a:avLst/>
                        </a:prstGeom>
                        <a:solidFill>
                          <a:prstClr val="white"/>
                        </a:solidFill>
                        <a:ln>
                          <a:noFill/>
                        </a:ln>
                        <a:effectLst/>
                      </wps:spPr>
                      <wps:txbx>
                        <w:txbxContent>
                          <w:p w:rsidR="00611E8B" w:rsidRPr="009B3417" w:rsidRDefault="00611E8B" w:rsidP="00047FC1">
                            <w:pPr>
                              <w:pStyle w:val="Caption"/>
                              <w:jc w:val="center"/>
                              <w:rPr>
                                <w:sz w:val="18"/>
                                <w:lang w:val="es-ES"/>
                              </w:rPr>
                            </w:pPr>
                            <w:r>
                              <w:rPr>
                                <w:sz w:val="18"/>
                                <w:lang w:val="es-ES"/>
                              </w:rPr>
                              <w:t xml:space="preserve"> </w:t>
                            </w:r>
                            <w:r w:rsidRPr="009B3417">
                              <w:rPr>
                                <w:sz w:val="18"/>
                                <w:lang w:val="es-ES"/>
                              </w:rPr>
                              <w:t xml:space="preserve">Figura </w:t>
                            </w:r>
                            <w:r>
                              <w:rPr>
                                <w:sz w:val="18"/>
                                <w:lang w:val="es-ES"/>
                              </w:rPr>
                              <w:fldChar w:fldCharType="begin"/>
                            </w:r>
                            <w:r>
                              <w:rPr>
                                <w:sz w:val="18"/>
                                <w:lang w:val="es-ES"/>
                              </w:rPr>
                              <w:instrText xml:space="preserve"> SEQ Figura \* ARABIC </w:instrText>
                            </w:r>
                            <w:r>
                              <w:rPr>
                                <w:sz w:val="18"/>
                                <w:lang w:val="es-ES"/>
                              </w:rPr>
                              <w:fldChar w:fldCharType="separate"/>
                            </w:r>
                            <w:r>
                              <w:rPr>
                                <w:noProof/>
                                <w:sz w:val="18"/>
                                <w:lang w:val="es-ES"/>
                              </w:rPr>
                              <w:t>1</w:t>
                            </w:r>
                            <w:r>
                              <w:rPr>
                                <w:sz w:val="18"/>
                                <w:lang w:val="es-ES"/>
                              </w:rPr>
                              <w:fldChar w:fldCharType="end"/>
                            </w:r>
                            <w:r w:rsidRPr="00747601">
                              <w:rPr>
                                <w:sz w:val="18"/>
                                <w:lang w:val="es-US"/>
                              </w:rPr>
                              <w:t>.</w:t>
                            </w:r>
                            <w:r>
                              <w:rPr>
                                <w:sz w:val="18"/>
                                <w:lang w:val="es-US"/>
                              </w:rPr>
                              <w:t xml:space="preserve"> </w:t>
                            </w:r>
                            <w:r w:rsidRPr="009B3417">
                              <w:rPr>
                                <w:sz w:val="18"/>
                                <w:lang w:val="es-ES"/>
                              </w:rPr>
                              <w:t xml:space="preserve">Ubicación de los </w:t>
                            </w:r>
                            <w:r>
                              <w:rPr>
                                <w:sz w:val="18"/>
                                <w:lang w:val="es-ES"/>
                              </w:rPr>
                              <w:t>pasos de frontera de Costa Rica</w:t>
                            </w:r>
                          </w:p>
                          <w:p w:rsidR="00611E8B" w:rsidRPr="00CD093D" w:rsidRDefault="00611E8B" w:rsidP="00047FC1">
                            <w:pPr>
                              <w:jc w:val="right"/>
                              <w:rPr>
                                <w:lang w:val="es-ES"/>
                              </w:rPr>
                            </w:pPr>
                            <w:r>
                              <w:rPr>
                                <w:noProof/>
                                <w:szCs w:val="24"/>
                              </w:rPr>
                              <w:drawing>
                                <wp:inline distT="0" distB="0" distL="0" distR="0" wp14:anchorId="388331BB" wp14:editId="1C179C84">
                                  <wp:extent cx="3064556" cy="2634018"/>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36" t="14528" b="4558"/>
                                          <a:stretch/>
                                        </pic:blipFill>
                                        <pic:spPr bwMode="auto">
                                          <a:xfrm>
                                            <a:off x="0" y="0"/>
                                            <a:ext cx="3068414" cy="26373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98.8pt;margin-top:16.15pt;width:246.3pt;height:2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" stroked="f">
                <v:path arrowok="t"/>
                <v:textbox inset="0,0,0,0">
                  <w:txbxContent>
                    <w:p w:rsidR="00611E8B" w:rsidRPr="009B3417" w:rsidRDefault="00611E8B" w:rsidP="00047FC1">
                      <w:pPr>
                        <w:pStyle w:val="Caption"/>
                        <w:jc w:val="center"/>
                        <w:rPr>
                          <w:sz w:val="18"/>
                          <w:lang w:val="es-ES"/>
                        </w:rPr>
                      </w:pPr>
                      <w:r>
                        <w:rPr>
                          <w:sz w:val="18"/>
                          <w:lang w:val="es-ES"/>
                        </w:rPr>
                        <w:t xml:space="preserve"> </w:t>
                      </w:r>
                      <w:r w:rsidRPr="009B3417">
                        <w:rPr>
                          <w:sz w:val="18"/>
                          <w:lang w:val="es-ES"/>
                        </w:rPr>
                        <w:t xml:space="preserve">Figura </w:t>
                      </w:r>
                      <w:r>
                        <w:rPr>
                          <w:sz w:val="18"/>
                          <w:lang w:val="es-ES"/>
                        </w:rPr>
                        <w:fldChar w:fldCharType="begin"/>
                      </w:r>
                      <w:r>
                        <w:rPr>
                          <w:sz w:val="18"/>
                          <w:lang w:val="es-ES"/>
                        </w:rPr>
                        <w:instrText xml:space="preserve"> SEQ Figura \* ARABIC </w:instrText>
                      </w:r>
                      <w:r>
                        <w:rPr>
                          <w:sz w:val="18"/>
                          <w:lang w:val="es-ES"/>
                        </w:rPr>
                        <w:fldChar w:fldCharType="separate"/>
                      </w:r>
                      <w:r>
                        <w:rPr>
                          <w:noProof/>
                          <w:sz w:val="18"/>
                          <w:lang w:val="es-ES"/>
                        </w:rPr>
                        <w:t>1</w:t>
                      </w:r>
                      <w:r>
                        <w:rPr>
                          <w:sz w:val="18"/>
                          <w:lang w:val="es-ES"/>
                        </w:rPr>
                        <w:fldChar w:fldCharType="end"/>
                      </w:r>
                      <w:r w:rsidRPr="00747601">
                        <w:rPr>
                          <w:sz w:val="18"/>
                          <w:lang w:val="es-US"/>
                        </w:rPr>
                        <w:t>.</w:t>
                      </w:r>
                      <w:r>
                        <w:rPr>
                          <w:sz w:val="18"/>
                          <w:lang w:val="es-US"/>
                        </w:rPr>
                        <w:t xml:space="preserve"> </w:t>
                      </w:r>
                      <w:r w:rsidRPr="009B3417">
                        <w:rPr>
                          <w:sz w:val="18"/>
                          <w:lang w:val="es-ES"/>
                        </w:rPr>
                        <w:t xml:space="preserve">Ubicación de los </w:t>
                      </w:r>
                      <w:r>
                        <w:rPr>
                          <w:sz w:val="18"/>
                          <w:lang w:val="es-ES"/>
                        </w:rPr>
                        <w:t>pasos de frontera de Costa Rica</w:t>
                      </w:r>
                    </w:p>
                    <w:p w:rsidR="00611E8B" w:rsidRPr="00CD093D" w:rsidRDefault="00611E8B" w:rsidP="00047FC1">
                      <w:pPr>
                        <w:jc w:val="right"/>
                        <w:rPr>
                          <w:lang w:val="es-ES"/>
                        </w:rPr>
                      </w:pPr>
                      <w:r>
                        <w:rPr>
                          <w:noProof/>
                          <w:szCs w:val="24"/>
                        </w:rPr>
                        <w:drawing>
                          <wp:inline distT="0" distB="0" distL="0" distR="0" wp14:anchorId="388331BB" wp14:editId="1C179C84">
                            <wp:extent cx="3064556" cy="2634018"/>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36" t="14528" b="4558"/>
                                    <a:stretch/>
                                  </pic:blipFill>
                                  <pic:spPr bwMode="auto">
                                    <a:xfrm>
                                      <a:off x="0" y="0"/>
                                      <a:ext cx="3068414" cy="26373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EE3D14">
        <w:rPr>
          <w:rFonts w:ascii="Times New Roman" w:hAnsi="Times New Roman" w:cs="Times New Roman"/>
          <w:lang w:val="es-CR"/>
        </w:rPr>
        <w:t>El país tiene activos los cruces de frontera terrestres de Paso Canoas y Sixaola con Panamá, y Peñas Blancas y Las Tablillas con Nicaragua. Si bien en estos cruces de frontera intervienen las mismas instituciones y se mantienen procesos de control uniformes, cada uno de ellos cumple una función específica en el comercio internacional y en el desarrollo competitivo del país, por lo que su óptimo funcionamiento hace parte de las prioridades nacionales y regionales. Paso Canoas y Peñas Blancas, ubicados a lo largo del Corredor Pacífico, suponen el mayor flujo comercial y de pasajeros de la región. Sixaola cumple un papel relevante en el comercio agrícola. Finalmente, el cruce de Las Tablillas tiene un alto potencial para el tránsito de mercancías desde los países del norte de Costa Rica con destino a Puerto Limón en la costa atlántica.</w:t>
      </w:r>
      <w:bookmarkEnd w:id="2"/>
    </w:p>
    <w:p w:rsidR="00047FC1" w:rsidRPr="00EE3D14" w:rsidRDefault="00047FC1" w:rsidP="00047FC1">
      <w:pPr>
        <w:jc w:val="both"/>
        <w:rPr>
          <w:rFonts w:ascii="Times New Roman" w:hAnsi="Times New Roman" w:cs="Times New Roman"/>
          <w:lang w:val="es-CR"/>
        </w:rPr>
      </w:pPr>
      <w:r w:rsidRPr="00EE3D14">
        <w:rPr>
          <w:rFonts w:ascii="Times New Roman" w:hAnsi="Times New Roman" w:cs="Times New Roman"/>
          <w:lang w:val="es-CR"/>
        </w:rPr>
        <w:t xml:space="preserve">A pesar de la creciente inversión en infraestructura vial de la red nacional y de los esfuerzos orientados a alcanzar la transformación de la matriz productiva hacia bienes y servicios con mayor valor agregado, Costa Rica aún requiere disponer de nodos de comercio exterior que garanticen una gestión de frontera eficiente. </w:t>
      </w:r>
      <w:bookmarkStart w:id="3" w:name="_Ref369084983"/>
      <w:bookmarkStart w:id="4" w:name="_Ref384382003"/>
      <w:r w:rsidRPr="00EE3D14">
        <w:rPr>
          <w:rFonts w:ascii="Times New Roman" w:hAnsi="Times New Roman" w:cs="Times New Roman"/>
          <w:lang w:val="es-CR"/>
        </w:rPr>
        <w:t>Entre los principales problemas que afectan la gestión de los cruces de frontera de Costa Rica están:</w:t>
      </w:r>
      <w:bookmarkStart w:id="5" w:name="_Ref369016342"/>
      <w:r w:rsidRPr="00EE3D14">
        <w:rPr>
          <w:rFonts w:ascii="Times New Roman" w:hAnsi="Times New Roman" w:cs="Times New Roman"/>
          <w:lang w:val="es-CR"/>
        </w:rPr>
        <w:t xml:space="preserve"> i) la reducida disponibilidad de infraestructura en buen estado</w:t>
      </w:r>
      <w:bookmarkEnd w:id="5"/>
      <w:r w:rsidRPr="00EE3D14">
        <w:rPr>
          <w:rFonts w:ascii="Times New Roman" w:hAnsi="Times New Roman" w:cs="Times New Roman"/>
          <w:lang w:val="es-CR"/>
        </w:rPr>
        <w:t>; ii) </w:t>
      </w:r>
      <w:bookmarkStart w:id="6" w:name="_Ref369016346"/>
      <w:r w:rsidRPr="00EE3D14">
        <w:rPr>
          <w:rFonts w:ascii="Times New Roman" w:hAnsi="Times New Roman" w:cs="Times New Roman"/>
          <w:lang w:val="es-CR"/>
        </w:rPr>
        <w:t xml:space="preserve">deficiencias en la capacidad institucional para articular la gestión integral de los activos </w:t>
      </w:r>
      <w:bookmarkEnd w:id="6"/>
      <w:r w:rsidRPr="00EE3D14">
        <w:rPr>
          <w:rFonts w:ascii="Times New Roman" w:hAnsi="Times New Roman" w:cs="Times New Roman"/>
          <w:lang w:val="es-CR"/>
        </w:rPr>
        <w:t xml:space="preserve">fronterizos; iii) </w:t>
      </w:r>
      <w:bookmarkStart w:id="7" w:name="_Ref369016348"/>
      <w:r w:rsidRPr="00EE3D14">
        <w:rPr>
          <w:rFonts w:ascii="Times New Roman" w:hAnsi="Times New Roman" w:cs="Times New Roman"/>
          <w:lang w:val="es-CR"/>
        </w:rPr>
        <w:t>la falta de coordinación de las diferentes agencias involucradas en las acciones de control fronterizo</w:t>
      </w:r>
      <w:bookmarkStart w:id="8" w:name="_Ref358993767"/>
      <w:bookmarkEnd w:id="3"/>
      <w:bookmarkEnd w:id="4"/>
      <w:bookmarkEnd w:id="7"/>
      <w:r w:rsidRPr="00EE3D14">
        <w:rPr>
          <w:rFonts w:ascii="Times New Roman" w:hAnsi="Times New Roman" w:cs="Times New Roman"/>
          <w:lang w:val="es-CR"/>
        </w:rPr>
        <w:t>; y iv) la ausencia de un marco de coordinación binacional para el establecimiento de procesos, controles e infraestructuras bajo sistemas fronterizos integrados.</w:t>
      </w:r>
    </w:p>
    <w:p w:rsidR="004A2C0F" w:rsidRPr="00EE3D14" w:rsidRDefault="004A2C0F" w:rsidP="0048067F">
      <w:pPr>
        <w:pStyle w:val="Heading2"/>
        <w:numPr>
          <w:ilvl w:val="0"/>
          <w:numId w:val="8"/>
        </w:numPr>
        <w:spacing w:after="240"/>
        <w:rPr>
          <w:color w:val="auto"/>
          <w:sz w:val="22"/>
          <w:lang w:val="es-CR"/>
        </w:rPr>
      </w:pPr>
      <w:bookmarkStart w:id="9" w:name="_Toc415421141"/>
      <w:bookmarkEnd w:id="8"/>
      <w:r w:rsidRPr="00EE3D14">
        <w:rPr>
          <w:color w:val="auto"/>
          <w:sz w:val="22"/>
          <w:lang w:val="es-CR"/>
        </w:rPr>
        <w:t>El proyecto</w:t>
      </w:r>
      <w:bookmarkStart w:id="10" w:name="_GoBack"/>
      <w:bookmarkEnd w:id="9"/>
      <w:bookmarkEnd w:id="10"/>
    </w:p>
    <w:p w:rsidR="002D4583" w:rsidRPr="00EE3D14" w:rsidRDefault="002D4583" w:rsidP="002D4583">
      <w:pPr>
        <w:jc w:val="both"/>
        <w:rPr>
          <w:rFonts w:ascii="Times New Roman" w:hAnsi="Times New Roman" w:cs="Times New Roman"/>
          <w:lang w:val="es-CR"/>
        </w:rPr>
      </w:pPr>
      <w:r w:rsidRPr="00EE3D14">
        <w:rPr>
          <w:rFonts w:ascii="Times New Roman" w:hAnsi="Times New Roman" w:cs="Times New Roman"/>
          <w:lang w:val="es-CR"/>
        </w:rPr>
        <w:t xml:space="preserve">El </w:t>
      </w:r>
      <w:r w:rsidR="005B5C3A" w:rsidRPr="005B5C3A">
        <w:rPr>
          <w:rFonts w:ascii="Times New Roman" w:hAnsi="Times New Roman" w:cs="Times New Roman"/>
          <w:lang w:val="es-US"/>
        </w:rPr>
        <w:t>Programa de Integración Fronteriza de Costa Rica</w:t>
      </w:r>
      <w:r w:rsidR="005B5C3A" w:rsidRPr="00EE3D14">
        <w:rPr>
          <w:rFonts w:ascii="Times New Roman" w:hAnsi="Times New Roman" w:cs="Times New Roman"/>
          <w:lang w:val="es-CR"/>
        </w:rPr>
        <w:t xml:space="preserve"> </w:t>
      </w:r>
      <w:r w:rsidR="00047FC1" w:rsidRPr="00EE3D14">
        <w:rPr>
          <w:rFonts w:ascii="Times New Roman" w:hAnsi="Times New Roman" w:cs="Times New Roman"/>
          <w:lang w:val="es-CR"/>
        </w:rPr>
        <w:t>(CR-L1066)</w:t>
      </w:r>
      <w:r w:rsidRPr="00EE3D14">
        <w:rPr>
          <w:rFonts w:ascii="Times New Roman" w:hAnsi="Times New Roman" w:cs="Times New Roman"/>
          <w:lang w:val="es-CR"/>
        </w:rPr>
        <w:t xml:space="preserve"> tiene el objetivo de </w:t>
      </w:r>
      <w:r w:rsidR="00047FC1" w:rsidRPr="00EE3D14">
        <w:rPr>
          <w:rFonts w:ascii="Times New Roman" w:hAnsi="Times New Roman" w:cs="Times New Roman"/>
          <w:lang w:val="es-CR"/>
        </w:rPr>
        <w:t>fortalecer la competitividad del comercio exterior de Costa Rica mediante la modernización de la infraestructura, el equipamiento y sus sistemas fronterizos, buscando garantizar la coordinación eficiente y eficaz de los controles por parte de las instituciones con responsabilidad sobre los mismos</w:t>
      </w:r>
      <w:r w:rsidRPr="00EE3D14">
        <w:rPr>
          <w:rFonts w:ascii="Times New Roman" w:hAnsi="Times New Roman" w:cs="Times New Roman"/>
          <w:lang w:val="es-CR"/>
        </w:rPr>
        <w:t xml:space="preserve">. </w:t>
      </w:r>
    </w:p>
    <w:p w:rsidR="00241447" w:rsidRPr="00EE3D14" w:rsidRDefault="00241447" w:rsidP="00241447">
      <w:pPr>
        <w:jc w:val="both"/>
        <w:rPr>
          <w:rFonts w:ascii="Times New Roman" w:hAnsi="Times New Roman" w:cs="Times New Roman"/>
          <w:lang w:val="es-CR"/>
        </w:rPr>
      </w:pPr>
      <w:bookmarkStart w:id="11" w:name="_Ref361944738"/>
      <w:bookmarkStart w:id="12" w:name="_Ref367800389"/>
      <w:bookmarkStart w:id="13" w:name="_Ref361944710"/>
      <w:r w:rsidRPr="00EE3D14">
        <w:rPr>
          <w:rFonts w:ascii="Times New Roman" w:hAnsi="Times New Roman" w:cs="Times New Roman"/>
          <w:lang w:val="es-CR"/>
        </w:rPr>
        <w:t>El programa está estructurado en dos componentes básicos:</w:t>
      </w:r>
    </w:p>
    <w:p w:rsidR="00241447" w:rsidRPr="00EE3D14" w:rsidRDefault="00241447" w:rsidP="00241447">
      <w:pPr>
        <w:jc w:val="both"/>
        <w:rPr>
          <w:rFonts w:ascii="Times New Roman" w:hAnsi="Times New Roman" w:cs="Times New Roman"/>
          <w:lang w:val="es-CR"/>
        </w:rPr>
      </w:pPr>
      <w:r w:rsidRPr="00EE3D14">
        <w:rPr>
          <w:rFonts w:ascii="Times New Roman" w:hAnsi="Times New Roman" w:cs="Times New Roman"/>
          <w:b/>
          <w:lang w:val="es-CR"/>
        </w:rPr>
        <w:t xml:space="preserve">Componente 1. </w:t>
      </w:r>
      <w:bookmarkEnd w:id="11"/>
      <w:r w:rsidRPr="00EE3D14">
        <w:rPr>
          <w:rFonts w:ascii="Times New Roman" w:hAnsi="Times New Roman" w:cs="Times New Roman"/>
          <w:b/>
          <w:lang w:val="es-CR"/>
        </w:rPr>
        <w:t>Inversiones en infraestructura y equipamiento fronterizo</w:t>
      </w:r>
      <w:r w:rsidRPr="00EE3D14">
        <w:rPr>
          <w:rFonts w:ascii="Times New Roman" w:hAnsi="Times New Roman" w:cs="Times New Roman"/>
          <w:lang w:val="es-CR"/>
        </w:rPr>
        <w:t>. Financiará la construcción o rehabilitación y el equipamiento de las instalaciones fronterizas de Costa Rica, conforme lo establecido y comprende: (i) propuesta de configuración física y funcional de cada cruce fronterizo y los diseños de ingeniería; (ii) la adquisición, la preparación y/o adecuación de los terrenos y la demolición de infraestructuras existentes; (iii) la construcción de las edificaciones de las obras de vialidad interna y de las zonas de parqueo e inspección; (iv) el equipamientos para el suministro de los servicios básicos; (v) la instalación de los equipamientos de control no intrusivo y estaciones de gestión; (vi) la fiscalización técnica y ambiental de las obra; y (vii) los planes de mitigación, las compensaciones por reasentamiento (de requerirse) y los programas para reinserción de empleos informales.</w:t>
      </w:r>
      <w:bookmarkEnd w:id="12"/>
      <w:r w:rsidRPr="00EE3D14">
        <w:rPr>
          <w:rFonts w:ascii="Times New Roman" w:hAnsi="Times New Roman" w:cs="Times New Roman"/>
          <w:lang w:val="es-CR"/>
        </w:rPr>
        <w:t xml:space="preserve"> </w:t>
      </w:r>
      <w:bookmarkStart w:id="14" w:name="_Ref387047767"/>
      <w:bookmarkStart w:id="15" w:name="_Ref385418329"/>
      <w:bookmarkStart w:id="16" w:name="_Ref384643750"/>
    </w:p>
    <w:bookmarkEnd w:id="14"/>
    <w:bookmarkEnd w:id="15"/>
    <w:bookmarkEnd w:id="16"/>
    <w:p w:rsidR="00241447" w:rsidRPr="00EE3D14" w:rsidRDefault="00241447" w:rsidP="00241447">
      <w:pPr>
        <w:jc w:val="both"/>
        <w:rPr>
          <w:rFonts w:ascii="Times New Roman" w:hAnsi="Times New Roman" w:cs="Times New Roman"/>
          <w:lang w:val="es-CR"/>
        </w:rPr>
      </w:pPr>
      <w:r w:rsidRPr="00EE3D14">
        <w:rPr>
          <w:rFonts w:ascii="Times New Roman" w:hAnsi="Times New Roman" w:cs="Times New Roman"/>
          <w:b/>
          <w:lang w:val="es-CR"/>
        </w:rPr>
        <w:t xml:space="preserve">Componente 2. </w:t>
      </w:r>
      <w:bookmarkEnd w:id="13"/>
      <w:r w:rsidRPr="00EE3D14">
        <w:rPr>
          <w:rFonts w:ascii="Times New Roman" w:hAnsi="Times New Roman" w:cs="Times New Roman"/>
          <w:b/>
          <w:lang w:val="es-CR"/>
        </w:rPr>
        <w:t>Modernización e integración de procesos fronterizos.</w:t>
      </w:r>
      <w:r w:rsidRPr="00EE3D14">
        <w:rPr>
          <w:rFonts w:ascii="Times New Roman" w:hAnsi="Times New Roman" w:cs="Times New Roman"/>
          <w:lang w:val="es-CR"/>
        </w:rPr>
        <w:t xml:space="preserve"> El objetivo de este componente es mejorar la coordinación institucional y el control fiscal, parafiscal y de seguridad, financiando: (i) la modernización del sistema aduanero de control, lo cual implica el desarrollo de la normativa que afecta a los procesos aduaneros, la reingeniería de procesos y la implementación del sistema de control aduanero (TICA), la implementación del sistema integral de riesgos por parte de las instituciones de control de fronteras, el fortalecimiento del OEA</w:t>
      </w:r>
      <w:r w:rsidR="003A5E77" w:rsidRPr="00EE3D14">
        <w:rPr>
          <w:rFonts w:ascii="Times New Roman" w:hAnsi="Times New Roman" w:cs="Times New Roman"/>
          <w:lang w:val="es-CR"/>
        </w:rPr>
        <w:t>,</w:t>
      </w:r>
      <w:r w:rsidRPr="00EE3D14">
        <w:rPr>
          <w:rFonts w:ascii="Times New Roman" w:hAnsi="Times New Roman" w:cs="Times New Roman"/>
          <w:lang w:val="es-CR"/>
        </w:rPr>
        <w:t xml:space="preserve"> la capacitación de los operadores privados y la capacitación a los funcionarios de frontera en el manejo de los nuevos sistemas y procesos; (ii) la expansión e integración con sistemas institucionales, lo cual implica la expansión de la VUCE; y (iii) el sistema de gestión de puestos fronterizos, lo cual implica el desarrollo e implementación en cada paso de sistemas enlazados con los de las instituciones de control.</w:t>
      </w:r>
    </w:p>
    <w:p w:rsidR="00F2528E" w:rsidRPr="00EE3D14" w:rsidRDefault="00F2528E" w:rsidP="00F2528E">
      <w:pPr>
        <w:jc w:val="both"/>
        <w:rPr>
          <w:rFonts w:ascii="Times New Roman" w:hAnsi="Times New Roman" w:cs="Times New Roman"/>
          <w:lang w:val="es-CR"/>
        </w:rPr>
      </w:pPr>
      <w:r w:rsidRPr="00EE3D14">
        <w:rPr>
          <w:rFonts w:ascii="Times New Roman" w:hAnsi="Times New Roman" w:cs="Times New Roman"/>
          <w:lang w:val="es-CR"/>
        </w:rPr>
        <w:t>Los costos estimados para el proyecto se reflejan en el cuadro siguiente:</w:t>
      </w:r>
    </w:p>
    <w:p w:rsidR="00F2528E" w:rsidRPr="00EE3D14" w:rsidRDefault="00F2528E" w:rsidP="00F2528E">
      <w:pPr>
        <w:pStyle w:val="Caption"/>
        <w:keepNext/>
        <w:jc w:val="center"/>
        <w:rPr>
          <w:sz w:val="22"/>
          <w:lang w:val="es-CR"/>
        </w:rPr>
      </w:pPr>
      <w:r w:rsidRPr="00EE3D14">
        <w:rPr>
          <w:sz w:val="22"/>
          <w:lang w:val="es-CR"/>
        </w:rPr>
        <w:t xml:space="preserve">Cuadro </w:t>
      </w:r>
      <w:r w:rsidRPr="00EE3D14">
        <w:rPr>
          <w:sz w:val="22"/>
          <w:lang w:val="es-CR"/>
        </w:rPr>
        <w:fldChar w:fldCharType="begin"/>
      </w:r>
      <w:r w:rsidRPr="00EE3D14">
        <w:rPr>
          <w:sz w:val="22"/>
          <w:lang w:val="es-CR"/>
        </w:rPr>
        <w:instrText xml:space="preserve"> SEQ Cuadro \* ARABIC </w:instrText>
      </w:r>
      <w:r w:rsidRPr="00EE3D14">
        <w:rPr>
          <w:sz w:val="22"/>
          <w:lang w:val="es-CR"/>
        </w:rPr>
        <w:fldChar w:fldCharType="separate"/>
      </w:r>
      <w:r w:rsidR="00DD6C88" w:rsidRPr="00EE3D14">
        <w:rPr>
          <w:noProof/>
          <w:sz w:val="22"/>
          <w:lang w:val="es-CR"/>
        </w:rPr>
        <w:t>1</w:t>
      </w:r>
      <w:r w:rsidRPr="00EE3D14">
        <w:rPr>
          <w:sz w:val="22"/>
          <w:lang w:val="es-CR"/>
        </w:rPr>
        <w:fldChar w:fldCharType="end"/>
      </w:r>
      <w:r w:rsidRPr="00EE3D14">
        <w:rPr>
          <w:sz w:val="22"/>
          <w:lang w:val="es-CR"/>
        </w:rPr>
        <w:t>. Resumen del presupuesto de la operación</w:t>
      </w:r>
    </w:p>
    <w:tbl>
      <w:tblPr>
        <w:tblStyle w:val="TableGrid"/>
        <w:tblW w:w="0" w:type="auto"/>
        <w:jc w:val="center"/>
        <w:tblInd w:w="-756" w:type="dxa"/>
        <w:tblLook w:val="04A0" w:firstRow="1" w:lastRow="0" w:firstColumn="1" w:lastColumn="0" w:noHBand="0" w:noVBand="1"/>
      </w:tblPr>
      <w:tblGrid>
        <w:gridCol w:w="3922"/>
        <w:gridCol w:w="3167"/>
        <w:gridCol w:w="1515"/>
      </w:tblGrid>
      <w:tr w:rsidR="00F2528E" w:rsidRPr="00EE3D14" w:rsidTr="00AD32E1">
        <w:trPr>
          <w:jc w:val="center"/>
        </w:trPr>
        <w:tc>
          <w:tcPr>
            <w:tcW w:w="3922" w:type="dxa"/>
          </w:tcPr>
          <w:p w:rsidR="00F2528E" w:rsidRPr="00EE3D14" w:rsidRDefault="00F2528E" w:rsidP="00884BAD">
            <w:pPr>
              <w:jc w:val="center"/>
              <w:rPr>
                <w:rFonts w:ascii="Times New Roman" w:hAnsi="Times New Roman" w:cs="Times New Roman"/>
                <w:b/>
                <w:lang w:val="es-CR"/>
              </w:rPr>
            </w:pPr>
            <w:r w:rsidRPr="00EE3D14">
              <w:rPr>
                <w:rFonts w:ascii="Times New Roman" w:hAnsi="Times New Roman" w:cs="Times New Roman"/>
                <w:b/>
                <w:lang w:val="es-CR"/>
              </w:rPr>
              <w:t>Componente</w:t>
            </w:r>
          </w:p>
        </w:tc>
        <w:tc>
          <w:tcPr>
            <w:tcW w:w="3167" w:type="dxa"/>
          </w:tcPr>
          <w:p w:rsidR="00F2528E" w:rsidRPr="00EE3D14" w:rsidRDefault="00F2528E" w:rsidP="00884BAD">
            <w:pPr>
              <w:jc w:val="center"/>
              <w:rPr>
                <w:rFonts w:ascii="Times New Roman" w:hAnsi="Times New Roman" w:cs="Times New Roman"/>
                <w:b/>
                <w:lang w:val="es-CR"/>
              </w:rPr>
            </w:pPr>
            <w:r w:rsidRPr="00EE3D14">
              <w:rPr>
                <w:rFonts w:ascii="Times New Roman" w:hAnsi="Times New Roman" w:cs="Times New Roman"/>
                <w:b/>
                <w:lang w:val="es-CR"/>
              </w:rPr>
              <w:t>Monto (US$)</w:t>
            </w:r>
          </w:p>
        </w:tc>
        <w:tc>
          <w:tcPr>
            <w:tcW w:w="1515" w:type="dxa"/>
          </w:tcPr>
          <w:p w:rsidR="00F2528E" w:rsidRPr="00EE3D14" w:rsidRDefault="00F2528E" w:rsidP="00884BAD">
            <w:pPr>
              <w:jc w:val="center"/>
              <w:rPr>
                <w:rFonts w:ascii="Times New Roman" w:hAnsi="Times New Roman" w:cs="Times New Roman"/>
                <w:b/>
                <w:lang w:val="es-CR"/>
              </w:rPr>
            </w:pPr>
            <w:r w:rsidRPr="00EE3D14">
              <w:rPr>
                <w:rFonts w:ascii="Times New Roman" w:hAnsi="Times New Roman" w:cs="Times New Roman"/>
                <w:b/>
                <w:lang w:val="es-CR"/>
              </w:rPr>
              <w:t>%</w:t>
            </w:r>
          </w:p>
        </w:tc>
      </w:tr>
      <w:tr w:rsidR="00F2528E" w:rsidRPr="00EE3D14" w:rsidTr="00AD32E1">
        <w:trPr>
          <w:jc w:val="center"/>
        </w:trPr>
        <w:tc>
          <w:tcPr>
            <w:tcW w:w="3922" w:type="dxa"/>
          </w:tcPr>
          <w:p w:rsidR="00F2528E" w:rsidRPr="00EE3D14" w:rsidRDefault="00F2528E" w:rsidP="00AD32E1">
            <w:pPr>
              <w:rPr>
                <w:rFonts w:ascii="Times New Roman" w:hAnsi="Times New Roman" w:cs="Times New Roman"/>
                <w:lang w:val="es-CR"/>
              </w:rPr>
            </w:pPr>
            <w:r w:rsidRPr="00EE3D14">
              <w:rPr>
                <w:rFonts w:ascii="Times New Roman" w:hAnsi="Times New Roman" w:cs="Times New Roman"/>
                <w:lang w:val="es-CR"/>
              </w:rPr>
              <w:t xml:space="preserve">Componente 1. Inversiones en infraestructura y equipamiento fronterizo </w:t>
            </w:r>
          </w:p>
        </w:tc>
        <w:tc>
          <w:tcPr>
            <w:tcW w:w="3167" w:type="dxa"/>
          </w:tcPr>
          <w:p w:rsidR="00F2528E" w:rsidRPr="00EE3D14" w:rsidRDefault="00AD32E1" w:rsidP="002A4571">
            <w:pPr>
              <w:jc w:val="center"/>
              <w:rPr>
                <w:rFonts w:ascii="Times New Roman" w:hAnsi="Times New Roman" w:cs="Times New Roman"/>
                <w:lang w:val="es-CR"/>
              </w:rPr>
            </w:pPr>
            <w:r w:rsidRPr="00EE3D14">
              <w:rPr>
                <w:rFonts w:ascii="Times New Roman" w:hAnsi="Times New Roman" w:cs="Times New Roman"/>
                <w:lang w:val="es-CR"/>
              </w:rPr>
              <w:t>73,633,090</w:t>
            </w:r>
          </w:p>
        </w:tc>
        <w:tc>
          <w:tcPr>
            <w:tcW w:w="1515"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73.6</w:t>
            </w:r>
          </w:p>
        </w:tc>
      </w:tr>
      <w:tr w:rsidR="00F2528E" w:rsidRPr="00EE3D14" w:rsidTr="00AD32E1">
        <w:trPr>
          <w:jc w:val="center"/>
        </w:trPr>
        <w:tc>
          <w:tcPr>
            <w:tcW w:w="3922" w:type="dxa"/>
          </w:tcPr>
          <w:p w:rsidR="00F2528E" w:rsidRPr="00EE3D14" w:rsidRDefault="00F2528E" w:rsidP="00AD32E1">
            <w:pPr>
              <w:rPr>
                <w:rFonts w:ascii="Times New Roman" w:hAnsi="Times New Roman" w:cs="Times New Roman"/>
                <w:lang w:val="es-CR"/>
              </w:rPr>
            </w:pPr>
            <w:r w:rsidRPr="00EE3D14">
              <w:rPr>
                <w:rFonts w:ascii="Times New Roman" w:hAnsi="Times New Roman" w:cs="Times New Roman"/>
                <w:lang w:val="es-CR"/>
              </w:rPr>
              <w:t>Componente 2. Modernización e integración de procesos fronterizos</w:t>
            </w:r>
          </w:p>
        </w:tc>
        <w:tc>
          <w:tcPr>
            <w:tcW w:w="3167"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12,580,000</w:t>
            </w:r>
          </w:p>
        </w:tc>
        <w:tc>
          <w:tcPr>
            <w:tcW w:w="1515"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12.6</w:t>
            </w:r>
          </w:p>
        </w:tc>
      </w:tr>
      <w:tr w:rsidR="00F2528E" w:rsidRPr="00EE3D14" w:rsidTr="00AD32E1">
        <w:trPr>
          <w:jc w:val="center"/>
        </w:trPr>
        <w:tc>
          <w:tcPr>
            <w:tcW w:w="3922" w:type="dxa"/>
          </w:tcPr>
          <w:p w:rsidR="00F2528E" w:rsidRPr="00EE3D14" w:rsidRDefault="00F2528E" w:rsidP="00AD32E1">
            <w:pPr>
              <w:rPr>
                <w:rFonts w:ascii="Times New Roman" w:hAnsi="Times New Roman" w:cs="Times New Roman"/>
                <w:lang w:val="es-CR"/>
              </w:rPr>
            </w:pPr>
            <w:r w:rsidRPr="00EE3D14">
              <w:rPr>
                <w:rFonts w:ascii="Times New Roman" w:hAnsi="Times New Roman" w:cs="Times New Roman"/>
                <w:lang w:val="es-CR"/>
              </w:rPr>
              <w:t>Gestión y administración del programa</w:t>
            </w:r>
          </w:p>
        </w:tc>
        <w:tc>
          <w:tcPr>
            <w:tcW w:w="3167"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6,570,000</w:t>
            </w:r>
          </w:p>
        </w:tc>
        <w:tc>
          <w:tcPr>
            <w:tcW w:w="1515"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6.6</w:t>
            </w:r>
          </w:p>
        </w:tc>
      </w:tr>
      <w:tr w:rsidR="00F2528E" w:rsidRPr="00EE3D14" w:rsidTr="00AD32E1">
        <w:trPr>
          <w:jc w:val="center"/>
        </w:trPr>
        <w:tc>
          <w:tcPr>
            <w:tcW w:w="3922" w:type="dxa"/>
          </w:tcPr>
          <w:p w:rsidR="00F2528E" w:rsidRPr="00EE3D14" w:rsidRDefault="00AA079D" w:rsidP="00AD32E1">
            <w:pPr>
              <w:rPr>
                <w:rFonts w:ascii="Times New Roman" w:hAnsi="Times New Roman" w:cs="Times New Roman"/>
                <w:lang w:val="es-CR"/>
              </w:rPr>
            </w:pPr>
            <w:r w:rsidRPr="00EE3D14">
              <w:rPr>
                <w:rFonts w:ascii="Times New Roman" w:hAnsi="Times New Roman" w:cs="Times New Roman"/>
                <w:lang w:val="es-CR"/>
              </w:rPr>
              <w:t>Previsión para i</w:t>
            </w:r>
            <w:r w:rsidR="00F2528E" w:rsidRPr="00EE3D14">
              <w:rPr>
                <w:rFonts w:ascii="Times New Roman" w:hAnsi="Times New Roman" w:cs="Times New Roman"/>
                <w:lang w:val="es-CR"/>
              </w:rPr>
              <w:t>mprevistos</w:t>
            </w:r>
          </w:p>
        </w:tc>
        <w:tc>
          <w:tcPr>
            <w:tcW w:w="3167"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7,216,911</w:t>
            </w:r>
          </w:p>
        </w:tc>
        <w:tc>
          <w:tcPr>
            <w:tcW w:w="1515" w:type="dxa"/>
          </w:tcPr>
          <w:p w:rsidR="00F2528E" w:rsidRPr="00EE3D14" w:rsidRDefault="00AD32E1" w:rsidP="00AD32E1">
            <w:pPr>
              <w:jc w:val="center"/>
              <w:rPr>
                <w:rFonts w:ascii="Times New Roman" w:hAnsi="Times New Roman" w:cs="Times New Roman"/>
                <w:lang w:val="es-CR"/>
              </w:rPr>
            </w:pPr>
            <w:r w:rsidRPr="00EE3D14">
              <w:rPr>
                <w:rFonts w:ascii="Times New Roman" w:hAnsi="Times New Roman" w:cs="Times New Roman"/>
                <w:lang w:val="es-CR"/>
              </w:rPr>
              <w:t>7.2</w:t>
            </w:r>
          </w:p>
        </w:tc>
      </w:tr>
      <w:tr w:rsidR="00F2528E" w:rsidRPr="00EE3D14" w:rsidTr="00AD32E1">
        <w:trPr>
          <w:trHeight w:val="332"/>
          <w:jc w:val="center"/>
        </w:trPr>
        <w:tc>
          <w:tcPr>
            <w:tcW w:w="3922" w:type="dxa"/>
            <w:vAlign w:val="center"/>
          </w:tcPr>
          <w:p w:rsidR="00F2528E" w:rsidRPr="00EE3D14" w:rsidRDefault="00F2528E" w:rsidP="00AD32E1">
            <w:pPr>
              <w:spacing w:line="360" w:lineRule="auto"/>
              <w:contextualSpacing/>
              <w:jc w:val="center"/>
              <w:rPr>
                <w:rFonts w:ascii="Times New Roman" w:hAnsi="Times New Roman" w:cs="Times New Roman"/>
                <w:b/>
                <w:lang w:val="es-CR"/>
              </w:rPr>
            </w:pPr>
            <w:r w:rsidRPr="00EE3D14">
              <w:rPr>
                <w:rFonts w:ascii="Times New Roman" w:hAnsi="Times New Roman" w:cs="Times New Roman"/>
                <w:b/>
                <w:lang w:val="es-CR"/>
              </w:rPr>
              <w:t>Total</w:t>
            </w:r>
          </w:p>
        </w:tc>
        <w:tc>
          <w:tcPr>
            <w:tcW w:w="3167" w:type="dxa"/>
            <w:vAlign w:val="center"/>
          </w:tcPr>
          <w:p w:rsidR="00F2528E" w:rsidRPr="00EE3D14" w:rsidRDefault="00F2528E" w:rsidP="00AD32E1">
            <w:pPr>
              <w:spacing w:line="360" w:lineRule="auto"/>
              <w:contextualSpacing/>
              <w:jc w:val="center"/>
              <w:rPr>
                <w:rFonts w:ascii="Times New Roman" w:hAnsi="Times New Roman" w:cs="Times New Roman"/>
                <w:b/>
                <w:lang w:val="es-CR"/>
              </w:rPr>
            </w:pPr>
            <w:r w:rsidRPr="00EE3D14">
              <w:rPr>
                <w:rFonts w:ascii="Times New Roman" w:hAnsi="Times New Roman" w:cs="Times New Roman"/>
                <w:b/>
                <w:lang w:val="es-CR"/>
              </w:rPr>
              <w:t>100,000,000</w:t>
            </w:r>
          </w:p>
        </w:tc>
        <w:tc>
          <w:tcPr>
            <w:tcW w:w="1515" w:type="dxa"/>
            <w:vAlign w:val="center"/>
          </w:tcPr>
          <w:p w:rsidR="00F2528E" w:rsidRPr="00EE3D14" w:rsidRDefault="00AD32E1" w:rsidP="00AD32E1">
            <w:pPr>
              <w:spacing w:line="360" w:lineRule="auto"/>
              <w:contextualSpacing/>
              <w:jc w:val="center"/>
              <w:rPr>
                <w:rFonts w:ascii="Times New Roman" w:hAnsi="Times New Roman" w:cs="Times New Roman"/>
                <w:b/>
                <w:lang w:val="es-CR"/>
              </w:rPr>
            </w:pPr>
            <w:r w:rsidRPr="00EE3D14">
              <w:rPr>
                <w:rFonts w:ascii="Times New Roman" w:hAnsi="Times New Roman" w:cs="Times New Roman"/>
                <w:b/>
                <w:lang w:val="es-CR"/>
              </w:rPr>
              <w:t>100</w:t>
            </w:r>
          </w:p>
        </w:tc>
      </w:tr>
    </w:tbl>
    <w:p w:rsidR="00F2528E" w:rsidRPr="00EE3D14" w:rsidRDefault="00F2528E" w:rsidP="00F2528E">
      <w:pPr>
        <w:jc w:val="both"/>
        <w:rPr>
          <w:rFonts w:ascii="Times New Roman" w:hAnsi="Times New Roman" w:cs="Times New Roman"/>
          <w:lang w:val="es-CR"/>
        </w:rPr>
      </w:pPr>
    </w:p>
    <w:p w:rsidR="002A4571" w:rsidRPr="00EE3D14" w:rsidRDefault="002A4571" w:rsidP="00F2528E">
      <w:pPr>
        <w:jc w:val="both"/>
        <w:rPr>
          <w:rFonts w:ascii="Times New Roman" w:hAnsi="Times New Roman" w:cs="Times New Roman"/>
          <w:lang w:val="es-CR"/>
        </w:rPr>
      </w:pPr>
      <w:r w:rsidRPr="00EE3D14">
        <w:rPr>
          <w:rFonts w:ascii="Times New Roman" w:hAnsi="Times New Roman" w:cs="Times New Roman"/>
          <w:lang w:val="es-CR"/>
        </w:rPr>
        <w:t>Específicamente para el componente de Obras, los montos estimados para cada paso de frontera con base en el estudio de 2012 son los siguientes:</w:t>
      </w:r>
    </w:p>
    <w:p w:rsidR="00AA079D" w:rsidRPr="00EE3D14" w:rsidRDefault="00AA079D" w:rsidP="00AA079D">
      <w:pPr>
        <w:pStyle w:val="Caption"/>
        <w:keepNext/>
        <w:jc w:val="center"/>
        <w:rPr>
          <w:sz w:val="22"/>
          <w:lang w:val="es-CR"/>
        </w:rPr>
      </w:pPr>
      <w:r w:rsidRPr="00EE3D14">
        <w:rPr>
          <w:sz w:val="22"/>
          <w:lang w:val="es-CR"/>
        </w:rPr>
        <w:t xml:space="preserve">Cuadro </w:t>
      </w:r>
      <w:r w:rsidRPr="00EE3D14">
        <w:rPr>
          <w:sz w:val="22"/>
          <w:lang w:val="es-CR"/>
        </w:rPr>
        <w:fldChar w:fldCharType="begin"/>
      </w:r>
      <w:r w:rsidRPr="00EE3D14">
        <w:rPr>
          <w:sz w:val="22"/>
          <w:lang w:val="es-CR"/>
        </w:rPr>
        <w:instrText xml:space="preserve"> SEQ Cuadro \* ARABIC </w:instrText>
      </w:r>
      <w:r w:rsidRPr="00EE3D14">
        <w:rPr>
          <w:sz w:val="22"/>
          <w:lang w:val="es-CR"/>
        </w:rPr>
        <w:fldChar w:fldCharType="separate"/>
      </w:r>
      <w:r w:rsidR="00DD6C88" w:rsidRPr="00EE3D14">
        <w:rPr>
          <w:noProof/>
          <w:sz w:val="22"/>
          <w:lang w:val="es-CR"/>
        </w:rPr>
        <w:t>2</w:t>
      </w:r>
      <w:r w:rsidRPr="00EE3D14">
        <w:rPr>
          <w:sz w:val="22"/>
          <w:lang w:val="es-CR"/>
        </w:rPr>
        <w:fldChar w:fldCharType="end"/>
      </w:r>
      <w:r w:rsidRPr="00EE3D14">
        <w:rPr>
          <w:sz w:val="22"/>
          <w:lang w:val="es-CR"/>
        </w:rPr>
        <w:t>. Detalle de costos del componente de Obras</w:t>
      </w:r>
    </w:p>
    <w:tbl>
      <w:tblPr>
        <w:tblStyle w:val="TableGrid"/>
        <w:tblW w:w="0" w:type="auto"/>
        <w:jc w:val="center"/>
        <w:tblLook w:val="04A0" w:firstRow="1" w:lastRow="0" w:firstColumn="1" w:lastColumn="0" w:noHBand="0" w:noVBand="1"/>
      </w:tblPr>
      <w:tblGrid>
        <w:gridCol w:w="3905"/>
        <w:gridCol w:w="2160"/>
      </w:tblGrid>
      <w:tr w:rsidR="002A4571" w:rsidRPr="00EE3D14" w:rsidTr="00AA079D">
        <w:trPr>
          <w:trHeight w:val="300"/>
          <w:jc w:val="center"/>
        </w:trPr>
        <w:tc>
          <w:tcPr>
            <w:tcW w:w="3905" w:type="dxa"/>
          </w:tcPr>
          <w:p w:rsidR="002A4571" w:rsidRPr="00EE3D14" w:rsidRDefault="002A4571" w:rsidP="002A4571">
            <w:pPr>
              <w:contextualSpacing/>
              <w:jc w:val="center"/>
              <w:rPr>
                <w:rFonts w:ascii="Times New Roman" w:hAnsi="Times New Roman" w:cs="Times New Roman"/>
                <w:b/>
                <w:lang w:val="es-CR"/>
              </w:rPr>
            </w:pPr>
            <w:r w:rsidRPr="00EE3D14">
              <w:rPr>
                <w:rFonts w:ascii="Times New Roman" w:hAnsi="Times New Roman" w:cs="Times New Roman"/>
                <w:b/>
                <w:lang w:val="es-CR"/>
              </w:rPr>
              <w:t>Paso de frontera</w:t>
            </w:r>
          </w:p>
        </w:tc>
        <w:tc>
          <w:tcPr>
            <w:tcW w:w="2160" w:type="dxa"/>
            <w:noWrap/>
          </w:tcPr>
          <w:p w:rsidR="002A4571" w:rsidRPr="00EE3D14" w:rsidRDefault="002A4571" w:rsidP="002A4571">
            <w:pPr>
              <w:contextualSpacing/>
              <w:jc w:val="center"/>
              <w:rPr>
                <w:rFonts w:ascii="Times New Roman" w:hAnsi="Times New Roman" w:cs="Times New Roman"/>
                <w:b/>
                <w:lang w:val="es-CR"/>
              </w:rPr>
            </w:pPr>
            <w:r w:rsidRPr="00EE3D14">
              <w:rPr>
                <w:rFonts w:ascii="Times New Roman" w:hAnsi="Times New Roman" w:cs="Times New Roman"/>
                <w:b/>
                <w:lang w:val="es-CR"/>
              </w:rPr>
              <w:t xml:space="preserve">Monto (US$) </w:t>
            </w:r>
          </w:p>
          <w:p w:rsidR="002A4571" w:rsidRPr="00EE3D14" w:rsidRDefault="002A4571" w:rsidP="002A4571">
            <w:pPr>
              <w:contextualSpacing/>
              <w:jc w:val="center"/>
              <w:rPr>
                <w:rFonts w:ascii="Times New Roman" w:hAnsi="Times New Roman" w:cs="Times New Roman"/>
                <w:b/>
                <w:lang w:val="es-CR"/>
              </w:rPr>
            </w:pPr>
            <w:r w:rsidRPr="00EE3D14">
              <w:rPr>
                <w:rFonts w:ascii="Times New Roman" w:hAnsi="Times New Roman" w:cs="Times New Roman"/>
                <w:b/>
                <w:lang w:val="es-CR"/>
              </w:rPr>
              <w:t>a 2012</w:t>
            </w:r>
          </w:p>
        </w:tc>
      </w:tr>
      <w:tr w:rsidR="002A4571" w:rsidRPr="00EE3D14" w:rsidTr="00AA079D">
        <w:trPr>
          <w:trHeight w:val="300"/>
          <w:jc w:val="center"/>
        </w:trPr>
        <w:tc>
          <w:tcPr>
            <w:tcW w:w="3905" w:type="dxa"/>
            <w:hideMark/>
          </w:tcPr>
          <w:p w:rsidR="002A4571" w:rsidRPr="00EE3D14" w:rsidRDefault="002A4571" w:rsidP="002A4571">
            <w:pPr>
              <w:contextualSpacing/>
              <w:jc w:val="both"/>
              <w:rPr>
                <w:rFonts w:ascii="Times New Roman" w:hAnsi="Times New Roman" w:cs="Times New Roman"/>
                <w:lang w:val="es-CR"/>
              </w:rPr>
            </w:pPr>
            <w:r w:rsidRPr="00EE3D14">
              <w:rPr>
                <w:rFonts w:ascii="Times New Roman" w:hAnsi="Times New Roman" w:cs="Times New Roman"/>
                <w:lang w:val="es-CR"/>
              </w:rPr>
              <w:t>Paso Canoas</w:t>
            </w:r>
          </w:p>
        </w:tc>
        <w:tc>
          <w:tcPr>
            <w:tcW w:w="2160" w:type="dxa"/>
            <w:noWrap/>
            <w:hideMark/>
          </w:tcPr>
          <w:p w:rsidR="002A4571" w:rsidRPr="00EE3D14" w:rsidRDefault="002A4571" w:rsidP="002A4571">
            <w:pPr>
              <w:contextualSpacing/>
              <w:jc w:val="center"/>
              <w:rPr>
                <w:rFonts w:ascii="Times New Roman" w:hAnsi="Times New Roman" w:cs="Times New Roman"/>
                <w:lang w:val="es-CR"/>
              </w:rPr>
            </w:pPr>
            <w:r w:rsidRPr="00EE3D14">
              <w:rPr>
                <w:rFonts w:ascii="Times New Roman" w:hAnsi="Times New Roman" w:cs="Times New Roman"/>
                <w:lang w:val="es-CR"/>
              </w:rPr>
              <w:t xml:space="preserve">24,818,027 </w:t>
            </w:r>
          </w:p>
        </w:tc>
      </w:tr>
      <w:tr w:rsidR="002A4571" w:rsidRPr="00EE3D14" w:rsidTr="00AA079D">
        <w:trPr>
          <w:trHeight w:val="288"/>
          <w:jc w:val="center"/>
        </w:trPr>
        <w:tc>
          <w:tcPr>
            <w:tcW w:w="3905" w:type="dxa"/>
            <w:hideMark/>
          </w:tcPr>
          <w:p w:rsidR="002A4571" w:rsidRPr="00EE3D14" w:rsidRDefault="002A4571" w:rsidP="002A4571">
            <w:pPr>
              <w:contextualSpacing/>
              <w:jc w:val="both"/>
              <w:rPr>
                <w:rFonts w:ascii="Times New Roman" w:hAnsi="Times New Roman" w:cs="Times New Roman"/>
                <w:lang w:val="es-CR"/>
              </w:rPr>
            </w:pPr>
            <w:r w:rsidRPr="00EE3D14">
              <w:rPr>
                <w:rFonts w:ascii="Times New Roman" w:hAnsi="Times New Roman" w:cs="Times New Roman"/>
                <w:lang w:val="es-CR"/>
              </w:rPr>
              <w:t>Peñas Blancas</w:t>
            </w:r>
          </w:p>
        </w:tc>
        <w:tc>
          <w:tcPr>
            <w:tcW w:w="2160" w:type="dxa"/>
            <w:noWrap/>
            <w:hideMark/>
          </w:tcPr>
          <w:p w:rsidR="002A4571" w:rsidRPr="00EE3D14" w:rsidRDefault="002A4571" w:rsidP="002A4571">
            <w:pPr>
              <w:contextualSpacing/>
              <w:jc w:val="center"/>
              <w:rPr>
                <w:rFonts w:ascii="Times New Roman" w:hAnsi="Times New Roman" w:cs="Times New Roman"/>
                <w:lang w:val="es-CR"/>
              </w:rPr>
            </w:pPr>
            <w:r w:rsidRPr="00EE3D14">
              <w:rPr>
                <w:rFonts w:ascii="Times New Roman" w:hAnsi="Times New Roman" w:cs="Times New Roman"/>
                <w:lang w:val="es-CR"/>
              </w:rPr>
              <w:t xml:space="preserve">26,572,141 </w:t>
            </w:r>
          </w:p>
        </w:tc>
      </w:tr>
      <w:tr w:rsidR="002A4571" w:rsidRPr="00EE3D14" w:rsidTr="00AA079D">
        <w:trPr>
          <w:trHeight w:val="300"/>
          <w:jc w:val="center"/>
        </w:trPr>
        <w:tc>
          <w:tcPr>
            <w:tcW w:w="3905" w:type="dxa"/>
            <w:hideMark/>
          </w:tcPr>
          <w:p w:rsidR="002A4571" w:rsidRPr="00EE3D14" w:rsidRDefault="002A4571" w:rsidP="002A4571">
            <w:pPr>
              <w:contextualSpacing/>
              <w:jc w:val="both"/>
              <w:rPr>
                <w:rFonts w:ascii="Times New Roman" w:hAnsi="Times New Roman" w:cs="Times New Roman"/>
                <w:lang w:val="es-CR"/>
              </w:rPr>
            </w:pPr>
            <w:r w:rsidRPr="00EE3D14">
              <w:rPr>
                <w:rFonts w:ascii="Times New Roman" w:hAnsi="Times New Roman" w:cs="Times New Roman"/>
                <w:lang w:val="es-CR"/>
              </w:rPr>
              <w:t>Tablillas</w:t>
            </w:r>
          </w:p>
        </w:tc>
        <w:tc>
          <w:tcPr>
            <w:tcW w:w="2160" w:type="dxa"/>
            <w:noWrap/>
            <w:hideMark/>
          </w:tcPr>
          <w:p w:rsidR="002A4571" w:rsidRPr="00EE3D14" w:rsidRDefault="002A4571" w:rsidP="002A4571">
            <w:pPr>
              <w:contextualSpacing/>
              <w:jc w:val="center"/>
              <w:rPr>
                <w:rFonts w:ascii="Times New Roman" w:hAnsi="Times New Roman" w:cs="Times New Roman"/>
                <w:lang w:val="es-CR"/>
              </w:rPr>
            </w:pPr>
            <w:r w:rsidRPr="00EE3D14">
              <w:rPr>
                <w:rFonts w:ascii="Times New Roman" w:hAnsi="Times New Roman" w:cs="Times New Roman"/>
                <w:lang w:val="es-CR"/>
              </w:rPr>
              <w:t xml:space="preserve">10,586,590 </w:t>
            </w:r>
          </w:p>
        </w:tc>
      </w:tr>
      <w:tr w:rsidR="002A4571" w:rsidRPr="00EE3D14" w:rsidTr="00AA079D">
        <w:trPr>
          <w:trHeight w:val="300"/>
          <w:jc w:val="center"/>
        </w:trPr>
        <w:tc>
          <w:tcPr>
            <w:tcW w:w="3905" w:type="dxa"/>
            <w:hideMark/>
          </w:tcPr>
          <w:p w:rsidR="002A4571" w:rsidRPr="00EE3D14" w:rsidRDefault="002A4571" w:rsidP="002A4571">
            <w:pPr>
              <w:contextualSpacing/>
              <w:jc w:val="both"/>
              <w:rPr>
                <w:rFonts w:ascii="Times New Roman" w:hAnsi="Times New Roman" w:cs="Times New Roman"/>
                <w:lang w:val="es-CR"/>
              </w:rPr>
            </w:pPr>
            <w:r w:rsidRPr="00EE3D14">
              <w:rPr>
                <w:rFonts w:ascii="Times New Roman" w:hAnsi="Times New Roman" w:cs="Times New Roman"/>
                <w:lang w:val="es-CR"/>
              </w:rPr>
              <w:t>Sixaola</w:t>
            </w:r>
          </w:p>
        </w:tc>
        <w:tc>
          <w:tcPr>
            <w:tcW w:w="2160" w:type="dxa"/>
            <w:noWrap/>
            <w:hideMark/>
          </w:tcPr>
          <w:p w:rsidR="002A4571" w:rsidRPr="00EE3D14" w:rsidRDefault="002A4571" w:rsidP="002A4571">
            <w:pPr>
              <w:contextualSpacing/>
              <w:jc w:val="center"/>
              <w:rPr>
                <w:rFonts w:ascii="Times New Roman" w:hAnsi="Times New Roman" w:cs="Times New Roman"/>
                <w:lang w:val="es-CR"/>
              </w:rPr>
            </w:pPr>
            <w:r w:rsidRPr="00EE3D14">
              <w:rPr>
                <w:rFonts w:ascii="Times New Roman" w:hAnsi="Times New Roman" w:cs="Times New Roman"/>
                <w:lang w:val="es-CR"/>
              </w:rPr>
              <w:t xml:space="preserve">6,372,293 </w:t>
            </w:r>
          </w:p>
        </w:tc>
      </w:tr>
      <w:tr w:rsidR="002A4571" w:rsidRPr="00EE3D14" w:rsidTr="00AA079D">
        <w:trPr>
          <w:trHeight w:val="288"/>
          <w:jc w:val="center"/>
        </w:trPr>
        <w:tc>
          <w:tcPr>
            <w:tcW w:w="3905" w:type="dxa"/>
            <w:hideMark/>
          </w:tcPr>
          <w:p w:rsidR="002A4571" w:rsidRPr="00EE3D14" w:rsidRDefault="002A4571" w:rsidP="002A4571">
            <w:pPr>
              <w:contextualSpacing/>
              <w:jc w:val="both"/>
              <w:rPr>
                <w:rFonts w:ascii="Times New Roman" w:hAnsi="Times New Roman" w:cs="Times New Roman"/>
                <w:b/>
                <w:lang w:val="es-CR"/>
              </w:rPr>
            </w:pPr>
            <w:r w:rsidRPr="00EE3D14">
              <w:rPr>
                <w:rFonts w:ascii="Times New Roman" w:hAnsi="Times New Roman" w:cs="Times New Roman"/>
                <w:b/>
                <w:lang w:val="es-CR"/>
              </w:rPr>
              <w:t>Total</w:t>
            </w:r>
          </w:p>
        </w:tc>
        <w:tc>
          <w:tcPr>
            <w:tcW w:w="2160" w:type="dxa"/>
            <w:noWrap/>
            <w:hideMark/>
          </w:tcPr>
          <w:p w:rsidR="002A4571" w:rsidRPr="00EE3D14" w:rsidRDefault="002A4571" w:rsidP="002A4571">
            <w:pPr>
              <w:contextualSpacing/>
              <w:jc w:val="center"/>
              <w:rPr>
                <w:rFonts w:ascii="Times New Roman" w:hAnsi="Times New Roman" w:cs="Times New Roman"/>
                <w:b/>
                <w:lang w:val="es-CR"/>
              </w:rPr>
            </w:pPr>
            <w:r w:rsidRPr="00EE3D14">
              <w:rPr>
                <w:rFonts w:ascii="Times New Roman" w:hAnsi="Times New Roman" w:cs="Times New Roman"/>
                <w:b/>
                <w:lang w:val="es-CR"/>
              </w:rPr>
              <w:t xml:space="preserve">68,349,050 </w:t>
            </w:r>
          </w:p>
        </w:tc>
      </w:tr>
    </w:tbl>
    <w:p w:rsidR="002A4571" w:rsidRPr="00EE3D14" w:rsidRDefault="002A4571" w:rsidP="00F2528E">
      <w:pPr>
        <w:jc w:val="both"/>
        <w:rPr>
          <w:rFonts w:ascii="Times New Roman" w:hAnsi="Times New Roman" w:cs="Times New Roman"/>
          <w:lang w:val="es-CR"/>
        </w:rPr>
      </w:pPr>
    </w:p>
    <w:p w:rsidR="00F2528E" w:rsidRPr="00EE3D14" w:rsidRDefault="00F2528E" w:rsidP="00F2528E">
      <w:pPr>
        <w:jc w:val="both"/>
        <w:rPr>
          <w:rFonts w:ascii="Times New Roman" w:hAnsi="Times New Roman" w:cs="Times New Roman"/>
          <w:lang w:val="es-CR"/>
        </w:rPr>
      </w:pPr>
    </w:p>
    <w:p w:rsidR="002D4583" w:rsidRPr="00EE3D14" w:rsidRDefault="002D4583" w:rsidP="00976212">
      <w:pPr>
        <w:pStyle w:val="Heading1"/>
        <w:numPr>
          <w:ilvl w:val="0"/>
          <w:numId w:val="7"/>
        </w:numPr>
        <w:rPr>
          <w:lang w:val="es-CR"/>
        </w:rPr>
      </w:pPr>
      <w:bookmarkStart w:id="17" w:name="_Toc415421142"/>
      <w:r w:rsidRPr="00EE3D14">
        <w:rPr>
          <w:lang w:val="es-CR"/>
        </w:rPr>
        <w:t>Objetivo del estudio</w:t>
      </w:r>
      <w:bookmarkEnd w:id="17"/>
    </w:p>
    <w:p w:rsidR="003A5E77" w:rsidRPr="00EE3D14" w:rsidRDefault="003A5E77" w:rsidP="002D4583">
      <w:pPr>
        <w:jc w:val="both"/>
        <w:rPr>
          <w:rFonts w:ascii="Times New Roman" w:hAnsi="Times New Roman" w:cs="Times New Roman"/>
          <w:lang w:val="es-CR"/>
        </w:rPr>
      </w:pPr>
    </w:p>
    <w:p w:rsidR="008949FA" w:rsidRPr="00EE3D14" w:rsidRDefault="008949FA" w:rsidP="002D4583">
      <w:pPr>
        <w:jc w:val="both"/>
        <w:rPr>
          <w:rFonts w:ascii="Times New Roman" w:hAnsi="Times New Roman" w:cs="Times New Roman"/>
          <w:lang w:val="es-CR"/>
        </w:rPr>
      </w:pPr>
      <w:r w:rsidRPr="00EE3D14">
        <w:rPr>
          <w:rFonts w:ascii="Times New Roman" w:hAnsi="Times New Roman" w:cs="Times New Roman"/>
          <w:lang w:val="es-CR"/>
        </w:rPr>
        <w:t>El objeto del presente estudio es estimar</w:t>
      </w:r>
      <w:r w:rsidR="00047FC1" w:rsidRPr="00EE3D14">
        <w:rPr>
          <w:rFonts w:ascii="Times New Roman" w:hAnsi="Times New Roman" w:cs="Times New Roman"/>
          <w:lang w:val="es-CR"/>
        </w:rPr>
        <w:t>,</w:t>
      </w:r>
      <w:r w:rsidRPr="00EE3D14">
        <w:rPr>
          <w:rFonts w:ascii="Times New Roman" w:hAnsi="Times New Roman" w:cs="Times New Roman"/>
          <w:lang w:val="es-CR"/>
        </w:rPr>
        <w:t xml:space="preserve"> mediante la utilización de métodos probabilísticos de simulación, los posibles costos adicionales que se puedan presentar durante la implementación del proyecto</w:t>
      </w:r>
      <w:r w:rsidR="00047FC1" w:rsidRPr="00EE3D14">
        <w:rPr>
          <w:rFonts w:ascii="Times New Roman" w:hAnsi="Times New Roman" w:cs="Times New Roman"/>
          <w:lang w:val="es-CR"/>
        </w:rPr>
        <w:t xml:space="preserve"> debido a cambios de los precios y cantidades;</w:t>
      </w:r>
      <w:r w:rsidRPr="00EE3D14">
        <w:rPr>
          <w:rFonts w:ascii="Times New Roman" w:hAnsi="Times New Roman" w:cs="Times New Roman"/>
          <w:lang w:val="es-CR"/>
        </w:rPr>
        <w:t xml:space="preserve"> y</w:t>
      </w:r>
      <w:r w:rsidR="00047FC1" w:rsidRPr="00EE3D14">
        <w:rPr>
          <w:rFonts w:ascii="Times New Roman" w:hAnsi="Times New Roman" w:cs="Times New Roman"/>
          <w:lang w:val="es-CR"/>
        </w:rPr>
        <w:t xml:space="preserve"> consecuentemente</w:t>
      </w:r>
      <w:r w:rsidRPr="00EE3D14">
        <w:rPr>
          <w:rFonts w:ascii="Times New Roman" w:hAnsi="Times New Roman" w:cs="Times New Roman"/>
          <w:lang w:val="es-CR"/>
        </w:rPr>
        <w:t xml:space="preserve"> determinar la suficiencia de la partida presupuestaria estimada para las inversiones de diseño, construcción y equipamiento de los pasos de frontera, así como del monto de los imprevistos incluidos en el proyecto.</w:t>
      </w:r>
    </w:p>
    <w:p w:rsidR="00F3657C" w:rsidRPr="00EE3D14" w:rsidRDefault="00AE5CDE" w:rsidP="00976212">
      <w:pPr>
        <w:pStyle w:val="Heading1"/>
        <w:numPr>
          <w:ilvl w:val="0"/>
          <w:numId w:val="7"/>
        </w:numPr>
        <w:rPr>
          <w:lang w:val="es-CR"/>
        </w:rPr>
      </w:pPr>
      <w:bookmarkStart w:id="18" w:name="_Toc415421143"/>
      <w:r w:rsidRPr="00EE3D14">
        <w:rPr>
          <w:lang w:val="es-CR"/>
        </w:rPr>
        <w:t>Metodología</w:t>
      </w:r>
      <w:bookmarkEnd w:id="18"/>
    </w:p>
    <w:p w:rsidR="00241447" w:rsidRPr="00EE3D14" w:rsidRDefault="00241447" w:rsidP="004A2C0F">
      <w:pPr>
        <w:pStyle w:val="Heading2"/>
        <w:numPr>
          <w:ilvl w:val="0"/>
          <w:numId w:val="20"/>
        </w:numPr>
        <w:spacing w:after="240"/>
        <w:rPr>
          <w:color w:val="auto"/>
          <w:sz w:val="22"/>
          <w:lang w:val="es-CR"/>
        </w:rPr>
      </w:pPr>
      <w:bookmarkStart w:id="19" w:name="_Toc415421144"/>
      <w:r w:rsidRPr="00EE3D14">
        <w:rPr>
          <w:color w:val="auto"/>
          <w:sz w:val="22"/>
          <w:lang w:val="es-CR"/>
        </w:rPr>
        <w:t>Identificación de los factores de costos adicionales</w:t>
      </w:r>
      <w:bookmarkEnd w:id="19"/>
    </w:p>
    <w:p w:rsidR="00EE41A3" w:rsidRPr="00EE3D14" w:rsidRDefault="008A4314" w:rsidP="008A4314">
      <w:pPr>
        <w:jc w:val="both"/>
        <w:rPr>
          <w:rFonts w:ascii="Times New Roman" w:hAnsi="Times New Roman" w:cs="Times New Roman"/>
          <w:lang w:val="es-CR"/>
        </w:rPr>
      </w:pPr>
      <w:r w:rsidRPr="00EE3D14">
        <w:rPr>
          <w:rFonts w:ascii="Times New Roman" w:hAnsi="Times New Roman" w:cs="Times New Roman"/>
          <w:lang w:val="es-CR"/>
        </w:rPr>
        <w:t>La estimación de los montos de las obras de infraestructura tiene como base los estudios de factibilidad realizados en 2012 por un equipo consultor multidisciplinario, financiados con recursos de cooperación técnica</w:t>
      </w:r>
      <w:r w:rsidR="00EE41A3" w:rsidRPr="00EE3D14">
        <w:rPr>
          <w:rStyle w:val="FootnoteReference"/>
          <w:rFonts w:ascii="Times New Roman" w:hAnsi="Times New Roman" w:cs="Times New Roman"/>
          <w:lang w:val="es-CR"/>
        </w:rPr>
        <w:footnoteReference w:id="1"/>
      </w:r>
      <w:r w:rsidRPr="00EE3D14">
        <w:rPr>
          <w:rFonts w:ascii="Times New Roman" w:hAnsi="Times New Roman" w:cs="Times New Roman"/>
          <w:lang w:val="es-CR"/>
        </w:rPr>
        <w:t xml:space="preserve"> del Banco. Mediante estos estudios se planteó para cada paso de frontera un </w:t>
      </w:r>
      <w:proofErr w:type="spellStart"/>
      <w:r w:rsidRPr="00EE3D14">
        <w:rPr>
          <w:rFonts w:ascii="Times New Roman" w:hAnsi="Times New Roman" w:cs="Times New Roman"/>
          <w:i/>
          <w:lang w:val="es-CR"/>
        </w:rPr>
        <w:t>layout</w:t>
      </w:r>
      <w:proofErr w:type="spellEnd"/>
      <w:r w:rsidRPr="00EE3D14">
        <w:rPr>
          <w:rFonts w:ascii="Times New Roman" w:hAnsi="Times New Roman" w:cs="Times New Roman"/>
          <w:lang w:val="es-CR"/>
        </w:rPr>
        <w:t xml:space="preserve"> o esquema de configuración física y funcional para cada paso de frontera. </w:t>
      </w:r>
    </w:p>
    <w:p w:rsidR="00343BB2" w:rsidRPr="00EE3D14" w:rsidRDefault="008A4314" w:rsidP="008A4314">
      <w:pPr>
        <w:jc w:val="both"/>
        <w:rPr>
          <w:rFonts w:ascii="Times New Roman" w:hAnsi="Times New Roman" w:cs="Times New Roman"/>
          <w:lang w:val="es-CR"/>
        </w:rPr>
      </w:pPr>
      <w:r w:rsidRPr="00EE3D14">
        <w:rPr>
          <w:rFonts w:ascii="Times New Roman" w:hAnsi="Times New Roman" w:cs="Times New Roman"/>
          <w:lang w:val="es-CR"/>
        </w:rPr>
        <w:t xml:space="preserve">A partir de ese modelo físico y de ordenamiento de los procesos, el equipo consultor definió un arreglo de las infraestructuras, equipamientos y sistemas de control </w:t>
      </w:r>
      <w:r w:rsidR="0079615F" w:rsidRPr="00EE3D14">
        <w:rPr>
          <w:rFonts w:ascii="Times New Roman" w:hAnsi="Times New Roman" w:cs="Times New Roman"/>
          <w:lang w:val="es-CR"/>
        </w:rPr>
        <w:t xml:space="preserve">para cada uno </w:t>
      </w:r>
      <w:r w:rsidRPr="00EE3D14">
        <w:rPr>
          <w:rFonts w:ascii="Times New Roman" w:hAnsi="Times New Roman" w:cs="Times New Roman"/>
          <w:lang w:val="es-CR"/>
        </w:rPr>
        <w:t xml:space="preserve">de los </w:t>
      </w:r>
      <w:r w:rsidR="00A47B0F" w:rsidRPr="00EE3D14">
        <w:rPr>
          <w:rFonts w:ascii="Times New Roman" w:hAnsi="Times New Roman" w:cs="Times New Roman"/>
          <w:lang w:val="es-CR"/>
        </w:rPr>
        <w:t>pasos</w:t>
      </w:r>
      <w:r w:rsidRPr="00EE3D14">
        <w:rPr>
          <w:rFonts w:ascii="Times New Roman" w:hAnsi="Times New Roman" w:cs="Times New Roman"/>
          <w:lang w:val="es-CR"/>
        </w:rPr>
        <w:t xml:space="preserve"> de frontera. Con el apoyo de planos a escala, el equipo consultor estimó los tamaños requeridos para las áreas constructivas y las zonas complementarias (parqueos, zonas de inspección, zonas verdes, zonas de almacenamiento, </w:t>
      </w:r>
      <w:r w:rsidR="00A47B0F" w:rsidRPr="00EE3D14">
        <w:rPr>
          <w:rFonts w:ascii="Times New Roman" w:hAnsi="Times New Roman" w:cs="Times New Roman"/>
          <w:lang w:val="es-CR"/>
        </w:rPr>
        <w:t>etc.</w:t>
      </w:r>
      <w:r w:rsidRPr="00EE3D14">
        <w:rPr>
          <w:rFonts w:ascii="Times New Roman" w:hAnsi="Times New Roman" w:cs="Times New Roman"/>
          <w:lang w:val="es-CR"/>
        </w:rPr>
        <w:t>) y una previsión de las necesidades del viario interno de los pasos (calles y sendas de comunicación).</w:t>
      </w:r>
      <w:r w:rsidR="00343BB2" w:rsidRPr="00EE3D14">
        <w:rPr>
          <w:rFonts w:ascii="Times New Roman" w:hAnsi="Times New Roman" w:cs="Times New Roman"/>
          <w:lang w:val="es-CR"/>
        </w:rPr>
        <w:t xml:space="preserve"> El proyecto prevé un alto porcentaje de inversiones de obra, principalmente de carácter edilicio, que puede considerarse de mediana envergadura en términos del mercado costarricense. </w:t>
      </w:r>
    </w:p>
    <w:p w:rsidR="00403BC1" w:rsidRPr="00EE3D14" w:rsidRDefault="00403BC1" w:rsidP="00403BC1">
      <w:pPr>
        <w:jc w:val="both"/>
        <w:rPr>
          <w:rFonts w:ascii="Times New Roman" w:hAnsi="Times New Roman" w:cs="Times New Roman"/>
          <w:lang w:val="es-CR"/>
        </w:rPr>
      </w:pPr>
      <w:r w:rsidRPr="00EE3D14">
        <w:rPr>
          <w:rFonts w:ascii="Times New Roman" w:hAnsi="Times New Roman" w:cs="Times New Roman"/>
          <w:lang w:val="es-CR"/>
        </w:rPr>
        <w:t xml:space="preserve">Los modelos funcionales de los pasos de frontera y </w:t>
      </w:r>
      <w:proofErr w:type="gramStart"/>
      <w:r w:rsidRPr="00EE3D14">
        <w:rPr>
          <w:rFonts w:ascii="Times New Roman" w:hAnsi="Times New Roman" w:cs="Times New Roman"/>
          <w:lang w:val="es-CR"/>
        </w:rPr>
        <w:t>la estimaciones</w:t>
      </w:r>
      <w:proofErr w:type="gramEnd"/>
      <w:r w:rsidRPr="00EE3D14">
        <w:rPr>
          <w:rFonts w:ascii="Times New Roman" w:hAnsi="Times New Roman" w:cs="Times New Roman"/>
          <w:lang w:val="es-CR"/>
        </w:rPr>
        <w:t xml:space="preserve"> de costos derivad</w:t>
      </w:r>
      <w:r w:rsidR="00A47B0F">
        <w:rPr>
          <w:rFonts w:ascii="Times New Roman" w:hAnsi="Times New Roman" w:cs="Times New Roman"/>
          <w:lang w:val="es-CR"/>
        </w:rPr>
        <w:t>os</w:t>
      </w:r>
      <w:r w:rsidRPr="00EE3D14">
        <w:rPr>
          <w:rFonts w:ascii="Times New Roman" w:hAnsi="Times New Roman" w:cs="Times New Roman"/>
          <w:lang w:val="es-CR"/>
        </w:rPr>
        <w:t xml:space="preserve"> de estos pueden considerarse a nivel de factibilidad. Es usualmente aceptable que en las etapas tempranas de los proyectos se empleen estimaciones con márgenes de error mayores y conforme se logran las definiciones sobre el proyecto, el proceso del cálculo del costo debe ajustarse en su precisión a cada una de sus fases o niveles de planificación. </w:t>
      </w:r>
    </w:p>
    <w:p w:rsidR="00F2528E" w:rsidRPr="00EE3D14" w:rsidRDefault="00F2528E" w:rsidP="00F2528E">
      <w:pPr>
        <w:jc w:val="both"/>
        <w:rPr>
          <w:rFonts w:ascii="Times New Roman" w:hAnsi="Times New Roman" w:cs="Times New Roman"/>
          <w:lang w:val="es-CR"/>
        </w:rPr>
      </w:pPr>
      <w:r w:rsidRPr="00EE3D14">
        <w:rPr>
          <w:rFonts w:ascii="Times New Roman" w:hAnsi="Times New Roman" w:cs="Times New Roman"/>
          <w:lang w:val="es-CR"/>
        </w:rPr>
        <w:t>Considerando lo anterior, se han identificado una serie de factores que podrían incrementar los costos de las obras respecto al presupuesto original, los cuales se enuncian a continuación:</w:t>
      </w:r>
    </w:p>
    <w:p w:rsidR="00A2706B" w:rsidRPr="00EE3D14" w:rsidRDefault="00A2706B" w:rsidP="00A2706B">
      <w:pPr>
        <w:pStyle w:val="ListParagraph"/>
        <w:jc w:val="both"/>
        <w:rPr>
          <w:rFonts w:ascii="Times New Roman" w:hAnsi="Times New Roman" w:cs="Times New Roman"/>
          <w:lang w:val="es-CR"/>
        </w:rPr>
      </w:pPr>
    </w:p>
    <w:p w:rsidR="00A2706B" w:rsidRPr="00EE3D14" w:rsidRDefault="00403BC1" w:rsidP="00343BB2">
      <w:pPr>
        <w:pStyle w:val="ListParagraph"/>
        <w:numPr>
          <w:ilvl w:val="0"/>
          <w:numId w:val="11"/>
        </w:numPr>
        <w:jc w:val="both"/>
        <w:rPr>
          <w:rFonts w:ascii="Times New Roman" w:hAnsi="Times New Roman" w:cs="Times New Roman"/>
          <w:lang w:val="es-CR"/>
        </w:rPr>
      </w:pPr>
      <w:r w:rsidRPr="00EE3D14">
        <w:rPr>
          <w:rFonts w:ascii="Times New Roman" w:hAnsi="Times New Roman" w:cs="Times New Roman"/>
          <w:b/>
          <w:lang w:val="es-CR"/>
        </w:rPr>
        <w:t>Variaciones en cantidades de obra</w:t>
      </w:r>
      <w:r w:rsidRPr="00EE3D14">
        <w:rPr>
          <w:rFonts w:ascii="Times New Roman" w:hAnsi="Times New Roman" w:cs="Times New Roman"/>
          <w:lang w:val="es-CR"/>
        </w:rPr>
        <w:t xml:space="preserve">. </w:t>
      </w:r>
      <w:r w:rsidR="00A2706B" w:rsidRPr="00EE3D14">
        <w:rPr>
          <w:rFonts w:ascii="Times New Roman" w:hAnsi="Times New Roman" w:cs="Times New Roman"/>
          <w:lang w:val="es-CR"/>
        </w:rPr>
        <w:t xml:space="preserve">Está previsto que, tomando como base las propuestas funcionales del equipo consultor, </w:t>
      </w:r>
      <w:r w:rsidR="00291C6A" w:rsidRPr="00EE3D14">
        <w:rPr>
          <w:rFonts w:ascii="Times New Roman" w:hAnsi="Times New Roman" w:cs="Times New Roman"/>
          <w:lang w:val="es-CR"/>
        </w:rPr>
        <w:t xml:space="preserve">durante la ejecución del proyecto </w:t>
      </w:r>
      <w:r w:rsidR="00A2706B" w:rsidRPr="00EE3D14">
        <w:rPr>
          <w:rFonts w:ascii="Times New Roman" w:hAnsi="Times New Roman" w:cs="Times New Roman"/>
          <w:lang w:val="es-CR"/>
        </w:rPr>
        <w:t xml:space="preserve">se liciten contratos para el diseño y construcción de las obras. </w:t>
      </w:r>
      <w:r w:rsidR="00291C6A" w:rsidRPr="00EE3D14">
        <w:rPr>
          <w:rFonts w:ascii="Times New Roman" w:hAnsi="Times New Roman" w:cs="Times New Roman"/>
          <w:lang w:val="es-CR"/>
        </w:rPr>
        <w:t>Previo a las</w:t>
      </w:r>
      <w:r w:rsidR="00A2706B" w:rsidRPr="00EE3D14">
        <w:rPr>
          <w:rFonts w:ascii="Times New Roman" w:hAnsi="Times New Roman" w:cs="Times New Roman"/>
          <w:lang w:val="es-CR"/>
        </w:rPr>
        <w:t xml:space="preserve"> licitaci</w:t>
      </w:r>
      <w:r w:rsidR="00291C6A" w:rsidRPr="00EE3D14">
        <w:rPr>
          <w:rFonts w:ascii="Times New Roman" w:hAnsi="Times New Roman" w:cs="Times New Roman"/>
          <w:lang w:val="es-CR"/>
        </w:rPr>
        <w:t>ones</w:t>
      </w:r>
      <w:r w:rsidR="00A2706B" w:rsidRPr="00EE3D14">
        <w:rPr>
          <w:rFonts w:ascii="Times New Roman" w:hAnsi="Times New Roman" w:cs="Times New Roman"/>
          <w:lang w:val="es-CR"/>
        </w:rPr>
        <w:t xml:space="preserve"> se prevé obtener por medio del liderazgo del Consejo de Puestos Fronterizos Terrestres (CPFT) el consenso entre las instituciones participantes en el paso de frontera sobre las especificaciones, requerimientos técnicos y necesidades de espacio para </w:t>
      </w:r>
      <w:r w:rsidR="00291C6A" w:rsidRPr="00EE3D14">
        <w:rPr>
          <w:rFonts w:ascii="Times New Roman" w:hAnsi="Times New Roman" w:cs="Times New Roman"/>
          <w:lang w:val="es-CR"/>
        </w:rPr>
        <w:t xml:space="preserve">desempeñar las funciones de cada institución. De este ejercicio es previsible que pudieran surgir una serie de condiciones que </w:t>
      </w:r>
      <w:r w:rsidR="002A5927" w:rsidRPr="00EE3D14">
        <w:rPr>
          <w:rFonts w:ascii="Times New Roman" w:hAnsi="Times New Roman" w:cs="Times New Roman"/>
          <w:lang w:val="es-CR"/>
        </w:rPr>
        <w:t>impliquen mayores dimensiones a en la infraestructura o requerimientos adicionales al equipamiento y por lo tanto costos adicionales por concepto de aumento en la cantidad de obras respecto a las previsiones originales.</w:t>
      </w:r>
    </w:p>
    <w:p w:rsidR="00A2706B" w:rsidRPr="00EE3D14" w:rsidRDefault="00A2706B" w:rsidP="00A2706B">
      <w:pPr>
        <w:pStyle w:val="ListParagraph"/>
        <w:jc w:val="both"/>
        <w:rPr>
          <w:rFonts w:ascii="Times New Roman" w:hAnsi="Times New Roman" w:cs="Times New Roman"/>
          <w:lang w:val="es-CR"/>
        </w:rPr>
      </w:pPr>
    </w:p>
    <w:p w:rsidR="00F2528E" w:rsidRPr="00EE3D14" w:rsidRDefault="00F2528E" w:rsidP="00F2528E">
      <w:pPr>
        <w:pStyle w:val="ListParagraph"/>
        <w:numPr>
          <w:ilvl w:val="0"/>
          <w:numId w:val="11"/>
        </w:numPr>
        <w:jc w:val="both"/>
        <w:rPr>
          <w:rFonts w:ascii="Times New Roman" w:hAnsi="Times New Roman" w:cs="Times New Roman"/>
          <w:lang w:val="es-CR"/>
        </w:rPr>
      </w:pPr>
      <w:r w:rsidRPr="00EE3D14">
        <w:rPr>
          <w:rFonts w:ascii="Times New Roman" w:hAnsi="Times New Roman" w:cs="Times New Roman"/>
          <w:b/>
          <w:lang w:val="es-CR"/>
        </w:rPr>
        <w:t>Escalamiento de precios de la construcción respecto al a</w:t>
      </w:r>
      <w:r w:rsidR="00343BB2" w:rsidRPr="00EE3D14">
        <w:rPr>
          <w:rFonts w:ascii="Times New Roman" w:hAnsi="Times New Roman" w:cs="Times New Roman"/>
          <w:b/>
          <w:lang w:val="es-CR"/>
        </w:rPr>
        <w:t>ño base de las estimaciones</w:t>
      </w:r>
      <w:r w:rsidR="00343BB2" w:rsidRPr="00EE3D14">
        <w:rPr>
          <w:rFonts w:ascii="Times New Roman" w:hAnsi="Times New Roman" w:cs="Times New Roman"/>
          <w:lang w:val="es-CR"/>
        </w:rPr>
        <w:t>.</w:t>
      </w:r>
      <w:r w:rsidR="002A5927" w:rsidRPr="00EE3D14">
        <w:rPr>
          <w:rFonts w:ascii="Times New Roman" w:hAnsi="Times New Roman" w:cs="Times New Roman"/>
          <w:lang w:val="es-CR"/>
        </w:rPr>
        <w:t xml:space="preserve"> Los costos base para el presupuesto referencial fueron estimados por el equipo consultor en 2012. Está generalmente aceptado que los precios de la construcción, bajo circunstancias macroeconómicas y de mercado razonablemente estable, tienden a tener un comportamiento creciente pero </w:t>
      </w:r>
      <w:r w:rsidR="00403BC1" w:rsidRPr="00EE3D14">
        <w:rPr>
          <w:rFonts w:ascii="Times New Roman" w:hAnsi="Times New Roman" w:cs="Times New Roman"/>
          <w:lang w:val="es-CR"/>
        </w:rPr>
        <w:t xml:space="preserve">razonablemente predecible. </w:t>
      </w:r>
      <w:r w:rsidRPr="00EE3D14">
        <w:rPr>
          <w:rFonts w:ascii="Times New Roman" w:hAnsi="Times New Roman" w:cs="Times New Roman"/>
          <w:lang w:val="es-CR"/>
        </w:rPr>
        <w:t xml:space="preserve">Los precios de la construcción en este </w:t>
      </w:r>
      <w:r w:rsidR="00353618" w:rsidRPr="00EE3D14">
        <w:rPr>
          <w:rFonts w:ascii="Times New Roman" w:hAnsi="Times New Roman" w:cs="Times New Roman"/>
          <w:lang w:val="es-CR"/>
        </w:rPr>
        <w:t>segmento</w:t>
      </w:r>
      <w:r w:rsidRPr="00EE3D14">
        <w:rPr>
          <w:rFonts w:ascii="Times New Roman" w:hAnsi="Times New Roman" w:cs="Times New Roman"/>
          <w:lang w:val="es-CR"/>
        </w:rPr>
        <w:t xml:space="preserve"> de la </w:t>
      </w:r>
      <w:r w:rsidR="00353618" w:rsidRPr="00EE3D14">
        <w:rPr>
          <w:rFonts w:ascii="Times New Roman" w:hAnsi="Times New Roman" w:cs="Times New Roman"/>
          <w:lang w:val="es-CR"/>
        </w:rPr>
        <w:t>industria</w:t>
      </w:r>
      <w:r w:rsidRPr="00EE3D14">
        <w:rPr>
          <w:rFonts w:ascii="Times New Roman" w:hAnsi="Times New Roman" w:cs="Times New Roman"/>
          <w:lang w:val="es-CR"/>
        </w:rPr>
        <w:t xml:space="preserve"> son</w:t>
      </w:r>
      <w:r w:rsidR="0079615F" w:rsidRPr="00EE3D14">
        <w:rPr>
          <w:rFonts w:ascii="Times New Roman" w:hAnsi="Times New Roman" w:cs="Times New Roman"/>
          <w:lang w:val="es-CR"/>
        </w:rPr>
        <w:t xml:space="preserve"> principalmente determinados por </w:t>
      </w:r>
      <w:r w:rsidR="00343BB2" w:rsidRPr="00EE3D14">
        <w:rPr>
          <w:rFonts w:ascii="Times New Roman" w:hAnsi="Times New Roman" w:cs="Times New Roman"/>
          <w:lang w:val="es-CR"/>
        </w:rPr>
        <w:t>los precios de los insumos más relevantes, los cuales generalmente son: i) el cemento y los agregados usados para producir el hormigón y que a su vez son ambos altamente dependientes de los precios de los combustibles;</w:t>
      </w:r>
      <w:r w:rsidRPr="00EE3D14">
        <w:rPr>
          <w:rFonts w:ascii="Times New Roman" w:hAnsi="Times New Roman" w:cs="Times New Roman"/>
          <w:lang w:val="es-CR"/>
        </w:rPr>
        <w:t xml:space="preserve"> </w:t>
      </w:r>
      <w:r w:rsidR="00343BB2" w:rsidRPr="00EE3D14">
        <w:rPr>
          <w:rFonts w:ascii="Times New Roman" w:hAnsi="Times New Roman" w:cs="Times New Roman"/>
          <w:lang w:val="es-CR"/>
        </w:rPr>
        <w:t>ii) el acero empleado para el reforzamiento interno del hormigón o la construcción de estructuras</w:t>
      </w:r>
      <w:r w:rsidR="00A2706B" w:rsidRPr="00EE3D14">
        <w:rPr>
          <w:rFonts w:ascii="Times New Roman" w:hAnsi="Times New Roman" w:cs="Times New Roman"/>
          <w:lang w:val="es-CR"/>
        </w:rPr>
        <w:t xml:space="preserve"> que es altamente susceptible a los ciclos de demanda en el mundo; iii) la mano de obra, principalmente la de carácter técnico, cuyos valores mínimos están sujetos en Costa Rica a revisiones semestrales por parte del Ministerio de Trabajo y en concordancia con los niveles de inflación y; iv) la provisión de insumos especializados y dependientes de materia prima específica como el caso de los suministros elaborados con cobre o metales de alta demanda.</w:t>
      </w:r>
    </w:p>
    <w:p w:rsidR="00FA5330" w:rsidRPr="00EE3D14" w:rsidRDefault="00FA5330" w:rsidP="00FA5330">
      <w:pPr>
        <w:pStyle w:val="ListParagraph"/>
        <w:jc w:val="both"/>
        <w:rPr>
          <w:rFonts w:ascii="Times New Roman" w:hAnsi="Times New Roman" w:cs="Times New Roman"/>
          <w:lang w:val="es-CR"/>
        </w:rPr>
      </w:pPr>
    </w:p>
    <w:p w:rsidR="005D2292" w:rsidRPr="00EE3D14" w:rsidRDefault="005D2292" w:rsidP="005D2292">
      <w:pPr>
        <w:pStyle w:val="ListParagraph"/>
        <w:numPr>
          <w:ilvl w:val="0"/>
          <w:numId w:val="11"/>
        </w:numPr>
        <w:jc w:val="both"/>
        <w:rPr>
          <w:rFonts w:ascii="Times New Roman" w:hAnsi="Times New Roman" w:cs="Times New Roman"/>
          <w:lang w:val="es-CR"/>
        </w:rPr>
      </w:pPr>
      <w:r w:rsidRPr="00EE3D14">
        <w:rPr>
          <w:rFonts w:ascii="Times New Roman" w:hAnsi="Times New Roman" w:cs="Times New Roman"/>
          <w:b/>
          <w:lang w:val="es-CR"/>
        </w:rPr>
        <w:t>Factores o eventos imprevistos</w:t>
      </w:r>
      <w:r w:rsidR="00FA5330" w:rsidRPr="00EE3D14">
        <w:rPr>
          <w:rFonts w:ascii="Times New Roman" w:hAnsi="Times New Roman" w:cs="Times New Roman"/>
          <w:lang w:val="es-CR"/>
        </w:rPr>
        <w:t>. Estos podrían darse, entre otros factores, a decisiones de cambio o incorporación de elementos adicionales a las obras, que no fueron contemplados en las fases previas y responden</w:t>
      </w:r>
      <w:r w:rsidRPr="00EE3D14">
        <w:rPr>
          <w:rFonts w:ascii="Times New Roman" w:hAnsi="Times New Roman" w:cs="Times New Roman"/>
          <w:lang w:val="es-CR"/>
        </w:rPr>
        <w:t xml:space="preserve"> generalmente decisiones estratégicas sobre el proyecto o factores exógenos y fuera del control del organismo ejecutor. Por ejemplo, un cambio tecnológico en la industria podría implicar la decisión de utilizar equipamientos o sistemas constructivos de nueva generación a mayores costos. Otro factor relativamente usual en la construcción son las reclamaciones por parte de los contratistas, que se traducen en términos de costos, referentes a la variación de las condiciones de la ejecución del contrato versus lo previsto por el contratante al momento de la licitación (</w:t>
      </w:r>
      <w:proofErr w:type="spellStart"/>
      <w:r w:rsidRPr="00EE3D14">
        <w:rPr>
          <w:rFonts w:ascii="Times New Roman" w:hAnsi="Times New Roman" w:cs="Times New Roman"/>
          <w:lang w:val="es-CR"/>
        </w:rPr>
        <w:t>i.e</w:t>
      </w:r>
      <w:proofErr w:type="spellEnd"/>
      <w:r w:rsidRPr="00EE3D14">
        <w:rPr>
          <w:rFonts w:ascii="Times New Roman" w:hAnsi="Times New Roman" w:cs="Times New Roman"/>
          <w:lang w:val="es-CR"/>
        </w:rPr>
        <w:t xml:space="preserve"> atraso</w:t>
      </w:r>
      <w:r w:rsidR="003E7A4C" w:rsidRPr="00EE3D14">
        <w:rPr>
          <w:rFonts w:ascii="Times New Roman" w:hAnsi="Times New Roman" w:cs="Times New Roman"/>
          <w:lang w:val="es-CR"/>
        </w:rPr>
        <w:t>s</w:t>
      </w:r>
      <w:r w:rsidRPr="00EE3D14">
        <w:rPr>
          <w:rFonts w:ascii="Times New Roman" w:hAnsi="Times New Roman" w:cs="Times New Roman"/>
          <w:lang w:val="es-CR"/>
        </w:rPr>
        <w:t xml:space="preserve"> en la liberación o adquisición de los terrenos para las obras, condiciones geotécnicas desfavorables, protestas de las comunidades u otros grupos de presión, atrasos por indefiniciones atribuibles al contratante o el supervisor de las obras y condiciones meteorológicas extraordinarias, </w:t>
      </w:r>
      <w:r w:rsidR="00423D2D" w:rsidRPr="00EE3D14">
        <w:rPr>
          <w:rFonts w:ascii="Times New Roman" w:hAnsi="Times New Roman" w:cs="Times New Roman"/>
          <w:lang w:val="es-CR"/>
        </w:rPr>
        <w:t xml:space="preserve">variaciones extraordinarias en el tipo de cambio, </w:t>
      </w:r>
      <w:r w:rsidRPr="00EE3D14">
        <w:rPr>
          <w:rFonts w:ascii="Times New Roman" w:hAnsi="Times New Roman" w:cs="Times New Roman"/>
          <w:lang w:val="es-CR"/>
        </w:rPr>
        <w:t>entre otros múltiples factores).</w:t>
      </w:r>
    </w:p>
    <w:p w:rsidR="00DF1E9B" w:rsidRPr="00EE3D14" w:rsidRDefault="0025573F" w:rsidP="0048067F">
      <w:pPr>
        <w:pStyle w:val="Heading2"/>
        <w:numPr>
          <w:ilvl w:val="0"/>
          <w:numId w:val="20"/>
        </w:numPr>
        <w:spacing w:after="240"/>
        <w:rPr>
          <w:color w:val="auto"/>
          <w:sz w:val="22"/>
          <w:lang w:val="es-CR"/>
        </w:rPr>
      </w:pPr>
      <w:bookmarkStart w:id="20" w:name="_Toc415421145"/>
      <w:r w:rsidRPr="00EE3D14">
        <w:rPr>
          <w:color w:val="auto"/>
          <w:sz w:val="22"/>
          <w:lang w:val="es-CR"/>
        </w:rPr>
        <w:t>Información base para el estudio</w:t>
      </w:r>
      <w:bookmarkEnd w:id="20"/>
    </w:p>
    <w:p w:rsidR="00AB50DA" w:rsidRPr="00EE3D14" w:rsidRDefault="00AB50DA" w:rsidP="00AB50DA">
      <w:pPr>
        <w:jc w:val="both"/>
        <w:rPr>
          <w:rFonts w:ascii="Times New Roman" w:hAnsi="Times New Roman" w:cs="Times New Roman"/>
          <w:lang w:val="es-CR"/>
        </w:rPr>
      </w:pPr>
      <w:r w:rsidRPr="00EE3D14">
        <w:rPr>
          <w:rFonts w:ascii="Times New Roman" w:hAnsi="Times New Roman" w:cs="Times New Roman"/>
          <w:lang w:val="es-CR"/>
        </w:rPr>
        <w:t>Para la elaboración del modelo de estimación de sobrecostos se cuenta con la</w:t>
      </w:r>
      <w:r w:rsidR="00527ABC" w:rsidRPr="00EE3D14">
        <w:rPr>
          <w:rFonts w:ascii="Times New Roman" w:hAnsi="Times New Roman" w:cs="Times New Roman"/>
          <w:lang w:val="es-CR"/>
        </w:rPr>
        <w:t xml:space="preserve"> siguiente información:</w:t>
      </w:r>
    </w:p>
    <w:p w:rsidR="00536819" w:rsidRPr="00EE3D14" w:rsidRDefault="0025573F" w:rsidP="0025573F">
      <w:pPr>
        <w:pStyle w:val="ListParagraph"/>
        <w:numPr>
          <w:ilvl w:val="0"/>
          <w:numId w:val="12"/>
        </w:numPr>
        <w:jc w:val="both"/>
        <w:rPr>
          <w:rFonts w:ascii="Times New Roman" w:hAnsi="Times New Roman" w:cs="Times New Roman"/>
          <w:lang w:val="es-CR"/>
        </w:rPr>
      </w:pPr>
      <w:r w:rsidRPr="00EE3D14">
        <w:rPr>
          <w:rFonts w:ascii="Times New Roman" w:hAnsi="Times New Roman" w:cs="Times New Roman"/>
          <w:lang w:val="es-CR"/>
        </w:rPr>
        <w:t>Presupuestos</w:t>
      </w:r>
      <w:r w:rsidR="00BA4934" w:rsidRPr="00EE3D14">
        <w:rPr>
          <w:rFonts w:ascii="Times New Roman" w:hAnsi="Times New Roman" w:cs="Times New Roman"/>
          <w:lang w:val="es-CR"/>
        </w:rPr>
        <w:t xml:space="preserve"> por precios unitarios</w:t>
      </w:r>
      <w:r w:rsidRPr="00EE3D14">
        <w:rPr>
          <w:rFonts w:ascii="Times New Roman" w:hAnsi="Times New Roman" w:cs="Times New Roman"/>
          <w:lang w:val="es-CR"/>
        </w:rPr>
        <w:t xml:space="preserve"> para cada paso de frontera</w:t>
      </w:r>
      <w:r w:rsidR="00536819" w:rsidRPr="00EE3D14">
        <w:rPr>
          <w:rFonts w:ascii="Times New Roman" w:hAnsi="Times New Roman" w:cs="Times New Roman"/>
          <w:lang w:val="es-CR"/>
        </w:rPr>
        <w:t xml:space="preserve"> </w:t>
      </w:r>
      <w:r w:rsidR="00BA4934" w:rsidRPr="00EE3D14">
        <w:rPr>
          <w:rFonts w:ascii="Times New Roman" w:hAnsi="Times New Roman" w:cs="Times New Roman"/>
          <w:lang w:val="es-CR"/>
        </w:rPr>
        <w:t>a nivel de factibilidad, elaborados por el equipo consultor (2012).</w:t>
      </w:r>
    </w:p>
    <w:p w:rsidR="00536819" w:rsidRPr="00EE3D14" w:rsidRDefault="00BA4934" w:rsidP="0025573F">
      <w:pPr>
        <w:pStyle w:val="ListParagraph"/>
        <w:numPr>
          <w:ilvl w:val="0"/>
          <w:numId w:val="12"/>
        </w:numPr>
        <w:jc w:val="both"/>
        <w:rPr>
          <w:rFonts w:ascii="Times New Roman" w:hAnsi="Times New Roman" w:cs="Times New Roman"/>
          <w:lang w:val="es-CR"/>
        </w:rPr>
      </w:pPr>
      <w:r w:rsidRPr="00EE3D14">
        <w:rPr>
          <w:rFonts w:ascii="Times New Roman" w:hAnsi="Times New Roman" w:cs="Times New Roman"/>
          <w:lang w:val="es-CR"/>
        </w:rPr>
        <w:t>Series históricas</w:t>
      </w:r>
      <w:r w:rsidR="00536819" w:rsidRPr="00EE3D14">
        <w:rPr>
          <w:rFonts w:ascii="Times New Roman" w:hAnsi="Times New Roman" w:cs="Times New Roman"/>
          <w:lang w:val="es-CR"/>
        </w:rPr>
        <w:t xml:space="preserve"> de Variabilidad de </w:t>
      </w:r>
      <w:r w:rsidR="000511E2" w:rsidRPr="00EE3D14">
        <w:rPr>
          <w:rFonts w:ascii="Times New Roman" w:hAnsi="Times New Roman" w:cs="Times New Roman"/>
          <w:lang w:val="es-CR"/>
        </w:rPr>
        <w:t>Índices</w:t>
      </w:r>
      <w:r w:rsidR="009E26DA" w:rsidRPr="00EE3D14">
        <w:rPr>
          <w:rFonts w:ascii="Times New Roman" w:hAnsi="Times New Roman" w:cs="Times New Roman"/>
          <w:lang w:val="es-CR"/>
        </w:rPr>
        <w:t xml:space="preserve"> de Precios de la </w:t>
      </w:r>
      <w:r w:rsidR="000511E2" w:rsidRPr="00EE3D14">
        <w:rPr>
          <w:rFonts w:ascii="Times New Roman" w:hAnsi="Times New Roman" w:cs="Times New Roman"/>
          <w:lang w:val="es-CR"/>
        </w:rPr>
        <w:t>Construcción</w:t>
      </w:r>
      <w:r w:rsidR="009E26DA" w:rsidRPr="00EE3D14">
        <w:rPr>
          <w:rFonts w:ascii="Times New Roman" w:hAnsi="Times New Roman" w:cs="Times New Roman"/>
          <w:lang w:val="es-CR"/>
        </w:rPr>
        <w:t xml:space="preserve"> </w:t>
      </w:r>
      <w:r w:rsidR="0025573F" w:rsidRPr="00EE3D14">
        <w:rPr>
          <w:rFonts w:ascii="Times New Roman" w:hAnsi="Times New Roman" w:cs="Times New Roman"/>
          <w:lang w:val="es-CR"/>
        </w:rPr>
        <w:t>específicos para edificios</w:t>
      </w:r>
      <w:r w:rsidR="00536819" w:rsidRPr="00EE3D14">
        <w:rPr>
          <w:rFonts w:ascii="Times New Roman" w:hAnsi="Times New Roman" w:cs="Times New Roman"/>
          <w:lang w:val="es-CR"/>
        </w:rPr>
        <w:t xml:space="preserve"> </w:t>
      </w:r>
      <w:r w:rsidR="00ED626B" w:rsidRPr="00EE3D14">
        <w:rPr>
          <w:rFonts w:ascii="Times New Roman" w:hAnsi="Times New Roman" w:cs="Times New Roman"/>
          <w:lang w:val="es-CR"/>
        </w:rPr>
        <w:t xml:space="preserve">(IPCE) </w:t>
      </w:r>
      <w:r w:rsidR="00536819" w:rsidRPr="00EE3D14">
        <w:rPr>
          <w:rFonts w:ascii="Times New Roman" w:hAnsi="Times New Roman" w:cs="Times New Roman"/>
          <w:lang w:val="es-CR"/>
        </w:rPr>
        <w:t>en Costa Rica</w:t>
      </w:r>
      <w:r w:rsidR="0025573F" w:rsidRPr="00EE3D14">
        <w:rPr>
          <w:rFonts w:ascii="Times New Roman" w:hAnsi="Times New Roman" w:cs="Times New Roman"/>
          <w:lang w:val="es-CR"/>
        </w:rPr>
        <w:t>,</w:t>
      </w:r>
      <w:r w:rsidR="00536819" w:rsidRPr="00EE3D14">
        <w:rPr>
          <w:rFonts w:ascii="Times New Roman" w:hAnsi="Times New Roman" w:cs="Times New Roman"/>
          <w:lang w:val="es-CR"/>
        </w:rPr>
        <w:t xml:space="preserve"> publicados por el Instituto Nacional de Estadística y Censos (INEC)</w:t>
      </w:r>
      <w:r w:rsidRPr="00EE3D14">
        <w:rPr>
          <w:rFonts w:ascii="Times New Roman" w:hAnsi="Times New Roman" w:cs="Times New Roman"/>
          <w:lang w:val="es-CR"/>
        </w:rPr>
        <w:t xml:space="preserve"> (</w:t>
      </w:r>
      <w:hyperlink r:id="rId13" w:history="1">
        <w:r w:rsidRPr="00EE3D14">
          <w:rPr>
            <w:rStyle w:val="Hyperlink"/>
            <w:rFonts w:ascii="Times New Roman" w:hAnsi="Times New Roman" w:cs="Times New Roman"/>
            <w:lang w:val="es-CR"/>
          </w:rPr>
          <w:t>http://www.inec.go.cr/Web/Home/pagPrincipal.aspx</w:t>
        </w:r>
      </w:hyperlink>
      <w:r w:rsidRPr="00EE3D14">
        <w:rPr>
          <w:rFonts w:ascii="Times New Roman" w:hAnsi="Times New Roman" w:cs="Times New Roman"/>
          <w:lang w:val="es-CR"/>
        </w:rPr>
        <w:t>)</w:t>
      </w:r>
    </w:p>
    <w:p w:rsidR="00DF1E9B" w:rsidRPr="00EE3D14" w:rsidRDefault="00BA4934" w:rsidP="0025573F">
      <w:pPr>
        <w:pStyle w:val="ListParagraph"/>
        <w:numPr>
          <w:ilvl w:val="0"/>
          <w:numId w:val="12"/>
        </w:numPr>
        <w:jc w:val="both"/>
        <w:rPr>
          <w:rFonts w:ascii="Times New Roman" w:hAnsi="Times New Roman" w:cs="Times New Roman"/>
          <w:lang w:val="es-CR"/>
        </w:rPr>
      </w:pPr>
      <w:r w:rsidRPr="00EE3D14">
        <w:rPr>
          <w:rFonts w:ascii="Times New Roman" w:hAnsi="Times New Roman" w:cs="Times New Roman"/>
          <w:lang w:val="es-CR"/>
        </w:rPr>
        <w:t>Información referencial de costos unitarios de contratos de diseño y construcción de obras edilicias similares, licitadas bajo el Programa para la Prevención de la Violencia y Promoción para la Inclusión Social (CR-L1031)</w:t>
      </w:r>
      <w:r w:rsidR="00527ABC" w:rsidRPr="00EE3D14">
        <w:rPr>
          <w:rFonts w:ascii="Times New Roman" w:hAnsi="Times New Roman" w:cs="Times New Roman"/>
          <w:lang w:val="es-CR"/>
        </w:rPr>
        <w:t>.</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Sobre la base de esta información se determinan los parámetros de las variaciones asociadas a los factores de sobrecostos identificados que serán incluidos en el modelo de simulación, es decir, el comportamiento esperado en términos probabilísticos para las variables independientes</w:t>
      </w:r>
      <w:r w:rsidR="001A309B" w:rsidRPr="00EE3D14">
        <w:rPr>
          <w:rFonts w:ascii="Times New Roman" w:hAnsi="Times New Roman" w:cs="Times New Roman"/>
          <w:lang w:val="es-CR"/>
        </w:rPr>
        <w:t xml:space="preserve"> –entradas-</w:t>
      </w:r>
      <w:r w:rsidRPr="00EE3D14">
        <w:rPr>
          <w:rFonts w:ascii="Times New Roman" w:hAnsi="Times New Roman" w:cs="Times New Roman"/>
          <w:lang w:val="es-CR"/>
        </w:rPr>
        <w:t xml:space="preserve"> del </w:t>
      </w:r>
      <w:r w:rsidR="001A309B" w:rsidRPr="00EE3D14">
        <w:rPr>
          <w:rFonts w:ascii="Times New Roman" w:hAnsi="Times New Roman" w:cs="Times New Roman"/>
          <w:lang w:val="es-CR"/>
        </w:rPr>
        <w:t>modelo</w:t>
      </w:r>
      <w:r w:rsidRPr="00EE3D14">
        <w:rPr>
          <w:rFonts w:ascii="Times New Roman" w:hAnsi="Times New Roman" w:cs="Times New Roman"/>
          <w:lang w:val="es-CR"/>
        </w:rPr>
        <w:t xml:space="preserve"> (cantidades de obra y precios unitarios). </w:t>
      </w:r>
    </w:p>
    <w:p w:rsidR="0025573F" w:rsidRPr="00EE3D14" w:rsidRDefault="0025573F" w:rsidP="0048067F">
      <w:pPr>
        <w:pStyle w:val="Heading2"/>
        <w:numPr>
          <w:ilvl w:val="0"/>
          <w:numId w:val="20"/>
        </w:numPr>
        <w:spacing w:after="240"/>
        <w:rPr>
          <w:color w:val="auto"/>
          <w:sz w:val="22"/>
          <w:lang w:val="es-CR"/>
        </w:rPr>
      </w:pPr>
      <w:bookmarkStart w:id="21" w:name="_Toc415421146"/>
      <w:r w:rsidRPr="00EE3D14">
        <w:rPr>
          <w:color w:val="auto"/>
          <w:sz w:val="22"/>
          <w:lang w:val="es-CR"/>
        </w:rPr>
        <w:t>Análisis de las variaciones (simulación por el método de Montecarlo)</w:t>
      </w:r>
      <w:bookmarkEnd w:id="21"/>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 xml:space="preserve">La metodología utilizada para el análisis de riesgos de sobrecostos se basa en la teoría de la Simulación de Montecarlo. Este tipo de simulaciones producen resultados probabilísticos no determinísticos sobre un modelo matemático cualquiera (en este caso los presupuestos de las obras) que permiten evaluar una serie de escenarios diferentes y sus posibles resultados. La utilización de esta metodología permite analizar en mayor detalle modelos matemáticos complejos y el comportamiento de variables aleatorias. </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La técnica de análisis de riesgo es cada vez más utilizada para apoyar el proceso de toma de decisiones que involucran riesgo en condiciones de incertidumbre. Para ello, uno de los métodos utilizados es la simulación de Montecarlo. Consiste en asignar distribuciones de frecuencias a las variables del modelo que tienen riesgo, para posteriormente generar números aleatorios acordes a esas distribuciones “simulando” el comportamiento que se considera que tendrán en el futuro.</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 xml:space="preserve">Los análisis de riesgo tradicionales se efectuaban con base en la generación de escenarios estáticos y unidimensionales, por ejemplo, un escenario pesimista, uno medio y uno optimista prediciendo solo un resultado al sensibilizar las variables. A través de la simulación de Montecarlo es posible obtener no solo los puntos extremos sino todos aquellos escenarios intermedios. </w:t>
      </w:r>
    </w:p>
    <w:p w:rsidR="00134DE4" w:rsidRPr="00EE3D14" w:rsidRDefault="0025573F" w:rsidP="00134DE4">
      <w:pPr>
        <w:jc w:val="both"/>
        <w:rPr>
          <w:rFonts w:ascii="Times New Roman" w:hAnsi="Times New Roman" w:cs="Times New Roman"/>
          <w:lang w:val="es-CR"/>
        </w:rPr>
      </w:pPr>
      <w:r w:rsidRPr="00EE3D14">
        <w:rPr>
          <w:rFonts w:ascii="Times New Roman" w:hAnsi="Times New Roman" w:cs="Times New Roman"/>
          <w:lang w:val="es-CR"/>
        </w:rPr>
        <w:t>El análisis de riesgo que se realiza con la simulación Montecarlo se basa en la creación de modelos de posibles resultados mediante la sustitución de valores según una distribución de probabilidad que se define para cualquier factor con incertidumbre inherente. Se calculan los resultados una y otra vez en un proceso iterativo, en cada oportunidad usando un grupo diferente de valores aleatorios de las funciones de probabilidad. Como resultado se producen distribuciones de valores de los resultados posibles.</w:t>
      </w:r>
      <w:r w:rsidR="00134DE4" w:rsidRPr="00EE3D14">
        <w:rPr>
          <w:rFonts w:ascii="Times New Roman" w:hAnsi="Times New Roman" w:cs="Times New Roman"/>
          <w:lang w:val="es-CR"/>
        </w:rPr>
        <w:t xml:space="preserve"> El resultado de cada una de estas iteraciones es documentado para posteriormente analizar estadísticamente los resultados obtenidos. En la actualidad hay varios softwares especializados en este tipo de simulaciones para el caso en estudio se decidió utilizar la versión de prueba de la herramienta @</w:t>
      </w:r>
      <w:proofErr w:type="spellStart"/>
      <w:r w:rsidR="00134DE4" w:rsidRPr="00EE3D14">
        <w:rPr>
          <w:rFonts w:ascii="Times New Roman" w:hAnsi="Times New Roman" w:cs="Times New Roman"/>
          <w:lang w:val="es-CR"/>
        </w:rPr>
        <w:t>Risk</w:t>
      </w:r>
      <w:proofErr w:type="spellEnd"/>
      <w:r w:rsidR="00134DE4" w:rsidRPr="00EE3D14">
        <w:rPr>
          <w:rFonts w:ascii="Times New Roman" w:hAnsi="Times New Roman" w:cs="Times New Roman"/>
          <w:lang w:val="es-CR"/>
        </w:rPr>
        <w:t xml:space="preserve"> desarrollada por la firma </w:t>
      </w:r>
      <w:proofErr w:type="spellStart"/>
      <w:r w:rsidR="00134DE4" w:rsidRPr="00EE3D14">
        <w:rPr>
          <w:rFonts w:ascii="Times New Roman" w:hAnsi="Times New Roman" w:cs="Times New Roman"/>
          <w:lang w:val="es-CR"/>
        </w:rPr>
        <w:t>Palisade</w:t>
      </w:r>
      <w:proofErr w:type="spellEnd"/>
      <w:r w:rsidR="00134DE4" w:rsidRPr="00EE3D14">
        <w:rPr>
          <w:rFonts w:ascii="Times New Roman" w:hAnsi="Times New Roman" w:cs="Times New Roman"/>
          <w:lang w:val="es-CR"/>
        </w:rPr>
        <w:t xml:space="preserve">, que permite automatizar la generación de </w:t>
      </w:r>
      <w:r w:rsidR="00353618" w:rsidRPr="00EE3D14">
        <w:rPr>
          <w:rFonts w:ascii="Times New Roman" w:hAnsi="Times New Roman" w:cs="Times New Roman"/>
          <w:lang w:val="es-CR"/>
        </w:rPr>
        <w:t>interacciones</w:t>
      </w:r>
      <w:r w:rsidR="00134DE4" w:rsidRPr="00EE3D14">
        <w:rPr>
          <w:rFonts w:ascii="Times New Roman" w:hAnsi="Times New Roman" w:cs="Times New Roman"/>
          <w:lang w:val="es-CR"/>
        </w:rPr>
        <w:t xml:space="preserve"> y facilita el análisis de resultados.</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El primer paso para la implementación de la metodología es la definición de los “</w:t>
      </w:r>
      <w:r w:rsidR="00AB7F54" w:rsidRPr="00EE3D14">
        <w:rPr>
          <w:rFonts w:ascii="Times New Roman" w:hAnsi="Times New Roman" w:cs="Times New Roman"/>
          <w:lang w:val="es-CR"/>
        </w:rPr>
        <w:t>Entrada</w:t>
      </w:r>
      <w:r w:rsidRPr="00EE3D14">
        <w:rPr>
          <w:rFonts w:ascii="Times New Roman" w:hAnsi="Times New Roman" w:cs="Times New Roman"/>
          <w:lang w:val="es-CR"/>
        </w:rPr>
        <w:t>s” o variables cuyo comportamiento determina el comportamiento general del modelo. En este caso las variables que se definieron como “</w:t>
      </w:r>
      <w:r w:rsidR="00AB7F54" w:rsidRPr="00EE3D14">
        <w:rPr>
          <w:rFonts w:ascii="Times New Roman" w:hAnsi="Times New Roman" w:cs="Times New Roman"/>
          <w:lang w:val="es-CR"/>
        </w:rPr>
        <w:t>Entrada</w:t>
      </w:r>
      <w:r w:rsidRPr="00EE3D14">
        <w:rPr>
          <w:rFonts w:ascii="Times New Roman" w:hAnsi="Times New Roman" w:cs="Times New Roman"/>
          <w:lang w:val="es-CR"/>
        </w:rPr>
        <w:t xml:space="preserve">s” son: </w:t>
      </w:r>
    </w:p>
    <w:p w:rsidR="0025573F" w:rsidRPr="00EE3D14" w:rsidRDefault="0025573F" w:rsidP="0025573F">
      <w:pPr>
        <w:pStyle w:val="ListParagraph"/>
        <w:numPr>
          <w:ilvl w:val="0"/>
          <w:numId w:val="1"/>
        </w:numPr>
        <w:jc w:val="both"/>
        <w:rPr>
          <w:rFonts w:ascii="Times New Roman" w:hAnsi="Times New Roman" w:cs="Times New Roman"/>
          <w:lang w:val="es-CR"/>
        </w:rPr>
      </w:pPr>
      <w:r w:rsidRPr="00EE3D14">
        <w:rPr>
          <w:rFonts w:ascii="Times New Roman" w:hAnsi="Times New Roman" w:cs="Times New Roman"/>
          <w:lang w:val="es-CR"/>
        </w:rPr>
        <w:t xml:space="preserve">Variabilidad de </w:t>
      </w:r>
      <w:r w:rsidR="00884BAD" w:rsidRPr="00EE3D14">
        <w:rPr>
          <w:rFonts w:ascii="Times New Roman" w:hAnsi="Times New Roman" w:cs="Times New Roman"/>
          <w:lang w:val="es-CR"/>
        </w:rPr>
        <w:t>c</w:t>
      </w:r>
      <w:r w:rsidRPr="00EE3D14">
        <w:rPr>
          <w:rFonts w:ascii="Times New Roman" w:hAnsi="Times New Roman" w:cs="Times New Roman"/>
          <w:lang w:val="es-CR"/>
        </w:rPr>
        <w:t>ostos</w:t>
      </w:r>
      <w:r w:rsidR="00884BAD" w:rsidRPr="00EE3D14">
        <w:rPr>
          <w:rFonts w:ascii="Times New Roman" w:hAnsi="Times New Roman" w:cs="Times New Roman"/>
          <w:lang w:val="es-CR"/>
        </w:rPr>
        <w:t xml:space="preserve"> unitarios de los renglones presupuestarios</w:t>
      </w:r>
      <w:r w:rsidRPr="00EE3D14">
        <w:rPr>
          <w:rFonts w:ascii="Times New Roman" w:hAnsi="Times New Roman" w:cs="Times New Roman"/>
          <w:lang w:val="es-CR"/>
        </w:rPr>
        <w:t xml:space="preserve"> por efectos ajenos a la evolución natura</w:t>
      </w:r>
      <w:r w:rsidR="00DA47BC" w:rsidRPr="00EE3D14">
        <w:rPr>
          <w:rFonts w:ascii="Times New Roman" w:hAnsi="Times New Roman" w:cs="Times New Roman"/>
          <w:lang w:val="es-CR"/>
        </w:rPr>
        <w:t>l de esta variable en el tiempo (imprevistos)</w:t>
      </w:r>
    </w:p>
    <w:p w:rsidR="0025573F" w:rsidRPr="00EE3D14" w:rsidRDefault="0025573F" w:rsidP="0025573F">
      <w:pPr>
        <w:pStyle w:val="ListParagraph"/>
        <w:numPr>
          <w:ilvl w:val="0"/>
          <w:numId w:val="1"/>
        </w:numPr>
        <w:jc w:val="both"/>
        <w:rPr>
          <w:rFonts w:ascii="Times New Roman" w:hAnsi="Times New Roman" w:cs="Times New Roman"/>
          <w:lang w:val="es-CR"/>
        </w:rPr>
      </w:pPr>
      <w:r w:rsidRPr="00EE3D14">
        <w:rPr>
          <w:rFonts w:ascii="Times New Roman" w:hAnsi="Times New Roman" w:cs="Times New Roman"/>
          <w:lang w:val="es-CR"/>
        </w:rPr>
        <w:t xml:space="preserve">Variabilidad del </w:t>
      </w:r>
      <w:r w:rsidR="00DA47BC" w:rsidRPr="00EE3D14">
        <w:rPr>
          <w:rFonts w:ascii="Times New Roman" w:hAnsi="Times New Roman" w:cs="Times New Roman"/>
          <w:lang w:val="es-CR"/>
        </w:rPr>
        <w:t>a</w:t>
      </w:r>
      <w:r w:rsidRPr="00EE3D14">
        <w:rPr>
          <w:rFonts w:ascii="Times New Roman" w:hAnsi="Times New Roman" w:cs="Times New Roman"/>
          <w:lang w:val="es-CR"/>
        </w:rPr>
        <w:t>lcance de los proyectos producto de cambios en los diseños</w:t>
      </w:r>
    </w:p>
    <w:p w:rsidR="0025573F"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Posteriormente se definen los “</w:t>
      </w:r>
      <w:r w:rsidR="00AB7F54" w:rsidRPr="00EE3D14">
        <w:rPr>
          <w:rFonts w:ascii="Times New Roman" w:hAnsi="Times New Roman" w:cs="Times New Roman"/>
          <w:lang w:val="es-CR"/>
        </w:rPr>
        <w:t>Salida</w:t>
      </w:r>
      <w:r w:rsidRPr="00EE3D14">
        <w:rPr>
          <w:rFonts w:ascii="Times New Roman" w:hAnsi="Times New Roman" w:cs="Times New Roman"/>
          <w:lang w:val="es-CR"/>
        </w:rPr>
        <w:t>s” o variables cuyo resultado es dependiente de las variables definidas como “</w:t>
      </w:r>
      <w:r w:rsidR="00AB7F54" w:rsidRPr="00EE3D14">
        <w:rPr>
          <w:rFonts w:ascii="Times New Roman" w:hAnsi="Times New Roman" w:cs="Times New Roman"/>
          <w:lang w:val="es-CR"/>
        </w:rPr>
        <w:t>Entrada</w:t>
      </w:r>
      <w:r w:rsidRPr="00EE3D14">
        <w:rPr>
          <w:rFonts w:ascii="Times New Roman" w:hAnsi="Times New Roman" w:cs="Times New Roman"/>
          <w:lang w:val="es-CR"/>
        </w:rPr>
        <w:t>s”. En este caso las variables que se definieron como “</w:t>
      </w:r>
      <w:r w:rsidR="00AB7F54" w:rsidRPr="00EE3D14">
        <w:rPr>
          <w:rFonts w:ascii="Times New Roman" w:hAnsi="Times New Roman" w:cs="Times New Roman"/>
          <w:lang w:val="es-CR"/>
        </w:rPr>
        <w:t>Salida</w:t>
      </w:r>
      <w:r w:rsidRPr="00EE3D14">
        <w:rPr>
          <w:rFonts w:ascii="Times New Roman" w:hAnsi="Times New Roman" w:cs="Times New Roman"/>
          <w:lang w:val="es-CR"/>
        </w:rPr>
        <w:t>s” son:</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Costos del Paso Fronterizo de Peñas Blancas</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Costos del Paso Fronterizo de Tablillas</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Costos del Paso Fronterizo de Paso Canoas</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Costos del Paso Fronterizo de Sixaola</w:t>
      </w:r>
    </w:p>
    <w:p w:rsidR="0025573F" w:rsidRPr="00EE3D14" w:rsidRDefault="0025573F" w:rsidP="0025573F">
      <w:pPr>
        <w:pStyle w:val="ListParagraph"/>
        <w:numPr>
          <w:ilvl w:val="0"/>
          <w:numId w:val="2"/>
        </w:numPr>
        <w:jc w:val="both"/>
        <w:rPr>
          <w:rFonts w:ascii="Times New Roman" w:hAnsi="Times New Roman" w:cs="Times New Roman"/>
          <w:lang w:val="es-CR"/>
        </w:rPr>
      </w:pPr>
      <w:r w:rsidRPr="00EE3D14">
        <w:rPr>
          <w:rFonts w:ascii="Times New Roman" w:hAnsi="Times New Roman" w:cs="Times New Roman"/>
          <w:lang w:val="es-CR"/>
        </w:rPr>
        <w:t xml:space="preserve">Costo Total del Componente de obras del Programa (dado por la suma de los tres </w:t>
      </w:r>
      <w:r w:rsidR="00AB7F54" w:rsidRPr="00EE3D14">
        <w:rPr>
          <w:rFonts w:ascii="Times New Roman" w:hAnsi="Times New Roman" w:cs="Times New Roman"/>
          <w:lang w:val="es-CR"/>
        </w:rPr>
        <w:t>valores</w:t>
      </w:r>
      <w:r w:rsidRPr="00EE3D14">
        <w:rPr>
          <w:rFonts w:ascii="Times New Roman" w:hAnsi="Times New Roman" w:cs="Times New Roman"/>
          <w:lang w:val="es-CR"/>
        </w:rPr>
        <w:t xml:space="preserve"> anteriores).</w:t>
      </w:r>
    </w:p>
    <w:p w:rsidR="00134DE4" w:rsidRPr="00EE3D14" w:rsidRDefault="0025573F" w:rsidP="00AB7F54">
      <w:pPr>
        <w:jc w:val="both"/>
        <w:rPr>
          <w:rFonts w:ascii="Times New Roman" w:hAnsi="Times New Roman" w:cs="Times New Roman"/>
          <w:lang w:val="es-CR"/>
        </w:rPr>
      </w:pPr>
      <w:r w:rsidRPr="00EE3D14">
        <w:rPr>
          <w:rFonts w:ascii="Times New Roman" w:hAnsi="Times New Roman" w:cs="Times New Roman"/>
          <w:lang w:val="es-CR"/>
        </w:rPr>
        <w:t xml:space="preserve">Una vez definidas las variables  </w:t>
      </w:r>
      <w:r w:rsidR="00AB7F54" w:rsidRPr="00EE3D14">
        <w:rPr>
          <w:rFonts w:ascii="Times New Roman" w:hAnsi="Times New Roman" w:cs="Times New Roman"/>
          <w:lang w:val="es-CR"/>
        </w:rPr>
        <w:t xml:space="preserve">del modelo, </w:t>
      </w:r>
      <w:r w:rsidRPr="00EE3D14">
        <w:rPr>
          <w:rFonts w:ascii="Times New Roman" w:hAnsi="Times New Roman" w:cs="Times New Roman"/>
          <w:lang w:val="es-CR"/>
        </w:rPr>
        <w:t xml:space="preserve">se procede a generar variables aleatorias para simular los cambios en las variables Independientes y su efecto sobre las Dependientes. </w:t>
      </w:r>
      <w:r w:rsidR="00AB7F54" w:rsidRPr="00EE3D14">
        <w:rPr>
          <w:rFonts w:ascii="Times New Roman" w:hAnsi="Times New Roman" w:cs="Times New Roman"/>
          <w:lang w:val="es-CR"/>
        </w:rPr>
        <w:t xml:space="preserve">En este ejercicio y ante la falta de información para realizar un ajuste, se asumió que las variables entradas tendrán una distribución de probabilidad del tipo “triangular”, en la cual se </w:t>
      </w:r>
      <w:r w:rsidR="00134DE4" w:rsidRPr="00EE3D14">
        <w:rPr>
          <w:rFonts w:ascii="Times New Roman" w:hAnsi="Times New Roman" w:cs="Times New Roman"/>
          <w:lang w:val="es-CR"/>
        </w:rPr>
        <w:t xml:space="preserve">definen los valores mínimo, más probable y máximo. Los valores situados alrededor del valor más probable tienen más probabilidades de producirse. </w:t>
      </w:r>
    </w:p>
    <w:p w:rsidR="00134DE4" w:rsidRPr="00EE3D14" w:rsidRDefault="00134DE4" w:rsidP="00134DE4">
      <w:pPr>
        <w:jc w:val="both"/>
        <w:rPr>
          <w:rFonts w:ascii="Times New Roman" w:hAnsi="Times New Roman" w:cs="Times New Roman"/>
          <w:lang w:val="es-CR"/>
        </w:rPr>
      </w:pPr>
      <w:r w:rsidRPr="00EE3D14">
        <w:rPr>
          <w:rFonts w:ascii="Times New Roman" w:hAnsi="Times New Roman" w:cs="Times New Roman"/>
          <w:lang w:val="es-CR"/>
        </w:rPr>
        <w:t xml:space="preserve">Para el caso del estrés de costos se asumió que una variación con una distribución triangular cuyo valor mínimo es del -5%, el valor probable es del 0% y el valor máximo es del 10%. </w:t>
      </w:r>
      <w:r w:rsidR="00AB7F54" w:rsidRPr="00EE3D14">
        <w:rPr>
          <w:rFonts w:ascii="Times New Roman" w:hAnsi="Times New Roman" w:cs="Times New Roman"/>
          <w:lang w:val="es-CR"/>
        </w:rPr>
        <w:t xml:space="preserve"> Lo anterior implica una distribución asimétricamente sesgada “hacia la derecha”, mediante la cual se asume que es más probable que los costos aumenten en vez de disminuir. </w:t>
      </w:r>
      <w:r w:rsidRPr="00EE3D14">
        <w:rPr>
          <w:rFonts w:ascii="Times New Roman" w:hAnsi="Times New Roman" w:cs="Times New Roman"/>
          <w:lang w:val="es-CR"/>
        </w:rPr>
        <w:t>Para el caso del estrés cantidades por cambios en el alcance debido a los diseños se definió una variación triangular cuyo valor mínimo es del 0%, el valor probable</w:t>
      </w:r>
      <w:r w:rsidR="00AB7F54" w:rsidRPr="00EE3D14">
        <w:rPr>
          <w:rFonts w:ascii="Times New Roman" w:hAnsi="Times New Roman" w:cs="Times New Roman"/>
          <w:lang w:val="es-CR"/>
        </w:rPr>
        <w:t xml:space="preserve"> es del 0% y el máximo es de 5%; esta distribución modela una condición también sesgada hacia la derecha, en la cual no se estima probable que las cantidades de obra estimadas por el equipo consultor como escenario base pudieran disminuir como resultado de los diseños finales y requerimientos no previstos de las entidades usuarias de la infraestructura en los pasos de frontera, sino por el contrari</w:t>
      </w:r>
      <w:r w:rsidR="009479EB" w:rsidRPr="00EE3D14">
        <w:rPr>
          <w:rFonts w:ascii="Times New Roman" w:hAnsi="Times New Roman" w:cs="Times New Roman"/>
          <w:lang w:val="es-CR"/>
        </w:rPr>
        <w:t>o se asume que es altamente probable que estas aumenten hasta un 10% como máximo.</w:t>
      </w:r>
      <w:r w:rsidRPr="00EE3D14">
        <w:rPr>
          <w:rFonts w:ascii="Times New Roman" w:hAnsi="Times New Roman" w:cs="Times New Roman"/>
          <w:lang w:val="es-CR"/>
        </w:rPr>
        <w:t xml:space="preserve"> </w:t>
      </w:r>
    </w:p>
    <w:p w:rsidR="0025573F" w:rsidRPr="00EE3D14" w:rsidRDefault="004A3287" w:rsidP="0048067F">
      <w:pPr>
        <w:pStyle w:val="Heading2"/>
        <w:numPr>
          <w:ilvl w:val="0"/>
          <w:numId w:val="20"/>
        </w:numPr>
        <w:spacing w:after="240"/>
        <w:rPr>
          <w:color w:val="auto"/>
          <w:sz w:val="22"/>
          <w:lang w:val="es-CR"/>
        </w:rPr>
      </w:pPr>
      <w:bookmarkStart w:id="22" w:name="_Toc415421147"/>
      <w:r w:rsidRPr="00EE3D14">
        <w:rPr>
          <w:color w:val="auto"/>
          <w:sz w:val="22"/>
          <w:lang w:val="es-CR"/>
        </w:rPr>
        <w:t>Proceso de evaluación</w:t>
      </w:r>
      <w:r w:rsidR="0025573F" w:rsidRPr="00EE3D14">
        <w:rPr>
          <w:color w:val="auto"/>
          <w:sz w:val="22"/>
          <w:lang w:val="es-CR"/>
        </w:rPr>
        <w:t xml:space="preserve"> de resultados</w:t>
      </w:r>
      <w:bookmarkEnd w:id="22"/>
    </w:p>
    <w:p w:rsidR="001A309B" w:rsidRPr="00EE3D14" w:rsidRDefault="0025573F" w:rsidP="0025573F">
      <w:pPr>
        <w:jc w:val="both"/>
        <w:rPr>
          <w:rFonts w:ascii="Times New Roman" w:hAnsi="Times New Roman" w:cs="Times New Roman"/>
          <w:lang w:val="es-CR"/>
        </w:rPr>
      </w:pPr>
      <w:r w:rsidRPr="00EE3D14">
        <w:rPr>
          <w:rFonts w:ascii="Times New Roman" w:hAnsi="Times New Roman" w:cs="Times New Roman"/>
          <w:lang w:val="es-CR"/>
        </w:rPr>
        <w:t>Una vez realizad</w:t>
      </w:r>
      <w:r w:rsidR="001A309B" w:rsidRPr="00EE3D14">
        <w:rPr>
          <w:rFonts w:ascii="Times New Roman" w:hAnsi="Times New Roman" w:cs="Times New Roman"/>
          <w:lang w:val="es-CR"/>
        </w:rPr>
        <w:t xml:space="preserve">as las simulaciones, el método de Montecarlo permitirá determinar en términos porcentuales de probabilidad el nivel de certeza esperable sobre el presupuesto de las obras y las necesidades de previsión de monto en la partida de imprevistos, para cubrir en forma segura los posibles sobrecostos </w:t>
      </w:r>
      <w:r w:rsidR="004A2C0F" w:rsidRPr="00EE3D14">
        <w:rPr>
          <w:rFonts w:ascii="Times New Roman" w:hAnsi="Times New Roman" w:cs="Times New Roman"/>
          <w:lang w:val="es-CR"/>
        </w:rPr>
        <w:t>que pudieran presentarse durante la fase de ejecución del proyecto</w:t>
      </w:r>
      <w:r w:rsidR="001A309B" w:rsidRPr="00EE3D14">
        <w:rPr>
          <w:rFonts w:ascii="Times New Roman" w:hAnsi="Times New Roman" w:cs="Times New Roman"/>
          <w:lang w:val="es-CR"/>
        </w:rPr>
        <w:t>.</w:t>
      </w:r>
    </w:p>
    <w:p w:rsidR="001A309B" w:rsidRPr="00EE3D14" w:rsidRDefault="001A309B" w:rsidP="0025573F">
      <w:pPr>
        <w:jc w:val="both"/>
        <w:rPr>
          <w:rFonts w:ascii="Times New Roman" w:hAnsi="Times New Roman" w:cs="Times New Roman"/>
          <w:lang w:val="es-CR"/>
        </w:rPr>
      </w:pPr>
      <w:r w:rsidRPr="00EE3D14">
        <w:rPr>
          <w:rFonts w:ascii="Times New Roman" w:hAnsi="Times New Roman" w:cs="Times New Roman"/>
          <w:lang w:val="es-CR"/>
        </w:rPr>
        <w:t>Lo anterior significa que</w:t>
      </w:r>
      <w:r w:rsidR="00884BAD" w:rsidRPr="00EE3D14">
        <w:rPr>
          <w:rFonts w:ascii="Times New Roman" w:hAnsi="Times New Roman" w:cs="Times New Roman"/>
          <w:lang w:val="es-CR"/>
        </w:rPr>
        <w:t>, en términos generales</w:t>
      </w:r>
      <w:r w:rsidRPr="00EE3D14">
        <w:rPr>
          <w:rFonts w:ascii="Times New Roman" w:hAnsi="Times New Roman" w:cs="Times New Roman"/>
          <w:lang w:val="es-CR"/>
        </w:rPr>
        <w:t xml:space="preserve"> el propósito </w:t>
      </w:r>
      <w:r w:rsidR="00884BAD" w:rsidRPr="00EE3D14">
        <w:rPr>
          <w:rFonts w:ascii="Times New Roman" w:hAnsi="Times New Roman" w:cs="Times New Roman"/>
          <w:lang w:val="es-CR"/>
        </w:rPr>
        <w:t xml:space="preserve">fundamental </w:t>
      </w:r>
      <w:r w:rsidRPr="00EE3D14">
        <w:rPr>
          <w:rFonts w:ascii="Times New Roman" w:hAnsi="Times New Roman" w:cs="Times New Roman"/>
          <w:lang w:val="es-CR"/>
        </w:rPr>
        <w:t>de</w:t>
      </w:r>
      <w:r w:rsidR="00884BAD" w:rsidRPr="00EE3D14">
        <w:rPr>
          <w:rFonts w:ascii="Times New Roman" w:hAnsi="Times New Roman" w:cs="Times New Roman"/>
          <w:lang w:val="es-CR"/>
        </w:rPr>
        <w:t xml:space="preserve"> este</w:t>
      </w:r>
      <w:r w:rsidRPr="00EE3D14">
        <w:rPr>
          <w:rFonts w:ascii="Times New Roman" w:hAnsi="Times New Roman" w:cs="Times New Roman"/>
          <w:lang w:val="es-CR"/>
        </w:rPr>
        <w:t xml:space="preserve"> estudio es verificar que se cumple la siguiente desigualdad:</w:t>
      </w:r>
    </w:p>
    <w:p w:rsidR="001A309B" w:rsidRPr="00EE3D14" w:rsidRDefault="001A309B" w:rsidP="00884BAD">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CR"/>
        </w:rPr>
      </w:pPr>
      <w:r w:rsidRPr="00EE3D14">
        <w:rPr>
          <w:rFonts w:ascii="Times New Roman" w:hAnsi="Times New Roman" w:cs="Times New Roman"/>
          <w:i/>
          <w:lang w:val="es-CR"/>
        </w:rPr>
        <w:t>Pres</w:t>
      </w:r>
      <w:r w:rsidR="00884BAD" w:rsidRPr="00EE3D14">
        <w:rPr>
          <w:rFonts w:ascii="Times New Roman" w:hAnsi="Times New Roman" w:cs="Times New Roman"/>
          <w:i/>
          <w:lang w:val="es-CR"/>
        </w:rPr>
        <w:t xml:space="preserve">upuesto estimado obras + Previsión de escalamientos + </w:t>
      </w:r>
      <w:r w:rsidRPr="00EE3D14">
        <w:rPr>
          <w:rFonts w:ascii="Times New Roman" w:hAnsi="Times New Roman" w:cs="Times New Roman"/>
          <w:i/>
          <w:lang w:val="es-CR"/>
        </w:rPr>
        <w:t>Previsión de contingencias ≥ Estimación de</w:t>
      </w:r>
      <w:r w:rsidR="004A2C0F" w:rsidRPr="00EE3D14">
        <w:rPr>
          <w:rFonts w:ascii="Times New Roman" w:hAnsi="Times New Roman" w:cs="Times New Roman"/>
          <w:i/>
          <w:lang w:val="es-CR"/>
        </w:rPr>
        <w:t xml:space="preserve"> costos</w:t>
      </w:r>
      <w:r w:rsidRPr="00EE3D14">
        <w:rPr>
          <w:rFonts w:ascii="Times New Roman" w:hAnsi="Times New Roman" w:cs="Times New Roman"/>
          <w:i/>
          <w:lang w:val="es-CR"/>
        </w:rPr>
        <w:t xml:space="preserve"> </w:t>
      </w:r>
      <w:r w:rsidR="004A2C0F" w:rsidRPr="00EE3D14">
        <w:rPr>
          <w:rFonts w:ascii="Times New Roman" w:hAnsi="Times New Roman" w:cs="Times New Roman"/>
          <w:i/>
          <w:lang w:val="es-CR"/>
        </w:rPr>
        <w:t xml:space="preserve">del </w:t>
      </w:r>
      <w:r w:rsidRPr="00EE3D14">
        <w:rPr>
          <w:rFonts w:ascii="Times New Roman" w:hAnsi="Times New Roman" w:cs="Times New Roman"/>
          <w:i/>
          <w:lang w:val="es-CR"/>
        </w:rPr>
        <w:t>modelo (al 95% de probabilidad acumulada)</w:t>
      </w:r>
    </w:p>
    <w:p w:rsidR="0048067F" w:rsidRPr="00EE3D14" w:rsidRDefault="0048067F" w:rsidP="0048067F">
      <w:pPr>
        <w:pStyle w:val="Heading1"/>
        <w:ind w:left="720"/>
        <w:rPr>
          <w:lang w:val="es-CR"/>
        </w:rPr>
      </w:pPr>
    </w:p>
    <w:p w:rsidR="0048067F" w:rsidRPr="00EE3D14" w:rsidRDefault="0048067F" w:rsidP="0048067F">
      <w:pPr>
        <w:rPr>
          <w:lang w:val="es-CR"/>
        </w:rPr>
      </w:pPr>
    </w:p>
    <w:p w:rsidR="00884BAD" w:rsidRPr="00EE3D14" w:rsidRDefault="00884BAD" w:rsidP="00976212">
      <w:pPr>
        <w:pStyle w:val="Heading1"/>
        <w:numPr>
          <w:ilvl w:val="0"/>
          <w:numId w:val="7"/>
        </w:numPr>
        <w:rPr>
          <w:lang w:val="es-CR"/>
        </w:rPr>
      </w:pPr>
      <w:bookmarkStart w:id="23" w:name="_Toc415421148"/>
      <w:r w:rsidRPr="00EE3D14">
        <w:rPr>
          <w:lang w:val="es-CR"/>
        </w:rPr>
        <w:t>Cuantificación de las posibles variaciones de costos</w:t>
      </w:r>
      <w:bookmarkEnd w:id="23"/>
    </w:p>
    <w:p w:rsidR="00160F94" w:rsidRPr="00EE3D14" w:rsidRDefault="00160F94" w:rsidP="00884BAD">
      <w:pPr>
        <w:pStyle w:val="Heading2"/>
        <w:numPr>
          <w:ilvl w:val="0"/>
          <w:numId w:val="16"/>
        </w:numPr>
        <w:spacing w:after="240"/>
        <w:rPr>
          <w:color w:val="auto"/>
          <w:sz w:val="22"/>
          <w:lang w:val="es-CR"/>
        </w:rPr>
      </w:pPr>
      <w:bookmarkStart w:id="24" w:name="_Toc415421149"/>
      <w:r w:rsidRPr="00EE3D14">
        <w:rPr>
          <w:color w:val="auto"/>
          <w:sz w:val="22"/>
          <w:lang w:val="es-CR"/>
        </w:rPr>
        <w:t>Actualizaci</w:t>
      </w:r>
      <w:r w:rsidR="004A3287" w:rsidRPr="00EE3D14">
        <w:rPr>
          <w:color w:val="auto"/>
          <w:sz w:val="22"/>
          <w:lang w:val="es-CR"/>
        </w:rPr>
        <w:t>ón de presupuestos</w:t>
      </w:r>
      <w:r w:rsidRPr="00EE3D14">
        <w:rPr>
          <w:color w:val="auto"/>
          <w:sz w:val="22"/>
          <w:lang w:val="es-CR"/>
        </w:rPr>
        <w:t xml:space="preserve"> a 2015</w:t>
      </w:r>
      <w:bookmarkEnd w:id="24"/>
    </w:p>
    <w:p w:rsidR="00ED626B" w:rsidRPr="00EE3D14" w:rsidRDefault="00160F94" w:rsidP="00160F94">
      <w:pPr>
        <w:jc w:val="both"/>
        <w:rPr>
          <w:rFonts w:ascii="Times New Roman" w:hAnsi="Times New Roman" w:cs="Times New Roman"/>
          <w:lang w:val="es-CR"/>
        </w:rPr>
      </w:pPr>
      <w:r w:rsidRPr="00EE3D14">
        <w:rPr>
          <w:rFonts w:ascii="Times New Roman" w:hAnsi="Times New Roman" w:cs="Times New Roman"/>
          <w:lang w:val="es-CR"/>
        </w:rPr>
        <w:t xml:space="preserve">Considerando que los </w:t>
      </w:r>
      <w:r w:rsidR="00ED626B" w:rsidRPr="00EE3D14">
        <w:rPr>
          <w:rFonts w:ascii="Times New Roman" w:hAnsi="Times New Roman" w:cs="Times New Roman"/>
          <w:lang w:val="es-CR"/>
        </w:rPr>
        <w:t>el presupuesto base de las obras fue realizado por el equipo</w:t>
      </w:r>
      <w:r w:rsidRPr="00EE3D14">
        <w:rPr>
          <w:rFonts w:ascii="Times New Roman" w:hAnsi="Times New Roman" w:cs="Times New Roman"/>
          <w:lang w:val="es-CR"/>
        </w:rPr>
        <w:t xml:space="preserve"> consultor </w:t>
      </w:r>
      <w:r w:rsidR="00ED626B" w:rsidRPr="00EE3D14">
        <w:rPr>
          <w:rFonts w:ascii="Times New Roman" w:hAnsi="Times New Roman" w:cs="Times New Roman"/>
          <w:lang w:val="es-CR"/>
        </w:rPr>
        <w:t xml:space="preserve">en </w:t>
      </w:r>
      <w:r w:rsidRPr="00EE3D14">
        <w:rPr>
          <w:rFonts w:ascii="Times New Roman" w:hAnsi="Times New Roman" w:cs="Times New Roman"/>
          <w:lang w:val="es-CR"/>
        </w:rPr>
        <w:t>el año 2012, se hace necesario realizar una actualización de dichos costos a precios de 2015</w:t>
      </w:r>
      <w:r w:rsidR="00ED626B" w:rsidRPr="00EE3D14">
        <w:rPr>
          <w:rFonts w:ascii="Times New Roman" w:hAnsi="Times New Roman" w:cs="Times New Roman"/>
          <w:lang w:val="es-CR"/>
        </w:rPr>
        <w:t xml:space="preserve"> para cada paso de frontera.</w:t>
      </w:r>
      <w:r w:rsidRPr="00EE3D14">
        <w:rPr>
          <w:rFonts w:ascii="Times New Roman" w:hAnsi="Times New Roman" w:cs="Times New Roman"/>
          <w:lang w:val="es-CR"/>
        </w:rPr>
        <w:t xml:space="preserve"> </w:t>
      </w:r>
      <w:r w:rsidR="00ED626B" w:rsidRPr="00EE3D14">
        <w:rPr>
          <w:rFonts w:ascii="Times New Roman" w:hAnsi="Times New Roman" w:cs="Times New Roman"/>
          <w:lang w:val="es-CR"/>
        </w:rPr>
        <w:t xml:space="preserve">Esto </w:t>
      </w:r>
      <w:r w:rsidRPr="00EE3D14">
        <w:rPr>
          <w:rFonts w:ascii="Times New Roman" w:hAnsi="Times New Roman" w:cs="Times New Roman"/>
          <w:lang w:val="es-CR"/>
        </w:rPr>
        <w:t>se realiza</w:t>
      </w:r>
      <w:r w:rsidR="00ED626B" w:rsidRPr="00EE3D14">
        <w:rPr>
          <w:rFonts w:ascii="Times New Roman" w:hAnsi="Times New Roman" w:cs="Times New Roman"/>
          <w:lang w:val="es-CR"/>
        </w:rPr>
        <w:t xml:space="preserve"> mediante la factorización  de los valores base por la variación relativa de los IPCE, de forma tal que:</w:t>
      </w:r>
    </w:p>
    <w:p w:rsidR="00160F94" w:rsidRPr="00EE3D14" w:rsidRDefault="00ED626B" w:rsidP="00ED626B">
      <w:pPr>
        <w:jc w:val="center"/>
        <w:rPr>
          <w:rFonts w:ascii="Times New Roman" w:hAnsi="Times New Roman" w:cs="Times New Roman"/>
          <w:lang w:val="es-CR"/>
        </w:rPr>
      </w:pPr>
      <m:oMathPara>
        <m:oMath>
          <m:r>
            <w:rPr>
              <w:rFonts w:ascii="Cambria Math" w:hAnsi="Cambria Math" w:cs="Times New Roman"/>
              <w:lang w:val="es-CR"/>
            </w:rPr>
            <m:t>Presupuesto 2015=Presupuesto 2012*</m:t>
          </m:r>
          <m:f>
            <m:fPr>
              <m:ctrlPr>
                <w:rPr>
                  <w:rFonts w:ascii="Cambria Math" w:hAnsi="Cambria Math" w:cs="Times New Roman"/>
                  <w:i/>
                  <w:lang w:val="es-CR"/>
                </w:rPr>
              </m:ctrlPr>
            </m:fPr>
            <m:num>
              <m:r>
                <w:rPr>
                  <w:rFonts w:ascii="Cambria Math" w:hAnsi="Cambria Math" w:cs="Times New Roman"/>
                  <w:lang w:val="es-CR"/>
                </w:rPr>
                <m:t>IPCE feb 2015</m:t>
              </m:r>
            </m:num>
            <m:den>
              <m:r>
                <w:rPr>
                  <w:rFonts w:ascii="Cambria Math" w:hAnsi="Cambria Math" w:cs="Times New Roman"/>
                  <w:lang w:val="es-CR"/>
                </w:rPr>
                <m:t>IPCE dic 2012</m:t>
              </m:r>
            </m:den>
          </m:f>
        </m:oMath>
      </m:oMathPara>
    </w:p>
    <w:p w:rsidR="00ED626B" w:rsidRPr="00EE3D14" w:rsidRDefault="00586931" w:rsidP="00ED626B">
      <w:pPr>
        <w:jc w:val="both"/>
        <w:rPr>
          <w:rFonts w:ascii="Times New Roman" w:hAnsi="Times New Roman" w:cs="Times New Roman"/>
          <w:lang w:val="es-CR"/>
        </w:rPr>
      </w:pPr>
      <w:r w:rsidRPr="00EE3D14">
        <w:rPr>
          <w:rFonts w:ascii="Times New Roman" w:hAnsi="Times New Roman" w:cs="Times New Roman"/>
          <w:lang w:val="es-CR"/>
        </w:rPr>
        <w:t>La figura siguiente mu</w:t>
      </w:r>
      <w:r w:rsidR="00F6521F" w:rsidRPr="00EE3D14">
        <w:rPr>
          <w:rFonts w:ascii="Times New Roman" w:hAnsi="Times New Roman" w:cs="Times New Roman"/>
          <w:lang w:val="es-CR"/>
        </w:rPr>
        <w:t>estra el comportamiento de los IPEC entre febrero 2012 y febrero 2015. Como se aprecia en dicha figura, con excepción del aumento relativo de costos experimentado a inicios de 2014, el comportamiento de esta variable tiende a mantenerse bastante estable a lo largo del tiempo.</w:t>
      </w:r>
    </w:p>
    <w:p w:rsidR="00586931" w:rsidRPr="00EE3D14" w:rsidRDefault="00586931" w:rsidP="00586931">
      <w:pPr>
        <w:pStyle w:val="Caption"/>
        <w:keepNext/>
        <w:jc w:val="center"/>
        <w:rPr>
          <w:lang w:val="es-CR"/>
        </w:rPr>
      </w:pPr>
      <w:r w:rsidRPr="00EE3D14">
        <w:rPr>
          <w:lang w:val="es-CR"/>
        </w:rPr>
        <w:t xml:space="preserve">Figura </w:t>
      </w:r>
      <w:r w:rsidRPr="00EE3D14">
        <w:rPr>
          <w:lang w:val="es-CR"/>
        </w:rPr>
        <w:fldChar w:fldCharType="begin"/>
      </w:r>
      <w:r w:rsidRPr="00EE3D14">
        <w:rPr>
          <w:lang w:val="es-CR"/>
        </w:rPr>
        <w:instrText xml:space="preserve"> SEQ Figura \* ARABIC </w:instrText>
      </w:r>
      <w:r w:rsidRPr="00EE3D14">
        <w:rPr>
          <w:lang w:val="es-CR"/>
        </w:rPr>
        <w:fldChar w:fldCharType="separate"/>
      </w:r>
      <w:r w:rsidR="00EE3FE9" w:rsidRPr="00EE3D14">
        <w:rPr>
          <w:noProof/>
          <w:lang w:val="es-CR"/>
        </w:rPr>
        <w:t>2</w:t>
      </w:r>
      <w:r w:rsidRPr="00EE3D14">
        <w:rPr>
          <w:lang w:val="es-CR"/>
        </w:rPr>
        <w:fldChar w:fldCharType="end"/>
      </w:r>
      <w:r w:rsidRPr="00EE3D14">
        <w:rPr>
          <w:lang w:val="es-CR"/>
        </w:rPr>
        <w:t>. Serie histórica del IPCE para Costa Rica.</w:t>
      </w:r>
    </w:p>
    <w:p w:rsidR="00586931" w:rsidRPr="00EE3D14" w:rsidRDefault="00586931" w:rsidP="00586931">
      <w:pPr>
        <w:jc w:val="center"/>
        <w:rPr>
          <w:rFonts w:ascii="Times New Roman" w:hAnsi="Times New Roman" w:cs="Times New Roman"/>
          <w:lang w:val="es-CR"/>
        </w:rPr>
      </w:pPr>
      <w:r w:rsidRPr="00EE3D14">
        <w:rPr>
          <w:noProof/>
        </w:rPr>
        <w:drawing>
          <wp:inline distT="0" distB="0" distL="0" distR="0" wp14:anchorId="2071EA80" wp14:editId="4D3E010C">
            <wp:extent cx="3898900" cy="2197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6931" w:rsidRPr="00EE3D14" w:rsidRDefault="00586931" w:rsidP="00586931">
      <w:pPr>
        <w:jc w:val="center"/>
        <w:rPr>
          <w:rFonts w:ascii="Times New Roman" w:hAnsi="Times New Roman" w:cs="Times New Roman"/>
          <w:lang w:val="es-CR"/>
        </w:rPr>
      </w:pPr>
      <w:r w:rsidRPr="00EE3D14">
        <w:rPr>
          <w:rFonts w:ascii="Times New Roman" w:hAnsi="Times New Roman" w:cs="Times New Roman"/>
          <w:lang w:val="es-CR"/>
        </w:rPr>
        <w:t xml:space="preserve">Fuente: </w:t>
      </w:r>
      <w:r w:rsidR="00F6521F" w:rsidRPr="00EE3D14">
        <w:rPr>
          <w:rFonts w:ascii="Times New Roman" w:hAnsi="Times New Roman" w:cs="Times New Roman"/>
          <w:lang w:val="es-CR"/>
        </w:rPr>
        <w:t>Instituto Nacional de Estadísticas y Censos de Costa Rica.</w:t>
      </w:r>
    </w:p>
    <w:p w:rsidR="00160F94" w:rsidRPr="00EE3D14" w:rsidRDefault="00F6521F" w:rsidP="00ED626B">
      <w:pPr>
        <w:jc w:val="both"/>
        <w:rPr>
          <w:rFonts w:ascii="Times New Roman" w:hAnsi="Times New Roman" w:cs="Times New Roman"/>
          <w:lang w:val="es-CR"/>
        </w:rPr>
      </w:pPr>
      <w:r w:rsidRPr="00EE3D14">
        <w:rPr>
          <w:rFonts w:ascii="Times New Roman" w:hAnsi="Times New Roman" w:cs="Times New Roman"/>
          <w:lang w:val="es-CR"/>
        </w:rPr>
        <w:t>De los datos disponibles se obtiene que</w:t>
      </w:r>
      <w:r w:rsidR="00ED626B" w:rsidRPr="00EE3D14">
        <w:rPr>
          <w:rFonts w:ascii="Times New Roman" w:hAnsi="Times New Roman" w:cs="Times New Roman"/>
          <w:lang w:val="es-CR"/>
        </w:rPr>
        <w:t xml:space="preserve"> </w:t>
      </w:r>
      <w:r w:rsidRPr="00EE3D14">
        <w:rPr>
          <w:rFonts w:ascii="Times New Roman" w:hAnsi="Times New Roman" w:cs="Times New Roman"/>
          <w:lang w:val="es-CR"/>
        </w:rPr>
        <w:t>el aumento</w:t>
      </w:r>
      <w:r w:rsidR="00134DE4" w:rsidRPr="00EE3D14">
        <w:rPr>
          <w:rFonts w:ascii="Times New Roman" w:hAnsi="Times New Roman" w:cs="Times New Roman"/>
          <w:lang w:val="es-CR"/>
        </w:rPr>
        <w:t xml:space="preserve"> relativo</w:t>
      </w:r>
      <w:r w:rsidRPr="00EE3D14">
        <w:rPr>
          <w:rFonts w:ascii="Times New Roman" w:hAnsi="Times New Roman" w:cs="Times New Roman"/>
          <w:lang w:val="es-CR"/>
        </w:rPr>
        <w:t xml:space="preserve"> entre el </w:t>
      </w:r>
      <w:r w:rsidR="00ED626B" w:rsidRPr="00EE3D14">
        <w:rPr>
          <w:rFonts w:ascii="Times New Roman" w:hAnsi="Times New Roman" w:cs="Times New Roman"/>
          <w:lang w:val="es-CR"/>
        </w:rPr>
        <w:t xml:space="preserve">IPCE </w:t>
      </w:r>
      <w:r w:rsidRPr="00EE3D14">
        <w:rPr>
          <w:rFonts w:ascii="Times New Roman" w:hAnsi="Times New Roman" w:cs="Times New Roman"/>
          <w:lang w:val="es-CR"/>
        </w:rPr>
        <w:t xml:space="preserve">de </w:t>
      </w:r>
      <w:r w:rsidR="00ED626B" w:rsidRPr="00EE3D14">
        <w:rPr>
          <w:rFonts w:ascii="Times New Roman" w:hAnsi="Times New Roman" w:cs="Times New Roman"/>
          <w:lang w:val="es-CR"/>
        </w:rPr>
        <w:t>feb</w:t>
      </w:r>
      <w:r w:rsidRPr="00EE3D14">
        <w:rPr>
          <w:rFonts w:ascii="Times New Roman" w:hAnsi="Times New Roman" w:cs="Times New Roman"/>
          <w:lang w:val="es-CR"/>
        </w:rPr>
        <w:t>rero</w:t>
      </w:r>
      <w:r w:rsidR="00ED626B" w:rsidRPr="00EE3D14">
        <w:rPr>
          <w:rFonts w:ascii="Times New Roman" w:hAnsi="Times New Roman" w:cs="Times New Roman"/>
          <w:lang w:val="es-CR"/>
        </w:rPr>
        <w:t xml:space="preserve"> 2015</w:t>
      </w:r>
      <w:r w:rsidRPr="00EE3D14">
        <w:rPr>
          <w:rFonts w:ascii="Times New Roman" w:hAnsi="Times New Roman" w:cs="Times New Roman"/>
          <w:lang w:val="es-CR"/>
        </w:rPr>
        <w:t xml:space="preserve"> respecto al </w:t>
      </w:r>
      <w:r w:rsidR="00ED626B" w:rsidRPr="00EE3D14">
        <w:rPr>
          <w:rFonts w:ascii="Times New Roman" w:hAnsi="Times New Roman" w:cs="Times New Roman"/>
          <w:lang w:val="es-CR"/>
        </w:rPr>
        <w:t xml:space="preserve">IPCE </w:t>
      </w:r>
      <w:r w:rsidRPr="00EE3D14">
        <w:rPr>
          <w:rFonts w:ascii="Times New Roman" w:hAnsi="Times New Roman" w:cs="Times New Roman"/>
          <w:lang w:val="es-CR"/>
        </w:rPr>
        <w:t xml:space="preserve">de </w:t>
      </w:r>
      <w:r w:rsidR="00ED626B" w:rsidRPr="00EE3D14">
        <w:rPr>
          <w:rFonts w:ascii="Times New Roman" w:hAnsi="Times New Roman" w:cs="Times New Roman"/>
          <w:lang w:val="es-CR"/>
        </w:rPr>
        <w:t>dic</w:t>
      </w:r>
      <w:r w:rsidRPr="00EE3D14">
        <w:rPr>
          <w:rFonts w:ascii="Times New Roman" w:hAnsi="Times New Roman" w:cs="Times New Roman"/>
          <w:lang w:val="es-CR"/>
        </w:rPr>
        <w:t xml:space="preserve">iembre 2012 </w:t>
      </w:r>
      <w:r w:rsidR="00ED626B" w:rsidRPr="00EE3D14">
        <w:rPr>
          <w:rFonts w:ascii="Times New Roman" w:hAnsi="Times New Roman" w:cs="Times New Roman"/>
          <w:lang w:val="es-CR"/>
        </w:rPr>
        <w:t>es de apenas un 4.1%</w:t>
      </w:r>
      <w:r w:rsidRPr="00EE3D14">
        <w:rPr>
          <w:rFonts w:ascii="Times New Roman" w:hAnsi="Times New Roman" w:cs="Times New Roman"/>
          <w:lang w:val="es-CR"/>
        </w:rPr>
        <w:t>, por lo que los presupuestos de obras se referencian a 2015 mediante un factor de ese mismo orden.</w:t>
      </w:r>
      <w:r w:rsidR="00586931" w:rsidRPr="00EE3D14">
        <w:rPr>
          <w:rFonts w:ascii="Times New Roman" w:hAnsi="Times New Roman" w:cs="Times New Roman"/>
          <w:lang w:val="es-CR"/>
        </w:rPr>
        <w:t xml:space="preserve"> </w:t>
      </w:r>
    </w:p>
    <w:p w:rsidR="008A7106" w:rsidRPr="00EE3D14" w:rsidRDefault="008A7106" w:rsidP="008A7106">
      <w:pPr>
        <w:jc w:val="both"/>
        <w:rPr>
          <w:rFonts w:ascii="Times New Roman" w:hAnsi="Times New Roman" w:cs="Times New Roman"/>
          <w:lang w:val="es-CR"/>
        </w:rPr>
      </w:pPr>
      <w:r w:rsidRPr="00EE3D14">
        <w:rPr>
          <w:rFonts w:ascii="Times New Roman" w:hAnsi="Times New Roman" w:cs="Times New Roman"/>
          <w:lang w:val="es-CR"/>
        </w:rPr>
        <w:t xml:space="preserve">El ejercicio permitió verificar además que, con respecto a recientes experiencias similares en Costa Rica, los contratos de diseño y construcción de </w:t>
      </w:r>
      <w:r w:rsidR="00CB0E6B" w:rsidRPr="00EE3D14">
        <w:rPr>
          <w:rFonts w:ascii="Times New Roman" w:hAnsi="Times New Roman" w:cs="Times New Roman"/>
          <w:lang w:val="es-CR"/>
        </w:rPr>
        <w:t>tres</w:t>
      </w:r>
      <w:r w:rsidRPr="00EE3D14">
        <w:rPr>
          <w:rFonts w:ascii="Times New Roman" w:hAnsi="Times New Roman" w:cs="Times New Roman"/>
          <w:lang w:val="es-CR"/>
        </w:rPr>
        <w:t xml:space="preserve"> Centros Cívicos para la Paz</w:t>
      </w:r>
      <w:r w:rsidRPr="00EE3D14">
        <w:rPr>
          <w:rStyle w:val="FootnoteReference"/>
          <w:rFonts w:ascii="Times New Roman" w:hAnsi="Times New Roman" w:cs="Times New Roman"/>
          <w:lang w:val="es-CR"/>
        </w:rPr>
        <w:footnoteReference w:id="2"/>
      </w:r>
      <w:r w:rsidRPr="00EE3D14">
        <w:rPr>
          <w:rFonts w:ascii="Times New Roman" w:hAnsi="Times New Roman" w:cs="Times New Roman"/>
          <w:lang w:val="es-CR"/>
        </w:rPr>
        <w:t xml:space="preserve"> adjudicados entre mediados de 2013 y 2014, los costos unitarios estimados por metro cuadrado de las edificaciones principales de los pasos de frontera son bastante similares a los costos unitarios estimados para los edificios principales en los pasos de frontera</w:t>
      </w:r>
      <w:r w:rsidR="00CB0E6B" w:rsidRPr="00EE3D14">
        <w:rPr>
          <w:rFonts w:ascii="Times New Roman" w:hAnsi="Times New Roman" w:cs="Times New Roman"/>
          <w:lang w:val="es-CR"/>
        </w:rPr>
        <w:t>, los cuales poseen</w:t>
      </w:r>
      <w:r w:rsidRPr="00EE3D14">
        <w:rPr>
          <w:rFonts w:ascii="Times New Roman" w:hAnsi="Times New Roman" w:cs="Times New Roman"/>
          <w:lang w:val="es-CR"/>
        </w:rPr>
        <w:t xml:space="preserve"> características constructivas y arquitectónicas similares</w:t>
      </w:r>
      <w:r w:rsidR="00CB0E6B" w:rsidRPr="00EE3D14">
        <w:rPr>
          <w:rFonts w:ascii="Times New Roman" w:hAnsi="Times New Roman" w:cs="Times New Roman"/>
          <w:lang w:val="es-CR"/>
        </w:rPr>
        <w:t xml:space="preserve"> y se ubican también en zona rural, bajo condiciones </w:t>
      </w:r>
      <w:r w:rsidR="00353618" w:rsidRPr="00EE3D14">
        <w:rPr>
          <w:rFonts w:ascii="Times New Roman" w:hAnsi="Times New Roman" w:cs="Times New Roman"/>
          <w:lang w:val="es-CR"/>
        </w:rPr>
        <w:t>climáticas</w:t>
      </w:r>
      <w:r w:rsidR="00CB0E6B" w:rsidRPr="00EE3D14">
        <w:rPr>
          <w:rFonts w:ascii="Times New Roman" w:hAnsi="Times New Roman" w:cs="Times New Roman"/>
          <w:lang w:val="es-CR"/>
        </w:rPr>
        <w:t xml:space="preserve"> también similares</w:t>
      </w:r>
      <w:r w:rsidRPr="00EE3D14">
        <w:rPr>
          <w:rFonts w:ascii="Times New Roman" w:hAnsi="Times New Roman" w:cs="Times New Roman"/>
          <w:lang w:val="es-CR"/>
        </w:rPr>
        <w:t>:</w:t>
      </w:r>
    </w:p>
    <w:p w:rsidR="00DD6C88" w:rsidRPr="00EE3D14" w:rsidRDefault="00DD6C88" w:rsidP="00DD6C88">
      <w:pPr>
        <w:pStyle w:val="Caption"/>
        <w:keepNext/>
        <w:jc w:val="center"/>
        <w:rPr>
          <w:lang w:val="es-CR"/>
        </w:rPr>
      </w:pPr>
      <w:r w:rsidRPr="00EE3D14">
        <w:rPr>
          <w:lang w:val="es-CR"/>
        </w:rPr>
        <w:t xml:space="preserve">Cuadro </w:t>
      </w:r>
      <w:r w:rsidRPr="00EE3D14">
        <w:rPr>
          <w:lang w:val="es-CR"/>
        </w:rPr>
        <w:fldChar w:fldCharType="begin"/>
      </w:r>
      <w:r w:rsidRPr="00EE3D14">
        <w:rPr>
          <w:lang w:val="es-CR"/>
        </w:rPr>
        <w:instrText xml:space="preserve"> SEQ Cuadro \* ARABIC </w:instrText>
      </w:r>
      <w:r w:rsidRPr="00EE3D14">
        <w:rPr>
          <w:lang w:val="es-CR"/>
        </w:rPr>
        <w:fldChar w:fldCharType="separate"/>
      </w:r>
      <w:r w:rsidRPr="00EE3D14">
        <w:rPr>
          <w:noProof/>
          <w:lang w:val="es-CR"/>
        </w:rPr>
        <w:t>3</w:t>
      </w:r>
      <w:r w:rsidRPr="00EE3D14">
        <w:rPr>
          <w:lang w:val="es-CR"/>
        </w:rPr>
        <w:fldChar w:fldCharType="end"/>
      </w:r>
      <w:r w:rsidRPr="00EE3D14">
        <w:rPr>
          <w:lang w:val="es-CR"/>
        </w:rPr>
        <w:t>. Comparación de precios unitarios de obras.</w:t>
      </w:r>
    </w:p>
    <w:tbl>
      <w:tblPr>
        <w:tblStyle w:val="TableGrid"/>
        <w:tblW w:w="0" w:type="auto"/>
        <w:tblLook w:val="04A0" w:firstRow="1" w:lastRow="0" w:firstColumn="1" w:lastColumn="0" w:noHBand="0" w:noVBand="1"/>
      </w:tblPr>
      <w:tblGrid>
        <w:gridCol w:w="3166"/>
        <w:gridCol w:w="3167"/>
        <w:gridCol w:w="3167"/>
      </w:tblGrid>
      <w:tr w:rsidR="008A7106" w:rsidRPr="00EE3D14" w:rsidTr="00611E8B">
        <w:tc>
          <w:tcPr>
            <w:tcW w:w="3166" w:type="dxa"/>
            <w:vMerge w:val="restart"/>
          </w:tcPr>
          <w:p w:rsidR="008A7106" w:rsidRPr="00EE3D14" w:rsidRDefault="008A7106" w:rsidP="00CB0E6B">
            <w:pPr>
              <w:jc w:val="both"/>
              <w:rPr>
                <w:rFonts w:ascii="Times New Roman" w:hAnsi="Times New Roman" w:cs="Times New Roman"/>
                <w:lang w:val="es-CR"/>
              </w:rPr>
            </w:pPr>
            <w:r w:rsidRPr="00EE3D14">
              <w:rPr>
                <w:rFonts w:ascii="Times New Roman" w:hAnsi="Times New Roman" w:cs="Times New Roman"/>
                <w:lang w:val="es-CR"/>
              </w:rPr>
              <w:t xml:space="preserve">Costo unitario </w:t>
            </w:r>
            <w:r w:rsidR="00353618" w:rsidRPr="00EE3D14">
              <w:rPr>
                <w:rFonts w:ascii="Times New Roman" w:hAnsi="Times New Roman" w:cs="Times New Roman"/>
                <w:lang w:val="es-CR"/>
              </w:rPr>
              <w:t>promedio</w:t>
            </w:r>
            <w:r w:rsidRPr="00EE3D14">
              <w:rPr>
                <w:rFonts w:ascii="Times New Roman" w:hAnsi="Times New Roman" w:cs="Times New Roman"/>
                <w:lang w:val="es-CR"/>
              </w:rPr>
              <w:t xml:space="preserve"> de edificaciones </w:t>
            </w:r>
            <w:r w:rsidR="00CB0E6B" w:rsidRPr="00EE3D14">
              <w:rPr>
                <w:rFonts w:ascii="Times New Roman" w:hAnsi="Times New Roman" w:cs="Times New Roman"/>
                <w:lang w:val="es-CR"/>
              </w:rPr>
              <w:t>(</w:t>
            </w:r>
            <w:r w:rsidRPr="00EE3D14">
              <w:rPr>
                <w:rFonts w:ascii="Times New Roman" w:hAnsi="Times New Roman" w:cs="Times New Roman"/>
                <w:lang w:val="es-CR"/>
              </w:rPr>
              <w:t>US$/m</w:t>
            </w:r>
            <w:r w:rsidRPr="00EE3D14">
              <w:rPr>
                <w:rFonts w:ascii="Times New Roman" w:hAnsi="Times New Roman" w:cs="Times New Roman"/>
                <w:vertAlign w:val="superscript"/>
                <w:lang w:val="es-CR"/>
              </w:rPr>
              <w:t>2</w:t>
            </w:r>
            <w:r w:rsidRPr="00EE3D14">
              <w:rPr>
                <w:rFonts w:ascii="Times New Roman" w:hAnsi="Times New Roman" w:cs="Times New Roman"/>
                <w:lang w:val="es-CR"/>
              </w:rPr>
              <w:t>)</w:t>
            </w:r>
          </w:p>
        </w:tc>
        <w:tc>
          <w:tcPr>
            <w:tcW w:w="3167" w:type="dxa"/>
          </w:tcPr>
          <w:p w:rsidR="008A7106" w:rsidRPr="00EE3D14" w:rsidRDefault="008A7106" w:rsidP="00611E8B">
            <w:pPr>
              <w:jc w:val="center"/>
              <w:rPr>
                <w:rFonts w:ascii="Times New Roman" w:hAnsi="Times New Roman" w:cs="Times New Roman"/>
                <w:lang w:val="es-CR"/>
              </w:rPr>
            </w:pPr>
            <w:r w:rsidRPr="00EE3D14">
              <w:rPr>
                <w:rFonts w:ascii="Times New Roman" w:hAnsi="Times New Roman" w:cs="Times New Roman"/>
                <w:lang w:val="es-CR"/>
              </w:rPr>
              <w:t>Centros Cívicos para la Paz</w:t>
            </w:r>
          </w:p>
        </w:tc>
        <w:tc>
          <w:tcPr>
            <w:tcW w:w="3167" w:type="dxa"/>
          </w:tcPr>
          <w:p w:rsidR="008A7106" w:rsidRPr="00EE3D14" w:rsidRDefault="008A7106" w:rsidP="00611E8B">
            <w:pPr>
              <w:jc w:val="center"/>
              <w:rPr>
                <w:rFonts w:ascii="Times New Roman" w:hAnsi="Times New Roman" w:cs="Times New Roman"/>
                <w:lang w:val="es-CR"/>
              </w:rPr>
            </w:pPr>
            <w:r w:rsidRPr="00EE3D14">
              <w:rPr>
                <w:rFonts w:ascii="Times New Roman" w:hAnsi="Times New Roman" w:cs="Times New Roman"/>
                <w:lang w:val="es-CR"/>
              </w:rPr>
              <w:t>Pasos de frontera</w:t>
            </w:r>
          </w:p>
        </w:tc>
      </w:tr>
      <w:tr w:rsidR="008A7106" w:rsidRPr="00EE3D14" w:rsidTr="00611E8B">
        <w:tc>
          <w:tcPr>
            <w:tcW w:w="3166" w:type="dxa"/>
            <w:vMerge/>
          </w:tcPr>
          <w:p w:rsidR="008A7106" w:rsidRPr="00EE3D14" w:rsidRDefault="008A7106" w:rsidP="00611E8B">
            <w:pPr>
              <w:jc w:val="both"/>
              <w:rPr>
                <w:rFonts w:ascii="Times New Roman" w:hAnsi="Times New Roman" w:cs="Times New Roman"/>
                <w:lang w:val="es-CR"/>
              </w:rPr>
            </w:pPr>
          </w:p>
        </w:tc>
        <w:tc>
          <w:tcPr>
            <w:tcW w:w="3167" w:type="dxa"/>
          </w:tcPr>
          <w:p w:rsidR="008A7106" w:rsidRPr="00EE3D14" w:rsidRDefault="008A7106" w:rsidP="00611E8B">
            <w:pPr>
              <w:jc w:val="center"/>
              <w:rPr>
                <w:rFonts w:ascii="Times New Roman" w:hAnsi="Times New Roman" w:cs="Times New Roman"/>
                <w:lang w:val="es-CR"/>
              </w:rPr>
            </w:pPr>
            <w:r w:rsidRPr="00EE3D14">
              <w:rPr>
                <w:rFonts w:ascii="Times New Roman" w:hAnsi="Times New Roman" w:cs="Times New Roman"/>
                <w:lang w:val="es-CR"/>
              </w:rPr>
              <w:t>1,128</w:t>
            </w:r>
          </w:p>
        </w:tc>
        <w:tc>
          <w:tcPr>
            <w:tcW w:w="3167" w:type="dxa"/>
          </w:tcPr>
          <w:p w:rsidR="008A7106" w:rsidRPr="00EE3D14" w:rsidRDefault="008A7106" w:rsidP="00611E8B">
            <w:pPr>
              <w:jc w:val="center"/>
              <w:rPr>
                <w:rFonts w:ascii="Times New Roman" w:hAnsi="Times New Roman" w:cs="Times New Roman"/>
                <w:lang w:val="es-CR"/>
              </w:rPr>
            </w:pPr>
            <w:r w:rsidRPr="00EE3D14">
              <w:rPr>
                <w:rFonts w:ascii="Times New Roman" w:hAnsi="Times New Roman" w:cs="Times New Roman"/>
                <w:lang w:val="es-CR"/>
              </w:rPr>
              <w:t>1,106</w:t>
            </w:r>
          </w:p>
        </w:tc>
      </w:tr>
    </w:tbl>
    <w:p w:rsidR="008A7106" w:rsidRPr="00EE3D14" w:rsidRDefault="008A7106" w:rsidP="008A7106">
      <w:pPr>
        <w:jc w:val="both"/>
        <w:rPr>
          <w:rFonts w:ascii="Times New Roman" w:hAnsi="Times New Roman" w:cs="Times New Roman"/>
          <w:lang w:val="es-CR"/>
        </w:rPr>
      </w:pPr>
    </w:p>
    <w:p w:rsidR="00884BAD" w:rsidRPr="00EE3D14" w:rsidRDefault="00884BAD" w:rsidP="00884BAD">
      <w:pPr>
        <w:pStyle w:val="Heading2"/>
        <w:numPr>
          <w:ilvl w:val="0"/>
          <w:numId w:val="16"/>
        </w:numPr>
        <w:spacing w:after="240"/>
        <w:rPr>
          <w:color w:val="auto"/>
          <w:sz w:val="22"/>
          <w:lang w:val="es-CR"/>
        </w:rPr>
      </w:pPr>
      <w:bookmarkStart w:id="25" w:name="_Toc415421150"/>
      <w:r w:rsidRPr="00EE3D14">
        <w:rPr>
          <w:color w:val="auto"/>
          <w:sz w:val="22"/>
          <w:lang w:val="es-CR"/>
        </w:rPr>
        <w:t>Estimación del escalamiento de precios</w:t>
      </w:r>
      <w:bookmarkEnd w:id="25"/>
    </w:p>
    <w:p w:rsidR="00884BAD" w:rsidRPr="00EE3D14" w:rsidRDefault="00F6521F" w:rsidP="00884BAD">
      <w:pPr>
        <w:jc w:val="both"/>
        <w:rPr>
          <w:rFonts w:ascii="Times New Roman" w:hAnsi="Times New Roman" w:cs="Times New Roman"/>
          <w:lang w:val="es-CR"/>
        </w:rPr>
      </w:pPr>
      <w:r w:rsidRPr="00EE3D14">
        <w:rPr>
          <w:rFonts w:ascii="Times New Roman" w:hAnsi="Times New Roman" w:cs="Times New Roman"/>
          <w:lang w:val="es-CR"/>
        </w:rPr>
        <w:t>Teniendo ya como base un estimado de costos a 2015</w:t>
      </w:r>
      <w:r w:rsidR="00884BAD" w:rsidRPr="00EE3D14">
        <w:rPr>
          <w:rFonts w:ascii="Times New Roman" w:hAnsi="Times New Roman" w:cs="Times New Roman"/>
          <w:lang w:val="es-CR"/>
        </w:rPr>
        <w:t>, se hace necesario realizar un cálculo de los posibles escalamientos de precios de la</w:t>
      </w:r>
      <w:r w:rsidRPr="00EE3D14">
        <w:rPr>
          <w:rFonts w:ascii="Times New Roman" w:hAnsi="Times New Roman" w:cs="Times New Roman"/>
          <w:lang w:val="es-CR"/>
        </w:rPr>
        <w:t>s</w:t>
      </w:r>
      <w:r w:rsidR="00884BAD" w:rsidRPr="00EE3D14">
        <w:rPr>
          <w:rFonts w:ascii="Times New Roman" w:hAnsi="Times New Roman" w:cs="Times New Roman"/>
          <w:lang w:val="es-CR"/>
        </w:rPr>
        <w:t xml:space="preserve"> obra</w:t>
      </w:r>
      <w:r w:rsidRPr="00EE3D14">
        <w:rPr>
          <w:rFonts w:ascii="Times New Roman" w:hAnsi="Times New Roman" w:cs="Times New Roman"/>
          <w:lang w:val="es-CR"/>
        </w:rPr>
        <w:t>s</w:t>
      </w:r>
      <w:r w:rsidR="00884BAD" w:rsidRPr="00EE3D14">
        <w:rPr>
          <w:rFonts w:ascii="Times New Roman" w:hAnsi="Times New Roman" w:cs="Times New Roman"/>
          <w:lang w:val="es-CR"/>
        </w:rPr>
        <w:t xml:space="preserve"> al momento de su construcción, durante la etapa de implementación del proyecto. </w:t>
      </w:r>
    </w:p>
    <w:p w:rsidR="00AA079D" w:rsidRPr="00EE3D14" w:rsidRDefault="008A7106" w:rsidP="00420EF1">
      <w:pPr>
        <w:jc w:val="both"/>
        <w:rPr>
          <w:rFonts w:ascii="Times New Roman" w:hAnsi="Times New Roman" w:cs="Times New Roman"/>
          <w:lang w:val="es-CR"/>
        </w:rPr>
      </w:pPr>
      <w:r w:rsidRPr="00EE3D14">
        <w:rPr>
          <w:rFonts w:ascii="Times New Roman" w:hAnsi="Times New Roman" w:cs="Times New Roman"/>
          <w:lang w:val="es-CR"/>
        </w:rPr>
        <w:t>S</w:t>
      </w:r>
      <w:r w:rsidR="00AA079D" w:rsidRPr="00EE3D14">
        <w:rPr>
          <w:rFonts w:ascii="Times New Roman" w:hAnsi="Times New Roman" w:cs="Times New Roman"/>
          <w:lang w:val="es-CR"/>
        </w:rPr>
        <w:t>i</w:t>
      </w:r>
      <w:r w:rsidR="009E26DA" w:rsidRPr="00EE3D14">
        <w:rPr>
          <w:rFonts w:ascii="Times New Roman" w:hAnsi="Times New Roman" w:cs="Times New Roman"/>
          <w:lang w:val="es-CR"/>
        </w:rPr>
        <w:t xml:space="preserve"> se a</w:t>
      </w:r>
      <w:r w:rsidR="00420EF1" w:rsidRPr="00EE3D14">
        <w:rPr>
          <w:rFonts w:ascii="Times New Roman" w:hAnsi="Times New Roman" w:cs="Times New Roman"/>
          <w:lang w:val="es-CR"/>
        </w:rPr>
        <w:t>naliz</w:t>
      </w:r>
      <w:r w:rsidR="00AA079D" w:rsidRPr="00EE3D14">
        <w:rPr>
          <w:rFonts w:ascii="Times New Roman" w:hAnsi="Times New Roman" w:cs="Times New Roman"/>
          <w:lang w:val="es-CR"/>
        </w:rPr>
        <w:t>a</w:t>
      </w:r>
      <w:r w:rsidR="00420EF1" w:rsidRPr="00EE3D14">
        <w:rPr>
          <w:rFonts w:ascii="Times New Roman" w:hAnsi="Times New Roman" w:cs="Times New Roman"/>
          <w:lang w:val="es-CR"/>
        </w:rPr>
        <w:t xml:space="preserve"> el comportamiento </w:t>
      </w:r>
      <w:r w:rsidR="004A2C0F" w:rsidRPr="00EE3D14">
        <w:rPr>
          <w:rFonts w:ascii="Times New Roman" w:hAnsi="Times New Roman" w:cs="Times New Roman"/>
          <w:lang w:val="es-CR"/>
        </w:rPr>
        <w:t xml:space="preserve">interanual </w:t>
      </w:r>
      <w:r w:rsidR="00420EF1" w:rsidRPr="00EE3D14">
        <w:rPr>
          <w:rFonts w:ascii="Times New Roman" w:hAnsi="Times New Roman" w:cs="Times New Roman"/>
          <w:lang w:val="es-CR"/>
        </w:rPr>
        <w:t xml:space="preserve">de las variaciones mensuales de </w:t>
      </w:r>
      <w:r w:rsidRPr="00EE3D14">
        <w:rPr>
          <w:rFonts w:ascii="Times New Roman" w:hAnsi="Times New Roman" w:cs="Times New Roman"/>
          <w:lang w:val="es-CR"/>
        </w:rPr>
        <w:t>IPCE</w:t>
      </w:r>
      <w:r w:rsidR="00420EF1" w:rsidRPr="00EE3D14">
        <w:rPr>
          <w:rFonts w:ascii="Times New Roman" w:hAnsi="Times New Roman" w:cs="Times New Roman"/>
          <w:lang w:val="es-CR"/>
        </w:rPr>
        <w:t>, por diferencia simple entre cada dato dispon</w:t>
      </w:r>
      <w:r w:rsidR="004A2C0F" w:rsidRPr="00EE3D14">
        <w:rPr>
          <w:rFonts w:ascii="Times New Roman" w:hAnsi="Times New Roman" w:cs="Times New Roman"/>
          <w:lang w:val="es-CR"/>
        </w:rPr>
        <w:t xml:space="preserve">ible y el dato del año anterior para el mismo </w:t>
      </w:r>
      <w:r w:rsidR="00420EF1" w:rsidRPr="00EE3D14">
        <w:rPr>
          <w:rFonts w:ascii="Times New Roman" w:hAnsi="Times New Roman" w:cs="Times New Roman"/>
          <w:lang w:val="es-CR"/>
        </w:rPr>
        <w:t>mes</w:t>
      </w:r>
      <w:r w:rsidR="004A2C0F" w:rsidRPr="00EE3D14">
        <w:rPr>
          <w:rFonts w:ascii="Times New Roman" w:hAnsi="Times New Roman" w:cs="Times New Roman"/>
          <w:lang w:val="es-CR"/>
        </w:rPr>
        <w:t>,</w:t>
      </w:r>
      <w:r w:rsidR="00AA079D" w:rsidRPr="00EE3D14">
        <w:rPr>
          <w:rFonts w:ascii="Times New Roman" w:hAnsi="Times New Roman" w:cs="Times New Roman"/>
          <w:lang w:val="es-CR"/>
        </w:rPr>
        <w:t xml:space="preserve"> se obtiene</w:t>
      </w:r>
      <w:r w:rsidR="00420EF1" w:rsidRPr="00EE3D14">
        <w:rPr>
          <w:rFonts w:ascii="Times New Roman" w:hAnsi="Times New Roman" w:cs="Times New Roman"/>
          <w:lang w:val="es-CR"/>
        </w:rPr>
        <w:t xml:space="preserve"> que</w:t>
      </w:r>
      <w:r w:rsidR="004A2C0F" w:rsidRPr="00EE3D14">
        <w:rPr>
          <w:rFonts w:ascii="Times New Roman" w:hAnsi="Times New Roman" w:cs="Times New Roman"/>
          <w:lang w:val="es-CR"/>
        </w:rPr>
        <w:t>,</w:t>
      </w:r>
      <w:r w:rsidR="00AA079D" w:rsidRPr="00EE3D14">
        <w:rPr>
          <w:rFonts w:ascii="Times New Roman" w:hAnsi="Times New Roman" w:cs="Times New Roman"/>
          <w:lang w:val="es-CR"/>
        </w:rPr>
        <w:t xml:space="preserve"> en promedio</w:t>
      </w:r>
      <w:r w:rsidR="004A2C0F" w:rsidRPr="00EE3D14">
        <w:rPr>
          <w:rFonts w:ascii="Times New Roman" w:hAnsi="Times New Roman" w:cs="Times New Roman"/>
          <w:lang w:val="es-CR"/>
        </w:rPr>
        <w:t>,</w:t>
      </w:r>
      <w:r w:rsidR="009E26DA" w:rsidRPr="00EE3D14">
        <w:rPr>
          <w:rFonts w:ascii="Times New Roman" w:hAnsi="Times New Roman" w:cs="Times New Roman"/>
          <w:lang w:val="es-CR"/>
        </w:rPr>
        <w:t xml:space="preserve"> el comportamiento de </w:t>
      </w:r>
      <w:r w:rsidR="00420EF1" w:rsidRPr="00EE3D14">
        <w:rPr>
          <w:rFonts w:ascii="Times New Roman" w:hAnsi="Times New Roman" w:cs="Times New Roman"/>
          <w:lang w:val="es-CR"/>
        </w:rPr>
        <w:t>la variación interanual</w:t>
      </w:r>
      <w:r w:rsidR="009E26DA" w:rsidRPr="00EE3D14">
        <w:rPr>
          <w:rFonts w:ascii="Times New Roman" w:hAnsi="Times New Roman" w:cs="Times New Roman"/>
          <w:lang w:val="es-CR"/>
        </w:rPr>
        <w:t xml:space="preserve"> </w:t>
      </w:r>
      <w:r w:rsidRPr="00EE3D14">
        <w:rPr>
          <w:rFonts w:ascii="Times New Roman" w:hAnsi="Times New Roman" w:cs="Times New Roman"/>
          <w:lang w:val="es-CR"/>
        </w:rPr>
        <w:t>índice de precios de la construcción en Costa Rica</w:t>
      </w:r>
      <w:r w:rsidR="00193D12" w:rsidRPr="00EE3D14">
        <w:rPr>
          <w:rFonts w:ascii="Times New Roman" w:hAnsi="Times New Roman" w:cs="Times New Roman"/>
          <w:lang w:val="es-CR"/>
        </w:rPr>
        <w:t xml:space="preserve"> </w:t>
      </w:r>
      <w:proofErr w:type="gramStart"/>
      <w:r w:rsidR="004A2C0F" w:rsidRPr="00EE3D14">
        <w:rPr>
          <w:rFonts w:ascii="Times New Roman" w:hAnsi="Times New Roman" w:cs="Times New Roman"/>
          <w:lang w:val="es-CR"/>
        </w:rPr>
        <w:t>es</w:t>
      </w:r>
      <w:proofErr w:type="gramEnd"/>
      <w:r w:rsidR="004A2C0F" w:rsidRPr="00EE3D14">
        <w:rPr>
          <w:rFonts w:ascii="Times New Roman" w:hAnsi="Times New Roman" w:cs="Times New Roman"/>
          <w:lang w:val="es-CR"/>
        </w:rPr>
        <w:t xml:space="preserve"> </w:t>
      </w:r>
      <w:r w:rsidRPr="00EE3D14">
        <w:rPr>
          <w:rFonts w:ascii="Times New Roman" w:hAnsi="Times New Roman" w:cs="Times New Roman"/>
          <w:lang w:val="es-CR"/>
        </w:rPr>
        <w:t>aproximadamente</w:t>
      </w:r>
      <w:r w:rsidR="004A2C0F" w:rsidRPr="00EE3D14">
        <w:rPr>
          <w:rFonts w:ascii="Times New Roman" w:hAnsi="Times New Roman" w:cs="Times New Roman"/>
          <w:lang w:val="es-CR"/>
        </w:rPr>
        <w:t xml:space="preserve"> un</w:t>
      </w:r>
      <w:r w:rsidRPr="00EE3D14">
        <w:rPr>
          <w:rFonts w:ascii="Times New Roman" w:hAnsi="Times New Roman" w:cs="Times New Roman"/>
          <w:lang w:val="es-CR"/>
        </w:rPr>
        <w:t xml:space="preserve"> 2%</w:t>
      </w:r>
      <w:r w:rsidR="002A4571" w:rsidRPr="00EE3D14">
        <w:rPr>
          <w:rFonts w:ascii="Times New Roman" w:hAnsi="Times New Roman" w:cs="Times New Roman"/>
          <w:lang w:val="es-CR"/>
        </w:rPr>
        <w:t>.</w:t>
      </w:r>
    </w:p>
    <w:p w:rsidR="004A2C0F" w:rsidRPr="00EE3D14" w:rsidRDefault="00AA079D" w:rsidP="004A2C0F">
      <w:pPr>
        <w:jc w:val="both"/>
        <w:rPr>
          <w:rFonts w:ascii="Times New Roman" w:hAnsi="Times New Roman" w:cs="Times New Roman"/>
          <w:lang w:val="es-CR"/>
        </w:rPr>
      </w:pPr>
      <w:r w:rsidRPr="00EE3D14">
        <w:rPr>
          <w:rFonts w:ascii="Times New Roman" w:hAnsi="Times New Roman" w:cs="Times New Roman"/>
          <w:lang w:val="es-CR"/>
        </w:rPr>
        <w:t xml:space="preserve">Considerando entonces esa base de variación de precios interanual, se realiza una </w:t>
      </w:r>
      <w:r w:rsidR="008A7106" w:rsidRPr="00EE3D14">
        <w:rPr>
          <w:rFonts w:ascii="Times New Roman" w:hAnsi="Times New Roman" w:cs="Times New Roman"/>
          <w:lang w:val="es-CR"/>
        </w:rPr>
        <w:t>estimación</w:t>
      </w:r>
      <w:r w:rsidRPr="00EE3D14">
        <w:rPr>
          <w:rFonts w:ascii="Times New Roman" w:hAnsi="Times New Roman" w:cs="Times New Roman"/>
          <w:lang w:val="es-CR"/>
        </w:rPr>
        <w:t xml:space="preserve"> </w:t>
      </w:r>
      <w:r w:rsidR="008A7106" w:rsidRPr="00EE3D14">
        <w:rPr>
          <w:rFonts w:ascii="Times New Roman" w:hAnsi="Times New Roman" w:cs="Times New Roman"/>
          <w:lang w:val="es-CR"/>
        </w:rPr>
        <w:t xml:space="preserve">extrapolada </w:t>
      </w:r>
      <w:r w:rsidRPr="00EE3D14">
        <w:rPr>
          <w:rFonts w:ascii="Times New Roman" w:hAnsi="Times New Roman" w:cs="Times New Roman"/>
          <w:lang w:val="es-CR"/>
        </w:rPr>
        <w:t>de los costos del presupuesto</w:t>
      </w:r>
      <w:r w:rsidR="00DE0F68" w:rsidRPr="00EE3D14">
        <w:rPr>
          <w:rFonts w:ascii="Times New Roman" w:hAnsi="Times New Roman" w:cs="Times New Roman"/>
          <w:lang w:val="es-CR"/>
        </w:rPr>
        <w:t xml:space="preserve"> para cada obra</w:t>
      </w:r>
      <w:r w:rsidR="004952AB" w:rsidRPr="00EE3D14">
        <w:rPr>
          <w:rFonts w:ascii="Times New Roman" w:hAnsi="Times New Roman" w:cs="Times New Roman"/>
          <w:lang w:val="es-CR"/>
        </w:rPr>
        <w:t>, llevando el presupuesto a una base de costos del año de fin previsto de su construcción</w:t>
      </w:r>
      <w:r w:rsidR="00DE0F68" w:rsidRPr="00EE3D14">
        <w:rPr>
          <w:rFonts w:ascii="Times New Roman" w:hAnsi="Times New Roman" w:cs="Times New Roman"/>
          <w:lang w:val="es-CR"/>
        </w:rPr>
        <w:t xml:space="preserve"> en cada caso</w:t>
      </w:r>
      <w:r w:rsidR="004952AB" w:rsidRPr="00EE3D14">
        <w:rPr>
          <w:rFonts w:ascii="Times New Roman" w:hAnsi="Times New Roman" w:cs="Times New Roman"/>
          <w:lang w:val="es-CR"/>
        </w:rPr>
        <w:t>, de acuerdo al Plan de Ejecución (PEP) del programa.</w:t>
      </w:r>
      <w:r w:rsidR="004A2C0F" w:rsidRPr="00EE3D14">
        <w:rPr>
          <w:rFonts w:ascii="Times New Roman" w:hAnsi="Times New Roman" w:cs="Times New Roman"/>
          <w:lang w:val="es-CR"/>
        </w:rPr>
        <w:t xml:space="preserve"> Los resultados del cálculo se muestran en el cuadro siguiente:</w:t>
      </w:r>
    </w:p>
    <w:p w:rsidR="00527ABC" w:rsidRPr="00EE3D14" w:rsidRDefault="00527ABC" w:rsidP="00527ABC">
      <w:pPr>
        <w:pStyle w:val="Heading2"/>
        <w:ind w:left="720"/>
        <w:rPr>
          <w:color w:val="auto"/>
          <w:sz w:val="22"/>
          <w:lang w:val="es-CR"/>
        </w:rPr>
      </w:pPr>
    </w:p>
    <w:p w:rsidR="00CE0C20" w:rsidRPr="00EE3D14" w:rsidRDefault="00CE0C20" w:rsidP="00CE0C20">
      <w:pPr>
        <w:pStyle w:val="Caption"/>
        <w:keepNext/>
        <w:jc w:val="center"/>
        <w:rPr>
          <w:lang w:val="es-CR"/>
        </w:rPr>
      </w:pPr>
      <w:r w:rsidRPr="00EE3D14">
        <w:rPr>
          <w:lang w:val="es-CR"/>
        </w:rPr>
        <w:t xml:space="preserve">Cuadro </w:t>
      </w:r>
      <w:r w:rsidRPr="00EE3D14">
        <w:rPr>
          <w:lang w:val="es-CR"/>
        </w:rPr>
        <w:fldChar w:fldCharType="begin"/>
      </w:r>
      <w:r w:rsidRPr="00EE3D14">
        <w:rPr>
          <w:lang w:val="es-CR"/>
        </w:rPr>
        <w:instrText xml:space="preserve"> SEQ Cuadro \* ARABIC </w:instrText>
      </w:r>
      <w:r w:rsidRPr="00EE3D14">
        <w:rPr>
          <w:lang w:val="es-CR"/>
        </w:rPr>
        <w:fldChar w:fldCharType="separate"/>
      </w:r>
      <w:r w:rsidR="00DD6C88" w:rsidRPr="00EE3D14">
        <w:rPr>
          <w:noProof/>
          <w:lang w:val="es-CR"/>
        </w:rPr>
        <w:t>4</w:t>
      </w:r>
      <w:r w:rsidRPr="00EE3D14">
        <w:rPr>
          <w:lang w:val="es-CR"/>
        </w:rPr>
        <w:fldChar w:fldCharType="end"/>
      </w:r>
      <w:r w:rsidRPr="00EE3D14">
        <w:rPr>
          <w:lang w:val="es-CR"/>
        </w:rPr>
        <w:t>. Estimación de la previsión para escalamiento de costos a fin de obras.</w:t>
      </w:r>
    </w:p>
    <w:tbl>
      <w:tblPr>
        <w:tblStyle w:val="TableGrid"/>
        <w:tblW w:w="0" w:type="auto"/>
        <w:jc w:val="center"/>
        <w:tblLook w:val="04A0" w:firstRow="1" w:lastRow="0" w:firstColumn="1" w:lastColumn="0" w:noHBand="0" w:noVBand="1"/>
      </w:tblPr>
      <w:tblGrid>
        <w:gridCol w:w="1965"/>
        <w:gridCol w:w="2100"/>
        <w:gridCol w:w="1932"/>
        <w:gridCol w:w="1952"/>
      </w:tblGrid>
      <w:tr w:rsidR="008A7106" w:rsidRPr="005B5C3A" w:rsidTr="008A7106">
        <w:trPr>
          <w:trHeight w:val="300"/>
          <w:jc w:val="center"/>
        </w:trPr>
        <w:tc>
          <w:tcPr>
            <w:tcW w:w="1965" w:type="dxa"/>
          </w:tcPr>
          <w:p w:rsidR="008A7106" w:rsidRPr="00EE3D14" w:rsidRDefault="008A7106" w:rsidP="00611E8B">
            <w:pPr>
              <w:contextualSpacing/>
              <w:jc w:val="center"/>
              <w:rPr>
                <w:rFonts w:ascii="Times New Roman" w:hAnsi="Times New Roman" w:cs="Times New Roman"/>
                <w:b/>
                <w:lang w:val="es-CR"/>
              </w:rPr>
            </w:pPr>
            <w:r w:rsidRPr="00EE3D14">
              <w:rPr>
                <w:rFonts w:ascii="Times New Roman" w:hAnsi="Times New Roman" w:cs="Times New Roman"/>
                <w:b/>
                <w:lang w:val="es-CR"/>
              </w:rPr>
              <w:t>Paso de frontera</w:t>
            </w:r>
          </w:p>
        </w:tc>
        <w:tc>
          <w:tcPr>
            <w:tcW w:w="2100" w:type="dxa"/>
            <w:noWrap/>
          </w:tcPr>
          <w:p w:rsidR="008A7106" w:rsidRPr="00EE3D14" w:rsidRDefault="008A7106" w:rsidP="00611E8B">
            <w:pPr>
              <w:contextualSpacing/>
              <w:jc w:val="center"/>
              <w:rPr>
                <w:rFonts w:ascii="Times New Roman" w:hAnsi="Times New Roman" w:cs="Times New Roman"/>
                <w:b/>
                <w:lang w:val="es-CR"/>
              </w:rPr>
            </w:pPr>
            <w:r w:rsidRPr="00EE3D14">
              <w:rPr>
                <w:rFonts w:ascii="Times New Roman" w:hAnsi="Times New Roman" w:cs="Times New Roman"/>
                <w:b/>
                <w:lang w:val="es-CR"/>
              </w:rPr>
              <w:t>Costos base</w:t>
            </w:r>
          </w:p>
          <w:p w:rsidR="008A7106" w:rsidRPr="00EE3D14" w:rsidRDefault="008A7106" w:rsidP="00160F94">
            <w:pPr>
              <w:contextualSpacing/>
              <w:jc w:val="center"/>
              <w:rPr>
                <w:rFonts w:ascii="Times New Roman" w:hAnsi="Times New Roman" w:cs="Times New Roman"/>
                <w:b/>
                <w:lang w:val="es-CR"/>
              </w:rPr>
            </w:pPr>
            <w:r w:rsidRPr="00EE3D14">
              <w:rPr>
                <w:rFonts w:ascii="Times New Roman" w:hAnsi="Times New Roman" w:cs="Times New Roman"/>
                <w:b/>
                <w:lang w:val="es-CR"/>
              </w:rPr>
              <w:t>a 2015 (US$)</w:t>
            </w:r>
          </w:p>
        </w:tc>
        <w:tc>
          <w:tcPr>
            <w:tcW w:w="1932" w:type="dxa"/>
          </w:tcPr>
          <w:p w:rsidR="008A7106" w:rsidRPr="00EE3D14" w:rsidRDefault="008A7106" w:rsidP="00611E8B">
            <w:pPr>
              <w:contextualSpacing/>
              <w:jc w:val="center"/>
              <w:rPr>
                <w:rFonts w:ascii="Times New Roman" w:hAnsi="Times New Roman" w:cs="Times New Roman"/>
                <w:b/>
                <w:lang w:val="es-CR"/>
              </w:rPr>
            </w:pPr>
            <w:r w:rsidRPr="00EE3D14">
              <w:rPr>
                <w:rFonts w:ascii="Times New Roman" w:hAnsi="Times New Roman" w:cs="Times New Roman"/>
                <w:b/>
                <w:lang w:val="es-CR"/>
              </w:rPr>
              <w:t>Previsión para escalamientos (US$)</w:t>
            </w:r>
          </w:p>
        </w:tc>
        <w:tc>
          <w:tcPr>
            <w:tcW w:w="1952" w:type="dxa"/>
          </w:tcPr>
          <w:p w:rsidR="008A7106" w:rsidRPr="00EE3D14" w:rsidRDefault="008A7106" w:rsidP="00611E8B">
            <w:pPr>
              <w:contextualSpacing/>
              <w:jc w:val="center"/>
              <w:rPr>
                <w:rFonts w:ascii="Times New Roman" w:hAnsi="Times New Roman" w:cs="Times New Roman"/>
                <w:b/>
                <w:lang w:val="es-CR"/>
              </w:rPr>
            </w:pPr>
            <w:r w:rsidRPr="00EE3D14">
              <w:rPr>
                <w:rFonts w:ascii="Times New Roman" w:hAnsi="Times New Roman" w:cs="Times New Roman"/>
                <w:b/>
                <w:lang w:val="es-CR"/>
              </w:rPr>
              <w:t>Costos al año de fin de obras (US$)</w:t>
            </w:r>
          </w:p>
        </w:tc>
      </w:tr>
      <w:tr w:rsidR="008A7106" w:rsidRPr="00EE3D14" w:rsidTr="008A7106">
        <w:trPr>
          <w:trHeight w:val="300"/>
          <w:jc w:val="center"/>
        </w:trPr>
        <w:tc>
          <w:tcPr>
            <w:tcW w:w="1965" w:type="dxa"/>
            <w:hideMark/>
          </w:tcPr>
          <w:p w:rsidR="008A7106" w:rsidRPr="00EE3D14" w:rsidRDefault="008A7106" w:rsidP="00611E8B">
            <w:pPr>
              <w:contextualSpacing/>
              <w:jc w:val="both"/>
              <w:rPr>
                <w:rFonts w:ascii="Times New Roman" w:hAnsi="Times New Roman" w:cs="Times New Roman"/>
                <w:lang w:val="es-CR"/>
              </w:rPr>
            </w:pPr>
            <w:r w:rsidRPr="00EE3D14">
              <w:rPr>
                <w:rFonts w:ascii="Times New Roman" w:hAnsi="Times New Roman" w:cs="Times New Roman"/>
                <w:lang w:val="es-CR"/>
              </w:rPr>
              <w:t>Paso Canoas</w:t>
            </w:r>
          </w:p>
        </w:tc>
        <w:tc>
          <w:tcPr>
            <w:tcW w:w="2100" w:type="dxa"/>
            <w:noWrap/>
            <w:hideMark/>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24,818,027 </w:t>
            </w:r>
          </w:p>
        </w:tc>
        <w:tc>
          <w:tcPr>
            <w:tcW w:w="1932" w:type="dxa"/>
            <w:vAlign w:val="bottom"/>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2,318,947 </w:t>
            </w:r>
          </w:p>
        </w:tc>
        <w:tc>
          <w:tcPr>
            <w:tcW w:w="1952" w:type="dxa"/>
            <w:vAlign w:val="bottom"/>
          </w:tcPr>
          <w:p w:rsidR="008A7106" w:rsidRPr="00EE3D14" w:rsidRDefault="008A7106" w:rsidP="00AA079D">
            <w:pPr>
              <w:contextualSpacing/>
              <w:jc w:val="center"/>
              <w:rPr>
                <w:rFonts w:ascii="Times New Roman" w:hAnsi="Times New Roman" w:cs="Times New Roman"/>
                <w:lang w:val="es-CR"/>
              </w:rPr>
            </w:pPr>
            <w:r w:rsidRPr="00EE3D14">
              <w:rPr>
                <w:rFonts w:ascii="Times New Roman" w:hAnsi="Times New Roman" w:cs="Times New Roman"/>
                <w:lang w:val="es-CR"/>
              </w:rPr>
              <w:t xml:space="preserve">27,136,974 </w:t>
            </w:r>
          </w:p>
        </w:tc>
      </w:tr>
      <w:tr w:rsidR="008A7106" w:rsidRPr="00EE3D14" w:rsidTr="008A7106">
        <w:trPr>
          <w:trHeight w:val="288"/>
          <w:jc w:val="center"/>
        </w:trPr>
        <w:tc>
          <w:tcPr>
            <w:tcW w:w="1965" w:type="dxa"/>
            <w:hideMark/>
          </w:tcPr>
          <w:p w:rsidR="008A7106" w:rsidRPr="00EE3D14" w:rsidRDefault="008A7106" w:rsidP="00611E8B">
            <w:pPr>
              <w:contextualSpacing/>
              <w:jc w:val="both"/>
              <w:rPr>
                <w:rFonts w:ascii="Times New Roman" w:hAnsi="Times New Roman" w:cs="Times New Roman"/>
                <w:lang w:val="es-CR"/>
              </w:rPr>
            </w:pPr>
            <w:r w:rsidRPr="00EE3D14">
              <w:rPr>
                <w:rFonts w:ascii="Times New Roman" w:hAnsi="Times New Roman" w:cs="Times New Roman"/>
                <w:lang w:val="es-CR"/>
              </w:rPr>
              <w:t>Peñas Blancas</w:t>
            </w:r>
          </w:p>
        </w:tc>
        <w:tc>
          <w:tcPr>
            <w:tcW w:w="2100" w:type="dxa"/>
            <w:noWrap/>
            <w:hideMark/>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26,572,141 </w:t>
            </w:r>
          </w:p>
        </w:tc>
        <w:tc>
          <w:tcPr>
            <w:tcW w:w="1932" w:type="dxa"/>
            <w:vAlign w:val="bottom"/>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1,650,143 </w:t>
            </w:r>
          </w:p>
        </w:tc>
        <w:tc>
          <w:tcPr>
            <w:tcW w:w="1952" w:type="dxa"/>
            <w:vAlign w:val="bottom"/>
          </w:tcPr>
          <w:p w:rsidR="008A7106" w:rsidRPr="00EE3D14" w:rsidRDefault="008A7106" w:rsidP="00AA079D">
            <w:pPr>
              <w:contextualSpacing/>
              <w:jc w:val="center"/>
              <w:rPr>
                <w:rFonts w:ascii="Times New Roman" w:hAnsi="Times New Roman" w:cs="Times New Roman"/>
                <w:lang w:val="es-CR"/>
              </w:rPr>
            </w:pPr>
            <w:r w:rsidRPr="00EE3D14">
              <w:rPr>
                <w:rFonts w:ascii="Times New Roman" w:hAnsi="Times New Roman" w:cs="Times New Roman"/>
                <w:lang w:val="es-CR"/>
              </w:rPr>
              <w:t xml:space="preserve">28,222,283 </w:t>
            </w:r>
          </w:p>
        </w:tc>
      </w:tr>
      <w:tr w:rsidR="008A7106" w:rsidRPr="00EE3D14" w:rsidTr="008A7106">
        <w:trPr>
          <w:trHeight w:val="300"/>
          <w:jc w:val="center"/>
        </w:trPr>
        <w:tc>
          <w:tcPr>
            <w:tcW w:w="1965" w:type="dxa"/>
            <w:hideMark/>
          </w:tcPr>
          <w:p w:rsidR="008A7106" w:rsidRPr="00EE3D14" w:rsidRDefault="008A7106" w:rsidP="00611E8B">
            <w:pPr>
              <w:contextualSpacing/>
              <w:jc w:val="both"/>
              <w:rPr>
                <w:rFonts w:ascii="Times New Roman" w:hAnsi="Times New Roman" w:cs="Times New Roman"/>
                <w:lang w:val="es-CR"/>
              </w:rPr>
            </w:pPr>
            <w:r w:rsidRPr="00EE3D14">
              <w:rPr>
                <w:rFonts w:ascii="Times New Roman" w:hAnsi="Times New Roman" w:cs="Times New Roman"/>
                <w:lang w:val="es-CR"/>
              </w:rPr>
              <w:t>Tablillas</w:t>
            </w:r>
          </w:p>
        </w:tc>
        <w:tc>
          <w:tcPr>
            <w:tcW w:w="2100" w:type="dxa"/>
            <w:noWrap/>
            <w:hideMark/>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10,586,590 </w:t>
            </w:r>
          </w:p>
        </w:tc>
        <w:tc>
          <w:tcPr>
            <w:tcW w:w="1932" w:type="dxa"/>
            <w:vAlign w:val="bottom"/>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643,867 </w:t>
            </w:r>
          </w:p>
        </w:tc>
        <w:tc>
          <w:tcPr>
            <w:tcW w:w="1952" w:type="dxa"/>
            <w:vAlign w:val="bottom"/>
          </w:tcPr>
          <w:p w:rsidR="008A7106" w:rsidRPr="00EE3D14" w:rsidRDefault="008A7106" w:rsidP="00AA079D">
            <w:pPr>
              <w:contextualSpacing/>
              <w:jc w:val="center"/>
              <w:rPr>
                <w:rFonts w:ascii="Times New Roman" w:hAnsi="Times New Roman" w:cs="Times New Roman"/>
                <w:lang w:val="es-CR"/>
              </w:rPr>
            </w:pPr>
            <w:r w:rsidRPr="00EE3D14">
              <w:rPr>
                <w:rFonts w:ascii="Times New Roman" w:hAnsi="Times New Roman" w:cs="Times New Roman"/>
                <w:lang w:val="es-CR"/>
              </w:rPr>
              <w:t xml:space="preserve">11,230,457 </w:t>
            </w:r>
          </w:p>
        </w:tc>
      </w:tr>
      <w:tr w:rsidR="008A7106" w:rsidRPr="00EE3D14" w:rsidTr="008A7106">
        <w:trPr>
          <w:trHeight w:val="300"/>
          <w:jc w:val="center"/>
        </w:trPr>
        <w:tc>
          <w:tcPr>
            <w:tcW w:w="1965" w:type="dxa"/>
            <w:hideMark/>
          </w:tcPr>
          <w:p w:rsidR="008A7106" w:rsidRPr="00EE3D14" w:rsidRDefault="008A7106" w:rsidP="00611E8B">
            <w:pPr>
              <w:contextualSpacing/>
              <w:jc w:val="both"/>
              <w:rPr>
                <w:rFonts w:ascii="Times New Roman" w:hAnsi="Times New Roman" w:cs="Times New Roman"/>
                <w:lang w:val="es-CR"/>
              </w:rPr>
            </w:pPr>
            <w:r w:rsidRPr="00EE3D14">
              <w:rPr>
                <w:rFonts w:ascii="Times New Roman" w:hAnsi="Times New Roman" w:cs="Times New Roman"/>
                <w:lang w:val="es-CR"/>
              </w:rPr>
              <w:t>Sixaola</w:t>
            </w:r>
          </w:p>
        </w:tc>
        <w:tc>
          <w:tcPr>
            <w:tcW w:w="2100" w:type="dxa"/>
            <w:noWrap/>
            <w:hideMark/>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6,372,293 </w:t>
            </w:r>
          </w:p>
        </w:tc>
        <w:tc>
          <w:tcPr>
            <w:tcW w:w="1932" w:type="dxa"/>
            <w:vAlign w:val="bottom"/>
          </w:tcPr>
          <w:p w:rsidR="008A7106" w:rsidRPr="00EE3D14" w:rsidRDefault="008A7106" w:rsidP="00611E8B">
            <w:pPr>
              <w:contextualSpacing/>
              <w:jc w:val="center"/>
              <w:rPr>
                <w:rFonts w:ascii="Times New Roman" w:hAnsi="Times New Roman" w:cs="Times New Roman"/>
                <w:lang w:val="es-CR"/>
              </w:rPr>
            </w:pPr>
            <w:r w:rsidRPr="00EE3D14">
              <w:rPr>
                <w:rFonts w:ascii="Times New Roman" w:hAnsi="Times New Roman" w:cs="Times New Roman"/>
                <w:lang w:val="es-CR"/>
              </w:rPr>
              <w:t xml:space="preserve">671,083 </w:t>
            </w:r>
          </w:p>
        </w:tc>
        <w:tc>
          <w:tcPr>
            <w:tcW w:w="1952" w:type="dxa"/>
            <w:vAlign w:val="bottom"/>
          </w:tcPr>
          <w:p w:rsidR="008A7106" w:rsidRPr="00EE3D14" w:rsidRDefault="008A7106" w:rsidP="00AA079D">
            <w:pPr>
              <w:contextualSpacing/>
              <w:jc w:val="center"/>
              <w:rPr>
                <w:rFonts w:ascii="Times New Roman" w:hAnsi="Times New Roman" w:cs="Times New Roman"/>
                <w:lang w:val="es-CR"/>
              </w:rPr>
            </w:pPr>
            <w:r w:rsidRPr="00EE3D14">
              <w:rPr>
                <w:rFonts w:ascii="Times New Roman" w:hAnsi="Times New Roman" w:cs="Times New Roman"/>
                <w:lang w:val="es-CR"/>
              </w:rPr>
              <w:t xml:space="preserve">7,043,375 </w:t>
            </w:r>
          </w:p>
        </w:tc>
      </w:tr>
      <w:tr w:rsidR="008A7106" w:rsidRPr="00EE3D14" w:rsidTr="008A7106">
        <w:trPr>
          <w:trHeight w:val="288"/>
          <w:jc w:val="center"/>
        </w:trPr>
        <w:tc>
          <w:tcPr>
            <w:tcW w:w="1965" w:type="dxa"/>
            <w:hideMark/>
          </w:tcPr>
          <w:p w:rsidR="008A7106" w:rsidRPr="00EE3D14" w:rsidRDefault="008A7106" w:rsidP="00611E8B">
            <w:pPr>
              <w:contextualSpacing/>
              <w:jc w:val="both"/>
              <w:rPr>
                <w:rFonts w:ascii="Times New Roman" w:hAnsi="Times New Roman" w:cs="Times New Roman"/>
                <w:b/>
                <w:lang w:val="es-CR"/>
              </w:rPr>
            </w:pPr>
            <w:r w:rsidRPr="00EE3D14">
              <w:rPr>
                <w:rFonts w:ascii="Times New Roman" w:hAnsi="Times New Roman" w:cs="Times New Roman"/>
                <w:b/>
                <w:lang w:val="es-CR"/>
              </w:rPr>
              <w:t>Total</w:t>
            </w:r>
          </w:p>
        </w:tc>
        <w:tc>
          <w:tcPr>
            <w:tcW w:w="2100" w:type="dxa"/>
            <w:noWrap/>
            <w:hideMark/>
          </w:tcPr>
          <w:p w:rsidR="008A7106" w:rsidRPr="00EE3D14" w:rsidRDefault="008A7106" w:rsidP="00611E8B">
            <w:pPr>
              <w:contextualSpacing/>
              <w:jc w:val="center"/>
              <w:rPr>
                <w:rFonts w:ascii="Times New Roman" w:hAnsi="Times New Roman" w:cs="Times New Roman"/>
                <w:b/>
                <w:lang w:val="es-CR"/>
              </w:rPr>
            </w:pPr>
            <w:r w:rsidRPr="00EE3D14">
              <w:rPr>
                <w:rFonts w:ascii="Times New Roman" w:hAnsi="Times New Roman" w:cs="Times New Roman"/>
                <w:b/>
                <w:lang w:val="es-CR"/>
              </w:rPr>
              <w:t xml:space="preserve">68,349,050 </w:t>
            </w:r>
          </w:p>
        </w:tc>
        <w:tc>
          <w:tcPr>
            <w:tcW w:w="1932" w:type="dxa"/>
          </w:tcPr>
          <w:p w:rsidR="008A7106" w:rsidRPr="00EE3D14" w:rsidRDefault="008A7106" w:rsidP="00611E8B">
            <w:pPr>
              <w:contextualSpacing/>
              <w:jc w:val="center"/>
              <w:rPr>
                <w:rFonts w:ascii="Times New Roman" w:hAnsi="Times New Roman" w:cs="Times New Roman"/>
                <w:b/>
                <w:lang w:val="es-CR"/>
              </w:rPr>
            </w:pPr>
            <w:r w:rsidRPr="00EE3D14">
              <w:rPr>
                <w:rFonts w:ascii="Times New Roman" w:hAnsi="Times New Roman" w:cs="Times New Roman"/>
                <w:b/>
                <w:lang w:val="es-CR"/>
              </w:rPr>
              <w:t>5,284,039</w:t>
            </w:r>
          </w:p>
        </w:tc>
        <w:tc>
          <w:tcPr>
            <w:tcW w:w="1952" w:type="dxa"/>
          </w:tcPr>
          <w:p w:rsidR="008A7106" w:rsidRPr="00EE3D14" w:rsidRDefault="008A7106" w:rsidP="00AA079D">
            <w:pPr>
              <w:contextualSpacing/>
              <w:jc w:val="center"/>
              <w:rPr>
                <w:rFonts w:ascii="Calibri" w:hAnsi="Calibri"/>
                <w:color w:val="000000"/>
                <w:lang w:val="es-CR"/>
              </w:rPr>
            </w:pPr>
            <w:r w:rsidRPr="00EE3D14">
              <w:rPr>
                <w:rFonts w:ascii="Times New Roman" w:hAnsi="Times New Roman" w:cs="Times New Roman"/>
                <w:b/>
                <w:lang w:val="es-CR"/>
              </w:rPr>
              <w:t>73,633,089</w:t>
            </w:r>
          </w:p>
        </w:tc>
      </w:tr>
    </w:tbl>
    <w:p w:rsidR="003A5E77" w:rsidRPr="00EE3D14" w:rsidRDefault="003A5E77" w:rsidP="00CF6814">
      <w:pPr>
        <w:rPr>
          <w:lang w:val="es-CR"/>
        </w:rPr>
      </w:pPr>
    </w:p>
    <w:p w:rsidR="004A2C0F" w:rsidRPr="00EE3D14" w:rsidRDefault="004A2C0F" w:rsidP="004A2C0F">
      <w:pPr>
        <w:jc w:val="both"/>
        <w:rPr>
          <w:rFonts w:ascii="Times New Roman" w:hAnsi="Times New Roman" w:cs="Times New Roman"/>
          <w:lang w:val="es-CR"/>
        </w:rPr>
      </w:pPr>
      <w:r w:rsidRPr="00EE3D14">
        <w:rPr>
          <w:rFonts w:ascii="Times New Roman" w:hAnsi="Times New Roman" w:cs="Times New Roman"/>
          <w:lang w:val="es-CR"/>
        </w:rPr>
        <w:t>Los resultados obtenidos indican que se requiere una previsión cercana a los US$5.3 millones de dólares para cubrir el posible escalamiento de precios de las obras dentro, del marco de comportamiento natural del mercado costarricense. Esto corresponde aproximadamente a un 7.7% del monto presupuestado originalmente para el componente de inversiones.</w:t>
      </w:r>
    </w:p>
    <w:p w:rsidR="00EF1FD1" w:rsidRPr="00EE3D14" w:rsidRDefault="00EF1FD1" w:rsidP="00DE0F68">
      <w:pPr>
        <w:jc w:val="both"/>
        <w:rPr>
          <w:rFonts w:ascii="Times New Roman" w:hAnsi="Times New Roman" w:cs="Times New Roman"/>
          <w:lang w:val="es-CR"/>
        </w:rPr>
      </w:pPr>
      <w:r w:rsidRPr="00EE3D14">
        <w:rPr>
          <w:rFonts w:ascii="Times New Roman" w:hAnsi="Times New Roman" w:cs="Times New Roman"/>
          <w:lang w:val="es-CR"/>
        </w:rPr>
        <w:t>Para efectos de presentación</w:t>
      </w:r>
      <w:r w:rsidR="00DD6C88" w:rsidRPr="00EE3D14">
        <w:rPr>
          <w:rFonts w:ascii="Times New Roman" w:hAnsi="Times New Roman" w:cs="Times New Roman"/>
          <w:lang w:val="es-CR"/>
        </w:rPr>
        <w:t xml:space="preserve"> del presupuesto de la operación</w:t>
      </w:r>
      <w:r w:rsidRPr="00EE3D14">
        <w:rPr>
          <w:rFonts w:ascii="Times New Roman" w:hAnsi="Times New Roman" w:cs="Times New Roman"/>
          <w:lang w:val="es-CR"/>
        </w:rPr>
        <w:t>, la previsión de escalamientos para cada cruce de frontera es incluida en el Plan Operativo de forma separada bajo el presupuesto específico de las respectivas obras.</w:t>
      </w:r>
    </w:p>
    <w:p w:rsidR="004B6E9C" w:rsidRPr="00EE3D14" w:rsidRDefault="004B6E9C" w:rsidP="004B6E9C">
      <w:pPr>
        <w:pStyle w:val="Heading2"/>
        <w:numPr>
          <w:ilvl w:val="0"/>
          <w:numId w:val="16"/>
        </w:numPr>
        <w:spacing w:after="240"/>
        <w:rPr>
          <w:color w:val="auto"/>
          <w:sz w:val="22"/>
          <w:lang w:val="es-CR"/>
        </w:rPr>
      </w:pPr>
      <w:bookmarkStart w:id="26" w:name="_Toc415421151"/>
      <w:r w:rsidRPr="00EE3D14">
        <w:rPr>
          <w:color w:val="auto"/>
          <w:sz w:val="22"/>
          <w:lang w:val="es-CR"/>
        </w:rPr>
        <w:t xml:space="preserve">Estimación de costos por imprevistos y </w:t>
      </w:r>
      <w:r w:rsidR="00AB7F54" w:rsidRPr="00EE3D14">
        <w:rPr>
          <w:color w:val="auto"/>
          <w:sz w:val="22"/>
          <w:lang w:val="es-CR"/>
        </w:rPr>
        <w:t>variaciones</w:t>
      </w:r>
      <w:bookmarkEnd w:id="26"/>
    </w:p>
    <w:p w:rsidR="00CF6814" w:rsidRPr="00EE3D14" w:rsidRDefault="00CF6814" w:rsidP="004B6E9C">
      <w:pPr>
        <w:jc w:val="both"/>
        <w:rPr>
          <w:rFonts w:ascii="Times New Roman" w:hAnsi="Times New Roman" w:cs="Times New Roman"/>
          <w:lang w:val="es-CR"/>
        </w:rPr>
      </w:pPr>
      <w:r w:rsidRPr="00EE3D14">
        <w:rPr>
          <w:rFonts w:ascii="Times New Roman" w:hAnsi="Times New Roman" w:cs="Times New Roman"/>
          <w:lang w:val="es-CR"/>
        </w:rPr>
        <w:t xml:space="preserve">Una vez definido el modelo matemático para la actualización de costos de la construcción y equipamiento de los pasos fronterizos del programa se procedió a realizar </w:t>
      </w:r>
      <w:r w:rsidR="004045AF" w:rsidRPr="00EE3D14">
        <w:rPr>
          <w:rFonts w:ascii="Times New Roman" w:hAnsi="Times New Roman" w:cs="Times New Roman"/>
          <w:lang w:val="es-CR"/>
        </w:rPr>
        <w:t>la</w:t>
      </w:r>
      <w:r w:rsidRPr="00EE3D14">
        <w:rPr>
          <w:rFonts w:ascii="Times New Roman" w:hAnsi="Times New Roman" w:cs="Times New Roman"/>
          <w:lang w:val="es-CR"/>
        </w:rPr>
        <w:t xml:space="preserve"> simulación Montecarlo para estimar el efecto de los riesgos definidos como “</w:t>
      </w:r>
      <w:r w:rsidR="00AB7F54" w:rsidRPr="00EE3D14">
        <w:rPr>
          <w:rFonts w:ascii="Times New Roman" w:hAnsi="Times New Roman" w:cs="Times New Roman"/>
          <w:lang w:val="es-CR"/>
        </w:rPr>
        <w:t>Entrada</w:t>
      </w:r>
      <w:r w:rsidRPr="00EE3D14">
        <w:rPr>
          <w:rFonts w:ascii="Times New Roman" w:hAnsi="Times New Roman" w:cs="Times New Roman"/>
          <w:lang w:val="es-CR"/>
        </w:rPr>
        <w:t>s” (Variación en Costos y Alcance) en el presupuesto total del programa y el presupuesto de cada uno de los pasos.</w:t>
      </w:r>
    </w:p>
    <w:p w:rsidR="00CF6814" w:rsidRPr="00EE3D14" w:rsidRDefault="00CF6814" w:rsidP="004B6E9C">
      <w:pPr>
        <w:jc w:val="both"/>
        <w:rPr>
          <w:rFonts w:ascii="Times New Roman" w:hAnsi="Times New Roman" w:cs="Times New Roman"/>
          <w:lang w:val="es-CR"/>
        </w:rPr>
      </w:pPr>
      <w:r w:rsidRPr="00EE3D14">
        <w:rPr>
          <w:rFonts w:ascii="Times New Roman" w:hAnsi="Times New Roman" w:cs="Times New Roman"/>
          <w:lang w:val="es-CR"/>
        </w:rPr>
        <w:t xml:space="preserve">Una vez realizada la simulación </w:t>
      </w:r>
      <w:r w:rsidR="00895B46" w:rsidRPr="00EE3D14">
        <w:rPr>
          <w:rFonts w:ascii="Times New Roman" w:hAnsi="Times New Roman" w:cs="Times New Roman"/>
          <w:lang w:val="es-CR"/>
        </w:rPr>
        <w:t xml:space="preserve">de 5000 iteraciones </w:t>
      </w:r>
      <w:r w:rsidRPr="00EE3D14">
        <w:rPr>
          <w:rFonts w:ascii="Times New Roman" w:hAnsi="Times New Roman" w:cs="Times New Roman"/>
          <w:lang w:val="es-CR"/>
        </w:rPr>
        <w:t>del modelo con la variación de los “</w:t>
      </w:r>
      <w:r w:rsidR="00AB7F54" w:rsidRPr="00EE3D14">
        <w:rPr>
          <w:rFonts w:ascii="Times New Roman" w:hAnsi="Times New Roman" w:cs="Times New Roman"/>
          <w:lang w:val="es-CR"/>
        </w:rPr>
        <w:t>Entrada</w:t>
      </w:r>
      <w:r w:rsidRPr="00EE3D14">
        <w:rPr>
          <w:rFonts w:ascii="Times New Roman" w:hAnsi="Times New Roman" w:cs="Times New Roman"/>
          <w:lang w:val="es-CR"/>
        </w:rPr>
        <w:t>s</w:t>
      </w:r>
      <w:r w:rsidR="004A3287" w:rsidRPr="00EE3D14">
        <w:rPr>
          <w:rFonts w:ascii="Times New Roman" w:hAnsi="Times New Roman" w:cs="Times New Roman"/>
          <w:lang w:val="es-CR"/>
        </w:rPr>
        <w:t>”</w:t>
      </w:r>
      <w:r w:rsidR="00514E26" w:rsidRPr="00EE3D14">
        <w:rPr>
          <w:rFonts w:ascii="Times New Roman" w:hAnsi="Times New Roman" w:cs="Times New Roman"/>
          <w:lang w:val="es-CR"/>
        </w:rPr>
        <w:t xml:space="preserve"> se </w:t>
      </w:r>
      <w:r w:rsidR="004A3287" w:rsidRPr="00EE3D14">
        <w:rPr>
          <w:rFonts w:ascii="Times New Roman" w:hAnsi="Times New Roman" w:cs="Times New Roman"/>
          <w:lang w:val="es-CR"/>
        </w:rPr>
        <w:t>obtiene la siguiente curva de distribución de probabilidad para el costo total del Componente I</w:t>
      </w:r>
      <w:r w:rsidR="00514E26" w:rsidRPr="00EE3D14">
        <w:rPr>
          <w:rFonts w:ascii="Times New Roman" w:hAnsi="Times New Roman" w:cs="Times New Roman"/>
          <w:lang w:val="es-CR"/>
        </w:rPr>
        <w:t>:</w:t>
      </w:r>
    </w:p>
    <w:p w:rsidR="00514E26" w:rsidRPr="00EE3D14" w:rsidRDefault="00514E26" w:rsidP="00895B46">
      <w:pPr>
        <w:jc w:val="center"/>
        <w:rPr>
          <w:lang w:val="es-CR"/>
        </w:rPr>
      </w:pPr>
    </w:p>
    <w:p w:rsidR="004A54F8" w:rsidRPr="00EE3D14" w:rsidRDefault="004A54F8" w:rsidP="00895B46">
      <w:pPr>
        <w:jc w:val="center"/>
        <w:rPr>
          <w:lang w:val="es-CR"/>
        </w:rPr>
      </w:pPr>
    </w:p>
    <w:p w:rsidR="00D26049" w:rsidRPr="00EE3D14" w:rsidRDefault="00D26049" w:rsidP="00895B46">
      <w:pPr>
        <w:jc w:val="center"/>
        <w:rPr>
          <w:lang w:val="es-CR"/>
        </w:rPr>
      </w:pPr>
    </w:p>
    <w:p w:rsidR="004A54F8" w:rsidRPr="00EE3D14" w:rsidRDefault="004A54F8" w:rsidP="004A54F8">
      <w:pPr>
        <w:pStyle w:val="Caption"/>
        <w:keepNext/>
        <w:jc w:val="center"/>
        <w:rPr>
          <w:lang w:val="es-CR"/>
        </w:rPr>
      </w:pPr>
      <w:r w:rsidRPr="00EE3D14">
        <w:rPr>
          <w:lang w:val="es-CR"/>
        </w:rPr>
        <w:t xml:space="preserve">Figura </w:t>
      </w:r>
      <w:r w:rsidRPr="00EE3D14">
        <w:rPr>
          <w:lang w:val="es-CR"/>
        </w:rPr>
        <w:fldChar w:fldCharType="begin"/>
      </w:r>
      <w:r w:rsidRPr="00EE3D14">
        <w:rPr>
          <w:lang w:val="es-CR"/>
        </w:rPr>
        <w:instrText xml:space="preserve"> SEQ Figura \* ARABIC </w:instrText>
      </w:r>
      <w:r w:rsidRPr="00EE3D14">
        <w:rPr>
          <w:lang w:val="es-CR"/>
        </w:rPr>
        <w:fldChar w:fldCharType="separate"/>
      </w:r>
      <w:r w:rsidR="00EE3FE9" w:rsidRPr="00EE3D14">
        <w:rPr>
          <w:noProof/>
          <w:lang w:val="es-CR"/>
        </w:rPr>
        <w:t>3</w:t>
      </w:r>
      <w:r w:rsidRPr="00EE3D14">
        <w:rPr>
          <w:lang w:val="es-CR"/>
        </w:rPr>
        <w:fldChar w:fldCharType="end"/>
      </w:r>
      <w:r w:rsidRPr="00EE3D14">
        <w:rPr>
          <w:lang w:val="es-CR"/>
        </w:rPr>
        <w:t>. Curvas de distribución de probabilidad para los costos.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650"/>
      </w:tblGrid>
      <w:tr w:rsidR="004A54F8" w:rsidRPr="00EE3D14" w:rsidTr="004A54F8">
        <w:trPr>
          <w:jc w:val="center"/>
        </w:trPr>
        <w:tc>
          <w:tcPr>
            <w:tcW w:w="4926" w:type="dxa"/>
          </w:tcPr>
          <w:p w:rsidR="004A54F8" w:rsidRPr="00EE3D14" w:rsidRDefault="004A54F8" w:rsidP="004A3287">
            <w:pPr>
              <w:jc w:val="both"/>
              <w:rPr>
                <w:rFonts w:ascii="Times New Roman" w:hAnsi="Times New Roman" w:cs="Times New Roman"/>
                <w:lang w:val="es-CR"/>
              </w:rPr>
            </w:pPr>
            <w:r w:rsidRPr="00EE3D14">
              <w:rPr>
                <w:noProof/>
              </w:rPr>
              <w:drawing>
                <wp:inline distT="0" distB="0" distL="0" distR="0" wp14:anchorId="5EBB0D50" wp14:editId="48FA9BBD">
                  <wp:extent cx="2952750" cy="2057400"/>
                  <wp:effectExtent l="19050" t="19050" r="19050" b="1905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5">
                            <a:extLst>
                              <a:ext uri="{28A0092B-C50C-407E-A947-70E740481C1C}">
                                <a14:useLocalDpi xmlns:a14="http://schemas.microsoft.com/office/drawing/2010/main" val="0"/>
                              </a:ext>
                            </a:extLst>
                          </a:blip>
                          <a:stretch>
                            <a:fillRect/>
                          </a:stretch>
                        </pic:blipFill>
                        <pic:spPr>
                          <a:xfrm>
                            <a:off x="0" y="0"/>
                            <a:ext cx="2952750" cy="2057400"/>
                          </a:xfrm>
                          <a:prstGeom prst="rect">
                            <a:avLst/>
                          </a:prstGeom>
                          <a:ln w="19050">
                            <a:solidFill>
                              <a:prstClr val="black"/>
                            </a:solidFill>
                          </a:ln>
                        </pic:spPr>
                      </pic:pic>
                    </a:graphicData>
                  </a:graphic>
                </wp:inline>
              </w:drawing>
            </w:r>
          </w:p>
        </w:tc>
        <w:tc>
          <w:tcPr>
            <w:tcW w:w="4650" w:type="dxa"/>
          </w:tcPr>
          <w:p w:rsidR="004A54F8" w:rsidRPr="00EE3D14" w:rsidRDefault="004A54F8" w:rsidP="004A3287">
            <w:pPr>
              <w:jc w:val="both"/>
              <w:rPr>
                <w:rFonts w:ascii="Times New Roman" w:hAnsi="Times New Roman" w:cs="Times New Roman"/>
                <w:lang w:val="es-CR"/>
              </w:rPr>
            </w:pPr>
            <w:r w:rsidRPr="00EE3D14">
              <w:rPr>
                <w:noProof/>
              </w:rPr>
              <w:drawing>
                <wp:inline distT="0" distB="0" distL="0" distR="0" wp14:anchorId="51358E28" wp14:editId="0E9B6EF9">
                  <wp:extent cx="2705100" cy="2057400"/>
                  <wp:effectExtent l="19050" t="19050" r="19050" b="1905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16">
                            <a:extLst>
                              <a:ext uri="{28A0092B-C50C-407E-A947-70E740481C1C}">
                                <a14:useLocalDpi xmlns:a14="http://schemas.microsoft.com/office/drawing/2010/main" val="0"/>
                              </a:ext>
                            </a:extLst>
                          </a:blip>
                          <a:stretch>
                            <a:fillRect/>
                          </a:stretch>
                        </pic:blipFill>
                        <pic:spPr>
                          <a:xfrm>
                            <a:off x="0" y="0"/>
                            <a:ext cx="2705100" cy="2057400"/>
                          </a:xfrm>
                          <a:prstGeom prst="rect">
                            <a:avLst/>
                          </a:prstGeom>
                          <a:ln w="19050">
                            <a:solidFill>
                              <a:prstClr val="black"/>
                            </a:solidFill>
                          </a:ln>
                        </pic:spPr>
                      </pic:pic>
                    </a:graphicData>
                  </a:graphic>
                </wp:inline>
              </w:drawing>
            </w:r>
          </w:p>
        </w:tc>
      </w:tr>
    </w:tbl>
    <w:p w:rsidR="004A54F8" w:rsidRPr="00EE3D14" w:rsidRDefault="004A54F8" w:rsidP="004A3287">
      <w:pPr>
        <w:jc w:val="both"/>
        <w:rPr>
          <w:rFonts w:ascii="Times New Roman" w:hAnsi="Times New Roman" w:cs="Times New Roman"/>
          <w:lang w:val="es-CR"/>
        </w:rPr>
      </w:pPr>
    </w:p>
    <w:p w:rsidR="007525B9" w:rsidRPr="00EE3D14" w:rsidRDefault="004A3287" w:rsidP="004A3287">
      <w:pPr>
        <w:jc w:val="both"/>
        <w:rPr>
          <w:rFonts w:ascii="Times New Roman" w:hAnsi="Times New Roman" w:cs="Times New Roman"/>
          <w:lang w:val="es-CR"/>
        </w:rPr>
      </w:pPr>
      <w:r w:rsidRPr="00EE3D14">
        <w:rPr>
          <w:rFonts w:ascii="Times New Roman" w:hAnsi="Times New Roman" w:cs="Times New Roman"/>
          <w:lang w:val="es-CR"/>
        </w:rPr>
        <w:t>Se tiene entonces que,</w:t>
      </w:r>
      <w:r w:rsidR="004A54F8" w:rsidRPr="00EE3D14">
        <w:rPr>
          <w:rFonts w:ascii="Times New Roman" w:hAnsi="Times New Roman" w:cs="Times New Roman"/>
          <w:lang w:val="es-CR"/>
        </w:rPr>
        <w:t xml:space="preserve"> para el total de las obras,</w:t>
      </w:r>
      <w:r w:rsidRPr="00EE3D14">
        <w:rPr>
          <w:rFonts w:ascii="Times New Roman" w:hAnsi="Times New Roman" w:cs="Times New Roman"/>
          <w:lang w:val="es-CR"/>
        </w:rPr>
        <w:t xml:space="preserve"> el costo estimado</w:t>
      </w:r>
      <w:r w:rsidR="004A54F8" w:rsidRPr="00EE3D14">
        <w:rPr>
          <w:rFonts w:ascii="Times New Roman" w:hAnsi="Times New Roman" w:cs="Times New Roman"/>
          <w:lang w:val="es-CR"/>
        </w:rPr>
        <w:t>,</w:t>
      </w:r>
      <w:r w:rsidRPr="00EE3D14">
        <w:rPr>
          <w:rFonts w:ascii="Times New Roman" w:hAnsi="Times New Roman" w:cs="Times New Roman"/>
          <w:lang w:val="es-CR"/>
        </w:rPr>
        <w:t xml:space="preserve"> </w:t>
      </w:r>
      <w:r w:rsidR="004A54F8" w:rsidRPr="00EE3D14">
        <w:rPr>
          <w:rFonts w:ascii="Times New Roman" w:hAnsi="Times New Roman" w:cs="Times New Roman"/>
          <w:lang w:val="es-CR"/>
        </w:rPr>
        <w:t>ade</w:t>
      </w:r>
      <w:r w:rsidRPr="00EE3D14">
        <w:rPr>
          <w:rFonts w:ascii="Times New Roman" w:hAnsi="Times New Roman" w:cs="Times New Roman"/>
          <w:lang w:val="es-CR"/>
        </w:rPr>
        <w:t>más</w:t>
      </w:r>
      <w:r w:rsidR="004A54F8" w:rsidRPr="00EE3D14">
        <w:rPr>
          <w:rFonts w:ascii="Times New Roman" w:hAnsi="Times New Roman" w:cs="Times New Roman"/>
          <w:lang w:val="es-CR"/>
        </w:rPr>
        <w:t xml:space="preserve"> de</w:t>
      </w:r>
      <w:r w:rsidRPr="00EE3D14">
        <w:rPr>
          <w:rFonts w:ascii="Times New Roman" w:hAnsi="Times New Roman" w:cs="Times New Roman"/>
          <w:lang w:val="es-CR"/>
        </w:rPr>
        <w:t xml:space="preserve"> los efectos aleatoriamente combinados de las posibles variaciones e imprevistos en términos de costos </w:t>
      </w:r>
      <w:r w:rsidR="00353618" w:rsidRPr="00EE3D14">
        <w:rPr>
          <w:rFonts w:ascii="Times New Roman" w:hAnsi="Times New Roman" w:cs="Times New Roman"/>
          <w:lang w:val="es-CR"/>
        </w:rPr>
        <w:t>unitarios</w:t>
      </w:r>
      <w:r w:rsidRPr="00EE3D14">
        <w:rPr>
          <w:rFonts w:ascii="Times New Roman" w:hAnsi="Times New Roman" w:cs="Times New Roman"/>
          <w:lang w:val="es-CR"/>
        </w:rPr>
        <w:t xml:space="preserve"> y cantidades, tienen un 95% de proba</w:t>
      </w:r>
      <w:r w:rsidR="004A54F8" w:rsidRPr="00EE3D14">
        <w:rPr>
          <w:rFonts w:ascii="Times New Roman" w:hAnsi="Times New Roman" w:cs="Times New Roman"/>
          <w:lang w:val="es-CR"/>
        </w:rPr>
        <w:t xml:space="preserve">bilidad de ser cubiertos con US$ 79.22 millones. </w:t>
      </w:r>
    </w:p>
    <w:p w:rsidR="004A3287" w:rsidRPr="00EE3D14" w:rsidRDefault="004A54F8" w:rsidP="004A3287">
      <w:pPr>
        <w:jc w:val="both"/>
        <w:rPr>
          <w:rFonts w:ascii="Times New Roman" w:hAnsi="Times New Roman" w:cs="Times New Roman"/>
          <w:lang w:val="es-CR"/>
        </w:rPr>
      </w:pPr>
      <w:r w:rsidRPr="00EE3D14">
        <w:rPr>
          <w:rFonts w:ascii="Times New Roman" w:hAnsi="Times New Roman" w:cs="Times New Roman"/>
          <w:lang w:val="es-CR"/>
        </w:rPr>
        <w:t>Para el caso espec</w:t>
      </w:r>
      <w:r w:rsidR="00125823" w:rsidRPr="00EE3D14">
        <w:rPr>
          <w:rFonts w:ascii="Times New Roman" w:hAnsi="Times New Roman" w:cs="Times New Roman"/>
          <w:lang w:val="es-CR"/>
        </w:rPr>
        <w:t>ífico del proyecto</w:t>
      </w:r>
      <w:r w:rsidRPr="00EE3D14">
        <w:rPr>
          <w:rFonts w:ascii="Times New Roman" w:hAnsi="Times New Roman" w:cs="Times New Roman"/>
          <w:lang w:val="es-CR"/>
        </w:rPr>
        <w:t xml:space="preserve"> de la muestra</w:t>
      </w:r>
      <w:r w:rsidR="00125823" w:rsidRPr="00EE3D14">
        <w:rPr>
          <w:rFonts w:ascii="Times New Roman" w:hAnsi="Times New Roman" w:cs="Times New Roman"/>
          <w:lang w:val="es-CR"/>
        </w:rPr>
        <w:t xml:space="preserve"> (Peñas Blancas)</w:t>
      </w:r>
      <w:r w:rsidRPr="00EE3D14">
        <w:rPr>
          <w:rFonts w:ascii="Times New Roman" w:hAnsi="Times New Roman" w:cs="Times New Roman"/>
          <w:lang w:val="es-CR"/>
        </w:rPr>
        <w:t xml:space="preserve">, el </w:t>
      </w:r>
      <w:r w:rsidR="00EE3FE9" w:rsidRPr="00EE3D14">
        <w:rPr>
          <w:rFonts w:ascii="Times New Roman" w:hAnsi="Times New Roman" w:cs="Times New Roman"/>
          <w:lang w:val="es-CR"/>
        </w:rPr>
        <w:t>costo estimado con un 95% de probabilidad de ocurrencia es de US$ 29.65 millones para hacer frente al total de las obras, en el caso de presentarse los imprevistos previstos en la modelación. La figura siguiente muestra los resultados para Peñas Blancas:</w:t>
      </w:r>
    </w:p>
    <w:p w:rsidR="00EE3FE9" w:rsidRPr="00EE3D14" w:rsidRDefault="00EE3FE9" w:rsidP="00EE3FE9">
      <w:pPr>
        <w:pStyle w:val="Caption"/>
        <w:keepNext/>
        <w:jc w:val="center"/>
        <w:rPr>
          <w:lang w:val="es-CR"/>
        </w:rPr>
      </w:pPr>
      <w:r w:rsidRPr="00EE3D14">
        <w:rPr>
          <w:lang w:val="es-CR"/>
        </w:rPr>
        <w:t xml:space="preserve">Figura </w:t>
      </w:r>
      <w:r w:rsidRPr="00EE3D14">
        <w:rPr>
          <w:lang w:val="es-CR"/>
        </w:rPr>
        <w:fldChar w:fldCharType="begin"/>
      </w:r>
      <w:r w:rsidRPr="00EE3D14">
        <w:rPr>
          <w:lang w:val="es-CR"/>
        </w:rPr>
        <w:instrText xml:space="preserve"> SEQ Figura \* ARABIC </w:instrText>
      </w:r>
      <w:r w:rsidRPr="00EE3D14">
        <w:rPr>
          <w:lang w:val="es-CR"/>
        </w:rPr>
        <w:fldChar w:fldCharType="separate"/>
      </w:r>
      <w:r w:rsidRPr="00EE3D14">
        <w:rPr>
          <w:noProof/>
          <w:lang w:val="es-CR"/>
        </w:rPr>
        <w:t>4</w:t>
      </w:r>
      <w:r w:rsidRPr="00EE3D14">
        <w:rPr>
          <w:lang w:val="es-CR"/>
        </w:rPr>
        <w:fldChar w:fldCharType="end"/>
      </w:r>
      <w:r w:rsidRPr="00EE3D14">
        <w:rPr>
          <w:lang w:val="es-CR"/>
        </w:rPr>
        <w:t>. Distribuciones de probabilidad de costos para Peñas Blancas.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4A54F8" w:rsidRPr="00EE3D14" w:rsidTr="0048067F">
        <w:trPr>
          <w:jc w:val="center"/>
        </w:trPr>
        <w:tc>
          <w:tcPr>
            <w:tcW w:w="4750" w:type="dxa"/>
          </w:tcPr>
          <w:p w:rsidR="004A54F8" w:rsidRPr="00EE3D14" w:rsidRDefault="004A54F8" w:rsidP="004A3287">
            <w:pPr>
              <w:jc w:val="both"/>
              <w:rPr>
                <w:rFonts w:ascii="Times New Roman" w:hAnsi="Times New Roman" w:cs="Times New Roman"/>
                <w:lang w:val="es-CR"/>
              </w:rPr>
            </w:pPr>
            <w:r w:rsidRPr="00EE3D14">
              <w:rPr>
                <w:noProof/>
              </w:rPr>
              <w:drawing>
                <wp:inline distT="0" distB="0" distL="0" distR="0" wp14:anchorId="7BFD0325" wp14:editId="346EA797">
                  <wp:extent cx="2805545" cy="2054765"/>
                  <wp:effectExtent l="19050" t="19050" r="13970" b="22225"/>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17">
                            <a:extLst>
                              <a:ext uri="{28A0092B-C50C-407E-A947-70E740481C1C}">
                                <a14:useLocalDpi xmlns:a14="http://schemas.microsoft.com/office/drawing/2010/main" val="0"/>
                              </a:ext>
                            </a:extLst>
                          </a:blip>
                          <a:stretch>
                            <a:fillRect/>
                          </a:stretch>
                        </pic:blipFill>
                        <pic:spPr>
                          <a:xfrm>
                            <a:off x="0" y="0"/>
                            <a:ext cx="2809142" cy="2057400"/>
                          </a:xfrm>
                          <a:prstGeom prst="rect">
                            <a:avLst/>
                          </a:prstGeom>
                          <a:ln w="19050">
                            <a:solidFill>
                              <a:prstClr val="black"/>
                            </a:solidFill>
                          </a:ln>
                        </pic:spPr>
                      </pic:pic>
                    </a:graphicData>
                  </a:graphic>
                </wp:inline>
              </w:drawing>
            </w:r>
          </w:p>
        </w:tc>
        <w:tc>
          <w:tcPr>
            <w:tcW w:w="4750" w:type="dxa"/>
          </w:tcPr>
          <w:p w:rsidR="004A54F8" w:rsidRPr="00EE3D14" w:rsidRDefault="004A54F8" w:rsidP="004A3287">
            <w:pPr>
              <w:jc w:val="both"/>
              <w:rPr>
                <w:rFonts w:ascii="Times New Roman" w:hAnsi="Times New Roman" w:cs="Times New Roman"/>
                <w:lang w:val="es-CR"/>
              </w:rPr>
            </w:pPr>
            <w:r w:rsidRPr="00EE3D14">
              <w:rPr>
                <w:noProof/>
              </w:rPr>
              <w:drawing>
                <wp:inline distT="0" distB="0" distL="0" distR="0" wp14:anchorId="14201D28" wp14:editId="2F0B3E15">
                  <wp:extent cx="2819400" cy="2054766"/>
                  <wp:effectExtent l="19050" t="19050" r="19050" b="22225"/>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18">
                            <a:extLst>
                              <a:ext uri="{28A0092B-C50C-407E-A947-70E740481C1C}">
                                <a14:useLocalDpi xmlns:a14="http://schemas.microsoft.com/office/drawing/2010/main" val="0"/>
                              </a:ext>
                            </a:extLst>
                          </a:blip>
                          <a:stretch>
                            <a:fillRect/>
                          </a:stretch>
                        </pic:blipFill>
                        <pic:spPr>
                          <a:xfrm>
                            <a:off x="0" y="0"/>
                            <a:ext cx="2823014" cy="2057400"/>
                          </a:xfrm>
                          <a:prstGeom prst="rect">
                            <a:avLst/>
                          </a:prstGeom>
                          <a:ln w="19050">
                            <a:solidFill>
                              <a:prstClr val="black"/>
                            </a:solidFill>
                          </a:ln>
                        </pic:spPr>
                      </pic:pic>
                    </a:graphicData>
                  </a:graphic>
                </wp:inline>
              </w:drawing>
            </w:r>
          </w:p>
        </w:tc>
      </w:tr>
    </w:tbl>
    <w:p w:rsidR="004A54F8" w:rsidRPr="00EE3D14" w:rsidRDefault="004A54F8" w:rsidP="004A3287">
      <w:pPr>
        <w:jc w:val="both"/>
        <w:rPr>
          <w:rFonts w:ascii="Times New Roman" w:hAnsi="Times New Roman" w:cs="Times New Roman"/>
          <w:lang w:val="es-CR"/>
        </w:rPr>
      </w:pPr>
    </w:p>
    <w:p w:rsidR="00DF1E9B" w:rsidRPr="00EE3D14" w:rsidRDefault="00B35597" w:rsidP="00976212">
      <w:pPr>
        <w:pStyle w:val="Heading1"/>
        <w:numPr>
          <w:ilvl w:val="0"/>
          <w:numId w:val="7"/>
        </w:numPr>
        <w:rPr>
          <w:lang w:val="es-CR"/>
        </w:rPr>
      </w:pPr>
      <w:bookmarkStart w:id="27" w:name="_Toc415421152"/>
      <w:r w:rsidRPr="00EE3D14">
        <w:rPr>
          <w:lang w:val="es-CR"/>
        </w:rPr>
        <w:t>R</w:t>
      </w:r>
      <w:r w:rsidR="00DF1E9B" w:rsidRPr="00EE3D14">
        <w:rPr>
          <w:lang w:val="es-CR"/>
        </w:rPr>
        <w:t>esultados</w:t>
      </w:r>
      <w:r w:rsidRPr="00EE3D14">
        <w:rPr>
          <w:lang w:val="es-CR"/>
        </w:rPr>
        <w:t xml:space="preserve"> y conclusiones</w:t>
      </w:r>
      <w:bookmarkEnd w:id="27"/>
    </w:p>
    <w:p w:rsidR="00CE0C20" w:rsidRPr="00EE3D14" w:rsidRDefault="00CE0C20" w:rsidP="00CE0C20">
      <w:pPr>
        <w:rPr>
          <w:lang w:val="es-CR"/>
        </w:rPr>
      </w:pPr>
    </w:p>
    <w:p w:rsidR="0092504A" w:rsidRPr="00EE3D14" w:rsidRDefault="0092504A" w:rsidP="0092504A">
      <w:pPr>
        <w:jc w:val="both"/>
        <w:rPr>
          <w:rFonts w:ascii="Times New Roman" w:hAnsi="Times New Roman" w:cs="Times New Roman"/>
          <w:lang w:val="es-CR"/>
        </w:rPr>
      </w:pPr>
      <w:r w:rsidRPr="00EE3D14">
        <w:rPr>
          <w:rFonts w:ascii="Times New Roman" w:hAnsi="Times New Roman" w:cs="Times New Roman"/>
          <w:lang w:val="es-CR"/>
        </w:rPr>
        <w:t>A partir de los resultados obtenidos se procede a verificar la suficiencia presupuestaria del proyecto para hacer frente al costo de las obras, los posibles escalamientos y sobrecostos durante la fase de construcción de las obras.</w:t>
      </w:r>
    </w:p>
    <w:p w:rsidR="0092504A" w:rsidRPr="00EE3D14" w:rsidRDefault="0092504A" w:rsidP="0092504A">
      <w:pPr>
        <w:jc w:val="both"/>
        <w:rPr>
          <w:rFonts w:ascii="Times New Roman" w:hAnsi="Times New Roman" w:cs="Times New Roman"/>
          <w:lang w:val="es-CR"/>
        </w:rPr>
      </w:pPr>
      <w:r w:rsidRPr="00EE3D14">
        <w:rPr>
          <w:rFonts w:ascii="Times New Roman" w:hAnsi="Times New Roman" w:cs="Times New Roman"/>
          <w:lang w:val="es-CR"/>
        </w:rPr>
        <w:t xml:space="preserve">Retomando lo señalado en el apartado metodológico se procede a cuantificar los valores de la desigualdad objeto del estudio: </w:t>
      </w:r>
    </w:p>
    <w:p w:rsidR="0092504A" w:rsidRPr="00EE3D14" w:rsidRDefault="0092504A" w:rsidP="0092504A">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CR"/>
        </w:rPr>
      </w:pPr>
      <w:r w:rsidRPr="00EE3D14">
        <w:rPr>
          <w:rFonts w:ascii="Times New Roman" w:hAnsi="Times New Roman" w:cs="Times New Roman"/>
          <w:i/>
          <w:lang w:val="es-CR"/>
        </w:rPr>
        <w:t>Presupuesto estimado obras + Previsión de escalamientos + Previsión de contingencias ≥ Estimación de costos del modelo (al 95% de probabilidad acumulada)</w:t>
      </w:r>
    </w:p>
    <w:p w:rsidR="0092504A" w:rsidRPr="00EE3D14" w:rsidRDefault="0092504A" w:rsidP="00DD6C88">
      <w:pPr>
        <w:pStyle w:val="Caption"/>
        <w:keepNext/>
        <w:jc w:val="center"/>
        <w:rPr>
          <w:lang w:val="es-CR"/>
        </w:rPr>
      </w:pPr>
    </w:p>
    <w:p w:rsidR="0092504A" w:rsidRPr="00EE3D14" w:rsidRDefault="0092504A" w:rsidP="0092504A">
      <w:pPr>
        <w:jc w:val="both"/>
        <w:rPr>
          <w:rFonts w:ascii="Times New Roman" w:hAnsi="Times New Roman" w:cs="Times New Roman"/>
          <w:lang w:val="es-CR"/>
        </w:rPr>
      </w:pPr>
      <w:r w:rsidRPr="00EE3D14">
        <w:rPr>
          <w:rFonts w:ascii="Times New Roman" w:hAnsi="Times New Roman" w:cs="Times New Roman"/>
          <w:lang w:val="es-CR"/>
        </w:rPr>
        <w:t>En el cuadro siguiente se muestran los componentes de dicha expresión en términos cuantitativos, con base en los resultados de</w:t>
      </w:r>
      <w:r w:rsidR="00B35597" w:rsidRPr="00EE3D14">
        <w:rPr>
          <w:rFonts w:ascii="Times New Roman" w:hAnsi="Times New Roman" w:cs="Times New Roman"/>
          <w:lang w:val="es-CR"/>
        </w:rPr>
        <w:t>l presente estudio:</w:t>
      </w:r>
    </w:p>
    <w:p w:rsidR="00DD6C88" w:rsidRPr="00EE3D14" w:rsidRDefault="00DD6C88" w:rsidP="00DD6C88">
      <w:pPr>
        <w:pStyle w:val="Caption"/>
        <w:keepNext/>
        <w:jc w:val="center"/>
        <w:rPr>
          <w:lang w:val="es-CR"/>
        </w:rPr>
      </w:pPr>
      <w:r w:rsidRPr="00EE3D14">
        <w:rPr>
          <w:lang w:val="es-CR"/>
        </w:rPr>
        <w:t xml:space="preserve">Cuadro </w:t>
      </w:r>
      <w:r w:rsidRPr="00EE3D14">
        <w:rPr>
          <w:lang w:val="es-CR"/>
        </w:rPr>
        <w:fldChar w:fldCharType="begin"/>
      </w:r>
      <w:r w:rsidRPr="00EE3D14">
        <w:rPr>
          <w:lang w:val="es-CR"/>
        </w:rPr>
        <w:instrText xml:space="preserve"> SEQ Cuadro \* ARABIC </w:instrText>
      </w:r>
      <w:r w:rsidRPr="00EE3D14">
        <w:rPr>
          <w:lang w:val="es-CR"/>
        </w:rPr>
        <w:fldChar w:fldCharType="separate"/>
      </w:r>
      <w:r w:rsidRPr="00EE3D14">
        <w:rPr>
          <w:noProof/>
          <w:lang w:val="es-CR"/>
        </w:rPr>
        <w:t>5</w:t>
      </w:r>
      <w:r w:rsidRPr="00EE3D14">
        <w:rPr>
          <w:lang w:val="es-CR"/>
        </w:rPr>
        <w:fldChar w:fldCharType="end"/>
      </w:r>
      <w:r w:rsidRPr="00EE3D14">
        <w:rPr>
          <w:lang w:val="es-CR"/>
        </w:rPr>
        <w:t>. Verificación de los resultados</w:t>
      </w:r>
    </w:p>
    <w:tbl>
      <w:tblPr>
        <w:tblStyle w:val="TableGrid"/>
        <w:tblW w:w="0" w:type="auto"/>
        <w:jc w:val="center"/>
        <w:tblInd w:w="4" w:type="dxa"/>
        <w:tblLook w:val="04A0" w:firstRow="1" w:lastRow="0" w:firstColumn="1" w:lastColumn="0" w:noHBand="0" w:noVBand="1"/>
      </w:tblPr>
      <w:tblGrid>
        <w:gridCol w:w="2072"/>
        <w:gridCol w:w="1530"/>
        <w:gridCol w:w="1710"/>
        <w:gridCol w:w="1904"/>
        <w:gridCol w:w="2356"/>
      </w:tblGrid>
      <w:tr w:rsidR="00DD6C88" w:rsidRPr="00EE3D14" w:rsidTr="00B35597">
        <w:trPr>
          <w:jc w:val="center"/>
        </w:trPr>
        <w:tc>
          <w:tcPr>
            <w:tcW w:w="7216" w:type="dxa"/>
            <w:gridSpan w:val="4"/>
          </w:tcPr>
          <w:p w:rsidR="00DD6C88" w:rsidRPr="00EE3D14" w:rsidRDefault="00DD6C88" w:rsidP="00DD6C88">
            <w:pPr>
              <w:jc w:val="center"/>
              <w:rPr>
                <w:rFonts w:ascii="Times New Roman" w:hAnsi="Times New Roman" w:cs="Times New Roman"/>
                <w:b/>
                <w:lang w:val="es-CR"/>
              </w:rPr>
            </w:pPr>
            <w:r w:rsidRPr="00EE3D14">
              <w:rPr>
                <w:rFonts w:ascii="Times New Roman" w:hAnsi="Times New Roman" w:cs="Times New Roman"/>
                <w:b/>
                <w:lang w:val="es-CR"/>
              </w:rPr>
              <w:t>Datos del diseño del proyecto (US$)</w:t>
            </w:r>
          </w:p>
        </w:tc>
        <w:tc>
          <w:tcPr>
            <w:tcW w:w="2356" w:type="dxa"/>
          </w:tcPr>
          <w:p w:rsidR="00DD6C88" w:rsidRPr="00EE3D14" w:rsidRDefault="00DD6C88" w:rsidP="00DD6C88">
            <w:pPr>
              <w:jc w:val="center"/>
              <w:rPr>
                <w:rFonts w:ascii="Times New Roman" w:hAnsi="Times New Roman" w:cs="Times New Roman"/>
                <w:b/>
                <w:lang w:val="es-CR"/>
              </w:rPr>
            </w:pPr>
            <w:r w:rsidRPr="00EE3D14">
              <w:rPr>
                <w:rFonts w:ascii="Times New Roman" w:hAnsi="Times New Roman" w:cs="Times New Roman"/>
                <w:b/>
                <w:lang w:val="es-CR"/>
              </w:rPr>
              <w:t>Modelación (US$)</w:t>
            </w:r>
          </w:p>
        </w:tc>
      </w:tr>
      <w:tr w:rsidR="00DD6C88" w:rsidRPr="00EE3D14" w:rsidTr="00B35597">
        <w:trPr>
          <w:jc w:val="center"/>
        </w:trPr>
        <w:tc>
          <w:tcPr>
            <w:tcW w:w="2072" w:type="dxa"/>
          </w:tcPr>
          <w:p w:rsidR="00DD6C88" w:rsidRPr="00EE3D14" w:rsidRDefault="00DD6C88" w:rsidP="00DD6C88">
            <w:pPr>
              <w:jc w:val="center"/>
              <w:rPr>
                <w:rFonts w:ascii="Times New Roman" w:hAnsi="Times New Roman" w:cs="Times New Roman"/>
                <w:lang w:val="es-CR"/>
              </w:rPr>
            </w:pPr>
            <w:r w:rsidRPr="00EE3D14">
              <w:rPr>
                <w:rFonts w:ascii="Times New Roman" w:hAnsi="Times New Roman" w:cs="Times New Roman"/>
                <w:lang w:val="es-CR"/>
              </w:rPr>
              <w:t>Presupuesto base 2015</w:t>
            </w:r>
          </w:p>
        </w:tc>
        <w:tc>
          <w:tcPr>
            <w:tcW w:w="1530" w:type="dxa"/>
          </w:tcPr>
          <w:p w:rsidR="00DD6C88" w:rsidRPr="00EE3D14" w:rsidRDefault="00DD6C88" w:rsidP="00DD6C88">
            <w:pPr>
              <w:jc w:val="center"/>
              <w:rPr>
                <w:rFonts w:ascii="Times New Roman" w:hAnsi="Times New Roman" w:cs="Times New Roman"/>
                <w:lang w:val="es-CR"/>
              </w:rPr>
            </w:pPr>
            <w:r w:rsidRPr="00EE3D14">
              <w:rPr>
                <w:rFonts w:ascii="Times New Roman" w:hAnsi="Times New Roman" w:cs="Times New Roman"/>
                <w:lang w:val="es-CR"/>
              </w:rPr>
              <w:t>Previsión para escalamientos</w:t>
            </w:r>
          </w:p>
        </w:tc>
        <w:tc>
          <w:tcPr>
            <w:tcW w:w="1710" w:type="dxa"/>
          </w:tcPr>
          <w:p w:rsidR="00DD6C88" w:rsidRPr="00EE3D14" w:rsidRDefault="0092504A" w:rsidP="00DD6C88">
            <w:pPr>
              <w:jc w:val="center"/>
              <w:rPr>
                <w:rFonts w:ascii="Times New Roman" w:hAnsi="Times New Roman" w:cs="Times New Roman"/>
                <w:lang w:val="es-CR"/>
              </w:rPr>
            </w:pPr>
            <w:r w:rsidRPr="00EE3D14">
              <w:rPr>
                <w:rFonts w:ascii="Times New Roman" w:hAnsi="Times New Roman" w:cs="Times New Roman"/>
                <w:lang w:val="es-CR"/>
              </w:rPr>
              <w:t>Previsión</w:t>
            </w:r>
            <w:r w:rsidR="00DD6C88" w:rsidRPr="00EE3D14">
              <w:rPr>
                <w:rFonts w:ascii="Times New Roman" w:hAnsi="Times New Roman" w:cs="Times New Roman"/>
                <w:lang w:val="es-CR"/>
              </w:rPr>
              <w:t xml:space="preserve"> para contingencias</w:t>
            </w:r>
          </w:p>
        </w:tc>
        <w:tc>
          <w:tcPr>
            <w:tcW w:w="1904" w:type="dxa"/>
          </w:tcPr>
          <w:p w:rsidR="00DD6C88" w:rsidRPr="00EE3D14" w:rsidRDefault="00DD6C88" w:rsidP="00DD6C88">
            <w:pPr>
              <w:jc w:val="center"/>
              <w:rPr>
                <w:rFonts w:ascii="Times New Roman" w:hAnsi="Times New Roman" w:cs="Times New Roman"/>
                <w:b/>
                <w:lang w:val="es-CR"/>
              </w:rPr>
            </w:pPr>
            <w:r w:rsidRPr="00EE3D14">
              <w:rPr>
                <w:rFonts w:ascii="Times New Roman" w:hAnsi="Times New Roman" w:cs="Times New Roman"/>
                <w:b/>
                <w:lang w:val="es-CR"/>
              </w:rPr>
              <w:t xml:space="preserve">Total </w:t>
            </w:r>
            <w:r w:rsidR="0092504A" w:rsidRPr="00EE3D14">
              <w:rPr>
                <w:rFonts w:ascii="Times New Roman" w:hAnsi="Times New Roman" w:cs="Times New Roman"/>
                <w:b/>
                <w:lang w:val="es-CR"/>
              </w:rPr>
              <w:t xml:space="preserve">disponible </w:t>
            </w:r>
            <w:r w:rsidRPr="00EE3D14">
              <w:rPr>
                <w:rFonts w:ascii="Times New Roman" w:hAnsi="Times New Roman" w:cs="Times New Roman"/>
                <w:b/>
                <w:lang w:val="es-CR"/>
              </w:rPr>
              <w:t>para obras</w:t>
            </w:r>
          </w:p>
        </w:tc>
        <w:tc>
          <w:tcPr>
            <w:tcW w:w="2356" w:type="dxa"/>
          </w:tcPr>
          <w:p w:rsidR="00DD6C88" w:rsidRPr="00EE3D14" w:rsidRDefault="00DD6C88" w:rsidP="00DD6C88">
            <w:pPr>
              <w:jc w:val="center"/>
              <w:rPr>
                <w:rFonts w:ascii="Times New Roman" w:hAnsi="Times New Roman" w:cs="Times New Roman"/>
                <w:b/>
                <w:lang w:val="es-CR"/>
              </w:rPr>
            </w:pPr>
            <w:r w:rsidRPr="00EE3D14">
              <w:rPr>
                <w:rFonts w:ascii="Times New Roman" w:hAnsi="Times New Roman" w:cs="Times New Roman"/>
                <w:b/>
                <w:lang w:val="es-CR"/>
              </w:rPr>
              <w:t>Costos al 95% de probabilidad</w:t>
            </w:r>
          </w:p>
        </w:tc>
      </w:tr>
      <w:tr w:rsidR="00DD6C88" w:rsidRPr="00EE3D14" w:rsidTr="00B35597">
        <w:trPr>
          <w:jc w:val="center"/>
        </w:trPr>
        <w:tc>
          <w:tcPr>
            <w:tcW w:w="2072" w:type="dxa"/>
          </w:tcPr>
          <w:p w:rsidR="00DD6C88" w:rsidRPr="00EE3D14" w:rsidRDefault="00DD6C88" w:rsidP="00DD6C88">
            <w:pPr>
              <w:contextualSpacing/>
              <w:jc w:val="center"/>
              <w:rPr>
                <w:rFonts w:ascii="Times New Roman" w:hAnsi="Times New Roman" w:cs="Times New Roman"/>
                <w:lang w:val="es-CR"/>
              </w:rPr>
            </w:pPr>
            <w:r w:rsidRPr="00EE3D14">
              <w:rPr>
                <w:rFonts w:ascii="Times New Roman" w:hAnsi="Times New Roman" w:cs="Times New Roman"/>
                <w:lang w:val="es-CR"/>
              </w:rPr>
              <w:t>68,349,050</w:t>
            </w:r>
          </w:p>
        </w:tc>
        <w:tc>
          <w:tcPr>
            <w:tcW w:w="1530" w:type="dxa"/>
          </w:tcPr>
          <w:p w:rsidR="00DD6C88" w:rsidRPr="00EE3D14" w:rsidRDefault="00DD6C88" w:rsidP="00DD6C88">
            <w:pPr>
              <w:contextualSpacing/>
              <w:jc w:val="center"/>
              <w:rPr>
                <w:rFonts w:ascii="Times New Roman" w:hAnsi="Times New Roman" w:cs="Times New Roman"/>
                <w:lang w:val="es-CR"/>
              </w:rPr>
            </w:pPr>
            <w:r w:rsidRPr="00EE3D14">
              <w:rPr>
                <w:rFonts w:ascii="Times New Roman" w:hAnsi="Times New Roman" w:cs="Times New Roman"/>
                <w:lang w:val="es-CR"/>
              </w:rPr>
              <w:t>5,284,039</w:t>
            </w:r>
          </w:p>
        </w:tc>
        <w:tc>
          <w:tcPr>
            <w:tcW w:w="1710" w:type="dxa"/>
          </w:tcPr>
          <w:p w:rsidR="00DD6C88" w:rsidRPr="00EE3D14" w:rsidRDefault="00DD6C88" w:rsidP="00DD6C88">
            <w:pPr>
              <w:jc w:val="center"/>
              <w:rPr>
                <w:rFonts w:ascii="Times New Roman" w:hAnsi="Times New Roman" w:cs="Times New Roman"/>
                <w:lang w:val="es-CR"/>
              </w:rPr>
            </w:pPr>
            <w:r w:rsidRPr="00EE3D14">
              <w:rPr>
                <w:rFonts w:ascii="Times New Roman" w:hAnsi="Times New Roman" w:cs="Times New Roman"/>
                <w:lang w:val="es-CR"/>
              </w:rPr>
              <w:t>7,216,911</w:t>
            </w:r>
          </w:p>
        </w:tc>
        <w:tc>
          <w:tcPr>
            <w:tcW w:w="1904" w:type="dxa"/>
            <w:shd w:val="clear" w:color="auto" w:fill="F2F2F2" w:themeFill="background1" w:themeFillShade="F2"/>
          </w:tcPr>
          <w:p w:rsidR="00DD6C88" w:rsidRPr="00EE3D14" w:rsidRDefault="00DD6C88" w:rsidP="00DD6C88">
            <w:pPr>
              <w:jc w:val="center"/>
              <w:rPr>
                <w:rFonts w:ascii="Times New Roman" w:hAnsi="Times New Roman" w:cs="Times New Roman"/>
                <w:b/>
                <w:lang w:val="es-CR"/>
              </w:rPr>
            </w:pPr>
            <w:r w:rsidRPr="00EE3D14">
              <w:rPr>
                <w:rFonts w:ascii="Times New Roman" w:hAnsi="Times New Roman" w:cs="Times New Roman"/>
                <w:b/>
                <w:lang w:val="es-CR"/>
              </w:rPr>
              <w:t>80,850,000</w:t>
            </w:r>
          </w:p>
        </w:tc>
        <w:tc>
          <w:tcPr>
            <w:tcW w:w="2356" w:type="dxa"/>
            <w:shd w:val="clear" w:color="auto" w:fill="F2F2F2" w:themeFill="background1" w:themeFillShade="F2"/>
          </w:tcPr>
          <w:p w:rsidR="00DD6C88" w:rsidRPr="00EE3D14" w:rsidRDefault="00DD6C88" w:rsidP="00DD6C88">
            <w:pPr>
              <w:jc w:val="center"/>
              <w:rPr>
                <w:rFonts w:ascii="Times New Roman" w:hAnsi="Times New Roman" w:cs="Times New Roman"/>
                <w:b/>
                <w:lang w:val="es-CR"/>
              </w:rPr>
            </w:pPr>
            <w:r w:rsidRPr="00EE3D14">
              <w:rPr>
                <w:rFonts w:ascii="Times New Roman" w:hAnsi="Times New Roman" w:cs="Times New Roman"/>
                <w:b/>
                <w:lang w:val="es-CR"/>
              </w:rPr>
              <w:t>79,220,000</w:t>
            </w:r>
          </w:p>
        </w:tc>
      </w:tr>
    </w:tbl>
    <w:p w:rsidR="00CE0C20" w:rsidRPr="00EE3D14" w:rsidRDefault="00CE0C20" w:rsidP="00B35597">
      <w:pPr>
        <w:jc w:val="both"/>
        <w:rPr>
          <w:rFonts w:ascii="Times New Roman" w:hAnsi="Times New Roman" w:cs="Times New Roman"/>
          <w:lang w:val="es-CR"/>
        </w:rPr>
      </w:pPr>
    </w:p>
    <w:p w:rsidR="009D6A1D" w:rsidRPr="00EE3D14" w:rsidRDefault="00B35597" w:rsidP="009D6A1D">
      <w:pPr>
        <w:jc w:val="both"/>
        <w:rPr>
          <w:rFonts w:ascii="Times New Roman" w:hAnsi="Times New Roman" w:cs="Times New Roman"/>
          <w:lang w:val="es-CR"/>
        </w:rPr>
      </w:pPr>
      <w:r w:rsidRPr="00EE3D14">
        <w:rPr>
          <w:rFonts w:ascii="Times New Roman" w:hAnsi="Times New Roman" w:cs="Times New Roman"/>
          <w:u w:val="single"/>
          <w:lang w:val="es-CR"/>
        </w:rPr>
        <w:t>Como conclusión general</w:t>
      </w:r>
      <w:r w:rsidR="00954F2A" w:rsidRPr="00EE3D14">
        <w:rPr>
          <w:rFonts w:ascii="Times New Roman" w:hAnsi="Times New Roman" w:cs="Times New Roman"/>
          <w:u w:val="single"/>
          <w:lang w:val="es-CR"/>
        </w:rPr>
        <w:t>:</w:t>
      </w:r>
      <w:r w:rsidRPr="00EE3D14">
        <w:rPr>
          <w:rFonts w:ascii="Times New Roman" w:hAnsi="Times New Roman" w:cs="Times New Roman"/>
          <w:lang w:val="es-CR"/>
        </w:rPr>
        <w:t xml:space="preserve"> </w:t>
      </w:r>
    </w:p>
    <w:p w:rsidR="009D6A1D" w:rsidRPr="00EE3D14" w:rsidRDefault="009D6A1D" w:rsidP="009D6A1D">
      <w:pPr>
        <w:jc w:val="both"/>
        <w:rPr>
          <w:rFonts w:ascii="Times New Roman" w:hAnsi="Times New Roman" w:cs="Times New Roman"/>
          <w:lang w:val="es-CR"/>
        </w:rPr>
      </w:pPr>
      <w:r w:rsidRPr="00EE3D14">
        <w:rPr>
          <w:rFonts w:ascii="Times New Roman" w:hAnsi="Times New Roman" w:cs="Times New Roman"/>
          <w:lang w:val="es-CR"/>
        </w:rPr>
        <w:t>E</w:t>
      </w:r>
      <w:r w:rsidR="00B35597" w:rsidRPr="00EE3D14">
        <w:rPr>
          <w:rFonts w:ascii="Times New Roman" w:hAnsi="Times New Roman" w:cs="Times New Roman"/>
          <w:lang w:val="es-CR"/>
        </w:rPr>
        <w:t xml:space="preserve">l estudio demuestra que las previsiones presupuestarias tomadas en el presupuesto resultan </w:t>
      </w:r>
      <w:r w:rsidR="00611E8B" w:rsidRPr="00EE3D14">
        <w:rPr>
          <w:rFonts w:ascii="Times New Roman" w:hAnsi="Times New Roman" w:cs="Times New Roman"/>
          <w:lang w:val="es-CR"/>
        </w:rPr>
        <w:t xml:space="preserve">probabilísticamente </w:t>
      </w:r>
      <w:r w:rsidR="00B35597" w:rsidRPr="00EE3D14">
        <w:rPr>
          <w:rFonts w:ascii="Times New Roman" w:hAnsi="Times New Roman" w:cs="Times New Roman"/>
          <w:lang w:val="es-CR"/>
        </w:rPr>
        <w:t xml:space="preserve">suficientes para </w:t>
      </w:r>
      <w:r w:rsidR="00611E8B" w:rsidRPr="00EE3D14">
        <w:rPr>
          <w:rFonts w:ascii="Times New Roman" w:hAnsi="Times New Roman" w:cs="Times New Roman"/>
          <w:lang w:val="es-CR"/>
        </w:rPr>
        <w:t>cubrir los costos asociados a la construcción y equipamiento de los cuatro pasos de frontera previstos de ser financiados con la operación</w:t>
      </w:r>
      <w:r w:rsidR="00954F2A" w:rsidRPr="00EE3D14">
        <w:rPr>
          <w:rFonts w:ascii="Times New Roman" w:hAnsi="Times New Roman" w:cs="Times New Roman"/>
          <w:lang w:val="es-CR"/>
        </w:rPr>
        <w:t>, contemplando además: i) las previsiones adecuadas para hacer frente a los escalamientos de precios previsibles en el mercado de la construcción costarricense y; ii) los posibles costos adicionales generados por cambios respecto a los diseños base y otros eventos imprevisibles durante la fase de ejecución de obras.</w:t>
      </w:r>
      <w:r w:rsidRPr="00EE3D14">
        <w:rPr>
          <w:rFonts w:ascii="Times New Roman" w:hAnsi="Times New Roman" w:cs="Times New Roman"/>
          <w:lang w:val="es-CR"/>
        </w:rPr>
        <w:t xml:space="preserve"> </w:t>
      </w:r>
    </w:p>
    <w:p w:rsidR="009D6A1D" w:rsidRPr="00EE3D14" w:rsidRDefault="009D6A1D" w:rsidP="009D6A1D">
      <w:pPr>
        <w:jc w:val="both"/>
        <w:rPr>
          <w:rFonts w:ascii="Times New Roman" w:hAnsi="Times New Roman" w:cs="Times New Roman"/>
          <w:lang w:val="es-CR"/>
        </w:rPr>
      </w:pPr>
      <w:r w:rsidRPr="00EE3D14">
        <w:rPr>
          <w:rFonts w:ascii="Times New Roman" w:hAnsi="Times New Roman" w:cs="Times New Roman"/>
          <w:lang w:val="es-CR"/>
        </w:rPr>
        <w:t>Si bien el estudio ha demostrado que se cuenta con un presupuesto para el proyecto relativamente adecuado para hacer frente a posibles aumentos de costos y variaciones en las obras, los rangos utilizados para la modelación de las variables de entrada podrían considerarse en un orden de magnitud medianamente conservador. Lo anterior hace suponer que</w:t>
      </w:r>
      <w:r w:rsidR="00353618">
        <w:rPr>
          <w:rFonts w:ascii="Times New Roman" w:hAnsi="Times New Roman" w:cs="Times New Roman"/>
          <w:lang w:val="es-CR"/>
        </w:rPr>
        <w:t>, en caso</w:t>
      </w:r>
      <w:r w:rsidRPr="00EE3D14">
        <w:rPr>
          <w:rFonts w:ascii="Times New Roman" w:hAnsi="Times New Roman" w:cs="Times New Roman"/>
          <w:lang w:val="es-CR"/>
        </w:rPr>
        <w:t xml:space="preserve"> de enfrentarse durante la fase de ejecución eventos o situaciones extraordinariamente diferentes a los escenarios empleados en este estudio, implicaría sin duda un</w:t>
      </w:r>
      <w:r w:rsidR="00AE714A">
        <w:rPr>
          <w:rFonts w:ascii="Times New Roman" w:hAnsi="Times New Roman" w:cs="Times New Roman"/>
          <w:lang w:val="es-CR"/>
        </w:rPr>
        <w:t>a</w:t>
      </w:r>
      <w:r w:rsidRPr="00EE3D14">
        <w:rPr>
          <w:rFonts w:ascii="Times New Roman" w:hAnsi="Times New Roman" w:cs="Times New Roman"/>
          <w:lang w:val="es-CR"/>
        </w:rPr>
        <w:t xml:space="preserve"> probabilidad menor de lograr los resultados que la modelación arrojó. </w:t>
      </w:r>
    </w:p>
    <w:p w:rsidR="00954F2A" w:rsidRPr="00EE3D14" w:rsidRDefault="00954F2A" w:rsidP="00B35597">
      <w:pPr>
        <w:jc w:val="both"/>
        <w:rPr>
          <w:rFonts w:ascii="Times New Roman" w:hAnsi="Times New Roman" w:cs="Times New Roman"/>
          <w:u w:val="single"/>
          <w:lang w:val="es-CR"/>
        </w:rPr>
      </w:pPr>
      <w:r w:rsidRPr="00EE3D14">
        <w:rPr>
          <w:rFonts w:ascii="Times New Roman" w:hAnsi="Times New Roman" w:cs="Times New Roman"/>
          <w:u w:val="single"/>
          <w:lang w:val="es-CR"/>
        </w:rPr>
        <w:t xml:space="preserve">A </w:t>
      </w:r>
      <w:r w:rsidR="00DC53FF">
        <w:rPr>
          <w:rFonts w:ascii="Times New Roman" w:hAnsi="Times New Roman" w:cs="Times New Roman"/>
          <w:u w:val="single"/>
          <w:lang w:val="es-CR"/>
        </w:rPr>
        <w:t>modo</w:t>
      </w:r>
      <w:r w:rsidRPr="00EE3D14">
        <w:rPr>
          <w:rFonts w:ascii="Times New Roman" w:hAnsi="Times New Roman" w:cs="Times New Roman"/>
          <w:u w:val="single"/>
          <w:lang w:val="es-CR"/>
        </w:rPr>
        <w:t xml:space="preserve"> de recomendaciones:</w:t>
      </w:r>
    </w:p>
    <w:p w:rsidR="001B4D0F" w:rsidRPr="00EE3D14" w:rsidRDefault="00954F2A" w:rsidP="001B4D0F">
      <w:pPr>
        <w:pStyle w:val="ListParagraph"/>
        <w:numPr>
          <w:ilvl w:val="0"/>
          <w:numId w:val="22"/>
        </w:numPr>
        <w:jc w:val="both"/>
        <w:rPr>
          <w:rFonts w:ascii="Times New Roman" w:hAnsi="Times New Roman" w:cs="Times New Roman"/>
          <w:lang w:val="es-CR"/>
        </w:rPr>
      </w:pPr>
      <w:r w:rsidRPr="00EE3D14">
        <w:rPr>
          <w:rFonts w:ascii="Times New Roman" w:hAnsi="Times New Roman" w:cs="Times New Roman"/>
          <w:lang w:val="es-CR"/>
        </w:rPr>
        <w:t>Durante la</w:t>
      </w:r>
      <w:r w:rsidR="001B4D0F" w:rsidRPr="00EE3D14">
        <w:rPr>
          <w:rFonts w:ascii="Times New Roman" w:hAnsi="Times New Roman" w:cs="Times New Roman"/>
          <w:lang w:val="es-CR"/>
        </w:rPr>
        <w:t xml:space="preserve"> fase</w:t>
      </w:r>
      <w:r w:rsidRPr="00EE3D14">
        <w:rPr>
          <w:rFonts w:ascii="Times New Roman" w:hAnsi="Times New Roman" w:cs="Times New Roman"/>
          <w:lang w:val="es-CR"/>
        </w:rPr>
        <w:t xml:space="preserve"> de licitación deberá verificarse que los montos de las ofertas</w:t>
      </w:r>
      <w:r w:rsidR="001B4D0F" w:rsidRPr="00EE3D14">
        <w:rPr>
          <w:rFonts w:ascii="Times New Roman" w:hAnsi="Times New Roman" w:cs="Times New Roman"/>
          <w:lang w:val="es-CR"/>
        </w:rPr>
        <w:t xml:space="preserve"> recibidas</w:t>
      </w:r>
      <w:r w:rsidRPr="00EE3D14">
        <w:rPr>
          <w:rFonts w:ascii="Times New Roman" w:hAnsi="Times New Roman" w:cs="Times New Roman"/>
          <w:lang w:val="es-CR"/>
        </w:rPr>
        <w:t xml:space="preserve"> se encuentren dentro de un rango razonable respecto a las estimaciones presupuestarias. De </w:t>
      </w:r>
      <w:r w:rsidR="001B4D0F" w:rsidRPr="00EE3D14">
        <w:rPr>
          <w:rFonts w:ascii="Times New Roman" w:hAnsi="Times New Roman" w:cs="Times New Roman"/>
          <w:lang w:val="es-CR"/>
        </w:rPr>
        <w:t>producirse desviaciones sustanciales, se recomienda actualizar este estudio bajo las nuevas condiciones y determinar la nueva probabilidad de concluir las obras con los recursos disponibles.</w:t>
      </w:r>
    </w:p>
    <w:p w:rsidR="001B4D0F" w:rsidRPr="00EE3D14" w:rsidRDefault="001B4D0F" w:rsidP="001B4D0F">
      <w:pPr>
        <w:pStyle w:val="ListParagraph"/>
        <w:jc w:val="both"/>
        <w:rPr>
          <w:rFonts w:ascii="Times New Roman" w:hAnsi="Times New Roman" w:cs="Times New Roman"/>
          <w:lang w:val="es-CR"/>
        </w:rPr>
      </w:pPr>
    </w:p>
    <w:p w:rsidR="009E26DA" w:rsidRPr="00EE3D14" w:rsidRDefault="009D6A1D" w:rsidP="009D6A1D">
      <w:pPr>
        <w:pStyle w:val="ListParagraph"/>
        <w:numPr>
          <w:ilvl w:val="0"/>
          <w:numId w:val="22"/>
        </w:numPr>
        <w:jc w:val="both"/>
        <w:rPr>
          <w:rFonts w:ascii="Times New Roman" w:hAnsi="Times New Roman" w:cs="Times New Roman"/>
          <w:lang w:val="es-CR"/>
        </w:rPr>
      </w:pPr>
      <w:r w:rsidRPr="00EE3D14">
        <w:rPr>
          <w:rFonts w:ascii="Times New Roman" w:hAnsi="Times New Roman" w:cs="Times New Roman"/>
          <w:lang w:val="es-CR"/>
        </w:rPr>
        <w:t>Los escenarios de la modelación son altamente dependientes del cumplimiento de los supuestos del Plan de Ejecución de la operación, en lo que se refiere a la previsión para escalamiento de precios. Cualquier circunstancia que impida el cumplimiento de dicho plan de implementación de las obr</w:t>
      </w:r>
      <w:r w:rsidR="00AE714A">
        <w:rPr>
          <w:rFonts w:ascii="Times New Roman" w:hAnsi="Times New Roman" w:cs="Times New Roman"/>
          <w:lang w:val="es-CR"/>
        </w:rPr>
        <w:t>as implicará la necesidad de re-calcular</w:t>
      </w:r>
      <w:r w:rsidRPr="00EE3D14">
        <w:rPr>
          <w:rFonts w:ascii="Times New Roman" w:hAnsi="Times New Roman" w:cs="Times New Roman"/>
          <w:lang w:val="es-CR"/>
        </w:rPr>
        <w:t xml:space="preserve"> esta variable.</w:t>
      </w:r>
    </w:p>
    <w:p w:rsidR="009D6A1D" w:rsidRPr="00EE3D14" w:rsidRDefault="009D6A1D" w:rsidP="009D6A1D">
      <w:pPr>
        <w:pStyle w:val="ListParagraph"/>
        <w:rPr>
          <w:rFonts w:ascii="Times New Roman" w:hAnsi="Times New Roman" w:cs="Times New Roman"/>
          <w:lang w:val="es-CR"/>
        </w:rPr>
      </w:pPr>
    </w:p>
    <w:p w:rsidR="00CF6814" w:rsidRPr="00EE3D14" w:rsidRDefault="009D6A1D" w:rsidP="0048067F">
      <w:pPr>
        <w:pStyle w:val="ListParagraph"/>
        <w:numPr>
          <w:ilvl w:val="0"/>
          <w:numId w:val="22"/>
        </w:numPr>
        <w:jc w:val="both"/>
        <w:rPr>
          <w:rFonts w:ascii="Times New Roman" w:hAnsi="Times New Roman" w:cs="Times New Roman"/>
          <w:lang w:val="es-CR"/>
        </w:rPr>
      </w:pPr>
      <w:r w:rsidRPr="00EE3D14">
        <w:rPr>
          <w:rFonts w:ascii="Times New Roman" w:hAnsi="Times New Roman" w:cs="Times New Roman"/>
          <w:lang w:val="es-CR"/>
        </w:rPr>
        <w:t>Durante la fase de implementación del proyecto se recomienda mantener un monitoreo constante sobre el comportamiento del IPCE</w:t>
      </w:r>
      <w:r w:rsidR="0048067F" w:rsidRPr="00EE3D14">
        <w:rPr>
          <w:rFonts w:ascii="Times New Roman" w:hAnsi="Times New Roman" w:cs="Times New Roman"/>
          <w:lang w:val="es-CR"/>
        </w:rPr>
        <w:t xml:space="preserve"> y actualizar el análisis de encontrarse una tendencia de cambio sustancialmente diferente al comportamiento bajo el cual se realizó este estudio.</w:t>
      </w:r>
    </w:p>
    <w:sectPr w:rsidR="00CF6814" w:rsidRPr="00EE3D14" w:rsidSect="0048067F">
      <w:footerReference w:type="default" r:id="rId19"/>
      <w:foot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8B" w:rsidRDefault="00611E8B" w:rsidP="002D4583">
      <w:pPr>
        <w:spacing w:after="0" w:line="240" w:lineRule="auto"/>
      </w:pPr>
      <w:r>
        <w:separator/>
      </w:r>
    </w:p>
  </w:endnote>
  <w:endnote w:type="continuationSeparator" w:id="0">
    <w:p w:rsidR="00611E8B" w:rsidRDefault="00611E8B" w:rsidP="002D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8B" w:rsidRDefault="00611E8B">
    <w:pPr>
      <w:pStyle w:val="Footer"/>
      <w:jc w:val="center"/>
    </w:pPr>
  </w:p>
  <w:p w:rsidR="00611E8B" w:rsidRDefault="00611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02552"/>
      <w:docPartObj>
        <w:docPartGallery w:val="Page Numbers (Bottom of Page)"/>
        <w:docPartUnique/>
      </w:docPartObj>
    </w:sdtPr>
    <w:sdtEndPr>
      <w:rPr>
        <w:noProof/>
      </w:rPr>
    </w:sdtEndPr>
    <w:sdtContent>
      <w:p w:rsidR="00611E8B" w:rsidRDefault="00611E8B">
        <w:pPr>
          <w:pStyle w:val="Footer"/>
          <w:jc w:val="center"/>
        </w:pPr>
        <w:r>
          <w:fldChar w:fldCharType="begin"/>
        </w:r>
        <w:r>
          <w:instrText xml:space="preserve"> PAGE  \* Arabic  \* MERGEFORMAT </w:instrText>
        </w:r>
        <w:r>
          <w:fldChar w:fldCharType="separate"/>
        </w:r>
        <w:r w:rsidR="005B5C3A">
          <w:rPr>
            <w:noProof/>
          </w:rPr>
          <w:t>0</w:t>
        </w:r>
        <w:r>
          <w:fldChar w:fldCharType="end"/>
        </w:r>
      </w:p>
    </w:sdtContent>
  </w:sdt>
  <w:p w:rsidR="00611E8B" w:rsidRDefault="00611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25275"/>
      <w:docPartObj>
        <w:docPartGallery w:val="Page Numbers (Bottom of Page)"/>
        <w:docPartUnique/>
      </w:docPartObj>
    </w:sdtPr>
    <w:sdtEndPr>
      <w:rPr>
        <w:rFonts w:ascii="Times New Roman" w:hAnsi="Times New Roman" w:cs="Times New Roman"/>
        <w:noProof/>
      </w:rPr>
    </w:sdtEndPr>
    <w:sdtContent>
      <w:p w:rsidR="00611E8B" w:rsidRPr="00BA4934" w:rsidRDefault="00611E8B">
        <w:pPr>
          <w:pStyle w:val="Footer"/>
          <w:jc w:val="center"/>
          <w:rPr>
            <w:rFonts w:ascii="Times New Roman" w:hAnsi="Times New Roman" w:cs="Times New Roman"/>
          </w:rPr>
        </w:pPr>
        <w:r>
          <w:t>-</w:t>
        </w:r>
        <w:r w:rsidRPr="00BA4934">
          <w:rPr>
            <w:rFonts w:ascii="Times New Roman" w:hAnsi="Times New Roman" w:cs="Times New Roman"/>
          </w:rPr>
          <w:fldChar w:fldCharType="begin"/>
        </w:r>
        <w:r w:rsidRPr="00BA4934">
          <w:rPr>
            <w:rFonts w:ascii="Times New Roman" w:hAnsi="Times New Roman" w:cs="Times New Roman"/>
          </w:rPr>
          <w:instrText xml:space="preserve"> PAGE   \* MERGEFORMAT </w:instrText>
        </w:r>
        <w:r w:rsidRPr="00BA4934">
          <w:rPr>
            <w:rFonts w:ascii="Times New Roman" w:hAnsi="Times New Roman" w:cs="Times New Roman"/>
          </w:rPr>
          <w:fldChar w:fldCharType="separate"/>
        </w:r>
        <w:r w:rsidR="005B5C3A">
          <w:rPr>
            <w:rFonts w:ascii="Times New Roman" w:hAnsi="Times New Roman" w:cs="Times New Roman"/>
            <w:noProof/>
          </w:rPr>
          <w:t>1</w:t>
        </w:r>
        <w:r w:rsidRPr="00BA4934">
          <w:rPr>
            <w:rFonts w:ascii="Times New Roman" w:hAnsi="Times New Roman" w:cs="Times New Roman"/>
            <w:noProof/>
          </w:rPr>
          <w:fldChar w:fldCharType="end"/>
        </w:r>
        <w:r>
          <w:rPr>
            <w:rFonts w:ascii="Times New Roman" w:hAnsi="Times New Roman" w:cs="Times New Roman"/>
            <w:noProof/>
          </w:rPr>
          <w:t>-</w:t>
        </w:r>
      </w:p>
    </w:sdtContent>
  </w:sdt>
  <w:p w:rsidR="00611E8B" w:rsidRDefault="00611E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79554"/>
      <w:docPartObj>
        <w:docPartGallery w:val="Page Numbers (Bottom of Page)"/>
        <w:docPartUnique/>
      </w:docPartObj>
    </w:sdtPr>
    <w:sdtEndPr>
      <w:rPr>
        <w:noProof/>
      </w:rPr>
    </w:sdtEndPr>
    <w:sdtContent>
      <w:p w:rsidR="00611E8B" w:rsidRDefault="00611E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11E8B" w:rsidRDefault="00611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8B" w:rsidRDefault="00611E8B" w:rsidP="002D4583">
      <w:pPr>
        <w:spacing w:after="0" w:line="240" w:lineRule="auto"/>
      </w:pPr>
      <w:r>
        <w:separator/>
      </w:r>
    </w:p>
  </w:footnote>
  <w:footnote w:type="continuationSeparator" w:id="0">
    <w:p w:rsidR="00611E8B" w:rsidRDefault="00611E8B" w:rsidP="002D4583">
      <w:pPr>
        <w:spacing w:after="0" w:line="240" w:lineRule="auto"/>
      </w:pPr>
      <w:r>
        <w:continuationSeparator/>
      </w:r>
    </w:p>
  </w:footnote>
  <w:footnote w:id="1">
    <w:p w:rsidR="00611E8B" w:rsidRPr="00EE41A3" w:rsidRDefault="00611E8B">
      <w:pPr>
        <w:pStyle w:val="FootnoteText"/>
        <w:rPr>
          <w:lang w:val="es-ES_tradnl"/>
        </w:rPr>
      </w:pPr>
      <w:r>
        <w:rPr>
          <w:rStyle w:val="FootnoteReference"/>
        </w:rPr>
        <w:footnoteRef/>
      </w:r>
      <w:r w:rsidRPr="005B5C3A">
        <w:rPr>
          <w:lang w:val="es-US"/>
        </w:rPr>
        <w:t xml:space="preserve"> </w:t>
      </w:r>
      <w:r>
        <w:rPr>
          <w:lang w:val="es-ES_tradnl"/>
        </w:rPr>
        <w:t>Principalmente mediante la operación RG-T1662 “Optimización de los pasos de frontera terrestres del Corredor Pacífico”</w:t>
      </w:r>
    </w:p>
  </w:footnote>
  <w:footnote w:id="2">
    <w:p w:rsidR="00611E8B" w:rsidRPr="00EF1FD1" w:rsidRDefault="00611E8B" w:rsidP="008A7106">
      <w:pPr>
        <w:pStyle w:val="FootnoteText"/>
        <w:rPr>
          <w:lang w:val="es-ES_tradnl"/>
        </w:rPr>
      </w:pPr>
      <w:r>
        <w:rPr>
          <w:rStyle w:val="FootnoteReference"/>
        </w:rPr>
        <w:footnoteRef/>
      </w:r>
      <w:r w:rsidRPr="005B5C3A">
        <w:rPr>
          <w:lang w:val="es-US"/>
        </w:rPr>
        <w:t xml:space="preserve"> </w:t>
      </w:r>
      <w:r>
        <w:rPr>
          <w:lang w:val="es-ES_tradnl"/>
        </w:rPr>
        <w:t>Obras financiadas con el Programa de Prevención de la Violencia y Promoción de la Inclusión Social (CR-L1031).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B76"/>
    <w:multiLevelType w:val="hybridMultilevel"/>
    <w:tmpl w:val="2FE4BFC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87AF1"/>
    <w:multiLevelType w:val="hybridMultilevel"/>
    <w:tmpl w:val="75FA8A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B7749A"/>
    <w:multiLevelType w:val="hybridMultilevel"/>
    <w:tmpl w:val="BAFCF3E8"/>
    <w:lvl w:ilvl="0" w:tplc="B58429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AB7FC9"/>
    <w:multiLevelType w:val="multilevel"/>
    <w:tmpl w:val="5E36CD02"/>
    <w:lvl w:ilvl="0">
      <w:start w:val="1"/>
      <w:numFmt w:val="upperRoman"/>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lang w:val="es-ES"/>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0DC8662D"/>
    <w:multiLevelType w:val="hybridMultilevel"/>
    <w:tmpl w:val="151E6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C842B9"/>
    <w:multiLevelType w:val="hybridMultilevel"/>
    <w:tmpl w:val="0454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0E084F"/>
    <w:multiLevelType w:val="hybridMultilevel"/>
    <w:tmpl w:val="04C8DE18"/>
    <w:lvl w:ilvl="0" w:tplc="0409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
    <w:nsid w:val="1F693463"/>
    <w:multiLevelType w:val="hybridMultilevel"/>
    <w:tmpl w:val="CC4069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4B1A6C"/>
    <w:multiLevelType w:val="hybridMultilevel"/>
    <w:tmpl w:val="BAFCF3E8"/>
    <w:lvl w:ilvl="0" w:tplc="B58429B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CC0F53"/>
    <w:multiLevelType w:val="hybridMultilevel"/>
    <w:tmpl w:val="2FE4BFC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3A39F9"/>
    <w:multiLevelType w:val="hybridMultilevel"/>
    <w:tmpl w:val="9B802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A72744"/>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E85D95"/>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831FEB"/>
    <w:multiLevelType w:val="hybridMultilevel"/>
    <w:tmpl w:val="619E4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515B4D"/>
    <w:multiLevelType w:val="hybridMultilevel"/>
    <w:tmpl w:val="9EE2CA7A"/>
    <w:lvl w:ilvl="0" w:tplc="A282D3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A444E1"/>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E871C3"/>
    <w:multiLevelType w:val="hybridMultilevel"/>
    <w:tmpl w:val="06D8E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C74592"/>
    <w:multiLevelType w:val="multilevel"/>
    <w:tmpl w:val="151E851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8BF7876"/>
    <w:multiLevelType w:val="hybridMultilevel"/>
    <w:tmpl w:val="16C49F84"/>
    <w:lvl w:ilvl="0" w:tplc="0409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9">
    <w:nsid w:val="78FE6FCB"/>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EF55E2E"/>
    <w:multiLevelType w:val="hybridMultilevel"/>
    <w:tmpl w:val="E68657A4"/>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095B80"/>
    <w:multiLevelType w:val="hybridMultilevel"/>
    <w:tmpl w:val="2FE4BFC6"/>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7"/>
  </w:num>
  <w:num w:numId="5">
    <w:abstractNumId w:val="1"/>
  </w:num>
  <w:num w:numId="6">
    <w:abstractNumId w:val="10"/>
  </w:num>
  <w:num w:numId="7">
    <w:abstractNumId w:val="12"/>
  </w:num>
  <w:num w:numId="8">
    <w:abstractNumId w:val="21"/>
  </w:num>
  <w:num w:numId="9">
    <w:abstractNumId w:val="3"/>
  </w:num>
  <w:num w:numId="10">
    <w:abstractNumId w:val="17"/>
  </w:num>
  <w:num w:numId="11">
    <w:abstractNumId w:val="4"/>
  </w:num>
  <w:num w:numId="12">
    <w:abstractNumId w:val="5"/>
  </w:num>
  <w:num w:numId="13">
    <w:abstractNumId w:val="20"/>
  </w:num>
  <w:num w:numId="14">
    <w:abstractNumId w:val="0"/>
  </w:num>
  <w:num w:numId="15">
    <w:abstractNumId w:val="19"/>
  </w:num>
  <w:num w:numId="16">
    <w:abstractNumId w:val="8"/>
  </w:num>
  <w:num w:numId="17">
    <w:abstractNumId w:val="2"/>
  </w:num>
  <w:num w:numId="18">
    <w:abstractNumId w:val="15"/>
  </w:num>
  <w:num w:numId="19">
    <w:abstractNumId w:val="9"/>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9B"/>
    <w:rsid w:val="00020A60"/>
    <w:rsid w:val="00042100"/>
    <w:rsid w:val="00047FC1"/>
    <w:rsid w:val="000511E2"/>
    <w:rsid w:val="00082C02"/>
    <w:rsid w:val="000906B0"/>
    <w:rsid w:val="00125823"/>
    <w:rsid w:val="00134DE4"/>
    <w:rsid w:val="00160F94"/>
    <w:rsid w:val="00193D12"/>
    <w:rsid w:val="001A22BB"/>
    <w:rsid w:val="001A309B"/>
    <w:rsid w:val="001B4D0F"/>
    <w:rsid w:val="00237121"/>
    <w:rsid w:val="00241447"/>
    <w:rsid w:val="0025573F"/>
    <w:rsid w:val="00291C6A"/>
    <w:rsid w:val="002A4571"/>
    <w:rsid w:val="002A5927"/>
    <w:rsid w:val="002D4583"/>
    <w:rsid w:val="002E7951"/>
    <w:rsid w:val="00343BB2"/>
    <w:rsid w:val="00353618"/>
    <w:rsid w:val="00375EDB"/>
    <w:rsid w:val="003A5E77"/>
    <w:rsid w:val="003B18AA"/>
    <w:rsid w:val="003E7A4C"/>
    <w:rsid w:val="00403BC1"/>
    <w:rsid w:val="004045AF"/>
    <w:rsid w:val="00420EF1"/>
    <w:rsid w:val="00423D2D"/>
    <w:rsid w:val="00471416"/>
    <w:rsid w:val="0048067F"/>
    <w:rsid w:val="0048432E"/>
    <w:rsid w:val="004952AB"/>
    <w:rsid w:val="004A2C0F"/>
    <w:rsid w:val="004A3287"/>
    <w:rsid w:val="004A54F8"/>
    <w:rsid w:val="004B6E9C"/>
    <w:rsid w:val="004D55F1"/>
    <w:rsid w:val="00514E26"/>
    <w:rsid w:val="00527ABC"/>
    <w:rsid w:val="00536819"/>
    <w:rsid w:val="00565A63"/>
    <w:rsid w:val="00586931"/>
    <w:rsid w:val="005B5C3A"/>
    <w:rsid w:val="005B7998"/>
    <w:rsid w:val="005D2292"/>
    <w:rsid w:val="00611E8B"/>
    <w:rsid w:val="006846FD"/>
    <w:rsid w:val="007525B9"/>
    <w:rsid w:val="0079615F"/>
    <w:rsid w:val="007C08C7"/>
    <w:rsid w:val="007C686A"/>
    <w:rsid w:val="00884BAD"/>
    <w:rsid w:val="008949FA"/>
    <w:rsid w:val="00895B46"/>
    <w:rsid w:val="008A4314"/>
    <w:rsid w:val="008A7106"/>
    <w:rsid w:val="008E4EB3"/>
    <w:rsid w:val="009228B0"/>
    <w:rsid w:val="0092504A"/>
    <w:rsid w:val="009479EB"/>
    <w:rsid w:val="00954F2A"/>
    <w:rsid w:val="00976212"/>
    <w:rsid w:val="009B1680"/>
    <w:rsid w:val="009D6A1D"/>
    <w:rsid w:val="009E26DA"/>
    <w:rsid w:val="00A2706B"/>
    <w:rsid w:val="00A47B0F"/>
    <w:rsid w:val="00AA079D"/>
    <w:rsid w:val="00AB50DA"/>
    <w:rsid w:val="00AB7F54"/>
    <w:rsid w:val="00AD32E1"/>
    <w:rsid w:val="00AE5CDE"/>
    <w:rsid w:val="00AE714A"/>
    <w:rsid w:val="00B21B2D"/>
    <w:rsid w:val="00B35597"/>
    <w:rsid w:val="00B61719"/>
    <w:rsid w:val="00B92313"/>
    <w:rsid w:val="00BA4934"/>
    <w:rsid w:val="00BD68CC"/>
    <w:rsid w:val="00C352C3"/>
    <w:rsid w:val="00CB0B0F"/>
    <w:rsid w:val="00CB0E6B"/>
    <w:rsid w:val="00CE0C20"/>
    <w:rsid w:val="00CF61F9"/>
    <w:rsid w:val="00CF6814"/>
    <w:rsid w:val="00D26049"/>
    <w:rsid w:val="00DA47BC"/>
    <w:rsid w:val="00DC53FF"/>
    <w:rsid w:val="00DD6C88"/>
    <w:rsid w:val="00DE0F68"/>
    <w:rsid w:val="00DF1E9B"/>
    <w:rsid w:val="00ED626B"/>
    <w:rsid w:val="00EE3D14"/>
    <w:rsid w:val="00EE3FE9"/>
    <w:rsid w:val="00EE41A3"/>
    <w:rsid w:val="00EF1FD1"/>
    <w:rsid w:val="00F22298"/>
    <w:rsid w:val="00F2528E"/>
    <w:rsid w:val="00F3657C"/>
    <w:rsid w:val="00F6521F"/>
    <w:rsid w:val="00F84EB3"/>
    <w:rsid w:val="00FA5330"/>
    <w:rsid w:val="00FB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ítulo,Heading 1.I"/>
    <w:basedOn w:val="Normal"/>
    <w:next w:val="Normal"/>
    <w:link w:val="Heading1Char"/>
    <w:qFormat/>
    <w:rsid w:val="00082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ar"/>
    <w:basedOn w:val="Normal"/>
    <w:next w:val="Normal"/>
    <w:link w:val="Heading2Char"/>
    <w:unhideWhenUsed/>
    <w:qFormat/>
    <w:rsid w:val="00082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FC1"/>
    <w:pPr>
      <w:keepNext/>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047FC1"/>
    <w:pPr>
      <w:keepNext/>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047FC1"/>
    <w:pPr>
      <w:tabs>
        <w:tab w:val="num" w:pos="3240"/>
      </w:tabs>
      <w:spacing w:before="240" w:after="60" w:line="240" w:lineRule="auto"/>
      <w:ind w:left="2880"/>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47FC1"/>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47FC1"/>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047FC1"/>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047FC1"/>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13"/>
    <w:pPr>
      <w:ind w:left="720"/>
      <w:contextualSpacing/>
    </w:pPr>
  </w:style>
  <w:style w:type="paragraph" w:styleId="BalloonText">
    <w:name w:val="Balloon Text"/>
    <w:basedOn w:val="Normal"/>
    <w:link w:val="BalloonTextChar"/>
    <w:uiPriority w:val="99"/>
    <w:semiHidden/>
    <w:unhideWhenUsed/>
    <w:rsid w:val="0053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9"/>
    <w:rPr>
      <w:rFonts w:ascii="Tahoma" w:hAnsi="Tahoma" w:cs="Tahoma"/>
      <w:sz w:val="16"/>
      <w:szCs w:val="16"/>
    </w:rPr>
  </w:style>
  <w:style w:type="paragraph" w:styleId="NoSpacing">
    <w:name w:val="No Spacing"/>
    <w:link w:val="NoSpacingChar"/>
    <w:uiPriority w:val="1"/>
    <w:qFormat/>
    <w:rsid w:val="00082C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2C02"/>
    <w:rPr>
      <w:rFonts w:eastAsiaTheme="minorEastAsia"/>
      <w:lang w:eastAsia="ja-JP"/>
    </w:rPr>
  </w:style>
  <w:style w:type="character" w:customStyle="1" w:styleId="Heading1Char">
    <w:name w:val="Heading 1 Char"/>
    <w:aliases w:val="Capítulo Char,Heading 1.I Char"/>
    <w:basedOn w:val="DefaultParagraphFont"/>
    <w:link w:val="Heading1"/>
    <w:uiPriority w:val="9"/>
    <w:rsid w:val="00082C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2C02"/>
    <w:pPr>
      <w:outlineLvl w:val="9"/>
    </w:pPr>
    <w:rPr>
      <w:lang w:eastAsia="ja-JP"/>
    </w:rPr>
  </w:style>
  <w:style w:type="character" w:customStyle="1" w:styleId="Heading2Char">
    <w:name w:val="Heading 2 Char"/>
    <w:aliases w:val="Car Char"/>
    <w:basedOn w:val="DefaultParagraphFont"/>
    <w:link w:val="Heading2"/>
    <w:uiPriority w:val="9"/>
    <w:rsid w:val="00082C0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82C02"/>
    <w:pPr>
      <w:spacing w:after="100"/>
    </w:pPr>
  </w:style>
  <w:style w:type="paragraph" w:styleId="TOC2">
    <w:name w:val="toc 2"/>
    <w:basedOn w:val="Normal"/>
    <w:next w:val="Normal"/>
    <w:autoRedefine/>
    <w:uiPriority w:val="39"/>
    <w:unhideWhenUsed/>
    <w:rsid w:val="00082C02"/>
    <w:pPr>
      <w:spacing w:after="100"/>
      <w:ind w:left="220"/>
    </w:pPr>
  </w:style>
  <w:style w:type="character" w:styleId="Hyperlink">
    <w:name w:val="Hyperlink"/>
    <w:basedOn w:val="DefaultParagraphFont"/>
    <w:uiPriority w:val="99"/>
    <w:unhideWhenUsed/>
    <w:rsid w:val="00082C02"/>
    <w:rPr>
      <w:color w:val="0000FF" w:themeColor="hyperlink"/>
      <w:u w:val="single"/>
    </w:rPr>
  </w:style>
  <w:style w:type="paragraph" w:styleId="Title">
    <w:name w:val="Title"/>
    <w:basedOn w:val="Normal"/>
    <w:link w:val="TitleChar"/>
    <w:qFormat/>
    <w:rsid w:val="00082C0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82C02"/>
    <w:rPr>
      <w:rFonts w:ascii="Times New Roman" w:eastAsia="Times New Roman" w:hAnsi="Times New Roman" w:cs="Times New Roman"/>
      <w:sz w:val="24"/>
      <w:szCs w:val="20"/>
    </w:rPr>
  </w:style>
  <w:style w:type="paragraph" w:customStyle="1" w:styleId="Default">
    <w:name w:val="Default"/>
    <w:rsid w:val="00F84EB3"/>
    <w:pPr>
      <w:autoSpaceDE w:val="0"/>
      <w:autoSpaceDN w:val="0"/>
      <w:adjustRightInd w:val="0"/>
      <w:spacing w:after="0" w:line="240" w:lineRule="auto"/>
    </w:pPr>
    <w:rPr>
      <w:rFonts w:ascii="Calibri" w:hAnsi="Calibri" w:cs="Calibri"/>
      <w:color w:val="000000"/>
      <w:sz w:val="24"/>
      <w:szCs w:val="24"/>
      <w:lang w:val="es-ES"/>
    </w:rPr>
  </w:style>
  <w:style w:type="paragraph" w:customStyle="1" w:styleId="Paragraph">
    <w:name w:val="Paragraph"/>
    <w:aliases w:val="paragraph,p,PARAGRAPH,PG,pa,at"/>
    <w:basedOn w:val="BodyTextIndent"/>
    <w:link w:val="ParagraphCar"/>
    <w:uiPriority w:val="99"/>
    <w:qFormat/>
    <w:rsid w:val="002D4583"/>
    <w:pPr>
      <w:numPr>
        <w:ilvl w:val="1"/>
        <w:numId w:val="9"/>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uiPriority w:val="99"/>
    <w:rsid w:val="002D4583"/>
    <w:pPr>
      <w:numPr>
        <w:ilvl w:val="2"/>
        <w:numId w:val="9"/>
      </w:numPr>
      <w:tabs>
        <w:tab w:val="clear" w:pos="1152"/>
      </w:tabs>
      <w:spacing w:before="120" w:line="240" w:lineRule="auto"/>
      <w:ind w:left="2205" w:hanging="180"/>
      <w:jc w:val="both"/>
      <w:outlineLvl w:val="2"/>
    </w:pPr>
    <w:rPr>
      <w:rFonts w:ascii="Times New Roman" w:eastAsia="Times New Roman" w:hAnsi="Times New Roman" w:cs="Times New Roman"/>
      <w:sz w:val="24"/>
      <w:szCs w:val="20"/>
    </w:rPr>
  </w:style>
  <w:style w:type="paragraph" w:customStyle="1" w:styleId="SubSubPar">
    <w:name w:val="SubSubPar"/>
    <w:basedOn w:val="subpar"/>
    <w:uiPriority w:val="99"/>
    <w:rsid w:val="002D4583"/>
    <w:pPr>
      <w:numPr>
        <w:ilvl w:val="3"/>
      </w:numPr>
      <w:tabs>
        <w:tab w:val="clear" w:pos="1584"/>
        <w:tab w:val="left" w:pos="0"/>
      </w:tabs>
      <w:ind w:left="1080" w:hanging="720"/>
    </w:pPr>
  </w:style>
  <w:style w:type="character" w:customStyle="1" w:styleId="ParagraphCar">
    <w:name w:val="Paragraph Car"/>
    <w:link w:val="Paragraph"/>
    <w:uiPriority w:val="99"/>
    <w:rsid w:val="002D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D4583"/>
    <w:pPr>
      <w:spacing w:after="120"/>
      <w:ind w:left="360"/>
    </w:pPr>
  </w:style>
  <w:style w:type="character" w:customStyle="1" w:styleId="BodyTextIndentChar">
    <w:name w:val="Body Text Indent Char"/>
    <w:basedOn w:val="DefaultParagraphFont"/>
    <w:link w:val="BodyTextIndent"/>
    <w:uiPriority w:val="99"/>
    <w:semiHidden/>
    <w:rsid w:val="002D4583"/>
  </w:style>
  <w:style w:type="paragraph" w:styleId="BodyTextIndent3">
    <w:name w:val="Body Text Indent 3"/>
    <w:basedOn w:val="Normal"/>
    <w:link w:val="BodyTextIndent3Char"/>
    <w:uiPriority w:val="99"/>
    <w:semiHidden/>
    <w:unhideWhenUsed/>
    <w:rsid w:val="002D45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4583"/>
    <w:rPr>
      <w:sz w:val="16"/>
      <w:szCs w:val="16"/>
    </w:rPr>
  </w:style>
  <w:style w:type="paragraph" w:styleId="Header">
    <w:name w:val="header"/>
    <w:basedOn w:val="Normal"/>
    <w:link w:val="HeaderChar"/>
    <w:uiPriority w:val="99"/>
    <w:unhideWhenUsed/>
    <w:rsid w:val="0089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9FA"/>
  </w:style>
  <w:style w:type="paragraph" w:styleId="Footer">
    <w:name w:val="footer"/>
    <w:basedOn w:val="Normal"/>
    <w:link w:val="FooterChar"/>
    <w:uiPriority w:val="99"/>
    <w:unhideWhenUsed/>
    <w:rsid w:val="0089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FA"/>
  </w:style>
  <w:style w:type="character" w:customStyle="1" w:styleId="Heading3Char">
    <w:name w:val="Heading 3 Char"/>
    <w:basedOn w:val="DefaultParagraphFont"/>
    <w:link w:val="Heading3"/>
    <w:rsid w:val="00047FC1"/>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047FC1"/>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047FC1"/>
    <w:rPr>
      <w:rFonts w:ascii="Times New Roman" w:eastAsia="Times New Roman" w:hAnsi="Times New Roman" w:cs="Times New Roman"/>
      <w:szCs w:val="20"/>
    </w:rPr>
  </w:style>
  <w:style w:type="character" w:customStyle="1" w:styleId="Heading6Char">
    <w:name w:val="Heading 6 Char"/>
    <w:basedOn w:val="DefaultParagraphFont"/>
    <w:link w:val="Heading6"/>
    <w:rsid w:val="00047FC1"/>
    <w:rPr>
      <w:rFonts w:ascii="Times New Roman" w:eastAsia="Times New Roman" w:hAnsi="Times New Roman" w:cs="Times New Roman"/>
      <w:i/>
      <w:szCs w:val="20"/>
    </w:rPr>
  </w:style>
  <w:style w:type="character" w:customStyle="1" w:styleId="Heading7Char">
    <w:name w:val="Heading 7 Char"/>
    <w:basedOn w:val="DefaultParagraphFont"/>
    <w:link w:val="Heading7"/>
    <w:rsid w:val="00047FC1"/>
    <w:rPr>
      <w:rFonts w:ascii="Arial" w:eastAsia="Times New Roman" w:hAnsi="Arial" w:cs="Times New Roman"/>
      <w:sz w:val="24"/>
      <w:szCs w:val="20"/>
    </w:rPr>
  </w:style>
  <w:style w:type="character" w:customStyle="1" w:styleId="Heading8Char">
    <w:name w:val="Heading 8 Char"/>
    <w:basedOn w:val="DefaultParagraphFont"/>
    <w:link w:val="Heading8"/>
    <w:rsid w:val="00047FC1"/>
    <w:rPr>
      <w:rFonts w:ascii="Arial" w:eastAsia="Times New Roman" w:hAnsi="Arial" w:cs="Times New Roman"/>
      <w:i/>
      <w:sz w:val="24"/>
      <w:szCs w:val="20"/>
    </w:rPr>
  </w:style>
  <w:style w:type="character" w:customStyle="1" w:styleId="Heading9Char">
    <w:name w:val="Heading 9 Char"/>
    <w:basedOn w:val="DefaultParagraphFont"/>
    <w:link w:val="Heading9"/>
    <w:rsid w:val="00047FC1"/>
    <w:rPr>
      <w:rFonts w:ascii="Arial" w:eastAsia="Times New Roman" w:hAnsi="Arial" w:cs="Times New Roman"/>
      <w:b/>
      <w:i/>
      <w:sz w:val="18"/>
      <w:szCs w:val="20"/>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047F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47FC1"/>
    <w:rPr>
      <w:sz w:val="20"/>
      <w:szCs w:val="20"/>
    </w:rPr>
  </w:style>
  <w:style w:type="character" w:styleId="FootnoteReference">
    <w:name w:val="footnote reference"/>
    <w:aliases w:val="FC,ftref,Ref,de nota al pie,16 Point,Superscript 6 Point,(Ref. de nota al pie),titulo 2,Texto nota al pie,referencia nota al pie,Footnote Reference Number,Footnote Reference_LVL6,Footnote Reference_LVL61,Footnote Reference_LVL62"/>
    <w:uiPriority w:val="99"/>
    <w:rsid w:val="00047FC1"/>
    <w:rPr>
      <w:vertAlign w:val="superscript"/>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047FC1"/>
    <w:rPr>
      <w:rFonts w:ascii="Times New Roman" w:eastAsia="Times New Roman" w:hAnsi="Times New Roman" w:cs="Times New Roman"/>
      <w:sz w:val="20"/>
      <w:szCs w:val="20"/>
    </w:rPr>
  </w:style>
  <w:style w:type="paragraph" w:styleId="Caption">
    <w:name w:val="caption"/>
    <w:aliases w:val="Grafica"/>
    <w:basedOn w:val="Normal"/>
    <w:next w:val="Normal"/>
    <w:link w:val="CaptionChar"/>
    <w:qFormat/>
    <w:rsid w:val="00047FC1"/>
    <w:pPr>
      <w:spacing w:after="0" w:line="240" w:lineRule="auto"/>
    </w:pPr>
    <w:rPr>
      <w:rFonts w:ascii="Times New Roman" w:eastAsia="Times New Roman" w:hAnsi="Times New Roman" w:cs="Times New Roman"/>
      <w:b/>
      <w:bCs/>
      <w:sz w:val="20"/>
      <w:szCs w:val="20"/>
    </w:rPr>
  </w:style>
  <w:style w:type="character" w:customStyle="1" w:styleId="CaptionChar">
    <w:name w:val="Caption Char"/>
    <w:aliases w:val="Grafica Char"/>
    <w:link w:val="Caption"/>
    <w:locked/>
    <w:rsid w:val="00047FC1"/>
    <w:rPr>
      <w:rFonts w:ascii="Times New Roman" w:eastAsia="Times New Roman" w:hAnsi="Times New Roman" w:cs="Times New Roman"/>
      <w:b/>
      <w:bCs/>
      <w:sz w:val="20"/>
      <w:szCs w:val="20"/>
    </w:rPr>
  </w:style>
  <w:style w:type="table" w:styleId="TableGrid">
    <w:name w:val="Table Grid"/>
    <w:basedOn w:val="TableNormal"/>
    <w:uiPriority w:val="59"/>
    <w:rsid w:val="0024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0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ítulo,Heading 1.I"/>
    <w:basedOn w:val="Normal"/>
    <w:next w:val="Normal"/>
    <w:link w:val="Heading1Char"/>
    <w:qFormat/>
    <w:rsid w:val="00082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ar"/>
    <w:basedOn w:val="Normal"/>
    <w:next w:val="Normal"/>
    <w:link w:val="Heading2Char"/>
    <w:unhideWhenUsed/>
    <w:qFormat/>
    <w:rsid w:val="00082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FC1"/>
    <w:pPr>
      <w:keepNext/>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aliases w:val="Heading 4.a"/>
    <w:basedOn w:val="Normal"/>
    <w:next w:val="Normal"/>
    <w:link w:val="Heading4Char"/>
    <w:qFormat/>
    <w:rsid w:val="00047FC1"/>
    <w:pPr>
      <w:keepNext/>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aliases w:val="Heading 5.(i)"/>
    <w:basedOn w:val="Normal"/>
    <w:next w:val="Normal"/>
    <w:link w:val="Heading5Char"/>
    <w:qFormat/>
    <w:rsid w:val="00047FC1"/>
    <w:pPr>
      <w:tabs>
        <w:tab w:val="num" w:pos="3240"/>
      </w:tabs>
      <w:spacing w:before="240" w:after="60" w:line="240" w:lineRule="auto"/>
      <w:ind w:left="2880"/>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47FC1"/>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47FC1"/>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047FC1"/>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047FC1"/>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13"/>
    <w:pPr>
      <w:ind w:left="720"/>
      <w:contextualSpacing/>
    </w:pPr>
  </w:style>
  <w:style w:type="paragraph" w:styleId="BalloonText">
    <w:name w:val="Balloon Text"/>
    <w:basedOn w:val="Normal"/>
    <w:link w:val="BalloonTextChar"/>
    <w:uiPriority w:val="99"/>
    <w:semiHidden/>
    <w:unhideWhenUsed/>
    <w:rsid w:val="0053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9"/>
    <w:rPr>
      <w:rFonts w:ascii="Tahoma" w:hAnsi="Tahoma" w:cs="Tahoma"/>
      <w:sz w:val="16"/>
      <w:szCs w:val="16"/>
    </w:rPr>
  </w:style>
  <w:style w:type="paragraph" w:styleId="NoSpacing">
    <w:name w:val="No Spacing"/>
    <w:link w:val="NoSpacingChar"/>
    <w:uiPriority w:val="1"/>
    <w:qFormat/>
    <w:rsid w:val="00082C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2C02"/>
    <w:rPr>
      <w:rFonts w:eastAsiaTheme="minorEastAsia"/>
      <w:lang w:eastAsia="ja-JP"/>
    </w:rPr>
  </w:style>
  <w:style w:type="character" w:customStyle="1" w:styleId="Heading1Char">
    <w:name w:val="Heading 1 Char"/>
    <w:aliases w:val="Capítulo Char,Heading 1.I Char"/>
    <w:basedOn w:val="DefaultParagraphFont"/>
    <w:link w:val="Heading1"/>
    <w:uiPriority w:val="9"/>
    <w:rsid w:val="00082C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2C02"/>
    <w:pPr>
      <w:outlineLvl w:val="9"/>
    </w:pPr>
    <w:rPr>
      <w:lang w:eastAsia="ja-JP"/>
    </w:rPr>
  </w:style>
  <w:style w:type="character" w:customStyle="1" w:styleId="Heading2Char">
    <w:name w:val="Heading 2 Char"/>
    <w:aliases w:val="Car Char"/>
    <w:basedOn w:val="DefaultParagraphFont"/>
    <w:link w:val="Heading2"/>
    <w:uiPriority w:val="9"/>
    <w:rsid w:val="00082C0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82C02"/>
    <w:pPr>
      <w:spacing w:after="100"/>
    </w:pPr>
  </w:style>
  <w:style w:type="paragraph" w:styleId="TOC2">
    <w:name w:val="toc 2"/>
    <w:basedOn w:val="Normal"/>
    <w:next w:val="Normal"/>
    <w:autoRedefine/>
    <w:uiPriority w:val="39"/>
    <w:unhideWhenUsed/>
    <w:rsid w:val="00082C02"/>
    <w:pPr>
      <w:spacing w:after="100"/>
      <w:ind w:left="220"/>
    </w:pPr>
  </w:style>
  <w:style w:type="character" w:styleId="Hyperlink">
    <w:name w:val="Hyperlink"/>
    <w:basedOn w:val="DefaultParagraphFont"/>
    <w:uiPriority w:val="99"/>
    <w:unhideWhenUsed/>
    <w:rsid w:val="00082C02"/>
    <w:rPr>
      <w:color w:val="0000FF" w:themeColor="hyperlink"/>
      <w:u w:val="single"/>
    </w:rPr>
  </w:style>
  <w:style w:type="paragraph" w:styleId="Title">
    <w:name w:val="Title"/>
    <w:basedOn w:val="Normal"/>
    <w:link w:val="TitleChar"/>
    <w:qFormat/>
    <w:rsid w:val="00082C0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82C02"/>
    <w:rPr>
      <w:rFonts w:ascii="Times New Roman" w:eastAsia="Times New Roman" w:hAnsi="Times New Roman" w:cs="Times New Roman"/>
      <w:sz w:val="24"/>
      <w:szCs w:val="20"/>
    </w:rPr>
  </w:style>
  <w:style w:type="paragraph" w:customStyle="1" w:styleId="Default">
    <w:name w:val="Default"/>
    <w:rsid w:val="00F84EB3"/>
    <w:pPr>
      <w:autoSpaceDE w:val="0"/>
      <w:autoSpaceDN w:val="0"/>
      <w:adjustRightInd w:val="0"/>
      <w:spacing w:after="0" w:line="240" w:lineRule="auto"/>
    </w:pPr>
    <w:rPr>
      <w:rFonts w:ascii="Calibri" w:hAnsi="Calibri" w:cs="Calibri"/>
      <w:color w:val="000000"/>
      <w:sz w:val="24"/>
      <w:szCs w:val="24"/>
      <w:lang w:val="es-ES"/>
    </w:rPr>
  </w:style>
  <w:style w:type="paragraph" w:customStyle="1" w:styleId="Paragraph">
    <w:name w:val="Paragraph"/>
    <w:aliases w:val="paragraph,p,PARAGRAPH,PG,pa,at"/>
    <w:basedOn w:val="BodyTextIndent"/>
    <w:link w:val="ParagraphCar"/>
    <w:uiPriority w:val="99"/>
    <w:qFormat/>
    <w:rsid w:val="002D4583"/>
    <w:pPr>
      <w:numPr>
        <w:ilvl w:val="1"/>
        <w:numId w:val="9"/>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uiPriority w:val="99"/>
    <w:rsid w:val="002D4583"/>
    <w:pPr>
      <w:numPr>
        <w:ilvl w:val="2"/>
        <w:numId w:val="9"/>
      </w:numPr>
      <w:tabs>
        <w:tab w:val="clear" w:pos="1152"/>
      </w:tabs>
      <w:spacing w:before="120" w:line="240" w:lineRule="auto"/>
      <w:ind w:left="2205" w:hanging="180"/>
      <w:jc w:val="both"/>
      <w:outlineLvl w:val="2"/>
    </w:pPr>
    <w:rPr>
      <w:rFonts w:ascii="Times New Roman" w:eastAsia="Times New Roman" w:hAnsi="Times New Roman" w:cs="Times New Roman"/>
      <w:sz w:val="24"/>
      <w:szCs w:val="20"/>
    </w:rPr>
  </w:style>
  <w:style w:type="paragraph" w:customStyle="1" w:styleId="SubSubPar">
    <w:name w:val="SubSubPar"/>
    <w:basedOn w:val="subpar"/>
    <w:uiPriority w:val="99"/>
    <w:rsid w:val="002D4583"/>
    <w:pPr>
      <w:numPr>
        <w:ilvl w:val="3"/>
      </w:numPr>
      <w:tabs>
        <w:tab w:val="clear" w:pos="1584"/>
        <w:tab w:val="left" w:pos="0"/>
      </w:tabs>
      <w:ind w:left="1080" w:hanging="720"/>
    </w:pPr>
  </w:style>
  <w:style w:type="character" w:customStyle="1" w:styleId="ParagraphCar">
    <w:name w:val="Paragraph Car"/>
    <w:link w:val="Paragraph"/>
    <w:uiPriority w:val="99"/>
    <w:rsid w:val="002D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D4583"/>
    <w:pPr>
      <w:spacing w:after="120"/>
      <w:ind w:left="360"/>
    </w:pPr>
  </w:style>
  <w:style w:type="character" w:customStyle="1" w:styleId="BodyTextIndentChar">
    <w:name w:val="Body Text Indent Char"/>
    <w:basedOn w:val="DefaultParagraphFont"/>
    <w:link w:val="BodyTextIndent"/>
    <w:uiPriority w:val="99"/>
    <w:semiHidden/>
    <w:rsid w:val="002D4583"/>
  </w:style>
  <w:style w:type="paragraph" w:styleId="BodyTextIndent3">
    <w:name w:val="Body Text Indent 3"/>
    <w:basedOn w:val="Normal"/>
    <w:link w:val="BodyTextIndent3Char"/>
    <w:uiPriority w:val="99"/>
    <w:semiHidden/>
    <w:unhideWhenUsed/>
    <w:rsid w:val="002D45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4583"/>
    <w:rPr>
      <w:sz w:val="16"/>
      <w:szCs w:val="16"/>
    </w:rPr>
  </w:style>
  <w:style w:type="paragraph" w:styleId="Header">
    <w:name w:val="header"/>
    <w:basedOn w:val="Normal"/>
    <w:link w:val="HeaderChar"/>
    <w:uiPriority w:val="99"/>
    <w:unhideWhenUsed/>
    <w:rsid w:val="00894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9FA"/>
  </w:style>
  <w:style w:type="paragraph" w:styleId="Footer">
    <w:name w:val="footer"/>
    <w:basedOn w:val="Normal"/>
    <w:link w:val="FooterChar"/>
    <w:uiPriority w:val="99"/>
    <w:unhideWhenUsed/>
    <w:rsid w:val="00894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9FA"/>
  </w:style>
  <w:style w:type="character" w:customStyle="1" w:styleId="Heading3Char">
    <w:name w:val="Heading 3 Char"/>
    <w:basedOn w:val="DefaultParagraphFont"/>
    <w:link w:val="Heading3"/>
    <w:rsid w:val="00047FC1"/>
    <w:rPr>
      <w:rFonts w:ascii="Arial" w:eastAsia="Times New Roman" w:hAnsi="Arial" w:cs="Times New Roman"/>
      <w:sz w:val="24"/>
      <w:szCs w:val="20"/>
    </w:rPr>
  </w:style>
  <w:style w:type="character" w:customStyle="1" w:styleId="Heading4Char">
    <w:name w:val="Heading 4 Char"/>
    <w:aliases w:val="Heading 4.a Char"/>
    <w:basedOn w:val="DefaultParagraphFont"/>
    <w:link w:val="Heading4"/>
    <w:rsid w:val="00047FC1"/>
    <w:rPr>
      <w:rFonts w:ascii="Arial" w:eastAsia="Times New Roman" w:hAnsi="Arial" w:cs="Times New Roman"/>
      <w:b/>
      <w:sz w:val="24"/>
      <w:szCs w:val="20"/>
    </w:rPr>
  </w:style>
  <w:style w:type="character" w:customStyle="1" w:styleId="Heading5Char">
    <w:name w:val="Heading 5 Char"/>
    <w:aliases w:val="Heading 5.(i) Char"/>
    <w:basedOn w:val="DefaultParagraphFont"/>
    <w:link w:val="Heading5"/>
    <w:rsid w:val="00047FC1"/>
    <w:rPr>
      <w:rFonts w:ascii="Times New Roman" w:eastAsia="Times New Roman" w:hAnsi="Times New Roman" w:cs="Times New Roman"/>
      <w:szCs w:val="20"/>
    </w:rPr>
  </w:style>
  <w:style w:type="character" w:customStyle="1" w:styleId="Heading6Char">
    <w:name w:val="Heading 6 Char"/>
    <w:basedOn w:val="DefaultParagraphFont"/>
    <w:link w:val="Heading6"/>
    <w:rsid w:val="00047FC1"/>
    <w:rPr>
      <w:rFonts w:ascii="Times New Roman" w:eastAsia="Times New Roman" w:hAnsi="Times New Roman" w:cs="Times New Roman"/>
      <w:i/>
      <w:szCs w:val="20"/>
    </w:rPr>
  </w:style>
  <w:style w:type="character" w:customStyle="1" w:styleId="Heading7Char">
    <w:name w:val="Heading 7 Char"/>
    <w:basedOn w:val="DefaultParagraphFont"/>
    <w:link w:val="Heading7"/>
    <w:rsid w:val="00047FC1"/>
    <w:rPr>
      <w:rFonts w:ascii="Arial" w:eastAsia="Times New Roman" w:hAnsi="Arial" w:cs="Times New Roman"/>
      <w:sz w:val="24"/>
      <w:szCs w:val="20"/>
    </w:rPr>
  </w:style>
  <w:style w:type="character" w:customStyle="1" w:styleId="Heading8Char">
    <w:name w:val="Heading 8 Char"/>
    <w:basedOn w:val="DefaultParagraphFont"/>
    <w:link w:val="Heading8"/>
    <w:rsid w:val="00047FC1"/>
    <w:rPr>
      <w:rFonts w:ascii="Arial" w:eastAsia="Times New Roman" w:hAnsi="Arial" w:cs="Times New Roman"/>
      <w:i/>
      <w:sz w:val="24"/>
      <w:szCs w:val="20"/>
    </w:rPr>
  </w:style>
  <w:style w:type="character" w:customStyle="1" w:styleId="Heading9Char">
    <w:name w:val="Heading 9 Char"/>
    <w:basedOn w:val="DefaultParagraphFont"/>
    <w:link w:val="Heading9"/>
    <w:rsid w:val="00047FC1"/>
    <w:rPr>
      <w:rFonts w:ascii="Arial" w:eastAsia="Times New Roman" w:hAnsi="Arial" w:cs="Times New Roman"/>
      <w:b/>
      <w:i/>
      <w:sz w:val="18"/>
      <w:szCs w:val="20"/>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
    <w:basedOn w:val="Normal"/>
    <w:link w:val="FootnoteTextChar1"/>
    <w:uiPriority w:val="99"/>
    <w:rsid w:val="00047F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47FC1"/>
    <w:rPr>
      <w:sz w:val="20"/>
      <w:szCs w:val="20"/>
    </w:rPr>
  </w:style>
  <w:style w:type="character" w:styleId="FootnoteReference">
    <w:name w:val="footnote reference"/>
    <w:aliases w:val="FC,ftref,Ref,de nota al pie,16 Point,Superscript 6 Point,(Ref. de nota al pie),titulo 2,Texto nota al pie,referencia nota al pie,Footnote Reference Number,Footnote Reference_LVL6,Footnote Reference_LVL61,Footnote Reference_LVL62"/>
    <w:uiPriority w:val="99"/>
    <w:rsid w:val="00047FC1"/>
    <w:rPr>
      <w:vertAlign w:val="superscript"/>
    </w:rPr>
  </w:style>
  <w:style w:type="character" w:customStyle="1" w:styleId="FootnoteTextChar1">
    <w:name w:val="Footnote Text Char1"/>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047FC1"/>
    <w:rPr>
      <w:rFonts w:ascii="Times New Roman" w:eastAsia="Times New Roman" w:hAnsi="Times New Roman" w:cs="Times New Roman"/>
      <w:sz w:val="20"/>
      <w:szCs w:val="20"/>
    </w:rPr>
  </w:style>
  <w:style w:type="paragraph" w:styleId="Caption">
    <w:name w:val="caption"/>
    <w:aliases w:val="Grafica"/>
    <w:basedOn w:val="Normal"/>
    <w:next w:val="Normal"/>
    <w:link w:val="CaptionChar"/>
    <w:qFormat/>
    <w:rsid w:val="00047FC1"/>
    <w:pPr>
      <w:spacing w:after="0" w:line="240" w:lineRule="auto"/>
    </w:pPr>
    <w:rPr>
      <w:rFonts w:ascii="Times New Roman" w:eastAsia="Times New Roman" w:hAnsi="Times New Roman" w:cs="Times New Roman"/>
      <w:b/>
      <w:bCs/>
      <w:sz w:val="20"/>
      <w:szCs w:val="20"/>
    </w:rPr>
  </w:style>
  <w:style w:type="character" w:customStyle="1" w:styleId="CaptionChar">
    <w:name w:val="Caption Char"/>
    <w:aliases w:val="Grafica Char"/>
    <w:link w:val="Caption"/>
    <w:locked/>
    <w:rsid w:val="00047FC1"/>
    <w:rPr>
      <w:rFonts w:ascii="Times New Roman" w:eastAsia="Times New Roman" w:hAnsi="Times New Roman" w:cs="Times New Roman"/>
      <w:b/>
      <w:bCs/>
      <w:sz w:val="20"/>
      <w:szCs w:val="20"/>
    </w:rPr>
  </w:style>
  <w:style w:type="table" w:styleId="TableGrid">
    <w:name w:val="Table Grid"/>
    <w:basedOn w:val="TableNormal"/>
    <w:uiPriority w:val="59"/>
    <w:rsid w:val="0024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517">
      <w:bodyDiv w:val="1"/>
      <w:marLeft w:val="0"/>
      <w:marRight w:val="0"/>
      <w:marTop w:val="0"/>
      <w:marBottom w:val="0"/>
      <w:divBdr>
        <w:top w:val="none" w:sz="0" w:space="0" w:color="auto"/>
        <w:left w:val="none" w:sz="0" w:space="0" w:color="auto"/>
        <w:bottom w:val="none" w:sz="0" w:space="0" w:color="auto"/>
        <w:right w:val="none" w:sz="0" w:space="0" w:color="auto"/>
      </w:divBdr>
    </w:div>
    <w:div w:id="348987316">
      <w:bodyDiv w:val="1"/>
      <w:marLeft w:val="0"/>
      <w:marRight w:val="0"/>
      <w:marTop w:val="0"/>
      <w:marBottom w:val="0"/>
      <w:divBdr>
        <w:top w:val="none" w:sz="0" w:space="0" w:color="auto"/>
        <w:left w:val="none" w:sz="0" w:space="0" w:color="auto"/>
        <w:bottom w:val="none" w:sz="0" w:space="0" w:color="auto"/>
        <w:right w:val="none" w:sz="0" w:space="0" w:color="auto"/>
      </w:divBdr>
    </w:div>
    <w:div w:id="389157049">
      <w:bodyDiv w:val="1"/>
      <w:marLeft w:val="0"/>
      <w:marRight w:val="0"/>
      <w:marTop w:val="0"/>
      <w:marBottom w:val="0"/>
      <w:divBdr>
        <w:top w:val="none" w:sz="0" w:space="0" w:color="auto"/>
        <w:left w:val="none" w:sz="0" w:space="0" w:color="auto"/>
        <w:bottom w:val="none" w:sz="0" w:space="0" w:color="auto"/>
        <w:right w:val="none" w:sz="0" w:space="0" w:color="auto"/>
      </w:divBdr>
    </w:div>
    <w:div w:id="1244682420">
      <w:bodyDiv w:val="1"/>
      <w:marLeft w:val="0"/>
      <w:marRight w:val="0"/>
      <w:marTop w:val="0"/>
      <w:marBottom w:val="0"/>
      <w:divBdr>
        <w:top w:val="none" w:sz="0" w:space="0" w:color="auto"/>
        <w:left w:val="none" w:sz="0" w:space="0" w:color="auto"/>
        <w:bottom w:val="none" w:sz="0" w:space="0" w:color="auto"/>
        <w:right w:val="none" w:sz="0" w:space="0" w:color="auto"/>
      </w:divBdr>
    </w:div>
    <w:div w:id="1257052741">
      <w:bodyDiv w:val="1"/>
      <w:marLeft w:val="0"/>
      <w:marRight w:val="0"/>
      <w:marTop w:val="0"/>
      <w:marBottom w:val="0"/>
      <w:divBdr>
        <w:top w:val="none" w:sz="0" w:space="0" w:color="auto"/>
        <w:left w:val="none" w:sz="0" w:space="0" w:color="auto"/>
        <w:bottom w:val="none" w:sz="0" w:space="0" w:color="auto"/>
        <w:right w:val="none" w:sz="0" w:space="0" w:color="auto"/>
      </w:divBdr>
    </w:div>
    <w:div w:id="1417288844">
      <w:bodyDiv w:val="1"/>
      <w:marLeft w:val="0"/>
      <w:marRight w:val="0"/>
      <w:marTop w:val="0"/>
      <w:marBottom w:val="0"/>
      <w:divBdr>
        <w:top w:val="none" w:sz="0" w:space="0" w:color="auto"/>
        <w:left w:val="none" w:sz="0" w:space="0" w:color="auto"/>
        <w:bottom w:val="none" w:sz="0" w:space="0" w:color="auto"/>
        <w:right w:val="none" w:sz="0" w:space="0" w:color="auto"/>
      </w:divBdr>
    </w:div>
    <w:div w:id="1900285944">
      <w:bodyDiv w:val="1"/>
      <w:marLeft w:val="0"/>
      <w:marRight w:val="0"/>
      <w:marTop w:val="0"/>
      <w:marBottom w:val="0"/>
      <w:divBdr>
        <w:top w:val="none" w:sz="0" w:space="0" w:color="auto"/>
        <w:left w:val="none" w:sz="0" w:space="0" w:color="auto"/>
        <w:bottom w:val="none" w:sz="0" w:space="0" w:color="auto"/>
        <w:right w:val="none" w:sz="0" w:space="0" w:color="auto"/>
      </w:divBdr>
    </w:div>
    <w:div w:id="2045908170">
      <w:bodyDiv w:val="1"/>
      <w:marLeft w:val="0"/>
      <w:marRight w:val="0"/>
      <w:marTop w:val="0"/>
      <w:marBottom w:val="0"/>
      <w:divBdr>
        <w:top w:val="none" w:sz="0" w:space="0" w:color="auto"/>
        <w:left w:val="none" w:sz="0" w:space="0" w:color="auto"/>
        <w:bottom w:val="none" w:sz="0" w:space="0" w:color="auto"/>
        <w:right w:val="none" w:sz="0" w:space="0" w:color="auto"/>
      </w:divBdr>
    </w:div>
    <w:div w:id="20847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ec.go.cr/Web/Home/pagPrincipal.aspx" TargetMode="External"/><Relationship Id="rId18" Type="http://schemas.openxmlformats.org/officeDocument/2006/relationships/image" Target="media/image5.png"/><Relationship Id="rId26" Type="http://schemas.openxmlformats.org/officeDocument/2006/relationships/customXml" Target="../customXml/item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 Id="rId27" Type="http://schemas.openxmlformats.org/officeDocument/2006/relationships/customXml" Target="../customXml/item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dgarz\Desktop\CR-L1066%20Archivos%20POD%20Enero%202015\Revisi&#243;n%20post%20segundo%20QRR\Estudio%20sobrecostos\Reajuste%20de%20Costos%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IPC!$B$8</c:f>
              <c:strCache>
                <c:ptCount val="1"/>
                <c:pt idx="0">
                  <c:v>Índice de Precios de Construcción</c:v>
                </c:pt>
              </c:strCache>
            </c:strRef>
          </c:tx>
          <c:dLbls>
            <c:dLbl>
              <c:idx val="10"/>
              <c:layout>
                <c:manualLayout>
                  <c:x val="-8.5865500525789326E-2"/>
                  <c:y val="0.10215875472213372"/>
                </c:manualLayout>
              </c:layout>
              <c:tx>
                <c:rich>
                  <a:bodyPr/>
                  <a:lstStyle/>
                  <a:p>
                    <a:r>
                      <a:rPr lang="en-US"/>
                      <a:t>Dic 2012</a:t>
                    </a:r>
                    <a:br>
                      <a:rPr lang="en-US"/>
                    </a:br>
                    <a:r>
                      <a:rPr lang="en-US"/>
                      <a:t>99.068</a:t>
                    </a:r>
                  </a:p>
                </c:rich>
              </c:tx>
              <c:showLegendKey val="0"/>
              <c:showVal val="1"/>
              <c:showCatName val="0"/>
              <c:showSerName val="0"/>
              <c:showPercent val="0"/>
              <c:showBubbleSize val="0"/>
            </c:dLbl>
            <c:dLbl>
              <c:idx val="36"/>
              <c:layout>
                <c:manualLayout>
                  <c:x val="0"/>
                  <c:y val="8.9013820566877483E-2"/>
                </c:manualLayout>
              </c:layout>
              <c:tx>
                <c:rich>
                  <a:bodyPr/>
                  <a:lstStyle/>
                  <a:p>
                    <a:r>
                      <a:rPr lang="en-US"/>
                      <a:t>Feb 2015</a:t>
                    </a:r>
                    <a:br>
                      <a:rPr lang="en-US"/>
                    </a:br>
                    <a:r>
                      <a:rPr lang="en-US"/>
                      <a:t>103.094</a:t>
                    </a:r>
                  </a:p>
                </c:rich>
              </c:tx>
              <c:showLegendKey val="0"/>
              <c:showVal val="1"/>
              <c:showCatName val="0"/>
              <c:showSerName val="0"/>
              <c:showPercent val="0"/>
              <c:showBubbleSize val="0"/>
            </c:dLbl>
            <c:showLegendKey val="0"/>
            <c:showVal val="0"/>
            <c:showCatName val="0"/>
            <c:showSerName val="0"/>
            <c:showPercent val="0"/>
            <c:showBubbleSize val="0"/>
          </c:dLbls>
          <c:cat>
            <c:strRef>
              <c:f>IPC!$C$6:$AM$6</c:f>
              <c:strCache>
                <c:ptCount val="37"/>
                <c:pt idx="0">
                  <c:v>Febrero 2012</c:v>
                </c:pt>
                <c:pt idx="1">
                  <c:v>Marzo 2012</c:v>
                </c:pt>
                <c:pt idx="2">
                  <c:v>Abril 2012</c:v>
                </c:pt>
                <c:pt idx="3">
                  <c:v>Mayo 2012</c:v>
                </c:pt>
                <c:pt idx="4">
                  <c:v>Junio 2012</c:v>
                </c:pt>
                <c:pt idx="5">
                  <c:v>Julio 2012</c:v>
                </c:pt>
                <c:pt idx="6">
                  <c:v>Agosto 2012</c:v>
                </c:pt>
                <c:pt idx="7">
                  <c:v>Septiembre 2012</c:v>
                </c:pt>
                <c:pt idx="8">
                  <c:v>Octubre 2012</c:v>
                </c:pt>
                <c:pt idx="9">
                  <c:v>Noviembre 2012</c:v>
                </c:pt>
                <c:pt idx="10">
                  <c:v>Diciembre 2012</c:v>
                </c:pt>
                <c:pt idx="11">
                  <c:v>Enero 2013</c:v>
                </c:pt>
                <c:pt idx="12">
                  <c:v>Febrero 2013</c:v>
                </c:pt>
                <c:pt idx="13">
                  <c:v>Marzo 2013</c:v>
                </c:pt>
                <c:pt idx="14">
                  <c:v>Abril 2013</c:v>
                </c:pt>
                <c:pt idx="15">
                  <c:v>Mayo 2013</c:v>
                </c:pt>
                <c:pt idx="16">
                  <c:v>Junio 2013</c:v>
                </c:pt>
                <c:pt idx="17">
                  <c:v>Julio 2013</c:v>
                </c:pt>
                <c:pt idx="18">
                  <c:v>Agosto 2013</c:v>
                </c:pt>
                <c:pt idx="19">
                  <c:v>Setiembre 2013</c:v>
                </c:pt>
                <c:pt idx="20">
                  <c:v>Octubre 2013</c:v>
                </c:pt>
                <c:pt idx="21">
                  <c:v>Noviembre 2013</c:v>
                </c:pt>
                <c:pt idx="22">
                  <c:v>Diciembre 2013</c:v>
                </c:pt>
                <c:pt idx="23">
                  <c:v>Enero 2014</c:v>
                </c:pt>
                <c:pt idx="24">
                  <c:v>Febrero 2014</c:v>
                </c:pt>
                <c:pt idx="25">
                  <c:v>Marzo 2014</c:v>
                </c:pt>
                <c:pt idx="26">
                  <c:v>Abril 2014</c:v>
                </c:pt>
                <c:pt idx="27">
                  <c:v>Mayo 2014</c:v>
                </c:pt>
                <c:pt idx="28">
                  <c:v>Junio 2014</c:v>
                </c:pt>
                <c:pt idx="29">
                  <c:v>Julio 2014</c:v>
                </c:pt>
                <c:pt idx="30">
                  <c:v>Agosto 2014</c:v>
                </c:pt>
                <c:pt idx="31">
                  <c:v>Setiembre 2014</c:v>
                </c:pt>
                <c:pt idx="32">
                  <c:v>Octubre 2014</c:v>
                </c:pt>
                <c:pt idx="33">
                  <c:v>Noviembre 2014</c:v>
                </c:pt>
                <c:pt idx="34">
                  <c:v>Diciembre 2014</c:v>
                </c:pt>
                <c:pt idx="35">
                  <c:v>Enero 2015</c:v>
                </c:pt>
                <c:pt idx="36">
                  <c:v>Febrero 2015</c:v>
                </c:pt>
              </c:strCache>
            </c:strRef>
          </c:cat>
          <c:val>
            <c:numRef>
              <c:f>IPC!$C$8:$AM$8</c:f>
              <c:numCache>
                <c:formatCode>0.000</c:formatCode>
                <c:ptCount val="37"/>
                <c:pt idx="0">
                  <c:v>100</c:v>
                </c:pt>
                <c:pt idx="1">
                  <c:v>99.693241788151852</c:v>
                </c:pt>
                <c:pt idx="2">
                  <c:v>99.782611360808019</c:v>
                </c:pt>
                <c:pt idx="3">
                  <c:v>100.08307874138789</c:v>
                </c:pt>
                <c:pt idx="4">
                  <c:v>99.48816541861423</c:v>
                </c:pt>
                <c:pt idx="5">
                  <c:v>99.017344383267499</c:v>
                </c:pt>
                <c:pt idx="6">
                  <c:v>98.820335992363155</c:v>
                </c:pt>
                <c:pt idx="7">
                  <c:v>99.483011287341597</c:v>
                </c:pt>
                <c:pt idx="8">
                  <c:v>99.248705039730396</c:v>
                </c:pt>
                <c:pt idx="9">
                  <c:v>99.068697383303018</c:v>
                </c:pt>
                <c:pt idx="10">
                  <c:v>99.06760298248814</c:v>
                </c:pt>
                <c:pt idx="11">
                  <c:v>100.17814603044496</c:v>
                </c:pt>
                <c:pt idx="12">
                  <c:v>100.85388581907435</c:v>
                </c:pt>
                <c:pt idx="13">
                  <c:v>100.61634785202074</c:v>
                </c:pt>
                <c:pt idx="14">
                  <c:v>101.00307808070959</c:v>
                </c:pt>
                <c:pt idx="15">
                  <c:v>101.42866743955378</c:v>
                </c:pt>
                <c:pt idx="16">
                  <c:v>99.220623370777062</c:v>
                </c:pt>
                <c:pt idx="17">
                  <c:v>98.766544419757921</c:v>
                </c:pt>
                <c:pt idx="18">
                  <c:v>99.150300846095476</c:v>
                </c:pt>
                <c:pt idx="19">
                  <c:v>98.492283900431048</c:v>
                </c:pt>
                <c:pt idx="20">
                  <c:v>97.944789028395292</c:v>
                </c:pt>
                <c:pt idx="21">
                  <c:v>98.218980694284539</c:v>
                </c:pt>
                <c:pt idx="22">
                  <c:v>98.291651743958496</c:v>
                </c:pt>
                <c:pt idx="23">
                  <c:v>98.755178489891364</c:v>
                </c:pt>
                <c:pt idx="24">
                  <c:v>102.15413770043881</c:v>
                </c:pt>
                <c:pt idx="25">
                  <c:v>104.28999773810943</c:v>
                </c:pt>
                <c:pt idx="26">
                  <c:v>103.99616954000588</c:v>
                </c:pt>
                <c:pt idx="27">
                  <c:v>103.97845996149958</c:v>
                </c:pt>
                <c:pt idx="28">
                  <c:v>103.617612985645</c:v>
                </c:pt>
                <c:pt idx="29">
                  <c:v>103.60642062505815</c:v>
                </c:pt>
                <c:pt idx="30">
                  <c:v>103.68357036109293</c:v>
                </c:pt>
                <c:pt idx="31">
                  <c:v>103.52803546808289</c:v>
                </c:pt>
                <c:pt idx="32">
                  <c:v>103.80680526900113</c:v>
                </c:pt>
                <c:pt idx="33">
                  <c:v>102.72627090458894</c:v>
                </c:pt>
                <c:pt idx="34">
                  <c:v>103.16147135919276</c:v>
                </c:pt>
                <c:pt idx="35">
                  <c:v>103.31399100248171</c:v>
                </c:pt>
                <c:pt idx="36">
                  <c:v>103.09388187244195</c:v>
                </c:pt>
              </c:numCache>
            </c:numRef>
          </c:val>
          <c:smooth val="0"/>
        </c:ser>
        <c:dLbls>
          <c:showLegendKey val="0"/>
          <c:showVal val="0"/>
          <c:showCatName val="0"/>
          <c:showSerName val="0"/>
          <c:showPercent val="0"/>
          <c:showBubbleSize val="0"/>
        </c:dLbls>
        <c:marker val="1"/>
        <c:smooth val="0"/>
        <c:axId val="210701696"/>
        <c:axId val="210744448"/>
      </c:lineChart>
      <c:catAx>
        <c:axId val="210701696"/>
        <c:scaling>
          <c:orientation val="minMax"/>
        </c:scaling>
        <c:delete val="0"/>
        <c:axPos val="b"/>
        <c:majorTickMark val="out"/>
        <c:minorTickMark val="none"/>
        <c:tickLblPos val="nextTo"/>
        <c:crossAx val="210744448"/>
        <c:crosses val="autoZero"/>
        <c:auto val="1"/>
        <c:lblAlgn val="ctr"/>
        <c:lblOffset val="100"/>
        <c:noMultiLvlLbl val="0"/>
      </c:catAx>
      <c:valAx>
        <c:axId val="210744448"/>
        <c:scaling>
          <c:orientation val="minMax"/>
        </c:scaling>
        <c:delete val="0"/>
        <c:axPos val="l"/>
        <c:majorGridlines/>
        <c:numFmt formatCode="0.000" sourceLinked="1"/>
        <c:majorTickMark val="out"/>
        <c:minorTickMark val="none"/>
        <c:tickLblPos val="nextTo"/>
        <c:crossAx val="210701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8EFCBFD83FF904AA1577F7ED955A7E2" ma:contentTypeVersion="0" ma:contentTypeDescription="A content type to manage public (operations) IDB documents" ma:contentTypeScope="" ma:versionID="97bbc8412c06206773e26935c3c6ea20">
  <xsd:schema xmlns:xsd="http://www.w3.org/2001/XMLSchema" xmlns:xs="http://www.w3.org/2001/XMLSchema" xmlns:p="http://schemas.microsoft.com/office/2006/metadata/properties" xmlns:ns2="9c571b2f-e523-4ab2-ba2e-09e151a03ef4" targetNamespace="http://schemas.microsoft.com/office/2006/metadata/properties" ma:root="true" ma:fieldsID="1c1f4268a1831cfd6a9fb3e703a3f6a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c5757e-a72b-4d31-bdc0-8de15f34ed79}" ma:internalName="TaxCatchAll" ma:showField="CatchAllData"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c5757e-a72b-4d31-bdc0-8de15f34ed79}" ma:internalName="TaxCatchAllLabel" ma:readOnly="true" ma:showField="CatchAllDataLabel"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39524031</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INE/TSP</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Leano, Juan Manuel</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CR-L1066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Whole&lt;/APPROVAL_DESC&gt;&lt;PD_OBJ_TYPE&gt;0&lt;/PD_OBJ_TYPE&gt;&lt;DTAPPROVAL&gt;Jun 17 2015 12:00AM&lt;/DTAPPROVAL&gt;&lt;MAKERECORD&gt;N&lt;/MAKERECORD&gt;&lt;PD_FILEPT_NO&gt;PO-CR-L1066-Anl&lt;/PD_FILEPT_NO&gt;&lt;/Data&gt;</Migration_x0020_Info>
    <Operation_x0020_Type xmlns="9c571b2f-e523-4ab2-ba2e-09e151a03ef4" xsi:nil="true"/>
    <Document_x0020_Language_x0020_IDB xmlns="9c571b2f-e523-4ab2-ba2e-09e151a03ef4">Spanish</Document_x0020_Language_x0020_IDB>
    <Identifier xmlns="9c571b2f-e523-4ab2-ba2e-09e151a03ef4"> FULL DOC</Identifier>
    <Disclosure_x0020_Activity xmlns="9c571b2f-e523-4ab2-ba2e-09e151a03ef4">Loan Proposal</Disclosure_x0020_Activity>
    <Webtopic xmlns="9c571b2f-e523-4ab2-ba2e-09e151a03ef4">TR-TRP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CoverPageProperties xmlns="http://schemas.microsoft.com/office/2006/coverPageProps">
  <PublishDate>2015-03-01T00:00:00</PublishDate>
  <Abstract/>
  <CompanyAddress/>
  <CompanyPhone/>
  <CompanyFax/>
  <CompanyEmail/>
</CoverPage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6DE711CF-652C-4C04-A636-FA9126732F8B}"/>
</file>

<file path=customXml/itemProps2.xml><?xml version="1.0" encoding="utf-8"?>
<ds:datastoreItem xmlns:ds="http://schemas.openxmlformats.org/officeDocument/2006/customXml" ds:itemID="{1F72FEA5-C407-42E2-86A8-B3A6D5743AA9}"/>
</file>

<file path=customXml/itemProps3.xml><?xml version="1.0" encoding="utf-8"?>
<ds:datastoreItem xmlns:ds="http://schemas.openxmlformats.org/officeDocument/2006/customXml" ds:itemID="{9660971C-B370-48B2-AD09-70B1D8BB6F33}"/>
</file>

<file path=customXml/itemProps4.xml><?xml version="1.0" encoding="utf-8"?>
<ds:datastoreItem xmlns:ds="http://schemas.openxmlformats.org/officeDocument/2006/customXml" ds:itemID="{F15AFE55-42DE-4316-9A36-07E44E33622C}"/>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53393316-04B7-4E0F-AD08-AB23B224C048}"/>
</file>

<file path=customXml/itemProps7.xml><?xml version="1.0" encoding="utf-8"?>
<ds:datastoreItem xmlns:ds="http://schemas.openxmlformats.org/officeDocument/2006/customXml" ds:itemID="{5B982B70-C32B-4D2F-8172-ABBC7602A60D}"/>
</file>

<file path=docProps/app.xml><?xml version="1.0" encoding="utf-8"?>
<Properties xmlns="http://schemas.openxmlformats.org/officeDocument/2006/extended-properties" xmlns:vt="http://schemas.openxmlformats.org/officeDocument/2006/docPropsVTypes">
  <Template>Normal.dotm</Template>
  <TotalTime>776</TotalTime>
  <Pages>13</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Estimación de la probabilidad de sobrecostos en el proyecto “Modernización de los pasos terrestres de Costa Rica” (CR-L1066)</vt:lpstr>
    </vt:vector>
  </TitlesOfParts>
  <Company>Inter-American Development Bank</Company>
  <LinksUpToDate>false</LinksUpToDate>
  <CharactersWithSpaces>27508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 18_ Estimación de la probabilidad de sobrecostos en el proyecto  _ LP</dc:title>
  <dc:subject>Preparado por: Carlos Alberto Patiño</dc:subject>
  <dc:creator>Test</dc:creator>
  <cp:lastModifiedBy>Inter-American Development Bank</cp:lastModifiedBy>
  <cp:revision>56</cp:revision>
  <dcterms:created xsi:type="dcterms:W3CDTF">2015-03-25T19:41:00Z</dcterms:created>
  <dcterms:modified xsi:type="dcterms:W3CDTF">2015-04-07T19:29:00Z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0x01010046CF21643EE8D14686A648AA6DAD08920068EFCBFD83FF904AA1577F7ED955A7E2</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5;#Loan Proposal|6ee86b6f-6e46-485b-8bfb-87a1f44622ac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6;#Project Preparation, Planning and Design|29ca0c72-1fc4-435f-a09c-28585cb5eac9</vt:lpwstr>
  </property>
  <property fmtid="{D5CDD505-2E9C-101B-9397-08002B2CF9AE}" pid="15" name="Sub-Sector">
    <vt:lpwstr/>
  </property>
</Properties>
</file>