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4328" w14:textId="26D0A024" w:rsidR="00ED0B78" w:rsidRPr="00ED0B78" w:rsidRDefault="00ED0B78" w:rsidP="00ED0B78">
      <w:pPr>
        <w:pStyle w:val="Heading2"/>
        <w:rPr>
          <w:rFonts w:ascii="Arial" w:hAnsi="Arial" w:cs="Arial"/>
          <w:b/>
          <w:color w:val="000000" w:themeColor="text1"/>
          <w:sz w:val="24"/>
        </w:rPr>
      </w:pPr>
      <w:bookmarkStart w:id="0" w:name="_Toc407610461"/>
      <w:r w:rsidRPr="00ED0B78">
        <w:rPr>
          <w:rFonts w:ascii="Arial" w:hAnsi="Arial" w:cs="Arial"/>
          <w:b/>
          <w:color w:val="000000" w:themeColor="text1"/>
          <w:sz w:val="24"/>
        </w:rPr>
        <w:t xml:space="preserve">Descripción de </w:t>
      </w:r>
      <w:proofErr w:type="spellStart"/>
      <w:r w:rsidRPr="00ED0B78">
        <w:rPr>
          <w:rFonts w:ascii="Arial" w:hAnsi="Arial" w:cs="Arial"/>
          <w:b/>
          <w:color w:val="000000" w:themeColor="text1"/>
          <w:sz w:val="24"/>
        </w:rPr>
        <w:t>Productos</w:t>
      </w:r>
      <w:bookmarkEnd w:id="0"/>
      <w:proofErr w:type="spellEnd"/>
      <w:r w:rsidRPr="00ED0B78">
        <w:rPr>
          <w:rFonts w:ascii="Arial" w:hAnsi="Arial" w:cs="Arial"/>
          <w:b/>
          <w:color w:val="000000" w:themeColor="text1"/>
          <w:sz w:val="24"/>
        </w:rPr>
        <w:t xml:space="preserve"> </w:t>
      </w:r>
    </w:p>
    <w:p w14:paraId="72A42DF2" w14:textId="77777777" w:rsidR="00ED0B78" w:rsidRPr="00ED0B78" w:rsidRDefault="00ED0B78" w:rsidP="00ED0B78">
      <w:pPr>
        <w:rPr>
          <w:rFonts w:ascii="Arial" w:hAnsi="Arial" w:cs="Arial"/>
          <w:color w:val="000000" w:themeColor="text1"/>
          <w:lang w:val="es-ES_tradnl"/>
        </w:rPr>
      </w:pPr>
    </w:p>
    <w:p w14:paraId="190A4C7A" w14:textId="77777777" w:rsidR="00ED0B78" w:rsidRPr="00ED0B78" w:rsidRDefault="00ED0B78" w:rsidP="00ED0B78">
      <w:pPr>
        <w:numPr>
          <w:ilvl w:val="0"/>
          <w:numId w:val="2"/>
        </w:numPr>
        <w:autoSpaceDE w:val="0"/>
        <w:autoSpaceDN w:val="0"/>
        <w:adjustRightInd w:val="0"/>
        <w:ind w:left="450" w:hanging="450"/>
        <w:jc w:val="both"/>
        <w:rPr>
          <w:rFonts w:ascii="Arial" w:hAnsi="Arial" w:cs="Arial"/>
          <w:color w:val="000000" w:themeColor="text1"/>
          <w:lang w:val="es-GT"/>
        </w:rPr>
      </w:pPr>
      <w:r w:rsidRPr="00ED0B78">
        <w:rPr>
          <w:rFonts w:ascii="Arial" w:hAnsi="Arial" w:cs="Arial"/>
          <w:b/>
          <w:color w:val="000000" w:themeColor="text1"/>
          <w:lang w:val="es-GT"/>
        </w:rPr>
        <w:t>Reforma tributaria:</w:t>
      </w:r>
      <w:r w:rsidRPr="00ED0B78">
        <w:rPr>
          <w:rFonts w:ascii="Arial" w:hAnsi="Arial" w:cs="Arial"/>
          <w:color w:val="000000" w:themeColor="text1"/>
          <w:lang w:val="es-GT"/>
        </w:rPr>
        <w:t xml:space="preserve"> </w:t>
      </w:r>
    </w:p>
    <w:p w14:paraId="3B24A223" w14:textId="77777777" w:rsidR="00ED0B78" w:rsidRPr="00ED0B78" w:rsidRDefault="00ED0B78" w:rsidP="00ED0B78">
      <w:pPr>
        <w:autoSpaceDE w:val="0"/>
        <w:autoSpaceDN w:val="0"/>
        <w:adjustRightInd w:val="0"/>
        <w:ind w:left="450"/>
        <w:jc w:val="both"/>
        <w:rPr>
          <w:rFonts w:ascii="Arial" w:hAnsi="Arial" w:cs="Arial"/>
          <w:color w:val="000000" w:themeColor="text1"/>
          <w:lang w:val="es-GT"/>
        </w:rPr>
      </w:pPr>
    </w:p>
    <w:p w14:paraId="076CECF0" w14:textId="77777777" w:rsidR="00ED0B78" w:rsidRPr="00ED0B78" w:rsidRDefault="00ED0B78" w:rsidP="00ED0B78">
      <w:pPr>
        <w:pStyle w:val="BodyText2"/>
        <w:numPr>
          <w:ilvl w:val="1"/>
          <w:numId w:val="3"/>
        </w:numPr>
        <w:tabs>
          <w:tab w:val="left" w:pos="450"/>
        </w:tabs>
        <w:rPr>
          <w:rFonts w:ascii="Arial" w:hAnsi="Arial" w:cs="Arial"/>
          <w:color w:val="000000" w:themeColor="text1"/>
          <w:sz w:val="22"/>
          <w:lang w:val="es-GT"/>
        </w:rPr>
      </w:pPr>
      <w:r w:rsidRPr="00ED0B78">
        <w:rPr>
          <w:rFonts w:ascii="Arial" w:hAnsi="Arial" w:cs="Arial"/>
          <w:color w:val="000000" w:themeColor="text1"/>
          <w:sz w:val="22"/>
          <w:u w:val="single"/>
          <w:lang w:val="es-GT"/>
        </w:rPr>
        <w:t>Ley de Actualización Tributaria</w:t>
      </w:r>
      <w:r w:rsidRPr="00ED0B78">
        <w:rPr>
          <w:rFonts w:ascii="Arial" w:hAnsi="Arial" w:cs="Arial"/>
          <w:color w:val="000000" w:themeColor="text1"/>
          <w:sz w:val="22"/>
          <w:lang w:val="es-GT"/>
        </w:rPr>
        <w:t>: Se aprobó por el Decreto 10-2012, publicado el 5 de marzo de 2012.  Esta reforma contiene una nueva Ley del Impuesto sobre la Renta, Ley del Impuesto a la Primera Matrícula (IPRIMA) de Vehículos Automotores Terrestres, Ley Aduanera Nacional y reformas a la Ley del Impuesto sobre Circulación de Vehículos Terrestres, Marítimos y Aéreos.</w:t>
      </w:r>
    </w:p>
    <w:p w14:paraId="08C2CE92" w14:textId="77777777" w:rsidR="00ED0B78" w:rsidRPr="00ED0B78" w:rsidRDefault="00ED0B78" w:rsidP="00ED0B78">
      <w:pPr>
        <w:numPr>
          <w:ilvl w:val="1"/>
          <w:numId w:val="3"/>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Ley de Disposiciones para el Fortalecimiento del Sistema Tributario y El Combate a la Defraudación y al Contrabando</w:t>
      </w:r>
      <w:r w:rsidRPr="00ED0B78">
        <w:rPr>
          <w:rFonts w:ascii="Arial" w:hAnsi="Arial" w:cs="Arial"/>
          <w:color w:val="000000" w:themeColor="text1"/>
          <w:lang w:val="es-GT"/>
        </w:rPr>
        <w:t xml:space="preserve">: Esta ley, conocida como Ley </w:t>
      </w:r>
      <w:proofErr w:type="spellStart"/>
      <w:r w:rsidRPr="00ED0B78">
        <w:rPr>
          <w:rFonts w:ascii="Arial" w:hAnsi="Arial" w:cs="Arial"/>
          <w:color w:val="000000" w:themeColor="text1"/>
          <w:lang w:val="es-GT"/>
        </w:rPr>
        <w:t>Antievasión</w:t>
      </w:r>
      <w:proofErr w:type="spellEnd"/>
      <w:r w:rsidRPr="00ED0B78">
        <w:rPr>
          <w:rFonts w:ascii="Arial" w:hAnsi="Arial" w:cs="Arial"/>
          <w:color w:val="000000" w:themeColor="text1"/>
          <w:lang w:val="es-GT"/>
        </w:rPr>
        <w:t xml:space="preserve"> II, se aprobó por el Decreto 4-2012 publicado el 17 de febrero del 2012.  </w:t>
      </w:r>
    </w:p>
    <w:p w14:paraId="7D841DB1" w14:textId="77777777" w:rsidR="00ED0B78" w:rsidRPr="00ED0B78" w:rsidRDefault="00ED0B78" w:rsidP="00ED0B78">
      <w:pPr>
        <w:numPr>
          <w:ilvl w:val="1"/>
          <w:numId w:val="3"/>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 xml:space="preserve">Reglamentación de la Ley de Actualización Tributaria y la Ley </w:t>
      </w:r>
      <w:proofErr w:type="spellStart"/>
      <w:r w:rsidRPr="00ED0B78">
        <w:rPr>
          <w:rFonts w:ascii="Arial" w:hAnsi="Arial" w:cs="Arial"/>
          <w:color w:val="000000" w:themeColor="text1"/>
          <w:u w:val="single"/>
          <w:lang w:val="es-GT"/>
        </w:rPr>
        <w:t>Antievasión</w:t>
      </w:r>
      <w:proofErr w:type="spellEnd"/>
      <w:r w:rsidRPr="00ED0B78">
        <w:rPr>
          <w:rFonts w:ascii="Arial" w:hAnsi="Arial" w:cs="Arial"/>
          <w:color w:val="000000" w:themeColor="text1"/>
          <w:u w:val="single"/>
          <w:lang w:val="es-GT"/>
        </w:rPr>
        <w:t xml:space="preserve"> II</w:t>
      </w:r>
      <w:r w:rsidRPr="00ED0B78">
        <w:rPr>
          <w:rFonts w:ascii="Arial" w:hAnsi="Arial" w:cs="Arial"/>
          <w:color w:val="000000" w:themeColor="text1"/>
          <w:lang w:val="es-GT"/>
        </w:rPr>
        <w:t>: Los reglamentos de ambas leyes fueron elaborados y posteriormente aprobados.  En el Cuadro 3 se muestra el listado de dichos reglamentos y los correspondientes acuerdos gubernativos por medio de los cuales se hizo efectiva esta aprobación.</w:t>
      </w:r>
    </w:p>
    <w:p w14:paraId="0DD46D03" w14:textId="77777777" w:rsidR="00ED0B78" w:rsidRPr="00ED0B78" w:rsidRDefault="00ED0B78" w:rsidP="00ED0B78">
      <w:pPr>
        <w:numPr>
          <w:ilvl w:val="1"/>
          <w:numId w:val="3"/>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Departamento de Tributación Internacional</w:t>
      </w:r>
      <w:r w:rsidRPr="00ED0B78">
        <w:rPr>
          <w:rFonts w:ascii="Arial" w:hAnsi="Arial" w:cs="Arial"/>
          <w:color w:val="000000" w:themeColor="text1"/>
          <w:lang w:val="es-GT"/>
        </w:rPr>
        <w:t xml:space="preserve">: Se creó este departamento, el cual se encuentra ubicado bajo la Dirección de Análisis y Política Fiscal, en el Viceministerio de Ingresos y Evaluación Fiscal del MINFIN.  </w:t>
      </w:r>
    </w:p>
    <w:p w14:paraId="6AFFFCDE" w14:textId="751A4579" w:rsidR="00ED0B78" w:rsidRPr="00ED0B78" w:rsidRDefault="00ED0B78" w:rsidP="00ED0B78">
      <w:pPr>
        <w:autoSpaceDE w:val="0"/>
        <w:autoSpaceDN w:val="0"/>
        <w:adjustRightInd w:val="0"/>
        <w:spacing w:after="120"/>
        <w:jc w:val="center"/>
        <w:rPr>
          <w:rFonts w:ascii="Arial" w:hAnsi="Arial" w:cs="Arial"/>
          <w:b/>
          <w:color w:val="000000" w:themeColor="text1"/>
          <w:lang w:val="es-GT"/>
        </w:rPr>
      </w:pPr>
      <w:r w:rsidRPr="00ED0B78">
        <w:rPr>
          <w:rFonts w:ascii="Arial" w:hAnsi="Arial" w:cs="Arial"/>
          <w:b/>
          <w:color w:val="000000" w:themeColor="text1"/>
          <w:lang w:val="es-GT"/>
        </w:rPr>
        <w:t>Reglamentación de los Decretos 4-2012 y 10-2012</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3784"/>
      </w:tblGrid>
      <w:tr w:rsidR="00ED0B78" w:rsidRPr="00ED0B78" w14:paraId="2DA68FA0" w14:textId="77777777" w:rsidTr="00C211DB">
        <w:tc>
          <w:tcPr>
            <w:tcW w:w="5126" w:type="dxa"/>
            <w:shd w:val="clear" w:color="auto" w:fill="000000" w:themeFill="text1"/>
          </w:tcPr>
          <w:p w14:paraId="7994AED5" w14:textId="77777777" w:rsidR="00ED0B78" w:rsidRPr="00ED0B78" w:rsidRDefault="00ED0B78" w:rsidP="00C211DB">
            <w:pPr>
              <w:pStyle w:val="ListParagraph"/>
              <w:ind w:left="0"/>
              <w:jc w:val="center"/>
              <w:rPr>
                <w:rFonts w:ascii="Arial" w:hAnsi="Arial" w:cs="Arial"/>
                <w:b/>
                <w:color w:val="000000" w:themeColor="text1"/>
                <w:sz w:val="20"/>
              </w:rPr>
            </w:pPr>
            <w:proofErr w:type="spellStart"/>
            <w:r w:rsidRPr="00ED0B78">
              <w:rPr>
                <w:rFonts w:ascii="Arial" w:hAnsi="Arial" w:cs="Arial"/>
                <w:b/>
                <w:color w:val="000000" w:themeColor="text1"/>
                <w:sz w:val="20"/>
              </w:rPr>
              <w:t>Decreto</w:t>
            </w:r>
            <w:proofErr w:type="spellEnd"/>
            <w:r w:rsidRPr="00ED0B78">
              <w:rPr>
                <w:rFonts w:ascii="Arial" w:hAnsi="Arial" w:cs="Arial"/>
                <w:b/>
                <w:color w:val="000000" w:themeColor="text1"/>
                <w:sz w:val="20"/>
              </w:rPr>
              <w:t xml:space="preserve"> / Libro</w:t>
            </w:r>
          </w:p>
        </w:tc>
        <w:tc>
          <w:tcPr>
            <w:tcW w:w="3784" w:type="dxa"/>
            <w:shd w:val="clear" w:color="auto" w:fill="000000" w:themeFill="text1"/>
          </w:tcPr>
          <w:p w14:paraId="580407A8" w14:textId="77777777" w:rsidR="00ED0B78" w:rsidRPr="00ED0B78" w:rsidRDefault="00ED0B78" w:rsidP="00C211DB">
            <w:pPr>
              <w:pStyle w:val="ListParagraph"/>
              <w:ind w:left="0"/>
              <w:jc w:val="center"/>
              <w:rPr>
                <w:rFonts w:ascii="Arial" w:hAnsi="Arial" w:cs="Arial"/>
                <w:b/>
                <w:color w:val="000000" w:themeColor="text1"/>
                <w:sz w:val="20"/>
              </w:rPr>
            </w:pPr>
            <w:r w:rsidRPr="00ED0B78">
              <w:rPr>
                <w:rFonts w:ascii="Arial" w:hAnsi="Arial" w:cs="Arial"/>
                <w:b/>
                <w:color w:val="000000" w:themeColor="text1"/>
                <w:sz w:val="20"/>
              </w:rPr>
              <w:t xml:space="preserve">Status de la </w:t>
            </w:r>
            <w:proofErr w:type="spellStart"/>
            <w:r w:rsidRPr="00ED0B78">
              <w:rPr>
                <w:rFonts w:ascii="Arial" w:hAnsi="Arial" w:cs="Arial"/>
                <w:b/>
                <w:color w:val="000000" w:themeColor="text1"/>
                <w:sz w:val="20"/>
              </w:rPr>
              <w:t>Reglamentación</w:t>
            </w:r>
            <w:proofErr w:type="spellEnd"/>
          </w:p>
        </w:tc>
      </w:tr>
      <w:tr w:rsidR="00ED0B78" w:rsidRPr="00ED0B78" w14:paraId="6B6F4F3E" w14:textId="77777777" w:rsidTr="00C211DB">
        <w:tc>
          <w:tcPr>
            <w:tcW w:w="8910" w:type="dxa"/>
            <w:gridSpan w:val="2"/>
            <w:shd w:val="clear" w:color="auto" w:fill="AEAAAA" w:themeFill="background2" w:themeFillShade="BF"/>
          </w:tcPr>
          <w:p w14:paraId="69E0AD90" w14:textId="77777777" w:rsidR="00ED0B78" w:rsidRPr="00ED0B78" w:rsidRDefault="00ED0B78" w:rsidP="00C211DB">
            <w:pPr>
              <w:pStyle w:val="ListParagraph"/>
              <w:ind w:left="0"/>
              <w:rPr>
                <w:rFonts w:ascii="Arial" w:hAnsi="Arial" w:cs="Arial"/>
                <w:color w:val="000000" w:themeColor="text1"/>
                <w:sz w:val="20"/>
              </w:rPr>
            </w:pPr>
            <w:proofErr w:type="spellStart"/>
            <w:r w:rsidRPr="00ED0B78">
              <w:rPr>
                <w:rFonts w:ascii="Arial" w:hAnsi="Arial" w:cs="Arial"/>
                <w:color w:val="000000" w:themeColor="text1"/>
                <w:sz w:val="20"/>
              </w:rPr>
              <w:t>Decreto</w:t>
            </w:r>
            <w:proofErr w:type="spellEnd"/>
            <w:r w:rsidRPr="00ED0B78">
              <w:rPr>
                <w:rFonts w:ascii="Arial" w:hAnsi="Arial" w:cs="Arial"/>
                <w:color w:val="000000" w:themeColor="text1"/>
                <w:sz w:val="20"/>
              </w:rPr>
              <w:t xml:space="preserve"> 4-2012 – Ley </w:t>
            </w:r>
            <w:proofErr w:type="spellStart"/>
            <w:r w:rsidRPr="00ED0B78">
              <w:rPr>
                <w:rFonts w:ascii="Arial" w:hAnsi="Arial" w:cs="Arial"/>
                <w:color w:val="000000" w:themeColor="text1"/>
                <w:sz w:val="20"/>
              </w:rPr>
              <w:t>Antievasión</w:t>
            </w:r>
            <w:proofErr w:type="spellEnd"/>
            <w:r w:rsidRPr="00ED0B78">
              <w:rPr>
                <w:rFonts w:ascii="Arial" w:hAnsi="Arial" w:cs="Arial"/>
                <w:color w:val="000000" w:themeColor="text1"/>
                <w:sz w:val="20"/>
              </w:rPr>
              <w:t xml:space="preserve"> II</w:t>
            </w:r>
          </w:p>
        </w:tc>
      </w:tr>
      <w:tr w:rsidR="00ED0B78" w:rsidRPr="00954DC7" w14:paraId="3C4CAD01" w14:textId="77777777" w:rsidTr="00C211DB">
        <w:tc>
          <w:tcPr>
            <w:tcW w:w="5126" w:type="dxa"/>
          </w:tcPr>
          <w:p w14:paraId="283FE6E0"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 – Reformas a la Ley del Impuesto sobre la Renta, Decreto Número 26-92 del Congreso de la República</w:t>
            </w:r>
          </w:p>
        </w:tc>
        <w:tc>
          <w:tcPr>
            <w:tcW w:w="3784" w:type="dxa"/>
          </w:tcPr>
          <w:p w14:paraId="3688E1D6"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 xml:space="preserve">No necesita reglamentación al haber </w:t>
            </w:r>
            <w:proofErr w:type="gramStart"/>
            <w:r w:rsidRPr="00ED0B78">
              <w:rPr>
                <w:rFonts w:ascii="Arial" w:hAnsi="Arial" w:cs="Arial"/>
                <w:color w:val="000000" w:themeColor="text1"/>
                <w:sz w:val="20"/>
                <w:lang w:val="es-BO"/>
              </w:rPr>
              <w:t>entrado en vigencia</w:t>
            </w:r>
            <w:proofErr w:type="gramEnd"/>
            <w:r w:rsidRPr="00ED0B78">
              <w:rPr>
                <w:rFonts w:ascii="Arial" w:hAnsi="Arial" w:cs="Arial"/>
                <w:color w:val="000000" w:themeColor="text1"/>
                <w:sz w:val="20"/>
                <w:lang w:val="es-BO"/>
              </w:rPr>
              <w:t xml:space="preserve"> el Decreto 10-2012, el cual derogó el Decreto 26-92.</w:t>
            </w:r>
          </w:p>
        </w:tc>
      </w:tr>
      <w:tr w:rsidR="00ED0B78" w:rsidRPr="00954DC7" w14:paraId="18C66A7A" w14:textId="77777777" w:rsidTr="00C211DB">
        <w:tc>
          <w:tcPr>
            <w:tcW w:w="5126" w:type="dxa"/>
          </w:tcPr>
          <w:p w14:paraId="6495C62B"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II – Reformas a la Ley del Impuesto al Valor Agregado, Decreto Número 27-92 del Congreso de la República</w:t>
            </w:r>
          </w:p>
        </w:tc>
        <w:tc>
          <w:tcPr>
            <w:tcW w:w="3784" w:type="dxa"/>
          </w:tcPr>
          <w:p w14:paraId="60E05269"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5-2013, publicado el 8 de enero de 2013.</w:t>
            </w:r>
          </w:p>
        </w:tc>
      </w:tr>
      <w:tr w:rsidR="00ED0B78" w:rsidRPr="00954DC7" w14:paraId="0779D7EA" w14:textId="77777777" w:rsidTr="00C211DB">
        <w:tc>
          <w:tcPr>
            <w:tcW w:w="5126" w:type="dxa"/>
          </w:tcPr>
          <w:p w14:paraId="0EEF861E"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III – Reformas al Decreto Número 20-2006 del Congreso de la República, Disposiciones Legales para el Fortalecimiento de la Administración Tributaria</w:t>
            </w:r>
          </w:p>
        </w:tc>
        <w:tc>
          <w:tcPr>
            <w:tcW w:w="3784" w:type="dxa"/>
          </w:tcPr>
          <w:p w14:paraId="15F8DE6E" w14:textId="77777777" w:rsidR="00ED0B78" w:rsidRPr="00ED0B78" w:rsidRDefault="00ED0B78" w:rsidP="00C211DB">
            <w:pPr>
              <w:pStyle w:val="ListParagraph"/>
              <w:ind w:left="0"/>
              <w:rPr>
                <w:rFonts w:ascii="Arial" w:hAnsi="Arial" w:cs="Arial"/>
                <w:color w:val="000000" w:themeColor="text1"/>
                <w:sz w:val="20"/>
                <w:highlight w:val="yellow"/>
                <w:lang w:val="es-BO"/>
              </w:rPr>
            </w:pPr>
            <w:r w:rsidRPr="00ED0B78">
              <w:rPr>
                <w:rFonts w:ascii="Arial" w:hAnsi="Arial" w:cs="Arial"/>
                <w:color w:val="000000" w:themeColor="text1"/>
                <w:sz w:val="20"/>
                <w:lang w:val="es-BO"/>
              </w:rPr>
              <w:t>No se necesita modificar la reglamentación vigente.</w:t>
            </w:r>
          </w:p>
        </w:tc>
      </w:tr>
      <w:tr w:rsidR="00ED0B78" w:rsidRPr="00954DC7" w14:paraId="42743D7B" w14:textId="77777777" w:rsidTr="00C211DB">
        <w:tc>
          <w:tcPr>
            <w:tcW w:w="5126" w:type="dxa"/>
          </w:tcPr>
          <w:p w14:paraId="685CD717"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IV – Reformas a la Ley del Impuesto sobre Circulación de Vehículos Terrestres, Marítimos y Aéreos</w:t>
            </w:r>
          </w:p>
        </w:tc>
        <w:tc>
          <w:tcPr>
            <w:tcW w:w="3784" w:type="dxa"/>
          </w:tcPr>
          <w:p w14:paraId="4CB47834" w14:textId="77777777" w:rsidR="00ED0B78" w:rsidRPr="00ED0B78" w:rsidRDefault="00ED0B78" w:rsidP="00C211DB">
            <w:pPr>
              <w:pStyle w:val="ListParagraph"/>
              <w:ind w:left="0"/>
              <w:rPr>
                <w:rFonts w:ascii="Arial" w:hAnsi="Arial" w:cs="Arial"/>
                <w:color w:val="000000" w:themeColor="text1"/>
                <w:sz w:val="20"/>
                <w:highlight w:val="yellow"/>
                <w:lang w:val="es-BO"/>
              </w:rPr>
            </w:pPr>
            <w:r w:rsidRPr="00ED0B78">
              <w:rPr>
                <w:rFonts w:ascii="Arial" w:hAnsi="Arial" w:cs="Arial"/>
                <w:color w:val="000000" w:themeColor="text1"/>
                <w:sz w:val="20"/>
                <w:lang w:val="es-BO"/>
              </w:rPr>
              <w:t>Acuerdo Gubernativo No. 487-2013, publicado el 11 de diciembre de 2013.</w:t>
            </w:r>
          </w:p>
        </w:tc>
      </w:tr>
      <w:tr w:rsidR="00ED0B78" w:rsidRPr="00ED0B78" w14:paraId="6500A548" w14:textId="77777777" w:rsidTr="00C211DB">
        <w:tc>
          <w:tcPr>
            <w:tcW w:w="5126" w:type="dxa"/>
          </w:tcPr>
          <w:p w14:paraId="00676251"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V – Reformas al Decreto Número 6-91 del Congreso de la República, Código Tributario</w:t>
            </w:r>
          </w:p>
        </w:tc>
        <w:tc>
          <w:tcPr>
            <w:tcW w:w="3784" w:type="dxa"/>
          </w:tcPr>
          <w:p w14:paraId="19336D9B" w14:textId="77777777" w:rsidR="00ED0B78" w:rsidRPr="00ED0B78" w:rsidRDefault="00ED0B78" w:rsidP="00C211DB">
            <w:pPr>
              <w:pStyle w:val="ListParagraph"/>
              <w:ind w:left="0"/>
              <w:rPr>
                <w:rFonts w:ascii="Arial" w:hAnsi="Arial" w:cs="Arial"/>
                <w:color w:val="000000" w:themeColor="text1"/>
                <w:sz w:val="20"/>
              </w:rPr>
            </w:pPr>
            <w:r w:rsidRPr="00ED0B78">
              <w:rPr>
                <w:rFonts w:ascii="Arial" w:hAnsi="Arial" w:cs="Arial"/>
                <w:color w:val="000000" w:themeColor="text1"/>
                <w:sz w:val="20"/>
              </w:rPr>
              <w:t xml:space="preserve">No </w:t>
            </w:r>
            <w:proofErr w:type="spellStart"/>
            <w:r w:rsidRPr="00ED0B78">
              <w:rPr>
                <w:rFonts w:ascii="Arial" w:hAnsi="Arial" w:cs="Arial"/>
                <w:color w:val="000000" w:themeColor="text1"/>
                <w:sz w:val="20"/>
              </w:rPr>
              <w:t>necesita</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reglamentación</w:t>
            </w:r>
            <w:proofErr w:type="spellEnd"/>
            <w:r w:rsidRPr="00ED0B78">
              <w:rPr>
                <w:rFonts w:ascii="Arial" w:hAnsi="Arial" w:cs="Arial"/>
                <w:color w:val="000000" w:themeColor="text1"/>
                <w:sz w:val="20"/>
              </w:rPr>
              <w:t>.</w:t>
            </w:r>
          </w:p>
        </w:tc>
      </w:tr>
      <w:tr w:rsidR="00ED0B78" w:rsidRPr="00954DC7" w14:paraId="13B9F08F" w14:textId="77777777" w:rsidTr="00C211DB">
        <w:tc>
          <w:tcPr>
            <w:tcW w:w="5126" w:type="dxa"/>
          </w:tcPr>
          <w:p w14:paraId="64D1986C"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VI – Reformas al Decreto Número 37-92 del Congreso de la República, Ley del Impuesto de Timbres Fiscales y de Papel Sellado Especial para Protocolos</w:t>
            </w:r>
          </w:p>
        </w:tc>
        <w:tc>
          <w:tcPr>
            <w:tcW w:w="3784" w:type="dxa"/>
          </w:tcPr>
          <w:p w14:paraId="57D14E69"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4-2013, publicado el 8 de enero de 2013.</w:t>
            </w:r>
          </w:p>
        </w:tc>
      </w:tr>
      <w:tr w:rsidR="00ED0B78" w:rsidRPr="00954DC7" w14:paraId="130ED3E5" w14:textId="77777777" w:rsidTr="00C211DB">
        <w:tc>
          <w:tcPr>
            <w:tcW w:w="5126" w:type="dxa"/>
          </w:tcPr>
          <w:p w14:paraId="5F4E4C54"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lastRenderedPageBreak/>
              <w:t>Libro VII – Reformas a la Ley de Tabacos y sus Productos, Decreto Número 61-77 del Congreso de la República</w:t>
            </w:r>
          </w:p>
        </w:tc>
        <w:tc>
          <w:tcPr>
            <w:tcW w:w="3784" w:type="dxa"/>
          </w:tcPr>
          <w:p w14:paraId="59D31D10"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No se necesita modificar la reglamentación vigente.</w:t>
            </w:r>
          </w:p>
        </w:tc>
      </w:tr>
      <w:tr w:rsidR="00ED0B78" w:rsidRPr="00ED0B78" w14:paraId="66959D46" w14:textId="77777777" w:rsidTr="00C211DB">
        <w:tc>
          <w:tcPr>
            <w:tcW w:w="5126" w:type="dxa"/>
          </w:tcPr>
          <w:p w14:paraId="3AE3ACF1"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VIII – Reforma al Código Penal y sus Reformas, Decreto Número 17-73 del Congreso de la República</w:t>
            </w:r>
          </w:p>
        </w:tc>
        <w:tc>
          <w:tcPr>
            <w:tcW w:w="3784" w:type="dxa"/>
          </w:tcPr>
          <w:p w14:paraId="4B6E6E98" w14:textId="77777777" w:rsidR="00ED0B78" w:rsidRPr="00ED0B78" w:rsidRDefault="00ED0B78" w:rsidP="00C211DB">
            <w:pPr>
              <w:pStyle w:val="ListParagraph"/>
              <w:ind w:left="0"/>
              <w:rPr>
                <w:rFonts w:ascii="Arial" w:hAnsi="Arial" w:cs="Arial"/>
                <w:color w:val="000000" w:themeColor="text1"/>
                <w:sz w:val="20"/>
              </w:rPr>
            </w:pPr>
            <w:r w:rsidRPr="00ED0B78">
              <w:rPr>
                <w:rFonts w:ascii="Arial" w:hAnsi="Arial" w:cs="Arial"/>
                <w:color w:val="000000" w:themeColor="text1"/>
                <w:sz w:val="20"/>
              </w:rPr>
              <w:t xml:space="preserve">No </w:t>
            </w:r>
            <w:proofErr w:type="spellStart"/>
            <w:r w:rsidRPr="00ED0B78">
              <w:rPr>
                <w:rFonts w:ascii="Arial" w:hAnsi="Arial" w:cs="Arial"/>
                <w:color w:val="000000" w:themeColor="text1"/>
                <w:sz w:val="20"/>
              </w:rPr>
              <w:t>necesita</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reglamentación</w:t>
            </w:r>
            <w:proofErr w:type="spellEnd"/>
            <w:r w:rsidRPr="00ED0B78">
              <w:rPr>
                <w:rFonts w:ascii="Arial" w:hAnsi="Arial" w:cs="Arial"/>
                <w:color w:val="000000" w:themeColor="text1"/>
                <w:sz w:val="20"/>
              </w:rPr>
              <w:t>.</w:t>
            </w:r>
          </w:p>
        </w:tc>
      </w:tr>
      <w:tr w:rsidR="00ED0B78" w:rsidRPr="00ED0B78" w14:paraId="7C37E7B8" w14:textId="77777777" w:rsidTr="00C211DB">
        <w:tc>
          <w:tcPr>
            <w:tcW w:w="5126" w:type="dxa"/>
          </w:tcPr>
          <w:p w14:paraId="14BF8164"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IX – Disposiciones Finales y Transitorias</w:t>
            </w:r>
          </w:p>
        </w:tc>
        <w:tc>
          <w:tcPr>
            <w:tcW w:w="3784" w:type="dxa"/>
          </w:tcPr>
          <w:p w14:paraId="11D38F94" w14:textId="77777777" w:rsidR="00ED0B78" w:rsidRPr="00ED0B78" w:rsidRDefault="00ED0B78" w:rsidP="00C211DB">
            <w:pPr>
              <w:pStyle w:val="ListParagraph"/>
              <w:ind w:left="0"/>
              <w:rPr>
                <w:rFonts w:ascii="Arial" w:hAnsi="Arial" w:cs="Arial"/>
                <w:color w:val="000000" w:themeColor="text1"/>
                <w:sz w:val="20"/>
              </w:rPr>
            </w:pPr>
            <w:r w:rsidRPr="00ED0B78">
              <w:rPr>
                <w:rFonts w:ascii="Arial" w:hAnsi="Arial" w:cs="Arial"/>
                <w:color w:val="000000" w:themeColor="text1"/>
                <w:sz w:val="20"/>
              </w:rPr>
              <w:t xml:space="preserve">No </w:t>
            </w:r>
            <w:proofErr w:type="spellStart"/>
            <w:r w:rsidRPr="00ED0B78">
              <w:rPr>
                <w:rFonts w:ascii="Arial" w:hAnsi="Arial" w:cs="Arial"/>
                <w:color w:val="000000" w:themeColor="text1"/>
                <w:sz w:val="20"/>
              </w:rPr>
              <w:t>necesita</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reglamentación</w:t>
            </w:r>
            <w:proofErr w:type="spellEnd"/>
            <w:r w:rsidRPr="00ED0B78">
              <w:rPr>
                <w:rFonts w:ascii="Arial" w:hAnsi="Arial" w:cs="Arial"/>
                <w:color w:val="000000" w:themeColor="text1"/>
                <w:sz w:val="20"/>
              </w:rPr>
              <w:t>.</w:t>
            </w:r>
          </w:p>
        </w:tc>
      </w:tr>
      <w:tr w:rsidR="00ED0B78" w:rsidRPr="00954DC7" w14:paraId="25218347" w14:textId="77777777" w:rsidTr="00C211DB">
        <w:tc>
          <w:tcPr>
            <w:tcW w:w="8910" w:type="dxa"/>
            <w:gridSpan w:val="2"/>
            <w:shd w:val="clear" w:color="auto" w:fill="AEAAAA" w:themeFill="background2" w:themeFillShade="BF"/>
          </w:tcPr>
          <w:p w14:paraId="07C17E93"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Decreto 10-2012 – Ley de Actualización Tributaria</w:t>
            </w:r>
          </w:p>
        </w:tc>
      </w:tr>
      <w:tr w:rsidR="00ED0B78" w:rsidRPr="00954DC7" w14:paraId="6B818E7B" w14:textId="77777777" w:rsidTr="00C211DB">
        <w:tc>
          <w:tcPr>
            <w:tcW w:w="5126" w:type="dxa"/>
          </w:tcPr>
          <w:p w14:paraId="11B60546"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 – Impuesto sobre la Renta</w:t>
            </w:r>
          </w:p>
        </w:tc>
        <w:tc>
          <w:tcPr>
            <w:tcW w:w="3784" w:type="dxa"/>
          </w:tcPr>
          <w:p w14:paraId="0EF5170A"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213-2013, publicado el 13 de mayo de 2013.</w:t>
            </w:r>
          </w:p>
        </w:tc>
      </w:tr>
      <w:tr w:rsidR="00ED0B78" w:rsidRPr="00954DC7" w14:paraId="284F5309" w14:textId="77777777" w:rsidTr="00C211DB">
        <w:tc>
          <w:tcPr>
            <w:tcW w:w="5126" w:type="dxa"/>
          </w:tcPr>
          <w:p w14:paraId="6443F932" w14:textId="77777777" w:rsidR="00ED0B78" w:rsidRPr="00ED0B78" w:rsidRDefault="00ED0B78" w:rsidP="00C211DB">
            <w:pPr>
              <w:pStyle w:val="ListParagraph"/>
              <w:ind w:left="0"/>
              <w:rPr>
                <w:rFonts w:ascii="Arial" w:hAnsi="Arial" w:cs="Arial"/>
                <w:color w:val="000000" w:themeColor="text1"/>
                <w:sz w:val="20"/>
              </w:rPr>
            </w:pPr>
            <w:r w:rsidRPr="00ED0B78">
              <w:rPr>
                <w:rFonts w:ascii="Arial" w:hAnsi="Arial" w:cs="Arial"/>
                <w:color w:val="000000" w:themeColor="text1"/>
                <w:sz w:val="20"/>
              </w:rPr>
              <w:t xml:space="preserve">Libro II – </w:t>
            </w:r>
            <w:proofErr w:type="spellStart"/>
            <w:r w:rsidRPr="00ED0B78">
              <w:rPr>
                <w:rFonts w:ascii="Arial" w:hAnsi="Arial" w:cs="Arial"/>
                <w:color w:val="000000" w:themeColor="text1"/>
                <w:sz w:val="20"/>
              </w:rPr>
              <w:t>Impuesto</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Específico</w:t>
            </w:r>
            <w:proofErr w:type="spellEnd"/>
            <w:r w:rsidRPr="00ED0B78">
              <w:rPr>
                <w:rFonts w:ascii="Arial" w:hAnsi="Arial" w:cs="Arial"/>
                <w:color w:val="000000" w:themeColor="text1"/>
                <w:sz w:val="20"/>
              </w:rPr>
              <w:t xml:space="preserve"> a la Primera </w:t>
            </w:r>
            <w:proofErr w:type="spellStart"/>
            <w:r w:rsidRPr="00ED0B78">
              <w:rPr>
                <w:rFonts w:ascii="Arial" w:hAnsi="Arial" w:cs="Arial"/>
                <w:color w:val="000000" w:themeColor="text1"/>
                <w:sz w:val="20"/>
              </w:rPr>
              <w:t>Matrícula</w:t>
            </w:r>
            <w:proofErr w:type="spellEnd"/>
            <w:r w:rsidRPr="00ED0B78">
              <w:rPr>
                <w:rFonts w:ascii="Arial" w:hAnsi="Arial" w:cs="Arial"/>
                <w:color w:val="000000" w:themeColor="text1"/>
                <w:sz w:val="20"/>
              </w:rPr>
              <w:t xml:space="preserve"> de </w:t>
            </w:r>
            <w:proofErr w:type="spellStart"/>
            <w:r w:rsidRPr="00ED0B78">
              <w:rPr>
                <w:rFonts w:ascii="Arial" w:hAnsi="Arial" w:cs="Arial"/>
                <w:color w:val="000000" w:themeColor="text1"/>
                <w:sz w:val="20"/>
              </w:rPr>
              <w:t>Vehículos</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Automotores</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Terrestres</w:t>
            </w:r>
            <w:proofErr w:type="spellEnd"/>
          </w:p>
        </w:tc>
        <w:tc>
          <w:tcPr>
            <w:tcW w:w="3784" w:type="dxa"/>
          </w:tcPr>
          <w:p w14:paraId="1EBBDE64"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133-2012, publicado el 2 de julio de 2012.</w:t>
            </w:r>
          </w:p>
        </w:tc>
      </w:tr>
      <w:tr w:rsidR="00ED0B78" w:rsidRPr="00954DC7" w14:paraId="01854120" w14:textId="77777777" w:rsidTr="00C211DB">
        <w:tc>
          <w:tcPr>
            <w:tcW w:w="5126" w:type="dxa"/>
          </w:tcPr>
          <w:p w14:paraId="0631364C"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III – Ley Aduanera Nacional</w:t>
            </w:r>
          </w:p>
        </w:tc>
        <w:tc>
          <w:tcPr>
            <w:tcW w:w="3784" w:type="dxa"/>
          </w:tcPr>
          <w:p w14:paraId="28FCB3AA"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134-2012, publicado el 4 de julio de 2012.</w:t>
            </w:r>
          </w:p>
        </w:tc>
      </w:tr>
      <w:tr w:rsidR="00ED0B78" w:rsidRPr="00954DC7" w14:paraId="03500F44" w14:textId="77777777" w:rsidTr="00C211DB">
        <w:tc>
          <w:tcPr>
            <w:tcW w:w="5126" w:type="dxa"/>
          </w:tcPr>
          <w:p w14:paraId="70201D39"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IV – Reformas al Decreto 27-72 del Congreso de la República, Ley del Impuesto al Valor Agregado</w:t>
            </w:r>
          </w:p>
        </w:tc>
        <w:tc>
          <w:tcPr>
            <w:tcW w:w="3784" w:type="dxa"/>
          </w:tcPr>
          <w:p w14:paraId="1B0E012E"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5-2013, publicado el 8 de enero de 2013.</w:t>
            </w:r>
          </w:p>
        </w:tc>
      </w:tr>
      <w:tr w:rsidR="00ED0B78" w:rsidRPr="00954DC7" w14:paraId="3097A31B" w14:textId="77777777" w:rsidTr="00C211DB">
        <w:tc>
          <w:tcPr>
            <w:tcW w:w="5126" w:type="dxa"/>
          </w:tcPr>
          <w:p w14:paraId="3166571B"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V – Reformas al Decreto 70-94 del Congreso de la República, Ley del Impuesto sobre Circulación de Vehículos, Terrestres, Marítimos y Aéreos</w:t>
            </w:r>
          </w:p>
        </w:tc>
        <w:tc>
          <w:tcPr>
            <w:tcW w:w="3784" w:type="dxa"/>
          </w:tcPr>
          <w:p w14:paraId="3E287184"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487-2013, publicado el 11 de diciembre de 2013.</w:t>
            </w:r>
          </w:p>
        </w:tc>
      </w:tr>
      <w:tr w:rsidR="00ED0B78" w:rsidRPr="00954DC7" w14:paraId="5C825DEF" w14:textId="77777777" w:rsidTr="00C211DB">
        <w:tc>
          <w:tcPr>
            <w:tcW w:w="5126" w:type="dxa"/>
          </w:tcPr>
          <w:p w14:paraId="44590798"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VI – Reformas a la Ley del Impuesto de Timbres Fiscales y de Papel Sellado Especial para Protocolos, Decreto Número 37-92 del Congreso de la República</w:t>
            </w:r>
          </w:p>
        </w:tc>
        <w:tc>
          <w:tcPr>
            <w:tcW w:w="3784" w:type="dxa"/>
          </w:tcPr>
          <w:p w14:paraId="26852252"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Acuerdo Gubernativo No. 4-2013, publicado el 8 de enero de 2013.</w:t>
            </w:r>
          </w:p>
        </w:tc>
      </w:tr>
      <w:tr w:rsidR="00ED0B78" w:rsidRPr="00ED0B78" w14:paraId="3B79F1FA" w14:textId="77777777" w:rsidTr="00C211DB">
        <w:trPr>
          <w:trHeight w:val="368"/>
        </w:trPr>
        <w:tc>
          <w:tcPr>
            <w:tcW w:w="5126" w:type="dxa"/>
          </w:tcPr>
          <w:p w14:paraId="105A71DE"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Libro VII – Disposiciones Finales y Derogatorias</w:t>
            </w:r>
          </w:p>
        </w:tc>
        <w:tc>
          <w:tcPr>
            <w:tcW w:w="3784" w:type="dxa"/>
          </w:tcPr>
          <w:p w14:paraId="78CF1588" w14:textId="77777777" w:rsidR="00ED0B78" w:rsidRPr="00ED0B78" w:rsidRDefault="00ED0B78" w:rsidP="00C211DB">
            <w:pPr>
              <w:pStyle w:val="ListParagraph"/>
              <w:ind w:left="0"/>
              <w:rPr>
                <w:rFonts w:ascii="Arial" w:hAnsi="Arial" w:cs="Arial"/>
                <w:color w:val="000000" w:themeColor="text1"/>
                <w:sz w:val="20"/>
              </w:rPr>
            </w:pPr>
            <w:r w:rsidRPr="00ED0B78">
              <w:rPr>
                <w:rFonts w:ascii="Arial" w:hAnsi="Arial" w:cs="Arial"/>
                <w:color w:val="000000" w:themeColor="text1"/>
                <w:sz w:val="20"/>
              </w:rPr>
              <w:t xml:space="preserve">No </w:t>
            </w:r>
            <w:proofErr w:type="spellStart"/>
            <w:r w:rsidRPr="00ED0B78">
              <w:rPr>
                <w:rFonts w:ascii="Arial" w:hAnsi="Arial" w:cs="Arial"/>
                <w:color w:val="000000" w:themeColor="text1"/>
                <w:sz w:val="20"/>
              </w:rPr>
              <w:t>necesita</w:t>
            </w:r>
            <w:proofErr w:type="spellEnd"/>
            <w:r w:rsidRPr="00ED0B78">
              <w:rPr>
                <w:rFonts w:ascii="Arial" w:hAnsi="Arial" w:cs="Arial"/>
                <w:color w:val="000000" w:themeColor="text1"/>
                <w:sz w:val="20"/>
              </w:rPr>
              <w:t xml:space="preserve"> </w:t>
            </w:r>
            <w:proofErr w:type="spellStart"/>
            <w:r w:rsidRPr="00ED0B78">
              <w:rPr>
                <w:rFonts w:ascii="Arial" w:hAnsi="Arial" w:cs="Arial"/>
                <w:color w:val="000000" w:themeColor="text1"/>
                <w:sz w:val="20"/>
              </w:rPr>
              <w:t>reglamentación</w:t>
            </w:r>
            <w:proofErr w:type="spellEnd"/>
            <w:r w:rsidRPr="00ED0B78">
              <w:rPr>
                <w:rFonts w:ascii="Arial" w:hAnsi="Arial" w:cs="Arial"/>
                <w:color w:val="000000" w:themeColor="text1"/>
                <w:sz w:val="20"/>
              </w:rPr>
              <w:t>.</w:t>
            </w:r>
          </w:p>
        </w:tc>
      </w:tr>
    </w:tbl>
    <w:p w14:paraId="5044C921" w14:textId="77777777" w:rsidR="00ED0B78" w:rsidRPr="00ED0B78" w:rsidRDefault="00ED0B78" w:rsidP="00ED0B78">
      <w:pPr>
        <w:autoSpaceDE w:val="0"/>
        <w:autoSpaceDN w:val="0"/>
        <w:adjustRightInd w:val="0"/>
        <w:ind w:left="90"/>
        <w:jc w:val="both"/>
        <w:rPr>
          <w:rFonts w:ascii="Arial" w:hAnsi="Arial" w:cs="Arial"/>
          <w:color w:val="000000" w:themeColor="text1"/>
          <w:sz w:val="16"/>
          <w:szCs w:val="24"/>
          <w:lang w:val="es-GT"/>
        </w:rPr>
      </w:pPr>
      <w:r w:rsidRPr="00ED0B78">
        <w:rPr>
          <w:rFonts w:ascii="Arial" w:hAnsi="Arial" w:cs="Arial"/>
          <w:noProof/>
          <w:color w:val="000000" w:themeColor="text1"/>
          <w:sz w:val="16"/>
          <w:szCs w:val="24"/>
          <w:lang w:val="es-GT"/>
        </w:rPr>
        <w:t>Fuente: Informe de cumplimiento de condiciones de política pública del segundo tramo de esta operación.</w:t>
      </w:r>
    </w:p>
    <w:p w14:paraId="2738A170" w14:textId="77777777" w:rsidR="00ED0B78" w:rsidRPr="00ED0B78" w:rsidRDefault="00ED0B78" w:rsidP="00ED0B78">
      <w:pPr>
        <w:numPr>
          <w:ilvl w:val="1"/>
          <w:numId w:val="3"/>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Convenios de intercambio de información fiscal</w:t>
      </w:r>
      <w:r w:rsidRPr="00ED0B78">
        <w:rPr>
          <w:rFonts w:ascii="Arial" w:hAnsi="Arial" w:cs="Arial"/>
          <w:color w:val="000000" w:themeColor="text1"/>
          <w:lang w:val="es-GT"/>
        </w:rPr>
        <w:t>: El país firmó 8 documentos de intercambio de información fiscal, los cuales abarcan convenios de este tipo con 23 países.  El listado de convenios y países se presenta en el Cuadro 4.</w:t>
      </w:r>
    </w:p>
    <w:p w14:paraId="1289A3A2" w14:textId="77777777" w:rsidR="00ED0B78" w:rsidRPr="00ED0B78" w:rsidRDefault="00ED0B78" w:rsidP="00ED0B78">
      <w:pPr>
        <w:autoSpaceDE w:val="0"/>
        <w:autoSpaceDN w:val="0"/>
        <w:adjustRightInd w:val="0"/>
        <w:spacing w:after="120"/>
        <w:jc w:val="center"/>
        <w:rPr>
          <w:rFonts w:ascii="Arial" w:hAnsi="Arial" w:cs="Arial"/>
          <w:b/>
          <w:color w:val="000000" w:themeColor="text1"/>
          <w:lang w:val="es-GT"/>
        </w:rPr>
      </w:pPr>
      <w:r w:rsidRPr="00ED0B78">
        <w:rPr>
          <w:rFonts w:ascii="Arial" w:hAnsi="Arial" w:cs="Arial"/>
          <w:b/>
          <w:color w:val="000000" w:themeColor="text1"/>
          <w:lang w:val="es-GT"/>
        </w:rPr>
        <w:t>Cuadro 4 – Convenios de intercambio de información fiscal firmados por Guatemala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98"/>
      </w:tblGrid>
      <w:tr w:rsidR="00ED0B78" w:rsidRPr="00ED0B78" w14:paraId="4331CE16" w14:textId="77777777" w:rsidTr="00C211DB">
        <w:tc>
          <w:tcPr>
            <w:tcW w:w="6840" w:type="dxa"/>
            <w:shd w:val="clear" w:color="auto" w:fill="000000" w:themeFill="text1"/>
          </w:tcPr>
          <w:p w14:paraId="455745B5" w14:textId="77777777" w:rsidR="00ED0B78" w:rsidRPr="00ED0B78" w:rsidRDefault="00ED0B78" w:rsidP="00C211DB">
            <w:pPr>
              <w:pStyle w:val="ListParagraph"/>
              <w:ind w:left="0"/>
              <w:jc w:val="center"/>
              <w:rPr>
                <w:rFonts w:ascii="Arial" w:hAnsi="Arial" w:cs="Arial"/>
                <w:b/>
                <w:color w:val="000000" w:themeColor="text1"/>
                <w:sz w:val="20"/>
              </w:rPr>
            </w:pPr>
            <w:proofErr w:type="spellStart"/>
            <w:r w:rsidRPr="00ED0B78">
              <w:rPr>
                <w:rFonts w:ascii="Arial" w:hAnsi="Arial" w:cs="Arial"/>
                <w:b/>
                <w:color w:val="000000" w:themeColor="text1"/>
                <w:sz w:val="20"/>
              </w:rPr>
              <w:t>Convenio</w:t>
            </w:r>
            <w:proofErr w:type="spellEnd"/>
          </w:p>
        </w:tc>
        <w:tc>
          <w:tcPr>
            <w:tcW w:w="1998" w:type="dxa"/>
            <w:shd w:val="clear" w:color="auto" w:fill="000000" w:themeFill="text1"/>
          </w:tcPr>
          <w:p w14:paraId="401A1203" w14:textId="77777777" w:rsidR="00ED0B78" w:rsidRPr="00ED0B78" w:rsidRDefault="00ED0B78" w:rsidP="00C211DB">
            <w:pPr>
              <w:pStyle w:val="ListParagraph"/>
              <w:ind w:left="0"/>
              <w:jc w:val="center"/>
              <w:rPr>
                <w:rFonts w:ascii="Arial" w:hAnsi="Arial" w:cs="Arial"/>
                <w:b/>
                <w:color w:val="000000" w:themeColor="text1"/>
                <w:sz w:val="20"/>
              </w:rPr>
            </w:pPr>
            <w:proofErr w:type="spellStart"/>
            <w:r w:rsidRPr="00ED0B78">
              <w:rPr>
                <w:rFonts w:ascii="Arial" w:hAnsi="Arial" w:cs="Arial"/>
                <w:b/>
                <w:color w:val="000000" w:themeColor="text1"/>
                <w:sz w:val="20"/>
              </w:rPr>
              <w:t>Fecha</w:t>
            </w:r>
            <w:proofErr w:type="spellEnd"/>
            <w:r w:rsidRPr="00ED0B78">
              <w:rPr>
                <w:rFonts w:ascii="Arial" w:hAnsi="Arial" w:cs="Arial"/>
                <w:b/>
                <w:color w:val="000000" w:themeColor="text1"/>
                <w:sz w:val="20"/>
              </w:rPr>
              <w:t xml:space="preserve"> de </w:t>
            </w:r>
            <w:proofErr w:type="spellStart"/>
            <w:r w:rsidRPr="00ED0B78">
              <w:rPr>
                <w:rFonts w:ascii="Arial" w:hAnsi="Arial" w:cs="Arial"/>
                <w:b/>
                <w:color w:val="000000" w:themeColor="text1"/>
                <w:sz w:val="20"/>
              </w:rPr>
              <w:t>Firma</w:t>
            </w:r>
            <w:proofErr w:type="spellEnd"/>
          </w:p>
        </w:tc>
      </w:tr>
      <w:tr w:rsidR="00ED0B78" w:rsidRPr="00ED0B78" w14:paraId="5F0D6652" w14:textId="77777777" w:rsidTr="00C211DB">
        <w:tc>
          <w:tcPr>
            <w:tcW w:w="6840" w:type="dxa"/>
          </w:tcPr>
          <w:p w14:paraId="68BC0964"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1. Acuerdo entre el Gobierno de la República de Guatemala y el Gobierno del Reino de Dinamarca para el Intercambio de Información en Materia Tributaria</w:t>
            </w:r>
          </w:p>
        </w:tc>
        <w:tc>
          <w:tcPr>
            <w:tcW w:w="1998" w:type="dxa"/>
          </w:tcPr>
          <w:p w14:paraId="10C134A5" w14:textId="77777777" w:rsidR="00ED0B78" w:rsidRPr="00ED0B78" w:rsidRDefault="00ED0B78" w:rsidP="00C211DB">
            <w:pPr>
              <w:pStyle w:val="ListParagraph"/>
              <w:ind w:left="0"/>
              <w:jc w:val="center"/>
              <w:rPr>
                <w:rFonts w:ascii="Arial" w:hAnsi="Arial" w:cs="Arial"/>
                <w:color w:val="000000" w:themeColor="text1"/>
                <w:sz w:val="20"/>
              </w:rPr>
            </w:pPr>
            <w:r w:rsidRPr="00ED0B78">
              <w:rPr>
                <w:rFonts w:ascii="Arial" w:hAnsi="Arial" w:cs="Arial"/>
                <w:color w:val="000000" w:themeColor="text1"/>
                <w:sz w:val="20"/>
              </w:rPr>
              <w:t>15 de mayo de 2012</w:t>
            </w:r>
          </w:p>
        </w:tc>
      </w:tr>
      <w:tr w:rsidR="00ED0B78" w:rsidRPr="00ED0B78" w14:paraId="5067D343" w14:textId="77777777" w:rsidTr="00C211DB">
        <w:tc>
          <w:tcPr>
            <w:tcW w:w="6840" w:type="dxa"/>
          </w:tcPr>
          <w:p w14:paraId="201B4377"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2. Acuerdo entre el Gobierno de la República de Guatemala y el Gobierno de la República de Finlandia para el Intercambio de Información en Materia Tributaria</w:t>
            </w:r>
          </w:p>
        </w:tc>
        <w:tc>
          <w:tcPr>
            <w:tcW w:w="1998" w:type="dxa"/>
          </w:tcPr>
          <w:p w14:paraId="50F7E061" w14:textId="77777777" w:rsidR="00ED0B78" w:rsidRPr="00ED0B78" w:rsidRDefault="00ED0B78" w:rsidP="00C211DB">
            <w:pPr>
              <w:pStyle w:val="ListParagraph"/>
              <w:ind w:left="0"/>
              <w:jc w:val="center"/>
              <w:rPr>
                <w:rFonts w:ascii="Arial" w:hAnsi="Arial" w:cs="Arial"/>
                <w:color w:val="000000" w:themeColor="text1"/>
                <w:sz w:val="20"/>
              </w:rPr>
            </w:pPr>
            <w:r w:rsidRPr="00ED0B78">
              <w:rPr>
                <w:rFonts w:ascii="Arial" w:hAnsi="Arial" w:cs="Arial"/>
                <w:color w:val="000000" w:themeColor="text1"/>
                <w:sz w:val="20"/>
              </w:rPr>
              <w:t>15 de mayo de 2012</w:t>
            </w:r>
          </w:p>
        </w:tc>
      </w:tr>
      <w:tr w:rsidR="00ED0B78" w:rsidRPr="00ED0B78" w14:paraId="7A7B56C9" w14:textId="77777777" w:rsidTr="00C211DB">
        <w:tc>
          <w:tcPr>
            <w:tcW w:w="6840" w:type="dxa"/>
          </w:tcPr>
          <w:p w14:paraId="3A208C01"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3. Acuerdo entre el Gobierno de Groenlandia y el Gobierno de la República de Guatemala para el Intercambio de Información en Materia Tributaria</w:t>
            </w:r>
          </w:p>
        </w:tc>
        <w:tc>
          <w:tcPr>
            <w:tcW w:w="1998" w:type="dxa"/>
          </w:tcPr>
          <w:p w14:paraId="0DA7D3F7" w14:textId="77777777" w:rsidR="00ED0B78" w:rsidRPr="00ED0B78" w:rsidRDefault="00ED0B78" w:rsidP="00C211DB">
            <w:pPr>
              <w:pStyle w:val="ListParagraph"/>
              <w:ind w:left="0"/>
              <w:jc w:val="center"/>
              <w:rPr>
                <w:rFonts w:ascii="Arial" w:hAnsi="Arial" w:cs="Arial"/>
                <w:color w:val="000000" w:themeColor="text1"/>
                <w:sz w:val="20"/>
                <w:highlight w:val="yellow"/>
              </w:rPr>
            </w:pPr>
            <w:r w:rsidRPr="00ED0B78">
              <w:rPr>
                <w:rFonts w:ascii="Arial" w:hAnsi="Arial" w:cs="Arial"/>
                <w:color w:val="000000" w:themeColor="text1"/>
                <w:sz w:val="20"/>
              </w:rPr>
              <w:t>15 de mayo de 2012</w:t>
            </w:r>
          </w:p>
        </w:tc>
      </w:tr>
      <w:tr w:rsidR="00ED0B78" w:rsidRPr="00ED0B78" w14:paraId="775E566E" w14:textId="77777777" w:rsidTr="00C211DB">
        <w:tc>
          <w:tcPr>
            <w:tcW w:w="6840" w:type="dxa"/>
          </w:tcPr>
          <w:p w14:paraId="68BD55BA"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4. Acuerdo entre el Gobierno de la República de Guatemala y el Gobierno de Islandia para el Intercambio de Información en Materia Tributaria</w:t>
            </w:r>
          </w:p>
        </w:tc>
        <w:tc>
          <w:tcPr>
            <w:tcW w:w="1998" w:type="dxa"/>
          </w:tcPr>
          <w:p w14:paraId="428EB263" w14:textId="77777777" w:rsidR="00ED0B78" w:rsidRPr="00ED0B78" w:rsidRDefault="00ED0B78" w:rsidP="00C211DB">
            <w:pPr>
              <w:pStyle w:val="ListParagraph"/>
              <w:ind w:left="0"/>
              <w:jc w:val="center"/>
              <w:rPr>
                <w:rFonts w:ascii="Arial" w:hAnsi="Arial" w:cs="Arial"/>
                <w:color w:val="000000" w:themeColor="text1"/>
                <w:sz w:val="20"/>
                <w:highlight w:val="yellow"/>
              </w:rPr>
            </w:pPr>
            <w:r w:rsidRPr="00ED0B78">
              <w:rPr>
                <w:rFonts w:ascii="Arial" w:hAnsi="Arial" w:cs="Arial"/>
                <w:color w:val="000000" w:themeColor="text1"/>
                <w:sz w:val="20"/>
              </w:rPr>
              <w:t>15 de mayo de 2012</w:t>
            </w:r>
          </w:p>
        </w:tc>
      </w:tr>
      <w:tr w:rsidR="00ED0B78" w:rsidRPr="00ED0B78" w14:paraId="7990B371" w14:textId="77777777" w:rsidTr="00C211DB">
        <w:tc>
          <w:tcPr>
            <w:tcW w:w="6840" w:type="dxa"/>
          </w:tcPr>
          <w:p w14:paraId="7926AB53"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 xml:space="preserve">5. Acuerdo entre el Gobierno de la República de Guatemala y el Gobierno de las Islas </w:t>
            </w:r>
            <w:proofErr w:type="spellStart"/>
            <w:r w:rsidRPr="00ED0B78">
              <w:rPr>
                <w:rFonts w:ascii="Arial" w:hAnsi="Arial" w:cs="Arial"/>
                <w:color w:val="000000" w:themeColor="text1"/>
                <w:sz w:val="20"/>
                <w:lang w:val="es-BO"/>
              </w:rPr>
              <w:t>Faroe</w:t>
            </w:r>
            <w:proofErr w:type="spellEnd"/>
            <w:r w:rsidRPr="00ED0B78">
              <w:rPr>
                <w:rFonts w:ascii="Arial" w:hAnsi="Arial" w:cs="Arial"/>
                <w:color w:val="000000" w:themeColor="text1"/>
                <w:sz w:val="20"/>
                <w:lang w:val="es-BO"/>
              </w:rPr>
              <w:t xml:space="preserve"> para el Intercambio de Información en Materia Tributaria</w:t>
            </w:r>
          </w:p>
        </w:tc>
        <w:tc>
          <w:tcPr>
            <w:tcW w:w="1998" w:type="dxa"/>
          </w:tcPr>
          <w:p w14:paraId="5B87889C" w14:textId="77777777" w:rsidR="00ED0B78" w:rsidRPr="00ED0B78" w:rsidRDefault="00ED0B78" w:rsidP="00C211DB">
            <w:pPr>
              <w:pStyle w:val="ListParagraph"/>
              <w:ind w:left="0"/>
              <w:jc w:val="center"/>
              <w:rPr>
                <w:rFonts w:ascii="Arial" w:hAnsi="Arial" w:cs="Arial"/>
                <w:color w:val="000000" w:themeColor="text1"/>
                <w:sz w:val="20"/>
              </w:rPr>
            </w:pPr>
            <w:r w:rsidRPr="00ED0B78">
              <w:rPr>
                <w:rFonts w:ascii="Arial" w:hAnsi="Arial" w:cs="Arial"/>
                <w:color w:val="000000" w:themeColor="text1"/>
                <w:sz w:val="20"/>
              </w:rPr>
              <w:t>15 de mayo de 2012</w:t>
            </w:r>
          </w:p>
        </w:tc>
      </w:tr>
      <w:tr w:rsidR="00ED0B78" w:rsidRPr="00ED0B78" w14:paraId="344E8DFC" w14:textId="77777777" w:rsidTr="00C211DB">
        <w:tc>
          <w:tcPr>
            <w:tcW w:w="6840" w:type="dxa"/>
          </w:tcPr>
          <w:p w14:paraId="3F40F009"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lastRenderedPageBreak/>
              <w:t>6. Acuerdo entre el Gobierno de la República de Guatemala y el Gobierno del Reino de Noruega para el Intercambio de Información en Materia Tributaria</w:t>
            </w:r>
          </w:p>
        </w:tc>
        <w:tc>
          <w:tcPr>
            <w:tcW w:w="1998" w:type="dxa"/>
          </w:tcPr>
          <w:p w14:paraId="39455805" w14:textId="77777777" w:rsidR="00ED0B78" w:rsidRPr="00ED0B78" w:rsidRDefault="00ED0B78" w:rsidP="00C211DB">
            <w:pPr>
              <w:pStyle w:val="ListParagraph"/>
              <w:ind w:left="0"/>
              <w:jc w:val="center"/>
              <w:rPr>
                <w:rFonts w:ascii="Arial" w:hAnsi="Arial" w:cs="Arial"/>
                <w:color w:val="000000" w:themeColor="text1"/>
                <w:sz w:val="20"/>
                <w:highlight w:val="yellow"/>
              </w:rPr>
            </w:pPr>
            <w:r w:rsidRPr="00ED0B78">
              <w:rPr>
                <w:rFonts w:ascii="Arial" w:hAnsi="Arial" w:cs="Arial"/>
                <w:color w:val="000000" w:themeColor="text1"/>
                <w:sz w:val="20"/>
              </w:rPr>
              <w:t>15 de mayo de 2012</w:t>
            </w:r>
          </w:p>
        </w:tc>
      </w:tr>
      <w:tr w:rsidR="00ED0B78" w:rsidRPr="00ED0B78" w14:paraId="095DF9F3" w14:textId="77777777" w:rsidTr="00C211DB">
        <w:tc>
          <w:tcPr>
            <w:tcW w:w="6840" w:type="dxa"/>
          </w:tcPr>
          <w:p w14:paraId="44A9D20A"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7. Acuerdo entre el Gobierno de la República de Guatemala y el Gobierno del Reino de Suecia para el Intercambio de Información en Materia Tributaria</w:t>
            </w:r>
          </w:p>
        </w:tc>
        <w:tc>
          <w:tcPr>
            <w:tcW w:w="1998" w:type="dxa"/>
          </w:tcPr>
          <w:p w14:paraId="41EBAD23" w14:textId="77777777" w:rsidR="00ED0B78" w:rsidRPr="00ED0B78" w:rsidRDefault="00ED0B78" w:rsidP="00C211DB">
            <w:pPr>
              <w:pStyle w:val="ListParagraph"/>
              <w:ind w:left="0"/>
              <w:jc w:val="center"/>
              <w:rPr>
                <w:rFonts w:ascii="Arial" w:hAnsi="Arial" w:cs="Arial"/>
                <w:color w:val="000000" w:themeColor="text1"/>
                <w:sz w:val="20"/>
                <w:highlight w:val="yellow"/>
              </w:rPr>
            </w:pPr>
            <w:r w:rsidRPr="00ED0B78">
              <w:rPr>
                <w:rFonts w:ascii="Arial" w:hAnsi="Arial" w:cs="Arial"/>
                <w:color w:val="000000" w:themeColor="text1"/>
                <w:sz w:val="20"/>
              </w:rPr>
              <w:t>15 de mayo de 2012</w:t>
            </w:r>
          </w:p>
        </w:tc>
      </w:tr>
      <w:tr w:rsidR="00ED0B78" w:rsidRPr="00ED0B78" w14:paraId="1B26FA29" w14:textId="77777777" w:rsidTr="00C211DB">
        <w:tc>
          <w:tcPr>
            <w:tcW w:w="6840" w:type="dxa"/>
          </w:tcPr>
          <w:p w14:paraId="754A97C5" w14:textId="77777777" w:rsidR="00ED0B78" w:rsidRPr="00ED0B78" w:rsidRDefault="00ED0B78" w:rsidP="00C211DB">
            <w:pPr>
              <w:pStyle w:val="ListParagraph"/>
              <w:ind w:left="0"/>
              <w:rPr>
                <w:rFonts w:ascii="Arial" w:hAnsi="Arial" w:cs="Arial"/>
                <w:color w:val="000000" w:themeColor="text1"/>
                <w:sz w:val="20"/>
                <w:lang w:val="es-BO"/>
              </w:rPr>
            </w:pPr>
            <w:r w:rsidRPr="00ED0B78">
              <w:rPr>
                <w:rFonts w:ascii="Arial" w:hAnsi="Arial" w:cs="Arial"/>
                <w:color w:val="000000" w:themeColor="text1"/>
                <w:sz w:val="20"/>
                <w:lang w:val="es-BO"/>
              </w:rPr>
              <w:t>8. Adhesión al “Convenio de asistencia administrativa en materia fiscal”, de los países miembros del Consejo de Europa y la OCDE.  Este convenio ha sido firmado por 16 países además de Guatemala</w:t>
            </w:r>
          </w:p>
        </w:tc>
        <w:tc>
          <w:tcPr>
            <w:tcW w:w="1998" w:type="dxa"/>
          </w:tcPr>
          <w:p w14:paraId="49AD5F1F" w14:textId="77777777" w:rsidR="00ED0B78" w:rsidRPr="00ED0B78" w:rsidRDefault="00ED0B78" w:rsidP="00C211DB">
            <w:pPr>
              <w:pStyle w:val="ListParagraph"/>
              <w:ind w:left="0"/>
              <w:jc w:val="center"/>
              <w:rPr>
                <w:rFonts w:ascii="Arial" w:hAnsi="Arial" w:cs="Arial"/>
                <w:color w:val="000000" w:themeColor="text1"/>
                <w:sz w:val="20"/>
              </w:rPr>
            </w:pPr>
            <w:r w:rsidRPr="00ED0B78">
              <w:rPr>
                <w:rFonts w:ascii="Arial" w:hAnsi="Arial" w:cs="Arial"/>
                <w:color w:val="000000" w:themeColor="text1"/>
                <w:sz w:val="20"/>
              </w:rPr>
              <w:t>15 de mayo de 2012</w:t>
            </w:r>
          </w:p>
        </w:tc>
      </w:tr>
    </w:tbl>
    <w:p w14:paraId="4157BED3" w14:textId="61FD4BE2" w:rsidR="00ED0B78" w:rsidRPr="00ED0B78" w:rsidRDefault="00ED0B78" w:rsidP="00ED0B78">
      <w:pPr>
        <w:autoSpaceDE w:val="0"/>
        <w:autoSpaceDN w:val="0"/>
        <w:adjustRightInd w:val="0"/>
        <w:ind w:left="-90"/>
        <w:jc w:val="both"/>
        <w:rPr>
          <w:rFonts w:ascii="Arial" w:hAnsi="Arial" w:cs="Arial"/>
          <w:color w:val="000000" w:themeColor="text1"/>
          <w:sz w:val="16"/>
          <w:szCs w:val="24"/>
          <w:lang w:val="es-GT"/>
        </w:rPr>
      </w:pPr>
      <w:r>
        <w:rPr>
          <w:rFonts w:ascii="Arial" w:hAnsi="Arial" w:cs="Arial"/>
          <w:noProof/>
          <w:color w:val="000000" w:themeColor="text1"/>
          <w:sz w:val="16"/>
          <w:szCs w:val="24"/>
          <w:lang w:val="es-GT"/>
        </w:rPr>
        <w:t xml:space="preserve">  </w:t>
      </w:r>
      <w:r w:rsidRPr="00ED0B78">
        <w:rPr>
          <w:rFonts w:ascii="Arial" w:hAnsi="Arial" w:cs="Arial"/>
          <w:noProof/>
          <w:color w:val="000000" w:themeColor="text1"/>
          <w:sz w:val="16"/>
          <w:szCs w:val="24"/>
          <w:lang w:val="es-GT"/>
        </w:rPr>
        <w:t>Fuente: Informe de cumplimiento de condiciones de política pública del segundo tramo de esta operación.</w:t>
      </w:r>
    </w:p>
    <w:p w14:paraId="6D69609D" w14:textId="77777777" w:rsidR="00ED0B78" w:rsidRPr="00ED0B78" w:rsidRDefault="00ED0B78" w:rsidP="00ED0B78">
      <w:pPr>
        <w:pStyle w:val="BodyText2"/>
        <w:tabs>
          <w:tab w:val="left" w:pos="450"/>
        </w:tabs>
        <w:ind w:left="450"/>
        <w:rPr>
          <w:rFonts w:ascii="Arial" w:hAnsi="Arial" w:cs="Arial"/>
          <w:color w:val="000000" w:themeColor="text1"/>
          <w:sz w:val="16"/>
          <w:lang w:val="es-GT"/>
        </w:rPr>
      </w:pPr>
    </w:p>
    <w:p w14:paraId="7EAC4ECF" w14:textId="77777777" w:rsidR="00ED0B78" w:rsidRPr="00ED0B78" w:rsidRDefault="00ED0B78" w:rsidP="00ED0B78">
      <w:pPr>
        <w:numPr>
          <w:ilvl w:val="0"/>
          <w:numId w:val="2"/>
        </w:numPr>
        <w:autoSpaceDE w:val="0"/>
        <w:autoSpaceDN w:val="0"/>
        <w:adjustRightInd w:val="0"/>
        <w:ind w:left="450" w:hanging="450"/>
        <w:jc w:val="both"/>
        <w:rPr>
          <w:rFonts w:ascii="Arial" w:hAnsi="Arial" w:cs="Arial"/>
          <w:color w:val="000000" w:themeColor="text1"/>
          <w:lang w:val="es-GT"/>
        </w:rPr>
      </w:pPr>
      <w:r w:rsidRPr="00ED0B78">
        <w:rPr>
          <w:rFonts w:ascii="Arial" w:hAnsi="Arial" w:cs="Arial"/>
          <w:b/>
          <w:color w:val="000000" w:themeColor="text1"/>
          <w:lang w:val="es-GT"/>
        </w:rPr>
        <w:t xml:space="preserve">Regulación de las finanzas municipales: </w:t>
      </w:r>
    </w:p>
    <w:p w14:paraId="5D44AC5B" w14:textId="77777777" w:rsidR="00ED0B78" w:rsidRPr="00ED0B78" w:rsidRDefault="00ED0B78" w:rsidP="00ED0B78">
      <w:pPr>
        <w:pStyle w:val="ListParagraph"/>
        <w:numPr>
          <w:ilvl w:val="0"/>
          <w:numId w:val="4"/>
        </w:numPr>
        <w:tabs>
          <w:tab w:val="left" w:pos="450"/>
        </w:tabs>
        <w:contextualSpacing w:val="0"/>
        <w:rPr>
          <w:rFonts w:ascii="Arial" w:hAnsi="Arial" w:cs="Arial"/>
          <w:vanish/>
          <w:color w:val="000000" w:themeColor="text1"/>
          <w:u w:val="single"/>
        </w:rPr>
      </w:pPr>
    </w:p>
    <w:p w14:paraId="2E950F74" w14:textId="77777777" w:rsidR="00ED0B78" w:rsidRPr="00ED0B78" w:rsidRDefault="00ED0B78" w:rsidP="00ED0B78">
      <w:pPr>
        <w:pStyle w:val="ListParagraph"/>
        <w:numPr>
          <w:ilvl w:val="0"/>
          <w:numId w:val="4"/>
        </w:numPr>
        <w:tabs>
          <w:tab w:val="left" w:pos="450"/>
        </w:tabs>
        <w:contextualSpacing w:val="0"/>
        <w:rPr>
          <w:rFonts w:ascii="Arial" w:hAnsi="Arial" w:cs="Arial"/>
          <w:vanish/>
          <w:color w:val="000000" w:themeColor="text1"/>
          <w:u w:val="single"/>
        </w:rPr>
      </w:pPr>
    </w:p>
    <w:p w14:paraId="277E9A4D" w14:textId="5F67DBD8" w:rsidR="00ED0B78" w:rsidRPr="00ED0B78" w:rsidRDefault="00ED0B78" w:rsidP="00ED0B78">
      <w:pPr>
        <w:pStyle w:val="BodyText2"/>
        <w:numPr>
          <w:ilvl w:val="1"/>
          <w:numId w:val="4"/>
        </w:numPr>
        <w:tabs>
          <w:tab w:val="left" w:pos="450"/>
        </w:tabs>
        <w:rPr>
          <w:rFonts w:ascii="Arial" w:hAnsi="Arial" w:cs="Arial"/>
          <w:color w:val="000000" w:themeColor="text1"/>
          <w:sz w:val="22"/>
          <w:lang w:val="es-GT"/>
        </w:rPr>
      </w:pPr>
      <w:r w:rsidRPr="00ED0B78">
        <w:rPr>
          <w:rFonts w:ascii="Arial" w:hAnsi="Arial" w:cs="Arial"/>
          <w:color w:val="000000" w:themeColor="text1"/>
          <w:sz w:val="22"/>
          <w:u w:val="single"/>
          <w:lang w:val="es-GT"/>
        </w:rPr>
        <w:t>Estructuración de la DAAFIM</w:t>
      </w:r>
      <w:r w:rsidRPr="00ED0B78">
        <w:rPr>
          <w:rFonts w:ascii="Arial" w:hAnsi="Arial" w:cs="Arial"/>
          <w:color w:val="000000" w:themeColor="text1"/>
          <w:sz w:val="22"/>
          <w:lang w:val="es-GT"/>
        </w:rPr>
        <w:t xml:space="preserve">: A través del Acuerdo Ministerial Número 176-2013, del 28 de agosto de 2013, se aprobaron el “Manual de Organización y Funciones”, el “Manual de Puestos y Funciones” y el “Manual de Normas y Procedimientos” de la DAAFIM. </w:t>
      </w:r>
      <w:proofErr w:type="gramStart"/>
      <w:r w:rsidRPr="00ED0B78">
        <w:rPr>
          <w:rFonts w:ascii="Arial" w:hAnsi="Arial" w:cs="Arial"/>
          <w:color w:val="000000" w:themeColor="text1"/>
          <w:sz w:val="22"/>
          <w:lang w:val="es-GT"/>
        </w:rPr>
        <w:t>Asimismo</w:t>
      </w:r>
      <w:proofErr w:type="gramEnd"/>
      <w:r w:rsidRPr="00ED0B78">
        <w:rPr>
          <w:rFonts w:ascii="Arial" w:hAnsi="Arial" w:cs="Arial"/>
          <w:color w:val="000000" w:themeColor="text1"/>
          <w:sz w:val="22"/>
          <w:lang w:val="es-GT"/>
        </w:rPr>
        <w:t xml:space="preserve"> se presentó evidencia de los nombramientos del Director y Subdirector de la DAAFIM, con lo cual quedó puesta en marcha esta dirección.</w:t>
      </w:r>
    </w:p>
    <w:p w14:paraId="6FD6151F" w14:textId="04631FFB" w:rsidR="00ED0B78" w:rsidRPr="00ED0B78" w:rsidRDefault="00ED0B78" w:rsidP="00ED0B78">
      <w:pPr>
        <w:numPr>
          <w:ilvl w:val="1"/>
          <w:numId w:val="4"/>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Normas y manuales de procedimientos de las áreas de Crédito y Cartera de la Dirección Administrativa y Financiera del INFOM</w:t>
      </w:r>
      <w:r w:rsidRPr="00ED0B78">
        <w:rPr>
          <w:rFonts w:ascii="Arial" w:hAnsi="Arial" w:cs="Arial"/>
          <w:color w:val="000000" w:themeColor="text1"/>
          <w:lang w:val="es-GT"/>
        </w:rPr>
        <w:t xml:space="preserve">: El INFOM aprobó, por medio </w:t>
      </w:r>
      <w:proofErr w:type="gramStart"/>
      <w:r w:rsidRPr="00ED0B78">
        <w:rPr>
          <w:rFonts w:ascii="Arial" w:hAnsi="Arial" w:cs="Arial"/>
          <w:color w:val="000000" w:themeColor="text1"/>
          <w:lang w:val="es-GT"/>
        </w:rPr>
        <w:t>de  la</w:t>
      </w:r>
      <w:proofErr w:type="gramEnd"/>
      <w:r w:rsidRPr="00ED0B78">
        <w:rPr>
          <w:rFonts w:ascii="Arial" w:hAnsi="Arial" w:cs="Arial"/>
          <w:color w:val="000000" w:themeColor="text1"/>
          <w:lang w:val="es-GT"/>
        </w:rPr>
        <w:t xml:space="preserve"> Resolución No. 229-2013 de la Junta Directiva del INFOM, del 29 de agosto de 2013, los “Lineamientos Generales del INFOM como condición de cumplimiento a préstamo BID consolidación fiscal para Guatemala. Cumplimiento de la Cláusula respectiva del INFOM”. Los nuevos l</w:t>
      </w:r>
      <w:r w:rsidR="00544EDD">
        <w:rPr>
          <w:rFonts w:ascii="Arial" w:hAnsi="Arial" w:cs="Arial"/>
          <w:color w:val="000000" w:themeColor="text1"/>
          <w:lang w:val="es-GT"/>
        </w:rPr>
        <w:t>i</w:t>
      </w:r>
      <w:r w:rsidRPr="00ED0B78">
        <w:rPr>
          <w:rFonts w:ascii="Arial" w:hAnsi="Arial" w:cs="Arial"/>
          <w:color w:val="000000" w:themeColor="text1"/>
          <w:lang w:val="es-GT"/>
        </w:rPr>
        <w:t xml:space="preserve">neamientos generales de actividad para el </w:t>
      </w:r>
      <w:proofErr w:type="gramStart"/>
      <w:r w:rsidRPr="00ED0B78">
        <w:rPr>
          <w:rFonts w:ascii="Arial" w:hAnsi="Arial" w:cs="Arial"/>
          <w:color w:val="000000" w:themeColor="text1"/>
          <w:lang w:val="es-GT"/>
        </w:rPr>
        <w:t>INFOM,</w:t>
      </w:r>
      <w:proofErr w:type="gramEnd"/>
      <w:r w:rsidRPr="00ED0B78">
        <w:rPr>
          <w:rFonts w:ascii="Arial" w:hAnsi="Arial" w:cs="Arial"/>
          <w:color w:val="000000" w:themeColor="text1"/>
          <w:lang w:val="es-GT"/>
        </w:rPr>
        <w:t xml:space="preserve"> abarcan cuatro áreas: (i) nuevos criterios de concesión de crédito; (ii) reorganización administrativa, normas y procedimientos de las áreas Crédito y Cartera; (iii) nuevo sistema informático para las Áreas de Cartera y Crédito y flujos de información municipal; y (iv) potenciación y desarrollo de nuevas actividades.  </w:t>
      </w:r>
    </w:p>
    <w:p w14:paraId="169FF4C7" w14:textId="77777777" w:rsidR="00ED0B78" w:rsidRPr="00ED0B78" w:rsidRDefault="00ED0B78" w:rsidP="00ED0B78">
      <w:pPr>
        <w:numPr>
          <w:ilvl w:val="1"/>
          <w:numId w:val="4"/>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Metodología para cuantificar el stock de la deuda municipal</w:t>
      </w:r>
      <w:r w:rsidRPr="00ED0B78">
        <w:rPr>
          <w:rFonts w:ascii="Arial" w:hAnsi="Arial" w:cs="Arial"/>
          <w:color w:val="000000" w:themeColor="text1"/>
          <w:lang w:val="es-GT"/>
        </w:rPr>
        <w:t>: Se elaboraron los documentos “Cuantificación de la deuda municipal y mecanismo de seguimiento de las finanzas municipales” y “Guía metodológica para elaboración de índices de solvencia y finanzas municipales”. En el primer documento se muestra evidencia de la implementación del plan piloto para recopilar información de las finanzas municipales, así como del diseño general del mecanismo.  En el segundo, se detalla la guía metodológica para elaboración de indicadores de solvencia general, financiera, dinamismo económico y ejecución presupuestaria, los cuales se utilizan para la generación del Indicador Consolidado Financiero Municipal –ICFM-.</w:t>
      </w:r>
    </w:p>
    <w:p w14:paraId="117E2534" w14:textId="77777777" w:rsidR="00ED0B78" w:rsidRPr="00ED0B78" w:rsidRDefault="00ED0B78" w:rsidP="00ED0B78">
      <w:pPr>
        <w:tabs>
          <w:tab w:val="left" w:pos="450"/>
        </w:tabs>
        <w:ind w:left="450"/>
        <w:jc w:val="both"/>
        <w:rPr>
          <w:rFonts w:ascii="Arial" w:hAnsi="Arial" w:cs="Arial"/>
          <w:color w:val="000000" w:themeColor="text1"/>
          <w:lang w:val="es-GT"/>
        </w:rPr>
      </w:pPr>
    </w:p>
    <w:p w14:paraId="2F65FB22" w14:textId="77777777" w:rsidR="00ED0B78" w:rsidRPr="00ED0B78" w:rsidRDefault="00ED0B78" w:rsidP="00ED0B78">
      <w:pPr>
        <w:numPr>
          <w:ilvl w:val="0"/>
          <w:numId w:val="2"/>
        </w:numPr>
        <w:autoSpaceDE w:val="0"/>
        <w:autoSpaceDN w:val="0"/>
        <w:adjustRightInd w:val="0"/>
        <w:ind w:left="450" w:hanging="450"/>
        <w:jc w:val="both"/>
        <w:rPr>
          <w:rFonts w:ascii="Arial" w:hAnsi="Arial" w:cs="Arial"/>
          <w:color w:val="000000" w:themeColor="text1"/>
          <w:lang w:val="es-GT"/>
        </w:rPr>
      </w:pPr>
      <w:r w:rsidRPr="00ED0B78">
        <w:rPr>
          <w:rFonts w:ascii="Arial" w:hAnsi="Arial" w:cs="Arial"/>
          <w:b/>
          <w:color w:val="000000" w:themeColor="text1"/>
          <w:lang w:val="es-GT"/>
        </w:rPr>
        <w:t>Programación fiscal de mediano plazo y gestión por resultados:</w:t>
      </w:r>
      <w:r w:rsidRPr="00ED0B78">
        <w:rPr>
          <w:rFonts w:ascii="Arial" w:hAnsi="Arial" w:cs="Arial"/>
          <w:color w:val="000000" w:themeColor="text1"/>
          <w:lang w:val="es-GT"/>
        </w:rPr>
        <w:t xml:space="preserve"> </w:t>
      </w:r>
    </w:p>
    <w:p w14:paraId="5CE6D483" w14:textId="77777777" w:rsidR="00ED0B78" w:rsidRPr="00ED0B78" w:rsidRDefault="00ED0B78" w:rsidP="00ED0B78">
      <w:pPr>
        <w:pStyle w:val="ListParagraph"/>
        <w:numPr>
          <w:ilvl w:val="0"/>
          <w:numId w:val="5"/>
        </w:numPr>
        <w:tabs>
          <w:tab w:val="left" w:pos="450"/>
        </w:tabs>
        <w:contextualSpacing w:val="0"/>
        <w:rPr>
          <w:rFonts w:ascii="Arial" w:hAnsi="Arial" w:cs="Arial"/>
          <w:vanish/>
          <w:color w:val="000000" w:themeColor="text1"/>
          <w:u w:val="single"/>
        </w:rPr>
      </w:pPr>
    </w:p>
    <w:p w14:paraId="1E73886C" w14:textId="77777777" w:rsidR="00ED0B78" w:rsidRPr="00ED0B78" w:rsidRDefault="00ED0B78" w:rsidP="00ED0B78">
      <w:pPr>
        <w:pStyle w:val="ListParagraph"/>
        <w:numPr>
          <w:ilvl w:val="0"/>
          <w:numId w:val="5"/>
        </w:numPr>
        <w:tabs>
          <w:tab w:val="left" w:pos="450"/>
        </w:tabs>
        <w:contextualSpacing w:val="0"/>
        <w:rPr>
          <w:rFonts w:ascii="Arial" w:hAnsi="Arial" w:cs="Arial"/>
          <w:vanish/>
          <w:color w:val="000000" w:themeColor="text1"/>
          <w:u w:val="single"/>
        </w:rPr>
      </w:pPr>
    </w:p>
    <w:p w14:paraId="5145611D" w14:textId="77777777" w:rsidR="00ED0B78" w:rsidRPr="00ED0B78" w:rsidRDefault="00ED0B78" w:rsidP="00ED0B78">
      <w:pPr>
        <w:pStyle w:val="ListParagraph"/>
        <w:numPr>
          <w:ilvl w:val="0"/>
          <w:numId w:val="5"/>
        </w:numPr>
        <w:tabs>
          <w:tab w:val="left" w:pos="450"/>
        </w:tabs>
        <w:contextualSpacing w:val="0"/>
        <w:rPr>
          <w:rFonts w:ascii="Arial" w:hAnsi="Arial" w:cs="Arial"/>
          <w:vanish/>
          <w:color w:val="000000" w:themeColor="text1"/>
          <w:u w:val="single"/>
        </w:rPr>
      </w:pPr>
    </w:p>
    <w:p w14:paraId="6DAB731E" w14:textId="77777777" w:rsidR="00ED0B78" w:rsidRPr="00ED0B78" w:rsidRDefault="00ED0B78" w:rsidP="00ED0B78">
      <w:pPr>
        <w:numPr>
          <w:ilvl w:val="1"/>
          <w:numId w:val="5"/>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Informe del Desempeño de la Gestión de las Finanzas Públicas</w:t>
      </w:r>
      <w:r w:rsidRPr="00ED0B78">
        <w:rPr>
          <w:rFonts w:ascii="Arial" w:hAnsi="Arial" w:cs="Arial"/>
          <w:color w:val="000000" w:themeColor="text1"/>
          <w:lang w:val="es-GT"/>
        </w:rPr>
        <w:t xml:space="preserve">: Este informe, conocido como PEFA por sus siglas en inglés, quedó actualizado y se utilizó como base para validar los avances del Plan de Acción elaborado por el MINFIN en el año 2010. </w:t>
      </w:r>
    </w:p>
    <w:p w14:paraId="656C4114" w14:textId="77777777" w:rsidR="00ED0B78" w:rsidRPr="00ED0B78" w:rsidRDefault="00ED0B78" w:rsidP="00ED0B78">
      <w:pPr>
        <w:tabs>
          <w:tab w:val="left" w:pos="450"/>
        </w:tabs>
        <w:ind w:left="450"/>
        <w:jc w:val="both"/>
        <w:rPr>
          <w:rFonts w:ascii="Arial" w:hAnsi="Arial" w:cs="Arial"/>
          <w:color w:val="000000" w:themeColor="text1"/>
          <w:lang w:val="es-GT"/>
        </w:rPr>
      </w:pPr>
    </w:p>
    <w:p w14:paraId="05098DC9" w14:textId="77777777" w:rsidR="00ED0B78" w:rsidRPr="00ED0B78" w:rsidRDefault="00ED0B78" w:rsidP="00ED0B78">
      <w:pPr>
        <w:numPr>
          <w:ilvl w:val="1"/>
          <w:numId w:val="5"/>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lastRenderedPageBreak/>
        <w:t>Marco Fiscal de Mediano Plazo</w:t>
      </w:r>
      <w:r w:rsidRPr="00ED0B78">
        <w:rPr>
          <w:rFonts w:ascii="Arial" w:hAnsi="Arial" w:cs="Arial"/>
          <w:color w:val="000000" w:themeColor="text1"/>
          <w:lang w:val="es-GT"/>
        </w:rPr>
        <w:t>: Como se indicó anteriormente, este documento está publicado en la página web del MINFIN y contiene el marco de la política fiscal del país con sus proyecciones para el período 2012-2016.</w:t>
      </w:r>
    </w:p>
    <w:p w14:paraId="0A83EC87" w14:textId="77777777" w:rsidR="00ED0B78" w:rsidRPr="00ED0B78" w:rsidRDefault="00ED0B78" w:rsidP="00ED0B78">
      <w:pPr>
        <w:numPr>
          <w:ilvl w:val="1"/>
          <w:numId w:val="5"/>
        </w:numPr>
        <w:tabs>
          <w:tab w:val="left" w:pos="450"/>
        </w:tabs>
        <w:jc w:val="both"/>
        <w:rPr>
          <w:rFonts w:ascii="Arial" w:hAnsi="Arial" w:cs="Arial"/>
          <w:color w:val="000000" w:themeColor="text1"/>
          <w:lang w:val="es-GT"/>
        </w:rPr>
      </w:pPr>
      <w:r w:rsidRPr="00ED0B78">
        <w:rPr>
          <w:rFonts w:ascii="Arial" w:hAnsi="Arial" w:cs="Arial"/>
          <w:color w:val="000000" w:themeColor="text1"/>
          <w:u w:val="single"/>
          <w:lang w:val="es-GT"/>
        </w:rPr>
        <w:t>Plan piloto de gestión por resultados</w:t>
      </w:r>
      <w:r w:rsidRPr="00ED0B78">
        <w:rPr>
          <w:rFonts w:ascii="Arial" w:hAnsi="Arial" w:cs="Arial"/>
          <w:color w:val="000000" w:themeColor="text1"/>
          <w:lang w:val="es-GT"/>
        </w:rPr>
        <w:t>: Se elaboraron los documentos “Primer Informe de Cumplimiento del Convenio de Gestión por Resultados” e “Informe de verificación del convenio de gestión suscrito entre los ministerios de Salud Pública y Asistencia Social y Finanzas Públicas, en el marco del presupuesto por resultados”.  En dichos documentos se presenta evidencia de la implementación de este plan piloto en el Programa de Fomento de la Salud y Medicina Preventiva del MSPAS, el cual es parte central del Eje de Inclusión Social del Programa del gobierno.</w:t>
      </w:r>
    </w:p>
    <w:p w14:paraId="12FC7059" w14:textId="77777777" w:rsidR="00ED0B78" w:rsidRPr="00ED0B78" w:rsidRDefault="00ED0B78" w:rsidP="00ED0B78">
      <w:pPr>
        <w:pStyle w:val="ListParagraph"/>
        <w:ind w:left="0"/>
        <w:rPr>
          <w:rFonts w:ascii="Arial" w:hAnsi="Arial" w:cs="Arial"/>
          <w:color w:val="000000" w:themeColor="text1"/>
          <w:lang w:val="es-BO"/>
        </w:rPr>
      </w:pP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90"/>
        <w:gridCol w:w="3931"/>
        <w:gridCol w:w="2099"/>
      </w:tblGrid>
      <w:tr w:rsidR="00ED0B78" w:rsidRPr="00ED0B78" w14:paraId="2759C8B2" w14:textId="77777777" w:rsidTr="00C211DB">
        <w:trPr>
          <w:cantSplit/>
        </w:trPr>
        <w:tc>
          <w:tcPr>
            <w:tcW w:w="9630" w:type="dxa"/>
            <w:gridSpan w:val="4"/>
            <w:tcBorders>
              <w:top w:val="single" w:sz="4" w:space="0" w:color="auto"/>
              <w:left w:val="single" w:sz="4" w:space="0" w:color="auto"/>
              <w:bottom w:val="single" w:sz="4" w:space="0" w:color="auto"/>
              <w:right w:val="single" w:sz="4" w:space="0" w:color="auto"/>
            </w:tcBorders>
            <w:shd w:val="clear" w:color="auto" w:fill="333399"/>
          </w:tcPr>
          <w:p w14:paraId="796EB66F" w14:textId="77777777" w:rsidR="00ED0B78" w:rsidRPr="00ED0B78" w:rsidRDefault="00ED0B78" w:rsidP="00C211DB">
            <w:pPr>
              <w:spacing w:before="80" w:after="80"/>
              <w:jc w:val="center"/>
              <w:rPr>
                <w:rFonts w:ascii="Arial" w:hAnsi="Arial" w:cs="Arial"/>
                <w:color w:val="000000" w:themeColor="text1"/>
                <w:sz w:val="18"/>
                <w:lang w:val="es-ES_tradnl"/>
              </w:rPr>
            </w:pPr>
            <w:r w:rsidRPr="00ED0B78">
              <w:rPr>
                <w:rFonts w:ascii="Arial" w:hAnsi="Arial" w:cs="Arial"/>
                <w:b/>
                <w:bCs/>
                <w:smallCaps/>
                <w:color w:val="FFFFFF" w:themeColor="background1"/>
                <w:sz w:val="17"/>
                <w:szCs w:val="17"/>
                <w:lang w:val="es-ES_tradnl"/>
              </w:rPr>
              <w:t xml:space="preserve">PROGRESO EN LA IMPLEMENTACION </w:t>
            </w:r>
          </w:p>
        </w:tc>
      </w:tr>
      <w:tr w:rsidR="00ED0B78" w:rsidRPr="00ED0B78" w14:paraId="241A9C57" w14:textId="77777777" w:rsidTr="00C211DB">
        <w:tc>
          <w:tcPr>
            <w:tcW w:w="3600" w:type="dxa"/>
            <w:gridSpan w:val="2"/>
            <w:tcBorders>
              <w:bottom w:val="single" w:sz="2" w:space="0" w:color="auto"/>
            </w:tcBorders>
            <w:vAlign w:val="center"/>
          </w:tcPr>
          <w:p w14:paraId="3A751E9E" w14:textId="77777777" w:rsidR="00ED0B78" w:rsidRPr="00ED0B78" w:rsidRDefault="00ED0B78" w:rsidP="00C211DB">
            <w:pPr>
              <w:spacing w:before="40" w:after="40"/>
              <w:rPr>
                <w:rFonts w:ascii="Arial" w:eastAsia="Arial Unicode MS" w:hAnsi="Arial" w:cs="Arial"/>
                <w:color w:val="000000" w:themeColor="text1"/>
                <w:sz w:val="15"/>
                <w:szCs w:val="15"/>
                <w:lang w:val="es-ES_tradnl"/>
              </w:rPr>
            </w:pPr>
            <w:r w:rsidRPr="00ED0B78">
              <w:rPr>
                <w:rFonts w:ascii="Arial" w:hAnsi="Arial" w:cs="Arial"/>
                <w:b/>
                <w:bCs/>
                <w:color w:val="000000" w:themeColor="text1"/>
                <w:sz w:val="15"/>
                <w:szCs w:val="15"/>
                <w:lang w:val="es-ES_tradnl"/>
              </w:rPr>
              <w:t>Componentes (Productos)</w:t>
            </w:r>
          </w:p>
        </w:tc>
        <w:tc>
          <w:tcPr>
            <w:tcW w:w="6030" w:type="dxa"/>
            <w:gridSpan w:val="2"/>
            <w:tcBorders>
              <w:bottom w:val="single" w:sz="2" w:space="0" w:color="auto"/>
            </w:tcBorders>
            <w:vAlign w:val="center"/>
          </w:tcPr>
          <w:p w14:paraId="3A2477F4" w14:textId="77777777" w:rsidR="00ED0B78" w:rsidRPr="00ED0B78" w:rsidRDefault="00ED0B78" w:rsidP="00C211DB">
            <w:pPr>
              <w:spacing w:before="40" w:after="40"/>
              <w:rPr>
                <w:rFonts w:ascii="Arial" w:eastAsia="Arial Unicode MS" w:hAnsi="Arial" w:cs="Arial"/>
                <w:color w:val="000000" w:themeColor="text1"/>
                <w:sz w:val="15"/>
                <w:szCs w:val="15"/>
                <w:lang w:val="es-ES_tradnl"/>
              </w:rPr>
            </w:pPr>
            <w:r w:rsidRPr="00ED0B78">
              <w:rPr>
                <w:rFonts w:ascii="Arial" w:hAnsi="Arial" w:cs="Arial"/>
                <w:b/>
                <w:bCs/>
                <w:color w:val="000000" w:themeColor="text1"/>
                <w:sz w:val="15"/>
                <w:szCs w:val="15"/>
                <w:lang w:val="es-ES_tradnl"/>
              </w:rPr>
              <w:t>Indicadores Claves del Producto</w:t>
            </w:r>
          </w:p>
        </w:tc>
      </w:tr>
      <w:tr w:rsidR="00ED0B78" w:rsidRPr="00ED0B78" w14:paraId="342FC10A" w14:textId="77777777" w:rsidTr="00C211DB">
        <w:trPr>
          <w:cantSplit/>
        </w:trPr>
        <w:tc>
          <w:tcPr>
            <w:tcW w:w="3600" w:type="dxa"/>
            <w:gridSpan w:val="2"/>
            <w:tcBorders>
              <w:top w:val="single" w:sz="2" w:space="0" w:color="auto"/>
              <w:bottom w:val="single" w:sz="2" w:space="0" w:color="auto"/>
              <w:right w:val="single" w:sz="2" w:space="0" w:color="auto"/>
            </w:tcBorders>
          </w:tcPr>
          <w:p w14:paraId="2BEC8122" w14:textId="77777777" w:rsidR="00ED0B78" w:rsidRPr="00ED0B78" w:rsidRDefault="00ED0B78" w:rsidP="00C211DB">
            <w:pPr>
              <w:spacing w:before="40" w:after="40"/>
              <w:rPr>
                <w:rFonts w:ascii="Arial" w:hAnsi="Arial" w:cs="Arial"/>
                <w:b/>
                <w:bCs/>
                <w:color w:val="000000" w:themeColor="text1"/>
                <w:sz w:val="15"/>
                <w:szCs w:val="15"/>
                <w:lang w:val="es-ES_tradnl"/>
              </w:rPr>
            </w:pPr>
            <w:r w:rsidRPr="00ED0B78">
              <w:rPr>
                <w:rFonts w:ascii="Arial" w:hAnsi="Arial" w:cs="Arial"/>
                <w:b/>
                <w:bCs/>
                <w:color w:val="000000" w:themeColor="text1"/>
                <w:sz w:val="15"/>
                <w:szCs w:val="15"/>
                <w:lang w:val="es-ES_tradnl"/>
              </w:rPr>
              <w:t>1.  Reforma Fiscal</w:t>
            </w:r>
          </w:p>
          <w:p w14:paraId="2B22D2CA" w14:textId="77777777" w:rsidR="00ED0B78" w:rsidRPr="00ED0B78" w:rsidRDefault="00ED0B78" w:rsidP="00C211DB">
            <w:pPr>
              <w:pStyle w:val="Heading9"/>
              <w:rPr>
                <w:rFonts w:ascii="Arial" w:hAnsi="Arial" w:cs="Arial"/>
                <w:color w:val="000000" w:themeColor="text1"/>
                <w:sz w:val="15"/>
                <w:szCs w:val="15"/>
                <w:lang w:val="es-ES_tradnl"/>
              </w:rPr>
            </w:pPr>
          </w:p>
        </w:tc>
        <w:tc>
          <w:tcPr>
            <w:tcW w:w="3931" w:type="dxa"/>
            <w:tcBorders>
              <w:top w:val="single" w:sz="2" w:space="0" w:color="auto"/>
              <w:left w:val="single" w:sz="2" w:space="0" w:color="auto"/>
              <w:bottom w:val="single" w:sz="2" w:space="0" w:color="auto"/>
              <w:right w:val="single" w:sz="2" w:space="0" w:color="auto"/>
            </w:tcBorders>
          </w:tcPr>
          <w:p w14:paraId="71FD5643" w14:textId="77777777" w:rsidR="00ED0B78" w:rsidRPr="00ED0B78" w:rsidRDefault="00ED0B78" w:rsidP="00C211DB">
            <w:pPr>
              <w:pStyle w:val="Heading8"/>
              <w:rPr>
                <w:rFonts w:ascii="Arial" w:hAnsi="Arial" w:cs="Arial"/>
                <w:color w:val="000000" w:themeColor="text1"/>
                <w:sz w:val="15"/>
                <w:szCs w:val="15"/>
                <w:lang w:val="es-BO"/>
              </w:rPr>
            </w:pPr>
            <w:r w:rsidRPr="00ED0B78">
              <w:rPr>
                <w:rFonts w:ascii="Arial" w:hAnsi="Arial" w:cs="Arial"/>
                <w:color w:val="000000" w:themeColor="text1"/>
                <w:sz w:val="15"/>
                <w:szCs w:val="15"/>
                <w:lang w:val="es-BO"/>
              </w:rPr>
              <w:t>Productos Planeados</w:t>
            </w:r>
          </w:p>
          <w:p w14:paraId="1EE3421A"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Al Término </w:t>
            </w:r>
          </w:p>
          <w:p w14:paraId="0F6B995E"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Línea de Base</w:t>
            </w: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 Intermedia</w:t>
            </w: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 del Proyecto</w:t>
            </w:r>
          </w:p>
          <w:p w14:paraId="2DE76E49"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1.1) Ley de Actualización Tributaria, aprobada.</w:t>
            </w:r>
          </w:p>
          <w:p w14:paraId="227EB6C5"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1.1I</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(2012)  1.1E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72366BA5"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p>
          <w:p w14:paraId="2CCC8F1B"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1.2) Unidad de Tributación Internacional (UTI) en el </w:t>
            </w:r>
            <w:proofErr w:type="gramStart"/>
            <w:r w:rsidRPr="00ED0B78">
              <w:rPr>
                <w:rFonts w:ascii="Arial" w:hAnsi="Arial" w:cs="Arial"/>
                <w:color w:val="000000" w:themeColor="text1"/>
                <w:sz w:val="15"/>
                <w:szCs w:val="15"/>
                <w:lang w:val="es-ES_tradnl"/>
              </w:rPr>
              <w:t>Vice-Ministerio</w:t>
            </w:r>
            <w:proofErr w:type="gramEnd"/>
            <w:r w:rsidRPr="00ED0B78">
              <w:rPr>
                <w:rFonts w:ascii="Arial" w:hAnsi="Arial" w:cs="Arial"/>
                <w:color w:val="000000" w:themeColor="text1"/>
                <w:sz w:val="15"/>
                <w:szCs w:val="15"/>
                <w:lang w:val="es-ES_tradnl"/>
              </w:rPr>
              <w:t xml:space="preserve"> de Ingresos del MINFIN, implementada.</w:t>
            </w:r>
          </w:p>
          <w:p w14:paraId="3E9AC385"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1.1I</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(2012)  1.1E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524B8E72" w14:textId="77777777" w:rsidR="00ED0B78" w:rsidRPr="00ED0B78" w:rsidRDefault="00ED0B78" w:rsidP="00C211DB">
            <w:pPr>
              <w:tabs>
                <w:tab w:val="left" w:pos="312"/>
              </w:tabs>
              <w:rPr>
                <w:rFonts w:ascii="Arial" w:hAnsi="Arial" w:cs="Arial"/>
                <w:color w:val="000000" w:themeColor="text1"/>
                <w:sz w:val="15"/>
                <w:szCs w:val="15"/>
                <w:lang w:val="es-ES_tradnl"/>
              </w:rPr>
            </w:pPr>
          </w:p>
          <w:p w14:paraId="37A4900B"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1.3) Convenios de intercambio de información fiscal o equivalente, en cumplimiento con los lineamientos del Foro Global, firmados.</w:t>
            </w:r>
          </w:p>
          <w:p w14:paraId="3F36CDAA"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1.1I</w:t>
            </w:r>
            <w:r w:rsidRPr="00ED0B78">
              <w:rPr>
                <w:rFonts w:ascii="Arial" w:hAnsi="Arial" w:cs="Arial"/>
                <w:color w:val="000000" w:themeColor="text1"/>
                <w:sz w:val="15"/>
                <w:szCs w:val="15"/>
                <w:u w:val="single"/>
                <w:lang w:val="es-ES_tradnl"/>
              </w:rPr>
              <w:t xml:space="preserve">   0   </w:t>
            </w:r>
            <w:r w:rsidRPr="00ED0B78">
              <w:rPr>
                <w:rFonts w:ascii="Arial" w:hAnsi="Arial" w:cs="Arial"/>
                <w:color w:val="000000" w:themeColor="text1"/>
                <w:sz w:val="15"/>
                <w:szCs w:val="15"/>
                <w:lang w:val="es-ES_tradnl"/>
              </w:rPr>
              <w:t xml:space="preserve"> (2012)  1.1E </w:t>
            </w:r>
            <w:r w:rsidRPr="00ED0B78">
              <w:rPr>
                <w:rFonts w:ascii="Arial" w:hAnsi="Arial" w:cs="Arial"/>
                <w:color w:val="000000" w:themeColor="text1"/>
                <w:sz w:val="15"/>
                <w:szCs w:val="15"/>
                <w:u w:val="single"/>
                <w:lang w:val="es-ES_tradnl"/>
              </w:rPr>
              <w:t xml:space="preserve">   12   </w:t>
            </w:r>
            <w:r w:rsidRPr="00ED0B78">
              <w:rPr>
                <w:rFonts w:ascii="Arial" w:hAnsi="Arial" w:cs="Arial"/>
                <w:color w:val="000000" w:themeColor="text1"/>
                <w:sz w:val="15"/>
                <w:szCs w:val="15"/>
                <w:lang w:val="es-ES_tradnl"/>
              </w:rPr>
              <w:t xml:space="preserve"> (2013)</w:t>
            </w:r>
          </w:p>
          <w:p w14:paraId="347CBA2A" w14:textId="77777777" w:rsidR="00ED0B78" w:rsidRPr="00ED0B78" w:rsidRDefault="00ED0B78" w:rsidP="00C211DB">
            <w:pPr>
              <w:tabs>
                <w:tab w:val="left" w:pos="312"/>
              </w:tabs>
              <w:rPr>
                <w:rFonts w:ascii="Arial" w:hAnsi="Arial" w:cs="Arial"/>
                <w:color w:val="000000" w:themeColor="text1"/>
                <w:sz w:val="15"/>
                <w:szCs w:val="15"/>
                <w:lang w:val="es-ES_tradnl"/>
              </w:rPr>
            </w:pPr>
          </w:p>
          <w:p w14:paraId="2FFEBB12"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1.4) Ley de Disposiciones para el Fortalecimiento del Sistema Tributario y El Combate a la Defraudación y al Contrabando, aprobada.</w:t>
            </w:r>
          </w:p>
          <w:p w14:paraId="5A5B64E6"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1.1I</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(2012)  1.1E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7F3AB0B4" w14:textId="77777777" w:rsidR="00ED0B78" w:rsidRPr="00ED0B78" w:rsidRDefault="00ED0B78" w:rsidP="00C211DB">
            <w:pPr>
              <w:tabs>
                <w:tab w:val="left" w:pos="312"/>
              </w:tabs>
              <w:rPr>
                <w:rFonts w:ascii="Arial" w:hAnsi="Arial" w:cs="Arial"/>
                <w:color w:val="000000" w:themeColor="text1"/>
                <w:sz w:val="15"/>
                <w:szCs w:val="15"/>
                <w:lang w:val="es-ES_tradnl"/>
              </w:rPr>
            </w:pPr>
          </w:p>
          <w:p w14:paraId="0999F1D7"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1.5) Reglamentación de la Ley de Actualización Tributaria y la Ley de Disposiciones para el Fortalecimiento del Sistema Tributario y El Combate a la Defraudación y al Contrabando, elaborado.</w:t>
            </w:r>
          </w:p>
          <w:p w14:paraId="46066BC4" w14:textId="17B2BBD6" w:rsidR="00ED0B78" w:rsidRPr="00ED0B78" w:rsidRDefault="00ED0B78" w:rsidP="00ED0B78">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1.1I</w:t>
            </w:r>
            <w:r w:rsidRPr="00ED0B78">
              <w:rPr>
                <w:rFonts w:ascii="Arial" w:hAnsi="Arial" w:cs="Arial"/>
                <w:color w:val="000000" w:themeColor="text1"/>
                <w:sz w:val="15"/>
                <w:szCs w:val="15"/>
                <w:u w:val="single"/>
                <w:lang w:val="es-ES_tradnl"/>
              </w:rPr>
              <w:t xml:space="preserve">   0   </w:t>
            </w:r>
            <w:r w:rsidRPr="00ED0B78">
              <w:rPr>
                <w:rFonts w:ascii="Arial" w:hAnsi="Arial" w:cs="Arial"/>
                <w:color w:val="000000" w:themeColor="text1"/>
                <w:sz w:val="15"/>
                <w:szCs w:val="15"/>
                <w:lang w:val="es-ES_tradnl"/>
              </w:rPr>
              <w:t xml:space="preserve"> (2012)  1.1E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tc>
        <w:tc>
          <w:tcPr>
            <w:tcW w:w="2099" w:type="dxa"/>
            <w:tcBorders>
              <w:top w:val="single" w:sz="2" w:space="0" w:color="auto"/>
              <w:left w:val="single" w:sz="2" w:space="0" w:color="auto"/>
              <w:bottom w:val="single" w:sz="2" w:space="0" w:color="auto"/>
              <w:right w:val="single" w:sz="2" w:space="0" w:color="auto"/>
            </w:tcBorders>
          </w:tcPr>
          <w:p w14:paraId="7F610695" w14:textId="77777777" w:rsidR="00ED0B78" w:rsidRPr="00ED0B78" w:rsidRDefault="00ED0B78" w:rsidP="00C211DB">
            <w:pPr>
              <w:jc w:val="center"/>
              <w:rPr>
                <w:rFonts w:ascii="Arial" w:hAnsi="Arial" w:cs="Arial"/>
                <w:color w:val="000000" w:themeColor="text1"/>
                <w:sz w:val="15"/>
                <w:szCs w:val="15"/>
                <w:u w:val="single"/>
                <w:lang w:val="es-ES_tradnl"/>
              </w:rPr>
            </w:pPr>
          </w:p>
          <w:p w14:paraId="48466DCD" w14:textId="77777777" w:rsidR="00ED0B78" w:rsidRPr="00ED0B78" w:rsidRDefault="00ED0B78" w:rsidP="00C211DB">
            <w:pPr>
              <w:jc w:val="center"/>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Fin de Proyecto</w:t>
            </w:r>
          </w:p>
          <w:p w14:paraId="50EF2C0F" w14:textId="77777777" w:rsidR="00ED0B78" w:rsidRPr="00ED0B78" w:rsidRDefault="00ED0B78" w:rsidP="00C211DB">
            <w:pPr>
              <w:pStyle w:val="Heading8"/>
              <w:rPr>
                <w:rFonts w:ascii="Arial" w:hAnsi="Arial" w:cs="Arial"/>
                <w:color w:val="000000" w:themeColor="text1"/>
                <w:sz w:val="15"/>
                <w:szCs w:val="15"/>
                <w:lang w:val="es-BO"/>
              </w:rPr>
            </w:pPr>
            <w:proofErr w:type="spellStart"/>
            <w:r w:rsidRPr="00ED0B78">
              <w:rPr>
                <w:rFonts w:ascii="Arial" w:hAnsi="Arial" w:cs="Arial"/>
                <w:color w:val="000000" w:themeColor="text1"/>
                <w:sz w:val="15"/>
                <w:szCs w:val="15"/>
                <w:lang w:val="es-BO"/>
              </w:rPr>
              <w:t>Térmno</w:t>
            </w:r>
            <w:proofErr w:type="spellEnd"/>
            <w:r w:rsidRPr="00ED0B78">
              <w:rPr>
                <w:rFonts w:ascii="Arial" w:hAnsi="Arial" w:cs="Arial"/>
                <w:color w:val="000000" w:themeColor="text1"/>
                <w:sz w:val="15"/>
                <w:szCs w:val="15"/>
                <w:lang w:val="es-BO"/>
              </w:rPr>
              <w:t xml:space="preserve"> de Proyecto </w:t>
            </w:r>
          </w:p>
          <w:p w14:paraId="027A2C72"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1.1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2407C198"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1.2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589AB631"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1.3 </w:t>
            </w:r>
            <w:r w:rsidRPr="00ED0B78">
              <w:rPr>
                <w:rFonts w:ascii="Arial" w:hAnsi="Arial" w:cs="Arial"/>
                <w:color w:val="000000" w:themeColor="text1"/>
                <w:sz w:val="15"/>
                <w:szCs w:val="15"/>
                <w:u w:val="single"/>
                <w:lang w:val="es-ES_tradnl"/>
              </w:rPr>
              <w:t xml:space="preserve">  23</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424C5BB4"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1.4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2013)</w:t>
            </w:r>
          </w:p>
          <w:p w14:paraId="0666E36F" w14:textId="77777777" w:rsidR="00ED0B78" w:rsidRPr="00ED0B78" w:rsidRDefault="00ED0B78" w:rsidP="00C211DB">
            <w:pPr>
              <w:spacing w:before="40" w:after="40"/>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1.5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2013)</w:t>
            </w:r>
          </w:p>
        </w:tc>
      </w:tr>
      <w:tr w:rsidR="00ED0B78" w:rsidRPr="00ED0B78" w14:paraId="4DE0BA7E" w14:textId="77777777" w:rsidTr="00C211DB">
        <w:tc>
          <w:tcPr>
            <w:tcW w:w="3510" w:type="dxa"/>
            <w:tcBorders>
              <w:top w:val="single" w:sz="2" w:space="0" w:color="auto"/>
              <w:left w:val="single" w:sz="2" w:space="0" w:color="auto"/>
              <w:bottom w:val="single" w:sz="2" w:space="0" w:color="auto"/>
              <w:right w:val="single" w:sz="2" w:space="0" w:color="auto"/>
            </w:tcBorders>
          </w:tcPr>
          <w:p w14:paraId="270D5A73" w14:textId="77777777" w:rsidR="00ED0B78" w:rsidRPr="00ED0B78" w:rsidRDefault="00ED0B78" w:rsidP="00C211DB">
            <w:pPr>
              <w:spacing w:before="40" w:after="40"/>
              <w:rPr>
                <w:rFonts w:ascii="Arial" w:hAnsi="Arial" w:cs="Arial"/>
                <w:b/>
                <w:color w:val="000000" w:themeColor="text1"/>
                <w:sz w:val="15"/>
                <w:szCs w:val="15"/>
                <w:lang w:val="es-ES_tradnl"/>
              </w:rPr>
            </w:pPr>
            <w:r w:rsidRPr="00ED0B78">
              <w:rPr>
                <w:rFonts w:ascii="Arial" w:hAnsi="Arial" w:cs="Arial"/>
                <w:b/>
                <w:bCs/>
                <w:color w:val="000000" w:themeColor="text1"/>
                <w:sz w:val="15"/>
                <w:szCs w:val="15"/>
                <w:lang w:val="es-ES_tradnl"/>
              </w:rPr>
              <w:t>2</w:t>
            </w:r>
            <w:r w:rsidRPr="00ED0B78">
              <w:rPr>
                <w:rFonts w:ascii="Arial" w:hAnsi="Arial" w:cs="Arial"/>
                <w:b/>
                <w:color w:val="000000" w:themeColor="text1"/>
                <w:sz w:val="15"/>
                <w:szCs w:val="15"/>
                <w:lang w:val="es-ES_tradnl"/>
              </w:rPr>
              <w:t>. Regulación de las Finanzas Municipales</w:t>
            </w:r>
          </w:p>
          <w:p w14:paraId="4653C1FF" w14:textId="77777777" w:rsidR="00ED0B78" w:rsidRPr="00ED0B78" w:rsidRDefault="00ED0B78" w:rsidP="00C211DB">
            <w:pPr>
              <w:pStyle w:val="Heading9"/>
              <w:rPr>
                <w:rFonts w:ascii="Arial" w:hAnsi="Arial" w:cs="Arial"/>
                <w:color w:val="000000" w:themeColor="text1"/>
                <w:sz w:val="15"/>
                <w:szCs w:val="15"/>
                <w:lang w:val="es-ES_tradnl"/>
              </w:rPr>
            </w:pPr>
          </w:p>
        </w:tc>
        <w:tc>
          <w:tcPr>
            <w:tcW w:w="4021" w:type="dxa"/>
            <w:gridSpan w:val="2"/>
            <w:tcBorders>
              <w:top w:val="single" w:sz="2" w:space="0" w:color="auto"/>
              <w:left w:val="single" w:sz="2" w:space="0" w:color="auto"/>
              <w:bottom w:val="single" w:sz="2" w:space="0" w:color="auto"/>
              <w:right w:val="single" w:sz="2" w:space="0" w:color="auto"/>
            </w:tcBorders>
          </w:tcPr>
          <w:p w14:paraId="164633C6"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Productos Planeados</w:t>
            </w:r>
          </w:p>
          <w:p w14:paraId="1E3CE822"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Al Término </w:t>
            </w:r>
          </w:p>
          <w:p w14:paraId="21A2127B"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 xml:space="preserve">Línea de Base </w:t>
            </w: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 Intermedia</w:t>
            </w: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 del Proyecto</w:t>
            </w:r>
          </w:p>
          <w:p w14:paraId="61ABC003"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lastRenderedPageBreak/>
              <w:t>2.1) Dirección de Asistencia a la Administración Financiera Municipal (DAAFIM) en el Ministerio de Finanzas Públicas, implementada.</w:t>
            </w:r>
          </w:p>
          <w:p w14:paraId="14F2304C" w14:textId="77777777" w:rsidR="00ED0B78" w:rsidRPr="00544EDD" w:rsidRDefault="00ED0B78" w:rsidP="00C211DB">
            <w:pPr>
              <w:pStyle w:val="BodyText2"/>
              <w:tabs>
                <w:tab w:val="left" w:pos="312"/>
              </w:tabs>
              <w:rPr>
                <w:rFonts w:ascii="Arial" w:hAnsi="Arial" w:cs="Arial"/>
                <w:color w:val="000000" w:themeColor="text1"/>
                <w:sz w:val="15"/>
                <w:szCs w:val="15"/>
                <w:lang w:val="es-BO"/>
              </w:rPr>
            </w:pPr>
            <w:r w:rsidRPr="00544EDD">
              <w:rPr>
                <w:rFonts w:ascii="Arial" w:hAnsi="Arial" w:cs="Arial"/>
                <w:color w:val="000000" w:themeColor="text1"/>
                <w:sz w:val="15"/>
                <w:szCs w:val="15"/>
                <w:lang w:val="es-BO"/>
              </w:rPr>
              <w:t>B</w:t>
            </w:r>
            <w:r w:rsidRPr="00544EDD">
              <w:rPr>
                <w:rFonts w:ascii="Arial" w:hAnsi="Arial" w:cs="Arial"/>
                <w:color w:val="000000" w:themeColor="text1"/>
                <w:sz w:val="15"/>
                <w:szCs w:val="15"/>
                <w:u w:val="single"/>
                <w:lang w:val="es-BO"/>
              </w:rPr>
              <w:t xml:space="preserve">   0 </w:t>
            </w:r>
            <w:proofErr w:type="gramStart"/>
            <w:r w:rsidRPr="00544EDD">
              <w:rPr>
                <w:rFonts w:ascii="Arial" w:hAnsi="Arial" w:cs="Arial"/>
                <w:color w:val="000000" w:themeColor="text1"/>
                <w:sz w:val="15"/>
                <w:szCs w:val="15"/>
                <w:u w:val="single"/>
                <w:lang w:val="es-BO"/>
              </w:rPr>
              <w:t xml:space="preserve">  </w:t>
            </w:r>
            <w:r w:rsidRPr="00544EDD">
              <w:rPr>
                <w:rFonts w:ascii="Arial" w:hAnsi="Arial" w:cs="Arial"/>
                <w:color w:val="000000" w:themeColor="text1"/>
                <w:sz w:val="15"/>
                <w:szCs w:val="15"/>
                <w:lang w:val="es-BO"/>
              </w:rPr>
              <w:t xml:space="preserve"> (</w:t>
            </w:r>
            <w:proofErr w:type="gramEnd"/>
            <w:r w:rsidRPr="00544EDD">
              <w:rPr>
                <w:rFonts w:ascii="Arial" w:hAnsi="Arial" w:cs="Arial"/>
                <w:color w:val="000000" w:themeColor="text1"/>
                <w:sz w:val="15"/>
                <w:szCs w:val="15"/>
                <w:lang w:val="es-BO"/>
              </w:rPr>
              <w:t>2011)   2.1I</w:t>
            </w:r>
            <w:r w:rsidRPr="00544EDD">
              <w:rPr>
                <w:rFonts w:ascii="Arial" w:hAnsi="Arial" w:cs="Arial"/>
                <w:color w:val="000000" w:themeColor="text1"/>
                <w:sz w:val="15"/>
                <w:szCs w:val="15"/>
                <w:u w:val="single"/>
                <w:lang w:val="es-BO"/>
              </w:rPr>
              <w:t xml:space="preserve">   1   </w:t>
            </w:r>
            <w:r w:rsidRPr="00544EDD">
              <w:rPr>
                <w:rFonts w:ascii="Arial" w:hAnsi="Arial" w:cs="Arial"/>
                <w:color w:val="000000" w:themeColor="text1"/>
                <w:sz w:val="15"/>
                <w:szCs w:val="15"/>
                <w:lang w:val="es-BO"/>
              </w:rPr>
              <w:t xml:space="preserve"> (2012)  2.1E </w:t>
            </w:r>
            <w:r w:rsidRPr="00544EDD">
              <w:rPr>
                <w:rFonts w:ascii="Arial" w:hAnsi="Arial" w:cs="Arial"/>
                <w:color w:val="000000" w:themeColor="text1"/>
                <w:sz w:val="15"/>
                <w:szCs w:val="15"/>
                <w:u w:val="single"/>
                <w:lang w:val="es-BO"/>
              </w:rPr>
              <w:t xml:space="preserve">   1   </w:t>
            </w:r>
            <w:r w:rsidRPr="00544EDD">
              <w:rPr>
                <w:rFonts w:ascii="Arial" w:hAnsi="Arial" w:cs="Arial"/>
                <w:color w:val="000000" w:themeColor="text1"/>
                <w:sz w:val="15"/>
                <w:szCs w:val="15"/>
                <w:lang w:val="es-BO"/>
              </w:rPr>
              <w:t xml:space="preserve"> (2013)</w:t>
            </w:r>
          </w:p>
          <w:p w14:paraId="2A339B18" w14:textId="77777777" w:rsidR="00ED0B78" w:rsidRPr="00544EDD" w:rsidRDefault="00ED0B78" w:rsidP="00C211DB">
            <w:pPr>
              <w:pStyle w:val="BodyText2"/>
              <w:tabs>
                <w:tab w:val="left" w:pos="312"/>
              </w:tabs>
              <w:rPr>
                <w:rFonts w:ascii="Arial" w:hAnsi="Arial" w:cs="Arial"/>
                <w:color w:val="000000" w:themeColor="text1"/>
                <w:sz w:val="15"/>
                <w:szCs w:val="15"/>
                <w:lang w:val="es-BO"/>
              </w:rPr>
            </w:pPr>
          </w:p>
          <w:p w14:paraId="18D1A623" w14:textId="77777777" w:rsidR="00ED0B78" w:rsidRPr="00544EDD" w:rsidRDefault="00ED0B78" w:rsidP="00C211DB">
            <w:pPr>
              <w:tabs>
                <w:tab w:val="left" w:pos="312"/>
              </w:tabs>
              <w:rPr>
                <w:rFonts w:ascii="Arial" w:hAnsi="Arial" w:cs="Arial"/>
                <w:color w:val="000000" w:themeColor="text1"/>
                <w:sz w:val="15"/>
                <w:szCs w:val="15"/>
                <w:lang w:val="es-BO"/>
              </w:rPr>
            </w:pPr>
            <w:r w:rsidRPr="00544EDD">
              <w:rPr>
                <w:rFonts w:ascii="Arial" w:hAnsi="Arial" w:cs="Arial"/>
                <w:color w:val="000000" w:themeColor="text1"/>
                <w:sz w:val="15"/>
                <w:szCs w:val="15"/>
                <w:lang w:val="es-BO"/>
              </w:rPr>
              <w:t>2.2) Normativa y Manual de la DAAFIM, elaborado.</w:t>
            </w:r>
          </w:p>
          <w:p w14:paraId="3DDF4BF4" w14:textId="77777777" w:rsidR="00ED0B78" w:rsidRPr="00544EDD" w:rsidRDefault="00ED0B78" w:rsidP="00C211DB">
            <w:pPr>
              <w:pStyle w:val="BodyText2"/>
              <w:tabs>
                <w:tab w:val="left" w:pos="312"/>
              </w:tabs>
              <w:rPr>
                <w:rFonts w:ascii="Arial" w:hAnsi="Arial" w:cs="Arial"/>
                <w:color w:val="000000" w:themeColor="text1"/>
                <w:sz w:val="15"/>
                <w:szCs w:val="15"/>
                <w:lang w:val="es-BO"/>
              </w:rPr>
            </w:pPr>
            <w:r w:rsidRPr="00544EDD">
              <w:rPr>
                <w:rFonts w:ascii="Arial" w:hAnsi="Arial" w:cs="Arial"/>
                <w:color w:val="000000" w:themeColor="text1"/>
                <w:sz w:val="15"/>
                <w:szCs w:val="15"/>
                <w:lang w:val="es-BO"/>
              </w:rPr>
              <w:t>B</w:t>
            </w:r>
            <w:r w:rsidRPr="00544EDD">
              <w:rPr>
                <w:rFonts w:ascii="Arial" w:hAnsi="Arial" w:cs="Arial"/>
                <w:color w:val="000000" w:themeColor="text1"/>
                <w:sz w:val="15"/>
                <w:szCs w:val="15"/>
                <w:u w:val="single"/>
                <w:lang w:val="es-BO"/>
              </w:rPr>
              <w:t xml:space="preserve">   0 </w:t>
            </w:r>
            <w:proofErr w:type="gramStart"/>
            <w:r w:rsidRPr="00544EDD">
              <w:rPr>
                <w:rFonts w:ascii="Arial" w:hAnsi="Arial" w:cs="Arial"/>
                <w:color w:val="000000" w:themeColor="text1"/>
                <w:sz w:val="15"/>
                <w:szCs w:val="15"/>
                <w:u w:val="single"/>
                <w:lang w:val="es-BO"/>
              </w:rPr>
              <w:t xml:space="preserve">  </w:t>
            </w:r>
            <w:r w:rsidRPr="00544EDD">
              <w:rPr>
                <w:rFonts w:ascii="Arial" w:hAnsi="Arial" w:cs="Arial"/>
                <w:color w:val="000000" w:themeColor="text1"/>
                <w:sz w:val="15"/>
                <w:szCs w:val="15"/>
                <w:lang w:val="es-BO"/>
              </w:rPr>
              <w:t xml:space="preserve"> (</w:t>
            </w:r>
            <w:proofErr w:type="gramEnd"/>
            <w:r w:rsidRPr="00544EDD">
              <w:rPr>
                <w:rFonts w:ascii="Arial" w:hAnsi="Arial" w:cs="Arial"/>
                <w:color w:val="000000" w:themeColor="text1"/>
                <w:sz w:val="15"/>
                <w:szCs w:val="15"/>
                <w:lang w:val="es-BO"/>
              </w:rPr>
              <w:t>2011)   2.2I</w:t>
            </w:r>
            <w:r w:rsidRPr="00544EDD">
              <w:rPr>
                <w:rFonts w:ascii="Arial" w:hAnsi="Arial" w:cs="Arial"/>
                <w:color w:val="000000" w:themeColor="text1"/>
                <w:sz w:val="15"/>
                <w:szCs w:val="15"/>
                <w:u w:val="single"/>
                <w:lang w:val="es-BO"/>
              </w:rPr>
              <w:t xml:space="preserve">   0   </w:t>
            </w:r>
            <w:r w:rsidRPr="00544EDD">
              <w:rPr>
                <w:rFonts w:ascii="Arial" w:hAnsi="Arial" w:cs="Arial"/>
                <w:color w:val="000000" w:themeColor="text1"/>
                <w:sz w:val="15"/>
                <w:szCs w:val="15"/>
                <w:lang w:val="es-BO"/>
              </w:rPr>
              <w:t xml:space="preserve"> (2012)  2.2E </w:t>
            </w:r>
            <w:r w:rsidRPr="00544EDD">
              <w:rPr>
                <w:rFonts w:ascii="Arial" w:hAnsi="Arial" w:cs="Arial"/>
                <w:color w:val="000000" w:themeColor="text1"/>
                <w:sz w:val="15"/>
                <w:szCs w:val="15"/>
                <w:u w:val="single"/>
                <w:lang w:val="es-BO"/>
              </w:rPr>
              <w:t xml:space="preserve">   1   </w:t>
            </w:r>
            <w:r w:rsidRPr="00544EDD">
              <w:rPr>
                <w:rFonts w:ascii="Arial" w:hAnsi="Arial" w:cs="Arial"/>
                <w:color w:val="000000" w:themeColor="text1"/>
                <w:sz w:val="15"/>
                <w:szCs w:val="15"/>
                <w:lang w:val="es-BO"/>
              </w:rPr>
              <w:t xml:space="preserve"> (2013)</w:t>
            </w:r>
          </w:p>
          <w:p w14:paraId="3A71B52B" w14:textId="77777777" w:rsidR="00ED0B78" w:rsidRPr="00544EDD" w:rsidRDefault="00ED0B78" w:rsidP="00C211DB">
            <w:pPr>
              <w:tabs>
                <w:tab w:val="left" w:pos="312"/>
              </w:tabs>
              <w:rPr>
                <w:rFonts w:ascii="Arial" w:hAnsi="Arial" w:cs="Arial"/>
                <w:color w:val="000000" w:themeColor="text1"/>
                <w:sz w:val="15"/>
                <w:szCs w:val="15"/>
                <w:lang w:val="es-BO"/>
              </w:rPr>
            </w:pPr>
          </w:p>
          <w:p w14:paraId="3740112E"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2.3) Normas y manuales de procedimientos de las áreas de Crédito y Cartera de la Dirección Administrativa y Financiera del INFOM, elaborados</w:t>
            </w:r>
          </w:p>
          <w:p w14:paraId="2FDFF465"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2.3I</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(2012)  1.3E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3DAF82A2" w14:textId="77777777" w:rsidR="00ED0B78" w:rsidRPr="00ED0B78" w:rsidRDefault="00ED0B78" w:rsidP="00C211DB">
            <w:pPr>
              <w:tabs>
                <w:tab w:val="left" w:pos="312"/>
              </w:tabs>
              <w:rPr>
                <w:rFonts w:ascii="Arial" w:hAnsi="Arial" w:cs="Arial"/>
                <w:color w:val="000000" w:themeColor="text1"/>
                <w:sz w:val="15"/>
                <w:szCs w:val="15"/>
                <w:lang w:val="es-ES_tradnl"/>
              </w:rPr>
            </w:pPr>
          </w:p>
          <w:p w14:paraId="113366AF"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2.4) Metodología para cuantificar el stock de la deuda municipal, elaborado.</w:t>
            </w:r>
          </w:p>
          <w:p w14:paraId="7BF6F547"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2.4I</w:t>
            </w:r>
            <w:r w:rsidRPr="00ED0B78">
              <w:rPr>
                <w:rFonts w:ascii="Arial" w:hAnsi="Arial" w:cs="Arial"/>
                <w:color w:val="000000" w:themeColor="text1"/>
                <w:sz w:val="15"/>
                <w:szCs w:val="15"/>
                <w:u w:val="single"/>
                <w:lang w:val="es-ES_tradnl"/>
              </w:rPr>
              <w:t xml:space="preserve">   0   </w:t>
            </w:r>
            <w:r w:rsidRPr="00ED0B78">
              <w:rPr>
                <w:rFonts w:ascii="Arial" w:hAnsi="Arial" w:cs="Arial"/>
                <w:color w:val="000000" w:themeColor="text1"/>
                <w:sz w:val="15"/>
                <w:szCs w:val="15"/>
                <w:lang w:val="es-ES_tradnl"/>
              </w:rPr>
              <w:t xml:space="preserve"> (2012)  2.4E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4C2C9D5A" w14:textId="77777777" w:rsidR="00ED0B78" w:rsidRPr="00ED0B78" w:rsidRDefault="00ED0B78" w:rsidP="00C211DB">
            <w:pPr>
              <w:tabs>
                <w:tab w:val="left" w:pos="312"/>
              </w:tabs>
              <w:rPr>
                <w:rFonts w:ascii="Arial" w:hAnsi="Arial" w:cs="Arial"/>
                <w:color w:val="000000" w:themeColor="text1"/>
                <w:sz w:val="15"/>
                <w:szCs w:val="15"/>
                <w:lang w:val="es-ES_tradnl"/>
              </w:rPr>
            </w:pPr>
          </w:p>
        </w:tc>
        <w:tc>
          <w:tcPr>
            <w:tcW w:w="2099" w:type="dxa"/>
            <w:tcBorders>
              <w:top w:val="single" w:sz="2" w:space="0" w:color="auto"/>
              <w:left w:val="single" w:sz="2" w:space="0" w:color="auto"/>
              <w:bottom w:val="single" w:sz="2" w:space="0" w:color="auto"/>
              <w:right w:val="single" w:sz="2" w:space="0" w:color="auto"/>
            </w:tcBorders>
          </w:tcPr>
          <w:p w14:paraId="669D6993" w14:textId="77777777" w:rsidR="00ED0B78" w:rsidRPr="00ED0B78" w:rsidRDefault="00ED0B78" w:rsidP="00C211DB">
            <w:pPr>
              <w:jc w:val="center"/>
              <w:rPr>
                <w:rFonts w:ascii="Arial" w:hAnsi="Arial" w:cs="Arial"/>
                <w:color w:val="000000" w:themeColor="text1"/>
                <w:sz w:val="15"/>
                <w:szCs w:val="15"/>
                <w:u w:val="single"/>
                <w:lang w:val="es-ES_tradnl"/>
              </w:rPr>
            </w:pPr>
          </w:p>
          <w:p w14:paraId="3FE80B1D" w14:textId="77777777" w:rsidR="00ED0B78" w:rsidRPr="00ED0B78" w:rsidRDefault="00ED0B78" w:rsidP="00C211DB">
            <w:pPr>
              <w:jc w:val="center"/>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Fin de Proyecto</w:t>
            </w:r>
          </w:p>
          <w:p w14:paraId="43FF21CA" w14:textId="77777777" w:rsidR="00ED0B78" w:rsidRPr="00ED0B78" w:rsidRDefault="00ED0B78" w:rsidP="00C211DB">
            <w:pPr>
              <w:jc w:val="center"/>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Término de Proyecto</w:t>
            </w:r>
          </w:p>
          <w:p w14:paraId="2DC01C73"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2.1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3E1027FE"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lastRenderedPageBreak/>
              <w:t xml:space="preserve">        2.2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0CDB084E"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2.3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49DA4152"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2.4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2013)</w:t>
            </w:r>
          </w:p>
          <w:p w14:paraId="5508CE57" w14:textId="77777777" w:rsidR="00ED0B78" w:rsidRPr="00ED0B78" w:rsidRDefault="00ED0B78" w:rsidP="00C211DB">
            <w:pPr>
              <w:tabs>
                <w:tab w:val="left" w:pos="312"/>
              </w:tabs>
              <w:rPr>
                <w:rFonts w:ascii="Arial" w:hAnsi="Arial" w:cs="Arial"/>
                <w:color w:val="000000" w:themeColor="text1"/>
                <w:sz w:val="15"/>
                <w:szCs w:val="15"/>
                <w:lang w:val="es-ES_tradnl"/>
              </w:rPr>
            </w:pPr>
          </w:p>
        </w:tc>
      </w:tr>
      <w:tr w:rsidR="00ED0B78" w:rsidRPr="00ED0B78" w14:paraId="434CB7DD" w14:textId="77777777" w:rsidTr="00C211DB">
        <w:tc>
          <w:tcPr>
            <w:tcW w:w="3510" w:type="dxa"/>
            <w:tcBorders>
              <w:top w:val="single" w:sz="2" w:space="0" w:color="auto"/>
              <w:left w:val="single" w:sz="2" w:space="0" w:color="auto"/>
              <w:bottom w:val="single" w:sz="2" w:space="0" w:color="auto"/>
              <w:right w:val="single" w:sz="2" w:space="0" w:color="auto"/>
            </w:tcBorders>
          </w:tcPr>
          <w:p w14:paraId="415F5A47" w14:textId="77777777" w:rsidR="00ED0B78" w:rsidRPr="00ED0B78" w:rsidRDefault="00ED0B78" w:rsidP="00C211DB">
            <w:pPr>
              <w:spacing w:before="40" w:after="40"/>
              <w:rPr>
                <w:rFonts w:ascii="Arial" w:hAnsi="Arial" w:cs="Arial"/>
                <w:b/>
                <w:color w:val="000000" w:themeColor="text1"/>
                <w:sz w:val="15"/>
                <w:szCs w:val="15"/>
                <w:lang w:val="es-ES_tradnl"/>
              </w:rPr>
            </w:pPr>
            <w:r w:rsidRPr="00ED0B78">
              <w:rPr>
                <w:rFonts w:ascii="Arial" w:hAnsi="Arial" w:cs="Arial"/>
                <w:b/>
                <w:bCs/>
                <w:color w:val="000000" w:themeColor="text1"/>
                <w:sz w:val="15"/>
                <w:szCs w:val="15"/>
                <w:lang w:val="es-ES_tradnl"/>
              </w:rPr>
              <w:lastRenderedPageBreak/>
              <w:t>3</w:t>
            </w:r>
            <w:r w:rsidRPr="00ED0B78">
              <w:rPr>
                <w:rFonts w:ascii="Arial" w:hAnsi="Arial" w:cs="Arial"/>
                <w:b/>
                <w:color w:val="000000" w:themeColor="text1"/>
                <w:sz w:val="15"/>
                <w:szCs w:val="15"/>
                <w:lang w:val="es-ES_tradnl"/>
              </w:rPr>
              <w:t>. Programación Fiscal de Mediano Plazo y Gestión por Resultados</w:t>
            </w:r>
          </w:p>
          <w:p w14:paraId="02171BDB" w14:textId="77777777" w:rsidR="00ED0B78" w:rsidRPr="00ED0B78" w:rsidRDefault="00ED0B78" w:rsidP="00C211DB">
            <w:pPr>
              <w:spacing w:before="40" w:after="40"/>
              <w:rPr>
                <w:rFonts w:ascii="Arial" w:hAnsi="Arial" w:cs="Arial"/>
                <w:color w:val="000000" w:themeColor="text1"/>
                <w:sz w:val="15"/>
                <w:szCs w:val="15"/>
                <w:lang w:val="es-ES_tradnl"/>
              </w:rPr>
            </w:pPr>
          </w:p>
        </w:tc>
        <w:tc>
          <w:tcPr>
            <w:tcW w:w="4021" w:type="dxa"/>
            <w:gridSpan w:val="2"/>
            <w:tcBorders>
              <w:top w:val="single" w:sz="2" w:space="0" w:color="auto"/>
              <w:left w:val="single" w:sz="2" w:space="0" w:color="auto"/>
              <w:bottom w:val="single" w:sz="2" w:space="0" w:color="auto"/>
              <w:right w:val="single" w:sz="2" w:space="0" w:color="auto"/>
            </w:tcBorders>
          </w:tcPr>
          <w:p w14:paraId="4B944DAA"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Productos Planeados</w:t>
            </w:r>
          </w:p>
          <w:p w14:paraId="137459F1"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Al Término </w:t>
            </w:r>
          </w:p>
          <w:p w14:paraId="71AB1B3C" w14:textId="77777777" w:rsidR="00ED0B78" w:rsidRPr="00ED0B78" w:rsidRDefault="00ED0B78" w:rsidP="00C211DB">
            <w:pPr>
              <w:tabs>
                <w:tab w:val="left" w:pos="312"/>
              </w:tabs>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 xml:space="preserve">Línea de Base </w:t>
            </w: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 Intermedia</w:t>
            </w:r>
            <w:r w:rsidRPr="00ED0B78">
              <w:rPr>
                <w:rFonts w:ascii="Arial" w:hAnsi="Arial" w:cs="Arial"/>
                <w:color w:val="000000" w:themeColor="text1"/>
                <w:sz w:val="15"/>
                <w:szCs w:val="15"/>
                <w:lang w:val="es-ES_tradnl"/>
              </w:rPr>
              <w:t xml:space="preserve">           </w:t>
            </w:r>
            <w:r w:rsidRPr="00ED0B78">
              <w:rPr>
                <w:rFonts w:ascii="Arial" w:hAnsi="Arial" w:cs="Arial"/>
                <w:color w:val="000000" w:themeColor="text1"/>
                <w:sz w:val="15"/>
                <w:szCs w:val="15"/>
                <w:u w:val="single"/>
                <w:lang w:val="es-ES_tradnl"/>
              </w:rPr>
              <w:t xml:space="preserve"> del Proyecto</w:t>
            </w:r>
          </w:p>
          <w:p w14:paraId="4C40BED6"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3.1) Informe del Desempeño de la Gestión de las Finanzas Públicas (PEFA por sus siglas en inglés) por parte de Consultor Independiente, actualizado.</w:t>
            </w:r>
          </w:p>
          <w:p w14:paraId="6AE60343"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3.1I</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(2012)  3.1E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15181448"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p>
          <w:p w14:paraId="57CEDA35"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3.2) Marco de Política Fiscal de Mediano Plazo (3 años), elaborado.</w:t>
            </w:r>
          </w:p>
          <w:p w14:paraId="35960B1B"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B</w:t>
            </w:r>
            <w:r w:rsidRPr="00ED0B78">
              <w:rPr>
                <w:rFonts w:ascii="Arial" w:hAnsi="Arial" w:cs="Arial"/>
                <w:color w:val="000000" w:themeColor="text1"/>
                <w:sz w:val="15"/>
                <w:szCs w:val="15"/>
                <w:u w:val="single"/>
                <w:lang w:val="es-ES_tradnl"/>
              </w:rPr>
              <w:t xml:space="preserve">   0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2011)   3.2I</w:t>
            </w:r>
            <w:r w:rsidRPr="00ED0B78">
              <w:rPr>
                <w:rFonts w:ascii="Arial" w:hAnsi="Arial" w:cs="Arial"/>
                <w:color w:val="000000" w:themeColor="text1"/>
                <w:sz w:val="15"/>
                <w:szCs w:val="15"/>
                <w:u w:val="single"/>
                <w:lang w:val="es-ES_tradnl"/>
              </w:rPr>
              <w:t xml:space="preserve">   0   </w:t>
            </w:r>
            <w:r w:rsidRPr="00ED0B78">
              <w:rPr>
                <w:rFonts w:ascii="Arial" w:hAnsi="Arial" w:cs="Arial"/>
                <w:color w:val="000000" w:themeColor="text1"/>
                <w:sz w:val="15"/>
                <w:szCs w:val="15"/>
                <w:lang w:val="es-ES_tradnl"/>
              </w:rPr>
              <w:t xml:space="preserve"> (2012)  3.2E </w:t>
            </w:r>
            <w:r w:rsidRPr="00ED0B78">
              <w:rPr>
                <w:rFonts w:ascii="Arial" w:hAnsi="Arial" w:cs="Arial"/>
                <w:color w:val="000000" w:themeColor="text1"/>
                <w:sz w:val="15"/>
                <w:szCs w:val="15"/>
                <w:u w:val="single"/>
                <w:lang w:val="es-ES_tradnl"/>
              </w:rPr>
              <w:t xml:space="preserve">   1   </w:t>
            </w:r>
            <w:r w:rsidRPr="00ED0B78">
              <w:rPr>
                <w:rFonts w:ascii="Arial" w:hAnsi="Arial" w:cs="Arial"/>
                <w:color w:val="000000" w:themeColor="text1"/>
                <w:sz w:val="15"/>
                <w:szCs w:val="15"/>
                <w:lang w:val="es-ES_tradnl"/>
              </w:rPr>
              <w:t xml:space="preserve"> (2013)</w:t>
            </w:r>
          </w:p>
          <w:p w14:paraId="5834DB35"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p>
        </w:tc>
        <w:tc>
          <w:tcPr>
            <w:tcW w:w="2099" w:type="dxa"/>
            <w:tcBorders>
              <w:top w:val="single" w:sz="2" w:space="0" w:color="auto"/>
              <w:left w:val="single" w:sz="2" w:space="0" w:color="auto"/>
              <w:bottom w:val="single" w:sz="2" w:space="0" w:color="auto"/>
              <w:right w:val="single" w:sz="2" w:space="0" w:color="auto"/>
            </w:tcBorders>
          </w:tcPr>
          <w:p w14:paraId="7ECA5645" w14:textId="77777777" w:rsidR="00ED0B78" w:rsidRPr="00ED0B78" w:rsidRDefault="00ED0B78" w:rsidP="00C211DB">
            <w:pPr>
              <w:jc w:val="center"/>
              <w:rPr>
                <w:rFonts w:ascii="Arial" w:hAnsi="Arial" w:cs="Arial"/>
                <w:color w:val="000000" w:themeColor="text1"/>
                <w:sz w:val="15"/>
                <w:szCs w:val="15"/>
                <w:u w:val="single"/>
                <w:lang w:val="es-ES_tradnl"/>
              </w:rPr>
            </w:pPr>
          </w:p>
          <w:p w14:paraId="335C82FD" w14:textId="77777777" w:rsidR="00ED0B78" w:rsidRPr="00ED0B78" w:rsidRDefault="00ED0B78" w:rsidP="00C211DB">
            <w:pPr>
              <w:jc w:val="center"/>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Fin de Proyecto</w:t>
            </w:r>
          </w:p>
          <w:p w14:paraId="7F19E95D" w14:textId="77777777" w:rsidR="00ED0B78" w:rsidRPr="00ED0B78" w:rsidRDefault="00ED0B78" w:rsidP="00C211DB">
            <w:pPr>
              <w:jc w:val="center"/>
              <w:rPr>
                <w:rFonts w:ascii="Arial" w:hAnsi="Arial" w:cs="Arial"/>
                <w:color w:val="000000" w:themeColor="text1"/>
                <w:sz w:val="15"/>
                <w:szCs w:val="15"/>
                <w:u w:val="single"/>
                <w:lang w:val="es-ES_tradnl"/>
              </w:rPr>
            </w:pPr>
            <w:r w:rsidRPr="00ED0B78">
              <w:rPr>
                <w:rFonts w:ascii="Arial" w:hAnsi="Arial" w:cs="Arial"/>
                <w:color w:val="000000" w:themeColor="text1"/>
                <w:sz w:val="15"/>
                <w:szCs w:val="15"/>
                <w:u w:val="single"/>
                <w:lang w:val="es-ES_tradnl"/>
              </w:rPr>
              <w:t>Término de Proyecto</w:t>
            </w:r>
          </w:p>
          <w:p w14:paraId="201AA39A" w14:textId="77777777" w:rsidR="00ED0B78" w:rsidRPr="00ED0B78" w:rsidRDefault="00ED0B78" w:rsidP="00C211DB">
            <w:pPr>
              <w:pStyle w:val="BodyText2"/>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3.1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39030684" w14:textId="77777777" w:rsidR="00ED0B78" w:rsidRPr="00ED0B78" w:rsidRDefault="00ED0B78" w:rsidP="00C211DB">
            <w:pPr>
              <w:tabs>
                <w:tab w:val="left" w:pos="312"/>
              </w:tabs>
              <w:rPr>
                <w:rFonts w:ascii="Arial" w:hAnsi="Arial" w:cs="Arial"/>
                <w:color w:val="000000" w:themeColor="text1"/>
                <w:sz w:val="15"/>
                <w:szCs w:val="15"/>
                <w:lang w:val="es-ES_tradnl"/>
              </w:rPr>
            </w:pPr>
            <w:r w:rsidRPr="00ED0B78">
              <w:rPr>
                <w:rFonts w:ascii="Arial" w:hAnsi="Arial" w:cs="Arial"/>
                <w:color w:val="000000" w:themeColor="text1"/>
                <w:sz w:val="15"/>
                <w:szCs w:val="15"/>
                <w:lang w:val="es-ES_tradnl"/>
              </w:rPr>
              <w:t xml:space="preserve">        3.2 </w:t>
            </w:r>
            <w:r w:rsidRPr="00ED0B78">
              <w:rPr>
                <w:rFonts w:ascii="Arial" w:hAnsi="Arial" w:cs="Arial"/>
                <w:color w:val="000000" w:themeColor="text1"/>
                <w:sz w:val="15"/>
                <w:szCs w:val="15"/>
                <w:u w:val="single"/>
                <w:lang w:val="es-ES_tradnl"/>
              </w:rPr>
              <w:t xml:space="preserve">   1  </w:t>
            </w:r>
            <w:proofErr w:type="gramStart"/>
            <w:r w:rsidRPr="00ED0B78">
              <w:rPr>
                <w:rFonts w:ascii="Arial" w:hAnsi="Arial" w:cs="Arial"/>
                <w:color w:val="000000" w:themeColor="text1"/>
                <w:sz w:val="15"/>
                <w:szCs w:val="15"/>
                <w:u w:val="single"/>
                <w:lang w:val="es-ES_tradnl"/>
              </w:rPr>
              <w:t xml:space="preserve">  </w:t>
            </w:r>
            <w:r w:rsidRPr="00ED0B78">
              <w:rPr>
                <w:rFonts w:ascii="Arial" w:hAnsi="Arial" w:cs="Arial"/>
                <w:color w:val="000000" w:themeColor="text1"/>
                <w:sz w:val="15"/>
                <w:szCs w:val="15"/>
                <w:lang w:val="es-ES_tradnl"/>
              </w:rPr>
              <w:t xml:space="preserve"> (</w:t>
            </w:r>
            <w:proofErr w:type="gramEnd"/>
            <w:r w:rsidRPr="00ED0B78">
              <w:rPr>
                <w:rFonts w:ascii="Arial" w:hAnsi="Arial" w:cs="Arial"/>
                <w:color w:val="000000" w:themeColor="text1"/>
                <w:sz w:val="15"/>
                <w:szCs w:val="15"/>
                <w:lang w:val="es-ES_tradnl"/>
              </w:rPr>
              <w:t xml:space="preserve">2013)  </w:t>
            </w:r>
          </w:p>
          <w:p w14:paraId="441DB8F0" w14:textId="77777777" w:rsidR="00ED0B78" w:rsidRPr="00ED0B78" w:rsidRDefault="00ED0B78" w:rsidP="00C211DB">
            <w:pPr>
              <w:tabs>
                <w:tab w:val="left" w:pos="312"/>
              </w:tabs>
              <w:rPr>
                <w:rFonts w:ascii="Arial" w:hAnsi="Arial" w:cs="Arial"/>
                <w:color w:val="000000" w:themeColor="text1"/>
                <w:sz w:val="15"/>
                <w:szCs w:val="15"/>
                <w:lang w:val="es-ES_tradnl"/>
              </w:rPr>
            </w:pPr>
          </w:p>
        </w:tc>
      </w:tr>
    </w:tbl>
    <w:p w14:paraId="34C80B44" w14:textId="3F45B603" w:rsidR="0011593C" w:rsidRDefault="00954DC7" w:rsidP="00ED0B78">
      <w:pPr>
        <w:rPr>
          <w:rFonts w:ascii="Arial" w:hAnsi="Arial" w:cs="Arial"/>
          <w:color w:val="000000" w:themeColor="text1"/>
          <w:sz w:val="15"/>
          <w:szCs w:val="15"/>
        </w:rPr>
      </w:pPr>
    </w:p>
    <w:p w14:paraId="7064575F" w14:textId="77777777" w:rsidR="00954DC7" w:rsidRDefault="00954DC7" w:rsidP="00ED0B78">
      <w:pPr>
        <w:rPr>
          <w:rFonts w:ascii="Arial" w:hAnsi="Arial" w:cs="Arial"/>
          <w:color w:val="000000" w:themeColor="text1"/>
          <w:sz w:val="15"/>
          <w:szCs w:val="15"/>
        </w:rPr>
      </w:pPr>
    </w:p>
    <w:p w14:paraId="71BE2295" w14:textId="184763F1" w:rsidR="00954DC7" w:rsidRPr="00ED0B78" w:rsidRDefault="00954DC7" w:rsidP="00954DC7">
      <w:pPr>
        <w:numPr>
          <w:ilvl w:val="0"/>
          <w:numId w:val="2"/>
        </w:numPr>
        <w:autoSpaceDE w:val="0"/>
        <w:autoSpaceDN w:val="0"/>
        <w:adjustRightInd w:val="0"/>
        <w:ind w:left="450" w:hanging="450"/>
        <w:jc w:val="both"/>
        <w:rPr>
          <w:rFonts w:ascii="Arial" w:hAnsi="Arial" w:cs="Arial"/>
          <w:color w:val="000000" w:themeColor="text1"/>
          <w:lang w:val="es-GT"/>
        </w:rPr>
      </w:pPr>
      <w:r>
        <w:rPr>
          <w:rFonts w:ascii="Arial" w:hAnsi="Arial" w:cs="Arial"/>
          <w:b/>
          <w:color w:val="000000" w:themeColor="text1"/>
          <w:lang w:val="es-GT"/>
        </w:rPr>
        <w:t>Cooperación Técnica Reembolsable</w:t>
      </w:r>
      <w:r w:rsidRPr="00ED0B78">
        <w:rPr>
          <w:rFonts w:ascii="Arial" w:hAnsi="Arial" w:cs="Arial"/>
          <w:b/>
          <w:color w:val="000000" w:themeColor="text1"/>
          <w:lang w:val="es-GT"/>
        </w:rPr>
        <w:t>:</w:t>
      </w:r>
      <w:r w:rsidRPr="00ED0B78">
        <w:rPr>
          <w:rFonts w:ascii="Arial" w:hAnsi="Arial" w:cs="Arial"/>
          <w:color w:val="000000" w:themeColor="text1"/>
          <w:lang w:val="es-GT"/>
        </w:rPr>
        <w:t xml:space="preserve">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935"/>
        <w:gridCol w:w="1160"/>
        <w:gridCol w:w="463"/>
        <w:gridCol w:w="464"/>
        <w:gridCol w:w="464"/>
        <w:gridCol w:w="464"/>
        <w:gridCol w:w="1161"/>
        <w:gridCol w:w="966"/>
        <w:gridCol w:w="2193"/>
      </w:tblGrid>
      <w:tr w:rsidR="00954DC7" w:rsidRPr="001A1481" w14:paraId="00F6D2C5" w14:textId="77777777" w:rsidTr="00954DC7">
        <w:trPr>
          <w:trHeight w:val="806"/>
          <w:tblHeader/>
        </w:trPr>
        <w:tc>
          <w:tcPr>
            <w:tcW w:w="1044" w:type="pct"/>
            <w:shd w:val="clear" w:color="auto" w:fill="B8CCE4"/>
            <w:tcMar>
              <w:left w:w="0" w:type="dxa"/>
              <w:right w:w="0" w:type="dxa"/>
            </w:tcMar>
            <w:vAlign w:val="center"/>
          </w:tcPr>
          <w:p w14:paraId="30C8B009"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Producto</w:t>
            </w:r>
          </w:p>
        </w:tc>
        <w:tc>
          <w:tcPr>
            <w:tcW w:w="626" w:type="pct"/>
            <w:shd w:val="clear" w:color="auto" w:fill="B8CCE4"/>
            <w:tcMar>
              <w:left w:w="0" w:type="dxa"/>
              <w:right w:w="0" w:type="dxa"/>
            </w:tcMar>
            <w:vAlign w:val="center"/>
          </w:tcPr>
          <w:p w14:paraId="1E160FB4"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Unidad de medida</w:t>
            </w:r>
          </w:p>
        </w:tc>
        <w:tc>
          <w:tcPr>
            <w:tcW w:w="250" w:type="pct"/>
            <w:shd w:val="clear" w:color="auto" w:fill="B8CCE4"/>
            <w:tcMar>
              <w:left w:w="0" w:type="dxa"/>
              <w:right w:w="0" w:type="dxa"/>
            </w:tcMar>
            <w:vAlign w:val="center"/>
          </w:tcPr>
          <w:p w14:paraId="4F653C57"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2014</w:t>
            </w:r>
          </w:p>
        </w:tc>
        <w:tc>
          <w:tcPr>
            <w:tcW w:w="250" w:type="pct"/>
            <w:shd w:val="clear" w:color="auto" w:fill="B8CCE4"/>
            <w:tcMar>
              <w:left w:w="0" w:type="dxa"/>
              <w:right w:w="0" w:type="dxa"/>
            </w:tcMar>
            <w:vAlign w:val="center"/>
          </w:tcPr>
          <w:p w14:paraId="79C8A82C"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2015</w:t>
            </w:r>
          </w:p>
        </w:tc>
        <w:tc>
          <w:tcPr>
            <w:tcW w:w="250" w:type="pct"/>
            <w:shd w:val="clear" w:color="auto" w:fill="B8CCE4"/>
            <w:tcMar>
              <w:left w:w="0" w:type="dxa"/>
              <w:right w:w="0" w:type="dxa"/>
            </w:tcMar>
            <w:vAlign w:val="center"/>
          </w:tcPr>
          <w:p w14:paraId="21E8A6A2"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2016</w:t>
            </w:r>
          </w:p>
        </w:tc>
        <w:tc>
          <w:tcPr>
            <w:tcW w:w="250" w:type="pct"/>
            <w:shd w:val="clear" w:color="auto" w:fill="B8CCE4"/>
            <w:tcMar>
              <w:left w:w="0" w:type="dxa"/>
              <w:right w:w="0" w:type="dxa"/>
            </w:tcMar>
            <w:vAlign w:val="center"/>
          </w:tcPr>
          <w:p w14:paraId="754D580F"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2017</w:t>
            </w:r>
          </w:p>
        </w:tc>
        <w:tc>
          <w:tcPr>
            <w:tcW w:w="626" w:type="pct"/>
            <w:shd w:val="clear" w:color="auto" w:fill="B8CCE4"/>
            <w:tcMar>
              <w:left w:w="0" w:type="dxa"/>
              <w:right w:w="0" w:type="dxa"/>
            </w:tcMar>
            <w:vAlign w:val="center"/>
          </w:tcPr>
          <w:p w14:paraId="33383508"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Meta Programada</w:t>
            </w:r>
          </w:p>
        </w:tc>
        <w:tc>
          <w:tcPr>
            <w:tcW w:w="521" w:type="pct"/>
            <w:shd w:val="clear" w:color="auto" w:fill="B8CCE4"/>
            <w:tcMar>
              <w:left w:w="0" w:type="dxa"/>
              <w:right w:w="0" w:type="dxa"/>
            </w:tcMar>
            <w:vAlign w:val="center"/>
          </w:tcPr>
          <w:p w14:paraId="0E5737DF"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Meta Alcanzada</w:t>
            </w:r>
          </w:p>
        </w:tc>
        <w:tc>
          <w:tcPr>
            <w:tcW w:w="1183" w:type="pct"/>
            <w:shd w:val="clear" w:color="auto" w:fill="B8CCE4"/>
            <w:tcMar>
              <w:left w:w="0" w:type="dxa"/>
              <w:right w:w="0" w:type="dxa"/>
            </w:tcMar>
            <w:vAlign w:val="center"/>
          </w:tcPr>
          <w:p w14:paraId="43070FD2" w14:textId="77777777" w:rsidR="00954DC7" w:rsidRPr="001A1481" w:rsidRDefault="00954DC7" w:rsidP="00992F42">
            <w:pPr>
              <w:spacing w:line="240" w:lineRule="auto"/>
              <w:jc w:val="center"/>
              <w:rPr>
                <w:rFonts w:cs="Times New Roman"/>
                <w:b/>
                <w:sz w:val="20"/>
                <w:szCs w:val="20"/>
                <w:lang w:val="es-ES_tradnl"/>
              </w:rPr>
            </w:pPr>
            <w:r w:rsidRPr="001A1481">
              <w:rPr>
                <w:rFonts w:cs="Times New Roman"/>
                <w:b/>
                <w:sz w:val="20"/>
                <w:szCs w:val="20"/>
                <w:lang w:val="es-ES_tradnl"/>
              </w:rPr>
              <w:t>Observaciones</w:t>
            </w:r>
          </w:p>
        </w:tc>
      </w:tr>
      <w:tr w:rsidR="00954DC7" w:rsidRPr="00954DC7" w14:paraId="65CCF8E2" w14:textId="77777777" w:rsidTr="00992F42">
        <w:tc>
          <w:tcPr>
            <w:tcW w:w="5000" w:type="pct"/>
            <w:gridSpan w:val="9"/>
            <w:shd w:val="clear" w:color="auto" w:fill="DDD9C3"/>
            <w:tcMar>
              <w:left w:w="0" w:type="dxa"/>
              <w:right w:w="0" w:type="dxa"/>
            </w:tcMar>
          </w:tcPr>
          <w:p w14:paraId="18007D20" w14:textId="5E1E4D41" w:rsidR="00954DC7" w:rsidRPr="001A1481" w:rsidRDefault="00954DC7" w:rsidP="00992F42">
            <w:pPr>
              <w:spacing w:line="240" w:lineRule="auto"/>
              <w:ind w:left="1848" w:hanging="1848"/>
              <w:rPr>
                <w:rFonts w:cs="Times New Roman"/>
                <w:b/>
                <w:sz w:val="20"/>
                <w:szCs w:val="20"/>
                <w:lang w:val="es-ES_tradnl"/>
              </w:rPr>
            </w:pPr>
            <w:r w:rsidRPr="001A1481">
              <w:rPr>
                <w:rFonts w:cs="Times New Roman"/>
                <w:b/>
                <w:sz w:val="20"/>
                <w:szCs w:val="20"/>
                <w:lang w:val="es-ES_tradnl"/>
              </w:rPr>
              <w:t xml:space="preserve">COMPONENTE </w:t>
            </w:r>
            <w:r>
              <w:rPr>
                <w:rFonts w:cs="Times New Roman"/>
                <w:b/>
                <w:sz w:val="20"/>
                <w:szCs w:val="20"/>
                <w:lang w:val="es-ES_tradnl"/>
              </w:rPr>
              <w:t>5</w:t>
            </w:r>
            <w:r w:rsidRPr="001A1481">
              <w:rPr>
                <w:rFonts w:cs="Times New Roman"/>
                <w:b/>
                <w:sz w:val="20"/>
                <w:szCs w:val="20"/>
                <w:lang w:val="es-ES_tradnl"/>
              </w:rPr>
              <w:t>: Fortalecimiento de las funciones de regulación, coordinación y planificación del MINFIN</w:t>
            </w:r>
          </w:p>
        </w:tc>
      </w:tr>
      <w:tr w:rsidR="00954DC7" w:rsidRPr="00954DC7" w14:paraId="7873E610" w14:textId="77777777" w:rsidTr="00954DC7">
        <w:tc>
          <w:tcPr>
            <w:tcW w:w="1044" w:type="pct"/>
            <w:shd w:val="clear" w:color="auto" w:fill="auto"/>
            <w:tcMar>
              <w:left w:w="0" w:type="dxa"/>
              <w:right w:w="0" w:type="dxa"/>
            </w:tcMar>
            <w:vAlign w:val="center"/>
          </w:tcPr>
          <w:p w14:paraId="0374EDA7"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Cuadros de mando integral implementados.</w:t>
            </w:r>
          </w:p>
        </w:tc>
        <w:tc>
          <w:tcPr>
            <w:tcW w:w="626" w:type="pct"/>
            <w:shd w:val="clear" w:color="auto" w:fill="auto"/>
            <w:tcMar>
              <w:left w:w="0" w:type="dxa"/>
              <w:right w:w="0" w:type="dxa"/>
            </w:tcMar>
            <w:vAlign w:val="center"/>
          </w:tcPr>
          <w:p w14:paraId="37CDDEE9"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Sistema Informático</w:t>
            </w:r>
          </w:p>
        </w:tc>
        <w:tc>
          <w:tcPr>
            <w:tcW w:w="250" w:type="pct"/>
            <w:shd w:val="clear" w:color="auto" w:fill="auto"/>
            <w:tcMar>
              <w:left w:w="0" w:type="dxa"/>
              <w:right w:w="0" w:type="dxa"/>
            </w:tcMar>
            <w:vAlign w:val="center"/>
          </w:tcPr>
          <w:p w14:paraId="6FED4FCE"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E1B96C1"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03737350"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F1B67A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5964563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794C998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0AABB60E"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DAAFIM cuenta con una metodología y un sistema informático de indicadores financieros municipales.</w:t>
            </w:r>
          </w:p>
        </w:tc>
      </w:tr>
      <w:tr w:rsidR="00954DC7" w:rsidRPr="00954DC7" w14:paraId="6CB3CDAF" w14:textId="77777777" w:rsidTr="00954DC7">
        <w:tc>
          <w:tcPr>
            <w:tcW w:w="1044" w:type="pct"/>
            <w:shd w:val="clear" w:color="auto" w:fill="auto"/>
            <w:tcMar>
              <w:left w:w="0" w:type="dxa"/>
              <w:right w:w="0" w:type="dxa"/>
            </w:tcMar>
            <w:vAlign w:val="center"/>
          </w:tcPr>
          <w:p w14:paraId="114DEFBF" w14:textId="77777777" w:rsidR="00954DC7" w:rsidRPr="00954DC7" w:rsidRDefault="00954DC7" w:rsidP="00992F42">
            <w:pPr>
              <w:autoSpaceDE w:val="0"/>
              <w:adjustRightInd w:val="0"/>
              <w:spacing w:line="240" w:lineRule="auto"/>
              <w:rPr>
                <w:rFonts w:cs="Times New Roman"/>
                <w:sz w:val="20"/>
                <w:szCs w:val="20"/>
                <w:lang w:val="es-BO"/>
              </w:rPr>
            </w:pPr>
            <w:r w:rsidRPr="001A1481">
              <w:rPr>
                <w:rFonts w:cs="Times New Roman"/>
                <w:sz w:val="20"/>
                <w:szCs w:val="20"/>
                <w:lang w:val="es-ES_tradnl"/>
              </w:rPr>
              <w:lastRenderedPageBreak/>
              <w:t>Portal de consultas de la información financiera municipal disponible para el INFOM.</w:t>
            </w:r>
          </w:p>
        </w:tc>
        <w:tc>
          <w:tcPr>
            <w:tcW w:w="626" w:type="pct"/>
            <w:shd w:val="clear" w:color="auto" w:fill="auto"/>
            <w:tcMar>
              <w:left w:w="0" w:type="dxa"/>
              <w:right w:w="0" w:type="dxa"/>
            </w:tcMar>
            <w:vAlign w:val="center"/>
          </w:tcPr>
          <w:p w14:paraId="75F336A5"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Portal</w:t>
            </w:r>
          </w:p>
        </w:tc>
        <w:tc>
          <w:tcPr>
            <w:tcW w:w="250" w:type="pct"/>
            <w:shd w:val="clear" w:color="auto" w:fill="auto"/>
            <w:tcMar>
              <w:left w:w="0" w:type="dxa"/>
              <w:right w:w="0" w:type="dxa"/>
            </w:tcMar>
            <w:vAlign w:val="center"/>
          </w:tcPr>
          <w:p w14:paraId="0E8443FE"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0331180E"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0D748E15"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4B7B6990"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588D910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4A02947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60064C8E" w14:textId="77777777" w:rsidR="00954DC7" w:rsidRPr="001A1481" w:rsidRDefault="00954DC7" w:rsidP="00992F42">
            <w:pPr>
              <w:spacing w:line="240" w:lineRule="auto"/>
              <w:rPr>
                <w:sz w:val="20"/>
                <w:szCs w:val="20"/>
                <w:lang w:val="es-MX"/>
              </w:rPr>
            </w:pPr>
            <w:r w:rsidRPr="001A1481">
              <w:rPr>
                <w:rFonts w:cs="Times New Roman"/>
                <w:sz w:val="20"/>
                <w:szCs w:val="20"/>
                <w:lang w:val="es-ES_tradnl"/>
              </w:rPr>
              <w:t xml:space="preserve">DAAFIM cuenta con el tablero del Índice Consolidado Financiero Municipal (ICFM) al servicio de las municipalidades, INFOM y entidades que lo requieran. </w:t>
            </w:r>
          </w:p>
        </w:tc>
      </w:tr>
      <w:tr w:rsidR="00954DC7" w:rsidRPr="00954DC7" w14:paraId="22529F75" w14:textId="77777777" w:rsidTr="00954DC7">
        <w:tc>
          <w:tcPr>
            <w:tcW w:w="1044" w:type="pct"/>
            <w:shd w:val="clear" w:color="auto" w:fill="auto"/>
            <w:tcMar>
              <w:left w:w="0" w:type="dxa"/>
              <w:right w:w="0" w:type="dxa"/>
            </w:tcMar>
            <w:vAlign w:val="center"/>
          </w:tcPr>
          <w:p w14:paraId="48E69435"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DAAFIM con equipo informático en funcionamiento.</w:t>
            </w:r>
          </w:p>
        </w:tc>
        <w:tc>
          <w:tcPr>
            <w:tcW w:w="626" w:type="pct"/>
            <w:shd w:val="clear" w:color="auto" w:fill="auto"/>
            <w:tcMar>
              <w:left w:w="0" w:type="dxa"/>
              <w:right w:w="0" w:type="dxa"/>
            </w:tcMar>
            <w:vAlign w:val="center"/>
          </w:tcPr>
          <w:p w14:paraId="50D082CE"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Lote</w:t>
            </w:r>
          </w:p>
        </w:tc>
        <w:tc>
          <w:tcPr>
            <w:tcW w:w="250" w:type="pct"/>
            <w:shd w:val="clear" w:color="auto" w:fill="auto"/>
            <w:tcMar>
              <w:left w:w="0" w:type="dxa"/>
              <w:right w:w="0" w:type="dxa"/>
            </w:tcMar>
            <w:vAlign w:val="center"/>
          </w:tcPr>
          <w:p w14:paraId="6A36F29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905C8A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4DEF65D1"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421D0C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50533191"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22A1686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252F4ABB"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DAAFIM fue equipado con computadoras, software y equipo de telecomunicaciones.</w:t>
            </w:r>
          </w:p>
        </w:tc>
      </w:tr>
      <w:tr w:rsidR="00954DC7" w:rsidRPr="00954DC7" w14:paraId="74367A3B" w14:textId="77777777" w:rsidTr="00954DC7">
        <w:tc>
          <w:tcPr>
            <w:tcW w:w="1044" w:type="pct"/>
            <w:shd w:val="clear" w:color="auto" w:fill="auto"/>
            <w:tcMar>
              <w:left w:w="0" w:type="dxa"/>
              <w:right w:w="0" w:type="dxa"/>
            </w:tcMar>
            <w:vAlign w:val="center"/>
          </w:tcPr>
          <w:p w14:paraId="56BC15D5"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Eventos de capacitación personal DAAFIM.</w:t>
            </w:r>
          </w:p>
        </w:tc>
        <w:tc>
          <w:tcPr>
            <w:tcW w:w="626" w:type="pct"/>
            <w:shd w:val="clear" w:color="auto" w:fill="auto"/>
            <w:tcMar>
              <w:left w:w="0" w:type="dxa"/>
              <w:right w:w="0" w:type="dxa"/>
            </w:tcMar>
            <w:vAlign w:val="center"/>
          </w:tcPr>
          <w:p w14:paraId="089E6D6A"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Número de eventos</w:t>
            </w:r>
          </w:p>
        </w:tc>
        <w:tc>
          <w:tcPr>
            <w:tcW w:w="250" w:type="pct"/>
            <w:shd w:val="clear" w:color="auto" w:fill="auto"/>
            <w:tcMar>
              <w:left w:w="0" w:type="dxa"/>
              <w:right w:w="0" w:type="dxa"/>
            </w:tcMar>
            <w:vAlign w:val="center"/>
          </w:tcPr>
          <w:p w14:paraId="40D8379A"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41D9DC5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250" w:type="pct"/>
            <w:shd w:val="clear" w:color="auto" w:fill="auto"/>
            <w:tcMar>
              <w:left w:w="0" w:type="dxa"/>
              <w:right w:w="0" w:type="dxa"/>
            </w:tcMar>
            <w:vAlign w:val="center"/>
          </w:tcPr>
          <w:p w14:paraId="5DE70E2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6</w:t>
            </w:r>
          </w:p>
        </w:tc>
        <w:tc>
          <w:tcPr>
            <w:tcW w:w="250" w:type="pct"/>
            <w:shd w:val="clear" w:color="auto" w:fill="auto"/>
            <w:tcMar>
              <w:left w:w="0" w:type="dxa"/>
              <w:right w:w="0" w:type="dxa"/>
            </w:tcMar>
            <w:vAlign w:val="center"/>
          </w:tcPr>
          <w:p w14:paraId="04170DD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3</w:t>
            </w:r>
          </w:p>
        </w:tc>
        <w:tc>
          <w:tcPr>
            <w:tcW w:w="626" w:type="pct"/>
            <w:shd w:val="clear" w:color="auto" w:fill="auto"/>
            <w:tcMar>
              <w:left w:w="0" w:type="dxa"/>
              <w:right w:w="0" w:type="dxa"/>
            </w:tcMar>
            <w:vAlign w:val="center"/>
          </w:tcPr>
          <w:p w14:paraId="037ACDDF"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10</w:t>
            </w:r>
          </w:p>
        </w:tc>
        <w:tc>
          <w:tcPr>
            <w:tcW w:w="521" w:type="pct"/>
            <w:shd w:val="clear" w:color="auto" w:fill="auto"/>
            <w:tcMar>
              <w:left w:w="0" w:type="dxa"/>
              <w:right w:w="0" w:type="dxa"/>
            </w:tcMar>
            <w:vAlign w:val="center"/>
          </w:tcPr>
          <w:p w14:paraId="1938928B"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17</w:t>
            </w:r>
          </w:p>
        </w:tc>
        <w:tc>
          <w:tcPr>
            <w:tcW w:w="1183" w:type="pct"/>
            <w:shd w:val="clear" w:color="auto" w:fill="auto"/>
            <w:tcMar>
              <w:left w:w="0" w:type="dxa"/>
              <w:right w:w="0" w:type="dxa"/>
            </w:tcMar>
          </w:tcPr>
          <w:p w14:paraId="2A5AB09F"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Se capacitó a 886 personas del MINFIN y de las municipalidades del país.</w:t>
            </w:r>
          </w:p>
        </w:tc>
      </w:tr>
      <w:tr w:rsidR="00954DC7" w:rsidRPr="00954DC7" w14:paraId="43C53E58" w14:textId="77777777" w:rsidTr="00954DC7">
        <w:trPr>
          <w:trHeight w:val="390"/>
        </w:trPr>
        <w:tc>
          <w:tcPr>
            <w:tcW w:w="1044" w:type="pct"/>
            <w:shd w:val="clear" w:color="auto" w:fill="auto"/>
            <w:tcMar>
              <w:left w:w="0" w:type="dxa"/>
              <w:right w:w="0" w:type="dxa"/>
            </w:tcMar>
            <w:vAlign w:val="center"/>
          </w:tcPr>
          <w:p w14:paraId="68FC2BA8"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Funcionarios graduados en la Maestría de Finanzas Municipales.</w:t>
            </w:r>
          </w:p>
          <w:p w14:paraId="2D23C08C"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w:t>
            </w:r>
            <w:r w:rsidRPr="001A1481">
              <w:rPr>
                <w:rFonts w:cs="Times New Roman"/>
                <w:sz w:val="20"/>
                <w:szCs w:val="20"/>
                <w:u w:val="single"/>
                <w:lang w:val="es-ES_tradnl"/>
              </w:rPr>
              <w:t>Indicador inactivado)</w:t>
            </w:r>
          </w:p>
        </w:tc>
        <w:tc>
          <w:tcPr>
            <w:tcW w:w="626" w:type="pct"/>
            <w:shd w:val="clear" w:color="auto" w:fill="auto"/>
            <w:tcMar>
              <w:left w:w="0" w:type="dxa"/>
              <w:right w:w="0" w:type="dxa"/>
            </w:tcMar>
            <w:vAlign w:val="center"/>
          </w:tcPr>
          <w:p w14:paraId="4F9E7FA5"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Número de funcionarios</w:t>
            </w:r>
          </w:p>
        </w:tc>
        <w:tc>
          <w:tcPr>
            <w:tcW w:w="250" w:type="pct"/>
            <w:shd w:val="clear" w:color="auto" w:fill="auto"/>
            <w:tcMar>
              <w:left w:w="0" w:type="dxa"/>
              <w:right w:w="0" w:type="dxa"/>
            </w:tcMar>
            <w:vAlign w:val="center"/>
          </w:tcPr>
          <w:p w14:paraId="0E93AD0B"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2623924"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1D36F21F"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FF35325"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30</w:t>
            </w:r>
          </w:p>
        </w:tc>
        <w:tc>
          <w:tcPr>
            <w:tcW w:w="626" w:type="pct"/>
            <w:shd w:val="clear" w:color="auto" w:fill="auto"/>
            <w:tcMar>
              <w:left w:w="0" w:type="dxa"/>
              <w:right w:w="0" w:type="dxa"/>
            </w:tcMar>
            <w:vAlign w:val="center"/>
          </w:tcPr>
          <w:p w14:paraId="14C9A203"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30</w:t>
            </w:r>
          </w:p>
        </w:tc>
        <w:tc>
          <w:tcPr>
            <w:tcW w:w="521" w:type="pct"/>
            <w:shd w:val="clear" w:color="auto" w:fill="auto"/>
            <w:tcMar>
              <w:left w:w="0" w:type="dxa"/>
              <w:right w:w="0" w:type="dxa"/>
            </w:tcMar>
            <w:vAlign w:val="center"/>
          </w:tcPr>
          <w:p w14:paraId="16591254"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 - -</w:t>
            </w:r>
          </w:p>
        </w:tc>
        <w:tc>
          <w:tcPr>
            <w:tcW w:w="1183" w:type="pct"/>
            <w:shd w:val="clear" w:color="auto" w:fill="auto"/>
            <w:tcMar>
              <w:left w:w="0" w:type="dxa"/>
              <w:right w:w="0" w:type="dxa"/>
            </w:tcMar>
          </w:tcPr>
          <w:p w14:paraId="7220CDB2"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En 2015 se realizó el diseño de una maestría en finanzas municipales.</w:t>
            </w:r>
          </w:p>
          <w:p w14:paraId="6F8013CE"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Esta meta fue desactivada en los planes de ejecución del Programa ya que por el tiempo no fue posible realizarlo durante el periodo de ejecución del préstamo.</w:t>
            </w:r>
          </w:p>
          <w:p w14:paraId="1F84C6A4"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En sustitución se aprobó la realización del Diplomado en Política Fiscal Municipal, que utilizó parte del contenido desarrollado para la Maestría</w:t>
            </w:r>
          </w:p>
        </w:tc>
      </w:tr>
      <w:tr w:rsidR="00954DC7" w:rsidRPr="00954DC7" w14:paraId="6F192357" w14:textId="77777777" w:rsidTr="00954DC7">
        <w:trPr>
          <w:trHeight w:val="56"/>
        </w:trPr>
        <w:tc>
          <w:tcPr>
            <w:tcW w:w="1044" w:type="pct"/>
            <w:shd w:val="clear" w:color="auto" w:fill="auto"/>
            <w:tcMar>
              <w:left w:w="0" w:type="dxa"/>
              <w:right w:w="0" w:type="dxa"/>
            </w:tcMar>
            <w:vAlign w:val="center"/>
          </w:tcPr>
          <w:p w14:paraId="00F59BBA"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Funcionarios graduados en el diplomado “Política Fiscal Municipal”.</w:t>
            </w:r>
          </w:p>
        </w:tc>
        <w:tc>
          <w:tcPr>
            <w:tcW w:w="626" w:type="pct"/>
            <w:shd w:val="clear" w:color="auto" w:fill="auto"/>
            <w:tcMar>
              <w:left w:w="0" w:type="dxa"/>
              <w:right w:w="0" w:type="dxa"/>
            </w:tcMar>
            <w:vAlign w:val="center"/>
          </w:tcPr>
          <w:p w14:paraId="6963D54E"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Número de funcionarios</w:t>
            </w:r>
          </w:p>
        </w:tc>
        <w:tc>
          <w:tcPr>
            <w:tcW w:w="250" w:type="pct"/>
            <w:shd w:val="clear" w:color="auto" w:fill="auto"/>
            <w:tcMar>
              <w:left w:w="0" w:type="dxa"/>
              <w:right w:w="0" w:type="dxa"/>
            </w:tcMar>
            <w:vAlign w:val="center"/>
          </w:tcPr>
          <w:p w14:paraId="35FB0E05"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7B559E58"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1EA88F94"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4398F31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20</w:t>
            </w:r>
          </w:p>
        </w:tc>
        <w:tc>
          <w:tcPr>
            <w:tcW w:w="626" w:type="pct"/>
            <w:shd w:val="clear" w:color="auto" w:fill="auto"/>
            <w:tcMar>
              <w:left w:w="0" w:type="dxa"/>
              <w:right w:w="0" w:type="dxa"/>
            </w:tcMar>
            <w:vAlign w:val="center"/>
          </w:tcPr>
          <w:p w14:paraId="5DB36AE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20</w:t>
            </w:r>
          </w:p>
        </w:tc>
        <w:tc>
          <w:tcPr>
            <w:tcW w:w="521" w:type="pct"/>
            <w:shd w:val="clear" w:color="auto" w:fill="auto"/>
            <w:tcMar>
              <w:left w:w="0" w:type="dxa"/>
              <w:right w:w="0" w:type="dxa"/>
            </w:tcMar>
            <w:vAlign w:val="center"/>
          </w:tcPr>
          <w:p w14:paraId="47196282"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20</w:t>
            </w:r>
          </w:p>
        </w:tc>
        <w:tc>
          <w:tcPr>
            <w:tcW w:w="1183" w:type="pct"/>
            <w:shd w:val="clear" w:color="auto" w:fill="auto"/>
            <w:tcMar>
              <w:left w:w="0" w:type="dxa"/>
              <w:right w:w="0" w:type="dxa"/>
            </w:tcMar>
          </w:tcPr>
          <w:p w14:paraId="33E4E45A"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Personal del MINFIN graduado en el Diplomado.</w:t>
            </w:r>
          </w:p>
        </w:tc>
      </w:tr>
      <w:tr w:rsidR="00954DC7" w:rsidRPr="00954DC7" w14:paraId="33CD6216" w14:textId="77777777" w:rsidTr="00992F42">
        <w:trPr>
          <w:trHeight w:val="478"/>
        </w:trPr>
        <w:tc>
          <w:tcPr>
            <w:tcW w:w="5000" w:type="pct"/>
            <w:gridSpan w:val="9"/>
            <w:shd w:val="clear" w:color="auto" w:fill="DDD9C3"/>
            <w:tcMar>
              <w:left w:w="0" w:type="dxa"/>
              <w:right w:w="0" w:type="dxa"/>
            </w:tcMar>
            <w:vAlign w:val="center"/>
          </w:tcPr>
          <w:p w14:paraId="326DA7DC" w14:textId="05D912E0" w:rsidR="00954DC7" w:rsidRPr="001A1481" w:rsidRDefault="00954DC7" w:rsidP="00992F42">
            <w:pPr>
              <w:spacing w:line="240" w:lineRule="auto"/>
              <w:rPr>
                <w:rFonts w:cs="Times New Roman"/>
                <w:b/>
                <w:sz w:val="20"/>
                <w:szCs w:val="20"/>
                <w:lang w:val="es-ES_tradnl"/>
              </w:rPr>
            </w:pPr>
            <w:r w:rsidRPr="001A1481">
              <w:rPr>
                <w:rFonts w:cs="Times New Roman"/>
                <w:b/>
                <w:sz w:val="20"/>
                <w:szCs w:val="20"/>
                <w:lang w:val="es-ES_tradnl"/>
              </w:rPr>
              <w:t xml:space="preserve">COMPONENTE </w:t>
            </w:r>
            <w:r>
              <w:rPr>
                <w:rFonts w:cs="Times New Roman"/>
                <w:b/>
                <w:sz w:val="20"/>
                <w:szCs w:val="20"/>
                <w:lang w:val="es-ES_tradnl"/>
              </w:rPr>
              <w:t>6</w:t>
            </w:r>
            <w:r w:rsidRPr="001A1481">
              <w:rPr>
                <w:rFonts w:cs="Times New Roman"/>
                <w:b/>
                <w:sz w:val="20"/>
                <w:szCs w:val="20"/>
                <w:lang w:val="es-ES_tradnl"/>
              </w:rPr>
              <w:t>: Fortalecimiento de la capacidad técnica del INFOM</w:t>
            </w:r>
          </w:p>
        </w:tc>
      </w:tr>
      <w:tr w:rsidR="00954DC7" w:rsidRPr="00954DC7" w14:paraId="1EB8C9C8" w14:textId="77777777" w:rsidTr="00954DC7">
        <w:tc>
          <w:tcPr>
            <w:tcW w:w="1044" w:type="pct"/>
            <w:shd w:val="clear" w:color="auto" w:fill="auto"/>
            <w:tcMar>
              <w:left w:w="0" w:type="dxa"/>
              <w:right w:w="0" w:type="dxa"/>
            </w:tcMar>
            <w:vAlign w:val="center"/>
          </w:tcPr>
          <w:p w14:paraId="6938C48D"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lastRenderedPageBreak/>
              <w:t>Propuesta de nuevo rol del INFOM elaborado.</w:t>
            </w:r>
          </w:p>
        </w:tc>
        <w:tc>
          <w:tcPr>
            <w:tcW w:w="626" w:type="pct"/>
            <w:shd w:val="clear" w:color="auto" w:fill="auto"/>
            <w:tcMar>
              <w:left w:w="0" w:type="dxa"/>
              <w:right w:w="0" w:type="dxa"/>
            </w:tcMar>
            <w:vAlign w:val="center"/>
          </w:tcPr>
          <w:p w14:paraId="41D937E7"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Propuesta</w:t>
            </w:r>
          </w:p>
        </w:tc>
        <w:tc>
          <w:tcPr>
            <w:tcW w:w="250" w:type="pct"/>
            <w:shd w:val="clear" w:color="auto" w:fill="auto"/>
            <w:tcMar>
              <w:left w:w="0" w:type="dxa"/>
              <w:right w:w="0" w:type="dxa"/>
            </w:tcMar>
            <w:vAlign w:val="center"/>
          </w:tcPr>
          <w:p w14:paraId="45427B3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227E1F8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B8C9ED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3CB6704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3DFF1DC7"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7F26330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1183" w:type="pct"/>
            <w:shd w:val="clear" w:color="auto" w:fill="auto"/>
            <w:tcMar>
              <w:left w:w="0" w:type="dxa"/>
              <w:right w:w="0" w:type="dxa"/>
            </w:tcMar>
          </w:tcPr>
          <w:p w14:paraId="7780AEA4"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Esta meta consistió en una unidad conformada por 5 consultorías, de las cuales se realizaron 4, por lo que no se completó la unidad.</w:t>
            </w:r>
          </w:p>
        </w:tc>
      </w:tr>
      <w:tr w:rsidR="00954DC7" w:rsidRPr="00954DC7" w14:paraId="527FD9EA" w14:textId="77777777" w:rsidTr="00954DC7">
        <w:tc>
          <w:tcPr>
            <w:tcW w:w="1044" w:type="pct"/>
            <w:shd w:val="clear" w:color="auto" w:fill="auto"/>
            <w:tcMar>
              <w:left w:w="0" w:type="dxa"/>
              <w:right w:w="0" w:type="dxa"/>
            </w:tcMar>
            <w:vAlign w:val="center"/>
          </w:tcPr>
          <w:p w14:paraId="3221CF67"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INFOM con equipo informático en funcionamiento.</w:t>
            </w:r>
          </w:p>
        </w:tc>
        <w:tc>
          <w:tcPr>
            <w:tcW w:w="626" w:type="pct"/>
            <w:shd w:val="clear" w:color="auto" w:fill="auto"/>
            <w:tcMar>
              <w:left w:w="0" w:type="dxa"/>
              <w:right w:w="0" w:type="dxa"/>
            </w:tcMar>
            <w:vAlign w:val="center"/>
          </w:tcPr>
          <w:p w14:paraId="561E82C6"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Lote</w:t>
            </w:r>
          </w:p>
        </w:tc>
        <w:tc>
          <w:tcPr>
            <w:tcW w:w="250" w:type="pct"/>
            <w:shd w:val="clear" w:color="auto" w:fill="auto"/>
            <w:tcMar>
              <w:left w:w="0" w:type="dxa"/>
              <w:right w:w="0" w:type="dxa"/>
            </w:tcMar>
            <w:vAlign w:val="center"/>
          </w:tcPr>
          <w:p w14:paraId="6B8BD665"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6EACD32E"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72E7A87"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4D1F7FC2"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4C7512E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426361E4"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79AF3B38"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INFOM fue dotado con equipo de cómputo, software, equipo de telecomunicaciones y aire acondicionado para servidores.</w:t>
            </w:r>
          </w:p>
        </w:tc>
      </w:tr>
      <w:tr w:rsidR="00954DC7" w:rsidRPr="00954DC7" w14:paraId="343F123E" w14:textId="77777777" w:rsidTr="00954DC7">
        <w:trPr>
          <w:trHeight w:val="994"/>
        </w:trPr>
        <w:tc>
          <w:tcPr>
            <w:tcW w:w="1044" w:type="pct"/>
            <w:shd w:val="clear" w:color="auto" w:fill="auto"/>
            <w:tcMar>
              <w:left w:w="0" w:type="dxa"/>
              <w:right w:w="0" w:type="dxa"/>
            </w:tcMar>
            <w:vAlign w:val="center"/>
          </w:tcPr>
          <w:p w14:paraId="0DD7C88B"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Funcionarios graduados en el diplomado “Política Fiscal Municipal”.</w:t>
            </w:r>
          </w:p>
        </w:tc>
        <w:tc>
          <w:tcPr>
            <w:tcW w:w="626" w:type="pct"/>
            <w:shd w:val="clear" w:color="auto" w:fill="auto"/>
            <w:tcMar>
              <w:left w:w="0" w:type="dxa"/>
              <w:right w:w="0" w:type="dxa"/>
            </w:tcMar>
            <w:vAlign w:val="center"/>
          </w:tcPr>
          <w:p w14:paraId="2A352A81"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Número de funcionarios</w:t>
            </w:r>
          </w:p>
        </w:tc>
        <w:tc>
          <w:tcPr>
            <w:tcW w:w="250" w:type="pct"/>
            <w:shd w:val="clear" w:color="auto" w:fill="auto"/>
            <w:tcMar>
              <w:left w:w="0" w:type="dxa"/>
              <w:right w:w="0" w:type="dxa"/>
            </w:tcMar>
            <w:vAlign w:val="center"/>
          </w:tcPr>
          <w:p w14:paraId="54AC5E92"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3B4DA5B"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C29D4A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16</w:t>
            </w:r>
          </w:p>
        </w:tc>
        <w:tc>
          <w:tcPr>
            <w:tcW w:w="250" w:type="pct"/>
            <w:shd w:val="clear" w:color="auto" w:fill="auto"/>
            <w:tcMar>
              <w:left w:w="0" w:type="dxa"/>
              <w:right w:w="0" w:type="dxa"/>
            </w:tcMar>
            <w:vAlign w:val="center"/>
          </w:tcPr>
          <w:p w14:paraId="6BD03E1E"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626" w:type="pct"/>
            <w:shd w:val="clear" w:color="auto" w:fill="auto"/>
            <w:tcMar>
              <w:left w:w="0" w:type="dxa"/>
              <w:right w:w="0" w:type="dxa"/>
            </w:tcMar>
            <w:vAlign w:val="center"/>
          </w:tcPr>
          <w:p w14:paraId="2EEC064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16</w:t>
            </w:r>
          </w:p>
        </w:tc>
        <w:tc>
          <w:tcPr>
            <w:tcW w:w="521" w:type="pct"/>
            <w:shd w:val="clear" w:color="auto" w:fill="auto"/>
            <w:tcMar>
              <w:left w:w="0" w:type="dxa"/>
              <w:right w:w="0" w:type="dxa"/>
            </w:tcMar>
            <w:vAlign w:val="center"/>
          </w:tcPr>
          <w:p w14:paraId="2FBA8620"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16</w:t>
            </w:r>
          </w:p>
        </w:tc>
        <w:tc>
          <w:tcPr>
            <w:tcW w:w="1183" w:type="pct"/>
            <w:shd w:val="clear" w:color="auto" w:fill="auto"/>
            <w:tcMar>
              <w:left w:w="0" w:type="dxa"/>
              <w:right w:w="0" w:type="dxa"/>
            </w:tcMar>
            <w:vAlign w:val="center"/>
          </w:tcPr>
          <w:p w14:paraId="21B83E69"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Personal del INFOM graduado en el Diplomado.</w:t>
            </w:r>
          </w:p>
        </w:tc>
      </w:tr>
      <w:tr w:rsidR="00954DC7" w:rsidRPr="00954DC7" w14:paraId="404CCBF3" w14:textId="77777777" w:rsidTr="00992F42">
        <w:tc>
          <w:tcPr>
            <w:tcW w:w="5000" w:type="pct"/>
            <w:gridSpan w:val="9"/>
            <w:shd w:val="clear" w:color="auto" w:fill="DDD9C3"/>
            <w:tcMar>
              <w:left w:w="0" w:type="dxa"/>
              <w:right w:w="0" w:type="dxa"/>
            </w:tcMar>
            <w:vAlign w:val="center"/>
          </w:tcPr>
          <w:p w14:paraId="72ABB507" w14:textId="2051B86E" w:rsidR="00954DC7" w:rsidRPr="001A1481" w:rsidRDefault="00954DC7" w:rsidP="00992F42">
            <w:pPr>
              <w:spacing w:line="240" w:lineRule="auto"/>
              <w:ind w:left="1811" w:hanging="1811"/>
              <w:rPr>
                <w:rFonts w:cs="Times New Roman"/>
                <w:b/>
                <w:sz w:val="20"/>
                <w:szCs w:val="20"/>
                <w:lang w:val="es-ES_tradnl"/>
              </w:rPr>
            </w:pPr>
            <w:r w:rsidRPr="001A1481">
              <w:rPr>
                <w:rFonts w:cs="Times New Roman"/>
                <w:b/>
                <w:sz w:val="20"/>
                <w:szCs w:val="20"/>
                <w:lang w:val="es-ES_tradnl"/>
              </w:rPr>
              <w:t xml:space="preserve">COMPONENTE </w:t>
            </w:r>
            <w:r>
              <w:rPr>
                <w:rFonts w:cs="Times New Roman"/>
                <w:b/>
                <w:sz w:val="20"/>
                <w:szCs w:val="20"/>
                <w:lang w:val="es-ES_tradnl"/>
              </w:rPr>
              <w:t>7</w:t>
            </w:r>
            <w:r w:rsidRPr="001A1481">
              <w:rPr>
                <w:rFonts w:cs="Times New Roman"/>
                <w:b/>
                <w:sz w:val="20"/>
                <w:szCs w:val="20"/>
                <w:lang w:val="es-ES_tradnl"/>
              </w:rPr>
              <w:t>:  Fortalecimiento de la Mancomunidad Gran Ciudad del Sur del departamento de Guatemala –MGCS-</w:t>
            </w:r>
          </w:p>
        </w:tc>
      </w:tr>
      <w:tr w:rsidR="00954DC7" w:rsidRPr="00954DC7" w14:paraId="17493346" w14:textId="77777777" w:rsidTr="00954DC7">
        <w:tc>
          <w:tcPr>
            <w:tcW w:w="1044" w:type="pct"/>
            <w:shd w:val="clear" w:color="auto" w:fill="auto"/>
            <w:tcMar>
              <w:left w:w="0" w:type="dxa"/>
              <w:right w:w="0" w:type="dxa"/>
            </w:tcMar>
            <w:vAlign w:val="center"/>
          </w:tcPr>
          <w:p w14:paraId="5D38ED3C"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Elaboración de estudios de Preinversión.</w:t>
            </w:r>
          </w:p>
        </w:tc>
        <w:tc>
          <w:tcPr>
            <w:tcW w:w="626" w:type="pct"/>
            <w:shd w:val="clear" w:color="auto" w:fill="auto"/>
            <w:tcMar>
              <w:left w:w="0" w:type="dxa"/>
              <w:right w:w="0" w:type="dxa"/>
            </w:tcMar>
            <w:vAlign w:val="center"/>
          </w:tcPr>
          <w:p w14:paraId="6BF20D55"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Estudios</w:t>
            </w:r>
          </w:p>
        </w:tc>
        <w:tc>
          <w:tcPr>
            <w:tcW w:w="250" w:type="pct"/>
            <w:shd w:val="clear" w:color="auto" w:fill="auto"/>
            <w:tcMar>
              <w:left w:w="0" w:type="dxa"/>
              <w:right w:w="0" w:type="dxa"/>
            </w:tcMar>
            <w:vAlign w:val="center"/>
          </w:tcPr>
          <w:p w14:paraId="3FF65D5B"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6968400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F6E2450"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1F73F8FE"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w:t>
            </w:r>
          </w:p>
        </w:tc>
        <w:tc>
          <w:tcPr>
            <w:tcW w:w="626" w:type="pct"/>
            <w:shd w:val="clear" w:color="auto" w:fill="auto"/>
            <w:tcMar>
              <w:left w:w="0" w:type="dxa"/>
              <w:right w:w="0" w:type="dxa"/>
            </w:tcMar>
            <w:vAlign w:val="center"/>
          </w:tcPr>
          <w:p w14:paraId="3F23D947"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w:t>
            </w:r>
          </w:p>
        </w:tc>
        <w:tc>
          <w:tcPr>
            <w:tcW w:w="521" w:type="pct"/>
            <w:shd w:val="clear" w:color="auto" w:fill="auto"/>
            <w:tcMar>
              <w:left w:w="0" w:type="dxa"/>
              <w:right w:w="0" w:type="dxa"/>
            </w:tcMar>
            <w:vAlign w:val="center"/>
          </w:tcPr>
          <w:p w14:paraId="5D534AB0"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5F65303B"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Se realizó un estudio de preinversión correspondiente al Proyecto Barrio Seguro para 6 municipios miembros de la MGCS.</w:t>
            </w:r>
          </w:p>
          <w:p w14:paraId="47F82FA9"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El segundo estudio de preinversión programado fue el “Estudio de Factibilidad técnica, económica, social y ambiental del proyecto Diseño de Obras de Control y Protección en el Cause de los Ríos Pinula y Platanitos”. No fue posible su realización, ya que la formulación/revisión de los Términos de Referencia llevó mucho tiempo y no se logró lanzar a tiempo el llamado a licitación, considerando el vencimiento del plazo de último desembolso.</w:t>
            </w:r>
          </w:p>
        </w:tc>
      </w:tr>
      <w:tr w:rsidR="00954DC7" w:rsidRPr="00954DC7" w14:paraId="0C1AEC57" w14:textId="77777777" w:rsidTr="00954DC7">
        <w:trPr>
          <w:trHeight w:val="1244"/>
        </w:trPr>
        <w:tc>
          <w:tcPr>
            <w:tcW w:w="1044" w:type="pct"/>
            <w:shd w:val="clear" w:color="auto" w:fill="auto"/>
            <w:tcMar>
              <w:left w:w="0" w:type="dxa"/>
              <w:right w:w="0" w:type="dxa"/>
            </w:tcMar>
            <w:vAlign w:val="center"/>
          </w:tcPr>
          <w:p w14:paraId="6E40C5D7"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lastRenderedPageBreak/>
              <w:t>MGCS con equipo informático en funcionamiento.</w:t>
            </w:r>
          </w:p>
        </w:tc>
        <w:tc>
          <w:tcPr>
            <w:tcW w:w="626" w:type="pct"/>
            <w:shd w:val="clear" w:color="auto" w:fill="auto"/>
            <w:tcMar>
              <w:left w:w="0" w:type="dxa"/>
              <w:right w:w="0" w:type="dxa"/>
            </w:tcMar>
            <w:vAlign w:val="center"/>
          </w:tcPr>
          <w:p w14:paraId="45F2B8E6"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Lote</w:t>
            </w:r>
          </w:p>
        </w:tc>
        <w:tc>
          <w:tcPr>
            <w:tcW w:w="250" w:type="pct"/>
            <w:shd w:val="clear" w:color="auto" w:fill="auto"/>
            <w:tcMar>
              <w:left w:w="0" w:type="dxa"/>
              <w:right w:w="0" w:type="dxa"/>
            </w:tcMar>
            <w:vAlign w:val="center"/>
          </w:tcPr>
          <w:p w14:paraId="0BAC29B2"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66C858D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2F0545BD"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78513361"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5E2D1AA1"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03637F37"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vAlign w:val="center"/>
          </w:tcPr>
          <w:p w14:paraId="1B14039A"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MGCS y las oficinas municipales de planificación de 6 municipalidades miembros fueron dotadas con:</w:t>
            </w:r>
          </w:p>
          <w:p w14:paraId="69DADB46"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Equipo de cómputo, software, equipo de telecomunicaciones y aire acondicionado.</w:t>
            </w:r>
          </w:p>
        </w:tc>
      </w:tr>
      <w:tr w:rsidR="00954DC7" w:rsidRPr="00954DC7" w14:paraId="6595BF8E" w14:textId="77777777" w:rsidTr="00954DC7">
        <w:tc>
          <w:tcPr>
            <w:tcW w:w="1044" w:type="pct"/>
            <w:shd w:val="clear" w:color="auto" w:fill="auto"/>
            <w:tcMar>
              <w:left w:w="0" w:type="dxa"/>
              <w:right w:w="0" w:type="dxa"/>
            </w:tcMar>
            <w:vAlign w:val="center"/>
          </w:tcPr>
          <w:p w14:paraId="7FE98C42"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MGCS con equipo de medición en funcionamiento</w:t>
            </w:r>
          </w:p>
        </w:tc>
        <w:tc>
          <w:tcPr>
            <w:tcW w:w="626" w:type="pct"/>
            <w:shd w:val="clear" w:color="auto" w:fill="auto"/>
            <w:tcMar>
              <w:left w:w="0" w:type="dxa"/>
              <w:right w:w="0" w:type="dxa"/>
            </w:tcMar>
            <w:vAlign w:val="center"/>
          </w:tcPr>
          <w:p w14:paraId="3DB6CB32"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Lote</w:t>
            </w:r>
          </w:p>
        </w:tc>
        <w:tc>
          <w:tcPr>
            <w:tcW w:w="250" w:type="pct"/>
            <w:shd w:val="clear" w:color="auto" w:fill="auto"/>
            <w:tcMar>
              <w:left w:w="0" w:type="dxa"/>
              <w:right w:w="0" w:type="dxa"/>
            </w:tcMar>
            <w:vAlign w:val="center"/>
          </w:tcPr>
          <w:p w14:paraId="289E038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0F9F4A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202BCE17"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4B8E01E6"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626" w:type="pct"/>
            <w:shd w:val="clear" w:color="auto" w:fill="auto"/>
            <w:tcMar>
              <w:left w:w="0" w:type="dxa"/>
              <w:right w:w="0" w:type="dxa"/>
            </w:tcMar>
            <w:vAlign w:val="center"/>
          </w:tcPr>
          <w:p w14:paraId="21EBC194"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521" w:type="pct"/>
            <w:shd w:val="clear" w:color="auto" w:fill="auto"/>
            <w:tcMar>
              <w:left w:w="0" w:type="dxa"/>
              <w:right w:w="0" w:type="dxa"/>
            </w:tcMar>
            <w:vAlign w:val="center"/>
          </w:tcPr>
          <w:p w14:paraId="6C6E0941"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5465EF2F"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 xml:space="preserve">MGCS y las oficinas municipales de planificación de 6 municipalidades miembros fueron dotadas con Equipo de Medición. </w:t>
            </w:r>
          </w:p>
        </w:tc>
      </w:tr>
      <w:tr w:rsidR="00954DC7" w:rsidRPr="00954DC7" w14:paraId="3C044E71" w14:textId="77777777" w:rsidTr="00954DC7">
        <w:tc>
          <w:tcPr>
            <w:tcW w:w="1044" w:type="pct"/>
            <w:shd w:val="clear" w:color="auto" w:fill="auto"/>
            <w:tcMar>
              <w:left w:w="0" w:type="dxa"/>
              <w:right w:w="0" w:type="dxa"/>
            </w:tcMar>
            <w:vAlign w:val="center"/>
          </w:tcPr>
          <w:p w14:paraId="3CE2907D"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Funcionarios graduados en el diplomado “Política Fiscal Municipal”.</w:t>
            </w:r>
          </w:p>
        </w:tc>
        <w:tc>
          <w:tcPr>
            <w:tcW w:w="626" w:type="pct"/>
            <w:shd w:val="clear" w:color="auto" w:fill="auto"/>
            <w:tcMar>
              <w:left w:w="0" w:type="dxa"/>
              <w:right w:w="0" w:type="dxa"/>
            </w:tcMar>
            <w:vAlign w:val="center"/>
          </w:tcPr>
          <w:p w14:paraId="5ACDE672"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Número de funcionarios</w:t>
            </w:r>
          </w:p>
        </w:tc>
        <w:tc>
          <w:tcPr>
            <w:tcW w:w="250" w:type="pct"/>
            <w:shd w:val="clear" w:color="auto" w:fill="auto"/>
            <w:tcMar>
              <w:left w:w="0" w:type="dxa"/>
              <w:right w:w="0" w:type="dxa"/>
            </w:tcMar>
            <w:vAlign w:val="center"/>
          </w:tcPr>
          <w:p w14:paraId="280E97DB"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52E46A60"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250" w:type="pct"/>
            <w:shd w:val="clear" w:color="auto" w:fill="auto"/>
            <w:tcMar>
              <w:left w:w="0" w:type="dxa"/>
              <w:right w:w="0" w:type="dxa"/>
            </w:tcMar>
            <w:vAlign w:val="center"/>
          </w:tcPr>
          <w:p w14:paraId="1FD1B919"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14</w:t>
            </w:r>
          </w:p>
        </w:tc>
        <w:tc>
          <w:tcPr>
            <w:tcW w:w="250" w:type="pct"/>
            <w:shd w:val="clear" w:color="auto" w:fill="auto"/>
            <w:tcMar>
              <w:left w:w="0" w:type="dxa"/>
              <w:right w:w="0" w:type="dxa"/>
            </w:tcMar>
            <w:vAlign w:val="center"/>
          </w:tcPr>
          <w:p w14:paraId="4BB6ADDA"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0</w:t>
            </w:r>
          </w:p>
        </w:tc>
        <w:tc>
          <w:tcPr>
            <w:tcW w:w="626" w:type="pct"/>
            <w:shd w:val="clear" w:color="auto" w:fill="auto"/>
            <w:tcMar>
              <w:left w:w="0" w:type="dxa"/>
              <w:right w:w="0" w:type="dxa"/>
            </w:tcMar>
            <w:vAlign w:val="center"/>
          </w:tcPr>
          <w:p w14:paraId="3A385FC2"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14</w:t>
            </w:r>
          </w:p>
        </w:tc>
        <w:tc>
          <w:tcPr>
            <w:tcW w:w="521" w:type="pct"/>
            <w:shd w:val="clear" w:color="auto" w:fill="auto"/>
            <w:tcMar>
              <w:left w:w="0" w:type="dxa"/>
              <w:right w:w="0" w:type="dxa"/>
            </w:tcMar>
            <w:vAlign w:val="center"/>
          </w:tcPr>
          <w:p w14:paraId="1FBE6DF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14</w:t>
            </w:r>
          </w:p>
        </w:tc>
        <w:tc>
          <w:tcPr>
            <w:tcW w:w="1183" w:type="pct"/>
            <w:shd w:val="clear" w:color="auto" w:fill="auto"/>
            <w:tcMar>
              <w:left w:w="0" w:type="dxa"/>
              <w:right w:w="0" w:type="dxa"/>
            </w:tcMar>
          </w:tcPr>
          <w:p w14:paraId="678D8A6C"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Personal de la MGCS y de las municipalidades graduado en el Diplomado.</w:t>
            </w:r>
          </w:p>
        </w:tc>
      </w:tr>
      <w:tr w:rsidR="00954DC7" w:rsidRPr="00954DC7" w14:paraId="7DE4C371" w14:textId="77777777" w:rsidTr="00954DC7">
        <w:tc>
          <w:tcPr>
            <w:tcW w:w="1044" w:type="pct"/>
            <w:shd w:val="clear" w:color="auto" w:fill="auto"/>
            <w:tcMar>
              <w:left w:w="0" w:type="dxa"/>
              <w:right w:w="0" w:type="dxa"/>
            </w:tcMar>
            <w:vAlign w:val="center"/>
          </w:tcPr>
          <w:p w14:paraId="0C420C89"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MGCS con equipo de laboratorio para la implementación del programa de Monitoreo de la calidad del agua para consumo humano y aguas residuales para las municipalidades de la MGCS en funcionamiento.</w:t>
            </w:r>
          </w:p>
          <w:p w14:paraId="5CE7A22F" w14:textId="77777777" w:rsidR="00954DC7" w:rsidRPr="001A1481" w:rsidRDefault="00954DC7" w:rsidP="00992F42">
            <w:pPr>
              <w:autoSpaceDE w:val="0"/>
              <w:adjustRightInd w:val="0"/>
              <w:spacing w:line="240" w:lineRule="auto"/>
              <w:rPr>
                <w:rFonts w:cs="Times New Roman"/>
                <w:sz w:val="20"/>
                <w:szCs w:val="20"/>
                <w:lang w:val="es-ES_tradnl"/>
              </w:rPr>
            </w:pPr>
          </w:p>
        </w:tc>
        <w:tc>
          <w:tcPr>
            <w:tcW w:w="626" w:type="pct"/>
            <w:shd w:val="clear" w:color="auto" w:fill="auto"/>
            <w:tcMar>
              <w:left w:w="0" w:type="dxa"/>
              <w:right w:w="0" w:type="dxa"/>
            </w:tcMar>
            <w:vAlign w:val="center"/>
          </w:tcPr>
          <w:p w14:paraId="3D45CAAD" w14:textId="77777777" w:rsidR="00954DC7" w:rsidRPr="001A1481" w:rsidRDefault="00954DC7" w:rsidP="00992F42">
            <w:pPr>
              <w:spacing w:line="240" w:lineRule="auto"/>
              <w:rPr>
                <w:rFonts w:cs="Times New Roman"/>
                <w:sz w:val="20"/>
                <w:szCs w:val="20"/>
                <w:lang w:val="es-ES_tradnl"/>
              </w:rPr>
            </w:pPr>
            <w:r w:rsidRPr="001A1481">
              <w:rPr>
                <w:rFonts w:cs="Times New Roman"/>
                <w:sz w:val="20"/>
                <w:szCs w:val="20"/>
                <w:lang w:val="es-ES_tradnl"/>
              </w:rPr>
              <w:t>Lotes</w:t>
            </w:r>
          </w:p>
        </w:tc>
        <w:tc>
          <w:tcPr>
            <w:tcW w:w="250" w:type="pct"/>
            <w:shd w:val="clear" w:color="auto" w:fill="auto"/>
            <w:tcMar>
              <w:left w:w="0" w:type="dxa"/>
              <w:right w:w="0" w:type="dxa"/>
            </w:tcMar>
            <w:vAlign w:val="center"/>
          </w:tcPr>
          <w:p w14:paraId="397D3460"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134F2570"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5E5BF601" w14:textId="77777777" w:rsidR="00954DC7" w:rsidRPr="001A1481" w:rsidRDefault="00954DC7" w:rsidP="00992F42">
            <w:pPr>
              <w:spacing w:line="240" w:lineRule="auto"/>
              <w:jc w:val="center"/>
              <w:rPr>
                <w:rFonts w:cs="Times New Roman"/>
                <w:sz w:val="20"/>
                <w:szCs w:val="20"/>
                <w:lang w:val="es-ES_tradnl"/>
              </w:rPr>
            </w:pPr>
          </w:p>
        </w:tc>
        <w:tc>
          <w:tcPr>
            <w:tcW w:w="250" w:type="pct"/>
            <w:shd w:val="clear" w:color="auto" w:fill="auto"/>
            <w:tcMar>
              <w:left w:w="0" w:type="dxa"/>
              <w:right w:w="0" w:type="dxa"/>
            </w:tcMar>
            <w:vAlign w:val="center"/>
          </w:tcPr>
          <w:p w14:paraId="08F966AC"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w:t>
            </w:r>
          </w:p>
        </w:tc>
        <w:tc>
          <w:tcPr>
            <w:tcW w:w="626" w:type="pct"/>
            <w:shd w:val="clear" w:color="auto" w:fill="auto"/>
            <w:tcMar>
              <w:left w:w="0" w:type="dxa"/>
              <w:right w:w="0" w:type="dxa"/>
            </w:tcMar>
            <w:vAlign w:val="center"/>
          </w:tcPr>
          <w:p w14:paraId="62E493F2"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2</w:t>
            </w:r>
          </w:p>
        </w:tc>
        <w:tc>
          <w:tcPr>
            <w:tcW w:w="521" w:type="pct"/>
            <w:shd w:val="clear" w:color="auto" w:fill="auto"/>
            <w:tcMar>
              <w:left w:w="0" w:type="dxa"/>
              <w:right w:w="0" w:type="dxa"/>
            </w:tcMar>
            <w:vAlign w:val="center"/>
          </w:tcPr>
          <w:p w14:paraId="760CA558" w14:textId="77777777" w:rsidR="00954DC7" w:rsidRPr="001A1481" w:rsidRDefault="00954DC7" w:rsidP="00992F42">
            <w:pPr>
              <w:spacing w:line="240" w:lineRule="auto"/>
              <w:jc w:val="center"/>
              <w:rPr>
                <w:rFonts w:cs="Times New Roman"/>
                <w:sz w:val="20"/>
                <w:szCs w:val="20"/>
                <w:lang w:val="es-ES_tradnl"/>
              </w:rPr>
            </w:pPr>
            <w:r w:rsidRPr="001A1481">
              <w:rPr>
                <w:rFonts w:cs="Times New Roman"/>
                <w:sz w:val="20"/>
                <w:szCs w:val="20"/>
                <w:lang w:val="es-ES_tradnl"/>
              </w:rPr>
              <w:t>1</w:t>
            </w:r>
          </w:p>
        </w:tc>
        <w:tc>
          <w:tcPr>
            <w:tcW w:w="1183" w:type="pct"/>
            <w:shd w:val="clear" w:color="auto" w:fill="auto"/>
            <w:tcMar>
              <w:left w:w="0" w:type="dxa"/>
              <w:right w:w="0" w:type="dxa"/>
            </w:tcMar>
          </w:tcPr>
          <w:p w14:paraId="5E301987"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MGCS con equipo de laboratorio de Monitoreo de la calidad de aguas residuales en funcionamiento en AMSA, al servicio de las 6 municipalidades miembros.</w:t>
            </w:r>
          </w:p>
          <w:p w14:paraId="765033EB" w14:textId="77777777" w:rsidR="00954DC7" w:rsidRPr="001A1481" w:rsidRDefault="00954DC7" w:rsidP="00992F42">
            <w:pPr>
              <w:autoSpaceDE w:val="0"/>
              <w:adjustRightInd w:val="0"/>
              <w:spacing w:line="240" w:lineRule="auto"/>
              <w:rPr>
                <w:rFonts w:cs="Times New Roman"/>
                <w:sz w:val="20"/>
                <w:szCs w:val="20"/>
                <w:lang w:val="es-ES_tradnl"/>
              </w:rPr>
            </w:pPr>
            <w:r w:rsidRPr="001A1481">
              <w:rPr>
                <w:rFonts w:cs="Times New Roman"/>
                <w:sz w:val="20"/>
                <w:szCs w:val="20"/>
                <w:lang w:val="es-ES_tradnl"/>
              </w:rPr>
              <w:t>El equipo de laboratorio para monitoreo de agua para consumo humano no fue posible su adquisición por falta de oferentes en dos procesos de adquisición.</w:t>
            </w:r>
          </w:p>
        </w:tc>
      </w:tr>
    </w:tbl>
    <w:p w14:paraId="0003B7CC" w14:textId="77777777" w:rsidR="00954DC7" w:rsidRPr="00954DC7" w:rsidRDefault="00954DC7" w:rsidP="00954DC7">
      <w:pPr>
        <w:rPr>
          <w:rFonts w:ascii="Arial" w:hAnsi="Arial" w:cs="Arial"/>
          <w:color w:val="000000" w:themeColor="text1"/>
          <w:sz w:val="15"/>
          <w:szCs w:val="15"/>
          <w:lang w:val="es-MX"/>
        </w:rPr>
      </w:pPr>
      <w:bookmarkStart w:id="1" w:name="_GoBack"/>
      <w:bookmarkEnd w:id="1"/>
    </w:p>
    <w:sectPr w:rsidR="00954DC7" w:rsidRPr="0095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4B0"/>
    <w:multiLevelType w:val="hybridMultilevel"/>
    <w:tmpl w:val="ABDA63E0"/>
    <w:lvl w:ilvl="0" w:tplc="678CCC60">
      <w:start w:val="1"/>
      <w:numFmt w:val="decimal"/>
      <w:lvlText w:val="%1."/>
      <w:lvlJc w:val="left"/>
      <w:pPr>
        <w:ind w:left="270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6903"/>
    <w:multiLevelType w:val="multilevel"/>
    <w:tmpl w:val="497A4650"/>
    <w:lvl w:ilvl="0">
      <w:start w:val="1"/>
      <w:numFmt w:val="decimal"/>
      <w:lvlText w:val="%1."/>
      <w:lvlJc w:val="left"/>
      <w:pPr>
        <w:ind w:left="465" w:hanging="46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398D09F7"/>
    <w:multiLevelType w:val="multilevel"/>
    <w:tmpl w:val="497A4650"/>
    <w:lvl w:ilvl="0">
      <w:start w:val="1"/>
      <w:numFmt w:val="decimal"/>
      <w:lvlText w:val="%1."/>
      <w:lvlJc w:val="left"/>
      <w:pPr>
        <w:ind w:left="465" w:hanging="46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52A416AB"/>
    <w:multiLevelType w:val="multilevel"/>
    <w:tmpl w:val="497A4650"/>
    <w:lvl w:ilvl="0">
      <w:start w:val="1"/>
      <w:numFmt w:val="decimal"/>
      <w:lvlText w:val="%1."/>
      <w:lvlJc w:val="left"/>
      <w:pPr>
        <w:ind w:left="465" w:hanging="46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7F6652CC"/>
    <w:multiLevelType w:val="hybridMultilevel"/>
    <w:tmpl w:val="5D5CF8C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134D20"/>
    <w:rsid w:val="00544EDD"/>
    <w:rsid w:val="00954DC7"/>
    <w:rsid w:val="00D84438"/>
    <w:rsid w:val="00ED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7A2C"/>
  <w15:chartTrackingRefBased/>
  <w15:docId w15:val="{ED04873A-9CFD-4BA5-8AC2-30257795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B78"/>
  </w:style>
  <w:style w:type="paragraph" w:styleId="Heading2">
    <w:name w:val="heading 2"/>
    <w:basedOn w:val="Normal"/>
    <w:next w:val="Normal"/>
    <w:link w:val="Heading2Char"/>
    <w:uiPriority w:val="9"/>
    <w:semiHidden/>
    <w:unhideWhenUsed/>
    <w:qFormat/>
    <w:rsid w:val="00ED0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ED0B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B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0B78"/>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ED0B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B78"/>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rsid w:val="00ED0B78"/>
    <w:pPr>
      <w:jc w:val="both"/>
    </w:pPr>
    <w:rPr>
      <w:rFonts w:ascii="Times New Roman" w:hAnsi="Times New Roman"/>
      <w:sz w:val="24"/>
    </w:rPr>
  </w:style>
  <w:style w:type="character" w:customStyle="1" w:styleId="BodyText2Char">
    <w:name w:val="Body Text 2 Char"/>
    <w:basedOn w:val="DefaultParagraphFont"/>
    <w:link w:val="BodyText2"/>
    <w:semiHidden/>
    <w:rsid w:val="00ED0B78"/>
    <w:rPr>
      <w:rFonts w:ascii="Times New Roman" w:hAnsi="Times New Roman"/>
      <w:sz w:val="24"/>
    </w:rPr>
  </w:style>
  <w:style w:type="paragraph" w:styleId="ListParagraph">
    <w:name w:val="List Paragraph"/>
    <w:basedOn w:val="Normal"/>
    <w:uiPriority w:val="34"/>
    <w:qFormat/>
    <w:rsid w:val="00ED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IADB</dc:creator>
  <cp:keywords/>
  <dc:description/>
  <cp:lastModifiedBy>IADB</cp:lastModifiedBy>
  <cp:revision>3</cp:revision>
  <dcterms:created xsi:type="dcterms:W3CDTF">2018-08-21T01:14:00Z</dcterms:created>
  <dcterms:modified xsi:type="dcterms:W3CDTF">2018-09-25T21:53:00Z</dcterms:modified>
</cp:coreProperties>
</file>