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pPr>
        <w:spacing w:before="240" w:after="240"/>
        <w:jc w:val="center"/>
        <w:rPr>
          <w:rFonts w:ascii="Arial" w:eastAsia="Arial" w:hAnsi="Arial" w:cs="Arial"/>
          <w:lang w:val="es-ES_tradnl"/>
        </w:rPr>
      </w:pPr>
      <w:r>
        <w:rPr>
          <w:rFonts w:ascii="Arial" w:eastAsia="Arial" w:hAnsi="Arial" w:cs="Arial"/>
          <w:smallCaps/>
          <w:lang w:val="es-ES_tradnl"/>
        </w:rPr>
        <w:t>Documento del Banco Interamericano de Desarrollo</w:t>
      </w:r>
    </w:p>
    <w:p>
      <w:pPr>
        <w:spacing w:before="240" w:after="240"/>
        <w:jc w:val="center"/>
        <w:rPr>
          <w:rFonts w:ascii="Arial" w:hAnsi="Arial" w:cs="Arial"/>
          <w:smallCaps/>
          <w:lang w:val="es-ES_tradnl"/>
        </w:rPr>
      </w:pPr>
    </w:p>
    <w:p>
      <w:pPr>
        <w:spacing w:before="240" w:after="240"/>
        <w:jc w:val="center"/>
        <w:rPr>
          <w:rFonts w:ascii="Arial" w:hAnsi="Arial" w:cs="Arial"/>
          <w:smallCaps/>
          <w:lang w:val="es-ES_tradnl"/>
        </w:rPr>
      </w:pPr>
    </w:p>
    <w:p>
      <w:pPr>
        <w:spacing w:before="240" w:after="240"/>
        <w:jc w:val="center"/>
        <w:rPr>
          <w:rFonts w:ascii="Arial" w:hAnsi="Arial" w:cs="Arial"/>
          <w:smallCaps/>
          <w:sz w:val="28"/>
          <w:lang w:val="es-ES_tradnl"/>
        </w:rPr>
      </w:pPr>
    </w:p>
    <w:p>
      <w:pPr>
        <w:spacing w:before="240" w:after="240"/>
        <w:jc w:val="center"/>
        <w:rPr>
          <w:rFonts w:ascii="Arial" w:eastAsia="Arial" w:hAnsi="Arial" w:cs="Arial"/>
          <w:b/>
          <w:bCs/>
          <w:sz w:val="28"/>
          <w:szCs w:val="28"/>
          <w:lang w:val="es-ES_tradnl"/>
        </w:rPr>
      </w:pPr>
      <w:r>
        <w:rPr>
          <w:rFonts w:ascii="Arial" w:eastAsia="Arial" w:hAnsi="Arial" w:cs="Arial"/>
          <w:b/>
          <w:bCs/>
          <w:smallCaps/>
          <w:sz w:val="28"/>
          <w:szCs w:val="28"/>
          <w:lang w:val="es-ES_tradnl"/>
        </w:rPr>
        <w:t>Colombia</w:t>
      </w:r>
    </w:p>
    <w:p>
      <w:pPr>
        <w:spacing w:before="240" w:after="240"/>
        <w:rPr>
          <w:rFonts w:ascii="Arial" w:hAnsi="Arial" w:cs="Arial"/>
          <w:sz w:val="28"/>
          <w:lang w:val="es-ES_tradnl"/>
        </w:rPr>
      </w:pPr>
    </w:p>
    <w:p>
      <w:pPr>
        <w:spacing w:before="240" w:after="240"/>
        <w:rPr>
          <w:rFonts w:ascii="Arial" w:hAnsi="Arial" w:cs="Arial"/>
          <w:sz w:val="28"/>
          <w:lang w:val="es-ES_tradnl"/>
        </w:rPr>
      </w:pPr>
    </w:p>
    <w:p>
      <w:pPr>
        <w:spacing w:before="240" w:after="240"/>
        <w:jc w:val="center"/>
        <w:rPr>
          <w:rFonts w:ascii="Arial" w:eastAsia="Arial" w:hAnsi="Arial" w:cs="Arial"/>
          <w:b/>
          <w:bCs/>
          <w:sz w:val="28"/>
          <w:szCs w:val="28"/>
          <w:lang w:val="es-ES_tradnl"/>
        </w:rPr>
      </w:pPr>
      <w:r>
        <w:rPr>
          <w:rFonts w:ascii="Arial" w:eastAsia="Arial" w:hAnsi="Arial" w:cs="Arial"/>
          <w:b/>
          <w:bCs/>
          <w:smallCaps/>
          <w:sz w:val="28"/>
          <w:szCs w:val="28"/>
          <w:lang w:val="es-ES_tradnl"/>
        </w:rPr>
        <w:t>Programa de Profundización de la Reforma Fiscal en Colombia II</w:t>
      </w:r>
    </w:p>
    <w:p>
      <w:pPr>
        <w:spacing w:before="240" w:after="240"/>
        <w:jc w:val="center"/>
        <w:rPr>
          <w:rFonts w:ascii="Arial" w:eastAsia="Arial" w:hAnsi="Arial" w:cs="Arial"/>
          <w:b/>
          <w:bCs/>
          <w:lang w:val="es-ES_tradnl"/>
        </w:rPr>
      </w:pPr>
      <w:r>
        <w:rPr>
          <w:rFonts w:ascii="Arial" w:eastAsia="Arial" w:hAnsi="Arial" w:cs="Arial"/>
          <w:b/>
          <w:bCs/>
          <w:smallCaps/>
          <w:lang w:val="es-ES_tradnl"/>
        </w:rPr>
        <w:t>(CO-L1227)</w:t>
      </w:r>
    </w:p>
    <w:p>
      <w:pPr>
        <w:tabs>
          <w:tab w:val="left" w:pos="1440"/>
          <w:tab w:val="left" w:pos="3060"/>
        </w:tabs>
        <w:spacing w:before="240" w:after="240"/>
        <w:rPr>
          <w:rFonts w:ascii="Arial" w:hAnsi="Arial" w:cs="Arial"/>
          <w:smallCaps/>
          <w:lang w:val="es-ES_tradnl"/>
        </w:rPr>
      </w:pPr>
    </w:p>
    <w:p>
      <w:pPr>
        <w:tabs>
          <w:tab w:val="left" w:pos="1440"/>
          <w:tab w:val="left" w:pos="3060"/>
        </w:tabs>
        <w:spacing w:before="240" w:after="240"/>
        <w:jc w:val="center"/>
        <w:rPr>
          <w:rFonts w:ascii="Arial" w:hAnsi="Arial" w:cs="Arial"/>
          <w:smallCaps/>
          <w:lang w:val="es-ES_tradnl"/>
        </w:rPr>
      </w:pPr>
    </w:p>
    <w:p>
      <w:pPr>
        <w:tabs>
          <w:tab w:val="left" w:pos="1440"/>
          <w:tab w:val="left" w:pos="3060"/>
        </w:tabs>
        <w:spacing w:before="240" w:after="240"/>
        <w:jc w:val="center"/>
        <w:rPr>
          <w:rFonts w:ascii="Arial" w:hAnsi="Arial" w:cs="Arial"/>
          <w:smallCaps/>
          <w:lang w:val="es-ES_tradnl"/>
        </w:rPr>
      </w:pPr>
    </w:p>
    <w:p>
      <w:pPr>
        <w:tabs>
          <w:tab w:val="left" w:pos="1440"/>
          <w:tab w:val="left" w:pos="3060"/>
        </w:tabs>
        <w:spacing w:before="240" w:after="240"/>
        <w:jc w:val="center"/>
        <w:outlineLvl w:val="0"/>
        <w:rPr>
          <w:rFonts w:ascii="Arial" w:eastAsia="Arial" w:hAnsi="Arial" w:cs="Arial"/>
          <w:b/>
          <w:bCs/>
          <w:sz w:val="24"/>
          <w:szCs w:val="24"/>
          <w:lang w:val="es-ES_tradnl"/>
        </w:rPr>
      </w:pPr>
      <w:r>
        <w:rPr>
          <w:rFonts w:ascii="Arial" w:eastAsia="Arial" w:hAnsi="Arial" w:cs="Arial"/>
          <w:b/>
          <w:bCs/>
          <w:smallCaps/>
          <w:sz w:val="24"/>
          <w:szCs w:val="24"/>
          <w:lang w:val="es-ES_tradnl"/>
        </w:rPr>
        <w:t>Plan de Monitoreo y Evaluación</w:t>
      </w:r>
    </w:p>
    <w:p>
      <w:pPr>
        <w:tabs>
          <w:tab w:val="left" w:pos="1440"/>
          <w:tab w:val="left" w:pos="3060"/>
        </w:tabs>
        <w:spacing w:before="240" w:after="240"/>
        <w:jc w:val="center"/>
        <w:outlineLvl w:val="0"/>
        <w:rPr>
          <w:rFonts w:ascii="Arial" w:hAnsi="Arial" w:cs="Arial"/>
          <w:b/>
          <w:smallCaps/>
          <w:lang w:val="es-ES_tradnl"/>
        </w:rPr>
      </w:pPr>
    </w:p>
    <w:p>
      <w:pPr>
        <w:tabs>
          <w:tab w:val="left" w:pos="1440"/>
          <w:tab w:val="left" w:pos="3060"/>
        </w:tabs>
        <w:spacing w:before="240" w:after="240"/>
        <w:jc w:val="center"/>
        <w:outlineLvl w:val="0"/>
        <w:rPr>
          <w:rFonts w:ascii="Arial" w:hAnsi="Arial" w:cs="Arial"/>
          <w:b/>
          <w:smallCaps/>
          <w:lang w:val="es-ES_tradnl"/>
        </w:rPr>
      </w:pPr>
    </w:p>
    <w:p>
      <w:pPr>
        <w:tabs>
          <w:tab w:val="left" w:pos="1440"/>
          <w:tab w:val="left" w:pos="3060"/>
        </w:tabs>
        <w:spacing w:before="240" w:after="240"/>
        <w:jc w:val="center"/>
        <w:outlineLvl w:val="0"/>
        <w:rPr>
          <w:rFonts w:ascii="Arial" w:hAnsi="Arial" w:cs="Arial"/>
          <w:b/>
          <w:smallCaps/>
          <w:lang w:val="es-ES_tradnl"/>
        </w:rPr>
      </w:pPr>
    </w:p>
    <w:p>
      <w:pPr>
        <w:tabs>
          <w:tab w:val="left" w:pos="1440"/>
          <w:tab w:val="left" w:pos="3060"/>
        </w:tabs>
        <w:spacing w:before="240" w:after="240"/>
        <w:jc w:val="center"/>
        <w:outlineLvl w:val="0"/>
        <w:rPr>
          <w:rFonts w:ascii="Arial" w:hAnsi="Arial" w:cs="Arial"/>
          <w:b/>
          <w:smallCaps/>
          <w:lang w:val="es-ES_tradnl"/>
        </w:rPr>
      </w:pPr>
    </w:p>
    <w:p>
      <w:pPr>
        <w:tabs>
          <w:tab w:val="left" w:pos="1440"/>
          <w:tab w:val="left" w:pos="3060"/>
        </w:tabs>
        <w:spacing w:before="240" w:after="240"/>
        <w:jc w:val="center"/>
        <w:outlineLvl w:val="0"/>
        <w:rPr>
          <w:rFonts w:ascii="Arial" w:hAnsi="Arial" w:cs="Arial"/>
          <w:b/>
          <w:smallCaps/>
          <w:lang w:val="es-ES_tradnl"/>
        </w:rPr>
      </w:pPr>
    </w:p>
    <w:p>
      <w:pPr>
        <w:tabs>
          <w:tab w:val="left" w:pos="1440"/>
          <w:tab w:val="left" w:pos="3060"/>
        </w:tabs>
        <w:spacing w:before="240" w:after="240"/>
        <w:jc w:val="center"/>
        <w:outlineLvl w:val="0"/>
        <w:rPr>
          <w:rFonts w:ascii="Arial" w:hAnsi="Arial" w:cs="Arial"/>
          <w:b/>
          <w:smallCaps/>
          <w:lang w:val="es-ES_tradnl"/>
        </w:rPr>
      </w:pPr>
    </w:p>
    <w:p>
      <w:pPr>
        <w:tabs>
          <w:tab w:val="left" w:pos="1440"/>
          <w:tab w:val="left" w:pos="3060"/>
        </w:tabs>
        <w:spacing w:before="240" w:after="240"/>
        <w:jc w:val="center"/>
        <w:outlineLvl w:val="0"/>
        <w:rPr>
          <w:rFonts w:ascii="Arial" w:hAnsi="Arial" w:cs="Arial"/>
          <w:b/>
          <w:smallCaps/>
          <w:lang w:val="es-ES_tradnl"/>
        </w:rPr>
      </w:pPr>
    </w:p>
    <w:p>
      <w:pPr>
        <w:spacing w:after="0"/>
        <w:rPr>
          <w:rFonts w:ascii="Arial" w:hAnsi="Arial" w:cs="Arial"/>
          <w:lang w:val="es-ES_tradnl"/>
        </w:rPr>
        <w:sectPr>
          <w:pgSz w:w="12240" w:h="15840"/>
          <w:pgMar w:top="1440" w:right="1800" w:bottom="1440" w:left="1800" w:header="720" w:footer="720" w:gutter="0"/>
          <w:cols w:space="720"/>
          <w:titlePg/>
          <w:docGrid w:linePitch="360"/>
        </w:sectPr>
      </w:pPr>
    </w:p>
    <w:p>
      <w:pPr>
        <w:spacing w:after="0"/>
        <w:rPr>
          <w:rFonts w:ascii="Arial" w:hAnsi="Arial" w:cs="Arial"/>
          <w:lang w:val="es-ES_tradnl"/>
        </w:rPr>
      </w:pPr>
    </w:p>
    <w:p>
      <w:pPr>
        <w:pStyle w:val="Newpage"/>
        <w:spacing w:line="276" w:lineRule="auto"/>
        <w:rPr>
          <w:rFonts w:ascii="Arial" w:hAnsi="Arial"/>
          <w:smallCaps w:val="0"/>
          <w:sz w:val="22"/>
          <w:szCs w:val="22"/>
          <w:lang w:val="es-ES_tradnl"/>
        </w:rPr>
      </w:pPr>
      <w:bookmarkStart w:id="0" w:name="_Toc244893580"/>
      <w:r>
        <w:rPr>
          <w:rFonts w:ascii="Arial" w:hAnsi="Arial"/>
          <w:smallCaps w:val="0"/>
          <w:sz w:val="22"/>
          <w:szCs w:val="22"/>
          <w:lang w:val="es-ES_tradnl"/>
        </w:rPr>
        <w:t>CONTENIDO</w:t>
      </w:r>
      <w:bookmarkEnd w:id="0"/>
    </w:p>
    <w:p>
      <w:pPr>
        <w:spacing w:after="0"/>
        <w:rPr>
          <w:rFonts w:ascii="Arial" w:hAnsi="Arial" w:cs="Arial"/>
          <w:lang w:val="es-ES_tradnl"/>
        </w:rPr>
      </w:pPr>
    </w:p>
    <w:p>
      <w:pPr>
        <w:pStyle w:val="TOC1"/>
        <w:spacing w:before="0" w:after="0"/>
        <w:rPr>
          <w:rFonts w:eastAsiaTheme="minorEastAsia"/>
          <w:b w:val="0"/>
          <w:smallCaps w:val="0"/>
          <w:spacing w:val="0"/>
          <w:sz w:val="20"/>
          <w:szCs w:val="22"/>
          <w:lang w:val="es-ES_tradnl"/>
        </w:rPr>
      </w:pPr>
      <w:r>
        <w:rPr>
          <w:b w:val="0"/>
          <w:smallCaps w:val="0"/>
          <w:sz w:val="20"/>
          <w:lang w:val="es-ES_tradnl"/>
        </w:rPr>
        <w:fldChar w:fldCharType="begin"/>
      </w:r>
      <w:r>
        <w:rPr>
          <w:b w:val="0"/>
          <w:smallCaps w:val="0"/>
          <w:sz w:val="20"/>
          <w:lang w:val="es-ES_tradnl"/>
        </w:rPr>
        <w:instrText xml:space="preserve"> TOC \f \t "Chapter,1,FirstHeading,2,SecHeading,3" </w:instrText>
      </w:r>
      <w:r>
        <w:rPr>
          <w:b w:val="0"/>
          <w:smallCaps w:val="0"/>
          <w:sz w:val="20"/>
          <w:lang w:val="es-ES_tradnl"/>
        </w:rPr>
        <w:fldChar w:fldCharType="separate"/>
      </w:r>
      <w:r>
        <w:rPr>
          <w:sz w:val="20"/>
          <w:lang w:val="es-ES_tradnl"/>
        </w:rPr>
        <w:t>I</w:t>
      </w:r>
      <w:r>
        <w:rPr>
          <w:sz w:val="22"/>
          <w:lang w:val="es-ES_tradnl"/>
        </w:rPr>
        <w:t>.</w:t>
      </w:r>
      <w:r>
        <w:rPr>
          <w:rFonts w:eastAsiaTheme="minorEastAsia"/>
          <w:b w:val="0"/>
          <w:smallCaps w:val="0"/>
          <w:spacing w:val="0"/>
          <w:sz w:val="20"/>
          <w:szCs w:val="22"/>
          <w:lang w:val="es-ES_tradnl"/>
        </w:rPr>
        <w:tab/>
      </w:r>
      <w:r>
        <w:rPr>
          <w:sz w:val="22"/>
          <w:lang w:val="es-ES_tradnl"/>
        </w:rPr>
        <w:t>Introducción</w:t>
      </w:r>
      <w:r>
        <w:rPr>
          <w:sz w:val="22"/>
        </w:rPr>
        <w:tab/>
      </w:r>
      <w:r>
        <w:rPr>
          <w:sz w:val="22"/>
        </w:rPr>
        <w:fldChar w:fldCharType="begin"/>
      </w:r>
      <w:r>
        <w:rPr>
          <w:sz w:val="22"/>
        </w:rPr>
        <w:instrText xml:space="preserve"> PAGEREF _Toc496695004 \h </w:instrText>
      </w:r>
      <w:r>
        <w:rPr>
          <w:sz w:val="22"/>
        </w:rPr>
      </w:r>
      <w:r>
        <w:rPr>
          <w:sz w:val="22"/>
        </w:rPr>
        <w:fldChar w:fldCharType="separate"/>
      </w:r>
      <w:r>
        <w:rPr>
          <w:sz w:val="22"/>
        </w:rPr>
        <w:t>3</w:t>
      </w:r>
      <w:r>
        <w:rPr>
          <w:sz w:val="22"/>
        </w:rPr>
        <w:fldChar w:fldCharType="end"/>
      </w:r>
    </w:p>
    <w:p>
      <w:pPr>
        <w:pStyle w:val="TOC1"/>
        <w:spacing w:before="0" w:after="0"/>
        <w:rPr>
          <w:sz w:val="22"/>
          <w:lang w:val="es-ES_tradnl"/>
        </w:rPr>
      </w:pPr>
    </w:p>
    <w:p>
      <w:pPr>
        <w:pStyle w:val="TOC1"/>
        <w:spacing w:before="0" w:after="0"/>
        <w:rPr>
          <w:rFonts w:eastAsiaTheme="minorEastAsia"/>
          <w:b w:val="0"/>
          <w:smallCaps w:val="0"/>
          <w:spacing w:val="0"/>
          <w:sz w:val="20"/>
          <w:szCs w:val="22"/>
          <w:lang w:val="es-ES_tradnl"/>
        </w:rPr>
      </w:pPr>
      <w:r>
        <w:rPr>
          <w:b w:val="0"/>
          <w:sz w:val="22"/>
          <w:lang w:val="es-ES_tradnl"/>
        </w:rPr>
        <w:t>A.</w:t>
      </w:r>
      <w:r>
        <w:rPr>
          <w:rFonts w:eastAsiaTheme="minorEastAsia"/>
          <w:b w:val="0"/>
          <w:smallCaps w:val="0"/>
          <w:spacing w:val="0"/>
          <w:sz w:val="20"/>
          <w:szCs w:val="22"/>
          <w:lang w:val="es-ES_tradnl"/>
        </w:rPr>
        <w:tab/>
      </w:r>
      <w:r>
        <w:rPr>
          <w:b w:val="0"/>
          <w:sz w:val="22"/>
          <w:lang w:val="es-ES_tradnl"/>
        </w:rPr>
        <w:t>Marco General</w:t>
      </w:r>
      <w:r>
        <w:rPr>
          <w:b w:val="0"/>
          <w:sz w:val="22"/>
        </w:rPr>
        <w:tab/>
      </w:r>
      <w:r>
        <w:rPr>
          <w:b w:val="0"/>
          <w:sz w:val="22"/>
        </w:rPr>
        <w:fldChar w:fldCharType="begin"/>
      </w:r>
      <w:r>
        <w:rPr>
          <w:b w:val="0"/>
          <w:sz w:val="22"/>
        </w:rPr>
        <w:instrText xml:space="preserve"> PAGEREF _Toc496695005 \h </w:instrText>
      </w:r>
      <w:r>
        <w:rPr>
          <w:b w:val="0"/>
          <w:sz w:val="22"/>
        </w:rPr>
      </w:r>
      <w:r>
        <w:rPr>
          <w:b w:val="0"/>
          <w:sz w:val="22"/>
        </w:rPr>
        <w:fldChar w:fldCharType="separate"/>
      </w:r>
      <w:r>
        <w:rPr>
          <w:b w:val="0"/>
          <w:sz w:val="22"/>
        </w:rPr>
        <w:t>3</w:t>
      </w:r>
      <w:r>
        <w:rPr>
          <w:b w:val="0"/>
          <w:sz w:val="22"/>
        </w:rPr>
        <w:fldChar w:fldCharType="end"/>
      </w:r>
    </w:p>
    <w:p>
      <w:pPr>
        <w:pStyle w:val="TOC1"/>
        <w:spacing w:before="0" w:after="0"/>
        <w:rPr>
          <w:rFonts w:eastAsiaTheme="minorEastAsia"/>
          <w:b w:val="0"/>
          <w:smallCaps w:val="0"/>
          <w:spacing w:val="0"/>
          <w:sz w:val="20"/>
          <w:szCs w:val="22"/>
          <w:lang w:val="es-ES_tradnl"/>
        </w:rPr>
      </w:pPr>
      <w:r>
        <w:rPr>
          <w:b w:val="0"/>
          <w:sz w:val="22"/>
          <w:lang w:val="es-ES_tradnl"/>
        </w:rPr>
        <w:t>B.</w:t>
      </w:r>
      <w:r>
        <w:rPr>
          <w:rFonts w:eastAsiaTheme="minorEastAsia"/>
          <w:b w:val="0"/>
          <w:smallCaps w:val="0"/>
          <w:spacing w:val="0"/>
          <w:sz w:val="20"/>
          <w:szCs w:val="22"/>
          <w:lang w:val="es-ES_tradnl"/>
        </w:rPr>
        <w:tab/>
      </w:r>
      <w:r>
        <w:rPr>
          <w:b w:val="0"/>
          <w:sz w:val="22"/>
          <w:lang w:val="es-ES_tradnl"/>
        </w:rPr>
        <w:t>Resumen de los arreglos para la implementación del Programa</w:t>
      </w:r>
      <w:r>
        <w:rPr>
          <w:b w:val="0"/>
          <w:sz w:val="22"/>
        </w:rPr>
        <w:tab/>
      </w:r>
      <w:r>
        <w:rPr>
          <w:b w:val="0"/>
          <w:sz w:val="22"/>
        </w:rPr>
        <w:fldChar w:fldCharType="begin"/>
      </w:r>
      <w:r>
        <w:rPr>
          <w:b w:val="0"/>
          <w:sz w:val="22"/>
        </w:rPr>
        <w:instrText xml:space="preserve"> PAGEREF _Toc496695006 \h </w:instrText>
      </w:r>
      <w:r>
        <w:rPr>
          <w:b w:val="0"/>
          <w:sz w:val="22"/>
        </w:rPr>
      </w:r>
      <w:r>
        <w:rPr>
          <w:b w:val="0"/>
          <w:sz w:val="22"/>
        </w:rPr>
        <w:fldChar w:fldCharType="separate"/>
      </w:r>
      <w:r>
        <w:rPr>
          <w:b w:val="0"/>
          <w:sz w:val="22"/>
        </w:rPr>
        <w:t>3</w:t>
      </w:r>
      <w:r>
        <w:rPr>
          <w:b w:val="0"/>
          <w:sz w:val="22"/>
        </w:rPr>
        <w:fldChar w:fldCharType="end"/>
      </w:r>
    </w:p>
    <w:p>
      <w:pPr>
        <w:pStyle w:val="TOC1"/>
        <w:spacing w:before="0" w:after="0"/>
        <w:rPr>
          <w:sz w:val="22"/>
          <w:lang w:val="es-ES_tradnl"/>
        </w:rPr>
      </w:pPr>
    </w:p>
    <w:p>
      <w:pPr>
        <w:pStyle w:val="TOC1"/>
        <w:spacing w:before="0" w:after="0"/>
        <w:rPr>
          <w:rFonts w:eastAsiaTheme="minorEastAsia"/>
          <w:b w:val="0"/>
          <w:smallCaps w:val="0"/>
          <w:spacing w:val="0"/>
          <w:sz w:val="20"/>
          <w:szCs w:val="22"/>
          <w:lang w:val="es-ES_tradnl"/>
        </w:rPr>
      </w:pPr>
      <w:r>
        <w:rPr>
          <w:sz w:val="22"/>
          <w:lang w:val="es-ES_tradnl"/>
        </w:rPr>
        <w:t>II.</w:t>
      </w:r>
      <w:r>
        <w:rPr>
          <w:rFonts w:eastAsiaTheme="minorEastAsia"/>
          <w:b w:val="0"/>
          <w:smallCaps w:val="0"/>
          <w:spacing w:val="0"/>
          <w:sz w:val="20"/>
          <w:szCs w:val="22"/>
          <w:lang w:val="es-ES_tradnl"/>
        </w:rPr>
        <w:tab/>
      </w:r>
      <w:r>
        <w:rPr>
          <w:sz w:val="22"/>
          <w:lang w:val="es-ES_tradnl"/>
        </w:rPr>
        <w:t>Monitoreo</w:t>
      </w:r>
      <w:r>
        <w:rPr>
          <w:sz w:val="22"/>
        </w:rPr>
        <w:tab/>
      </w:r>
      <w:r>
        <w:rPr>
          <w:sz w:val="22"/>
        </w:rPr>
        <w:fldChar w:fldCharType="begin"/>
      </w:r>
      <w:r>
        <w:rPr>
          <w:sz w:val="22"/>
        </w:rPr>
        <w:instrText xml:space="preserve"> PAGEREF _Toc496695007 \h </w:instrText>
      </w:r>
      <w:r>
        <w:rPr>
          <w:sz w:val="22"/>
        </w:rPr>
      </w:r>
      <w:r>
        <w:rPr>
          <w:sz w:val="22"/>
        </w:rPr>
        <w:fldChar w:fldCharType="separate"/>
      </w:r>
      <w:r>
        <w:rPr>
          <w:sz w:val="22"/>
        </w:rPr>
        <w:t>4</w:t>
      </w:r>
      <w:r>
        <w:rPr>
          <w:sz w:val="22"/>
        </w:rPr>
        <w:fldChar w:fldCharType="end"/>
      </w:r>
    </w:p>
    <w:p>
      <w:pPr>
        <w:pStyle w:val="TOC1"/>
        <w:spacing w:before="0" w:after="0"/>
        <w:rPr>
          <w:sz w:val="22"/>
          <w:lang w:val="es-ES_tradnl"/>
        </w:rPr>
      </w:pPr>
    </w:p>
    <w:p>
      <w:pPr>
        <w:pStyle w:val="TOC1"/>
        <w:spacing w:before="0" w:after="0"/>
        <w:rPr>
          <w:rFonts w:eastAsiaTheme="minorEastAsia"/>
          <w:b w:val="0"/>
          <w:smallCaps w:val="0"/>
          <w:spacing w:val="0"/>
          <w:sz w:val="20"/>
          <w:szCs w:val="22"/>
          <w:lang w:val="es-ES_tradnl"/>
        </w:rPr>
      </w:pPr>
      <w:r>
        <w:rPr>
          <w:b w:val="0"/>
          <w:sz w:val="22"/>
          <w:lang w:val="es-ES_tradnl"/>
        </w:rPr>
        <w:t>A.</w:t>
      </w:r>
      <w:r>
        <w:rPr>
          <w:rFonts w:eastAsiaTheme="minorEastAsia"/>
          <w:b w:val="0"/>
          <w:smallCaps w:val="0"/>
          <w:spacing w:val="0"/>
          <w:sz w:val="20"/>
          <w:szCs w:val="22"/>
          <w:lang w:val="es-ES_tradnl"/>
        </w:rPr>
        <w:tab/>
      </w:r>
      <w:r>
        <w:rPr>
          <w:b w:val="0"/>
          <w:sz w:val="22"/>
          <w:lang w:val="es-ES_tradnl"/>
        </w:rPr>
        <w:t>Indicadores</w:t>
      </w:r>
      <w:r>
        <w:rPr>
          <w:b w:val="0"/>
          <w:sz w:val="22"/>
        </w:rPr>
        <w:tab/>
      </w:r>
      <w:r>
        <w:rPr>
          <w:b w:val="0"/>
          <w:sz w:val="22"/>
        </w:rPr>
        <w:fldChar w:fldCharType="begin"/>
      </w:r>
      <w:r>
        <w:rPr>
          <w:b w:val="0"/>
          <w:sz w:val="22"/>
        </w:rPr>
        <w:instrText xml:space="preserve"> PAGEREF _Toc496695008 \h </w:instrText>
      </w:r>
      <w:r>
        <w:rPr>
          <w:b w:val="0"/>
          <w:sz w:val="22"/>
        </w:rPr>
      </w:r>
      <w:r>
        <w:rPr>
          <w:b w:val="0"/>
          <w:sz w:val="22"/>
        </w:rPr>
        <w:fldChar w:fldCharType="separate"/>
      </w:r>
      <w:r>
        <w:rPr>
          <w:b w:val="0"/>
          <w:sz w:val="22"/>
        </w:rPr>
        <w:t>4</w:t>
      </w:r>
      <w:r>
        <w:rPr>
          <w:b w:val="0"/>
          <w:sz w:val="22"/>
        </w:rPr>
        <w:fldChar w:fldCharType="end"/>
      </w:r>
    </w:p>
    <w:p>
      <w:pPr>
        <w:pStyle w:val="TOC1"/>
        <w:spacing w:before="0" w:after="0"/>
        <w:rPr>
          <w:rFonts w:eastAsiaTheme="minorEastAsia"/>
          <w:b w:val="0"/>
          <w:smallCaps w:val="0"/>
          <w:spacing w:val="0"/>
          <w:sz w:val="20"/>
          <w:szCs w:val="22"/>
          <w:lang w:val="es-ES_tradnl"/>
        </w:rPr>
      </w:pPr>
      <w:r>
        <w:rPr>
          <w:b w:val="0"/>
          <w:sz w:val="22"/>
          <w:lang w:val="es-ES_tradnl"/>
        </w:rPr>
        <w:t>B.</w:t>
      </w:r>
      <w:r>
        <w:rPr>
          <w:rFonts w:eastAsiaTheme="minorEastAsia"/>
          <w:b w:val="0"/>
          <w:smallCaps w:val="0"/>
          <w:spacing w:val="0"/>
          <w:sz w:val="20"/>
          <w:szCs w:val="22"/>
          <w:lang w:val="es-ES_tradnl"/>
        </w:rPr>
        <w:tab/>
      </w:r>
      <w:r>
        <w:rPr>
          <w:b w:val="0"/>
          <w:sz w:val="22"/>
          <w:lang w:val="es-ES_tradnl"/>
        </w:rPr>
        <w:t>Instrumentos para el monitoreo de los indicadores y recopilación de datos</w:t>
      </w:r>
      <w:r>
        <w:rPr>
          <w:b w:val="0"/>
          <w:sz w:val="22"/>
        </w:rPr>
        <w:tab/>
      </w:r>
      <w:r>
        <w:rPr>
          <w:b w:val="0"/>
          <w:sz w:val="22"/>
        </w:rPr>
        <w:fldChar w:fldCharType="begin"/>
      </w:r>
      <w:r>
        <w:rPr>
          <w:b w:val="0"/>
          <w:sz w:val="22"/>
        </w:rPr>
        <w:instrText xml:space="preserve"> PAGEREF _Toc496695009 \h </w:instrText>
      </w:r>
      <w:r>
        <w:rPr>
          <w:b w:val="0"/>
          <w:sz w:val="22"/>
        </w:rPr>
      </w:r>
      <w:r>
        <w:rPr>
          <w:b w:val="0"/>
          <w:sz w:val="22"/>
        </w:rPr>
        <w:fldChar w:fldCharType="separate"/>
      </w:r>
      <w:r>
        <w:rPr>
          <w:b w:val="0"/>
          <w:sz w:val="22"/>
        </w:rPr>
        <w:t>4</w:t>
      </w:r>
      <w:r>
        <w:rPr>
          <w:b w:val="0"/>
          <w:sz w:val="22"/>
        </w:rPr>
        <w:fldChar w:fldCharType="end"/>
      </w:r>
    </w:p>
    <w:p>
      <w:pPr>
        <w:pStyle w:val="TOC1"/>
        <w:spacing w:before="0" w:after="0"/>
        <w:rPr>
          <w:sz w:val="22"/>
          <w:lang w:val="es-ES_tradnl"/>
        </w:rPr>
      </w:pPr>
    </w:p>
    <w:p>
      <w:pPr>
        <w:pStyle w:val="TOC1"/>
        <w:spacing w:before="0" w:after="0"/>
        <w:rPr>
          <w:rFonts w:eastAsiaTheme="minorEastAsia"/>
          <w:b w:val="0"/>
          <w:smallCaps w:val="0"/>
          <w:spacing w:val="0"/>
          <w:sz w:val="20"/>
          <w:szCs w:val="22"/>
          <w:lang w:val="es-ES_tradnl"/>
        </w:rPr>
      </w:pPr>
      <w:r>
        <w:rPr>
          <w:sz w:val="22"/>
          <w:lang w:val="es-ES_tradnl"/>
        </w:rPr>
        <w:t>III.</w:t>
      </w:r>
      <w:r>
        <w:rPr>
          <w:rFonts w:eastAsiaTheme="minorEastAsia"/>
          <w:b w:val="0"/>
          <w:smallCaps w:val="0"/>
          <w:spacing w:val="0"/>
          <w:sz w:val="20"/>
          <w:szCs w:val="22"/>
          <w:lang w:val="es-ES_tradnl"/>
        </w:rPr>
        <w:tab/>
      </w:r>
      <w:r>
        <w:rPr>
          <w:sz w:val="22"/>
          <w:lang w:val="es-ES_tradnl"/>
        </w:rPr>
        <w:t>Evaluación</w:t>
      </w:r>
      <w:r>
        <w:rPr>
          <w:sz w:val="22"/>
        </w:rPr>
        <w:tab/>
      </w:r>
      <w:r>
        <w:rPr>
          <w:sz w:val="22"/>
        </w:rPr>
        <w:fldChar w:fldCharType="begin"/>
      </w:r>
      <w:r>
        <w:rPr>
          <w:sz w:val="22"/>
        </w:rPr>
        <w:instrText xml:space="preserve"> PAGEREF _Toc496695010 \h </w:instrText>
      </w:r>
      <w:r>
        <w:rPr>
          <w:sz w:val="22"/>
        </w:rPr>
      </w:r>
      <w:r>
        <w:rPr>
          <w:sz w:val="22"/>
        </w:rPr>
        <w:fldChar w:fldCharType="separate"/>
      </w:r>
      <w:r>
        <w:rPr>
          <w:sz w:val="22"/>
        </w:rPr>
        <w:t>13</w:t>
      </w:r>
      <w:r>
        <w:rPr>
          <w:sz w:val="22"/>
        </w:rPr>
        <w:fldChar w:fldCharType="end"/>
      </w:r>
    </w:p>
    <w:p>
      <w:pPr>
        <w:pStyle w:val="TOC1"/>
        <w:spacing w:before="0" w:after="0"/>
        <w:rPr>
          <w:sz w:val="22"/>
          <w:lang w:val="es-ES_tradnl"/>
        </w:rPr>
      </w:pPr>
    </w:p>
    <w:p>
      <w:pPr>
        <w:pStyle w:val="TOC1"/>
        <w:spacing w:before="0" w:after="0"/>
        <w:rPr>
          <w:rFonts w:eastAsiaTheme="minorEastAsia"/>
          <w:b w:val="0"/>
          <w:smallCaps w:val="0"/>
          <w:spacing w:val="0"/>
          <w:sz w:val="20"/>
          <w:szCs w:val="22"/>
          <w:lang w:val="es-ES_tradnl"/>
        </w:rPr>
      </w:pPr>
      <w:r>
        <w:rPr>
          <w:b w:val="0"/>
          <w:sz w:val="22"/>
          <w:lang w:val="es-ES_tradnl"/>
        </w:rPr>
        <w:t>A.</w:t>
      </w:r>
      <w:r>
        <w:rPr>
          <w:rFonts w:eastAsiaTheme="minorEastAsia"/>
          <w:b w:val="0"/>
          <w:smallCaps w:val="0"/>
          <w:spacing w:val="0"/>
          <w:sz w:val="20"/>
          <w:szCs w:val="22"/>
          <w:lang w:val="es-ES_tradnl"/>
        </w:rPr>
        <w:tab/>
      </w:r>
      <w:r>
        <w:rPr>
          <w:b w:val="0"/>
          <w:sz w:val="22"/>
          <w:lang w:val="es-ES_tradnl"/>
        </w:rPr>
        <w:t>Objetivo</w:t>
      </w:r>
      <w:r>
        <w:rPr>
          <w:b w:val="0"/>
          <w:sz w:val="22"/>
        </w:rPr>
        <w:tab/>
      </w:r>
      <w:r>
        <w:rPr>
          <w:b w:val="0"/>
          <w:sz w:val="22"/>
        </w:rPr>
        <w:fldChar w:fldCharType="begin"/>
      </w:r>
      <w:r>
        <w:rPr>
          <w:b w:val="0"/>
          <w:sz w:val="22"/>
        </w:rPr>
        <w:instrText xml:space="preserve"> PAGEREF _Toc496695011 \h </w:instrText>
      </w:r>
      <w:r>
        <w:rPr>
          <w:b w:val="0"/>
          <w:sz w:val="22"/>
        </w:rPr>
      </w:r>
      <w:r>
        <w:rPr>
          <w:b w:val="0"/>
          <w:sz w:val="22"/>
        </w:rPr>
        <w:fldChar w:fldCharType="separate"/>
      </w:r>
      <w:r>
        <w:rPr>
          <w:b w:val="0"/>
          <w:sz w:val="22"/>
        </w:rPr>
        <w:t>13</w:t>
      </w:r>
      <w:r>
        <w:rPr>
          <w:b w:val="0"/>
          <w:sz w:val="22"/>
        </w:rPr>
        <w:fldChar w:fldCharType="end"/>
      </w:r>
    </w:p>
    <w:p>
      <w:pPr>
        <w:pStyle w:val="TOC1"/>
        <w:spacing w:before="0" w:after="0"/>
        <w:rPr>
          <w:rFonts w:eastAsiaTheme="minorEastAsia"/>
          <w:b w:val="0"/>
          <w:smallCaps w:val="0"/>
          <w:spacing w:val="0"/>
          <w:sz w:val="20"/>
          <w:szCs w:val="22"/>
          <w:lang w:val="es-ES_tradnl"/>
        </w:rPr>
      </w:pPr>
      <w:r>
        <w:rPr>
          <w:b w:val="0"/>
          <w:sz w:val="22"/>
          <w:lang w:val="es-ES_tradnl"/>
        </w:rPr>
        <w:t>B.</w:t>
      </w:r>
      <w:r>
        <w:rPr>
          <w:rFonts w:eastAsiaTheme="minorEastAsia"/>
          <w:b w:val="0"/>
          <w:smallCaps w:val="0"/>
          <w:spacing w:val="0"/>
          <w:sz w:val="20"/>
          <w:szCs w:val="22"/>
          <w:lang w:val="es-ES_tradnl"/>
        </w:rPr>
        <w:tab/>
      </w:r>
      <w:r>
        <w:rPr>
          <w:b w:val="0"/>
          <w:sz w:val="22"/>
          <w:lang w:val="es-ES_tradnl"/>
        </w:rPr>
        <w:t>Estrategia de evaluación y principales indicadores de resultados</w:t>
      </w:r>
      <w:r>
        <w:rPr>
          <w:b w:val="0"/>
          <w:sz w:val="22"/>
        </w:rPr>
        <w:tab/>
      </w:r>
      <w:r>
        <w:rPr>
          <w:b w:val="0"/>
          <w:sz w:val="22"/>
        </w:rPr>
        <w:fldChar w:fldCharType="begin"/>
      </w:r>
      <w:r>
        <w:rPr>
          <w:b w:val="0"/>
          <w:sz w:val="22"/>
        </w:rPr>
        <w:instrText xml:space="preserve"> PAGEREF _Toc496695012 \h </w:instrText>
      </w:r>
      <w:r>
        <w:rPr>
          <w:b w:val="0"/>
          <w:sz w:val="22"/>
        </w:rPr>
      </w:r>
      <w:r>
        <w:rPr>
          <w:b w:val="0"/>
          <w:sz w:val="22"/>
        </w:rPr>
        <w:fldChar w:fldCharType="separate"/>
      </w:r>
      <w:r>
        <w:rPr>
          <w:b w:val="0"/>
          <w:sz w:val="22"/>
        </w:rPr>
        <w:t>13</w:t>
      </w:r>
      <w:r>
        <w:rPr>
          <w:b w:val="0"/>
          <w:sz w:val="22"/>
        </w:rPr>
        <w:fldChar w:fldCharType="end"/>
      </w:r>
    </w:p>
    <w:p>
      <w:pPr>
        <w:pStyle w:val="TOC1"/>
        <w:spacing w:before="0" w:after="0"/>
        <w:rPr>
          <w:rFonts w:eastAsiaTheme="minorEastAsia"/>
          <w:b w:val="0"/>
          <w:smallCaps w:val="0"/>
          <w:spacing w:val="0"/>
          <w:sz w:val="20"/>
          <w:szCs w:val="22"/>
          <w:lang w:val="es-ES_tradnl"/>
        </w:rPr>
      </w:pPr>
      <w:r>
        <w:rPr>
          <w:b w:val="0"/>
          <w:sz w:val="22"/>
          <w:lang w:val="es-ES_tradnl"/>
        </w:rPr>
        <w:t>C.</w:t>
      </w:r>
      <w:r>
        <w:rPr>
          <w:rFonts w:eastAsiaTheme="minorEastAsia"/>
          <w:b w:val="0"/>
          <w:smallCaps w:val="0"/>
          <w:spacing w:val="0"/>
          <w:sz w:val="20"/>
          <w:szCs w:val="22"/>
          <w:lang w:val="es-ES_tradnl"/>
        </w:rPr>
        <w:tab/>
      </w:r>
      <w:r>
        <w:rPr>
          <w:b w:val="0"/>
          <w:sz w:val="22"/>
          <w:lang w:val="es-ES_tradnl"/>
        </w:rPr>
        <w:t>Coordinación, plan de trabajo y presupuesto de la evaluación</w:t>
      </w:r>
      <w:r>
        <w:rPr>
          <w:b w:val="0"/>
          <w:sz w:val="22"/>
        </w:rPr>
        <w:tab/>
      </w:r>
      <w:r>
        <w:rPr>
          <w:b w:val="0"/>
          <w:sz w:val="22"/>
        </w:rPr>
        <w:fldChar w:fldCharType="begin"/>
      </w:r>
      <w:r>
        <w:rPr>
          <w:b w:val="0"/>
          <w:sz w:val="22"/>
        </w:rPr>
        <w:instrText xml:space="preserve"> PAGEREF _Toc496695013 \h </w:instrText>
      </w:r>
      <w:r>
        <w:rPr>
          <w:b w:val="0"/>
          <w:sz w:val="22"/>
        </w:rPr>
      </w:r>
      <w:r>
        <w:rPr>
          <w:b w:val="0"/>
          <w:sz w:val="22"/>
        </w:rPr>
        <w:fldChar w:fldCharType="separate"/>
      </w:r>
      <w:r>
        <w:rPr>
          <w:b w:val="0"/>
          <w:sz w:val="22"/>
        </w:rPr>
        <w:t>16</w:t>
      </w:r>
      <w:r>
        <w:rPr>
          <w:b w:val="0"/>
          <w:sz w:val="22"/>
        </w:rPr>
        <w:fldChar w:fldCharType="end"/>
      </w:r>
    </w:p>
    <w:p>
      <w:pPr>
        <w:spacing w:after="0"/>
        <w:outlineLvl w:val="1"/>
        <w:rPr>
          <w:rFonts w:ascii="Arial" w:hAnsi="Arial" w:cs="Arial"/>
          <w:lang w:val="es-ES_tradnl"/>
        </w:rPr>
        <w:sectPr>
          <w:pgSz w:w="12240" w:h="15840"/>
          <w:pgMar w:top="1440" w:right="1800" w:bottom="1440" w:left="1800" w:header="720" w:footer="720" w:gutter="0"/>
          <w:cols w:space="720"/>
          <w:docGrid w:linePitch="360"/>
        </w:sectPr>
      </w:pPr>
      <w:r>
        <w:rPr>
          <w:rFonts w:ascii="Arial" w:eastAsia="Times New Roman" w:hAnsi="Arial" w:cs="Arial"/>
          <w:b/>
          <w:smallCaps/>
          <w:noProof/>
          <w:spacing w:val="-3"/>
          <w:sz w:val="20"/>
          <w:lang w:val="es-ES_tradnl"/>
        </w:rPr>
        <w:fldChar w:fldCharType="end"/>
      </w:r>
    </w:p>
    <w:p>
      <w:pPr>
        <w:spacing w:after="0"/>
        <w:rPr>
          <w:rFonts w:ascii="Arial" w:eastAsia="Arial" w:hAnsi="Arial" w:cs="Arial"/>
          <w:b/>
          <w:smallCaps/>
          <w:sz w:val="24"/>
          <w:lang w:val="es-ES_tradnl"/>
        </w:rPr>
      </w:pPr>
      <w:r>
        <w:rPr>
          <w:rFonts w:ascii="Arial" w:eastAsia="Arial" w:hAnsi="Arial" w:cs="Arial"/>
          <w:lang w:val="es-ES_tradnl"/>
        </w:rPr>
        <w:br w:type="page"/>
      </w:r>
      <w:bookmarkStart w:id="1" w:name="_GoBack"/>
      <w:bookmarkEnd w:id="1"/>
    </w:p>
    <w:p>
      <w:pPr>
        <w:pStyle w:val="Chapter"/>
        <w:numPr>
          <w:ilvl w:val="0"/>
          <w:numId w:val="10"/>
        </w:numPr>
        <w:rPr>
          <w:rFonts w:ascii="Arial" w:hAnsi="Arial" w:cs="Arial"/>
          <w:lang w:val="es-ES_tradnl"/>
        </w:rPr>
      </w:pPr>
      <w:bookmarkStart w:id="2" w:name="_Toc496695004"/>
      <w:r>
        <w:rPr>
          <w:rFonts w:ascii="Arial" w:hAnsi="Arial" w:cs="Arial"/>
          <w:lang w:val="es-ES_tradnl"/>
        </w:rPr>
        <w:lastRenderedPageBreak/>
        <w:t>Introducción</w:t>
      </w:r>
      <w:bookmarkEnd w:id="2"/>
    </w:p>
    <w:p>
      <w:pPr>
        <w:pStyle w:val="Chapter"/>
        <w:numPr>
          <w:ilvl w:val="0"/>
          <w:numId w:val="13"/>
        </w:numPr>
        <w:tabs>
          <w:tab w:val="clear" w:pos="1440"/>
          <w:tab w:val="left" w:pos="720"/>
          <w:tab w:val="left" w:pos="900"/>
        </w:tabs>
        <w:spacing w:before="120" w:after="120"/>
        <w:ind w:right="6120" w:hanging="720"/>
        <w:jc w:val="both"/>
        <w:rPr>
          <w:rFonts w:ascii="Arial" w:hAnsi="Arial" w:cs="Arial"/>
          <w:sz w:val="22"/>
          <w:lang w:val="es-ES_tradnl"/>
        </w:rPr>
      </w:pPr>
      <w:bookmarkStart w:id="3" w:name="_Toc496695005"/>
      <w:r>
        <w:rPr>
          <w:rFonts w:ascii="Arial" w:hAnsi="Arial" w:cs="Arial"/>
          <w:sz w:val="22"/>
          <w:lang w:val="es-ES_tradnl"/>
        </w:rPr>
        <w:t>Marco General</w:t>
      </w:r>
      <w:bookmarkEnd w:id="3"/>
    </w:p>
    <w:p>
      <w:pPr>
        <w:pStyle w:val="NoSpacing"/>
        <w:numPr>
          <w:ilvl w:val="1"/>
          <w:numId w:val="9"/>
        </w:numPr>
        <w:tabs>
          <w:tab w:val="left" w:pos="720"/>
        </w:tabs>
        <w:spacing w:before="120" w:after="120"/>
        <w:ind w:left="720" w:hanging="720"/>
        <w:jc w:val="both"/>
        <w:rPr>
          <w:rFonts w:ascii="Arial" w:eastAsia="Arial" w:hAnsi="Arial" w:cs="Arial"/>
          <w:lang w:val="es-ES_tradnl"/>
        </w:rPr>
      </w:pPr>
      <w:r>
        <w:rPr>
          <w:rFonts w:ascii="Arial" w:hAnsi="Arial" w:cs="Arial"/>
          <w:lang w:val="es-CO"/>
        </w:rPr>
        <w:t>Este Programa es el segundo de una serie de dos Préstamos de Apoyo a Reformas de Política bajo el enfoque Programático (PBP). La serie se originó en 2014 (3284/OC-CO) y fue acordada con el Gobierno de Colombia como apoyo a un conjunto de medidas estructurales destinadas a contribuir a la estabilidad fiscal mediante el aumento de la recaudación tributaria, el uso eficiente del gasto público y la mejora en la gestión de la deuda y los pasivos públicos, incluyendo los contingentes</w:t>
      </w:r>
      <w:bookmarkStart w:id="4" w:name="_Hlk496695365"/>
      <w:r>
        <w:rPr>
          <w:rFonts w:ascii="Arial" w:hAnsi="Arial" w:cs="Arial"/>
          <w:lang w:val="es-ES_tradnl"/>
        </w:rPr>
        <w:t xml:space="preserve">. </w:t>
      </w:r>
    </w:p>
    <w:p>
      <w:pPr>
        <w:pStyle w:val="NoSpacing"/>
        <w:numPr>
          <w:ilvl w:val="1"/>
          <w:numId w:val="9"/>
        </w:numPr>
        <w:tabs>
          <w:tab w:val="left" w:pos="720"/>
        </w:tabs>
        <w:spacing w:before="120" w:after="120"/>
        <w:ind w:left="720" w:hanging="720"/>
        <w:jc w:val="both"/>
        <w:rPr>
          <w:rFonts w:ascii="Arial" w:hAnsi="Arial" w:cs="Arial"/>
          <w:lang w:val="es-CO"/>
        </w:rPr>
      </w:pPr>
      <w:r>
        <w:rPr>
          <w:rFonts w:ascii="Arial" w:hAnsi="Arial" w:cs="Arial"/>
          <w:lang w:val="es-CO"/>
        </w:rPr>
        <w:t>El programa apoya los esfuerzos del Gobierno de Colombia tanto en el diseño como en la implementación y consolidación de las diversas reformas realizadas en materia fiscal en años recientes para dar respuesta a algunos de los principales retos que afronta el país mediante el incremento de la recaudación de ingresos públicos; el aumento de la efectividad del gasto público, así como de las inversiones públicas que se financian con recursos del Sistema General de Regalías; y la mejora de la gestión de los pasivos públicos para reducir la vulnerabilidad de las finanzas públicas a shocks externos. La segunda operación continua el apoyo a reformas de política en línea con los objetivos contemplados en el préstamo programático aprobado en 2014 y desembolsado en 2015, una vez se cumplieron las condiciones previas establecidas.</w:t>
      </w:r>
    </w:p>
    <w:p>
      <w:pPr>
        <w:pStyle w:val="NoSpacing"/>
        <w:numPr>
          <w:ilvl w:val="1"/>
          <w:numId w:val="9"/>
        </w:numPr>
        <w:tabs>
          <w:tab w:val="left" w:pos="720"/>
        </w:tabs>
        <w:spacing w:before="120" w:after="120"/>
        <w:ind w:left="720" w:hanging="720"/>
        <w:jc w:val="both"/>
        <w:rPr>
          <w:rFonts w:ascii="Arial" w:hAnsi="Arial" w:cs="Arial"/>
          <w:lang w:val="es-CO"/>
        </w:rPr>
      </w:pPr>
      <w:r>
        <w:rPr>
          <w:rFonts w:ascii="Arial" w:hAnsi="Arial" w:cs="Arial"/>
          <w:lang w:val="es-CO"/>
        </w:rPr>
        <w:t xml:space="preserve">El objetivo general de la operación CO-L1227 es contribuir a la estabilidad fiscal de Colombia. </w:t>
      </w:r>
      <w:bookmarkEnd w:id="4"/>
      <w:r>
        <w:rPr>
          <w:rFonts w:ascii="Arial" w:hAnsi="Arial" w:cs="Arial"/>
          <w:lang w:val="es-CO"/>
        </w:rPr>
        <w:t>Los objetivos específicos incluyen: (i) fortalecer el recaudo tributario; (ii) mejorar la eficiencia del gasto público; y (iii) mejorar la gestión de la deuda y los pasivos contingentes.</w:t>
      </w:r>
    </w:p>
    <w:p>
      <w:pPr>
        <w:pStyle w:val="NoSpacing"/>
        <w:numPr>
          <w:ilvl w:val="1"/>
          <w:numId w:val="9"/>
        </w:numPr>
        <w:tabs>
          <w:tab w:val="left" w:pos="720"/>
        </w:tabs>
        <w:spacing w:before="120" w:after="120"/>
        <w:ind w:left="720" w:hanging="720"/>
        <w:jc w:val="both"/>
        <w:rPr>
          <w:rFonts w:ascii="Arial" w:hAnsi="Arial" w:cs="Arial"/>
          <w:lang w:val="es-CO"/>
        </w:rPr>
      </w:pPr>
      <w:r>
        <w:rPr>
          <w:rFonts w:ascii="Arial" w:hAnsi="Arial" w:cs="Arial"/>
          <w:lang w:val="es-CO"/>
        </w:rPr>
        <w:t>La operación está estructurada en cuatro componentes. El Componente I: Mantener un entorno macroeconómico estable consistente con los objetivos del programa. El Componente II: Fortalecer la gestión y recaudación de ingresos tributarios y aduaneros; Componente III: Mejorar la eficiencia del gasto público; y Componente IV: Mejorar la gestión de la deuda pública y de los pasivos contingentes.</w:t>
      </w:r>
    </w:p>
    <w:p>
      <w:pPr>
        <w:pStyle w:val="Chapter"/>
        <w:numPr>
          <w:ilvl w:val="0"/>
          <w:numId w:val="13"/>
        </w:numPr>
        <w:tabs>
          <w:tab w:val="left" w:pos="720"/>
        </w:tabs>
        <w:spacing w:before="120" w:after="120"/>
        <w:ind w:right="900" w:hanging="720"/>
        <w:jc w:val="both"/>
        <w:rPr>
          <w:rFonts w:ascii="Arial" w:hAnsi="Arial" w:cs="Arial"/>
          <w:sz w:val="22"/>
          <w:lang w:val="es-ES_tradnl"/>
        </w:rPr>
      </w:pPr>
      <w:bookmarkStart w:id="5" w:name="_Toc496695006"/>
      <w:r>
        <w:rPr>
          <w:rFonts w:ascii="Arial" w:hAnsi="Arial" w:cs="Arial"/>
          <w:sz w:val="22"/>
          <w:lang w:val="es-ES_tradnl"/>
        </w:rPr>
        <w:t>Resumen de los arreglos para la implementación del Programa</w:t>
      </w:r>
      <w:bookmarkEnd w:id="5"/>
    </w:p>
    <w:p>
      <w:pPr>
        <w:pStyle w:val="NoSpacing"/>
        <w:numPr>
          <w:ilvl w:val="1"/>
          <w:numId w:val="9"/>
        </w:numPr>
        <w:tabs>
          <w:tab w:val="left" w:pos="720"/>
        </w:tabs>
        <w:spacing w:before="120" w:after="120"/>
        <w:ind w:left="720" w:hanging="720"/>
        <w:jc w:val="both"/>
        <w:rPr>
          <w:rFonts w:ascii="Arial" w:eastAsia="Arial" w:hAnsi="Arial" w:cs="Arial"/>
          <w:lang w:val="es-ES_tradnl"/>
        </w:rPr>
      </w:pPr>
      <w:r>
        <w:rPr>
          <w:rFonts w:ascii="Arial" w:eastAsia="Arial" w:hAnsi="Arial" w:cs="Arial"/>
          <w:lang w:val="es-ES_tradnl"/>
        </w:rPr>
        <w:t>El prestatario es la República de Colombia y el organismo ejecutor será el Ministerio de Hacienda y Crédito Público (MHCP). Un elemento importante en el éxito de la implementación de las reformas lo constituye el hecho de que la coordinación del Programa está bajo la responsabilidad de la Subdirección de Financiamiento con Organismos Multilaterales y Gobiernos del MHCP, que es la entidad que directamente se beneficiará de los recursos.</w:t>
      </w:r>
    </w:p>
    <w:p>
      <w:pPr>
        <w:pStyle w:val="NoSpacing"/>
        <w:numPr>
          <w:ilvl w:val="1"/>
          <w:numId w:val="9"/>
        </w:numPr>
        <w:tabs>
          <w:tab w:val="left" w:pos="720"/>
        </w:tabs>
        <w:spacing w:before="120" w:after="120"/>
        <w:ind w:left="720" w:hanging="720"/>
        <w:jc w:val="both"/>
        <w:rPr>
          <w:rFonts w:ascii="Arial" w:eastAsia="Arial" w:hAnsi="Arial" w:cs="Arial"/>
          <w:lang w:val="es-ES_tradnl"/>
        </w:rPr>
      </w:pPr>
      <w:r>
        <w:rPr>
          <w:rFonts w:ascii="Arial" w:eastAsia="Arial" w:hAnsi="Arial" w:cs="Arial"/>
          <w:lang w:val="es-ES_tradnl"/>
        </w:rPr>
        <w:t>El organismo ejecutor es el responsable de: (i) realizar la coordinación entre las distintas instituciones que tengan a su cargo la adopción de medidas o ejecución técnica de actividades (MHCP, DNP, DIAN, y ANCP); (ii) efectuar el seguimiento y promover el cumplimiento de las actividades previstas en esta operación; (iii) mantener la comunicación oficial con el Banco; (iv) preparar los informes necesarios en los plazos establecidos y acordados con el Banco; y (v) prever y resolver adecuadamente los riesgos y problemas con la ejecución del Programa.</w:t>
      </w:r>
    </w:p>
    <w:p>
      <w:pPr>
        <w:pStyle w:val="Chapter"/>
        <w:numPr>
          <w:ilvl w:val="0"/>
          <w:numId w:val="10"/>
        </w:numPr>
        <w:spacing w:before="120" w:after="120"/>
        <w:rPr>
          <w:rFonts w:ascii="Arial" w:hAnsi="Arial" w:cs="Arial"/>
          <w:lang w:val="es-ES_tradnl"/>
        </w:rPr>
      </w:pPr>
      <w:bookmarkStart w:id="6" w:name="_Toc496695007"/>
      <w:r>
        <w:rPr>
          <w:rFonts w:ascii="Arial" w:hAnsi="Arial" w:cs="Arial"/>
          <w:lang w:val="es-ES_tradnl"/>
        </w:rPr>
        <w:lastRenderedPageBreak/>
        <w:t>Monitoreo</w:t>
      </w:r>
      <w:bookmarkEnd w:id="6"/>
    </w:p>
    <w:p>
      <w:pPr>
        <w:pStyle w:val="Chapter"/>
        <w:numPr>
          <w:ilvl w:val="0"/>
          <w:numId w:val="14"/>
        </w:numPr>
        <w:spacing w:before="120" w:after="120"/>
        <w:ind w:right="6480" w:hanging="720"/>
        <w:jc w:val="both"/>
        <w:rPr>
          <w:rFonts w:ascii="Arial" w:hAnsi="Arial" w:cs="Arial"/>
          <w:sz w:val="22"/>
          <w:lang w:val="es-ES_tradnl"/>
        </w:rPr>
      </w:pPr>
      <w:bookmarkStart w:id="7" w:name="_Toc496695008"/>
      <w:r>
        <w:rPr>
          <w:rFonts w:ascii="Arial" w:hAnsi="Arial" w:cs="Arial"/>
          <w:sz w:val="22"/>
          <w:lang w:val="es-ES_tradnl"/>
        </w:rPr>
        <w:t>Indicadores</w:t>
      </w:r>
      <w:bookmarkEnd w:id="7"/>
    </w:p>
    <w:p>
      <w:pPr>
        <w:pStyle w:val="NoSpacing"/>
        <w:numPr>
          <w:ilvl w:val="1"/>
          <w:numId w:val="11"/>
        </w:numPr>
        <w:spacing w:before="120" w:after="120"/>
        <w:ind w:left="720" w:hanging="720"/>
        <w:jc w:val="both"/>
        <w:rPr>
          <w:rFonts w:ascii="Arial" w:hAnsi="Arial" w:cs="Arial"/>
          <w:lang w:val="es-ES_tradnl"/>
        </w:rPr>
      </w:pPr>
      <w:r>
        <w:rPr>
          <w:rFonts w:ascii="Arial" w:hAnsi="Arial" w:cs="Arial"/>
          <w:lang w:val="es-ES_tradnl"/>
        </w:rPr>
        <w:t xml:space="preserve">Los indicadores a los que se dará seguimiento como parte de la verificación del cumplimiento de las acciones del Programa son aquellos contenidos en la Matriz de Políticas, que se incluye en la Propuesta de Préstamo. </w:t>
      </w:r>
    </w:p>
    <w:p>
      <w:pPr>
        <w:pStyle w:val="NoSpacing"/>
        <w:numPr>
          <w:ilvl w:val="1"/>
          <w:numId w:val="11"/>
        </w:numPr>
        <w:spacing w:before="120" w:after="120"/>
        <w:ind w:left="720" w:hanging="720"/>
        <w:jc w:val="both"/>
        <w:rPr>
          <w:rFonts w:ascii="Arial" w:hAnsi="Arial" w:cs="Arial"/>
          <w:lang w:val="es-ES_tradnl"/>
        </w:rPr>
      </w:pPr>
      <w:r>
        <w:rPr>
          <w:rFonts w:ascii="Arial" w:hAnsi="Arial" w:cs="Arial"/>
          <w:lang w:val="es-ES_tradnl"/>
        </w:rPr>
        <w:t xml:space="preserve">El cumplimiento de dichos indicadores será comprobado mediante la información contenida en la Matriz de Verificación. Dicha Matriz especifica todas las acciones a ser implementadas en el Programa, las entidades responsables por llevar a cabo cada una de dichas acciones, y la información específica que permitirá al Banco verificar su cumplimiento. </w:t>
      </w:r>
    </w:p>
    <w:p>
      <w:pPr>
        <w:pStyle w:val="Chapter"/>
        <w:numPr>
          <w:ilvl w:val="0"/>
          <w:numId w:val="14"/>
        </w:numPr>
        <w:tabs>
          <w:tab w:val="clear" w:pos="1440"/>
        </w:tabs>
        <w:spacing w:before="120" w:after="120"/>
        <w:ind w:right="-90" w:hanging="720"/>
        <w:jc w:val="both"/>
        <w:rPr>
          <w:rFonts w:ascii="Arial" w:hAnsi="Arial" w:cs="Arial"/>
          <w:sz w:val="22"/>
          <w:lang w:val="es-ES_tradnl"/>
        </w:rPr>
      </w:pPr>
      <w:r>
        <w:rPr>
          <w:rFonts w:ascii="Arial" w:hAnsi="Arial" w:cs="Arial"/>
          <w:sz w:val="22"/>
          <w:lang w:val="es-ES_tradnl"/>
        </w:rPr>
        <w:t xml:space="preserve"> </w:t>
      </w:r>
      <w:bookmarkStart w:id="8" w:name="_Toc496695009"/>
      <w:r>
        <w:rPr>
          <w:rFonts w:ascii="Arial" w:hAnsi="Arial" w:cs="Arial"/>
          <w:sz w:val="22"/>
          <w:lang w:val="es-ES_tradnl"/>
        </w:rPr>
        <w:t>Instrumentos para el monitoreo de los indicadores y recopilación de datos</w:t>
      </w:r>
      <w:bookmarkEnd w:id="8"/>
    </w:p>
    <w:p>
      <w:pPr>
        <w:pStyle w:val="NoSpacing"/>
        <w:numPr>
          <w:ilvl w:val="1"/>
          <w:numId w:val="11"/>
        </w:numPr>
        <w:spacing w:before="120" w:after="120"/>
        <w:ind w:left="720" w:hanging="720"/>
        <w:jc w:val="both"/>
        <w:rPr>
          <w:rFonts w:ascii="Arial" w:eastAsia="Arial" w:hAnsi="Arial" w:cs="Arial"/>
          <w:lang w:val="es-ES_tradnl"/>
        </w:rPr>
      </w:pPr>
      <w:r>
        <w:rPr>
          <w:rFonts w:ascii="Arial" w:hAnsi="Arial" w:cs="Arial"/>
          <w:lang w:val="es-ES_tradnl"/>
        </w:rPr>
        <w:t>El seguimiento de los resultados del préstamo programático será responsabilidad del Banco en coordinación con el MHCP a través de</w:t>
      </w:r>
      <w:r>
        <w:rPr>
          <w:rFonts w:ascii="Arial" w:eastAsia="Arial" w:hAnsi="Arial" w:cs="Arial"/>
          <w:lang w:val="es-ES_tradnl"/>
        </w:rPr>
        <w:t xml:space="preserve"> la Subdirección de Financiamiento con Organismos Multilaterales y Gobiernos</w:t>
      </w:r>
      <w:r>
        <w:rPr>
          <w:rFonts w:ascii="Arial" w:hAnsi="Arial" w:cs="Arial"/>
          <w:lang w:val="es-ES_tradnl"/>
        </w:rPr>
        <w:t xml:space="preserve">. </w:t>
      </w:r>
    </w:p>
    <w:p>
      <w:pPr>
        <w:pStyle w:val="NoSpacing"/>
        <w:numPr>
          <w:ilvl w:val="1"/>
          <w:numId w:val="11"/>
        </w:numPr>
        <w:spacing w:before="120" w:after="120"/>
        <w:ind w:left="720" w:hanging="720"/>
        <w:jc w:val="both"/>
        <w:rPr>
          <w:rFonts w:ascii="Arial" w:eastAsia="Arial" w:hAnsi="Arial" w:cs="Arial"/>
          <w:lang w:val="es-ES_tradnl"/>
        </w:rPr>
      </w:pPr>
      <w:r>
        <w:rPr>
          <w:rFonts w:ascii="Arial" w:eastAsia="Arial" w:hAnsi="Arial" w:cs="Arial"/>
          <w:lang w:val="es-ES_tradnl"/>
        </w:rPr>
        <w:t>Por parte del Banco, el equipo de IFD/FMM dará seguimiento mediante un plan que incluye: (i) misión de monitoreo del cumplimiento de los compromisos; (ii) misión de monitoreo y de potencial determinación de planes alternativos que permitan garantizar el cumplimiento de los compromisos; y (iii) reuniones, talleres y diálogos interinstitucionales. El cronograma de estas actividades con su respectivo costo y financiamiento se detallan la Tabla I.A.</w:t>
      </w:r>
    </w:p>
    <w:p>
      <w:pPr>
        <w:pStyle w:val="21Paragraph"/>
        <w:numPr>
          <w:ilvl w:val="1"/>
          <w:numId w:val="0"/>
        </w:numPr>
        <w:spacing w:before="0" w:after="0"/>
        <w:ind w:left="360" w:right="720" w:firstLine="450"/>
        <w:jc w:val="center"/>
        <w:rPr>
          <w:rFonts w:ascii="Arial" w:eastAsia="Arial" w:hAnsi="Arial" w:cs="Arial"/>
          <w:b/>
          <w:bCs/>
          <w:sz w:val="22"/>
          <w:szCs w:val="22"/>
        </w:rPr>
      </w:pPr>
      <w:r>
        <w:rPr>
          <w:rFonts w:ascii="Arial" w:eastAsia="Arial" w:hAnsi="Arial" w:cs="Arial"/>
          <w:b/>
          <w:bCs/>
          <w:sz w:val="22"/>
          <w:szCs w:val="22"/>
        </w:rPr>
        <w:t xml:space="preserve">Tabla I.A </w:t>
      </w:r>
    </w:p>
    <w:p>
      <w:pPr>
        <w:spacing w:after="0"/>
        <w:ind w:left="360" w:right="720" w:firstLine="720"/>
        <w:jc w:val="center"/>
        <w:rPr>
          <w:rFonts w:ascii="Arial" w:eastAsia="Arial" w:hAnsi="Arial" w:cs="Arial"/>
          <w:b/>
          <w:bCs/>
          <w:lang w:val="es-ES_tradnl"/>
        </w:rPr>
      </w:pPr>
      <w:bookmarkStart w:id="9" w:name="_Hlk506915100"/>
      <w:r>
        <w:rPr>
          <w:rFonts w:ascii="Arial" w:eastAsia="Arial" w:hAnsi="Arial" w:cs="Arial"/>
          <w:b/>
          <w:bCs/>
          <w:lang w:val="es-ES_tradnl"/>
        </w:rPr>
        <w:t>Plan de Trabajo y Costo del Seguimiento del Programa</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236"/>
        <w:gridCol w:w="264"/>
        <w:gridCol w:w="270"/>
        <w:gridCol w:w="270"/>
        <w:gridCol w:w="270"/>
        <w:gridCol w:w="270"/>
        <w:gridCol w:w="270"/>
        <w:gridCol w:w="270"/>
        <w:gridCol w:w="1170"/>
        <w:gridCol w:w="810"/>
        <w:gridCol w:w="1705"/>
      </w:tblGrid>
      <w:tr>
        <w:trPr>
          <w:trHeight w:val="20"/>
        </w:trPr>
        <w:tc>
          <w:tcPr>
            <w:tcW w:w="2110" w:type="dxa"/>
            <w:shd w:val="clear" w:color="auto" w:fill="548DD4" w:themeFill="text2" w:themeFillTint="99"/>
            <w:vAlign w:val="center"/>
          </w:tcPr>
          <w:p>
            <w:pPr>
              <w:spacing w:after="0" w:line="240" w:lineRule="auto"/>
              <w:ind w:left="-114" w:right="-126"/>
              <w:jc w:val="center"/>
              <w:rPr>
                <w:rFonts w:ascii="Arial" w:eastAsia="Arial" w:hAnsi="Arial" w:cs="Arial"/>
                <w:b/>
                <w:bCs/>
                <w:sz w:val="18"/>
                <w:szCs w:val="18"/>
                <w:lang w:val="es-ES_tradnl"/>
              </w:rPr>
            </w:pPr>
            <w:r>
              <w:rPr>
                <w:rFonts w:ascii="Arial" w:eastAsia="Arial" w:hAnsi="Arial" w:cs="Arial"/>
                <w:b/>
                <w:bCs/>
                <w:sz w:val="18"/>
                <w:szCs w:val="18"/>
                <w:lang w:val="es-ES_tradnl"/>
              </w:rPr>
              <w:t>Actividades</w:t>
            </w:r>
          </w:p>
        </w:tc>
        <w:tc>
          <w:tcPr>
            <w:tcW w:w="1040" w:type="dxa"/>
            <w:gridSpan w:val="4"/>
            <w:shd w:val="clear" w:color="auto" w:fill="548DD4" w:themeFill="text2" w:themeFillTint="99"/>
            <w:noWrap/>
            <w:vAlign w:val="center"/>
          </w:tcPr>
          <w:p>
            <w:pPr>
              <w:spacing w:after="0" w:line="240" w:lineRule="auto"/>
              <w:ind w:left="-114" w:right="-126"/>
              <w:jc w:val="center"/>
              <w:rPr>
                <w:rFonts w:ascii="Arial" w:eastAsia="Arial" w:hAnsi="Arial" w:cs="Arial"/>
                <w:b/>
                <w:bCs/>
                <w:sz w:val="18"/>
                <w:szCs w:val="18"/>
                <w:lang w:val="es-ES_tradnl"/>
              </w:rPr>
            </w:pPr>
            <w:r>
              <w:rPr>
                <w:rFonts w:ascii="Arial" w:eastAsia="Arial" w:hAnsi="Arial" w:cs="Arial"/>
                <w:b/>
                <w:bCs/>
                <w:sz w:val="18"/>
                <w:szCs w:val="18"/>
                <w:lang w:val="es-ES_tradnl"/>
              </w:rPr>
              <w:t>2017</w:t>
            </w:r>
          </w:p>
        </w:tc>
        <w:tc>
          <w:tcPr>
            <w:tcW w:w="1080" w:type="dxa"/>
            <w:gridSpan w:val="4"/>
            <w:shd w:val="clear" w:color="auto" w:fill="548DD4" w:themeFill="text2" w:themeFillTint="99"/>
            <w:vAlign w:val="center"/>
          </w:tcPr>
          <w:p>
            <w:pPr>
              <w:spacing w:after="0" w:line="240" w:lineRule="auto"/>
              <w:ind w:left="-114" w:right="-126"/>
              <w:jc w:val="center"/>
              <w:rPr>
                <w:rFonts w:ascii="Arial" w:eastAsia="Arial" w:hAnsi="Arial" w:cs="Arial"/>
                <w:b/>
                <w:bCs/>
                <w:sz w:val="18"/>
                <w:szCs w:val="18"/>
                <w:lang w:val="es-ES_tradnl"/>
              </w:rPr>
            </w:pPr>
            <w:r>
              <w:rPr>
                <w:rFonts w:ascii="Arial" w:eastAsia="Arial" w:hAnsi="Arial" w:cs="Arial"/>
                <w:b/>
                <w:bCs/>
                <w:sz w:val="18"/>
                <w:szCs w:val="18"/>
                <w:lang w:val="es-ES_tradnl"/>
              </w:rPr>
              <w:t>2018</w:t>
            </w:r>
          </w:p>
        </w:tc>
        <w:tc>
          <w:tcPr>
            <w:tcW w:w="1170" w:type="dxa"/>
            <w:shd w:val="clear" w:color="auto" w:fill="548DD4" w:themeFill="text2" w:themeFillTint="99"/>
            <w:noWrap/>
            <w:vAlign w:val="center"/>
          </w:tcPr>
          <w:p>
            <w:pPr>
              <w:spacing w:after="0" w:line="240" w:lineRule="auto"/>
              <w:ind w:left="-114" w:right="-126"/>
              <w:jc w:val="center"/>
              <w:rPr>
                <w:rFonts w:ascii="Arial" w:eastAsia="Arial" w:hAnsi="Arial" w:cs="Arial"/>
                <w:b/>
                <w:bCs/>
                <w:sz w:val="18"/>
                <w:szCs w:val="18"/>
                <w:lang w:val="es-ES_tradnl"/>
              </w:rPr>
            </w:pPr>
            <w:r>
              <w:rPr>
                <w:rFonts w:ascii="Arial" w:eastAsia="Arial" w:hAnsi="Arial" w:cs="Arial"/>
                <w:b/>
                <w:bCs/>
                <w:sz w:val="18"/>
                <w:szCs w:val="18"/>
                <w:lang w:val="es-ES_tradnl"/>
              </w:rPr>
              <w:t>Responsable</w:t>
            </w:r>
          </w:p>
        </w:tc>
        <w:tc>
          <w:tcPr>
            <w:tcW w:w="810" w:type="dxa"/>
            <w:shd w:val="clear" w:color="auto" w:fill="548DD4" w:themeFill="text2" w:themeFillTint="99"/>
            <w:vAlign w:val="center"/>
          </w:tcPr>
          <w:p>
            <w:pPr>
              <w:spacing w:after="0" w:line="240" w:lineRule="auto"/>
              <w:ind w:left="-114" w:right="-126"/>
              <w:jc w:val="center"/>
              <w:rPr>
                <w:rFonts w:ascii="Arial" w:eastAsia="Arial" w:hAnsi="Arial" w:cs="Arial"/>
                <w:b/>
                <w:bCs/>
                <w:sz w:val="18"/>
                <w:szCs w:val="18"/>
                <w:lang w:val="es-ES_tradnl"/>
              </w:rPr>
            </w:pPr>
            <w:r>
              <w:rPr>
                <w:rFonts w:ascii="Arial" w:eastAsia="Arial" w:hAnsi="Arial" w:cs="Arial"/>
                <w:b/>
                <w:bCs/>
                <w:sz w:val="18"/>
                <w:szCs w:val="18"/>
                <w:lang w:val="es-ES_tradnl"/>
              </w:rPr>
              <w:t>Costo</w:t>
            </w:r>
          </w:p>
          <w:p>
            <w:pPr>
              <w:spacing w:after="0" w:line="240" w:lineRule="auto"/>
              <w:ind w:left="-114" w:right="-126"/>
              <w:jc w:val="center"/>
              <w:rPr>
                <w:rFonts w:ascii="Arial" w:eastAsia="Arial" w:hAnsi="Arial" w:cs="Arial"/>
                <w:b/>
                <w:bCs/>
                <w:sz w:val="18"/>
                <w:szCs w:val="18"/>
                <w:lang w:val="es-ES_tradnl"/>
              </w:rPr>
            </w:pPr>
            <w:r>
              <w:rPr>
                <w:rFonts w:ascii="Arial" w:eastAsia="Arial" w:hAnsi="Arial" w:cs="Arial"/>
                <w:b/>
                <w:bCs/>
                <w:sz w:val="18"/>
                <w:szCs w:val="18"/>
                <w:lang w:val="es-ES_tradnl"/>
              </w:rPr>
              <w:t>(US$)</w:t>
            </w:r>
          </w:p>
        </w:tc>
        <w:tc>
          <w:tcPr>
            <w:tcW w:w="1705" w:type="dxa"/>
            <w:shd w:val="clear" w:color="auto" w:fill="548DD4" w:themeFill="text2" w:themeFillTint="99"/>
            <w:vAlign w:val="center"/>
          </w:tcPr>
          <w:p>
            <w:pPr>
              <w:spacing w:after="0" w:line="240" w:lineRule="auto"/>
              <w:ind w:left="-114" w:right="-126"/>
              <w:jc w:val="center"/>
              <w:rPr>
                <w:rFonts w:ascii="Arial" w:eastAsia="Arial" w:hAnsi="Arial" w:cs="Arial"/>
                <w:b/>
                <w:bCs/>
                <w:sz w:val="18"/>
                <w:szCs w:val="18"/>
                <w:lang w:val="es-ES_tradnl"/>
              </w:rPr>
            </w:pPr>
            <w:r>
              <w:rPr>
                <w:rFonts w:ascii="Arial" w:eastAsia="Arial" w:hAnsi="Arial" w:cs="Arial"/>
                <w:b/>
                <w:bCs/>
                <w:sz w:val="18"/>
                <w:szCs w:val="18"/>
                <w:lang w:val="es-ES_tradnl"/>
              </w:rPr>
              <w:t>Fuente de Financiamiento</w:t>
            </w:r>
          </w:p>
        </w:tc>
      </w:tr>
      <w:tr>
        <w:trPr>
          <w:trHeight w:val="20"/>
        </w:trPr>
        <w:tc>
          <w:tcPr>
            <w:tcW w:w="2110" w:type="dxa"/>
            <w:noWrap/>
            <w:vAlign w:val="center"/>
          </w:tcPr>
          <w:p>
            <w:pPr>
              <w:spacing w:after="0" w:line="240" w:lineRule="auto"/>
              <w:jc w:val="both"/>
              <w:rPr>
                <w:rFonts w:ascii="Arial" w:eastAsia="Arial" w:hAnsi="Arial" w:cs="Arial"/>
                <w:sz w:val="18"/>
                <w:szCs w:val="18"/>
                <w:lang w:val="es-ES_tradnl"/>
              </w:rPr>
            </w:pPr>
            <w:r>
              <w:rPr>
                <w:rFonts w:ascii="Arial" w:eastAsia="Arial" w:hAnsi="Arial" w:cs="Arial"/>
                <w:sz w:val="18"/>
                <w:szCs w:val="18"/>
                <w:lang w:val="es-ES_tradnl"/>
              </w:rPr>
              <w:t xml:space="preserve">Misión(es) coordinación y monitoreo cumplimiento de los compromisos </w:t>
            </w:r>
          </w:p>
        </w:tc>
        <w:tc>
          <w:tcPr>
            <w:tcW w:w="236" w:type="dxa"/>
            <w:shd w:val="clear" w:color="auto" w:fill="auto"/>
            <w:noWrap/>
            <w:vAlign w:val="center"/>
          </w:tcPr>
          <w:p>
            <w:pPr>
              <w:spacing w:after="0" w:line="240" w:lineRule="auto"/>
              <w:rPr>
                <w:rFonts w:ascii="Arial" w:eastAsia="Arial" w:hAnsi="Arial" w:cs="Arial"/>
                <w:sz w:val="18"/>
                <w:szCs w:val="18"/>
                <w:lang w:val="es-ES_tradnl"/>
              </w:rPr>
            </w:pPr>
            <w:r>
              <w:rPr>
                <w:rFonts w:ascii="Arial" w:eastAsia="Arial" w:hAnsi="Arial" w:cs="Arial"/>
                <w:sz w:val="18"/>
                <w:szCs w:val="18"/>
                <w:lang w:val="es-ES_tradnl"/>
              </w:rPr>
              <w:t> </w:t>
            </w:r>
          </w:p>
        </w:tc>
        <w:tc>
          <w:tcPr>
            <w:tcW w:w="264" w:type="dxa"/>
            <w:shd w:val="clear" w:color="auto" w:fill="auto"/>
            <w:noWrap/>
            <w:vAlign w:val="center"/>
          </w:tcPr>
          <w:p>
            <w:pPr>
              <w:spacing w:after="0" w:line="240" w:lineRule="auto"/>
              <w:rPr>
                <w:rFonts w:ascii="Arial" w:hAnsi="Arial" w:cs="Arial"/>
                <w:sz w:val="18"/>
                <w:szCs w:val="18"/>
                <w:lang w:val="es-ES_tradnl"/>
              </w:rPr>
            </w:pPr>
          </w:p>
        </w:tc>
        <w:tc>
          <w:tcPr>
            <w:tcW w:w="270" w:type="dxa"/>
            <w:shd w:val="clear" w:color="auto" w:fill="BFBFBF" w:themeFill="background1" w:themeFillShade="BF"/>
            <w:noWrap/>
            <w:vAlign w:val="center"/>
          </w:tcPr>
          <w:p>
            <w:pPr>
              <w:spacing w:after="0" w:line="240" w:lineRule="auto"/>
              <w:rPr>
                <w:rFonts w:ascii="Arial" w:hAnsi="Arial" w:cs="Arial"/>
                <w:b/>
                <w:bCs/>
                <w:sz w:val="18"/>
                <w:szCs w:val="18"/>
                <w:lang w:val="es-ES_tradnl"/>
              </w:rPr>
            </w:pPr>
            <w:r>
              <w:rPr>
                <w:rFonts w:ascii="Arial" w:eastAsia="Arial" w:hAnsi="Arial" w:cs="Arial"/>
                <w:sz w:val="18"/>
                <w:szCs w:val="18"/>
                <w:lang w:val="es-ES_tradnl"/>
              </w:rPr>
              <w:t> </w:t>
            </w:r>
          </w:p>
        </w:tc>
        <w:tc>
          <w:tcPr>
            <w:tcW w:w="270" w:type="dxa"/>
            <w:shd w:val="clear" w:color="auto" w:fill="auto"/>
            <w:noWrap/>
            <w:vAlign w:val="center"/>
          </w:tcPr>
          <w:p>
            <w:pPr>
              <w:spacing w:after="0" w:line="240" w:lineRule="auto"/>
              <w:rPr>
                <w:rFonts w:ascii="Arial" w:eastAsia="Arial" w:hAnsi="Arial" w:cs="Arial"/>
                <w:sz w:val="18"/>
                <w:szCs w:val="18"/>
                <w:lang w:val="es-ES_tradnl"/>
              </w:rPr>
            </w:pPr>
            <w:r>
              <w:rPr>
                <w:rFonts w:ascii="Arial" w:eastAsia="Arial" w:hAnsi="Arial" w:cs="Arial"/>
                <w:sz w:val="18"/>
                <w:szCs w:val="18"/>
                <w:lang w:val="es-ES_tradnl"/>
              </w:rPr>
              <w:t> </w:t>
            </w:r>
          </w:p>
        </w:tc>
        <w:tc>
          <w:tcPr>
            <w:tcW w:w="270" w:type="dxa"/>
            <w:shd w:val="clear" w:color="auto" w:fill="auto"/>
            <w:vAlign w:val="center"/>
          </w:tcPr>
          <w:p>
            <w:pPr>
              <w:spacing w:after="0" w:line="240" w:lineRule="auto"/>
              <w:jc w:val="center"/>
              <w:rPr>
                <w:rFonts w:ascii="Arial" w:eastAsia="Arial" w:hAnsi="Arial" w:cs="Arial"/>
                <w:sz w:val="18"/>
                <w:szCs w:val="18"/>
                <w:lang w:val="es-ES_tradnl"/>
              </w:rPr>
            </w:pPr>
          </w:p>
        </w:tc>
        <w:tc>
          <w:tcPr>
            <w:tcW w:w="270" w:type="dxa"/>
            <w:shd w:val="clear" w:color="auto" w:fill="auto"/>
            <w:vAlign w:val="center"/>
          </w:tcPr>
          <w:p>
            <w:pPr>
              <w:spacing w:after="0" w:line="240" w:lineRule="auto"/>
              <w:jc w:val="center"/>
              <w:rPr>
                <w:rFonts w:ascii="Arial" w:eastAsia="Arial" w:hAnsi="Arial" w:cs="Arial"/>
                <w:sz w:val="18"/>
                <w:szCs w:val="18"/>
                <w:lang w:val="es-ES_tradnl"/>
              </w:rPr>
            </w:pPr>
          </w:p>
        </w:tc>
        <w:tc>
          <w:tcPr>
            <w:tcW w:w="270" w:type="dxa"/>
            <w:vAlign w:val="center"/>
          </w:tcPr>
          <w:p>
            <w:pPr>
              <w:spacing w:after="0" w:line="240" w:lineRule="auto"/>
              <w:jc w:val="center"/>
              <w:rPr>
                <w:rFonts w:ascii="Arial" w:eastAsia="Arial" w:hAnsi="Arial" w:cs="Arial"/>
                <w:sz w:val="18"/>
                <w:szCs w:val="18"/>
                <w:lang w:val="es-ES_tradnl"/>
              </w:rPr>
            </w:pPr>
          </w:p>
        </w:tc>
        <w:tc>
          <w:tcPr>
            <w:tcW w:w="270" w:type="dxa"/>
            <w:vAlign w:val="center"/>
          </w:tcPr>
          <w:p>
            <w:pPr>
              <w:spacing w:after="0" w:line="240" w:lineRule="auto"/>
              <w:jc w:val="center"/>
              <w:rPr>
                <w:rFonts w:ascii="Arial" w:eastAsia="Arial" w:hAnsi="Arial" w:cs="Arial"/>
                <w:sz w:val="18"/>
                <w:szCs w:val="18"/>
                <w:lang w:val="es-ES_tradnl"/>
              </w:rPr>
            </w:pPr>
          </w:p>
        </w:tc>
        <w:tc>
          <w:tcPr>
            <w:tcW w:w="1170" w:type="dxa"/>
            <w:noWrap/>
            <w:vAlign w:val="center"/>
          </w:tcPr>
          <w:p>
            <w:pPr>
              <w:spacing w:after="0" w:line="240" w:lineRule="auto"/>
              <w:jc w:val="center"/>
              <w:rPr>
                <w:rFonts w:ascii="Arial" w:eastAsia="Arial" w:hAnsi="Arial" w:cs="Arial"/>
                <w:sz w:val="18"/>
                <w:szCs w:val="18"/>
                <w:lang w:val="es-ES_tradnl"/>
              </w:rPr>
            </w:pPr>
            <w:r>
              <w:rPr>
                <w:rFonts w:ascii="Arial" w:eastAsia="Arial" w:hAnsi="Arial" w:cs="Arial"/>
                <w:sz w:val="18"/>
                <w:szCs w:val="18"/>
                <w:lang w:val="es-ES_tradnl"/>
              </w:rPr>
              <w:t>BID</w:t>
            </w:r>
          </w:p>
        </w:tc>
        <w:tc>
          <w:tcPr>
            <w:tcW w:w="810" w:type="dxa"/>
            <w:vAlign w:val="center"/>
          </w:tcPr>
          <w:p>
            <w:pPr>
              <w:spacing w:after="0" w:line="240" w:lineRule="auto"/>
              <w:jc w:val="center"/>
              <w:rPr>
                <w:rFonts w:ascii="Arial" w:eastAsia="Arial" w:hAnsi="Arial" w:cs="Arial"/>
                <w:sz w:val="18"/>
                <w:szCs w:val="18"/>
                <w:lang w:val="es-ES_tradnl"/>
              </w:rPr>
            </w:pPr>
            <w:r>
              <w:rPr>
                <w:rFonts w:ascii="Arial" w:eastAsia="Arial" w:hAnsi="Arial" w:cs="Arial"/>
                <w:sz w:val="18"/>
                <w:szCs w:val="18"/>
                <w:lang w:val="es-ES_tradnl"/>
              </w:rPr>
              <w:t>5.500</w:t>
            </w:r>
          </w:p>
        </w:tc>
        <w:tc>
          <w:tcPr>
            <w:tcW w:w="1705" w:type="dxa"/>
            <w:vAlign w:val="center"/>
          </w:tcPr>
          <w:p>
            <w:pPr>
              <w:spacing w:after="0" w:line="240" w:lineRule="auto"/>
              <w:jc w:val="center"/>
              <w:rPr>
                <w:rFonts w:ascii="Arial" w:eastAsia="Arial" w:hAnsi="Arial" w:cs="Arial"/>
                <w:sz w:val="18"/>
                <w:szCs w:val="18"/>
                <w:lang w:val="es-ES_tradnl"/>
              </w:rPr>
            </w:pPr>
            <w:r>
              <w:rPr>
                <w:rFonts w:ascii="Arial" w:eastAsia="Arial" w:hAnsi="Arial" w:cs="Arial"/>
                <w:sz w:val="18"/>
                <w:szCs w:val="18"/>
                <w:lang w:val="es-ES_tradnl"/>
              </w:rPr>
              <w:t>Presupuesto administrativo, planes de supervisión del Banco</w:t>
            </w:r>
          </w:p>
        </w:tc>
      </w:tr>
      <w:tr>
        <w:trPr>
          <w:trHeight w:val="20"/>
        </w:trPr>
        <w:tc>
          <w:tcPr>
            <w:tcW w:w="2110" w:type="dxa"/>
            <w:noWrap/>
            <w:vAlign w:val="center"/>
          </w:tcPr>
          <w:p>
            <w:pPr>
              <w:spacing w:after="0" w:line="240" w:lineRule="auto"/>
              <w:jc w:val="both"/>
              <w:rPr>
                <w:rFonts w:ascii="Arial" w:eastAsia="Arial" w:hAnsi="Arial" w:cs="Arial"/>
                <w:sz w:val="18"/>
                <w:szCs w:val="18"/>
                <w:lang w:val="es-ES_tradnl"/>
              </w:rPr>
            </w:pPr>
            <w:r>
              <w:rPr>
                <w:rFonts w:ascii="Arial" w:eastAsia="Arial" w:hAnsi="Arial" w:cs="Arial"/>
                <w:sz w:val="18"/>
                <w:szCs w:val="18"/>
                <w:lang w:val="es-ES_tradnl"/>
              </w:rPr>
              <w:t>Misión de monitoreo y potencial determinación planes alternativos para garantizar el cumplimiento de los compromisos establecidos</w:t>
            </w:r>
          </w:p>
        </w:tc>
        <w:tc>
          <w:tcPr>
            <w:tcW w:w="236" w:type="dxa"/>
            <w:shd w:val="clear" w:color="auto" w:fill="FFFFFF" w:themeFill="background1"/>
            <w:noWrap/>
            <w:vAlign w:val="center"/>
          </w:tcPr>
          <w:p>
            <w:pPr>
              <w:spacing w:after="0" w:line="240" w:lineRule="auto"/>
              <w:rPr>
                <w:rFonts w:ascii="Arial" w:eastAsia="Arial" w:hAnsi="Arial" w:cs="Arial"/>
                <w:sz w:val="18"/>
                <w:szCs w:val="18"/>
                <w:lang w:val="es-ES_tradnl"/>
              </w:rPr>
            </w:pPr>
            <w:r>
              <w:rPr>
                <w:rFonts w:ascii="Arial" w:eastAsia="Arial" w:hAnsi="Arial" w:cs="Arial"/>
                <w:sz w:val="18"/>
                <w:szCs w:val="18"/>
                <w:lang w:val="es-ES_tradnl"/>
              </w:rPr>
              <w:t> </w:t>
            </w:r>
          </w:p>
        </w:tc>
        <w:tc>
          <w:tcPr>
            <w:tcW w:w="264" w:type="dxa"/>
            <w:shd w:val="clear" w:color="auto" w:fill="FFFFFF" w:themeFill="background1"/>
            <w:noWrap/>
            <w:vAlign w:val="center"/>
          </w:tcPr>
          <w:p>
            <w:pPr>
              <w:spacing w:after="0" w:line="240" w:lineRule="auto"/>
              <w:rPr>
                <w:rFonts w:ascii="Arial" w:hAnsi="Arial" w:cs="Arial"/>
                <w:sz w:val="18"/>
                <w:szCs w:val="18"/>
                <w:lang w:val="es-ES_tradnl"/>
              </w:rPr>
            </w:pPr>
          </w:p>
        </w:tc>
        <w:tc>
          <w:tcPr>
            <w:tcW w:w="270" w:type="dxa"/>
            <w:shd w:val="clear" w:color="auto" w:fill="auto"/>
            <w:noWrap/>
            <w:vAlign w:val="center"/>
          </w:tcPr>
          <w:p>
            <w:pPr>
              <w:spacing w:after="0" w:line="240" w:lineRule="auto"/>
              <w:rPr>
                <w:rFonts w:ascii="Arial" w:eastAsia="Arial" w:hAnsi="Arial" w:cs="Arial"/>
                <w:sz w:val="18"/>
                <w:szCs w:val="18"/>
                <w:lang w:val="es-ES_tradnl"/>
              </w:rPr>
            </w:pPr>
            <w:r>
              <w:rPr>
                <w:rFonts w:ascii="Arial" w:eastAsia="Arial" w:hAnsi="Arial" w:cs="Arial"/>
                <w:sz w:val="18"/>
                <w:szCs w:val="18"/>
                <w:lang w:val="es-ES_tradnl"/>
              </w:rPr>
              <w:t> </w:t>
            </w:r>
          </w:p>
        </w:tc>
        <w:tc>
          <w:tcPr>
            <w:tcW w:w="270" w:type="dxa"/>
            <w:shd w:val="clear" w:color="auto" w:fill="auto"/>
            <w:noWrap/>
            <w:vAlign w:val="center"/>
          </w:tcPr>
          <w:p>
            <w:pPr>
              <w:spacing w:after="0" w:line="240" w:lineRule="auto"/>
              <w:rPr>
                <w:rFonts w:ascii="Arial" w:eastAsia="Arial" w:hAnsi="Arial" w:cs="Arial"/>
                <w:sz w:val="18"/>
                <w:szCs w:val="18"/>
                <w:lang w:val="es-ES_tradnl"/>
              </w:rPr>
            </w:pPr>
            <w:r>
              <w:rPr>
                <w:rFonts w:ascii="Arial" w:eastAsia="Arial" w:hAnsi="Arial" w:cs="Arial"/>
                <w:sz w:val="18"/>
                <w:szCs w:val="18"/>
                <w:lang w:val="es-ES_tradnl"/>
              </w:rPr>
              <w:t> </w:t>
            </w:r>
          </w:p>
        </w:tc>
        <w:tc>
          <w:tcPr>
            <w:tcW w:w="270" w:type="dxa"/>
            <w:shd w:val="clear" w:color="auto" w:fill="BFBFBF" w:themeFill="background1" w:themeFillShade="BF"/>
            <w:vAlign w:val="center"/>
          </w:tcPr>
          <w:p>
            <w:pPr>
              <w:spacing w:after="0" w:line="240" w:lineRule="auto"/>
              <w:jc w:val="center"/>
              <w:rPr>
                <w:rFonts w:ascii="Arial" w:eastAsia="Arial" w:hAnsi="Arial" w:cs="Arial"/>
                <w:sz w:val="18"/>
                <w:szCs w:val="18"/>
                <w:lang w:val="es-ES_tradnl"/>
              </w:rPr>
            </w:pPr>
          </w:p>
        </w:tc>
        <w:tc>
          <w:tcPr>
            <w:tcW w:w="270" w:type="dxa"/>
            <w:shd w:val="clear" w:color="auto" w:fill="auto"/>
            <w:vAlign w:val="center"/>
          </w:tcPr>
          <w:p>
            <w:pPr>
              <w:spacing w:after="0" w:line="240" w:lineRule="auto"/>
              <w:jc w:val="center"/>
              <w:rPr>
                <w:rFonts w:ascii="Arial" w:eastAsia="Arial" w:hAnsi="Arial" w:cs="Arial"/>
                <w:sz w:val="18"/>
                <w:szCs w:val="18"/>
                <w:lang w:val="es-ES_tradnl"/>
              </w:rPr>
            </w:pPr>
          </w:p>
        </w:tc>
        <w:tc>
          <w:tcPr>
            <w:tcW w:w="270" w:type="dxa"/>
            <w:vAlign w:val="center"/>
          </w:tcPr>
          <w:p>
            <w:pPr>
              <w:spacing w:after="0" w:line="240" w:lineRule="auto"/>
              <w:jc w:val="center"/>
              <w:rPr>
                <w:rFonts w:ascii="Arial" w:eastAsia="Arial" w:hAnsi="Arial" w:cs="Arial"/>
                <w:sz w:val="18"/>
                <w:szCs w:val="18"/>
                <w:lang w:val="es-ES_tradnl"/>
              </w:rPr>
            </w:pPr>
          </w:p>
        </w:tc>
        <w:tc>
          <w:tcPr>
            <w:tcW w:w="270" w:type="dxa"/>
            <w:vAlign w:val="center"/>
          </w:tcPr>
          <w:p>
            <w:pPr>
              <w:spacing w:after="0" w:line="240" w:lineRule="auto"/>
              <w:jc w:val="center"/>
              <w:rPr>
                <w:rFonts w:ascii="Arial" w:eastAsia="Arial" w:hAnsi="Arial" w:cs="Arial"/>
                <w:sz w:val="18"/>
                <w:szCs w:val="18"/>
                <w:lang w:val="es-ES_tradnl"/>
              </w:rPr>
            </w:pPr>
          </w:p>
        </w:tc>
        <w:tc>
          <w:tcPr>
            <w:tcW w:w="1170" w:type="dxa"/>
            <w:noWrap/>
            <w:vAlign w:val="center"/>
          </w:tcPr>
          <w:p>
            <w:pPr>
              <w:spacing w:after="0" w:line="240" w:lineRule="auto"/>
              <w:jc w:val="center"/>
              <w:rPr>
                <w:rFonts w:ascii="Arial" w:eastAsia="Arial" w:hAnsi="Arial" w:cs="Arial"/>
                <w:sz w:val="18"/>
                <w:szCs w:val="18"/>
                <w:lang w:val="es-ES_tradnl"/>
              </w:rPr>
            </w:pPr>
            <w:r>
              <w:rPr>
                <w:rFonts w:ascii="Arial" w:eastAsia="Arial" w:hAnsi="Arial" w:cs="Arial"/>
                <w:sz w:val="18"/>
                <w:szCs w:val="18"/>
                <w:lang w:val="es-ES_tradnl"/>
              </w:rPr>
              <w:t>BID</w:t>
            </w:r>
          </w:p>
        </w:tc>
        <w:tc>
          <w:tcPr>
            <w:tcW w:w="810" w:type="dxa"/>
            <w:vAlign w:val="center"/>
          </w:tcPr>
          <w:p>
            <w:pPr>
              <w:spacing w:after="0" w:line="240" w:lineRule="auto"/>
              <w:jc w:val="center"/>
              <w:rPr>
                <w:rFonts w:ascii="Arial" w:eastAsia="Arial" w:hAnsi="Arial" w:cs="Arial"/>
                <w:sz w:val="18"/>
                <w:szCs w:val="18"/>
                <w:lang w:val="es-ES_tradnl"/>
              </w:rPr>
            </w:pPr>
            <w:r>
              <w:rPr>
                <w:rFonts w:ascii="Arial" w:eastAsia="Arial" w:hAnsi="Arial" w:cs="Arial"/>
                <w:sz w:val="18"/>
                <w:szCs w:val="18"/>
                <w:lang w:val="es-ES_tradnl"/>
              </w:rPr>
              <w:t>3.500</w:t>
            </w:r>
          </w:p>
        </w:tc>
        <w:tc>
          <w:tcPr>
            <w:tcW w:w="1705" w:type="dxa"/>
            <w:vAlign w:val="center"/>
          </w:tcPr>
          <w:p>
            <w:pPr>
              <w:spacing w:after="0" w:line="240" w:lineRule="auto"/>
              <w:jc w:val="center"/>
              <w:rPr>
                <w:rFonts w:ascii="Arial" w:eastAsia="Arial" w:hAnsi="Arial" w:cs="Arial"/>
                <w:sz w:val="18"/>
                <w:szCs w:val="18"/>
                <w:lang w:val="es-ES_tradnl"/>
              </w:rPr>
            </w:pPr>
            <w:r>
              <w:rPr>
                <w:rFonts w:ascii="Arial" w:eastAsia="Arial" w:hAnsi="Arial" w:cs="Arial"/>
                <w:sz w:val="18"/>
                <w:szCs w:val="18"/>
                <w:lang w:val="es-ES_tradnl"/>
              </w:rPr>
              <w:t>Presupuesto administrativo, planes de supervisión del Banco</w:t>
            </w:r>
          </w:p>
        </w:tc>
      </w:tr>
      <w:tr>
        <w:trPr>
          <w:trHeight w:val="20"/>
        </w:trPr>
        <w:tc>
          <w:tcPr>
            <w:tcW w:w="2110" w:type="dxa"/>
            <w:noWrap/>
            <w:vAlign w:val="center"/>
          </w:tcPr>
          <w:p>
            <w:pPr>
              <w:spacing w:after="0" w:line="240" w:lineRule="auto"/>
              <w:jc w:val="both"/>
              <w:rPr>
                <w:rFonts w:ascii="Arial" w:eastAsia="Arial" w:hAnsi="Arial" w:cs="Arial"/>
                <w:sz w:val="18"/>
                <w:szCs w:val="18"/>
                <w:lang w:val="es-ES_tradnl"/>
              </w:rPr>
            </w:pPr>
            <w:r>
              <w:rPr>
                <w:rFonts w:ascii="Arial" w:eastAsia="Arial" w:hAnsi="Arial" w:cs="Arial"/>
                <w:sz w:val="18"/>
                <w:szCs w:val="18"/>
                <w:lang w:val="es-ES_tradnl"/>
              </w:rPr>
              <w:t>Reuniones, talleres y diálogos interinstitucionales</w:t>
            </w:r>
          </w:p>
        </w:tc>
        <w:tc>
          <w:tcPr>
            <w:tcW w:w="236" w:type="dxa"/>
            <w:shd w:val="clear" w:color="auto" w:fill="auto"/>
            <w:noWrap/>
            <w:vAlign w:val="center"/>
          </w:tcPr>
          <w:p>
            <w:pPr>
              <w:spacing w:after="0" w:line="240" w:lineRule="auto"/>
              <w:rPr>
                <w:rFonts w:ascii="Arial" w:eastAsia="Arial" w:hAnsi="Arial" w:cs="Arial"/>
                <w:sz w:val="18"/>
                <w:szCs w:val="18"/>
                <w:lang w:val="es-ES_tradnl"/>
              </w:rPr>
            </w:pPr>
            <w:r>
              <w:rPr>
                <w:rFonts w:ascii="Arial" w:eastAsia="Arial" w:hAnsi="Arial" w:cs="Arial"/>
                <w:sz w:val="18"/>
                <w:szCs w:val="18"/>
                <w:lang w:val="es-ES_tradnl"/>
              </w:rPr>
              <w:t> </w:t>
            </w:r>
          </w:p>
        </w:tc>
        <w:tc>
          <w:tcPr>
            <w:tcW w:w="264" w:type="dxa"/>
            <w:shd w:val="clear" w:color="auto" w:fill="FFFFFF" w:themeFill="background1"/>
            <w:noWrap/>
            <w:vAlign w:val="center"/>
          </w:tcPr>
          <w:p>
            <w:pPr>
              <w:spacing w:after="0" w:line="240" w:lineRule="auto"/>
              <w:rPr>
                <w:rFonts w:ascii="Arial" w:hAnsi="Arial" w:cs="Arial"/>
                <w:sz w:val="18"/>
                <w:szCs w:val="18"/>
                <w:lang w:val="es-ES_tradnl"/>
              </w:rPr>
            </w:pPr>
          </w:p>
        </w:tc>
        <w:tc>
          <w:tcPr>
            <w:tcW w:w="270" w:type="dxa"/>
            <w:shd w:val="clear" w:color="auto" w:fill="BFBFBF" w:themeFill="background1" w:themeFillShade="BF"/>
            <w:noWrap/>
            <w:vAlign w:val="center"/>
          </w:tcPr>
          <w:p>
            <w:pPr>
              <w:spacing w:after="0" w:line="240" w:lineRule="auto"/>
              <w:rPr>
                <w:rFonts w:ascii="Arial" w:eastAsia="Arial" w:hAnsi="Arial" w:cs="Arial"/>
                <w:sz w:val="18"/>
                <w:szCs w:val="18"/>
                <w:lang w:val="es-ES_tradnl"/>
              </w:rPr>
            </w:pPr>
            <w:r>
              <w:rPr>
                <w:rFonts w:ascii="Arial" w:eastAsia="Arial" w:hAnsi="Arial" w:cs="Arial"/>
                <w:sz w:val="18"/>
                <w:szCs w:val="18"/>
                <w:lang w:val="es-ES_tradnl"/>
              </w:rPr>
              <w:t> </w:t>
            </w:r>
          </w:p>
        </w:tc>
        <w:tc>
          <w:tcPr>
            <w:tcW w:w="270" w:type="dxa"/>
            <w:shd w:val="clear" w:color="auto" w:fill="BFBFBF" w:themeFill="background1" w:themeFillShade="BF"/>
            <w:noWrap/>
            <w:vAlign w:val="center"/>
          </w:tcPr>
          <w:p>
            <w:pPr>
              <w:spacing w:after="0" w:line="240" w:lineRule="auto"/>
              <w:rPr>
                <w:rFonts w:ascii="Arial" w:eastAsia="Arial" w:hAnsi="Arial" w:cs="Arial"/>
                <w:sz w:val="18"/>
                <w:szCs w:val="18"/>
                <w:lang w:val="es-ES_tradnl"/>
              </w:rPr>
            </w:pPr>
            <w:r>
              <w:rPr>
                <w:rFonts w:ascii="Arial" w:eastAsia="Arial" w:hAnsi="Arial" w:cs="Arial"/>
                <w:sz w:val="18"/>
                <w:szCs w:val="18"/>
                <w:lang w:val="es-ES_tradnl"/>
              </w:rPr>
              <w:t> </w:t>
            </w:r>
          </w:p>
        </w:tc>
        <w:tc>
          <w:tcPr>
            <w:tcW w:w="270" w:type="dxa"/>
            <w:shd w:val="clear" w:color="auto" w:fill="auto"/>
            <w:vAlign w:val="center"/>
          </w:tcPr>
          <w:p>
            <w:pPr>
              <w:spacing w:after="0" w:line="240" w:lineRule="auto"/>
              <w:jc w:val="center"/>
              <w:rPr>
                <w:rFonts w:ascii="Arial" w:eastAsia="Arial" w:hAnsi="Arial" w:cs="Arial"/>
                <w:sz w:val="18"/>
                <w:szCs w:val="18"/>
                <w:lang w:val="es-ES_tradnl"/>
              </w:rPr>
            </w:pPr>
          </w:p>
        </w:tc>
        <w:tc>
          <w:tcPr>
            <w:tcW w:w="270" w:type="dxa"/>
            <w:shd w:val="clear" w:color="auto" w:fill="auto"/>
            <w:vAlign w:val="center"/>
          </w:tcPr>
          <w:p>
            <w:pPr>
              <w:spacing w:after="0" w:line="240" w:lineRule="auto"/>
              <w:jc w:val="center"/>
              <w:rPr>
                <w:rFonts w:ascii="Arial" w:eastAsia="Arial" w:hAnsi="Arial" w:cs="Arial"/>
                <w:sz w:val="18"/>
                <w:szCs w:val="18"/>
                <w:lang w:val="es-ES_tradnl"/>
              </w:rPr>
            </w:pPr>
          </w:p>
        </w:tc>
        <w:tc>
          <w:tcPr>
            <w:tcW w:w="270" w:type="dxa"/>
            <w:vAlign w:val="center"/>
          </w:tcPr>
          <w:p>
            <w:pPr>
              <w:spacing w:after="0" w:line="240" w:lineRule="auto"/>
              <w:jc w:val="center"/>
              <w:rPr>
                <w:rFonts w:ascii="Arial" w:eastAsia="Arial" w:hAnsi="Arial" w:cs="Arial"/>
                <w:sz w:val="18"/>
                <w:szCs w:val="18"/>
                <w:lang w:val="es-ES_tradnl"/>
              </w:rPr>
            </w:pPr>
          </w:p>
        </w:tc>
        <w:tc>
          <w:tcPr>
            <w:tcW w:w="270" w:type="dxa"/>
            <w:vAlign w:val="center"/>
          </w:tcPr>
          <w:p>
            <w:pPr>
              <w:spacing w:after="0" w:line="240" w:lineRule="auto"/>
              <w:jc w:val="center"/>
              <w:rPr>
                <w:rFonts w:ascii="Arial" w:eastAsia="Arial" w:hAnsi="Arial" w:cs="Arial"/>
                <w:sz w:val="18"/>
                <w:szCs w:val="18"/>
                <w:lang w:val="es-ES_tradnl"/>
              </w:rPr>
            </w:pPr>
          </w:p>
        </w:tc>
        <w:tc>
          <w:tcPr>
            <w:tcW w:w="1170" w:type="dxa"/>
            <w:noWrap/>
            <w:vAlign w:val="center"/>
          </w:tcPr>
          <w:p>
            <w:pPr>
              <w:spacing w:after="0" w:line="240" w:lineRule="auto"/>
              <w:jc w:val="center"/>
              <w:rPr>
                <w:rFonts w:ascii="Arial" w:eastAsia="Arial" w:hAnsi="Arial" w:cs="Arial"/>
                <w:sz w:val="18"/>
                <w:szCs w:val="18"/>
                <w:lang w:val="es-ES_tradnl"/>
              </w:rPr>
            </w:pPr>
            <w:r>
              <w:rPr>
                <w:rFonts w:ascii="Arial" w:eastAsia="Arial" w:hAnsi="Arial" w:cs="Arial"/>
                <w:sz w:val="18"/>
                <w:szCs w:val="18"/>
                <w:lang w:val="es-ES_tradnl"/>
              </w:rPr>
              <w:t>BID</w:t>
            </w:r>
          </w:p>
        </w:tc>
        <w:tc>
          <w:tcPr>
            <w:tcW w:w="810" w:type="dxa"/>
            <w:vAlign w:val="center"/>
          </w:tcPr>
          <w:p>
            <w:pPr>
              <w:spacing w:after="0" w:line="240" w:lineRule="auto"/>
              <w:jc w:val="center"/>
              <w:rPr>
                <w:rFonts w:ascii="Arial" w:eastAsia="Arial" w:hAnsi="Arial" w:cs="Arial"/>
                <w:sz w:val="18"/>
                <w:szCs w:val="18"/>
                <w:lang w:val="es-ES_tradnl"/>
              </w:rPr>
            </w:pPr>
            <w:r>
              <w:rPr>
                <w:rFonts w:ascii="Arial" w:eastAsia="Arial" w:hAnsi="Arial" w:cs="Arial"/>
                <w:sz w:val="18"/>
                <w:szCs w:val="18"/>
                <w:lang w:val="es-ES_tradnl"/>
              </w:rPr>
              <w:t>2.000</w:t>
            </w:r>
          </w:p>
        </w:tc>
        <w:tc>
          <w:tcPr>
            <w:tcW w:w="1705" w:type="dxa"/>
            <w:vAlign w:val="center"/>
          </w:tcPr>
          <w:p>
            <w:pPr>
              <w:spacing w:after="0" w:line="240" w:lineRule="auto"/>
              <w:jc w:val="center"/>
              <w:rPr>
                <w:rFonts w:ascii="Arial" w:eastAsia="Arial" w:hAnsi="Arial" w:cs="Arial"/>
                <w:sz w:val="18"/>
                <w:szCs w:val="18"/>
                <w:lang w:val="es-ES_tradnl"/>
              </w:rPr>
            </w:pPr>
            <w:r>
              <w:rPr>
                <w:rFonts w:ascii="Arial" w:eastAsia="Arial" w:hAnsi="Arial" w:cs="Arial"/>
                <w:sz w:val="18"/>
                <w:szCs w:val="18"/>
                <w:lang w:val="es-ES_tradnl"/>
              </w:rPr>
              <w:t>Presupuesto administrativo, planes de supervisión del Banco</w:t>
            </w:r>
          </w:p>
        </w:tc>
      </w:tr>
      <w:tr>
        <w:trPr>
          <w:trHeight w:val="20"/>
        </w:trPr>
        <w:tc>
          <w:tcPr>
            <w:tcW w:w="5400" w:type="dxa"/>
            <w:gridSpan w:val="10"/>
          </w:tcPr>
          <w:p>
            <w:pPr>
              <w:spacing w:after="0" w:line="240" w:lineRule="auto"/>
              <w:jc w:val="right"/>
              <w:rPr>
                <w:rFonts w:ascii="Arial" w:eastAsia="Arial" w:hAnsi="Arial" w:cs="Arial"/>
                <w:b/>
                <w:bCs/>
                <w:sz w:val="18"/>
                <w:szCs w:val="18"/>
                <w:lang w:val="es-ES_tradnl"/>
              </w:rPr>
            </w:pPr>
            <w:r>
              <w:rPr>
                <w:rFonts w:ascii="Arial" w:eastAsia="Arial" w:hAnsi="Arial" w:cs="Arial"/>
                <w:b/>
                <w:bCs/>
                <w:sz w:val="18"/>
                <w:szCs w:val="18"/>
                <w:lang w:val="es-ES_tradnl"/>
              </w:rPr>
              <w:t>Costo Total</w:t>
            </w:r>
          </w:p>
        </w:tc>
        <w:tc>
          <w:tcPr>
            <w:tcW w:w="810" w:type="dxa"/>
            <w:vAlign w:val="center"/>
          </w:tcPr>
          <w:p>
            <w:pPr>
              <w:spacing w:after="0" w:line="240" w:lineRule="auto"/>
              <w:jc w:val="right"/>
              <w:rPr>
                <w:rFonts w:ascii="Arial" w:eastAsia="Arial" w:hAnsi="Arial" w:cs="Arial"/>
                <w:b/>
                <w:bCs/>
                <w:sz w:val="18"/>
                <w:szCs w:val="18"/>
                <w:lang w:val="es-ES_tradnl"/>
              </w:rPr>
            </w:pPr>
            <w:r>
              <w:rPr>
                <w:rFonts w:ascii="Arial" w:eastAsia="Arial" w:hAnsi="Arial" w:cs="Arial"/>
                <w:b/>
                <w:bCs/>
                <w:sz w:val="18"/>
                <w:szCs w:val="18"/>
                <w:lang w:val="es-ES_tradnl"/>
              </w:rPr>
              <w:t>11.000</w:t>
            </w:r>
          </w:p>
        </w:tc>
        <w:tc>
          <w:tcPr>
            <w:tcW w:w="1705" w:type="dxa"/>
            <w:vAlign w:val="center"/>
          </w:tcPr>
          <w:p>
            <w:pPr>
              <w:spacing w:after="0" w:line="240" w:lineRule="auto"/>
              <w:jc w:val="right"/>
              <w:rPr>
                <w:rFonts w:ascii="Arial" w:eastAsia="Arial" w:hAnsi="Arial" w:cs="Arial"/>
                <w:b/>
                <w:bCs/>
                <w:sz w:val="18"/>
                <w:szCs w:val="18"/>
                <w:lang w:val="es-ES_tradnl"/>
              </w:rPr>
            </w:pPr>
          </w:p>
        </w:tc>
      </w:tr>
    </w:tbl>
    <w:bookmarkEnd w:id="9"/>
    <w:p>
      <w:pPr>
        <w:pStyle w:val="NoSpacing"/>
        <w:numPr>
          <w:ilvl w:val="1"/>
          <w:numId w:val="11"/>
        </w:numPr>
        <w:spacing w:before="120" w:after="120"/>
        <w:ind w:left="720" w:hanging="720"/>
        <w:jc w:val="both"/>
        <w:rPr>
          <w:rFonts w:ascii="Arial" w:hAnsi="Arial" w:cs="Arial"/>
          <w:lang w:val="es-ES_tradnl"/>
        </w:rPr>
      </w:pPr>
      <w:r>
        <w:rPr>
          <w:rFonts w:ascii="Arial" w:hAnsi="Arial" w:cs="Arial"/>
          <w:lang w:val="es-ES_tradnl"/>
        </w:rPr>
        <w:t>No se prevén costos adicionales para la implementación del Plan de Monitoreo, tales como levantar información primaria, pues la información necesaria para dar seguimiento a los indicadores de la matriz de resultados estará disponible, ya sea como resultado de las actividades contempladas en esta operación, o como resultado de la información que regularmente se genera en el país.</w:t>
      </w:r>
    </w:p>
    <w:p>
      <w:pPr>
        <w:pStyle w:val="NoSpacing"/>
        <w:numPr>
          <w:ilvl w:val="1"/>
          <w:numId w:val="11"/>
        </w:numPr>
        <w:spacing w:before="120" w:after="120"/>
        <w:ind w:left="720" w:hanging="720"/>
        <w:jc w:val="both"/>
        <w:rPr>
          <w:rFonts w:ascii="Arial" w:hAnsi="Arial" w:cs="Arial"/>
          <w:lang w:val="es-ES_tradnl"/>
        </w:rPr>
      </w:pPr>
      <w:r>
        <w:rPr>
          <w:rFonts w:ascii="Arial" w:hAnsi="Arial" w:cs="Arial"/>
          <w:lang w:val="es-ES_tradnl"/>
        </w:rPr>
        <w:t xml:space="preserve">Las fuentes de información que se usarán para el seguimiento de cada indicador se detallan en la Matriz de Medios de Verificación. El MHCP será la entidad encargada de la recopilación de la información requerida para la supervisión del </w:t>
      </w:r>
      <w:r>
        <w:rPr>
          <w:rFonts w:ascii="Arial" w:hAnsi="Arial" w:cs="Arial"/>
          <w:lang w:val="es-ES_tradnl"/>
        </w:rPr>
        <w:lastRenderedPageBreak/>
        <w:t xml:space="preserve">programa. La implementación de los distintos compromisos está a cargo de las entidades sectoriales, según se especifica en la Matriz de Políticas y la Matriz de Medios de Verificación. </w:t>
      </w:r>
    </w:p>
    <w:p>
      <w:pPr>
        <w:pStyle w:val="NoSpacing"/>
        <w:numPr>
          <w:ilvl w:val="1"/>
          <w:numId w:val="11"/>
        </w:numPr>
        <w:spacing w:before="120" w:after="120"/>
        <w:ind w:left="720" w:hanging="720"/>
        <w:jc w:val="both"/>
        <w:rPr>
          <w:rFonts w:ascii="Arial" w:hAnsi="Arial" w:cs="Arial"/>
          <w:lang w:val="es-ES_tradnl"/>
        </w:rPr>
      </w:pPr>
      <w:r>
        <w:rPr>
          <w:rFonts w:ascii="Arial" w:hAnsi="Arial" w:cs="Arial"/>
          <w:lang w:val="es-ES_tradnl"/>
        </w:rPr>
        <w:t>En el caso de los indicadores de producto, la Matriz de Resultados especifica los indicadores a los cuales se hará seguimiento y las fuentes de información para cada uno de ellos. Los indicadores incluidos en la Matriz son específicos a cada producto, son medibles, cuentan con una línea de base, se pueden alcanzar en los plazos previstos, son relevantes, y tienen un periodo definido.</w:t>
      </w:r>
    </w:p>
    <w:p>
      <w:pPr>
        <w:pStyle w:val="NoSpacing"/>
        <w:numPr>
          <w:ilvl w:val="1"/>
          <w:numId w:val="11"/>
        </w:numPr>
        <w:spacing w:before="120" w:after="120"/>
        <w:ind w:left="720" w:hanging="720"/>
        <w:jc w:val="both"/>
        <w:rPr>
          <w:rFonts w:ascii="Arial" w:hAnsi="Arial" w:cs="Arial"/>
          <w:lang w:val="es-ES_tradnl"/>
        </w:rPr>
      </w:pPr>
      <w:r>
        <w:rPr>
          <w:rFonts w:ascii="Arial" w:hAnsi="Arial" w:cs="Arial"/>
          <w:lang w:val="es-ES_tradnl"/>
        </w:rPr>
        <w:t>Del mismo modo, en la Matriz de Resultados se especifican los indicadores de resultados e impactos de mediano plazo que se espera alcanzar después de finalizada de la serie programática, con las fuentes de información que permitirán medir dichos resultados e impactos.</w:t>
      </w:r>
    </w:p>
    <w:p>
      <w:pPr>
        <w:pStyle w:val="NoSpacing"/>
        <w:numPr>
          <w:ilvl w:val="1"/>
          <w:numId w:val="11"/>
        </w:numPr>
        <w:spacing w:before="120" w:after="120"/>
        <w:ind w:left="720" w:hanging="720"/>
        <w:jc w:val="both"/>
        <w:rPr>
          <w:rFonts w:ascii="Arial" w:hAnsi="Arial" w:cs="Arial"/>
          <w:lang w:val="es-ES_tradnl"/>
        </w:rPr>
      </w:pPr>
      <w:r>
        <w:rPr>
          <w:rFonts w:ascii="Arial" w:hAnsi="Arial" w:cs="Arial"/>
          <w:lang w:val="es-ES_tradnl"/>
        </w:rPr>
        <w:t>La Tabla II.A resume el monitoreo de condiciones y para cada condición provee de información sobre las fuentes de información y los medios de verificación.</w:t>
      </w:r>
    </w:p>
    <w:p>
      <w:pPr>
        <w:pStyle w:val="Paragraph"/>
        <w:numPr>
          <w:ilvl w:val="0"/>
          <w:numId w:val="0"/>
        </w:numPr>
        <w:spacing w:before="0" w:after="0"/>
        <w:rPr>
          <w:rFonts w:ascii="Arial" w:hAnsi="Arial" w:cs="Arial"/>
          <w:sz w:val="22"/>
          <w:lang w:val="es-ES_tradnl"/>
        </w:rPr>
        <w:sectPr>
          <w:footerReference w:type="default" r:id="rId8"/>
          <w:type w:val="continuous"/>
          <w:pgSz w:w="12240" w:h="15840"/>
          <w:pgMar w:top="1440" w:right="1800" w:bottom="1440" w:left="1800" w:header="720" w:footer="720" w:gutter="0"/>
          <w:cols w:space="720"/>
          <w:docGrid w:linePitch="360"/>
        </w:sectPr>
      </w:pPr>
    </w:p>
    <w:p>
      <w:pPr>
        <w:pStyle w:val="Paragraph"/>
        <w:numPr>
          <w:ilvl w:val="1"/>
          <w:numId w:val="0"/>
        </w:numPr>
        <w:spacing w:before="0" w:after="0"/>
        <w:ind w:left="360"/>
        <w:jc w:val="center"/>
        <w:rPr>
          <w:rFonts w:ascii="Arial" w:eastAsia="Arial" w:hAnsi="Arial" w:cs="Arial"/>
          <w:b/>
          <w:bCs/>
          <w:sz w:val="22"/>
          <w:lang w:val="es-ES_tradnl"/>
        </w:rPr>
      </w:pPr>
      <w:r>
        <w:rPr>
          <w:rFonts w:ascii="Arial" w:eastAsia="Arial" w:hAnsi="Arial" w:cs="Arial"/>
          <w:b/>
          <w:bCs/>
          <w:sz w:val="22"/>
          <w:lang w:val="es-ES_tradnl"/>
        </w:rPr>
        <w:lastRenderedPageBreak/>
        <w:t xml:space="preserve">Tabla II.A </w:t>
      </w:r>
    </w:p>
    <w:p>
      <w:pPr>
        <w:pStyle w:val="Paragraph"/>
        <w:numPr>
          <w:ilvl w:val="1"/>
          <w:numId w:val="0"/>
        </w:numPr>
        <w:spacing w:before="0" w:after="0"/>
        <w:ind w:left="720"/>
        <w:jc w:val="center"/>
        <w:rPr>
          <w:rFonts w:ascii="Arial" w:eastAsia="Arial" w:hAnsi="Arial" w:cs="Arial"/>
          <w:lang w:val="es-ES_tradnl"/>
        </w:rPr>
      </w:pPr>
      <w:r>
        <w:rPr>
          <w:rFonts w:ascii="Arial" w:eastAsia="Arial" w:hAnsi="Arial" w:cs="Arial"/>
          <w:b/>
          <w:bCs/>
          <w:sz w:val="22"/>
          <w:lang w:val="es-ES_tradnl"/>
        </w:rPr>
        <w:t>Resumen monitoreo de condiciones</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3844"/>
        <w:gridCol w:w="3420"/>
        <w:gridCol w:w="1743"/>
      </w:tblGrid>
      <w:tr>
        <w:trPr>
          <w:trHeight w:val="130"/>
          <w:tblHeader/>
          <w:jc w:val="center"/>
        </w:trPr>
        <w:tc>
          <w:tcPr>
            <w:tcW w:w="2991" w:type="dxa"/>
            <w:shd w:val="clear" w:color="auto" w:fill="BFBFBF" w:themeFill="background1" w:themeFillShade="BF"/>
            <w:vAlign w:val="center"/>
            <w:hideMark/>
          </w:tcPr>
          <w:p>
            <w:pPr>
              <w:spacing w:after="0" w:line="240" w:lineRule="auto"/>
              <w:jc w:val="center"/>
              <w:rPr>
                <w:rFonts w:ascii="Arial" w:eastAsia="Arial" w:hAnsi="Arial" w:cs="Arial"/>
                <w:b/>
                <w:bCs/>
                <w:sz w:val="20"/>
                <w:szCs w:val="20"/>
                <w:lang w:val="es-ES_tradnl"/>
              </w:rPr>
            </w:pPr>
            <w:r>
              <w:rPr>
                <w:rFonts w:ascii="Arial" w:eastAsia="Arial" w:hAnsi="Arial" w:cs="Arial"/>
                <w:b/>
                <w:bCs/>
                <w:smallCaps/>
                <w:sz w:val="20"/>
                <w:szCs w:val="20"/>
                <w:lang w:val="es-ES_tradnl"/>
              </w:rPr>
              <w:t>Objetivos de Política</w:t>
            </w:r>
          </w:p>
        </w:tc>
        <w:tc>
          <w:tcPr>
            <w:tcW w:w="3844" w:type="dxa"/>
            <w:shd w:val="clear" w:color="auto" w:fill="BFBFBF" w:themeFill="background1" w:themeFillShade="BF"/>
            <w:vAlign w:val="center"/>
            <w:hideMark/>
          </w:tcPr>
          <w:p>
            <w:pPr>
              <w:spacing w:after="0" w:line="240" w:lineRule="auto"/>
              <w:jc w:val="center"/>
              <w:rPr>
                <w:rFonts w:ascii="Arial" w:eastAsia="Arial" w:hAnsi="Arial" w:cs="Arial"/>
                <w:b/>
                <w:bCs/>
                <w:sz w:val="20"/>
                <w:szCs w:val="20"/>
                <w:lang w:val="es-ES_tradnl"/>
              </w:rPr>
            </w:pPr>
            <w:r>
              <w:rPr>
                <w:rFonts w:ascii="Arial" w:eastAsia="Arial" w:hAnsi="Arial" w:cs="Arial"/>
                <w:b/>
                <w:bCs/>
                <w:smallCaps/>
                <w:sz w:val="20"/>
                <w:szCs w:val="20"/>
                <w:lang w:val="es-ES_tradnl"/>
              </w:rPr>
              <w:t>Acciones de Política de la Segunda Operación Programática</w:t>
            </w:r>
          </w:p>
        </w:tc>
        <w:tc>
          <w:tcPr>
            <w:tcW w:w="3420" w:type="dxa"/>
            <w:shd w:val="clear" w:color="auto" w:fill="BFBFBF" w:themeFill="background1" w:themeFillShade="BF"/>
            <w:vAlign w:val="center"/>
            <w:hideMark/>
          </w:tcPr>
          <w:p>
            <w:pPr>
              <w:spacing w:after="0" w:line="240" w:lineRule="auto"/>
              <w:jc w:val="center"/>
              <w:rPr>
                <w:rFonts w:ascii="Arial" w:eastAsia="Arial" w:hAnsi="Arial" w:cs="Arial"/>
                <w:b/>
                <w:bCs/>
                <w:sz w:val="20"/>
                <w:szCs w:val="20"/>
                <w:lang w:val="es-ES_tradnl"/>
              </w:rPr>
            </w:pPr>
            <w:r>
              <w:rPr>
                <w:rFonts w:ascii="Arial" w:eastAsia="Arial" w:hAnsi="Arial" w:cs="Arial"/>
                <w:b/>
                <w:bCs/>
                <w:smallCaps/>
                <w:sz w:val="20"/>
                <w:szCs w:val="20"/>
                <w:lang w:val="es-ES_tradnl"/>
              </w:rPr>
              <w:t>Medios De Verificación</w:t>
            </w:r>
          </w:p>
        </w:tc>
        <w:tc>
          <w:tcPr>
            <w:tcW w:w="1743" w:type="dxa"/>
            <w:shd w:val="clear" w:color="auto" w:fill="BFBFBF" w:themeFill="background1" w:themeFillShade="BF"/>
          </w:tcPr>
          <w:p>
            <w:pPr>
              <w:spacing w:after="0" w:line="240" w:lineRule="auto"/>
              <w:jc w:val="center"/>
              <w:rPr>
                <w:rFonts w:ascii="Arial" w:eastAsia="Arial" w:hAnsi="Arial" w:cs="Arial"/>
                <w:b/>
                <w:bCs/>
                <w:sz w:val="20"/>
                <w:szCs w:val="20"/>
                <w:lang w:val="es-ES_tradnl"/>
              </w:rPr>
            </w:pPr>
            <w:r>
              <w:rPr>
                <w:rFonts w:ascii="Arial" w:eastAsia="Arial" w:hAnsi="Arial" w:cs="Arial"/>
                <w:b/>
                <w:bCs/>
                <w:smallCaps/>
                <w:sz w:val="20"/>
                <w:szCs w:val="20"/>
                <w:lang w:val="es-ES_tradnl"/>
              </w:rPr>
              <w:t>Unidad responsable</w:t>
            </w:r>
          </w:p>
        </w:tc>
      </w:tr>
      <w:tr>
        <w:trPr>
          <w:trHeight w:val="247"/>
          <w:jc w:val="center"/>
        </w:trPr>
        <w:tc>
          <w:tcPr>
            <w:tcW w:w="11998" w:type="dxa"/>
            <w:gridSpan w:val="4"/>
            <w:shd w:val="clear" w:color="auto" w:fill="BFBFBF" w:themeFill="background1" w:themeFillShade="BF"/>
          </w:tcPr>
          <w:p>
            <w:pPr>
              <w:spacing w:after="0" w:line="240" w:lineRule="auto"/>
              <w:rPr>
                <w:rFonts w:ascii="Arial" w:eastAsia="Arial" w:hAnsi="Arial" w:cs="Arial"/>
                <w:b/>
                <w:bCs/>
                <w:sz w:val="20"/>
                <w:szCs w:val="20"/>
                <w:lang w:val="es-ES_tradnl"/>
              </w:rPr>
            </w:pPr>
            <w:r>
              <w:rPr>
                <w:rFonts w:ascii="Arial" w:eastAsia="Arial" w:hAnsi="Arial" w:cs="Arial"/>
                <w:b/>
                <w:bCs/>
                <w:sz w:val="20"/>
                <w:szCs w:val="20"/>
                <w:lang w:val="es-ES_tradnl"/>
              </w:rPr>
              <w:t>Componente I: Mantener la Estabilidad Macroeconómica</w:t>
            </w:r>
          </w:p>
        </w:tc>
      </w:tr>
      <w:tr>
        <w:trPr>
          <w:jc w:val="center"/>
        </w:trPr>
        <w:tc>
          <w:tcPr>
            <w:tcW w:w="2991" w:type="dxa"/>
            <w:shd w:val="clear" w:color="auto" w:fill="auto"/>
            <w:hideMark/>
          </w:tcPr>
          <w:p>
            <w:pPr>
              <w:spacing w:after="0" w:line="240" w:lineRule="auto"/>
              <w:jc w:val="both"/>
              <w:rPr>
                <w:rFonts w:ascii="Arial" w:eastAsia="Arial" w:hAnsi="Arial" w:cs="Arial"/>
                <w:sz w:val="20"/>
                <w:szCs w:val="20"/>
                <w:lang w:val="es-ES_tradnl"/>
              </w:rPr>
            </w:pPr>
            <w:r>
              <w:rPr>
                <w:rFonts w:ascii="Arial" w:eastAsia="Arial" w:hAnsi="Arial" w:cs="Arial"/>
                <w:sz w:val="20"/>
                <w:szCs w:val="20"/>
                <w:lang w:val="es-ES_tradnl"/>
              </w:rPr>
              <w:t xml:space="preserve">Mantener un entorno macroeconómico apropiado y sostenible fiscalmente </w:t>
            </w:r>
          </w:p>
        </w:tc>
        <w:tc>
          <w:tcPr>
            <w:tcW w:w="3844" w:type="dxa"/>
            <w:shd w:val="clear" w:color="auto" w:fill="auto"/>
            <w:hideMark/>
          </w:tcPr>
          <w:p>
            <w:pPr>
              <w:pStyle w:val="ListParagraph"/>
              <w:numPr>
                <w:ilvl w:val="1"/>
                <w:numId w:val="52"/>
              </w:numPr>
              <w:spacing w:after="0" w:line="240" w:lineRule="auto"/>
              <w:ind w:left="316" w:hanging="316"/>
              <w:jc w:val="both"/>
              <w:rPr>
                <w:rFonts w:ascii="Arial" w:eastAsia="Arial" w:hAnsi="Arial" w:cs="Arial"/>
                <w:sz w:val="20"/>
                <w:szCs w:val="20"/>
                <w:lang w:val="es-ES_tradnl"/>
              </w:rPr>
            </w:pPr>
            <w:r>
              <w:rPr>
                <w:rFonts w:ascii="Arial" w:eastAsia="Arial" w:hAnsi="Arial" w:cs="Arial"/>
                <w:sz w:val="20"/>
                <w:szCs w:val="20"/>
                <w:lang w:val="es-ES_tradnl"/>
              </w:rPr>
              <w:t>El marco de políticas macroeconómicas se mantiene congruente con los objetivos del Programa y con los lineamientos establecidos en la carta de política.</w:t>
            </w:r>
          </w:p>
        </w:tc>
        <w:tc>
          <w:tcPr>
            <w:tcW w:w="3420" w:type="dxa"/>
            <w:shd w:val="clear" w:color="auto" w:fill="auto"/>
            <w:hideMark/>
          </w:tcPr>
          <w:p>
            <w:pPr>
              <w:pStyle w:val="ListParagraph"/>
              <w:numPr>
                <w:ilvl w:val="0"/>
                <w:numId w:val="54"/>
              </w:numPr>
              <w:spacing w:after="0" w:line="240" w:lineRule="auto"/>
              <w:ind w:left="346" w:hanging="346"/>
              <w:rPr>
                <w:rFonts w:ascii="Arial" w:eastAsia="Arial,Times New Roman" w:hAnsi="Arial" w:cs="Arial"/>
                <w:sz w:val="20"/>
                <w:szCs w:val="20"/>
                <w:lang w:val="es-ES_tradnl"/>
              </w:rPr>
            </w:pPr>
            <w:r>
              <w:rPr>
                <w:rFonts w:ascii="Arial" w:eastAsia="Arial,Times New Roman" w:hAnsi="Arial" w:cs="Arial"/>
                <w:sz w:val="20"/>
                <w:szCs w:val="20"/>
                <w:lang w:val="es-ES_tradnl"/>
              </w:rPr>
              <w:t>IAMC y Carta de Política</w:t>
            </w:r>
          </w:p>
          <w:p>
            <w:pPr>
              <w:spacing w:after="0" w:line="240" w:lineRule="auto"/>
              <w:rPr>
                <w:rFonts w:ascii="Arial" w:eastAsia="Arial,Times New Roman" w:hAnsi="Arial" w:cs="Arial"/>
                <w:sz w:val="20"/>
                <w:szCs w:val="20"/>
                <w:lang w:val="es-ES_tradnl"/>
              </w:rPr>
            </w:pPr>
          </w:p>
        </w:tc>
        <w:tc>
          <w:tcPr>
            <w:tcW w:w="1743" w:type="dxa"/>
          </w:tcPr>
          <w:p>
            <w:pPr>
              <w:spacing w:after="0" w:line="240" w:lineRule="auto"/>
              <w:jc w:val="both"/>
              <w:rPr>
                <w:rFonts w:ascii="Arial" w:hAnsi="Arial" w:cs="Arial"/>
                <w:sz w:val="20"/>
                <w:szCs w:val="20"/>
                <w:lang w:val="es-ES_tradnl"/>
              </w:rPr>
            </w:pPr>
            <w:r>
              <w:rPr>
                <w:rFonts w:ascii="Arial" w:hAnsi="Arial" w:cs="Arial"/>
                <w:sz w:val="20"/>
                <w:szCs w:val="20"/>
                <w:lang w:val="es-ES_tradnl"/>
              </w:rPr>
              <w:t>BID y Ministerio de Hacienda y Crédito Público (MHCP) y Departamento Nacional de Planeación (DNP)</w:t>
            </w:r>
          </w:p>
        </w:tc>
      </w:tr>
      <w:tr>
        <w:trPr>
          <w:cantSplit/>
          <w:jc w:val="center"/>
        </w:trPr>
        <w:tc>
          <w:tcPr>
            <w:tcW w:w="11998" w:type="dxa"/>
            <w:gridSpan w:val="4"/>
            <w:tcBorders>
              <w:bottom w:val="single" w:sz="4" w:space="0" w:color="auto"/>
            </w:tcBorders>
            <w:shd w:val="clear" w:color="auto" w:fill="BFBFBF" w:themeFill="background1" w:themeFillShade="BF"/>
          </w:tcPr>
          <w:p>
            <w:pPr>
              <w:spacing w:after="0" w:line="240" w:lineRule="auto"/>
              <w:rPr>
                <w:rFonts w:ascii="Arial" w:eastAsia="Arial" w:hAnsi="Arial" w:cs="Arial"/>
                <w:b/>
                <w:bCs/>
                <w:sz w:val="20"/>
                <w:szCs w:val="20"/>
                <w:lang w:val="es-ES_tradnl"/>
              </w:rPr>
            </w:pPr>
            <w:r>
              <w:rPr>
                <w:rFonts w:ascii="Arial" w:eastAsia="Arial" w:hAnsi="Arial" w:cs="Arial"/>
                <w:b/>
                <w:bCs/>
                <w:sz w:val="20"/>
                <w:szCs w:val="20"/>
                <w:lang w:val="es-ES_tradnl"/>
              </w:rPr>
              <w:t>Componente II: Fortalecer la Gestión y Recaudación de Ingresos Tributarios y Aduaneros</w:t>
            </w:r>
          </w:p>
        </w:tc>
      </w:tr>
      <w:tr>
        <w:trPr>
          <w:trHeight w:val="2357"/>
          <w:jc w:val="center"/>
        </w:trPr>
        <w:tc>
          <w:tcPr>
            <w:tcW w:w="2991" w:type="dxa"/>
            <w:vMerge w:val="restart"/>
            <w:shd w:val="clear" w:color="auto" w:fill="auto"/>
          </w:tcPr>
          <w:p>
            <w:pPr>
              <w:spacing w:after="0" w:line="240" w:lineRule="auto"/>
              <w:jc w:val="both"/>
              <w:rPr>
                <w:rFonts w:ascii="Arial" w:eastAsia="Arial" w:hAnsi="Arial" w:cs="Arial"/>
                <w:sz w:val="20"/>
                <w:szCs w:val="20"/>
                <w:lang w:val="es-ES_tradnl"/>
              </w:rPr>
            </w:pPr>
            <w:r>
              <w:rPr>
                <w:rFonts w:ascii="Arial" w:eastAsia="Arial" w:hAnsi="Arial" w:cs="Arial"/>
                <w:sz w:val="20"/>
                <w:szCs w:val="20"/>
                <w:lang w:val="es-ES_tradnl"/>
              </w:rPr>
              <w:t>Aumentar la productividad de la base tributaria y mejorar la recaudación.</w:t>
            </w:r>
          </w:p>
          <w:p>
            <w:pPr>
              <w:spacing w:after="0" w:line="240" w:lineRule="auto"/>
              <w:jc w:val="both"/>
              <w:rPr>
                <w:rFonts w:ascii="Arial" w:hAnsi="Arial" w:cs="Arial"/>
                <w:b/>
                <w:sz w:val="20"/>
                <w:szCs w:val="20"/>
                <w:lang w:val="es-ES_tradnl"/>
              </w:rPr>
            </w:pPr>
          </w:p>
        </w:tc>
        <w:tc>
          <w:tcPr>
            <w:tcW w:w="3844" w:type="dxa"/>
            <w:tcBorders>
              <w:top w:val="nil"/>
              <w:right w:val="single" w:sz="4" w:space="0" w:color="auto"/>
            </w:tcBorders>
            <w:shd w:val="clear" w:color="auto" w:fill="auto"/>
          </w:tcPr>
          <w:p>
            <w:pPr>
              <w:pStyle w:val="ListParagraph"/>
              <w:numPr>
                <w:ilvl w:val="1"/>
                <w:numId w:val="10"/>
              </w:numPr>
              <w:spacing w:after="0" w:line="240" w:lineRule="auto"/>
              <w:ind w:left="322"/>
              <w:jc w:val="both"/>
              <w:rPr>
                <w:rFonts w:ascii="Arial" w:eastAsia="Times New Roman" w:hAnsi="Arial" w:cs="Arial"/>
                <w:iCs/>
                <w:sz w:val="20"/>
                <w:szCs w:val="20"/>
                <w:lang w:val="es-ES"/>
              </w:rPr>
            </w:pPr>
            <w:r>
              <w:rPr>
                <w:rFonts w:ascii="Arial" w:eastAsia="Times New Roman" w:hAnsi="Arial" w:cs="Arial"/>
                <w:iCs/>
                <w:sz w:val="20"/>
                <w:szCs w:val="20"/>
                <w:lang w:val="es-ES"/>
              </w:rPr>
              <w:t>Fortalecimiento de los ingresos tributarios del gobierno central, consistente con las metas de la Ley 1473 de la Regla Fiscal en el corto y mediano plazo, mediante la reducción de exenciones, la creación de un monotributo para combatir la informalidad y la simplificación de los sistemas de declaración y pagos de impuestos.</w:t>
            </w:r>
          </w:p>
          <w:p>
            <w:pPr>
              <w:spacing w:after="0" w:line="240" w:lineRule="auto"/>
              <w:ind w:left="-38"/>
              <w:jc w:val="both"/>
              <w:rPr>
                <w:rFonts w:ascii="Arial" w:eastAsia="Times New Roman" w:hAnsi="Arial" w:cs="Arial"/>
                <w:iCs/>
                <w:sz w:val="20"/>
                <w:szCs w:val="20"/>
                <w:lang w:val="es-ES"/>
              </w:rPr>
            </w:pPr>
          </w:p>
          <w:p>
            <w:pPr>
              <w:spacing w:after="0" w:line="240" w:lineRule="auto"/>
              <w:jc w:val="both"/>
              <w:rPr>
                <w:rFonts w:ascii="Arial" w:eastAsia="Times New Roman" w:hAnsi="Arial" w:cs="Arial"/>
                <w:iCs/>
                <w:sz w:val="20"/>
                <w:szCs w:val="20"/>
                <w:lang w:val="es-ES"/>
              </w:rPr>
            </w:pPr>
          </w:p>
        </w:tc>
        <w:tc>
          <w:tcPr>
            <w:tcW w:w="3420" w:type="dxa"/>
            <w:tcBorders>
              <w:top w:val="nil"/>
              <w:left w:val="single" w:sz="4" w:space="0" w:color="auto"/>
              <w:right w:val="single" w:sz="4" w:space="0" w:color="auto"/>
            </w:tcBorders>
            <w:shd w:val="clear" w:color="auto" w:fill="auto"/>
          </w:tcPr>
          <w:p>
            <w:pPr>
              <w:pStyle w:val="FootnoteText"/>
              <w:keepNext w:val="0"/>
              <w:keepLines w:val="0"/>
              <w:numPr>
                <w:ilvl w:val="0"/>
                <w:numId w:val="16"/>
              </w:numPr>
              <w:spacing w:after="0"/>
              <w:ind w:left="361"/>
              <w:rPr>
                <w:rFonts w:ascii="Arial" w:hAnsi="Arial" w:cs="Arial"/>
                <w:iCs/>
                <w:lang w:val="es-ES"/>
              </w:rPr>
            </w:pPr>
            <w:bookmarkStart w:id="10" w:name="_Hlk493782782"/>
            <w:bookmarkStart w:id="11" w:name="_Hlk493791344"/>
            <w:r>
              <w:rPr>
                <w:rFonts w:ascii="Arial" w:hAnsi="Arial" w:cs="Arial"/>
                <w:iCs/>
                <w:lang w:val="es-ES"/>
              </w:rPr>
              <w:t>Ley 1819 del 29 de diciembre de 2016, de la Reforma Tributaria Estructural</w:t>
            </w:r>
          </w:p>
          <w:p>
            <w:pPr>
              <w:pStyle w:val="FootnoteText"/>
              <w:keepNext w:val="0"/>
              <w:keepLines w:val="0"/>
              <w:numPr>
                <w:ilvl w:val="0"/>
                <w:numId w:val="16"/>
              </w:numPr>
              <w:spacing w:after="0"/>
              <w:ind w:left="361"/>
              <w:rPr>
                <w:rFonts w:ascii="Arial" w:hAnsi="Arial" w:cs="Arial"/>
                <w:iCs/>
                <w:lang w:val="es-ES"/>
              </w:rPr>
            </w:pPr>
            <w:r>
              <w:rPr>
                <w:rFonts w:ascii="Arial" w:hAnsi="Arial" w:cs="Arial"/>
                <w:iCs/>
                <w:lang w:val="es-ES"/>
              </w:rPr>
              <w:t>Decreto 738 del 8 de mayo de 2017, por el cual se reglamenta el Monotributo</w:t>
            </w:r>
          </w:p>
          <w:p>
            <w:pPr>
              <w:pStyle w:val="FootnoteText"/>
              <w:keepNext w:val="0"/>
              <w:keepLines w:val="0"/>
              <w:numPr>
                <w:ilvl w:val="0"/>
                <w:numId w:val="16"/>
              </w:numPr>
              <w:spacing w:after="0"/>
              <w:ind w:left="361"/>
              <w:rPr>
                <w:rFonts w:ascii="Arial" w:eastAsia="Arial,Times New Roman" w:hAnsi="Arial" w:cs="Arial"/>
                <w:lang w:val="es-ES_tradnl"/>
              </w:rPr>
            </w:pPr>
            <w:r>
              <w:rPr>
                <w:rFonts w:ascii="Arial" w:hAnsi="Arial" w:cs="Arial"/>
                <w:iCs/>
                <w:lang w:val="es-ES"/>
              </w:rPr>
              <w:t>Decreto 2250 del 29 de diciembre de 2017 que reglamenta aspectos del impuesto de renta</w:t>
            </w:r>
            <w:r>
              <w:rPr>
                <w:rFonts w:ascii="Arial" w:hAnsi="Arial" w:cs="Arial"/>
                <w:lang w:val="es-CO"/>
              </w:rPr>
              <w:t>.</w:t>
            </w:r>
            <w:bookmarkEnd w:id="10"/>
            <w:bookmarkEnd w:id="11"/>
          </w:p>
        </w:tc>
        <w:tc>
          <w:tcPr>
            <w:tcW w:w="1743" w:type="dxa"/>
            <w:tcBorders>
              <w:top w:val="nil"/>
              <w:left w:val="single" w:sz="4" w:space="0" w:color="auto"/>
              <w:right w:val="single" w:sz="4" w:space="0" w:color="auto"/>
            </w:tcBorders>
          </w:tcPr>
          <w:p>
            <w:pPr>
              <w:spacing w:after="0" w:line="240" w:lineRule="auto"/>
              <w:rPr>
                <w:rFonts w:ascii="Arial" w:eastAsia="Arial,Times New Roman" w:hAnsi="Arial" w:cs="Arial"/>
                <w:sz w:val="20"/>
                <w:szCs w:val="20"/>
                <w:lang w:val="es-ES_tradnl"/>
              </w:rPr>
            </w:pPr>
            <w:r>
              <w:rPr>
                <w:rFonts w:ascii="Arial" w:eastAsia="Arial,Times New Roman" w:hAnsi="Arial" w:cs="Arial"/>
                <w:sz w:val="20"/>
                <w:szCs w:val="20"/>
                <w:lang w:val="es-ES_tradnl"/>
              </w:rPr>
              <w:t>MHCP y Dirección de Impuestos y Aduanas Nacionales (DIAN)</w:t>
            </w:r>
          </w:p>
        </w:tc>
      </w:tr>
      <w:tr>
        <w:trPr>
          <w:jc w:val="center"/>
        </w:trPr>
        <w:tc>
          <w:tcPr>
            <w:tcW w:w="2991" w:type="dxa"/>
            <w:vMerge/>
            <w:shd w:val="clear" w:color="auto" w:fill="auto"/>
          </w:tcPr>
          <w:p>
            <w:pPr>
              <w:spacing w:after="0" w:line="240" w:lineRule="auto"/>
              <w:rPr>
                <w:rFonts w:ascii="Arial" w:hAnsi="Arial" w:cs="Arial"/>
                <w:b/>
                <w:sz w:val="20"/>
                <w:szCs w:val="20"/>
                <w:lang w:val="es-ES_tradnl"/>
              </w:rPr>
            </w:pPr>
          </w:p>
        </w:tc>
        <w:tc>
          <w:tcPr>
            <w:tcW w:w="3844" w:type="dxa"/>
            <w:tcBorders>
              <w:right w:val="single" w:sz="4" w:space="0" w:color="auto"/>
            </w:tcBorders>
            <w:shd w:val="clear" w:color="auto" w:fill="auto"/>
          </w:tcPr>
          <w:p>
            <w:pPr>
              <w:pStyle w:val="ListParagraph"/>
              <w:numPr>
                <w:ilvl w:val="1"/>
                <w:numId w:val="10"/>
              </w:numPr>
              <w:spacing w:after="0" w:line="240" w:lineRule="auto"/>
              <w:ind w:left="322"/>
              <w:jc w:val="both"/>
              <w:rPr>
                <w:rFonts w:ascii="Arial" w:eastAsia="Times New Roman" w:hAnsi="Arial" w:cs="Arial"/>
                <w:iCs/>
                <w:sz w:val="20"/>
                <w:szCs w:val="20"/>
                <w:lang w:val="es-ES"/>
              </w:rPr>
            </w:pPr>
            <w:r>
              <w:rPr>
                <w:rFonts w:ascii="Arial" w:eastAsia="Times New Roman" w:hAnsi="Arial" w:cs="Arial"/>
                <w:iCs/>
                <w:sz w:val="20"/>
                <w:szCs w:val="20"/>
                <w:lang w:val="es-ES"/>
              </w:rPr>
              <w:t>Cumplimiento de las normas de la Organización para la Cooperación y el Desarrollo Económico (OCDE), relativas a la Erosión de la Base Imponible y la Transferencia de Beneficios (BEPS).</w:t>
            </w:r>
          </w:p>
          <w:p>
            <w:pPr>
              <w:spacing w:after="0" w:line="240" w:lineRule="auto"/>
              <w:ind w:left="316" w:hanging="330"/>
              <w:rPr>
                <w:rFonts w:ascii="Arial" w:eastAsia="Arial" w:hAnsi="Arial" w:cs="Arial"/>
                <w:sz w:val="20"/>
                <w:szCs w:val="20"/>
                <w:lang w:val="es-ES"/>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pPr>
              <w:pStyle w:val="FootnoteText"/>
              <w:keepNext w:val="0"/>
              <w:keepLines w:val="0"/>
              <w:numPr>
                <w:ilvl w:val="0"/>
                <w:numId w:val="18"/>
              </w:numPr>
              <w:spacing w:after="0"/>
              <w:ind w:left="361"/>
              <w:rPr>
                <w:rFonts w:ascii="Arial" w:hAnsi="Arial" w:cs="Arial"/>
                <w:iCs/>
                <w:lang w:val="es-ES"/>
              </w:rPr>
            </w:pPr>
            <w:r>
              <w:rPr>
                <w:rFonts w:ascii="Arial" w:hAnsi="Arial" w:cs="Arial"/>
                <w:iCs/>
                <w:lang w:val="es-ES"/>
              </w:rPr>
              <w:t>Ley 1819 del 29 de diciembre de 2016, de la Reforma Tributaria Estructural</w:t>
            </w:r>
          </w:p>
          <w:p>
            <w:pPr>
              <w:pStyle w:val="FootnoteText"/>
              <w:keepNext w:val="0"/>
              <w:keepLines w:val="0"/>
              <w:numPr>
                <w:ilvl w:val="0"/>
                <w:numId w:val="18"/>
              </w:numPr>
              <w:spacing w:after="0"/>
              <w:ind w:left="361"/>
              <w:rPr>
                <w:rFonts w:ascii="Arial" w:hAnsi="Arial" w:cs="Arial"/>
                <w:iCs/>
                <w:lang w:val="es-ES"/>
              </w:rPr>
            </w:pPr>
            <w:r>
              <w:rPr>
                <w:rFonts w:ascii="Arial" w:hAnsi="Arial" w:cs="Arial"/>
                <w:iCs/>
                <w:lang w:val="es-ES"/>
              </w:rPr>
              <w:t>Decreto 2120 de diciembre 15 de 2017 por el cual se especifican aspectos del régimen de precios de transferencia y de los informes para transmisión de información</w:t>
            </w:r>
          </w:p>
          <w:p>
            <w:pPr>
              <w:pStyle w:val="FootnoteText"/>
              <w:keepNext w:val="0"/>
              <w:keepLines w:val="0"/>
              <w:numPr>
                <w:ilvl w:val="0"/>
                <w:numId w:val="18"/>
              </w:numPr>
              <w:spacing w:after="0"/>
              <w:ind w:left="361"/>
              <w:rPr>
                <w:rFonts w:ascii="Arial" w:hAnsi="Arial" w:cs="Arial"/>
                <w:iCs/>
                <w:lang w:val="es-ES"/>
              </w:rPr>
            </w:pPr>
            <w:r>
              <w:rPr>
                <w:rFonts w:ascii="Arial" w:hAnsi="Arial" w:cs="Arial"/>
                <w:iCs/>
                <w:lang w:val="es-ES"/>
              </w:rPr>
              <w:t xml:space="preserve">Publicación web </w:t>
            </w:r>
            <w:hyperlink r:id="rId9" w:history="1">
              <w:r>
                <w:rPr>
                  <w:rStyle w:val="Hyperlink"/>
                  <w:rFonts w:ascii="Arial" w:hAnsi="Arial" w:cs="Arial"/>
                  <w:lang w:val="es-ES"/>
                </w:rPr>
                <w:t>página de la OCDE</w:t>
              </w:r>
            </w:hyperlink>
            <w:r>
              <w:rPr>
                <w:rStyle w:val="Hyperlink"/>
                <w:rFonts w:ascii="Arial" w:hAnsi="Arial" w:cs="Arial"/>
                <w:lang w:val="es-ES"/>
              </w:rPr>
              <w:t xml:space="preserve"> </w:t>
            </w:r>
            <w:r>
              <w:rPr>
                <w:rFonts w:ascii="Arial" w:hAnsi="Arial" w:cs="Arial"/>
                <w:iCs/>
                <w:lang w:val="es-ES"/>
              </w:rPr>
              <w:t>sobre el cumplimiento de estándares en materia de manejo confidencial de la información para efectos de intercambio de información</w:t>
            </w:r>
            <w:bookmarkStart w:id="12" w:name="_Hlk493791482"/>
            <w:r>
              <w:rPr>
                <w:rFonts w:ascii="Arial" w:hAnsi="Arial" w:cs="Arial"/>
                <w:iCs/>
                <w:lang w:val="es-ES"/>
              </w:rPr>
              <w:t>.</w:t>
            </w:r>
            <w:bookmarkEnd w:id="12"/>
          </w:p>
        </w:tc>
        <w:tc>
          <w:tcPr>
            <w:tcW w:w="1743" w:type="dxa"/>
            <w:tcBorders>
              <w:top w:val="single" w:sz="4" w:space="0" w:color="auto"/>
              <w:left w:val="single" w:sz="4" w:space="0" w:color="auto"/>
              <w:bottom w:val="single" w:sz="4" w:space="0" w:color="auto"/>
              <w:right w:val="single" w:sz="4" w:space="0" w:color="auto"/>
            </w:tcBorders>
          </w:tcPr>
          <w:p>
            <w:pPr>
              <w:spacing w:after="0" w:line="240" w:lineRule="auto"/>
              <w:rPr>
                <w:rFonts w:ascii="Arial" w:eastAsia="Arial,Times New Roman" w:hAnsi="Arial" w:cs="Arial"/>
                <w:sz w:val="20"/>
                <w:szCs w:val="20"/>
                <w:lang w:val="es-ES_tradnl"/>
              </w:rPr>
            </w:pPr>
            <w:r>
              <w:rPr>
                <w:rFonts w:ascii="Arial" w:eastAsia="Arial,Times New Roman" w:hAnsi="Arial" w:cs="Arial"/>
                <w:sz w:val="20"/>
                <w:szCs w:val="20"/>
                <w:lang w:val="es-ES_tradnl"/>
              </w:rPr>
              <w:t>MHCP y DIAN</w:t>
            </w:r>
          </w:p>
        </w:tc>
      </w:tr>
      <w:tr>
        <w:trPr>
          <w:jc w:val="center"/>
        </w:trPr>
        <w:tc>
          <w:tcPr>
            <w:tcW w:w="2991" w:type="dxa"/>
            <w:vMerge/>
            <w:shd w:val="clear" w:color="auto" w:fill="auto"/>
          </w:tcPr>
          <w:p>
            <w:pPr>
              <w:spacing w:after="0" w:line="240" w:lineRule="auto"/>
              <w:rPr>
                <w:rFonts w:ascii="Arial" w:hAnsi="Arial" w:cs="Arial"/>
                <w:b/>
                <w:sz w:val="20"/>
                <w:szCs w:val="20"/>
                <w:lang w:val="es-ES_tradnl"/>
              </w:rPr>
            </w:pPr>
          </w:p>
        </w:tc>
        <w:tc>
          <w:tcPr>
            <w:tcW w:w="3844" w:type="dxa"/>
            <w:tcBorders>
              <w:right w:val="single" w:sz="4" w:space="0" w:color="auto"/>
            </w:tcBorders>
            <w:shd w:val="clear" w:color="auto" w:fill="auto"/>
          </w:tcPr>
          <w:p>
            <w:pPr>
              <w:pStyle w:val="ListParagraph"/>
              <w:numPr>
                <w:ilvl w:val="1"/>
                <w:numId w:val="10"/>
              </w:numPr>
              <w:spacing w:after="0" w:line="240" w:lineRule="auto"/>
              <w:ind w:left="316" w:hanging="330"/>
              <w:jc w:val="both"/>
              <w:rPr>
                <w:rFonts w:ascii="Arial" w:hAnsi="Arial" w:cs="Arial"/>
                <w:iCs/>
                <w:sz w:val="20"/>
                <w:szCs w:val="20"/>
                <w:lang w:val="es-ES"/>
              </w:rPr>
            </w:pPr>
            <w:r>
              <w:rPr>
                <w:rFonts w:ascii="Arial" w:eastAsia="Times New Roman" w:hAnsi="Arial" w:cs="Arial"/>
                <w:iCs/>
                <w:sz w:val="20"/>
                <w:szCs w:val="20"/>
                <w:lang w:val="es-ES"/>
              </w:rPr>
              <w:t>Fortalecimiento del recaudo tributario territorial mediante el ajuste de tarifas, la actualización catastral y el fortalecimiento de mecanismos de fiscalización.</w:t>
            </w:r>
          </w:p>
          <w:p>
            <w:pPr>
              <w:spacing w:after="0" w:line="240" w:lineRule="auto"/>
              <w:ind w:left="316" w:hanging="330"/>
              <w:rPr>
                <w:rFonts w:ascii="Arial" w:eastAsia="Arial" w:hAnsi="Arial" w:cs="Arial"/>
                <w:sz w:val="20"/>
                <w:szCs w:val="20"/>
                <w:lang w:val="es-ES_tradnl"/>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pPr>
              <w:pStyle w:val="Subheading2"/>
              <w:numPr>
                <w:ilvl w:val="0"/>
                <w:numId w:val="19"/>
              </w:numPr>
              <w:spacing w:before="0" w:after="0"/>
              <w:jc w:val="both"/>
              <w:rPr>
                <w:rFonts w:ascii="Arial" w:hAnsi="Arial" w:cs="Arial"/>
                <w:b w:val="0"/>
                <w:sz w:val="20"/>
                <w:szCs w:val="20"/>
                <w:lang w:val="es-CO"/>
              </w:rPr>
            </w:pPr>
            <w:r>
              <w:rPr>
                <w:rFonts w:ascii="Arial" w:hAnsi="Arial" w:cs="Arial"/>
                <w:b w:val="0"/>
                <w:sz w:val="20"/>
                <w:szCs w:val="20"/>
                <w:lang w:val="es-ES_tradnl"/>
              </w:rPr>
              <w:t>Ley 1819 del 29 de diciembre de 2016, de Reforma Tributaria Estructural</w:t>
            </w:r>
          </w:p>
          <w:p>
            <w:pPr>
              <w:pStyle w:val="Subheading2"/>
              <w:numPr>
                <w:ilvl w:val="0"/>
                <w:numId w:val="19"/>
              </w:numPr>
              <w:spacing w:before="0" w:after="0"/>
              <w:jc w:val="both"/>
              <w:rPr>
                <w:rFonts w:ascii="Arial" w:hAnsi="Arial" w:cs="Arial"/>
                <w:b w:val="0"/>
                <w:sz w:val="20"/>
                <w:szCs w:val="20"/>
                <w:lang w:val="es-CO"/>
              </w:rPr>
            </w:pPr>
            <w:r>
              <w:rPr>
                <w:rFonts w:ascii="Arial" w:hAnsi="Arial" w:cs="Arial"/>
                <w:b w:val="0"/>
                <w:sz w:val="20"/>
                <w:szCs w:val="20"/>
                <w:lang w:val="es-ES"/>
              </w:rPr>
              <w:t>Ley 1816 de 19 de diciembre de 2016, (Ley de Licores)</w:t>
            </w:r>
          </w:p>
          <w:p>
            <w:pPr>
              <w:pStyle w:val="Subheading2"/>
              <w:numPr>
                <w:ilvl w:val="0"/>
                <w:numId w:val="19"/>
              </w:numPr>
              <w:spacing w:before="0" w:after="0"/>
              <w:jc w:val="both"/>
              <w:rPr>
                <w:rFonts w:ascii="Arial" w:hAnsi="Arial" w:cs="Arial"/>
                <w:b w:val="0"/>
                <w:sz w:val="20"/>
                <w:szCs w:val="20"/>
                <w:lang w:val="es-CO"/>
              </w:rPr>
            </w:pPr>
            <w:r>
              <w:rPr>
                <w:rFonts w:ascii="Arial" w:hAnsi="Arial" w:cs="Arial"/>
                <w:b w:val="0"/>
                <w:sz w:val="20"/>
                <w:szCs w:val="20"/>
                <w:lang w:val="es-ES"/>
              </w:rPr>
              <w:t>CONPES 3859 de 13 de junio de 2016</w:t>
            </w:r>
            <w:r>
              <w:rPr>
                <w:rFonts w:ascii="Arial" w:hAnsi="Arial" w:cs="Arial"/>
                <w:b w:val="0"/>
                <w:sz w:val="20"/>
                <w:szCs w:val="20"/>
                <w:lang w:val="es-ES_tradnl"/>
              </w:rPr>
              <w:t xml:space="preserve"> Política para la Adopción e Implementación de un Catastro Multipropósito Rural-Urbano</w:t>
            </w:r>
          </w:p>
          <w:p>
            <w:pPr>
              <w:pStyle w:val="Subheading2"/>
              <w:numPr>
                <w:ilvl w:val="0"/>
                <w:numId w:val="19"/>
              </w:numPr>
              <w:spacing w:before="0" w:after="0"/>
              <w:jc w:val="both"/>
              <w:rPr>
                <w:rFonts w:ascii="Arial" w:hAnsi="Arial" w:cs="Arial"/>
                <w:b w:val="0"/>
                <w:sz w:val="20"/>
                <w:szCs w:val="20"/>
                <w:lang w:val="es-CO"/>
              </w:rPr>
            </w:pPr>
            <w:r>
              <w:rPr>
                <w:rFonts w:ascii="Arial" w:hAnsi="Arial" w:cs="Arial"/>
                <w:b w:val="0"/>
                <w:sz w:val="20"/>
                <w:szCs w:val="20"/>
                <w:lang w:val="es-ES_tradnl"/>
              </w:rPr>
              <w:t>Proyecto de Ley 242/2018C radicado el 28 de abril de 2018 para trámite ante la Comisión Tercera de la Cámara de Representantes por la cual se Regula el Sistema Nacional Catastral Multipropósito</w:t>
            </w:r>
          </w:p>
          <w:p>
            <w:pPr>
              <w:pStyle w:val="Subheading2"/>
              <w:numPr>
                <w:ilvl w:val="0"/>
                <w:numId w:val="19"/>
              </w:numPr>
              <w:spacing w:before="0" w:after="0"/>
              <w:jc w:val="both"/>
              <w:rPr>
                <w:rFonts w:ascii="Arial" w:eastAsia="Arial,Times New Roman" w:hAnsi="Arial" w:cs="Arial"/>
                <w:b w:val="0"/>
                <w:sz w:val="20"/>
                <w:szCs w:val="20"/>
                <w:lang w:val="es-ES_tradnl"/>
              </w:rPr>
            </w:pPr>
            <w:r>
              <w:rPr>
                <w:rFonts w:ascii="Arial" w:hAnsi="Arial" w:cs="Arial"/>
                <w:b w:val="0"/>
                <w:sz w:val="20"/>
                <w:szCs w:val="20"/>
                <w:lang w:val="es-CO"/>
              </w:rPr>
              <w:t xml:space="preserve">Decreto 1684 del 17 de octubre de 2017, </w:t>
            </w:r>
            <w:r>
              <w:rPr>
                <w:rFonts w:ascii="Arial" w:hAnsi="Arial" w:cs="Arial"/>
                <w:b w:val="0"/>
                <w:sz w:val="20"/>
                <w:szCs w:val="20"/>
                <w:lang w:val="es-ES"/>
              </w:rPr>
              <w:t>por el cual se reglamentan aspectos</w:t>
            </w:r>
            <w:r>
              <w:rPr>
                <w:rFonts w:ascii="Arial" w:hAnsi="Arial" w:cs="Arial"/>
                <w:b w:val="0"/>
                <w:sz w:val="20"/>
                <w:szCs w:val="20"/>
                <w:lang w:val="es-CO"/>
              </w:rPr>
              <w:t xml:space="preserve"> del Impuesto al cigarrillo y al tabaco</w:t>
            </w:r>
            <w:r>
              <w:rPr>
                <w:rFonts w:ascii="Arial" w:hAnsi="Arial" w:cs="Arial"/>
                <w:b w:val="0"/>
                <w:sz w:val="20"/>
                <w:szCs w:val="20"/>
                <w:lang w:val="es-ES_tradnl"/>
              </w:rPr>
              <w:t>.</w:t>
            </w:r>
          </w:p>
        </w:tc>
        <w:tc>
          <w:tcPr>
            <w:tcW w:w="1743" w:type="dxa"/>
            <w:tcBorders>
              <w:top w:val="single" w:sz="4" w:space="0" w:color="auto"/>
              <w:left w:val="single" w:sz="4" w:space="0" w:color="auto"/>
              <w:bottom w:val="single" w:sz="4" w:space="0" w:color="auto"/>
              <w:right w:val="single" w:sz="4" w:space="0" w:color="auto"/>
            </w:tcBorders>
          </w:tcPr>
          <w:p>
            <w:pPr>
              <w:spacing w:after="0" w:line="240" w:lineRule="auto"/>
              <w:rPr>
                <w:rFonts w:ascii="Arial" w:eastAsia="Arial,Times New Roman" w:hAnsi="Arial" w:cs="Arial"/>
                <w:sz w:val="20"/>
                <w:szCs w:val="20"/>
                <w:lang w:val="es-ES_tradnl"/>
              </w:rPr>
            </w:pPr>
            <w:r>
              <w:rPr>
                <w:rFonts w:ascii="Arial" w:eastAsia="Arial,Times New Roman" w:hAnsi="Arial" w:cs="Arial"/>
                <w:sz w:val="20"/>
                <w:szCs w:val="20"/>
                <w:lang w:val="es-ES_tradnl"/>
              </w:rPr>
              <w:t>MHCP y DNP</w:t>
            </w:r>
          </w:p>
        </w:tc>
      </w:tr>
      <w:tr>
        <w:trPr>
          <w:jc w:val="center"/>
        </w:trPr>
        <w:tc>
          <w:tcPr>
            <w:tcW w:w="2991" w:type="dxa"/>
            <w:vMerge/>
            <w:shd w:val="clear" w:color="auto" w:fill="auto"/>
          </w:tcPr>
          <w:p>
            <w:pPr>
              <w:spacing w:after="0" w:line="240" w:lineRule="auto"/>
              <w:rPr>
                <w:rFonts w:ascii="Arial" w:hAnsi="Arial" w:cs="Arial"/>
                <w:b/>
                <w:sz w:val="20"/>
                <w:szCs w:val="20"/>
                <w:lang w:val="es-ES_tradnl"/>
              </w:rPr>
            </w:pPr>
          </w:p>
        </w:tc>
        <w:tc>
          <w:tcPr>
            <w:tcW w:w="3844" w:type="dxa"/>
            <w:tcBorders>
              <w:right w:val="single" w:sz="4" w:space="0" w:color="auto"/>
            </w:tcBorders>
            <w:shd w:val="clear" w:color="auto" w:fill="auto"/>
          </w:tcPr>
          <w:p>
            <w:pPr>
              <w:pStyle w:val="ListParagraph"/>
              <w:numPr>
                <w:ilvl w:val="1"/>
                <w:numId w:val="10"/>
              </w:numPr>
              <w:spacing w:after="0" w:line="240" w:lineRule="auto"/>
              <w:ind w:left="316" w:hanging="330"/>
              <w:jc w:val="both"/>
              <w:rPr>
                <w:rFonts w:ascii="Arial" w:eastAsia="Times New Roman" w:hAnsi="Arial" w:cs="Arial"/>
                <w:iCs/>
                <w:sz w:val="20"/>
                <w:szCs w:val="20"/>
                <w:lang w:val="es-ES"/>
              </w:rPr>
            </w:pPr>
            <w:r>
              <w:rPr>
                <w:rFonts w:ascii="Arial" w:eastAsia="Times New Roman" w:hAnsi="Arial" w:cs="Arial"/>
                <w:iCs/>
                <w:sz w:val="20"/>
                <w:szCs w:val="20"/>
                <w:lang w:val="es-ES"/>
              </w:rPr>
              <w:t>Implementación del Plan Piloto para la masificación del uso de la factura electrónica</w:t>
            </w:r>
          </w:p>
          <w:p>
            <w:pPr>
              <w:spacing w:after="0" w:line="240" w:lineRule="auto"/>
              <w:ind w:left="316" w:hanging="330"/>
              <w:jc w:val="both"/>
              <w:rPr>
                <w:rFonts w:ascii="Arial" w:eastAsia="Arial" w:hAnsi="Arial" w:cs="Arial"/>
                <w:sz w:val="20"/>
                <w:szCs w:val="20"/>
                <w:lang w:val="es-ES_tradnl"/>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pPr>
              <w:pStyle w:val="Subheading2"/>
              <w:numPr>
                <w:ilvl w:val="0"/>
                <w:numId w:val="20"/>
              </w:numPr>
              <w:spacing w:before="0" w:after="0"/>
              <w:jc w:val="both"/>
              <w:rPr>
                <w:rFonts w:ascii="Arial" w:hAnsi="Arial" w:cs="Arial"/>
                <w:b w:val="0"/>
                <w:sz w:val="20"/>
                <w:szCs w:val="20"/>
                <w:lang w:val="es-CO"/>
              </w:rPr>
            </w:pPr>
            <w:r>
              <w:rPr>
                <w:rFonts w:ascii="Arial" w:hAnsi="Arial" w:cs="Arial"/>
                <w:b w:val="0"/>
                <w:sz w:val="20"/>
                <w:szCs w:val="20"/>
                <w:lang w:val="es-CO"/>
              </w:rPr>
              <w:t>Informe elaborado por la DIAN, enviado al Banco, sobre el Plan Piloto para la masificación del uso de la factura electrónica.</w:t>
            </w:r>
          </w:p>
        </w:tc>
        <w:tc>
          <w:tcPr>
            <w:tcW w:w="1743" w:type="dxa"/>
            <w:tcBorders>
              <w:top w:val="single" w:sz="4" w:space="0" w:color="auto"/>
              <w:left w:val="single" w:sz="4" w:space="0" w:color="auto"/>
              <w:bottom w:val="single" w:sz="4" w:space="0" w:color="auto"/>
              <w:right w:val="single" w:sz="4" w:space="0" w:color="auto"/>
            </w:tcBorders>
          </w:tcPr>
          <w:p>
            <w:pPr>
              <w:spacing w:after="0" w:line="240" w:lineRule="auto"/>
              <w:rPr>
                <w:rFonts w:ascii="Arial" w:eastAsia="Arial,Times New Roman" w:hAnsi="Arial" w:cs="Arial"/>
                <w:sz w:val="20"/>
                <w:szCs w:val="20"/>
                <w:lang w:val="es-ES_tradnl"/>
              </w:rPr>
            </w:pPr>
            <w:r>
              <w:rPr>
                <w:rFonts w:ascii="Arial" w:eastAsia="Arial,Times New Roman" w:hAnsi="Arial" w:cs="Arial"/>
                <w:sz w:val="20"/>
                <w:szCs w:val="20"/>
                <w:lang w:val="es-ES_tradnl"/>
              </w:rPr>
              <w:t>DIAN</w:t>
            </w:r>
          </w:p>
        </w:tc>
      </w:tr>
      <w:tr>
        <w:trPr>
          <w:jc w:val="center"/>
        </w:trPr>
        <w:tc>
          <w:tcPr>
            <w:tcW w:w="2991" w:type="dxa"/>
            <w:vMerge/>
            <w:shd w:val="clear" w:color="auto" w:fill="auto"/>
          </w:tcPr>
          <w:p>
            <w:pPr>
              <w:spacing w:after="0" w:line="240" w:lineRule="auto"/>
              <w:rPr>
                <w:rFonts w:ascii="Arial" w:hAnsi="Arial" w:cs="Arial"/>
                <w:b/>
                <w:sz w:val="20"/>
                <w:szCs w:val="20"/>
                <w:lang w:val="es-ES_tradnl"/>
              </w:rPr>
            </w:pPr>
          </w:p>
        </w:tc>
        <w:tc>
          <w:tcPr>
            <w:tcW w:w="3844" w:type="dxa"/>
            <w:tcBorders>
              <w:right w:val="single" w:sz="4" w:space="0" w:color="auto"/>
            </w:tcBorders>
            <w:shd w:val="clear" w:color="auto" w:fill="auto"/>
          </w:tcPr>
          <w:p>
            <w:pPr>
              <w:pStyle w:val="FootnoteText"/>
              <w:keepNext w:val="0"/>
              <w:keepLines w:val="0"/>
              <w:numPr>
                <w:ilvl w:val="1"/>
                <w:numId w:val="10"/>
              </w:numPr>
              <w:spacing w:after="0"/>
              <w:ind w:left="316" w:hanging="330"/>
              <w:rPr>
                <w:rFonts w:ascii="Arial" w:eastAsia="Arial" w:hAnsi="Arial" w:cs="Arial"/>
                <w:lang w:val="es-ES_tradnl"/>
              </w:rPr>
            </w:pPr>
            <w:r>
              <w:rPr>
                <w:rFonts w:ascii="Arial" w:hAnsi="Arial" w:cs="Arial"/>
                <w:lang w:val="es-ES"/>
              </w:rPr>
              <w:t>Modificación del modelo de factura electrónica, pasando de un modelo asincrónico sin validación previa por parte de la DIAN, a uno basado en tiempo real con validación previa</w:t>
            </w:r>
          </w:p>
        </w:tc>
        <w:tc>
          <w:tcPr>
            <w:tcW w:w="3420" w:type="dxa"/>
            <w:tcBorders>
              <w:top w:val="single" w:sz="4" w:space="0" w:color="auto"/>
              <w:left w:val="single" w:sz="4" w:space="0" w:color="auto"/>
              <w:bottom w:val="single" w:sz="4" w:space="0" w:color="auto"/>
              <w:right w:val="single" w:sz="4" w:space="0" w:color="auto"/>
            </w:tcBorders>
            <w:shd w:val="clear" w:color="auto" w:fill="auto"/>
          </w:tcPr>
          <w:p>
            <w:pPr>
              <w:pStyle w:val="Subheading2"/>
              <w:numPr>
                <w:ilvl w:val="0"/>
                <w:numId w:val="20"/>
              </w:numPr>
              <w:spacing w:before="0" w:after="0"/>
              <w:jc w:val="both"/>
              <w:rPr>
                <w:rFonts w:ascii="Arial" w:eastAsia="Arial,Times New Roman" w:hAnsi="Arial" w:cs="Arial"/>
                <w:b w:val="0"/>
                <w:sz w:val="20"/>
                <w:szCs w:val="20"/>
                <w:lang w:val="es-ES_tradnl"/>
              </w:rPr>
            </w:pPr>
            <w:r>
              <w:rPr>
                <w:rFonts w:ascii="Arial" w:hAnsi="Arial" w:cs="Arial"/>
                <w:b w:val="0"/>
                <w:sz w:val="20"/>
                <w:szCs w:val="20"/>
                <w:lang w:val="es-ES_tradnl"/>
              </w:rPr>
              <w:t>Ley</w:t>
            </w:r>
            <w:r>
              <w:rPr>
                <w:rFonts w:ascii="Arial" w:hAnsi="Arial" w:cs="Arial"/>
                <w:b w:val="0"/>
                <w:sz w:val="20"/>
                <w:szCs w:val="20"/>
                <w:lang w:val="es-ES"/>
              </w:rPr>
              <w:t xml:space="preserve"> 1819 del 29 de diciembre de 2016, de Reforma Tributaria Estructural.</w:t>
            </w:r>
          </w:p>
        </w:tc>
        <w:tc>
          <w:tcPr>
            <w:tcW w:w="1743" w:type="dxa"/>
            <w:tcBorders>
              <w:top w:val="single" w:sz="4" w:space="0" w:color="auto"/>
              <w:left w:val="single" w:sz="4" w:space="0" w:color="auto"/>
              <w:bottom w:val="single" w:sz="4" w:space="0" w:color="auto"/>
              <w:right w:val="single" w:sz="4" w:space="0" w:color="auto"/>
            </w:tcBorders>
          </w:tcPr>
          <w:p>
            <w:pPr>
              <w:spacing w:after="0" w:line="240" w:lineRule="auto"/>
              <w:rPr>
                <w:rFonts w:ascii="Arial" w:eastAsia="Arial,Times New Roman" w:hAnsi="Arial" w:cs="Arial"/>
                <w:sz w:val="20"/>
                <w:szCs w:val="20"/>
                <w:lang w:val="es-ES_tradnl"/>
              </w:rPr>
            </w:pPr>
            <w:r>
              <w:rPr>
                <w:rFonts w:ascii="Arial" w:eastAsia="Arial,Times New Roman" w:hAnsi="Arial" w:cs="Arial"/>
                <w:sz w:val="20"/>
                <w:szCs w:val="20"/>
                <w:lang w:val="es-ES_tradnl"/>
              </w:rPr>
              <w:t>MHCP y DIAN</w:t>
            </w:r>
          </w:p>
        </w:tc>
      </w:tr>
      <w:tr>
        <w:trPr>
          <w:jc w:val="center"/>
        </w:trPr>
        <w:tc>
          <w:tcPr>
            <w:tcW w:w="2991" w:type="dxa"/>
            <w:vMerge/>
            <w:shd w:val="clear" w:color="auto" w:fill="auto"/>
          </w:tcPr>
          <w:p>
            <w:pPr>
              <w:spacing w:after="0" w:line="240" w:lineRule="auto"/>
              <w:rPr>
                <w:rFonts w:ascii="Arial" w:hAnsi="Arial" w:cs="Arial"/>
                <w:b/>
                <w:sz w:val="20"/>
                <w:szCs w:val="20"/>
                <w:lang w:val="es-ES_tradnl"/>
              </w:rPr>
            </w:pPr>
          </w:p>
        </w:tc>
        <w:tc>
          <w:tcPr>
            <w:tcW w:w="3844" w:type="dxa"/>
            <w:tcBorders>
              <w:right w:val="single" w:sz="4" w:space="0" w:color="auto"/>
            </w:tcBorders>
            <w:shd w:val="clear" w:color="auto" w:fill="auto"/>
          </w:tcPr>
          <w:p>
            <w:pPr>
              <w:pStyle w:val="FootnoteText"/>
              <w:keepNext w:val="0"/>
              <w:keepLines w:val="0"/>
              <w:numPr>
                <w:ilvl w:val="1"/>
                <w:numId w:val="10"/>
              </w:numPr>
              <w:spacing w:after="0"/>
              <w:ind w:left="316" w:hanging="330"/>
              <w:rPr>
                <w:rFonts w:ascii="Arial" w:hAnsi="Arial" w:cs="Arial"/>
                <w:lang w:val="es-ES"/>
              </w:rPr>
            </w:pPr>
            <w:bookmarkStart w:id="13" w:name="_Hlk493782467"/>
            <w:r>
              <w:rPr>
                <w:rFonts w:ascii="Arial" w:hAnsi="Arial" w:cs="Arial"/>
                <w:lang w:val="es-ES"/>
              </w:rPr>
              <w:t>Regulación aduanera (Estatuto Aduanero), ajustada a las mejores prácticas y acuerdos internacionales, aprobada e implementa</w:t>
            </w:r>
            <w:bookmarkEnd w:id="13"/>
            <w:r>
              <w:rPr>
                <w:rFonts w:ascii="Arial" w:hAnsi="Arial" w:cs="Arial"/>
                <w:lang w:val="es-ES"/>
              </w:rPr>
              <w:t>da.</w:t>
            </w:r>
          </w:p>
          <w:p>
            <w:pPr>
              <w:pStyle w:val="ListParagraph"/>
              <w:spacing w:after="0" w:line="240" w:lineRule="auto"/>
              <w:ind w:left="316" w:hanging="330"/>
              <w:jc w:val="both"/>
              <w:rPr>
                <w:rFonts w:ascii="Arial" w:hAnsi="Arial" w:cs="Arial"/>
                <w:sz w:val="20"/>
                <w:szCs w:val="20"/>
                <w:lang w:val="es-ES"/>
              </w:rPr>
            </w:pPr>
          </w:p>
          <w:p>
            <w:pPr>
              <w:spacing w:after="0" w:line="240" w:lineRule="auto"/>
              <w:ind w:left="316" w:hanging="330"/>
              <w:jc w:val="both"/>
              <w:rPr>
                <w:rFonts w:ascii="Arial" w:eastAsia="Arial" w:hAnsi="Arial" w:cs="Arial"/>
                <w:sz w:val="20"/>
                <w:szCs w:val="20"/>
                <w:lang w:val="es-ES_tradnl"/>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pPr>
              <w:pStyle w:val="Subheading2"/>
              <w:numPr>
                <w:ilvl w:val="0"/>
                <w:numId w:val="21"/>
              </w:numPr>
              <w:spacing w:before="0" w:after="0"/>
              <w:jc w:val="both"/>
              <w:rPr>
                <w:rFonts w:ascii="Arial" w:hAnsi="Arial" w:cs="Arial"/>
                <w:b w:val="0"/>
                <w:sz w:val="20"/>
                <w:szCs w:val="20"/>
                <w:lang w:val="es-ES_tradnl"/>
              </w:rPr>
            </w:pPr>
            <w:r>
              <w:rPr>
                <w:rFonts w:ascii="Arial" w:hAnsi="Arial" w:cs="Arial"/>
                <w:b w:val="0"/>
                <w:sz w:val="20"/>
                <w:szCs w:val="20"/>
                <w:lang w:val="es-ES"/>
              </w:rPr>
              <w:t xml:space="preserve">Decreto 390 del 7 de marzo de 2016, por </w:t>
            </w:r>
            <w:r>
              <w:rPr>
                <w:rFonts w:ascii="Arial" w:hAnsi="Arial" w:cs="Arial"/>
                <w:b w:val="0"/>
                <w:sz w:val="20"/>
                <w:szCs w:val="20"/>
                <w:lang w:val="es-ES_tradnl"/>
              </w:rPr>
              <w:t>el cual se aprobó el nuevo Estatuto Aduanero</w:t>
            </w:r>
          </w:p>
          <w:p>
            <w:pPr>
              <w:pStyle w:val="Subheading2"/>
              <w:numPr>
                <w:ilvl w:val="0"/>
                <w:numId w:val="21"/>
              </w:numPr>
              <w:spacing w:before="0" w:after="0"/>
              <w:jc w:val="both"/>
              <w:rPr>
                <w:rFonts w:ascii="Arial" w:eastAsia="Arial,Times New Roman" w:hAnsi="Arial" w:cs="Arial"/>
                <w:b w:val="0"/>
                <w:sz w:val="20"/>
                <w:szCs w:val="20"/>
                <w:lang w:val="es-ES_tradnl"/>
              </w:rPr>
            </w:pPr>
            <w:r>
              <w:rPr>
                <w:rFonts w:ascii="Arial" w:hAnsi="Arial" w:cs="Arial"/>
                <w:b w:val="0"/>
                <w:sz w:val="20"/>
                <w:szCs w:val="20"/>
                <w:lang w:val="es-ES_tradnl"/>
              </w:rPr>
              <w:t xml:space="preserve">Resoluciones 41 del 11 de mayo de 2016, 42 del 13 de mayo de 2016, 64 del 28 de septiembre de 2016, y 72 del 29 de noviembre de 2016, por las </w:t>
            </w:r>
            <w:r>
              <w:rPr>
                <w:rFonts w:ascii="Arial" w:hAnsi="Arial" w:cs="Arial"/>
                <w:b w:val="0"/>
                <w:sz w:val="20"/>
                <w:szCs w:val="20"/>
                <w:lang w:val="es-ES_tradnl"/>
              </w:rPr>
              <w:lastRenderedPageBreak/>
              <w:t>cuales se reglamentan distintos artículos del Decreto 390.</w:t>
            </w:r>
          </w:p>
        </w:tc>
        <w:tc>
          <w:tcPr>
            <w:tcW w:w="1743" w:type="dxa"/>
            <w:tcBorders>
              <w:top w:val="single" w:sz="4" w:space="0" w:color="auto"/>
              <w:left w:val="single" w:sz="4" w:space="0" w:color="auto"/>
              <w:bottom w:val="single" w:sz="4" w:space="0" w:color="auto"/>
              <w:right w:val="single" w:sz="4" w:space="0" w:color="auto"/>
            </w:tcBorders>
          </w:tcPr>
          <w:p>
            <w:pPr>
              <w:spacing w:after="0" w:line="240" w:lineRule="auto"/>
              <w:rPr>
                <w:rFonts w:ascii="Arial" w:eastAsia="Arial,Times New Roman" w:hAnsi="Arial" w:cs="Arial"/>
                <w:sz w:val="20"/>
                <w:szCs w:val="20"/>
                <w:lang w:val="es-ES_tradnl"/>
              </w:rPr>
            </w:pPr>
            <w:r>
              <w:rPr>
                <w:rFonts w:ascii="Arial" w:eastAsia="Arial,Times New Roman" w:hAnsi="Arial" w:cs="Arial"/>
                <w:sz w:val="20"/>
                <w:szCs w:val="20"/>
                <w:lang w:val="es-ES_tradnl"/>
              </w:rPr>
              <w:lastRenderedPageBreak/>
              <w:t>DIAN</w:t>
            </w:r>
          </w:p>
        </w:tc>
      </w:tr>
      <w:tr>
        <w:trPr>
          <w:jc w:val="center"/>
        </w:trPr>
        <w:tc>
          <w:tcPr>
            <w:tcW w:w="2991" w:type="dxa"/>
            <w:vMerge/>
            <w:shd w:val="clear" w:color="auto" w:fill="auto"/>
          </w:tcPr>
          <w:p>
            <w:pPr>
              <w:spacing w:after="0" w:line="240" w:lineRule="auto"/>
              <w:rPr>
                <w:rFonts w:ascii="Arial" w:hAnsi="Arial" w:cs="Arial"/>
                <w:b/>
                <w:sz w:val="20"/>
                <w:szCs w:val="20"/>
                <w:lang w:val="es-ES_tradnl"/>
              </w:rPr>
            </w:pPr>
          </w:p>
        </w:tc>
        <w:tc>
          <w:tcPr>
            <w:tcW w:w="3844" w:type="dxa"/>
            <w:tcBorders>
              <w:right w:val="single" w:sz="4" w:space="0" w:color="auto"/>
            </w:tcBorders>
            <w:shd w:val="clear" w:color="auto" w:fill="auto"/>
          </w:tcPr>
          <w:p>
            <w:pPr>
              <w:pStyle w:val="FootnoteText"/>
              <w:keepNext w:val="0"/>
              <w:keepLines w:val="0"/>
              <w:numPr>
                <w:ilvl w:val="1"/>
                <w:numId w:val="10"/>
              </w:numPr>
              <w:spacing w:after="0"/>
              <w:ind w:left="316" w:hanging="330"/>
              <w:rPr>
                <w:rFonts w:ascii="Arial" w:hAnsi="Arial" w:cs="Arial"/>
                <w:lang w:val="es-ES"/>
              </w:rPr>
            </w:pPr>
            <w:r>
              <w:rPr>
                <w:rFonts w:ascii="Arial" w:hAnsi="Arial" w:cs="Arial"/>
                <w:lang w:val="es-ES"/>
              </w:rPr>
              <w:t>Nuevo sistema de información para el fortalecimiento del control aduanero, implementado y operando a plena capacidad en el módulo de desaduanamiento.</w:t>
            </w:r>
          </w:p>
          <w:p>
            <w:pPr>
              <w:spacing w:after="0" w:line="240" w:lineRule="auto"/>
              <w:ind w:left="316" w:hanging="330"/>
              <w:jc w:val="both"/>
              <w:rPr>
                <w:rFonts w:ascii="Arial" w:eastAsia="Arial" w:hAnsi="Arial" w:cs="Arial"/>
                <w:sz w:val="20"/>
                <w:szCs w:val="20"/>
                <w:lang w:val="es-ES_tradnl"/>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pPr>
              <w:pStyle w:val="Subheading2"/>
              <w:numPr>
                <w:ilvl w:val="0"/>
                <w:numId w:val="22"/>
              </w:numPr>
              <w:spacing w:before="0" w:after="0"/>
              <w:jc w:val="both"/>
              <w:rPr>
                <w:rFonts w:ascii="Arial" w:eastAsia="Arial,Times New Roman" w:hAnsi="Arial" w:cs="Arial"/>
                <w:b w:val="0"/>
                <w:sz w:val="20"/>
                <w:szCs w:val="20"/>
                <w:lang w:val="es-ES_tradnl"/>
              </w:rPr>
            </w:pPr>
            <w:r>
              <w:rPr>
                <w:rFonts w:ascii="Arial" w:hAnsi="Arial" w:cs="Arial"/>
                <w:b w:val="0"/>
                <w:iCs/>
                <w:sz w:val="20"/>
                <w:lang w:val="es-ES"/>
              </w:rPr>
              <w:t>Informe elaborado por la DIAN sobre la implementación y operación del módulo de desaduanamiento del sistema de gestión de riesgo aduanero</w:t>
            </w:r>
            <w:r>
              <w:rPr>
                <w:rFonts w:ascii="Arial" w:hAnsi="Arial" w:cs="Arial"/>
                <w:b w:val="0"/>
                <w:sz w:val="20"/>
                <w:szCs w:val="20"/>
                <w:lang w:val="es-ES"/>
              </w:rPr>
              <w:t>.</w:t>
            </w:r>
          </w:p>
        </w:tc>
        <w:tc>
          <w:tcPr>
            <w:tcW w:w="1743" w:type="dxa"/>
            <w:tcBorders>
              <w:top w:val="single" w:sz="4" w:space="0" w:color="auto"/>
              <w:left w:val="single" w:sz="4" w:space="0" w:color="auto"/>
              <w:bottom w:val="single" w:sz="4" w:space="0" w:color="auto"/>
              <w:right w:val="single" w:sz="4" w:space="0" w:color="auto"/>
            </w:tcBorders>
          </w:tcPr>
          <w:p>
            <w:pPr>
              <w:spacing w:after="0" w:line="240" w:lineRule="auto"/>
              <w:rPr>
                <w:rFonts w:ascii="Arial" w:eastAsia="Arial,Times New Roman" w:hAnsi="Arial" w:cs="Arial"/>
                <w:sz w:val="20"/>
                <w:szCs w:val="20"/>
                <w:lang w:val="es-ES_tradnl"/>
              </w:rPr>
            </w:pPr>
            <w:r>
              <w:rPr>
                <w:rFonts w:ascii="Arial" w:eastAsia="Arial,Times New Roman" w:hAnsi="Arial" w:cs="Arial"/>
                <w:sz w:val="20"/>
                <w:szCs w:val="20"/>
                <w:lang w:val="es-ES_tradnl"/>
              </w:rPr>
              <w:t>DIAN</w:t>
            </w:r>
          </w:p>
        </w:tc>
      </w:tr>
      <w:tr>
        <w:trPr>
          <w:jc w:val="center"/>
        </w:trPr>
        <w:tc>
          <w:tcPr>
            <w:tcW w:w="2991" w:type="dxa"/>
            <w:vMerge/>
            <w:shd w:val="clear" w:color="auto" w:fill="auto"/>
          </w:tcPr>
          <w:p>
            <w:pPr>
              <w:spacing w:after="0" w:line="240" w:lineRule="auto"/>
              <w:rPr>
                <w:rFonts w:ascii="Arial" w:hAnsi="Arial" w:cs="Arial"/>
                <w:b/>
                <w:sz w:val="20"/>
                <w:szCs w:val="20"/>
                <w:lang w:val="es-ES_tradnl"/>
              </w:rPr>
            </w:pPr>
          </w:p>
        </w:tc>
        <w:tc>
          <w:tcPr>
            <w:tcW w:w="3844" w:type="dxa"/>
            <w:tcBorders>
              <w:right w:val="single" w:sz="4" w:space="0" w:color="auto"/>
            </w:tcBorders>
            <w:shd w:val="clear" w:color="auto" w:fill="auto"/>
          </w:tcPr>
          <w:p>
            <w:pPr>
              <w:pStyle w:val="FootnoteText"/>
              <w:keepNext w:val="0"/>
              <w:keepLines w:val="0"/>
              <w:numPr>
                <w:ilvl w:val="1"/>
                <w:numId w:val="10"/>
              </w:numPr>
              <w:spacing w:after="0"/>
              <w:ind w:left="316" w:hanging="330"/>
              <w:rPr>
                <w:rFonts w:ascii="Arial" w:hAnsi="Arial" w:cs="Arial"/>
                <w:lang w:val="es-ES"/>
              </w:rPr>
            </w:pPr>
            <w:r>
              <w:rPr>
                <w:rFonts w:ascii="Arial" w:hAnsi="Arial" w:cs="Arial"/>
                <w:lang w:val="es-ES"/>
              </w:rPr>
              <w:t>Dirección de Fiscalización de la DIAN fortalecida mediante la contratación de funcionarios adicionales y la actualización del sistema de carrera de la entidad.</w:t>
            </w:r>
          </w:p>
          <w:p>
            <w:pPr>
              <w:spacing w:after="0" w:line="240" w:lineRule="auto"/>
              <w:ind w:left="316" w:hanging="330"/>
              <w:jc w:val="both"/>
              <w:rPr>
                <w:rFonts w:ascii="Arial" w:eastAsia="Arial" w:hAnsi="Arial" w:cs="Arial"/>
                <w:sz w:val="20"/>
                <w:szCs w:val="20"/>
                <w:lang w:val="es-ES_tradnl"/>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pPr>
              <w:pStyle w:val="Subheading2"/>
              <w:numPr>
                <w:ilvl w:val="0"/>
                <w:numId w:val="23"/>
              </w:numPr>
              <w:spacing w:before="0" w:after="0"/>
              <w:jc w:val="both"/>
              <w:rPr>
                <w:rFonts w:ascii="Arial" w:hAnsi="Arial" w:cs="Arial"/>
                <w:b w:val="0"/>
                <w:sz w:val="20"/>
                <w:szCs w:val="20"/>
                <w:lang w:val="es-ES"/>
              </w:rPr>
            </w:pPr>
            <w:r>
              <w:rPr>
                <w:rFonts w:ascii="Arial" w:hAnsi="Arial" w:cs="Arial"/>
                <w:b w:val="0"/>
                <w:sz w:val="20"/>
                <w:szCs w:val="20"/>
                <w:lang w:val="es-ES"/>
              </w:rPr>
              <w:t>Ley 1819 del 2016, de reforma tributaria estructural, en los cuales se establece el fortalecimiento de la capacidad institucional para mejorar la fiscalización</w:t>
            </w:r>
          </w:p>
          <w:p>
            <w:pPr>
              <w:pStyle w:val="Subheading2"/>
              <w:numPr>
                <w:ilvl w:val="0"/>
                <w:numId w:val="23"/>
              </w:numPr>
              <w:spacing w:before="0" w:after="0"/>
              <w:jc w:val="both"/>
              <w:rPr>
                <w:rFonts w:ascii="Arial" w:eastAsia="Arial,Times New Roman" w:hAnsi="Arial" w:cs="Arial"/>
                <w:b w:val="0"/>
                <w:sz w:val="20"/>
                <w:szCs w:val="20"/>
                <w:lang w:val="es-ES_tradnl"/>
              </w:rPr>
            </w:pPr>
            <w:r>
              <w:rPr>
                <w:rFonts w:ascii="Arial" w:hAnsi="Arial" w:cs="Arial"/>
                <w:b w:val="0"/>
                <w:sz w:val="20"/>
                <w:szCs w:val="20"/>
                <w:lang w:val="es-ES"/>
              </w:rPr>
              <w:t>Decreto 2394 del 11 de diciembre de 2015, por el cual se contrata de forma exprés a funcionarios (auditores tributarios) para fortalecer la unidad de fiscalización.</w:t>
            </w:r>
          </w:p>
        </w:tc>
        <w:tc>
          <w:tcPr>
            <w:tcW w:w="1743" w:type="dxa"/>
            <w:tcBorders>
              <w:top w:val="single" w:sz="4" w:space="0" w:color="auto"/>
              <w:left w:val="single" w:sz="4" w:space="0" w:color="auto"/>
              <w:bottom w:val="single" w:sz="4" w:space="0" w:color="auto"/>
              <w:right w:val="single" w:sz="4" w:space="0" w:color="auto"/>
            </w:tcBorders>
          </w:tcPr>
          <w:p>
            <w:pPr>
              <w:spacing w:after="0" w:line="240" w:lineRule="auto"/>
              <w:rPr>
                <w:rFonts w:ascii="Arial" w:eastAsia="Arial,Times New Roman" w:hAnsi="Arial" w:cs="Arial"/>
                <w:sz w:val="20"/>
                <w:szCs w:val="20"/>
                <w:lang w:val="es-ES_tradnl"/>
              </w:rPr>
            </w:pPr>
            <w:r>
              <w:rPr>
                <w:rFonts w:ascii="Arial" w:eastAsia="Arial,Times New Roman" w:hAnsi="Arial" w:cs="Arial"/>
                <w:sz w:val="20"/>
                <w:szCs w:val="20"/>
                <w:lang w:val="es-ES_tradnl"/>
              </w:rPr>
              <w:t>MHCP y DIAN</w:t>
            </w:r>
          </w:p>
        </w:tc>
      </w:tr>
      <w:tr>
        <w:trPr>
          <w:trHeight w:val="247"/>
          <w:jc w:val="center"/>
        </w:trPr>
        <w:tc>
          <w:tcPr>
            <w:tcW w:w="11998" w:type="dxa"/>
            <w:gridSpan w:val="4"/>
            <w:tcBorders>
              <w:bottom w:val="single" w:sz="4" w:space="0" w:color="auto"/>
            </w:tcBorders>
            <w:shd w:val="clear" w:color="auto" w:fill="BFBFBF" w:themeFill="background1" w:themeFillShade="BF"/>
          </w:tcPr>
          <w:p>
            <w:pPr>
              <w:spacing w:after="0" w:line="240" w:lineRule="auto"/>
              <w:rPr>
                <w:rFonts w:ascii="Arial" w:eastAsia="Arial" w:hAnsi="Arial" w:cs="Arial"/>
                <w:b/>
                <w:bCs/>
                <w:sz w:val="20"/>
                <w:szCs w:val="20"/>
                <w:lang w:val="es-ES_tradnl"/>
              </w:rPr>
            </w:pPr>
            <w:r>
              <w:rPr>
                <w:rFonts w:ascii="Arial" w:eastAsia="Arial" w:hAnsi="Arial" w:cs="Arial"/>
                <w:b/>
                <w:bCs/>
                <w:sz w:val="20"/>
                <w:szCs w:val="20"/>
                <w:lang w:val="es-ES_tradnl"/>
              </w:rPr>
              <w:t>Componente III: Mejorar la eficiencia del gasto público</w:t>
            </w:r>
          </w:p>
        </w:tc>
      </w:tr>
      <w:tr>
        <w:trPr>
          <w:trHeight w:val="422"/>
          <w:jc w:val="center"/>
        </w:trPr>
        <w:tc>
          <w:tcPr>
            <w:tcW w:w="2991" w:type="dxa"/>
            <w:vMerge w:val="restart"/>
            <w:shd w:val="clear" w:color="auto" w:fill="auto"/>
          </w:tcPr>
          <w:p>
            <w:pPr>
              <w:spacing w:after="0" w:line="240" w:lineRule="auto"/>
              <w:rPr>
                <w:rFonts w:ascii="Arial" w:eastAsia="Arial" w:hAnsi="Arial" w:cs="Arial"/>
                <w:sz w:val="20"/>
                <w:szCs w:val="20"/>
                <w:lang w:val="es-ES_tradnl"/>
              </w:rPr>
            </w:pPr>
            <w:r>
              <w:rPr>
                <w:rFonts w:ascii="Arial" w:hAnsi="Arial" w:cs="Arial"/>
                <w:sz w:val="20"/>
                <w:szCs w:val="20"/>
                <w:lang w:val="es-ES"/>
              </w:rPr>
              <w:t>Fortalecer la calidad del gasto público.</w:t>
            </w:r>
          </w:p>
        </w:tc>
        <w:tc>
          <w:tcPr>
            <w:tcW w:w="3844" w:type="dxa"/>
            <w:tcBorders>
              <w:right w:val="single" w:sz="4" w:space="0" w:color="auto"/>
            </w:tcBorders>
            <w:shd w:val="clear" w:color="auto" w:fill="auto"/>
          </w:tcPr>
          <w:p>
            <w:pPr>
              <w:pStyle w:val="FootnoteText"/>
              <w:keepNext w:val="0"/>
              <w:keepLines w:val="0"/>
              <w:numPr>
                <w:ilvl w:val="1"/>
                <w:numId w:val="49"/>
              </w:numPr>
              <w:spacing w:after="0"/>
              <w:rPr>
                <w:rFonts w:ascii="Arial" w:hAnsi="Arial" w:cs="Arial"/>
                <w:lang w:val="es-ES"/>
              </w:rPr>
            </w:pPr>
            <w:r>
              <w:rPr>
                <w:rFonts w:ascii="Arial" w:hAnsi="Arial" w:cs="Arial"/>
                <w:lang w:val="es-ES"/>
              </w:rPr>
              <w:t xml:space="preserve">Consolidación de la Coordinación y Operación del SGR mediante: </w:t>
            </w:r>
          </w:p>
          <w:p>
            <w:pPr>
              <w:pStyle w:val="FootnoteText"/>
              <w:keepNext w:val="0"/>
              <w:keepLines w:val="0"/>
              <w:numPr>
                <w:ilvl w:val="0"/>
                <w:numId w:val="25"/>
              </w:numPr>
              <w:spacing w:after="0"/>
              <w:ind w:left="819" w:hanging="459"/>
              <w:rPr>
                <w:rFonts w:ascii="Arial" w:hAnsi="Arial" w:cs="Arial"/>
                <w:lang w:val="es-ES"/>
              </w:rPr>
            </w:pPr>
            <w:r>
              <w:rPr>
                <w:rFonts w:ascii="Arial" w:hAnsi="Arial" w:cs="Arial"/>
                <w:lang w:val="es-ES"/>
              </w:rPr>
              <w:t xml:space="preserve">La creación de una Dirección del Sistema General de Regalías en el DNP; </w:t>
            </w:r>
          </w:p>
          <w:p>
            <w:pPr>
              <w:pStyle w:val="FootnoteText"/>
              <w:keepNext w:val="0"/>
              <w:keepLines w:val="0"/>
              <w:numPr>
                <w:ilvl w:val="0"/>
                <w:numId w:val="25"/>
              </w:numPr>
              <w:spacing w:after="0"/>
              <w:ind w:left="819" w:hanging="459"/>
              <w:rPr>
                <w:rFonts w:ascii="Arial" w:eastAsia="Arial,Times New Roman" w:hAnsi="Arial" w:cs="Arial"/>
                <w:lang w:val="es-ES_tradnl"/>
              </w:rPr>
            </w:pPr>
            <w:r>
              <w:rPr>
                <w:rFonts w:ascii="Arial" w:hAnsi="Arial" w:cs="Arial"/>
                <w:lang w:val="es-ES"/>
              </w:rPr>
              <w:t>La emisión de la normativa, el desarrollo de herramientas y el fortalecimiento del equipo técnico del DNP para la estructuración y gestión de proyectos de inversión financiados con recursos del SGR para las ET.</w:t>
            </w:r>
          </w:p>
        </w:tc>
        <w:tc>
          <w:tcPr>
            <w:tcW w:w="3420" w:type="dxa"/>
            <w:tcBorders>
              <w:top w:val="single" w:sz="4" w:space="0" w:color="auto"/>
              <w:left w:val="single" w:sz="4" w:space="0" w:color="auto"/>
              <w:right w:val="single" w:sz="4" w:space="0" w:color="auto"/>
            </w:tcBorders>
            <w:shd w:val="clear" w:color="auto" w:fill="auto"/>
          </w:tcPr>
          <w:p>
            <w:pPr>
              <w:pStyle w:val="ListParagraph"/>
              <w:numPr>
                <w:ilvl w:val="0"/>
                <w:numId w:val="26"/>
              </w:numPr>
              <w:spacing w:after="0" w:line="240" w:lineRule="auto"/>
              <w:jc w:val="both"/>
              <w:rPr>
                <w:rFonts w:ascii="Arial" w:hAnsi="Arial" w:cs="Arial"/>
                <w:sz w:val="20"/>
                <w:szCs w:val="20"/>
                <w:lang w:val="es-ES_tradnl"/>
              </w:rPr>
            </w:pPr>
            <w:r>
              <w:rPr>
                <w:rFonts w:ascii="Arial" w:hAnsi="Arial" w:cs="Arial"/>
                <w:sz w:val="20"/>
                <w:szCs w:val="20"/>
                <w:lang w:val="es-ES_tradnl"/>
              </w:rPr>
              <w:t>CONPES 3856 de abril de 2016 para la Estrategia de Estandarización de Proyectos de Inversión de 2016-2018</w:t>
            </w:r>
          </w:p>
          <w:p>
            <w:pPr>
              <w:pStyle w:val="ListParagraph"/>
              <w:numPr>
                <w:ilvl w:val="0"/>
                <w:numId w:val="26"/>
              </w:numPr>
              <w:spacing w:after="0" w:line="240" w:lineRule="auto"/>
              <w:jc w:val="both"/>
              <w:rPr>
                <w:rFonts w:ascii="Arial" w:hAnsi="Arial" w:cs="Arial"/>
                <w:sz w:val="20"/>
                <w:szCs w:val="20"/>
                <w:lang w:val="es-ES_tradnl"/>
              </w:rPr>
            </w:pPr>
            <w:r>
              <w:rPr>
                <w:rFonts w:ascii="Arial" w:hAnsi="Arial" w:cs="Arial"/>
                <w:sz w:val="20"/>
                <w:szCs w:val="20"/>
                <w:lang w:val="es-ES_tradnl"/>
              </w:rPr>
              <w:t>Decreto 2189 del 23 de diciembre de 2017, por el cual se crea la Dirección del Sistema General de Regalías</w:t>
            </w:r>
          </w:p>
          <w:p>
            <w:pPr>
              <w:pStyle w:val="ListParagraph"/>
              <w:numPr>
                <w:ilvl w:val="0"/>
                <w:numId w:val="26"/>
              </w:numPr>
              <w:spacing w:after="0" w:line="240" w:lineRule="auto"/>
              <w:jc w:val="both"/>
              <w:rPr>
                <w:rFonts w:ascii="Arial" w:hAnsi="Arial" w:cs="Arial"/>
                <w:sz w:val="20"/>
                <w:szCs w:val="20"/>
                <w:lang w:val="es-ES_tradnl"/>
              </w:rPr>
            </w:pPr>
            <w:hyperlink r:id="rId10" w:history="1">
              <w:r>
                <w:rPr>
                  <w:rStyle w:val="Hyperlink"/>
                  <w:rFonts w:ascii="Arial" w:hAnsi="Arial" w:cs="Arial"/>
                  <w:sz w:val="20"/>
                  <w:lang w:val="es-ES_tradnl"/>
                </w:rPr>
                <w:t>Metodología del DNP para el desarrollo de proyectos de inversión estandarizados financiados con recursos del SGR, publicado en la web del DNP</w:t>
              </w:r>
            </w:hyperlink>
            <w:r>
              <w:rPr>
                <w:rFonts w:ascii="Arial" w:hAnsi="Arial" w:cs="Arial"/>
                <w:sz w:val="20"/>
                <w:lang w:val="es-CO"/>
              </w:rPr>
              <w:t>.</w:t>
            </w:r>
          </w:p>
        </w:tc>
        <w:tc>
          <w:tcPr>
            <w:tcW w:w="1743" w:type="dxa"/>
            <w:tcBorders>
              <w:top w:val="single" w:sz="4" w:space="0" w:color="auto"/>
              <w:left w:val="single" w:sz="4" w:space="0" w:color="auto"/>
              <w:right w:val="single" w:sz="4" w:space="0" w:color="auto"/>
            </w:tcBorders>
          </w:tcPr>
          <w:p>
            <w:pPr>
              <w:spacing w:after="0" w:line="240" w:lineRule="auto"/>
              <w:rPr>
                <w:rFonts w:ascii="Arial" w:hAnsi="Arial" w:cs="Arial"/>
                <w:sz w:val="20"/>
                <w:szCs w:val="20"/>
                <w:lang w:val="es-ES_tradnl"/>
              </w:rPr>
            </w:pPr>
            <w:r>
              <w:rPr>
                <w:rFonts w:ascii="Arial" w:eastAsia="Arial,Times New Roman" w:hAnsi="Arial" w:cs="Arial"/>
                <w:sz w:val="20"/>
                <w:szCs w:val="20"/>
                <w:lang w:val="es-ES_tradnl"/>
              </w:rPr>
              <w:t>DNP</w:t>
            </w:r>
          </w:p>
        </w:tc>
      </w:tr>
      <w:tr>
        <w:trPr>
          <w:trHeight w:val="1670"/>
          <w:jc w:val="center"/>
        </w:trPr>
        <w:tc>
          <w:tcPr>
            <w:tcW w:w="2991" w:type="dxa"/>
            <w:vMerge/>
            <w:shd w:val="clear" w:color="auto" w:fill="auto"/>
          </w:tcPr>
          <w:p>
            <w:pPr>
              <w:spacing w:after="0" w:line="240" w:lineRule="auto"/>
              <w:rPr>
                <w:rFonts w:ascii="Arial" w:hAnsi="Arial" w:cs="Arial"/>
                <w:sz w:val="20"/>
                <w:szCs w:val="20"/>
                <w:lang w:val="es-ES"/>
              </w:rPr>
            </w:pPr>
          </w:p>
        </w:tc>
        <w:tc>
          <w:tcPr>
            <w:tcW w:w="3844" w:type="dxa"/>
            <w:tcBorders>
              <w:right w:val="single" w:sz="4" w:space="0" w:color="auto"/>
            </w:tcBorders>
            <w:shd w:val="clear" w:color="auto" w:fill="auto"/>
          </w:tcPr>
          <w:p>
            <w:pPr>
              <w:pStyle w:val="ListParagraph"/>
              <w:numPr>
                <w:ilvl w:val="1"/>
                <w:numId w:val="49"/>
              </w:numPr>
              <w:spacing w:after="0" w:line="240" w:lineRule="auto"/>
              <w:jc w:val="both"/>
              <w:rPr>
                <w:rFonts w:ascii="Arial" w:hAnsi="Arial" w:cs="Arial"/>
                <w:spacing w:val="-3"/>
                <w:sz w:val="20"/>
                <w:szCs w:val="20"/>
                <w:lang w:val="es-ES"/>
              </w:rPr>
            </w:pPr>
            <w:r>
              <w:rPr>
                <w:rFonts w:ascii="Arial" w:hAnsi="Arial" w:cs="Arial"/>
                <w:spacing w:val="-3"/>
                <w:sz w:val="20"/>
                <w:szCs w:val="20"/>
                <w:lang w:val="es-ES"/>
              </w:rPr>
              <w:t xml:space="preserve">Operación de la Red de Estructuradores para los proyectos de inversión financiados por el SGR, mediante la conformación de un grupo de expertos en la Dirección del SGR en el DNP, encargados de apoyar a las ET en la estructuración y formulación de proyectos de inversión financiados con el SGR. </w:t>
            </w:r>
          </w:p>
        </w:tc>
        <w:tc>
          <w:tcPr>
            <w:tcW w:w="3420" w:type="dxa"/>
            <w:tcBorders>
              <w:top w:val="single" w:sz="4" w:space="0" w:color="auto"/>
              <w:left w:val="single" w:sz="4" w:space="0" w:color="auto"/>
              <w:right w:val="single" w:sz="4" w:space="0" w:color="auto"/>
            </w:tcBorders>
            <w:shd w:val="clear" w:color="auto" w:fill="auto"/>
          </w:tcPr>
          <w:p>
            <w:pPr>
              <w:pStyle w:val="ListParagraph"/>
              <w:numPr>
                <w:ilvl w:val="0"/>
                <w:numId w:val="27"/>
              </w:numPr>
              <w:spacing w:after="0" w:line="240" w:lineRule="auto"/>
              <w:jc w:val="both"/>
              <w:rPr>
                <w:rFonts w:ascii="Arial" w:hAnsi="Arial" w:cs="Arial"/>
                <w:sz w:val="20"/>
                <w:szCs w:val="20"/>
                <w:lang w:val="es-ES_tradnl"/>
              </w:rPr>
            </w:pPr>
            <w:hyperlink r:id="rId11" w:history="1">
              <w:r>
                <w:rPr>
                  <w:rStyle w:val="Hyperlink"/>
                  <w:rFonts w:ascii="Arial" w:hAnsi="Arial" w:cs="Arial"/>
                  <w:sz w:val="20"/>
                  <w:lang w:val="es-ES"/>
                </w:rPr>
                <w:t>Guía de Operación de la Red de Estructuradores de la Dirección del SGR</w:t>
              </w:r>
            </w:hyperlink>
            <w:r>
              <w:rPr>
                <w:rFonts w:ascii="Arial" w:hAnsi="Arial" w:cs="Arial"/>
                <w:lang w:val="es-ES"/>
              </w:rPr>
              <w:t xml:space="preserve">, </w:t>
            </w:r>
            <w:r>
              <w:rPr>
                <w:rFonts w:ascii="Arial" w:hAnsi="Arial" w:cs="Arial"/>
                <w:sz w:val="20"/>
                <w:lang w:val="es-ES"/>
              </w:rPr>
              <w:t>de 2016</w:t>
            </w:r>
            <w:r>
              <w:rPr>
                <w:rFonts w:ascii="Arial" w:hAnsi="Arial" w:cs="Arial"/>
                <w:lang w:val="es-ES"/>
              </w:rPr>
              <w:t xml:space="preserve">, </w:t>
            </w:r>
            <w:r>
              <w:rPr>
                <w:rFonts w:ascii="Arial" w:hAnsi="Arial" w:cs="Arial"/>
                <w:sz w:val="20"/>
                <w:szCs w:val="20"/>
                <w:lang w:val="es-ES_tradnl"/>
              </w:rPr>
              <w:t>publicada en la página web</w:t>
            </w:r>
            <w:r>
              <w:rPr>
                <w:rStyle w:val="Hyperlink"/>
                <w:rFonts w:ascii="Arial" w:hAnsi="Arial" w:cs="Arial"/>
                <w:color w:val="auto"/>
                <w:sz w:val="20"/>
                <w:szCs w:val="20"/>
                <w:u w:val="none"/>
                <w:lang w:val="es-ES_tradnl"/>
              </w:rPr>
              <w:t xml:space="preserve"> del DNP</w:t>
            </w:r>
          </w:p>
          <w:p>
            <w:pPr>
              <w:pStyle w:val="ListParagraph"/>
              <w:numPr>
                <w:ilvl w:val="0"/>
                <w:numId w:val="27"/>
              </w:numPr>
              <w:spacing w:after="0" w:line="240" w:lineRule="auto"/>
              <w:jc w:val="both"/>
              <w:rPr>
                <w:rFonts w:ascii="Arial" w:hAnsi="Arial" w:cs="Arial"/>
                <w:sz w:val="20"/>
                <w:szCs w:val="20"/>
                <w:lang w:val="es-ES_tradnl"/>
              </w:rPr>
            </w:pPr>
            <w:r>
              <w:rPr>
                <w:rFonts w:ascii="Arial" w:hAnsi="Arial" w:cs="Arial"/>
                <w:sz w:val="20"/>
                <w:szCs w:val="20"/>
                <w:lang w:val="es-ES_tradnl"/>
              </w:rPr>
              <w:t>Documento del Programa de Fortalecimiento de Capacidades en Estructuración de Proyectos a los Entes Territoriales (DNP, 2015) publicado en la página web del DNP.</w:t>
            </w:r>
          </w:p>
        </w:tc>
        <w:tc>
          <w:tcPr>
            <w:tcW w:w="1743" w:type="dxa"/>
            <w:tcBorders>
              <w:top w:val="single" w:sz="4" w:space="0" w:color="auto"/>
              <w:left w:val="single" w:sz="4" w:space="0" w:color="auto"/>
              <w:right w:val="single" w:sz="4" w:space="0" w:color="auto"/>
            </w:tcBorders>
          </w:tcPr>
          <w:p>
            <w:pPr>
              <w:spacing w:after="0" w:line="240" w:lineRule="auto"/>
              <w:rPr>
                <w:rFonts w:ascii="Arial" w:hAnsi="Arial" w:cs="Arial"/>
                <w:sz w:val="20"/>
                <w:szCs w:val="20"/>
                <w:lang w:val="es-ES_tradnl"/>
              </w:rPr>
            </w:pPr>
            <w:r>
              <w:rPr>
                <w:rFonts w:ascii="Arial" w:eastAsia="Arial,Times New Roman" w:hAnsi="Arial" w:cs="Arial"/>
                <w:sz w:val="20"/>
                <w:szCs w:val="20"/>
                <w:lang w:val="es-ES_tradnl"/>
              </w:rPr>
              <w:t>DNP</w:t>
            </w:r>
          </w:p>
        </w:tc>
      </w:tr>
      <w:tr>
        <w:trPr>
          <w:trHeight w:val="1670"/>
          <w:jc w:val="center"/>
        </w:trPr>
        <w:tc>
          <w:tcPr>
            <w:tcW w:w="2991" w:type="dxa"/>
            <w:vMerge/>
            <w:shd w:val="clear" w:color="auto" w:fill="auto"/>
          </w:tcPr>
          <w:p>
            <w:pPr>
              <w:spacing w:after="0" w:line="240" w:lineRule="auto"/>
              <w:rPr>
                <w:rFonts w:ascii="Arial" w:hAnsi="Arial" w:cs="Arial"/>
                <w:sz w:val="20"/>
                <w:szCs w:val="20"/>
                <w:lang w:val="es-ES"/>
              </w:rPr>
            </w:pPr>
          </w:p>
        </w:tc>
        <w:tc>
          <w:tcPr>
            <w:tcW w:w="3844" w:type="dxa"/>
            <w:tcBorders>
              <w:right w:val="single" w:sz="4" w:space="0" w:color="auto"/>
            </w:tcBorders>
            <w:shd w:val="clear" w:color="auto" w:fill="auto"/>
          </w:tcPr>
          <w:p>
            <w:pPr>
              <w:pStyle w:val="FootnoteText"/>
              <w:keepNext w:val="0"/>
              <w:keepLines w:val="0"/>
              <w:numPr>
                <w:ilvl w:val="1"/>
                <w:numId w:val="49"/>
              </w:numPr>
              <w:spacing w:after="0"/>
              <w:ind w:left="316" w:hanging="316"/>
              <w:rPr>
                <w:rFonts w:ascii="Arial" w:hAnsi="Arial" w:cs="Arial"/>
                <w:lang w:val="es-ES"/>
              </w:rPr>
            </w:pPr>
            <w:r>
              <w:rPr>
                <w:rFonts w:ascii="Arial" w:hAnsi="Arial" w:cs="Arial"/>
                <w:lang w:val="es-ES"/>
              </w:rPr>
              <w:t xml:space="preserve">Fortalecimiento de la capacidad de las ET para </w:t>
            </w:r>
            <w:bookmarkStart w:id="14" w:name="_Hlk493793066"/>
            <w:r>
              <w:rPr>
                <w:rFonts w:ascii="Arial" w:hAnsi="Arial" w:cs="Arial"/>
                <w:lang w:val="es-ES"/>
              </w:rPr>
              <w:t>diseñar y ejecutar proyectos de inversión de ámbito regional</w:t>
            </w:r>
            <w:bookmarkStart w:id="15" w:name="_Hlk493855930"/>
            <w:bookmarkEnd w:id="14"/>
            <w:r>
              <w:rPr>
                <w:rFonts w:ascii="Arial" w:hAnsi="Arial" w:cs="Arial"/>
                <w:lang w:val="es-ES"/>
              </w:rPr>
              <w:t xml:space="preserve"> mediante nuevos instrumentos de política para priorizar y articular esfuerzos y recursos.</w:t>
            </w:r>
            <w:bookmarkEnd w:id="15"/>
          </w:p>
        </w:tc>
        <w:tc>
          <w:tcPr>
            <w:tcW w:w="3420" w:type="dxa"/>
            <w:tcBorders>
              <w:top w:val="single" w:sz="4" w:space="0" w:color="auto"/>
              <w:left w:val="single" w:sz="4" w:space="0" w:color="auto"/>
              <w:right w:val="single" w:sz="4" w:space="0" w:color="auto"/>
            </w:tcBorders>
            <w:shd w:val="clear" w:color="auto" w:fill="auto"/>
          </w:tcPr>
          <w:p>
            <w:pPr>
              <w:pStyle w:val="FirstHeading"/>
              <w:numPr>
                <w:ilvl w:val="0"/>
                <w:numId w:val="29"/>
              </w:numPr>
              <w:tabs>
                <w:tab w:val="clear" w:pos="0"/>
                <w:tab w:val="clear" w:pos="86"/>
                <w:tab w:val="left" w:pos="2956"/>
              </w:tabs>
              <w:spacing w:before="0" w:after="0"/>
              <w:jc w:val="both"/>
              <w:rPr>
                <w:rStyle w:val="Hyperlink"/>
                <w:rFonts w:ascii="Arial" w:hAnsi="Arial" w:cs="Arial"/>
                <w:b w:val="0"/>
                <w:sz w:val="20"/>
                <w:szCs w:val="20"/>
                <w:lang w:val="es-ES"/>
              </w:rPr>
            </w:pPr>
            <w:r>
              <w:rPr>
                <w:rFonts w:ascii="Arial" w:hAnsi="Arial" w:cs="Arial"/>
                <w:b w:val="0"/>
                <w:sz w:val="20"/>
                <w:lang w:val="es-ES"/>
              </w:rPr>
              <w:t xml:space="preserve">Publicación por parte del DNP del </w:t>
            </w:r>
            <w:hyperlink r:id="rId12" w:history="1">
              <w:r>
                <w:rPr>
                  <w:rStyle w:val="Hyperlink"/>
                  <w:rFonts w:ascii="Arial" w:hAnsi="Arial" w:cs="Arial"/>
                  <w:b w:val="0"/>
                  <w:sz w:val="20"/>
                  <w:szCs w:val="20"/>
                  <w:lang w:val="es-ES"/>
                </w:rPr>
                <w:t>Documento Marco: Programa de Fortalecimiento de Capacidades en Estructuración de Proyectos a los Entes Territoriales (DNP, 2015)</w:t>
              </w:r>
            </w:hyperlink>
            <w:r>
              <w:rPr>
                <w:rStyle w:val="Hyperlink"/>
                <w:rFonts w:ascii="Arial" w:hAnsi="Arial" w:cs="Arial"/>
                <w:b w:val="0"/>
                <w:sz w:val="16"/>
                <w:szCs w:val="20"/>
                <w:u w:val="none"/>
                <w:lang w:val="es-ES"/>
              </w:rPr>
              <w:t xml:space="preserve"> </w:t>
            </w:r>
            <w:r>
              <w:rPr>
                <w:rFonts w:ascii="Arial" w:hAnsi="Arial" w:cs="Arial"/>
                <w:b w:val="0"/>
                <w:sz w:val="20"/>
                <w:lang w:val="es-ES_tradnl"/>
              </w:rPr>
              <w:t>en la página web del DNP</w:t>
            </w:r>
          </w:p>
          <w:p>
            <w:pPr>
              <w:pStyle w:val="FirstHeading"/>
              <w:numPr>
                <w:ilvl w:val="0"/>
                <w:numId w:val="29"/>
              </w:numPr>
              <w:tabs>
                <w:tab w:val="clear" w:pos="0"/>
                <w:tab w:val="clear" w:pos="86"/>
                <w:tab w:val="left" w:pos="2956"/>
              </w:tabs>
              <w:spacing w:before="0" w:after="0"/>
              <w:jc w:val="both"/>
              <w:rPr>
                <w:rFonts w:ascii="Arial" w:hAnsi="Arial" w:cs="Arial"/>
                <w:b w:val="0"/>
                <w:sz w:val="20"/>
                <w:szCs w:val="20"/>
                <w:lang w:val="es-ES"/>
              </w:rPr>
            </w:pPr>
            <w:r>
              <w:rPr>
                <w:rFonts w:ascii="Arial" w:hAnsi="Arial" w:cs="Arial"/>
                <w:b w:val="0"/>
                <w:sz w:val="20"/>
                <w:szCs w:val="20"/>
                <w:lang w:val="es-ES"/>
              </w:rPr>
              <w:t>CONPES 3885 de mayo de 2017, Contratos Plan para la Paz y el Posconflicto entre la Nación y los Departamentos de Bolívar y Sucre.</w:t>
            </w:r>
          </w:p>
        </w:tc>
        <w:tc>
          <w:tcPr>
            <w:tcW w:w="1743" w:type="dxa"/>
            <w:tcBorders>
              <w:top w:val="single" w:sz="4" w:space="0" w:color="auto"/>
              <w:left w:val="single" w:sz="4" w:space="0" w:color="auto"/>
              <w:right w:val="single" w:sz="4" w:space="0" w:color="auto"/>
            </w:tcBorders>
          </w:tcPr>
          <w:p>
            <w:pPr>
              <w:spacing w:after="0" w:line="240" w:lineRule="auto"/>
              <w:rPr>
                <w:rFonts w:ascii="Arial" w:hAnsi="Arial" w:cs="Arial"/>
                <w:sz w:val="20"/>
                <w:szCs w:val="20"/>
                <w:lang w:val="es-ES"/>
              </w:rPr>
            </w:pPr>
            <w:r>
              <w:rPr>
                <w:rFonts w:ascii="Arial" w:eastAsia="Arial,Times New Roman" w:hAnsi="Arial" w:cs="Arial"/>
                <w:sz w:val="20"/>
                <w:szCs w:val="20"/>
                <w:lang w:val="es-ES_tradnl"/>
              </w:rPr>
              <w:t>DNP</w:t>
            </w:r>
          </w:p>
        </w:tc>
      </w:tr>
      <w:tr>
        <w:trPr>
          <w:trHeight w:val="512"/>
          <w:jc w:val="center"/>
        </w:trPr>
        <w:tc>
          <w:tcPr>
            <w:tcW w:w="2991" w:type="dxa"/>
            <w:vMerge/>
            <w:shd w:val="clear" w:color="auto" w:fill="auto"/>
          </w:tcPr>
          <w:p>
            <w:pPr>
              <w:spacing w:after="0" w:line="240" w:lineRule="auto"/>
              <w:rPr>
                <w:rFonts w:ascii="Arial" w:hAnsi="Arial" w:cs="Arial"/>
                <w:sz w:val="20"/>
                <w:szCs w:val="20"/>
                <w:lang w:val="es-ES"/>
              </w:rPr>
            </w:pPr>
          </w:p>
        </w:tc>
        <w:tc>
          <w:tcPr>
            <w:tcW w:w="3844" w:type="dxa"/>
            <w:tcBorders>
              <w:right w:val="single" w:sz="4" w:space="0" w:color="auto"/>
            </w:tcBorders>
            <w:shd w:val="clear" w:color="auto" w:fill="auto"/>
          </w:tcPr>
          <w:p>
            <w:pPr>
              <w:pStyle w:val="FootnoteText"/>
              <w:keepNext w:val="0"/>
              <w:keepLines w:val="0"/>
              <w:numPr>
                <w:ilvl w:val="1"/>
                <w:numId w:val="49"/>
              </w:numPr>
              <w:spacing w:after="0"/>
              <w:ind w:left="316" w:hanging="316"/>
              <w:rPr>
                <w:rFonts w:ascii="Arial" w:hAnsi="Arial" w:cs="Arial"/>
                <w:lang w:val="es-ES"/>
              </w:rPr>
            </w:pPr>
            <w:r>
              <w:rPr>
                <w:rFonts w:ascii="Arial" w:hAnsi="Arial" w:cs="Arial"/>
                <w:lang w:val="es-ES"/>
              </w:rPr>
              <w:t>Modificación del SGR, orientando recursos del Ahorro Pensional Territorial y del Fondo de Ciencia y Tecnología para proyectos de inversión en el marco del Acuerdo Final para la Terminación del Conflicto.</w:t>
            </w:r>
          </w:p>
        </w:tc>
        <w:tc>
          <w:tcPr>
            <w:tcW w:w="3420" w:type="dxa"/>
            <w:tcBorders>
              <w:top w:val="single" w:sz="4" w:space="0" w:color="auto"/>
              <w:left w:val="single" w:sz="4" w:space="0" w:color="auto"/>
              <w:right w:val="single" w:sz="4" w:space="0" w:color="auto"/>
            </w:tcBorders>
            <w:shd w:val="clear" w:color="auto" w:fill="auto"/>
          </w:tcPr>
          <w:p>
            <w:pPr>
              <w:pStyle w:val="ListParagraph"/>
              <w:numPr>
                <w:ilvl w:val="0"/>
                <w:numId w:val="28"/>
              </w:numPr>
              <w:spacing w:after="0" w:line="240" w:lineRule="auto"/>
              <w:jc w:val="both"/>
              <w:rPr>
                <w:rFonts w:ascii="Arial" w:hAnsi="Arial" w:cs="Arial"/>
                <w:sz w:val="20"/>
                <w:szCs w:val="20"/>
                <w:lang w:val="es-ES_tradnl"/>
              </w:rPr>
            </w:pPr>
            <w:r>
              <w:rPr>
                <w:rFonts w:ascii="Arial" w:hAnsi="Arial" w:cs="Arial"/>
                <w:sz w:val="20"/>
                <w:szCs w:val="20"/>
                <w:lang w:val="es-ES"/>
              </w:rPr>
              <w:t>CONPES 3885 de mayo de 2017, Contratos Plan para la Paz y el Posconflicto entre la Nación y los Departamentos de Bolívar y Sucre.</w:t>
            </w:r>
          </w:p>
          <w:p>
            <w:pPr>
              <w:pStyle w:val="ListParagraph"/>
              <w:numPr>
                <w:ilvl w:val="0"/>
                <w:numId w:val="28"/>
              </w:numPr>
              <w:spacing w:after="0" w:line="240" w:lineRule="auto"/>
              <w:jc w:val="both"/>
              <w:rPr>
                <w:rFonts w:ascii="Arial" w:hAnsi="Arial" w:cs="Arial"/>
                <w:sz w:val="20"/>
                <w:szCs w:val="20"/>
                <w:lang w:val="es-ES_tradnl"/>
              </w:rPr>
            </w:pPr>
            <w:r>
              <w:rPr>
                <w:rFonts w:ascii="Arial" w:hAnsi="Arial" w:cs="Arial"/>
                <w:sz w:val="20"/>
                <w:szCs w:val="20"/>
                <w:lang w:val="es-ES"/>
              </w:rPr>
              <w:t>Acto Legislativo 4 del 8 de septiembre de 2017, que modifica el SGR, por el cual se adiciona el artículo 361 de la Constitución Política de Colombia.</w:t>
            </w:r>
          </w:p>
          <w:p>
            <w:pPr>
              <w:pStyle w:val="ListParagraph"/>
              <w:numPr>
                <w:ilvl w:val="0"/>
                <w:numId w:val="28"/>
              </w:numPr>
              <w:spacing w:after="0" w:line="240" w:lineRule="auto"/>
              <w:jc w:val="both"/>
              <w:rPr>
                <w:rFonts w:ascii="Arial" w:hAnsi="Arial" w:cs="Arial"/>
                <w:sz w:val="20"/>
                <w:szCs w:val="20"/>
                <w:lang w:val="es-ES_tradnl"/>
              </w:rPr>
            </w:pPr>
            <w:r>
              <w:rPr>
                <w:rFonts w:ascii="Arial" w:hAnsi="Arial" w:cs="Arial"/>
                <w:sz w:val="20"/>
                <w:szCs w:val="20"/>
                <w:lang w:val="es-ES"/>
              </w:rPr>
              <w:t>Decreto 1997 del 30 de noviembre de 2017 por el cual se regula el giro de recursos que sobrepasen el cubrimiento del pasivo pensional territorial.</w:t>
            </w:r>
          </w:p>
        </w:tc>
        <w:tc>
          <w:tcPr>
            <w:tcW w:w="1743" w:type="dxa"/>
            <w:tcBorders>
              <w:top w:val="single" w:sz="4" w:space="0" w:color="auto"/>
              <w:left w:val="single" w:sz="4" w:space="0" w:color="auto"/>
              <w:right w:val="single" w:sz="4" w:space="0" w:color="auto"/>
            </w:tcBorders>
          </w:tcPr>
          <w:p>
            <w:pPr>
              <w:spacing w:after="0" w:line="240" w:lineRule="auto"/>
              <w:rPr>
                <w:rFonts w:ascii="Arial" w:hAnsi="Arial" w:cs="Arial"/>
                <w:sz w:val="20"/>
                <w:szCs w:val="20"/>
                <w:lang w:val="es-ES_tradnl"/>
              </w:rPr>
            </w:pPr>
            <w:r>
              <w:rPr>
                <w:rFonts w:ascii="Arial" w:eastAsia="Arial,Times New Roman" w:hAnsi="Arial" w:cs="Arial"/>
                <w:sz w:val="20"/>
                <w:szCs w:val="20"/>
                <w:lang w:val="es-ES_tradnl"/>
              </w:rPr>
              <w:t>DNP y MHCP</w:t>
            </w:r>
          </w:p>
        </w:tc>
      </w:tr>
      <w:tr>
        <w:trPr>
          <w:trHeight w:val="1412"/>
          <w:jc w:val="center"/>
        </w:trPr>
        <w:tc>
          <w:tcPr>
            <w:tcW w:w="2991" w:type="dxa"/>
            <w:vMerge/>
            <w:shd w:val="clear" w:color="auto" w:fill="auto"/>
          </w:tcPr>
          <w:p>
            <w:pPr>
              <w:spacing w:after="0" w:line="240" w:lineRule="auto"/>
              <w:rPr>
                <w:rFonts w:ascii="Arial" w:hAnsi="Arial" w:cs="Arial"/>
                <w:sz w:val="20"/>
                <w:szCs w:val="20"/>
                <w:lang w:val="es-ES"/>
              </w:rPr>
            </w:pPr>
          </w:p>
        </w:tc>
        <w:tc>
          <w:tcPr>
            <w:tcW w:w="3844" w:type="dxa"/>
            <w:tcBorders>
              <w:right w:val="single" w:sz="4" w:space="0" w:color="auto"/>
            </w:tcBorders>
            <w:shd w:val="clear" w:color="auto" w:fill="auto"/>
          </w:tcPr>
          <w:p>
            <w:pPr>
              <w:pStyle w:val="FootnoteText"/>
              <w:keepNext w:val="0"/>
              <w:keepLines w:val="0"/>
              <w:numPr>
                <w:ilvl w:val="1"/>
                <w:numId w:val="49"/>
              </w:numPr>
              <w:spacing w:after="0"/>
              <w:rPr>
                <w:rFonts w:ascii="Arial" w:hAnsi="Arial" w:cs="Arial"/>
                <w:lang w:val="es-ES"/>
              </w:rPr>
            </w:pPr>
            <w:bookmarkStart w:id="16" w:name="_Hlk493785598"/>
            <w:r>
              <w:rPr>
                <w:rFonts w:ascii="Arial" w:hAnsi="Arial" w:cs="Arial"/>
                <w:lang w:val="es-ES"/>
              </w:rPr>
              <w:t xml:space="preserve">Levantamiento de la </w:t>
            </w:r>
            <w:bookmarkStart w:id="17" w:name="_Hlk493857193"/>
            <w:r>
              <w:rPr>
                <w:rFonts w:ascii="Arial" w:hAnsi="Arial" w:cs="Arial"/>
                <w:lang w:val="es-ES"/>
              </w:rPr>
              <w:t>Línea Base para la evaluación de impacto del SGR en los FDR, CR y FCTI</w:t>
            </w:r>
            <w:bookmarkEnd w:id="17"/>
            <w:r>
              <w:rPr>
                <w:rFonts w:ascii="Arial" w:hAnsi="Arial" w:cs="Arial"/>
                <w:lang w:val="es-ES"/>
              </w:rPr>
              <w:t>.</w:t>
            </w:r>
            <w:bookmarkEnd w:id="16"/>
          </w:p>
        </w:tc>
        <w:tc>
          <w:tcPr>
            <w:tcW w:w="3420" w:type="dxa"/>
            <w:tcBorders>
              <w:top w:val="single" w:sz="4" w:space="0" w:color="auto"/>
              <w:left w:val="single" w:sz="4" w:space="0" w:color="auto"/>
              <w:right w:val="single" w:sz="4" w:space="0" w:color="auto"/>
            </w:tcBorders>
            <w:shd w:val="clear" w:color="auto" w:fill="auto"/>
          </w:tcPr>
          <w:p>
            <w:pPr>
              <w:pStyle w:val="FootnoteText"/>
              <w:keepNext w:val="0"/>
              <w:keepLines w:val="0"/>
              <w:numPr>
                <w:ilvl w:val="0"/>
                <w:numId w:val="30"/>
              </w:numPr>
              <w:spacing w:after="0"/>
              <w:rPr>
                <w:rFonts w:ascii="Arial" w:hAnsi="Arial" w:cs="Arial"/>
                <w:iCs/>
                <w:lang w:val="es-CO"/>
              </w:rPr>
            </w:pPr>
            <w:r>
              <w:rPr>
                <w:rFonts w:ascii="Arial" w:hAnsi="Arial" w:cs="Arial"/>
                <w:iCs/>
                <w:lang w:val="es-ES"/>
              </w:rPr>
              <w:t xml:space="preserve">Informes publicados en la página web del DNP sobre el </w:t>
            </w:r>
            <w:r>
              <w:rPr>
                <w:rFonts w:ascii="Arial" w:hAnsi="Arial" w:cs="Arial"/>
                <w:iCs/>
                <w:lang w:val="es-ES_tradnl"/>
              </w:rPr>
              <w:t xml:space="preserve">Levantamiento y Consolidación de la </w:t>
            </w:r>
            <w:r>
              <w:rPr>
                <w:rFonts w:ascii="Arial" w:hAnsi="Arial" w:cs="Arial"/>
                <w:lang w:val="es-ES"/>
              </w:rPr>
              <w:t xml:space="preserve">Línea Base de las inversiones financiadas con recursos del </w:t>
            </w:r>
            <w:hyperlink r:id="rId13">
              <w:r>
                <w:rPr>
                  <w:rStyle w:val="Hyperlink"/>
                  <w:rFonts w:ascii="Arial" w:hAnsi="Arial" w:cs="Arial"/>
                  <w:lang w:val="es-ES"/>
                </w:rPr>
                <w:t>FDR, FCR</w:t>
              </w:r>
            </w:hyperlink>
            <w:r>
              <w:rPr>
                <w:rFonts w:ascii="Arial" w:hAnsi="Arial" w:cs="Arial"/>
                <w:lang w:val="es-ES"/>
              </w:rPr>
              <w:t xml:space="preserve"> y </w:t>
            </w:r>
            <w:hyperlink r:id="rId14">
              <w:r>
                <w:rPr>
                  <w:rStyle w:val="Hyperlink"/>
                  <w:rFonts w:ascii="Arial" w:hAnsi="Arial" w:cs="Arial"/>
                  <w:lang w:val="es-ES"/>
                </w:rPr>
                <w:t>FCTI</w:t>
              </w:r>
            </w:hyperlink>
            <w:r>
              <w:rPr>
                <w:rFonts w:ascii="Arial" w:hAnsi="Arial" w:cs="Arial"/>
                <w:iCs/>
                <w:lang w:val="es-ES_tradnl"/>
              </w:rPr>
              <w:t>.</w:t>
            </w:r>
          </w:p>
        </w:tc>
        <w:tc>
          <w:tcPr>
            <w:tcW w:w="1743" w:type="dxa"/>
            <w:tcBorders>
              <w:top w:val="single" w:sz="4" w:space="0" w:color="auto"/>
              <w:left w:val="single" w:sz="4" w:space="0" w:color="auto"/>
              <w:right w:val="single" w:sz="4" w:space="0" w:color="auto"/>
            </w:tcBorders>
          </w:tcPr>
          <w:p>
            <w:pPr>
              <w:spacing w:after="0" w:line="240" w:lineRule="auto"/>
              <w:rPr>
                <w:rFonts w:ascii="Arial" w:hAnsi="Arial" w:cs="Arial"/>
                <w:sz w:val="20"/>
                <w:szCs w:val="20"/>
                <w:lang w:val="es-ES_tradnl"/>
              </w:rPr>
            </w:pPr>
            <w:r>
              <w:rPr>
                <w:rFonts w:ascii="Arial" w:eastAsia="Arial,Times New Roman" w:hAnsi="Arial" w:cs="Arial"/>
                <w:sz w:val="20"/>
                <w:szCs w:val="20"/>
                <w:lang w:val="es-ES_tradnl"/>
              </w:rPr>
              <w:t>DNP</w:t>
            </w:r>
          </w:p>
        </w:tc>
      </w:tr>
      <w:tr>
        <w:trPr>
          <w:trHeight w:val="1670"/>
          <w:jc w:val="center"/>
        </w:trPr>
        <w:tc>
          <w:tcPr>
            <w:tcW w:w="2991" w:type="dxa"/>
            <w:vMerge/>
            <w:shd w:val="clear" w:color="auto" w:fill="auto"/>
          </w:tcPr>
          <w:p>
            <w:pPr>
              <w:spacing w:after="0" w:line="240" w:lineRule="auto"/>
              <w:rPr>
                <w:rFonts w:ascii="Arial" w:hAnsi="Arial" w:cs="Arial"/>
                <w:sz w:val="20"/>
                <w:szCs w:val="20"/>
                <w:lang w:val="es-ES"/>
              </w:rPr>
            </w:pPr>
          </w:p>
        </w:tc>
        <w:tc>
          <w:tcPr>
            <w:tcW w:w="3844" w:type="dxa"/>
            <w:tcBorders>
              <w:right w:val="single" w:sz="4" w:space="0" w:color="auto"/>
            </w:tcBorders>
            <w:shd w:val="clear" w:color="auto" w:fill="auto"/>
          </w:tcPr>
          <w:p>
            <w:pPr>
              <w:pStyle w:val="FootnoteText"/>
              <w:keepNext w:val="0"/>
              <w:keepLines w:val="0"/>
              <w:numPr>
                <w:ilvl w:val="1"/>
                <w:numId w:val="49"/>
              </w:numPr>
              <w:spacing w:after="0"/>
              <w:ind w:left="316" w:hanging="316"/>
              <w:rPr>
                <w:rFonts w:ascii="Arial" w:hAnsi="Arial" w:cs="Arial"/>
                <w:lang w:val="es-ES"/>
              </w:rPr>
            </w:pPr>
            <w:r>
              <w:rPr>
                <w:rFonts w:ascii="Arial" w:hAnsi="Arial" w:cs="Arial"/>
                <w:lang w:val="es-ES"/>
              </w:rPr>
              <w:t>Modificación al SGR con base a los resultados de la evaluación institucional y de procesos del SGR, para incorporar un sistema de evaluación por puntajes y redefinir plazos y responsabilidades en el ciclo del proyecto.</w:t>
            </w:r>
          </w:p>
        </w:tc>
        <w:tc>
          <w:tcPr>
            <w:tcW w:w="3420" w:type="dxa"/>
            <w:tcBorders>
              <w:top w:val="single" w:sz="4" w:space="0" w:color="auto"/>
              <w:left w:val="single" w:sz="4" w:space="0" w:color="auto"/>
              <w:right w:val="single" w:sz="4" w:space="0" w:color="auto"/>
            </w:tcBorders>
            <w:shd w:val="clear" w:color="auto" w:fill="auto"/>
          </w:tcPr>
          <w:p>
            <w:pPr>
              <w:pStyle w:val="FootnoteText"/>
              <w:keepNext w:val="0"/>
              <w:keepLines w:val="0"/>
              <w:numPr>
                <w:ilvl w:val="0"/>
                <w:numId w:val="31"/>
              </w:numPr>
              <w:spacing w:after="0"/>
              <w:rPr>
                <w:rFonts w:ascii="Arial" w:hAnsi="Arial" w:cs="Arial"/>
                <w:iCs/>
                <w:lang w:val="es-ES"/>
              </w:rPr>
            </w:pPr>
            <w:bookmarkStart w:id="18" w:name="_Hlk493860706"/>
            <w:r>
              <w:rPr>
                <w:rFonts w:ascii="Arial" w:hAnsi="Arial" w:cs="Arial"/>
                <w:iCs/>
                <w:lang w:val="es-ES"/>
              </w:rPr>
              <w:t xml:space="preserve">Acuerdo </w:t>
            </w:r>
            <w:r>
              <w:rPr>
                <w:rFonts w:ascii="Arial" w:hAnsi="Arial" w:cs="Arial"/>
                <w:iCs/>
                <w:lang w:val="es-CO"/>
              </w:rPr>
              <w:t xml:space="preserve">32 de 2015 de la Comisión Rectora </w:t>
            </w:r>
            <w:r>
              <w:rPr>
                <w:rFonts w:ascii="Arial" w:hAnsi="Arial" w:cs="Arial"/>
                <w:iCs/>
                <w:lang w:val="es-ES_tradnl"/>
              </w:rPr>
              <w:t xml:space="preserve">para la inclusión del </w:t>
            </w:r>
            <w:r>
              <w:rPr>
                <w:rFonts w:ascii="Arial" w:hAnsi="Arial" w:cs="Arial"/>
                <w:iCs/>
                <w:lang w:val="es-CO"/>
              </w:rPr>
              <w:t>Sistema de Evaluación por Puntajes (SEP) en el SGR.</w:t>
            </w:r>
          </w:p>
          <w:p>
            <w:pPr>
              <w:pStyle w:val="FootnoteText"/>
              <w:keepNext w:val="0"/>
              <w:keepLines w:val="0"/>
              <w:numPr>
                <w:ilvl w:val="0"/>
                <w:numId w:val="31"/>
              </w:numPr>
              <w:spacing w:after="0"/>
              <w:rPr>
                <w:rFonts w:ascii="Arial" w:hAnsi="Arial" w:cs="Arial"/>
                <w:iCs/>
                <w:lang w:val="es-ES"/>
              </w:rPr>
            </w:pPr>
            <w:r>
              <w:rPr>
                <w:rFonts w:ascii="Arial" w:hAnsi="Arial" w:cs="Arial"/>
                <w:iCs/>
                <w:lang w:val="es-CO"/>
              </w:rPr>
              <w:t>Decreto 1544 del 16 de septiembre de 2017, por el cual se modifica el Decreto 1082 de 2015, en lo relacionado al ciclo de los proyectos de inversión</w:t>
            </w:r>
            <w:bookmarkEnd w:id="18"/>
            <w:r>
              <w:rPr>
                <w:rFonts w:ascii="Arial" w:hAnsi="Arial" w:cs="Arial"/>
                <w:iCs/>
                <w:lang w:val="es-CO"/>
              </w:rPr>
              <w:t>.</w:t>
            </w:r>
          </w:p>
        </w:tc>
        <w:tc>
          <w:tcPr>
            <w:tcW w:w="1743" w:type="dxa"/>
            <w:tcBorders>
              <w:top w:val="single" w:sz="4" w:space="0" w:color="auto"/>
              <w:left w:val="single" w:sz="4" w:space="0" w:color="auto"/>
              <w:right w:val="single" w:sz="4" w:space="0" w:color="auto"/>
            </w:tcBorders>
          </w:tcPr>
          <w:p>
            <w:pPr>
              <w:spacing w:after="0" w:line="240" w:lineRule="auto"/>
              <w:rPr>
                <w:rFonts w:ascii="Arial" w:hAnsi="Arial" w:cs="Arial"/>
                <w:sz w:val="20"/>
                <w:szCs w:val="20"/>
                <w:lang w:val="es-ES_tradnl"/>
              </w:rPr>
            </w:pPr>
            <w:r>
              <w:rPr>
                <w:rFonts w:ascii="Arial" w:eastAsia="Arial,Times New Roman" w:hAnsi="Arial" w:cs="Arial"/>
                <w:sz w:val="20"/>
                <w:szCs w:val="20"/>
                <w:lang w:val="es-ES_tradnl"/>
              </w:rPr>
              <w:t>DNP</w:t>
            </w:r>
          </w:p>
        </w:tc>
      </w:tr>
      <w:tr>
        <w:trPr>
          <w:trHeight w:val="1670"/>
          <w:jc w:val="center"/>
        </w:trPr>
        <w:tc>
          <w:tcPr>
            <w:tcW w:w="2991" w:type="dxa"/>
            <w:vMerge/>
            <w:shd w:val="clear" w:color="auto" w:fill="auto"/>
          </w:tcPr>
          <w:p>
            <w:pPr>
              <w:spacing w:after="0" w:line="240" w:lineRule="auto"/>
              <w:rPr>
                <w:rFonts w:ascii="Arial" w:hAnsi="Arial" w:cs="Arial"/>
                <w:sz w:val="20"/>
                <w:szCs w:val="20"/>
                <w:lang w:val="es-ES"/>
              </w:rPr>
            </w:pPr>
          </w:p>
        </w:tc>
        <w:tc>
          <w:tcPr>
            <w:tcW w:w="3844" w:type="dxa"/>
            <w:tcBorders>
              <w:right w:val="single" w:sz="4" w:space="0" w:color="auto"/>
            </w:tcBorders>
            <w:shd w:val="clear" w:color="auto" w:fill="auto"/>
          </w:tcPr>
          <w:p>
            <w:pPr>
              <w:pStyle w:val="FootnoteText"/>
              <w:keepNext w:val="0"/>
              <w:keepLines w:val="0"/>
              <w:numPr>
                <w:ilvl w:val="1"/>
                <w:numId w:val="49"/>
              </w:numPr>
              <w:spacing w:after="0"/>
              <w:ind w:left="316" w:hanging="316"/>
              <w:rPr>
                <w:rFonts w:ascii="Arial" w:hAnsi="Arial" w:cs="Arial"/>
                <w:lang w:val="es-ES"/>
              </w:rPr>
            </w:pPr>
            <w:r>
              <w:rPr>
                <w:rFonts w:ascii="Arial" w:hAnsi="Arial" w:cs="Arial"/>
                <w:lang w:val="es-ES"/>
              </w:rPr>
              <w:t>Lanzamiento del SECOP II y firma de 5 nuevos acuerdos marco de precios, vinculando almacenes de grandes superficies a la Tienda Virtual del Estado (plataforma para los acuerdos marco).</w:t>
            </w:r>
          </w:p>
        </w:tc>
        <w:tc>
          <w:tcPr>
            <w:tcW w:w="3420" w:type="dxa"/>
            <w:tcBorders>
              <w:top w:val="single" w:sz="4" w:space="0" w:color="auto"/>
              <w:left w:val="single" w:sz="4" w:space="0" w:color="auto"/>
              <w:right w:val="single" w:sz="4" w:space="0" w:color="auto"/>
            </w:tcBorders>
            <w:shd w:val="clear" w:color="auto" w:fill="auto"/>
          </w:tcPr>
          <w:p>
            <w:pPr>
              <w:pStyle w:val="FootnoteText"/>
              <w:keepNext w:val="0"/>
              <w:keepLines w:val="0"/>
              <w:numPr>
                <w:ilvl w:val="0"/>
                <w:numId w:val="32"/>
              </w:numPr>
              <w:spacing w:after="0"/>
              <w:rPr>
                <w:rStyle w:val="Hyperlink"/>
                <w:rFonts w:ascii="Arial" w:hAnsi="Arial" w:cs="Arial"/>
                <w:iCs/>
                <w:color w:val="auto"/>
                <w:u w:val="none"/>
                <w:lang w:val="es-ES"/>
              </w:rPr>
            </w:pPr>
            <w:r>
              <w:rPr>
                <w:rFonts w:ascii="Arial" w:hAnsi="Arial" w:cs="Arial"/>
                <w:lang w:val="es-ES"/>
              </w:rPr>
              <w:t xml:space="preserve">Informe de Gestión 2017 de </w:t>
            </w:r>
            <w:hyperlink r:id="rId15">
              <w:r>
                <w:rPr>
                  <w:rStyle w:val="Hyperlink"/>
                  <w:rFonts w:ascii="Arial" w:hAnsi="Arial" w:cs="Arial"/>
                  <w:lang w:val="es-ES"/>
                </w:rPr>
                <w:t xml:space="preserve"> Colombia Compra Eficiente especificando los procesos de contratación pública </w:t>
              </w:r>
            </w:hyperlink>
            <w:r>
              <w:rPr>
                <w:rFonts w:ascii="Arial" w:hAnsi="Arial" w:cs="Arial"/>
                <w:lang w:val="es-ES"/>
              </w:rPr>
              <w:t xml:space="preserve"> a través de la plataforma SECOP II, publicado en la página web de la entidad</w:t>
            </w:r>
          </w:p>
          <w:p>
            <w:pPr>
              <w:pStyle w:val="FootnoteText"/>
              <w:keepNext w:val="0"/>
              <w:keepLines w:val="0"/>
              <w:numPr>
                <w:ilvl w:val="0"/>
                <w:numId w:val="32"/>
              </w:numPr>
              <w:spacing w:after="0"/>
              <w:rPr>
                <w:rFonts w:ascii="Arial" w:hAnsi="Arial" w:cs="Arial"/>
                <w:iCs/>
                <w:lang w:val="es-ES"/>
              </w:rPr>
            </w:pPr>
            <w:hyperlink r:id="rId16" w:history="1">
              <w:r>
                <w:rPr>
                  <w:rStyle w:val="Hyperlink"/>
                  <w:rFonts w:ascii="Arial" w:hAnsi="Arial" w:cs="Arial"/>
                  <w:lang w:val="es-ES"/>
                </w:rPr>
                <w:t>Cinco Acuerdos Marco de Precios publicados</w:t>
              </w:r>
            </w:hyperlink>
            <w:r>
              <w:rPr>
                <w:rStyle w:val="Hyperlink"/>
                <w:rFonts w:ascii="Arial" w:hAnsi="Arial" w:cs="Arial"/>
                <w:color w:val="auto"/>
                <w:u w:val="none"/>
                <w:lang w:val="es-ES"/>
              </w:rPr>
              <w:t xml:space="preserve"> en la página web de Colombia Compra Eficiente</w:t>
            </w:r>
            <w:r>
              <w:rPr>
                <w:rFonts w:ascii="Arial" w:hAnsi="Arial" w:cs="Arial"/>
                <w:lang w:val="es-ES"/>
              </w:rPr>
              <w:t>.</w:t>
            </w:r>
          </w:p>
        </w:tc>
        <w:tc>
          <w:tcPr>
            <w:tcW w:w="1743" w:type="dxa"/>
            <w:tcBorders>
              <w:top w:val="single" w:sz="4" w:space="0" w:color="auto"/>
              <w:left w:val="single" w:sz="4" w:space="0" w:color="auto"/>
              <w:right w:val="single" w:sz="4" w:space="0" w:color="auto"/>
            </w:tcBorders>
          </w:tcPr>
          <w:p>
            <w:pPr>
              <w:spacing w:after="0" w:line="240" w:lineRule="auto"/>
              <w:rPr>
                <w:rFonts w:ascii="Arial" w:hAnsi="Arial" w:cs="Arial"/>
                <w:sz w:val="20"/>
                <w:szCs w:val="20"/>
                <w:lang w:val="es-ES_tradnl"/>
              </w:rPr>
            </w:pPr>
            <w:r>
              <w:rPr>
                <w:rFonts w:ascii="Arial" w:hAnsi="Arial" w:cs="Arial"/>
                <w:sz w:val="20"/>
                <w:szCs w:val="20"/>
                <w:lang w:val="es-ES_tradnl"/>
              </w:rPr>
              <w:t>Agencia Nacional de Compras Públicas – Colombia Compra Eficiente</w:t>
            </w:r>
          </w:p>
        </w:tc>
      </w:tr>
      <w:tr>
        <w:trPr>
          <w:jc w:val="center"/>
        </w:trPr>
        <w:tc>
          <w:tcPr>
            <w:tcW w:w="11998" w:type="dxa"/>
            <w:gridSpan w:val="4"/>
            <w:shd w:val="clear" w:color="auto" w:fill="BFBFBF" w:themeFill="background1" w:themeFillShade="BF"/>
          </w:tcPr>
          <w:p>
            <w:pPr>
              <w:spacing w:after="0" w:line="240" w:lineRule="auto"/>
              <w:rPr>
                <w:rFonts w:ascii="Arial" w:eastAsia="Arial" w:hAnsi="Arial" w:cs="Arial"/>
                <w:b/>
                <w:bCs/>
                <w:sz w:val="20"/>
                <w:szCs w:val="20"/>
                <w:lang w:val="es-ES_tradnl"/>
              </w:rPr>
            </w:pPr>
            <w:r>
              <w:rPr>
                <w:rFonts w:ascii="Arial" w:eastAsia="Arial,Times New Roman" w:hAnsi="Arial" w:cs="Arial"/>
                <w:b/>
                <w:bCs/>
                <w:color w:val="000000" w:themeColor="text1"/>
                <w:sz w:val="20"/>
                <w:szCs w:val="20"/>
                <w:lang w:val="es-ES_tradnl"/>
              </w:rPr>
              <w:t>Componente IV: Mejorar la gestión de la deuda pública y los pasivos contingentes</w:t>
            </w:r>
          </w:p>
        </w:tc>
      </w:tr>
      <w:tr>
        <w:trPr>
          <w:trHeight w:val="908"/>
          <w:jc w:val="center"/>
        </w:trPr>
        <w:tc>
          <w:tcPr>
            <w:tcW w:w="2991" w:type="dxa"/>
            <w:vMerge w:val="restart"/>
            <w:shd w:val="clear" w:color="auto" w:fill="auto"/>
          </w:tcPr>
          <w:p>
            <w:pPr>
              <w:spacing w:after="0" w:line="240" w:lineRule="auto"/>
              <w:rPr>
                <w:rFonts w:ascii="Arial" w:eastAsia="Arial" w:hAnsi="Arial" w:cs="Arial"/>
                <w:sz w:val="20"/>
                <w:szCs w:val="20"/>
                <w:lang w:val="es-ES_tradnl"/>
              </w:rPr>
            </w:pPr>
            <w:r>
              <w:rPr>
                <w:rFonts w:ascii="Arial" w:hAnsi="Arial" w:cs="Arial"/>
                <w:sz w:val="20"/>
                <w:szCs w:val="20"/>
                <w:lang w:val="es-ES"/>
              </w:rPr>
              <w:t>Reducir la vulnerabilidad de las finanzas públicas.</w:t>
            </w:r>
          </w:p>
        </w:tc>
        <w:tc>
          <w:tcPr>
            <w:tcW w:w="3844" w:type="dxa"/>
            <w:tcBorders>
              <w:right w:val="single" w:sz="4" w:space="0" w:color="auto"/>
            </w:tcBorders>
            <w:shd w:val="clear" w:color="auto" w:fill="auto"/>
          </w:tcPr>
          <w:p>
            <w:pPr>
              <w:pStyle w:val="FootnoteText"/>
              <w:keepNext w:val="0"/>
              <w:keepLines w:val="0"/>
              <w:numPr>
                <w:ilvl w:val="1"/>
                <w:numId w:val="50"/>
              </w:numPr>
              <w:spacing w:after="0"/>
              <w:rPr>
                <w:rFonts w:ascii="Arial" w:eastAsia="Arial,Times New Roman" w:hAnsi="Arial" w:cs="Arial"/>
                <w:lang w:val="es-ES_tradnl"/>
              </w:rPr>
            </w:pPr>
            <w:bookmarkStart w:id="19" w:name="_Hlk493863004"/>
            <w:bookmarkStart w:id="20" w:name="_Hlk493863118"/>
            <w:r>
              <w:rPr>
                <w:rFonts w:ascii="Arial" w:hAnsi="Arial" w:cs="Arial"/>
                <w:iCs/>
                <w:lang w:val="es-ES"/>
              </w:rPr>
              <w:t>Nueva Estrategia de Gestión de Deud</w:t>
            </w:r>
            <w:bookmarkEnd w:id="19"/>
            <w:r>
              <w:rPr>
                <w:rFonts w:ascii="Arial" w:hAnsi="Arial" w:cs="Arial"/>
                <w:iCs/>
                <w:lang w:val="es-ES"/>
              </w:rPr>
              <w:t>a</w:t>
            </w:r>
            <w:bookmarkEnd w:id="20"/>
            <w:r>
              <w:rPr>
                <w:rFonts w:ascii="Arial" w:hAnsi="Arial" w:cs="Arial"/>
                <w:iCs/>
                <w:lang w:val="es-ES"/>
              </w:rPr>
              <w:t>, orientada al aumento de la vida media, la reducción del costo y la minimización de la exposición al riesgo, en ejecución.</w:t>
            </w:r>
          </w:p>
        </w:tc>
        <w:tc>
          <w:tcPr>
            <w:tcW w:w="3420" w:type="dxa"/>
            <w:tcBorders>
              <w:top w:val="single" w:sz="4" w:space="0" w:color="auto"/>
              <w:left w:val="single" w:sz="4" w:space="0" w:color="auto"/>
              <w:bottom w:val="single" w:sz="4" w:space="0" w:color="auto"/>
              <w:right w:val="single" w:sz="4" w:space="0" w:color="auto"/>
            </w:tcBorders>
            <w:shd w:val="clear" w:color="auto" w:fill="auto"/>
          </w:tcPr>
          <w:p>
            <w:pPr>
              <w:pStyle w:val="Subheading2"/>
              <w:numPr>
                <w:ilvl w:val="0"/>
                <w:numId w:val="34"/>
              </w:numPr>
              <w:spacing w:before="0" w:after="0"/>
              <w:ind w:left="440"/>
              <w:jc w:val="both"/>
              <w:rPr>
                <w:rFonts w:ascii="Arial" w:hAnsi="Arial" w:cs="Arial"/>
                <w:b w:val="0"/>
                <w:sz w:val="20"/>
                <w:szCs w:val="20"/>
                <w:lang w:val="es-ES_tradnl"/>
              </w:rPr>
            </w:pPr>
            <w:r>
              <w:rPr>
                <w:rFonts w:ascii="Arial" w:hAnsi="Arial" w:cs="Arial"/>
                <w:b w:val="0"/>
                <w:sz w:val="20"/>
                <w:szCs w:val="20"/>
                <w:lang w:val="es-ES"/>
              </w:rPr>
              <w:t>Informe elaborado por la Dirección de Crédito Público y Tesoro Nacional del MHCP, enviado al Banco, explicando los logros y avances obtenidos en materia de gestión de deuda, a partir de la implementación de la Nueva Estrategia de Gestión de Deuda.</w:t>
            </w:r>
          </w:p>
        </w:tc>
        <w:tc>
          <w:tcPr>
            <w:tcW w:w="1743"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0"/>
                <w:szCs w:val="20"/>
                <w:lang w:val="es-ES_tradnl"/>
              </w:rPr>
            </w:pPr>
            <w:r>
              <w:rPr>
                <w:rFonts w:ascii="Arial" w:eastAsia="Arial,Times New Roman" w:hAnsi="Arial" w:cs="Arial"/>
                <w:sz w:val="20"/>
                <w:szCs w:val="20"/>
                <w:lang w:val="es-ES_tradnl"/>
              </w:rPr>
              <w:t>MHCP</w:t>
            </w:r>
          </w:p>
        </w:tc>
      </w:tr>
      <w:tr>
        <w:trPr>
          <w:trHeight w:val="908"/>
          <w:jc w:val="center"/>
        </w:trPr>
        <w:tc>
          <w:tcPr>
            <w:tcW w:w="2991" w:type="dxa"/>
            <w:vMerge/>
            <w:shd w:val="clear" w:color="auto" w:fill="auto"/>
          </w:tcPr>
          <w:p>
            <w:pPr>
              <w:spacing w:after="0" w:line="240" w:lineRule="auto"/>
              <w:rPr>
                <w:rFonts w:ascii="Arial" w:eastAsia="Arial" w:hAnsi="Arial" w:cs="Arial"/>
                <w:sz w:val="20"/>
                <w:szCs w:val="20"/>
                <w:lang w:val="es-ES_tradnl"/>
              </w:rPr>
            </w:pPr>
          </w:p>
        </w:tc>
        <w:tc>
          <w:tcPr>
            <w:tcW w:w="3844" w:type="dxa"/>
            <w:tcBorders>
              <w:right w:val="single" w:sz="4" w:space="0" w:color="auto"/>
            </w:tcBorders>
            <w:shd w:val="clear" w:color="auto" w:fill="auto"/>
          </w:tcPr>
          <w:p>
            <w:pPr>
              <w:pStyle w:val="FootnoteText"/>
              <w:keepNext w:val="0"/>
              <w:keepLines w:val="0"/>
              <w:numPr>
                <w:ilvl w:val="1"/>
                <w:numId w:val="50"/>
              </w:numPr>
              <w:spacing w:after="0"/>
              <w:rPr>
                <w:rFonts w:ascii="Arial" w:eastAsia="Arial,Times New Roman" w:hAnsi="Arial" w:cs="Arial"/>
                <w:lang w:val="es-ES_tradnl"/>
              </w:rPr>
            </w:pPr>
            <w:r>
              <w:rPr>
                <w:rFonts w:ascii="Arial" w:hAnsi="Arial" w:cs="Arial"/>
                <w:lang w:val="es-ES"/>
              </w:rPr>
              <w:t>Contratos de APP firmados posteriormente a la adopción del Contrato Marco cumplen con las medidas de mitigación de riesgo establecidas en el mismo.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pPr>
              <w:pStyle w:val="Subheading2"/>
              <w:numPr>
                <w:ilvl w:val="0"/>
                <w:numId w:val="35"/>
              </w:numPr>
              <w:spacing w:before="0" w:after="0"/>
              <w:jc w:val="both"/>
              <w:rPr>
                <w:rFonts w:ascii="Arial" w:hAnsi="Arial" w:cs="Arial"/>
                <w:b w:val="0"/>
                <w:sz w:val="20"/>
                <w:szCs w:val="20"/>
                <w:lang w:val="es-ES_tradnl"/>
              </w:rPr>
            </w:pPr>
            <w:r>
              <w:rPr>
                <w:rFonts w:ascii="Arial" w:hAnsi="Arial" w:cs="Arial"/>
                <w:b w:val="0"/>
                <w:sz w:val="20"/>
                <w:szCs w:val="20"/>
                <w:lang w:val="es-ES"/>
              </w:rPr>
              <w:t>Contratos de APP firmados posteriormente a la adopción del contrato marco.</w:t>
            </w:r>
          </w:p>
        </w:tc>
        <w:tc>
          <w:tcPr>
            <w:tcW w:w="1743"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0"/>
                <w:szCs w:val="20"/>
                <w:lang w:val="es-ES_tradnl"/>
              </w:rPr>
            </w:pPr>
            <w:r>
              <w:rPr>
                <w:rFonts w:ascii="Arial" w:eastAsia="Arial,Times New Roman" w:hAnsi="Arial" w:cs="Arial"/>
                <w:sz w:val="20"/>
                <w:szCs w:val="20"/>
                <w:lang w:val="es-ES_tradnl"/>
              </w:rPr>
              <w:t>MHCP</w:t>
            </w:r>
          </w:p>
        </w:tc>
      </w:tr>
      <w:tr>
        <w:trPr>
          <w:trHeight w:val="512"/>
          <w:jc w:val="center"/>
        </w:trPr>
        <w:tc>
          <w:tcPr>
            <w:tcW w:w="2991" w:type="dxa"/>
            <w:vMerge/>
            <w:shd w:val="clear" w:color="auto" w:fill="auto"/>
          </w:tcPr>
          <w:p>
            <w:pPr>
              <w:spacing w:after="0" w:line="240" w:lineRule="auto"/>
              <w:rPr>
                <w:rFonts w:ascii="Arial" w:eastAsia="Arial" w:hAnsi="Arial" w:cs="Arial"/>
                <w:sz w:val="20"/>
                <w:szCs w:val="20"/>
                <w:lang w:val="es-ES_tradnl"/>
              </w:rPr>
            </w:pPr>
          </w:p>
        </w:tc>
        <w:tc>
          <w:tcPr>
            <w:tcW w:w="3844" w:type="dxa"/>
            <w:tcBorders>
              <w:right w:val="single" w:sz="4" w:space="0" w:color="auto"/>
            </w:tcBorders>
            <w:shd w:val="clear" w:color="auto" w:fill="auto"/>
          </w:tcPr>
          <w:p>
            <w:pPr>
              <w:pStyle w:val="FootnoteText"/>
              <w:keepNext w:val="0"/>
              <w:keepLines w:val="0"/>
              <w:numPr>
                <w:ilvl w:val="1"/>
                <w:numId w:val="50"/>
              </w:numPr>
              <w:spacing w:after="0"/>
              <w:ind w:left="327" w:hanging="327"/>
              <w:rPr>
                <w:rFonts w:ascii="Arial" w:eastAsia="Arial,Times New Roman" w:hAnsi="Arial" w:cs="Arial"/>
                <w:lang w:val="es-ES_tradnl"/>
              </w:rPr>
            </w:pPr>
            <w:r>
              <w:rPr>
                <w:rFonts w:ascii="Arial" w:hAnsi="Arial" w:cs="Arial"/>
                <w:lang w:val="es-ES"/>
              </w:rPr>
              <w:t>Subdirección de APP para institucionalizar el proceso de elaboración y aprobación de APP en pleno funcionamiento.</w:t>
            </w:r>
          </w:p>
        </w:tc>
        <w:tc>
          <w:tcPr>
            <w:tcW w:w="3420" w:type="dxa"/>
            <w:tcBorders>
              <w:top w:val="single" w:sz="4" w:space="0" w:color="auto"/>
              <w:left w:val="single" w:sz="4" w:space="0" w:color="auto"/>
              <w:bottom w:val="single" w:sz="4" w:space="0" w:color="auto"/>
              <w:right w:val="single" w:sz="4" w:space="0" w:color="auto"/>
            </w:tcBorders>
            <w:shd w:val="clear" w:color="auto" w:fill="auto"/>
          </w:tcPr>
          <w:p>
            <w:pPr>
              <w:pStyle w:val="Subheading2"/>
              <w:numPr>
                <w:ilvl w:val="0"/>
                <w:numId w:val="36"/>
              </w:numPr>
              <w:spacing w:before="0" w:after="0"/>
              <w:jc w:val="both"/>
              <w:rPr>
                <w:rFonts w:ascii="Arial" w:hAnsi="Arial" w:cs="Arial"/>
                <w:b w:val="0"/>
                <w:sz w:val="20"/>
                <w:szCs w:val="20"/>
                <w:lang w:val="es-ES_tradnl"/>
              </w:rPr>
            </w:pPr>
            <w:r>
              <w:rPr>
                <w:rFonts w:ascii="Arial" w:hAnsi="Arial" w:cs="Arial"/>
                <w:b w:val="0"/>
                <w:sz w:val="20"/>
                <w:szCs w:val="20"/>
                <w:lang w:val="es-ES"/>
              </w:rPr>
              <w:t>Certificación de Recursos Humanos sobre la planta de personal y presupuesto asignado a</w:t>
            </w:r>
            <w:r>
              <w:rPr>
                <w:rFonts w:ascii="Arial" w:hAnsi="Arial" w:cs="Arial"/>
                <w:b w:val="0"/>
                <w:sz w:val="20"/>
                <w:szCs w:val="20"/>
                <w:lang w:val="es-ES_tradnl"/>
              </w:rPr>
              <w:t xml:space="preserve"> la Subdirección de APP en la vigencia presupuestaria de 2017.</w:t>
            </w:r>
          </w:p>
        </w:tc>
        <w:tc>
          <w:tcPr>
            <w:tcW w:w="1743"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0"/>
                <w:szCs w:val="20"/>
                <w:lang w:val="es-ES_tradnl"/>
              </w:rPr>
            </w:pPr>
            <w:r>
              <w:rPr>
                <w:rFonts w:ascii="Arial" w:eastAsia="Arial,Times New Roman" w:hAnsi="Arial" w:cs="Arial"/>
                <w:sz w:val="20"/>
                <w:szCs w:val="20"/>
                <w:lang w:val="es-ES_tradnl"/>
              </w:rPr>
              <w:t>MHCP</w:t>
            </w:r>
          </w:p>
        </w:tc>
      </w:tr>
      <w:tr>
        <w:trPr>
          <w:trHeight w:val="908"/>
          <w:jc w:val="center"/>
        </w:trPr>
        <w:tc>
          <w:tcPr>
            <w:tcW w:w="2991" w:type="dxa"/>
            <w:vMerge/>
            <w:shd w:val="clear" w:color="auto" w:fill="auto"/>
          </w:tcPr>
          <w:p>
            <w:pPr>
              <w:spacing w:after="0" w:line="240" w:lineRule="auto"/>
              <w:rPr>
                <w:rFonts w:ascii="Arial" w:eastAsia="Arial" w:hAnsi="Arial" w:cs="Arial"/>
                <w:sz w:val="20"/>
                <w:szCs w:val="20"/>
                <w:lang w:val="es-ES_tradnl"/>
              </w:rPr>
            </w:pPr>
          </w:p>
        </w:tc>
        <w:tc>
          <w:tcPr>
            <w:tcW w:w="3844" w:type="dxa"/>
            <w:tcBorders>
              <w:right w:val="single" w:sz="4" w:space="0" w:color="auto"/>
            </w:tcBorders>
            <w:shd w:val="clear" w:color="auto" w:fill="auto"/>
          </w:tcPr>
          <w:p>
            <w:pPr>
              <w:pStyle w:val="FootnoteText"/>
              <w:keepNext w:val="0"/>
              <w:keepLines w:val="0"/>
              <w:numPr>
                <w:ilvl w:val="1"/>
                <w:numId w:val="50"/>
              </w:numPr>
              <w:spacing w:after="0"/>
              <w:ind w:left="327" w:hanging="327"/>
              <w:rPr>
                <w:rFonts w:ascii="Arial" w:eastAsia="Arial,Times New Roman" w:hAnsi="Arial" w:cs="Arial"/>
                <w:lang w:val="es-ES_tradnl"/>
              </w:rPr>
            </w:pPr>
            <w:bookmarkStart w:id="21" w:name="_Hlk493864503"/>
            <w:r>
              <w:rPr>
                <w:rFonts w:ascii="Arial" w:hAnsi="Arial" w:cs="Arial"/>
                <w:lang w:val="es-ES"/>
              </w:rPr>
              <w:t>Estrategia de política de gestión financiera pública, que incluya identificación de riesgos, diseño de instrumentos financieros y aseguramiento de activos públicos, para mitigar los riesgos fiscales por desastres naturales</w:t>
            </w:r>
            <w:bookmarkEnd w:id="21"/>
            <w:r>
              <w:rPr>
                <w:rFonts w:ascii="Arial" w:hAnsi="Arial" w:cs="Arial"/>
                <w:lang w:val="es-ES"/>
              </w:rPr>
              <w:t xml:space="preserve"> implementada.</w:t>
            </w:r>
          </w:p>
        </w:tc>
        <w:tc>
          <w:tcPr>
            <w:tcW w:w="3420" w:type="dxa"/>
            <w:tcBorders>
              <w:top w:val="single" w:sz="4" w:space="0" w:color="auto"/>
              <w:left w:val="single" w:sz="4" w:space="0" w:color="auto"/>
              <w:bottom w:val="single" w:sz="4" w:space="0" w:color="auto"/>
              <w:right w:val="single" w:sz="4" w:space="0" w:color="auto"/>
            </w:tcBorders>
            <w:shd w:val="clear" w:color="auto" w:fill="auto"/>
          </w:tcPr>
          <w:p>
            <w:pPr>
              <w:pStyle w:val="Subheading2"/>
              <w:numPr>
                <w:ilvl w:val="0"/>
                <w:numId w:val="37"/>
              </w:numPr>
              <w:spacing w:before="0" w:after="0"/>
              <w:jc w:val="both"/>
              <w:rPr>
                <w:rFonts w:ascii="Arial" w:hAnsi="Arial" w:cs="Arial"/>
                <w:b w:val="0"/>
                <w:sz w:val="20"/>
                <w:szCs w:val="20"/>
                <w:lang w:val="es-ES_tradnl"/>
              </w:rPr>
            </w:pPr>
            <w:r>
              <w:rPr>
                <w:rFonts w:ascii="Arial" w:hAnsi="Arial" w:cs="Arial"/>
                <w:b w:val="0"/>
                <w:sz w:val="20"/>
                <w:szCs w:val="20"/>
                <w:lang w:val="es-ES"/>
              </w:rPr>
              <w:t>Informe elaborado por la Dirección de Crédito Público y Tesoro Nacional del MHCP, enviado al Banco, explicando los avances en la implementación de la estrategia de gestión financiera del gobierno nacional para la mitigación de riesgos fiscales por desastres naturales;</w:t>
            </w:r>
          </w:p>
          <w:p>
            <w:pPr>
              <w:pStyle w:val="Subheading2"/>
              <w:numPr>
                <w:ilvl w:val="0"/>
                <w:numId w:val="37"/>
              </w:numPr>
              <w:spacing w:before="0" w:after="0"/>
              <w:jc w:val="both"/>
              <w:rPr>
                <w:rFonts w:ascii="Arial" w:hAnsi="Arial" w:cs="Arial"/>
                <w:b w:val="0"/>
                <w:sz w:val="20"/>
                <w:szCs w:val="20"/>
                <w:lang w:val="es-ES_tradnl"/>
              </w:rPr>
            </w:pPr>
            <w:hyperlink r:id="rId17" w:history="1">
              <w:r>
                <w:rPr>
                  <w:rStyle w:val="Hyperlink"/>
                  <w:rFonts w:ascii="Arial" w:hAnsi="Arial" w:cs="Arial"/>
                  <w:b w:val="0"/>
                  <w:sz w:val="20"/>
                  <w:szCs w:val="20"/>
                  <w:lang w:val="es-ES"/>
                </w:rPr>
                <w:t>Publicación sobre Instrumentos de Planificación para la Gestión de Desastres en la página web de la Unidad Nacional para la Gestión del Riesgo de Desastres</w:t>
              </w:r>
            </w:hyperlink>
            <w:r>
              <w:rPr>
                <w:rFonts w:ascii="Arial" w:hAnsi="Arial" w:cs="Arial"/>
                <w:b w:val="0"/>
                <w:sz w:val="20"/>
                <w:szCs w:val="20"/>
                <w:lang w:val="es-ES"/>
              </w:rPr>
              <w:t xml:space="preserve"> (2016).</w:t>
            </w:r>
          </w:p>
          <w:bookmarkStart w:id="22" w:name="_Hlk493864607"/>
          <w:p>
            <w:pPr>
              <w:pStyle w:val="Subheading2"/>
              <w:numPr>
                <w:ilvl w:val="0"/>
                <w:numId w:val="37"/>
              </w:numPr>
              <w:spacing w:before="0" w:after="0"/>
              <w:jc w:val="both"/>
              <w:rPr>
                <w:rFonts w:ascii="Arial" w:hAnsi="Arial" w:cs="Arial"/>
                <w:b w:val="0"/>
                <w:sz w:val="20"/>
                <w:szCs w:val="20"/>
                <w:lang w:val="es-ES_tradnl"/>
              </w:rPr>
            </w:pPr>
            <w:r>
              <w:rPr>
                <w:rFonts w:ascii="Arial" w:hAnsi="Arial" w:cs="Arial"/>
                <w:b w:val="0"/>
                <w:sz w:val="20"/>
                <w:szCs w:val="20"/>
                <w:lang w:val="es-ES"/>
              </w:rPr>
              <w:fldChar w:fldCharType="begin"/>
            </w:r>
            <w:r>
              <w:rPr>
                <w:rFonts w:ascii="Arial" w:hAnsi="Arial" w:cs="Arial"/>
                <w:b w:val="0"/>
                <w:sz w:val="20"/>
                <w:szCs w:val="20"/>
                <w:lang w:val="es-ES"/>
              </w:rPr>
              <w:instrText xml:space="preserve"> HYPERLINK "http://repositorio.gestiondelriesgo.gov.co/handle/20.500.11762/20604" </w:instrText>
            </w:r>
            <w:r>
              <w:rPr>
                <w:rFonts w:ascii="Arial" w:hAnsi="Arial" w:cs="Arial"/>
                <w:b w:val="0"/>
                <w:sz w:val="20"/>
                <w:szCs w:val="20"/>
                <w:lang w:val="es-ES"/>
              </w:rPr>
              <w:fldChar w:fldCharType="separate"/>
            </w:r>
            <w:r>
              <w:rPr>
                <w:rStyle w:val="Hyperlink"/>
                <w:rFonts w:ascii="Arial" w:hAnsi="Arial" w:cs="Arial"/>
                <w:b w:val="0"/>
                <w:sz w:val="20"/>
                <w:szCs w:val="20"/>
                <w:lang w:val="es-ES"/>
              </w:rPr>
              <w:t xml:space="preserve">Guía para el aseguramiento de los bienes inmuebles </w:t>
            </w:r>
            <w:r>
              <w:rPr>
                <w:rStyle w:val="Hyperlink"/>
                <w:rFonts w:ascii="Arial" w:hAnsi="Arial" w:cs="Arial"/>
                <w:b w:val="0"/>
                <w:sz w:val="20"/>
                <w:szCs w:val="20"/>
                <w:lang w:val="es-CO"/>
              </w:rPr>
              <w:t>públicos</w:t>
            </w:r>
            <w:r>
              <w:rPr>
                <w:rStyle w:val="Hyperlink"/>
                <w:rFonts w:ascii="Arial" w:hAnsi="Arial" w:cs="Arial"/>
                <w:b w:val="0"/>
                <w:sz w:val="20"/>
                <w:szCs w:val="20"/>
                <w:lang w:val="es-ES"/>
              </w:rPr>
              <w:t xml:space="preserve"> ante la ocurrencia de desastres por fenómenos de la naturaleza</w:t>
            </w:r>
            <w:r>
              <w:rPr>
                <w:rFonts w:ascii="Arial" w:hAnsi="Arial" w:cs="Arial"/>
                <w:b w:val="0"/>
                <w:sz w:val="20"/>
                <w:szCs w:val="20"/>
                <w:lang w:val="es-ES"/>
              </w:rPr>
              <w:fldChar w:fldCharType="end"/>
            </w:r>
            <w:r>
              <w:rPr>
                <w:rFonts w:ascii="Arial" w:hAnsi="Arial" w:cs="Arial"/>
                <w:b w:val="0"/>
                <w:sz w:val="20"/>
                <w:szCs w:val="20"/>
                <w:lang w:val="es-ES"/>
              </w:rPr>
              <w:t xml:space="preserve"> publicada en la web (2016)</w:t>
            </w:r>
            <w:bookmarkEnd w:id="22"/>
            <w:r>
              <w:rPr>
                <w:rFonts w:ascii="Arial" w:hAnsi="Arial" w:cs="Arial"/>
                <w:b w:val="0"/>
                <w:sz w:val="20"/>
                <w:szCs w:val="20"/>
                <w:lang w:val="es-ES"/>
              </w:rPr>
              <w:t>.</w:t>
            </w:r>
          </w:p>
          <w:p>
            <w:pPr>
              <w:pStyle w:val="Subheading2"/>
              <w:numPr>
                <w:ilvl w:val="0"/>
                <w:numId w:val="37"/>
              </w:numPr>
              <w:spacing w:before="0" w:after="0"/>
              <w:jc w:val="both"/>
              <w:rPr>
                <w:rFonts w:ascii="Arial" w:hAnsi="Arial" w:cs="Arial"/>
                <w:b w:val="0"/>
                <w:sz w:val="20"/>
                <w:szCs w:val="20"/>
                <w:lang w:val="es-ES_tradnl"/>
              </w:rPr>
            </w:pPr>
            <w:hyperlink r:id="rId18" w:history="1">
              <w:r>
                <w:rPr>
                  <w:rStyle w:val="Hyperlink"/>
                  <w:rFonts w:ascii="Arial" w:hAnsi="Arial" w:cs="Arial"/>
                  <w:b w:val="0"/>
                  <w:sz w:val="20"/>
                  <w:szCs w:val="20"/>
                  <w:lang w:val="es-ES"/>
                </w:rPr>
                <w:t>Acuerdo marco de intermediario de seguros (octubre 2017)</w:t>
              </w:r>
            </w:hyperlink>
            <w:r>
              <w:rPr>
                <w:rFonts w:ascii="Arial" w:hAnsi="Arial" w:cs="Arial"/>
                <w:b w:val="0"/>
                <w:sz w:val="20"/>
                <w:szCs w:val="20"/>
                <w:lang w:val="es-ES"/>
              </w:rPr>
              <w:t>.</w:t>
            </w:r>
          </w:p>
        </w:tc>
        <w:tc>
          <w:tcPr>
            <w:tcW w:w="1743"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0"/>
                <w:szCs w:val="20"/>
                <w:lang w:val="es-ES_tradnl"/>
              </w:rPr>
            </w:pPr>
            <w:r>
              <w:rPr>
                <w:rFonts w:ascii="Arial" w:eastAsia="Arial,Times New Roman" w:hAnsi="Arial" w:cs="Arial"/>
                <w:sz w:val="20"/>
                <w:szCs w:val="20"/>
                <w:lang w:val="es-ES_tradnl"/>
              </w:rPr>
              <w:t>MHCP</w:t>
            </w:r>
          </w:p>
        </w:tc>
      </w:tr>
      <w:tr>
        <w:trPr>
          <w:trHeight w:val="5165"/>
          <w:jc w:val="center"/>
        </w:trPr>
        <w:tc>
          <w:tcPr>
            <w:tcW w:w="2991" w:type="dxa"/>
            <w:vMerge/>
            <w:shd w:val="clear" w:color="auto" w:fill="auto"/>
          </w:tcPr>
          <w:p>
            <w:pPr>
              <w:spacing w:after="0" w:line="240" w:lineRule="auto"/>
              <w:rPr>
                <w:rFonts w:ascii="Arial" w:eastAsia="Arial" w:hAnsi="Arial" w:cs="Arial"/>
                <w:sz w:val="20"/>
                <w:szCs w:val="20"/>
                <w:lang w:val="es-ES_tradnl"/>
              </w:rPr>
            </w:pPr>
          </w:p>
        </w:tc>
        <w:tc>
          <w:tcPr>
            <w:tcW w:w="3844" w:type="dxa"/>
            <w:tcBorders>
              <w:right w:val="single" w:sz="4" w:space="0" w:color="auto"/>
            </w:tcBorders>
            <w:shd w:val="clear" w:color="auto" w:fill="auto"/>
          </w:tcPr>
          <w:p>
            <w:pPr>
              <w:pStyle w:val="FootnoteText"/>
              <w:keepNext w:val="0"/>
              <w:keepLines w:val="0"/>
              <w:numPr>
                <w:ilvl w:val="1"/>
                <w:numId w:val="50"/>
              </w:numPr>
              <w:spacing w:after="0"/>
              <w:rPr>
                <w:rFonts w:ascii="Arial" w:eastAsia="Arial,Times New Roman" w:hAnsi="Arial" w:cs="Arial"/>
                <w:lang w:val="es-ES_tradnl"/>
              </w:rPr>
            </w:pPr>
            <w:bookmarkStart w:id="23" w:name="_Hlk493865592"/>
            <w:r>
              <w:rPr>
                <w:rFonts w:ascii="Arial" w:hAnsi="Arial" w:cs="Arial"/>
                <w:lang w:val="es-ES"/>
              </w:rPr>
              <w:t>Política de fortalecimiento de la gestión de</w:t>
            </w:r>
            <w:bookmarkEnd w:id="23"/>
            <w:r>
              <w:rPr>
                <w:rFonts w:ascii="Arial" w:hAnsi="Arial" w:cs="Arial"/>
                <w:lang w:val="es-ES"/>
              </w:rPr>
              <w:t xml:space="preserve"> las empresas de propiedad estatal del orden nacional, que incluya una estrategia de gestión de activos y mecanismos de evaluación de desempeño de las empresas, aprobada e implementada.</w:t>
            </w:r>
          </w:p>
        </w:tc>
        <w:tc>
          <w:tcPr>
            <w:tcW w:w="3420" w:type="dxa"/>
            <w:tcBorders>
              <w:top w:val="single" w:sz="4" w:space="0" w:color="auto"/>
              <w:left w:val="single" w:sz="4" w:space="0" w:color="auto"/>
              <w:right w:val="single" w:sz="4" w:space="0" w:color="auto"/>
            </w:tcBorders>
            <w:shd w:val="clear" w:color="auto" w:fill="auto"/>
          </w:tcPr>
          <w:p>
            <w:pPr>
              <w:pStyle w:val="Subheading2"/>
              <w:numPr>
                <w:ilvl w:val="0"/>
                <w:numId w:val="38"/>
              </w:numPr>
              <w:spacing w:before="0" w:after="0"/>
              <w:jc w:val="both"/>
              <w:rPr>
                <w:rFonts w:ascii="Arial" w:hAnsi="Arial" w:cs="Arial"/>
                <w:b w:val="0"/>
                <w:sz w:val="20"/>
                <w:szCs w:val="20"/>
                <w:lang w:val="es-ES_tradnl"/>
              </w:rPr>
            </w:pPr>
            <w:r>
              <w:rPr>
                <w:rFonts w:ascii="Arial" w:hAnsi="Arial" w:cs="Arial"/>
                <w:b w:val="0"/>
                <w:sz w:val="20"/>
                <w:szCs w:val="20"/>
                <w:lang w:val="es-ES_tradnl"/>
              </w:rPr>
              <w:t xml:space="preserve">Decreto 2384 del 11 de diciembre de 2015 de creación de la </w:t>
            </w:r>
            <w:bookmarkStart w:id="24" w:name="_Hlk493865628"/>
            <w:r>
              <w:rPr>
                <w:rFonts w:ascii="Arial" w:hAnsi="Arial" w:cs="Arial"/>
                <w:b w:val="0"/>
                <w:sz w:val="20"/>
                <w:szCs w:val="20"/>
                <w:lang w:val="es-ES_tradnl"/>
              </w:rPr>
              <w:t>Dirección de Participaciones Estatales en el MHCP</w:t>
            </w:r>
            <w:bookmarkEnd w:id="24"/>
            <w:r>
              <w:rPr>
                <w:rFonts w:ascii="Arial" w:hAnsi="Arial" w:cs="Arial"/>
                <w:b w:val="0"/>
                <w:sz w:val="20"/>
                <w:szCs w:val="20"/>
                <w:lang w:val="es-ES_tradnl"/>
              </w:rPr>
              <w:t>.</w:t>
            </w:r>
          </w:p>
          <w:p>
            <w:pPr>
              <w:pStyle w:val="Subheading2"/>
              <w:numPr>
                <w:ilvl w:val="0"/>
                <w:numId w:val="38"/>
              </w:numPr>
              <w:spacing w:before="0" w:after="0"/>
              <w:jc w:val="both"/>
              <w:rPr>
                <w:rFonts w:ascii="Arial" w:hAnsi="Arial" w:cs="Arial"/>
                <w:b w:val="0"/>
                <w:sz w:val="20"/>
                <w:szCs w:val="20"/>
                <w:lang w:val="es-ES_tradnl"/>
              </w:rPr>
            </w:pPr>
            <w:r>
              <w:rPr>
                <w:rFonts w:ascii="Arial" w:hAnsi="Arial" w:cs="Arial"/>
                <w:b w:val="0"/>
                <w:sz w:val="20"/>
                <w:szCs w:val="20"/>
                <w:lang w:val="es-ES_tradnl"/>
              </w:rPr>
              <w:t>CONPES 3851 de 23 de noviembre de 2015 sobre Política General de Propiedad de Empresas Estatales del Orden Nacional.</w:t>
            </w:r>
          </w:p>
          <w:p>
            <w:pPr>
              <w:pStyle w:val="Subheading2"/>
              <w:numPr>
                <w:ilvl w:val="0"/>
                <w:numId w:val="38"/>
              </w:numPr>
              <w:spacing w:before="0" w:after="0"/>
              <w:jc w:val="both"/>
              <w:rPr>
                <w:rFonts w:ascii="Arial" w:hAnsi="Arial" w:cs="Arial"/>
                <w:b w:val="0"/>
                <w:sz w:val="20"/>
                <w:szCs w:val="20"/>
                <w:lang w:val="es-ES_tradnl"/>
              </w:rPr>
            </w:pPr>
            <w:r>
              <w:rPr>
                <w:rFonts w:ascii="Arial" w:hAnsi="Arial" w:cs="Arial"/>
                <w:b w:val="0"/>
                <w:sz w:val="20"/>
                <w:szCs w:val="20"/>
                <w:lang w:val="es-ES_tradnl"/>
              </w:rPr>
              <w:t>Decreto 1778 de 10 de noviembre de 2016, para la movilización de activos, planes de enajenación onerosa y enajenación de participaciones minoritarias.</w:t>
            </w:r>
          </w:p>
          <w:p>
            <w:pPr>
              <w:pStyle w:val="Subheading2"/>
              <w:numPr>
                <w:ilvl w:val="0"/>
                <w:numId w:val="38"/>
              </w:numPr>
              <w:spacing w:before="0" w:after="0"/>
              <w:jc w:val="both"/>
              <w:rPr>
                <w:rFonts w:ascii="Arial" w:hAnsi="Arial" w:cs="Arial"/>
                <w:b w:val="0"/>
                <w:sz w:val="20"/>
                <w:szCs w:val="20"/>
                <w:lang w:val="es-ES_tradnl"/>
              </w:rPr>
            </w:pPr>
            <w:r>
              <w:rPr>
                <w:rFonts w:ascii="Arial" w:hAnsi="Arial" w:cs="Arial"/>
                <w:b w:val="0"/>
                <w:sz w:val="20"/>
                <w:szCs w:val="20"/>
                <w:lang w:val="es-ES_tradnl"/>
              </w:rPr>
              <w:t>Decreto 1411 del 25 de agosto de 2017 por el cual se crea la Comisión Intersectorial para el Aprovechamiento de Activos Públicos (CAAP).</w:t>
            </w:r>
          </w:p>
        </w:tc>
        <w:tc>
          <w:tcPr>
            <w:tcW w:w="1743" w:type="dxa"/>
            <w:tcBorders>
              <w:top w:val="single" w:sz="4" w:space="0" w:color="auto"/>
              <w:left w:val="single" w:sz="4" w:space="0" w:color="auto"/>
              <w:right w:val="single" w:sz="4" w:space="0" w:color="auto"/>
            </w:tcBorders>
          </w:tcPr>
          <w:p>
            <w:pPr>
              <w:spacing w:after="0" w:line="240" w:lineRule="auto"/>
              <w:rPr>
                <w:rFonts w:ascii="Arial" w:hAnsi="Arial" w:cs="Arial"/>
                <w:sz w:val="20"/>
                <w:szCs w:val="20"/>
                <w:lang w:val="es-ES_tradnl"/>
              </w:rPr>
            </w:pPr>
            <w:r>
              <w:rPr>
                <w:rFonts w:ascii="Arial" w:eastAsia="Arial,Times New Roman" w:hAnsi="Arial" w:cs="Arial"/>
                <w:sz w:val="20"/>
                <w:szCs w:val="20"/>
                <w:lang w:val="es-ES_tradnl"/>
              </w:rPr>
              <w:t>MHCP</w:t>
            </w:r>
          </w:p>
        </w:tc>
      </w:tr>
    </w:tbl>
    <w:p>
      <w:pPr>
        <w:spacing w:after="0" w:line="240" w:lineRule="auto"/>
        <w:rPr>
          <w:rFonts w:ascii="Arial" w:hAnsi="Arial" w:cs="Arial"/>
          <w:sz w:val="24"/>
          <w:szCs w:val="24"/>
          <w:lang w:val="es-ES_tradnl"/>
        </w:rPr>
      </w:pPr>
    </w:p>
    <w:p>
      <w:pPr>
        <w:pStyle w:val="Paragraph"/>
        <w:numPr>
          <w:ilvl w:val="0"/>
          <w:numId w:val="0"/>
        </w:numPr>
        <w:spacing w:before="0" w:after="0"/>
        <w:ind w:left="720"/>
        <w:jc w:val="center"/>
        <w:rPr>
          <w:rFonts w:ascii="Arial" w:hAnsi="Arial" w:cs="Arial"/>
          <w:b/>
          <w:sz w:val="22"/>
          <w:lang w:val="es-ES_tradnl"/>
        </w:rPr>
      </w:pPr>
    </w:p>
    <w:p>
      <w:pPr>
        <w:spacing w:after="0"/>
        <w:rPr>
          <w:rFonts w:ascii="Arial" w:hAnsi="Arial" w:cs="Arial"/>
          <w:lang w:val="es-ES_tradnl"/>
        </w:rPr>
      </w:pPr>
    </w:p>
    <w:p>
      <w:pPr>
        <w:pStyle w:val="21Paragraph"/>
        <w:spacing w:before="0" w:after="0"/>
        <w:ind w:left="3870" w:firstLine="450"/>
        <w:rPr>
          <w:rFonts w:ascii="Arial" w:hAnsi="Arial" w:cs="Arial"/>
          <w:b/>
          <w:color w:val="FF0000"/>
          <w:sz w:val="22"/>
          <w:szCs w:val="22"/>
        </w:rPr>
        <w:sectPr>
          <w:pgSz w:w="15840" w:h="12240" w:orient="landscape"/>
          <w:pgMar w:top="1440" w:right="1800" w:bottom="1170" w:left="1800" w:header="720" w:footer="720" w:gutter="0"/>
          <w:cols w:space="720"/>
          <w:docGrid w:linePitch="360"/>
        </w:sectPr>
      </w:pPr>
    </w:p>
    <w:p>
      <w:pPr>
        <w:pStyle w:val="Chapter"/>
        <w:numPr>
          <w:ilvl w:val="0"/>
          <w:numId w:val="10"/>
        </w:numPr>
        <w:rPr>
          <w:rFonts w:ascii="Arial" w:hAnsi="Arial" w:cs="Arial"/>
          <w:lang w:val="es-ES_tradnl"/>
        </w:rPr>
      </w:pPr>
      <w:bookmarkStart w:id="25" w:name="_Toc496695010"/>
      <w:r>
        <w:rPr>
          <w:rFonts w:ascii="Arial" w:hAnsi="Arial" w:cs="Arial"/>
          <w:lang w:val="es-ES_tradnl"/>
        </w:rPr>
        <w:lastRenderedPageBreak/>
        <w:t>Evaluación</w:t>
      </w:r>
      <w:bookmarkEnd w:id="25"/>
    </w:p>
    <w:p>
      <w:pPr>
        <w:pStyle w:val="Chapter"/>
        <w:numPr>
          <w:ilvl w:val="0"/>
          <w:numId w:val="15"/>
        </w:numPr>
        <w:tabs>
          <w:tab w:val="clear" w:pos="1440"/>
          <w:tab w:val="left" w:pos="720"/>
        </w:tabs>
        <w:spacing w:before="120" w:after="120"/>
        <w:ind w:hanging="720"/>
        <w:jc w:val="both"/>
        <w:rPr>
          <w:rFonts w:ascii="Arial" w:hAnsi="Arial" w:cs="Arial"/>
          <w:sz w:val="22"/>
          <w:lang w:val="es-ES_tradnl"/>
        </w:rPr>
      </w:pPr>
      <w:bookmarkStart w:id="26" w:name="_Toc496695011"/>
      <w:r>
        <w:rPr>
          <w:rFonts w:ascii="Arial" w:hAnsi="Arial" w:cs="Arial"/>
          <w:sz w:val="22"/>
          <w:lang w:val="es-ES_tradnl"/>
        </w:rPr>
        <w:t>Objetivo</w:t>
      </w:r>
      <w:bookmarkEnd w:id="26"/>
    </w:p>
    <w:p>
      <w:pPr>
        <w:pStyle w:val="NoSpacing"/>
        <w:numPr>
          <w:ilvl w:val="1"/>
          <w:numId w:val="50"/>
        </w:numPr>
        <w:tabs>
          <w:tab w:val="left" w:pos="720"/>
        </w:tabs>
        <w:spacing w:before="120" w:after="120"/>
        <w:ind w:left="720" w:hanging="720"/>
        <w:jc w:val="both"/>
        <w:rPr>
          <w:rFonts w:ascii="Arial" w:eastAsia="Arial" w:hAnsi="Arial" w:cs="Arial"/>
          <w:lang w:val="es-ES_tradnl"/>
        </w:rPr>
      </w:pPr>
      <w:r>
        <w:rPr>
          <w:rFonts w:ascii="Arial" w:hAnsi="Arial" w:cs="Arial"/>
          <w:lang w:val="es-ES_tradnl"/>
        </w:rPr>
        <w:t xml:space="preserve">Evaluar la consecución de los objetivos del Programa </w:t>
      </w:r>
      <w:r>
        <w:rPr>
          <w:rFonts w:ascii="Arial" w:eastAsia="Arial" w:hAnsi="Arial" w:cs="Arial"/>
          <w:lang w:val="es-ES_tradnl"/>
        </w:rPr>
        <w:t xml:space="preserve">y verificar el impacto de las acciones de políticas implementadas por el Gobierno de Colombia con el apoyo del BID, </w:t>
      </w:r>
      <w:r>
        <w:rPr>
          <w:rFonts w:ascii="Arial" w:hAnsi="Arial" w:cs="Arial"/>
          <w:lang w:val="es-ES_tradnl"/>
        </w:rPr>
        <w:t>tomando como referencia</w:t>
      </w:r>
      <w:r>
        <w:rPr>
          <w:rFonts w:ascii="Arial" w:eastAsia="Arial" w:hAnsi="Arial" w:cs="Arial"/>
          <w:lang w:val="es-ES_tradnl"/>
        </w:rPr>
        <w:t xml:space="preserve"> las metas e indicadores establecidos en las matrices de política y de resultados de las dos operaciones programáticas y los resultados de dos evaluaciones de impacto ex post.</w:t>
      </w:r>
    </w:p>
    <w:p>
      <w:pPr>
        <w:pStyle w:val="Chapter"/>
        <w:numPr>
          <w:ilvl w:val="0"/>
          <w:numId w:val="15"/>
        </w:numPr>
        <w:tabs>
          <w:tab w:val="clear" w:pos="1440"/>
          <w:tab w:val="left" w:pos="720"/>
        </w:tabs>
        <w:spacing w:before="120" w:after="120"/>
        <w:ind w:hanging="720"/>
        <w:jc w:val="both"/>
        <w:rPr>
          <w:rFonts w:ascii="Arial" w:hAnsi="Arial" w:cs="Arial"/>
          <w:sz w:val="22"/>
          <w:lang w:val="es-ES_tradnl"/>
        </w:rPr>
      </w:pPr>
      <w:bookmarkStart w:id="27" w:name="_Toc496695012"/>
      <w:r>
        <w:rPr>
          <w:rFonts w:ascii="Arial" w:hAnsi="Arial" w:cs="Arial"/>
          <w:sz w:val="22"/>
          <w:lang w:val="es-ES_tradnl"/>
        </w:rPr>
        <w:t>Estrategia de evaluación y principales indicadores de resultados</w:t>
      </w:r>
      <w:bookmarkEnd w:id="27"/>
    </w:p>
    <w:p>
      <w:pPr>
        <w:pStyle w:val="Paragraph"/>
        <w:numPr>
          <w:ilvl w:val="1"/>
          <w:numId w:val="50"/>
        </w:numPr>
        <w:tabs>
          <w:tab w:val="left" w:pos="720"/>
        </w:tabs>
        <w:ind w:left="720" w:hanging="720"/>
        <w:rPr>
          <w:rFonts w:ascii="Arial" w:hAnsi="Arial" w:cs="Arial"/>
          <w:sz w:val="22"/>
          <w:lang w:val="es-ES_tradnl"/>
        </w:rPr>
      </w:pPr>
      <w:r>
        <w:rPr>
          <w:rFonts w:ascii="Arial" w:hAnsi="Arial" w:cs="Arial"/>
          <w:sz w:val="22"/>
          <w:lang w:val="es-ES_tradnl"/>
        </w:rPr>
        <w:t>El equipo de proyecto se propone realizar una evaluación de los impactos del programa posterior a 2020, año para el cual se establecieron las metas en la Matriz de Resultado. Se busca responder dos preguntas mediante la evaluación. La primera busca evaluar el cumplimiento de uno de los indicadores del resultado esperado 1 (valor del recaudo tributario total del GNC como % del PIB), atribuible a las medidas de política del programa, para lo cual se recurrirá a la metodología de control sintético La segunda pregunta se concentra en determinar si los dos impactos macroeconómicos esperados del programa se cumplieron (el resultado fiscal total y la deuda pública neta, ambos para el GNC como % del PIB), para lo cual se utilizará un Modelo de Equilibrio General Dinámico.</w:t>
      </w:r>
    </w:p>
    <w:p>
      <w:pPr>
        <w:pStyle w:val="Paragraph"/>
        <w:numPr>
          <w:ilvl w:val="0"/>
          <w:numId w:val="0"/>
        </w:numPr>
        <w:tabs>
          <w:tab w:val="left" w:pos="720"/>
        </w:tabs>
        <w:ind w:left="720" w:hanging="720"/>
        <w:rPr>
          <w:rFonts w:ascii="Arial" w:hAnsi="Arial" w:cs="Arial"/>
          <w:sz w:val="22"/>
          <w:lang w:val="es-ES_tradnl"/>
        </w:rPr>
      </w:pPr>
      <w:r>
        <w:rPr>
          <w:rFonts w:ascii="Arial" w:hAnsi="Arial" w:cs="Arial"/>
          <w:b/>
          <w:sz w:val="22"/>
          <w:lang w:val="es-ES_tradnl"/>
        </w:rPr>
        <w:tab/>
        <w:t>Evaluación de impacto sobre el recaudo tributario</w:t>
      </w:r>
      <w:r>
        <w:rPr>
          <w:rStyle w:val="FootnoteReference"/>
          <w:rFonts w:ascii="Arial" w:hAnsi="Arial" w:cs="Arial"/>
          <w:b/>
          <w:sz w:val="22"/>
          <w:lang w:val="es-ES_tradnl"/>
        </w:rPr>
        <w:footnoteReference w:id="2"/>
      </w:r>
    </w:p>
    <w:p>
      <w:pPr>
        <w:pStyle w:val="Paragraph"/>
        <w:numPr>
          <w:ilvl w:val="1"/>
          <w:numId w:val="50"/>
        </w:numPr>
        <w:tabs>
          <w:tab w:val="left" w:pos="720"/>
        </w:tabs>
        <w:ind w:left="720" w:hanging="720"/>
        <w:rPr>
          <w:rFonts w:ascii="Arial" w:hAnsi="Arial" w:cs="Arial"/>
          <w:sz w:val="22"/>
          <w:lang w:val="es-ES_tradnl"/>
        </w:rPr>
      </w:pPr>
      <w:r>
        <w:rPr>
          <w:rFonts w:ascii="Arial" w:hAnsi="Arial" w:cs="Arial"/>
          <w:b/>
          <w:sz w:val="22"/>
          <w:lang w:val="es-ES_tradnl"/>
        </w:rPr>
        <w:t xml:space="preserve">Justificación. </w:t>
      </w:r>
      <w:r>
        <w:rPr>
          <w:rFonts w:ascii="Arial" w:hAnsi="Arial" w:cs="Arial"/>
          <w:sz w:val="22"/>
          <w:lang w:val="es-ES_tradnl"/>
        </w:rPr>
        <w:t>Utilizando el método de control sintético, la evaluación ex-post buscará verificar el impacto de las acciones de modernización implementadas por el Gobierno de Colombia en el marco del programa. Para ello se ha escogido la política referente a la masificación de la Factura Electrónica, que se propone incrementar la recaudación del IVA a partir de tecnologías más eficientes y efectivas de control tributario. A partir de la masificación de la Factura Electrónica (F-e) para todos los contribuyentes del Impuesto al Valor Agregado (IVA), se genera un incremento de los ingresos tributarios de Colombia. Esto sucede dado que se establece la obligación de reportar todas las compras y contrataciones de servicios de forma electrónica, al momento en que la transacción comercial ocurra, eliminando los errores cometidos intencional o involuntariamente en la emisión de facturas, así como las solicitudes indebidas de créditos fiscales. Con esto, la F-e permitirá a la Dirección de Impuestos y Aduanas Nacionales de Colombia (DIAN) realizar las retenciones de impuestos de forma oportuna, así como contar con toda la información referente al consumo de bienes y servicios del país en tiempo real, para fines de control tributario.</w:t>
      </w:r>
    </w:p>
    <w:p>
      <w:pPr>
        <w:pStyle w:val="Paragraph"/>
        <w:numPr>
          <w:ilvl w:val="1"/>
          <w:numId w:val="50"/>
        </w:numPr>
        <w:tabs>
          <w:tab w:val="left" w:pos="720"/>
        </w:tabs>
        <w:ind w:left="720" w:hanging="720"/>
        <w:rPr>
          <w:rFonts w:ascii="Arial" w:hAnsi="Arial" w:cs="Arial"/>
          <w:b/>
          <w:sz w:val="22"/>
          <w:lang w:val="es-ES_tradnl"/>
        </w:rPr>
      </w:pPr>
      <w:r>
        <w:rPr>
          <w:rFonts w:ascii="Arial" w:hAnsi="Arial" w:cs="Arial"/>
          <w:b/>
          <w:sz w:val="22"/>
          <w:lang w:val="es-ES_tradnl"/>
        </w:rPr>
        <w:t xml:space="preserve">Metodología. </w:t>
      </w:r>
      <w:r>
        <w:rPr>
          <w:rFonts w:ascii="Arial" w:eastAsia="Arial" w:hAnsi="Arial" w:cs="Arial"/>
          <w:sz w:val="22"/>
          <w:lang w:val="es-ES_tradnl"/>
        </w:rPr>
        <w:t xml:space="preserve">El Método de Control Sintético (SCM, en inglés) provee los lineamientos para estimar los efectos de intervenciones de política aplicadas a unidades de tratamiento agregadas (ciudades, regiones, o países) aun cuando no existen unidades de control que de manera individual sean idénticas a la unidad tratada antes del Programa (contrafactual). Para unidades agregadas, como regiones o países, puede no existir una unidad no tratada que proporcione una aproximación razonable a las características de la unidad tratada. El método de control sintético se basa en la observación de que una combinación de unidades </w:t>
      </w:r>
      <w:r>
        <w:rPr>
          <w:rFonts w:ascii="Arial" w:eastAsia="Arial" w:hAnsi="Arial" w:cs="Arial"/>
          <w:sz w:val="22"/>
          <w:lang w:val="es-ES_tradnl"/>
        </w:rPr>
        <w:lastRenderedPageBreak/>
        <w:t>no tratadas (es decir, un “control sintético”), proporciona frecuentemente una aproximación más cercana al contrafactual de la unidad tratada que cualquier unidad individual. El método de control sintético construye la unidad contrafactual a partir de la media ponderada de las unidades no tratadas que mejor se aproximen a las características de la unidad tratada antes de la intervención (</w:t>
      </w:r>
      <w:proofErr w:type="spellStart"/>
      <w:r>
        <w:rPr>
          <w:rFonts w:ascii="Arial" w:eastAsia="Arial" w:hAnsi="Arial" w:cs="Arial"/>
          <w:sz w:val="22"/>
          <w:lang w:val="es-ES_tradnl"/>
        </w:rPr>
        <w:t>Abadie</w:t>
      </w:r>
      <w:proofErr w:type="spellEnd"/>
      <w:r>
        <w:rPr>
          <w:rFonts w:ascii="Arial" w:eastAsia="Arial" w:hAnsi="Arial" w:cs="Arial"/>
          <w:sz w:val="22"/>
          <w:lang w:val="es-ES_tradnl"/>
        </w:rPr>
        <w:t xml:space="preserve"> y Gardeazabal, 2003).</w:t>
      </w:r>
    </w:p>
    <w:p>
      <w:pPr>
        <w:pStyle w:val="Paragraph"/>
        <w:numPr>
          <w:ilvl w:val="1"/>
          <w:numId w:val="50"/>
        </w:numPr>
        <w:tabs>
          <w:tab w:val="left" w:pos="360"/>
          <w:tab w:val="left" w:pos="720"/>
        </w:tabs>
        <w:ind w:left="720" w:hanging="720"/>
        <w:rPr>
          <w:rFonts w:ascii="Arial" w:eastAsia="Arial" w:hAnsi="Arial" w:cs="Arial"/>
          <w:sz w:val="22"/>
          <w:lang w:val="es-ES_tradnl"/>
        </w:rPr>
      </w:pPr>
      <w:r>
        <w:rPr>
          <w:rFonts w:ascii="Arial" w:eastAsia="Arial" w:hAnsi="Arial" w:cs="Arial"/>
          <w:sz w:val="22"/>
          <w:lang w:val="es-ES_tradnl"/>
        </w:rPr>
        <w:t>El método recomienda que la unidad sintética debe ser seleccionada a partir de un grupo de unidades con características similares (clones), y que también presenten los síntomas de la unidad a ser tratada. Este grupo de unidades es denominado el grupo de control o contra factual. El síntoma del problema debe ser representado a través de un único indicador, denominado variable de interés, que debe ser lo más similar posible a los síntomas de las unidades del grupo de control. Para la selección de las unidades del grupo de control, son especificadas las variables de control, las cuales son aquellas que pueden comprobar que la unidad tratada es realmente casi un clon de las unidades del grupo de control. Una de las características del grupo de control es que no deberá contar con el mismo tratamiento de la unidad tratada hasta la evaluación final después del tratamiento.</w:t>
      </w:r>
    </w:p>
    <w:p>
      <w:pPr>
        <w:pStyle w:val="Paragraph"/>
        <w:numPr>
          <w:ilvl w:val="1"/>
          <w:numId w:val="50"/>
        </w:numPr>
        <w:tabs>
          <w:tab w:val="left" w:pos="360"/>
          <w:tab w:val="left" w:pos="720"/>
        </w:tabs>
        <w:ind w:left="720" w:hanging="720"/>
        <w:rPr>
          <w:rFonts w:ascii="Arial" w:eastAsia="Arial" w:hAnsi="Arial" w:cs="Arial"/>
          <w:sz w:val="22"/>
          <w:lang w:val="es-ES_tradnl"/>
        </w:rPr>
      </w:pPr>
      <w:r>
        <w:rPr>
          <w:rFonts w:ascii="Arial" w:eastAsia="Arial" w:hAnsi="Arial" w:cs="Arial"/>
          <w:sz w:val="22"/>
          <w:lang w:val="es-ES_tradnl"/>
        </w:rPr>
        <w:t>La función “</w:t>
      </w:r>
      <w:proofErr w:type="spellStart"/>
      <w:r>
        <w:rPr>
          <w:rFonts w:ascii="Arial" w:eastAsia="Arial" w:hAnsi="Arial" w:cs="Arial"/>
          <w:sz w:val="22"/>
          <w:lang w:val="es-ES_tradnl"/>
        </w:rPr>
        <w:t>Synth</w:t>
      </w:r>
      <w:proofErr w:type="spellEnd"/>
      <w:r>
        <w:rPr>
          <w:rFonts w:ascii="Arial" w:eastAsia="Arial" w:hAnsi="Arial" w:cs="Arial"/>
          <w:sz w:val="22"/>
          <w:lang w:val="es-ES_tradnl"/>
        </w:rPr>
        <w:t>” implementa el Método de Control Sintético para inferencias causales (la eficacia de una intervención en una unidad de tratamiento) en soporte a estudios comparativos. El método estima el efecto de una intervención de interés comparando la evolución de un resultado específico del tratamiento (una variable de interés del tipo agregado) referente a la unidad afectada por la intervención con la evolución del mismo resultado para el grupo de control sintético. La función “</w:t>
      </w:r>
      <w:proofErr w:type="spellStart"/>
      <w:r>
        <w:rPr>
          <w:rFonts w:ascii="Arial" w:eastAsia="Arial" w:hAnsi="Arial" w:cs="Arial"/>
          <w:sz w:val="22"/>
          <w:lang w:val="es-ES_tradnl"/>
        </w:rPr>
        <w:t>synth</w:t>
      </w:r>
      <w:proofErr w:type="spellEnd"/>
      <w:r>
        <w:rPr>
          <w:rFonts w:ascii="Arial" w:eastAsia="Arial" w:hAnsi="Arial" w:cs="Arial"/>
          <w:sz w:val="22"/>
          <w:lang w:val="es-ES_tradnl"/>
        </w:rPr>
        <w:t xml:space="preserve">” selecciona el grupo de control sintético a partir de la combinación ponderada de las unidades del grupo de control (pool de donantes) más similares a la unidad de tratamiento antes de la intervención. La evolución de los resultados del grupo de control sintético (en el periodo pretratamiento) es una estimación del contra factual de lo que debería ocurrir en la ausencia de la intervención. El comando utilizado en STATA tiene el siguiente formato: </w:t>
      </w:r>
    </w:p>
    <w:p>
      <w:pPr>
        <w:pStyle w:val="Paragraph"/>
        <w:numPr>
          <w:ilvl w:val="0"/>
          <w:numId w:val="0"/>
        </w:numPr>
        <w:tabs>
          <w:tab w:val="left" w:pos="360"/>
          <w:tab w:val="left" w:pos="720"/>
        </w:tabs>
        <w:ind w:left="720" w:hanging="720"/>
        <w:rPr>
          <w:rFonts w:ascii="Arial" w:eastAsia="Arial" w:hAnsi="Arial" w:cs="Arial"/>
          <w:sz w:val="22"/>
          <w:lang w:val="es-ES_tradnl"/>
        </w:rPr>
      </w:pPr>
      <w:r>
        <w:rPr>
          <w:rFonts w:ascii="Arial" w:eastAsia="Arial" w:hAnsi="Arial" w:cs="Arial"/>
          <w:sz w:val="22"/>
          <w:lang w:val="es-ES_tradnl"/>
        </w:rPr>
        <w:tab/>
      </w:r>
      <w:r>
        <w:rPr>
          <w:rFonts w:ascii="Arial" w:eastAsia="Arial" w:hAnsi="Arial" w:cs="Arial"/>
          <w:sz w:val="22"/>
          <w:lang w:val="es-ES_tradnl"/>
        </w:rPr>
        <w:tab/>
      </w:r>
      <w:proofErr w:type="spellStart"/>
      <w:r>
        <w:rPr>
          <w:rFonts w:ascii="Arial" w:eastAsia="Arial" w:hAnsi="Arial" w:cs="Arial"/>
          <w:sz w:val="22"/>
          <w:lang w:val="es-ES_tradnl"/>
        </w:rPr>
        <w:t>synth</w:t>
      </w:r>
      <w:proofErr w:type="spellEnd"/>
      <w:r>
        <w:rPr>
          <w:rFonts w:ascii="Arial" w:eastAsia="Arial" w:hAnsi="Arial" w:cs="Arial"/>
          <w:sz w:val="22"/>
          <w:lang w:val="es-ES_tradnl"/>
        </w:rPr>
        <w:t xml:space="preserve"> TAXGSGDP </w:t>
      </w:r>
      <w:proofErr w:type="spellStart"/>
      <w:r>
        <w:rPr>
          <w:rFonts w:ascii="Arial" w:eastAsia="Arial" w:hAnsi="Arial" w:cs="Arial"/>
          <w:sz w:val="22"/>
          <w:lang w:val="es-ES_tradnl"/>
        </w:rPr>
        <w:t>TAXGSGDP</w:t>
      </w:r>
      <w:proofErr w:type="spellEnd"/>
      <w:r>
        <w:rPr>
          <w:rFonts w:ascii="Arial" w:eastAsia="Arial" w:hAnsi="Arial" w:cs="Arial"/>
          <w:sz w:val="22"/>
          <w:lang w:val="es-ES_tradnl"/>
        </w:rPr>
        <w:t xml:space="preserve"> TAXGDP TRADEGDP EXPORTGDP IMPORTGDP SERVICEVAGDP MERCTRADEGDP MANUFVAGDP INDVAGDP GDPPERC, </w:t>
      </w:r>
      <w:proofErr w:type="spellStart"/>
      <w:proofErr w:type="gramStart"/>
      <w:r>
        <w:rPr>
          <w:rFonts w:ascii="Arial" w:eastAsia="Arial" w:hAnsi="Arial" w:cs="Arial"/>
          <w:sz w:val="22"/>
          <w:lang w:val="es-ES_tradnl"/>
        </w:rPr>
        <w:t>trunit</w:t>
      </w:r>
      <w:proofErr w:type="spellEnd"/>
      <w:r>
        <w:rPr>
          <w:rFonts w:ascii="Arial" w:eastAsia="Arial" w:hAnsi="Arial" w:cs="Arial"/>
          <w:sz w:val="22"/>
          <w:lang w:val="es-ES_tradnl"/>
        </w:rPr>
        <w:t>(</w:t>
      </w:r>
      <w:proofErr w:type="gramEnd"/>
      <w:r>
        <w:rPr>
          <w:rFonts w:ascii="Arial" w:eastAsia="Arial" w:hAnsi="Arial" w:cs="Arial"/>
          <w:sz w:val="22"/>
          <w:lang w:val="es-ES_tradnl"/>
        </w:rPr>
        <w:t xml:space="preserve">10) </w:t>
      </w:r>
      <w:proofErr w:type="spellStart"/>
      <w:r>
        <w:rPr>
          <w:rFonts w:ascii="Arial" w:eastAsia="Arial" w:hAnsi="Arial" w:cs="Arial"/>
          <w:sz w:val="22"/>
          <w:lang w:val="es-ES_tradnl"/>
        </w:rPr>
        <w:t>trperiod</w:t>
      </w:r>
      <w:proofErr w:type="spellEnd"/>
      <w:r>
        <w:rPr>
          <w:rFonts w:ascii="Arial" w:eastAsia="Arial" w:hAnsi="Arial" w:cs="Arial"/>
          <w:sz w:val="22"/>
          <w:lang w:val="es-ES_tradnl"/>
        </w:rPr>
        <w:t xml:space="preserve">(2016) </w:t>
      </w:r>
      <w:proofErr w:type="spellStart"/>
      <w:r>
        <w:rPr>
          <w:rFonts w:ascii="Arial" w:eastAsia="Arial" w:hAnsi="Arial" w:cs="Arial"/>
          <w:sz w:val="22"/>
          <w:lang w:val="es-ES_tradnl"/>
        </w:rPr>
        <w:t>nested</w:t>
      </w:r>
      <w:proofErr w:type="spellEnd"/>
      <w:r>
        <w:rPr>
          <w:rFonts w:ascii="Arial" w:eastAsia="Arial" w:hAnsi="Arial" w:cs="Arial"/>
          <w:sz w:val="22"/>
          <w:lang w:val="es-ES_tradnl"/>
        </w:rPr>
        <w:t xml:space="preserve"> figure</w:t>
      </w:r>
    </w:p>
    <w:p>
      <w:pPr>
        <w:pStyle w:val="Paragraph"/>
        <w:numPr>
          <w:ilvl w:val="0"/>
          <w:numId w:val="0"/>
        </w:numPr>
        <w:tabs>
          <w:tab w:val="left" w:pos="360"/>
        </w:tabs>
        <w:spacing w:before="60" w:after="60"/>
        <w:ind w:left="360"/>
        <w:rPr>
          <w:rFonts w:ascii="Arial" w:eastAsia="Arial" w:hAnsi="Arial" w:cs="Arial"/>
          <w:sz w:val="22"/>
          <w:lang w:val="es-ES_tradnl"/>
        </w:rPr>
      </w:pPr>
      <w:r>
        <w:rPr>
          <w:rFonts w:ascii="Arial" w:eastAsia="Arial" w:hAnsi="Arial" w:cs="Arial"/>
          <w:sz w:val="22"/>
          <w:lang w:val="es-ES_tradnl"/>
        </w:rPr>
        <w:tab/>
        <w:t>Dónde:</w:t>
      </w:r>
    </w:p>
    <w:p>
      <w:pPr>
        <w:pStyle w:val="Paragraph"/>
        <w:numPr>
          <w:ilvl w:val="0"/>
          <w:numId w:val="51"/>
        </w:numPr>
        <w:tabs>
          <w:tab w:val="left" w:pos="360"/>
        </w:tabs>
        <w:spacing w:before="60" w:after="60"/>
        <w:rPr>
          <w:rFonts w:ascii="Arial" w:eastAsia="Arial" w:hAnsi="Arial" w:cs="Arial"/>
          <w:sz w:val="22"/>
          <w:lang w:val="es-ES_tradnl"/>
        </w:rPr>
      </w:pPr>
      <w:r>
        <w:rPr>
          <w:rFonts w:ascii="Arial" w:eastAsia="Arial" w:hAnsi="Arial" w:cs="Arial"/>
          <w:sz w:val="22"/>
          <w:lang w:val="es-ES_tradnl"/>
        </w:rPr>
        <w:t xml:space="preserve">Comando = </w:t>
      </w:r>
      <w:proofErr w:type="spellStart"/>
      <w:r>
        <w:rPr>
          <w:rFonts w:ascii="Arial" w:eastAsia="Arial" w:hAnsi="Arial" w:cs="Arial"/>
          <w:sz w:val="22"/>
          <w:lang w:val="es-ES_tradnl"/>
        </w:rPr>
        <w:t>synth</w:t>
      </w:r>
      <w:proofErr w:type="spellEnd"/>
      <w:r>
        <w:rPr>
          <w:rFonts w:ascii="Arial" w:eastAsia="Arial" w:hAnsi="Arial" w:cs="Arial"/>
          <w:sz w:val="22"/>
          <w:lang w:val="es-ES_tradnl"/>
        </w:rPr>
        <w:t xml:space="preserve"> </w:t>
      </w:r>
    </w:p>
    <w:p>
      <w:pPr>
        <w:pStyle w:val="Paragraph"/>
        <w:numPr>
          <w:ilvl w:val="0"/>
          <w:numId w:val="51"/>
        </w:numPr>
        <w:tabs>
          <w:tab w:val="left" w:pos="360"/>
        </w:tabs>
        <w:spacing w:before="60" w:after="60"/>
        <w:rPr>
          <w:rFonts w:ascii="Arial" w:eastAsia="Arial" w:hAnsi="Arial" w:cs="Arial"/>
          <w:sz w:val="22"/>
          <w:lang w:val="es-ES_tradnl"/>
        </w:rPr>
      </w:pPr>
      <w:r>
        <w:rPr>
          <w:rFonts w:ascii="Arial" w:eastAsia="Arial" w:hAnsi="Arial" w:cs="Arial"/>
          <w:sz w:val="22"/>
          <w:lang w:val="es-ES_tradnl"/>
        </w:rPr>
        <w:t>Variable de interés = Recaudación del IVA / PIB</w:t>
      </w:r>
    </w:p>
    <w:p>
      <w:pPr>
        <w:pStyle w:val="Paragraph"/>
        <w:numPr>
          <w:ilvl w:val="0"/>
          <w:numId w:val="51"/>
        </w:numPr>
        <w:tabs>
          <w:tab w:val="left" w:pos="360"/>
        </w:tabs>
        <w:spacing w:before="60" w:after="60"/>
        <w:rPr>
          <w:rFonts w:ascii="Arial" w:eastAsia="Arial" w:hAnsi="Arial" w:cs="Arial"/>
          <w:sz w:val="22"/>
          <w:lang w:val="es-ES_tradnl"/>
        </w:rPr>
      </w:pPr>
      <w:r>
        <w:rPr>
          <w:rFonts w:ascii="Arial" w:eastAsia="Arial" w:hAnsi="Arial" w:cs="Arial"/>
          <w:sz w:val="22"/>
          <w:lang w:val="es-ES_tradnl"/>
        </w:rPr>
        <w:t xml:space="preserve">Variables de control = TAXGSGDP </w:t>
      </w:r>
      <w:proofErr w:type="spellStart"/>
      <w:r>
        <w:rPr>
          <w:rFonts w:ascii="Arial" w:eastAsia="Arial" w:hAnsi="Arial" w:cs="Arial"/>
          <w:sz w:val="22"/>
          <w:lang w:val="es-ES_tradnl"/>
        </w:rPr>
        <w:t>TAXGSGDP</w:t>
      </w:r>
      <w:proofErr w:type="spellEnd"/>
      <w:r>
        <w:rPr>
          <w:rFonts w:ascii="Arial" w:eastAsia="Arial" w:hAnsi="Arial" w:cs="Arial"/>
          <w:sz w:val="22"/>
          <w:lang w:val="es-ES_tradnl"/>
        </w:rPr>
        <w:t xml:space="preserve"> TAXGDP TRADEGDP EXPORTGDP IMPORTGDP SERVICEVAGDP MERCTRADEGDP MANUFVAGDP INDVAGDP GDPPERC (ver definición en el cuadro II).</w:t>
      </w:r>
    </w:p>
    <w:p>
      <w:pPr>
        <w:pStyle w:val="Paragraph"/>
        <w:numPr>
          <w:ilvl w:val="0"/>
          <w:numId w:val="51"/>
        </w:numPr>
        <w:tabs>
          <w:tab w:val="left" w:pos="360"/>
        </w:tabs>
        <w:spacing w:before="60" w:after="60"/>
        <w:rPr>
          <w:rFonts w:ascii="Arial" w:eastAsia="Arial" w:hAnsi="Arial" w:cs="Arial"/>
          <w:sz w:val="22"/>
          <w:lang w:val="es-ES_tradnl"/>
        </w:rPr>
      </w:pPr>
      <w:r>
        <w:rPr>
          <w:rFonts w:ascii="Arial" w:eastAsia="Arial" w:hAnsi="Arial" w:cs="Arial"/>
          <w:sz w:val="22"/>
          <w:lang w:val="es-ES_tradnl"/>
        </w:rPr>
        <w:t xml:space="preserve">Unidad de Tratamiento </w:t>
      </w:r>
      <w:proofErr w:type="spellStart"/>
      <w:r>
        <w:rPr>
          <w:rFonts w:ascii="Arial" w:eastAsia="Arial" w:hAnsi="Arial" w:cs="Arial"/>
          <w:sz w:val="22"/>
          <w:lang w:val="es-ES_tradnl"/>
        </w:rPr>
        <w:t>trunit</w:t>
      </w:r>
      <w:proofErr w:type="spellEnd"/>
      <w:r>
        <w:rPr>
          <w:rFonts w:ascii="Arial" w:eastAsia="Arial" w:hAnsi="Arial" w:cs="Arial"/>
          <w:sz w:val="22"/>
          <w:lang w:val="es-ES_tradnl"/>
        </w:rPr>
        <w:t xml:space="preserve"> (10) – (10 corresponde a Colombia)</w:t>
      </w:r>
    </w:p>
    <w:p>
      <w:pPr>
        <w:pStyle w:val="Paragraph"/>
        <w:numPr>
          <w:ilvl w:val="0"/>
          <w:numId w:val="51"/>
        </w:numPr>
        <w:tabs>
          <w:tab w:val="left" w:pos="360"/>
        </w:tabs>
        <w:spacing w:before="60" w:after="60"/>
        <w:rPr>
          <w:rFonts w:ascii="Arial" w:eastAsia="Arial" w:hAnsi="Arial" w:cs="Arial"/>
          <w:sz w:val="22"/>
          <w:lang w:val="es-ES_tradnl"/>
        </w:rPr>
      </w:pPr>
      <w:r>
        <w:rPr>
          <w:rFonts w:ascii="Arial" w:eastAsia="Arial" w:hAnsi="Arial" w:cs="Arial"/>
          <w:sz w:val="22"/>
          <w:lang w:val="es-ES_tradnl"/>
        </w:rPr>
        <w:t xml:space="preserve">Periodo = </w:t>
      </w:r>
      <w:proofErr w:type="spellStart"/>
      <w:r>
        <w:rPr>
          <w:rFonts w:ascii="Arial" w:eastAsia="Arial" w:hAnsi="Arial" w:cs="Arial"/>
          <w:sz w:val="22"/>
          <w:lang w:val="es-ES_tradnl"/>
        </w:rPr>
        <w:t>trperiod</w:t>
      </w:r>
      <w:proofErr w:type="spellEnd"/>
      <w:r>
        <w:rPr>
          <w:rFonts w:ascii="Arial" w:eastAsia="Arial" w:hAnsi="Arial" w:cs="Arial"/>
          <w:sz w:val="22"/>
          <w:lang w:val="es-ES_tradnl"/>
        </w:rPr>
        <w:t xml:space="preserve"> (2016)</w:t>
      </w:r>
    </w:p>
    <w:p>
      <w:pPr>
        <w:pStyle w:val="Paragraph"/>
        <w:numPr>
          <w:ilvl w:val="0"/>
          <w:numId w:val="51"/>
        </w:numPr>
        <w:tabs>
          <w:tab w:val="left" w:pos="360"/>
        </w:tabs>
        <w:spacing w:before="60" w:after="60"/>
        <w:rPr>
          <w:rFonts w:ascii="Arial" w:eastAsia="Arial" w:hAnsi="Arial" w:cs="Arial"/>
          <w:sz w:val="22"/>
          <w:lang w:val="es-ES_tradnl"/>
        </w:rPr>
      </w:pPr>
      <w:r>
        <w:rPr>
          <w:rFonts w:ascii="Arial" w:eastAsia="Arial" w:hAnsi="Arial" w:cs="Arial"/>
          <w:sz w:val="22"/>
          <w:lang w:val="es-ES_tradnl"/>
        </w:rPr>
        <w:t xml:space="preserve">Precisión = </w:t>
      </w:r>
      <w:proofErr w:type="spellStart"/>
      <w:r>
        <w:rPr>
          <w:rFonts w:ascii="Arial" w:eastAsia="Arial" w:hAnsi="Arial" w:cs="Arial"/>
          <w:sz w:val="22"/>
          <w:lang w:val="es-ES_tradnl"/>
        </w:rPr>
        <w:t>nested</w:t>
      </w:r>
      <w:proofErr w:type="spellEnd"/>
      <w:r>
        <w:rPr>
          <w:rFonts w:ascii="Arial" w:eastAsia="Arial" w:hAnsi="Arial" w:cs="Arial"/>
          <w:sz w:val="22"/>
          <w:lang w:val="es-ES_tradnl"/>
        </w:rPr>
        <w:t xml:space="preserve"> (máxima)</w:t>
      </w:r>
    </w:p>
    <w:p>
      <w:pPr>
        <w:pStyle w:val="Paragraph"/>
        <w:numPr>
          <w:ilvl w:val="0"/>
          <w:numId w:val="51"/>
        </w:numPr>
        <w:tabs>
          <w:tab w:val="left" w:pos="360"/>
        </w:tabs>
        <w:spacing w:before="60" w:after="60"/>
        <w:rPr>
          <w:rFonts w:ascii="Arial" w:eastAsia="Arial" w:hAnsi="Arial" w:cs="Arial"/>
          <w:sz w:val="22"/>
          <w:lang w:val="es-ES_tradnl"/>
        </w:rPr>
      </w:pPr>
      <w:r>
        <w:rPr>
          <w:rFonts w:ascii="Arial" w:eastAsia="Arial" w:hAnsi="Arial" w:cs="Arial"/>
          <w:sz w:val="22"/>
          <w:lang w:val="es-ES_tradnl"/>
        </w:rPr>
        <w:t>Gráfico = figure (generar)</w:t>
      </w:r>
    </w:p>
    <w:p>
      <w:pPr>
        <w:pStyle w:val="Paragraph"/>
        <w:numPr>
          <w:ilvl w:val="1"/>
          <w:numId w:val="50"/>
        </w:numPr>
        <w:tabs>
          <w:tab w:val="left" w:pos="720"/>
        </w:tabs>
        <w:ind w:left="720" w:hanging="720"/>
        <w:rPr>
          <w:rFonts w:ascii="Arial" w:eastAsia="Arial" w:hAnsi="Arial" w:cs="Arial"/>
          <w:sz w:val="22"/>
          <w:lang w:val="es-CO"/>
        </w:rPr>
      </w:pPr>
      <w:r>
        <w:rPr>
          <w:rFonts w:ascii="Arial" w:eastAsia="Arial" w:hAnsi="Arial" w:cs="Arial"/>
          <w:b/>
          <w:sz w:val="22"/>
          <w:lang w:val="es-CO"/>
        </w:rPr>
        <w:t>Identificación de la unidad sintética, variables y bases de datos.</w:t>
      </w:r>
      <w:r>
        <w:rPr>
          <w:rFonts w:ascii="Arial" w:eastAsia="Arial" w:hAnsi="Arial" w:cs="Arial"/>
          <w:sz w:val="22"/>
          <w:lang w:val="es-CO"/>
        </w:rPr>
        <w:t xml:space="preserve"> Colombia es la unidad de tratamiento, la variable de interés es la relación recaudación tributaria/PIB nacional. A partir de un grupo de 55 países (pool de donantes), con 10 variables de control, fue seleccionado un Colombia Sintético con 5 países del </w:t>
      </w:r>
      <w:r>
        <w:rPr>
          <w:rFonts w:ascii="Arial" w:eastAsia="Arial" w:hAnsi="Arial" w:cs="Arial"/>
          <w:sz w:val="22"/>
          <w:lang w:val="es-CO"/>
        </w:rPr>
        <w:lastRenderedPageBreak/>
        <w:t xml:space="preserve">pool de donantes (Bielorrusia, Grecia, India, Pakistán y Sudan), escogidos por tener niveles de consumo de mercancías y niveles de ingresos similares a los de Colombia. </w:t>
      </w:r>
      <w:r>
        <w:rPr>
          <w:rFonts w:ascii="Arial" w:hAnsi="Arial" w:cs="Arial"/>
          <w:sz w:val="22"/>
          <w:lang w:val="es-CO"/>
        </w:rPr>
        <w:t xml:space="preserve">Las variables de control fueron seleccionadas a partir de un universo de variables relacionadas con la recaudación / consumo, utilizando aquellas que más pudiesen proveer las evidencias de la similitud del país tratado (Colombia) con los países que conforman el grupo de control sintético en el período pretratamiento. </w:t>
      </w:r>
      <w:r>
        <w:rPr>
          <w:rFonts w:ascii="Arial" w:hAnsi="Arial" w:cs="Arial"/>
          <w:sz w:val="22"/>
          <w:lang w:val="es-ES"/>
        </w:rPr>
        <w:t xml:space="preserve">La información fue colectada de la base de datos del </w:t>
      </w:r>
      <w:r>
        <w:rPr>
          <w:rFonts w:ascii="Arial" w:hAnsi="Arial" w:cs="Arial"/>
          <w:i/>
          <w:sz w:val="22"/>
          <w:lang w:val="es-ES"/>
        </w:rPr>
        <w:t xml:space="preserve">World Development </w:t>
      </w:r>
      <w:proofErr w:type="spellStart"/>
      <w:r>
        <w:rPr>
          <w:rFonts w:ascii="Arial" w:hAnsi="Arial" w:cs="Arial"/>
          <w:i/>
          <w:sz w:val="22"/>
          <w:lang w:val="es-ES"/>
        </w:rPr>
        <w:t>Indicators</w:t>
      </w:r>
      <w:proofErr w:type="spellEnd"/>
      <w:r>
        <w:rPr>
          <w:rFonts w:ascii="Arial" w:hAnsi="Arial" w:cs="Arial"/>
          <w:sz w:val="22"/>
          <w:lang w:val="es-ES"/>
        </w:rPr>
        <w:t xml:space="preserve"> del Banco Mundial. </w:t>
      </w:r>
      <w:r>
        <w:rPr>
          <w:rFonts w:ascii="Arial" w:hAnsi="Arial" w:cs="Arial"/>
          <w:sz w:val="22"/>
          <w:lang w:val="es-ES_tradnl"/>
        </w:rPr>
        <w:t>El periodo pretratamiento seleccionado fue de 2007 a 2016 (10 años).</w:t>
      </w:r>
    </w:p>
    <w:p>
      <w:pPr>
        <w:pStyle w:val="Paragraph"/>
        <w:numPr>
          <w:ilvl w:val="0"/>
          <w:numId w:val="0"/>
        </w:numPr>
        <w:tabs>
          <w:tab w:val="left" w:pos="720"/>
        </w:tabs>
        <w:ind w:left="720" w:hanging="720"/>
        <w:rPr>
          <w:rFonts w:ascii="Arial" w:hAnsi="Arial" w:cs="Arial"/>
          <w:sz w:val="22"/>
          <w:lang w:val="es-ES_tradnl"/>
        </w:rPr>
      </w:pPr>
      <w:r>
        <w:rPr>
          <w:rFonts w:ascii="Arial" w:hAnsi="Arial" w:cs="Arial"/>
          <w:b/>
          <w:sz w:val="22"/>
          <w:lang w:val="es-ES_tradnl"/>
        </w:rPr>
        <w:tab/>
        <w:t>Evaluación de impacto macroeconómico</w:t>
      </w:r>
      <w:r>
        <w:rPr>
          <w:rStyle w:val="FootnoteReference"/>
          <w:rFonts w:ascii="Arial" w:hAnsi="Arial" w:cs="Arial"/>
          <w:b/>
          <w:sz w:val="22"/>
          <w:lang w:val="es-ES_tradnl"/>
        </w:rPr>
        <w:footnoteReference w:id="3"/>
      </w:r>
      <w:r>
        <w:rPr>
          <w:rFonts w:ascii="Arial" w:hAnsi="Arial" w:cs="Arial"/>
          <w:b/>
          <w:sz w:val="22"/>
          <w:lang w:val="es-ES_tradnl"/>
        </w:rPr>
        <w:t>.</w:t>
      </w:r>
      <w:r>
        <w:rPr>
          <w:rFonts w:ascii="Arial" w:hAnsi="Arial" w:cs="Arial"/>
          <w:sz w:val="22"/>
          <w:lang w:val="es-ES_tradnl"/>
        </w:rPr>
        <w:t xml:space="preserve"> </w:t>
      </w:r>
    </w:p>
    <w:p>
      <w:pPr>
        <w:pStyle w:val="Paragraph"/>
        <w:numPr>
          <w:ilvl w:val="1"/>
          <w:numId w:val="50"/>
        </w:numPr>
        <w:tabs>
          <w:tab w:val="left" w:pos="720"/>
        </w:tabs>
        <w:ind w:left="720" w:hanging="720"/>
        <w:rPr>
          <w:rFonts w:ascii="Arial" w:hAnsi="Arial" w:cs="Arial"/>
          <w:sz w:val="22"/>
          <w:lang w:val="es-ES_tradnl"/>
        </w:rPr>
      </w:pPr>
      <w:r>
        <w:rPr>
          <w:rFonts w:ascii="Arial" w:hAnsi="Arial" w:cs="Arial"/>
          <w:b/>
          <w:sz w:val="22"/>
          <w:lang w:val="es-ES_tradnl"/>
        </w:rPr>
        <w:t xml:space="preserve">Justificación. </w:t>
      </w:r>
      <w:r>
        <w:rPr>
          <w:rFonts w:ascii="Arial" w:hAnsi="Arial" w:cs="Arial"/>
          <w:sz w:val="22"/>
          <w:lang w:val="es-ES_tradnl"/>
        </w:rPr>
        <w:t>Para evaluar los dos impactos macroeconómicos mencionados se utilizará un Modelo de Equilibrio General Dinámico calibrado para Colombia.</w:t>
      </w:r>
      <w:r>
        <w:rPr>
          <w:rFonts w:ascii="Arial" w:eastAsia="Times New Roman" w:hAnsi="Arial" w:cs="Arial"/>
          <w:color w:val="000000"/>
          <w:sz w:val="22"/>
          <w:lang w:val="es-ES"/>
        </w:rPr>
        <w:t xml:space="preserve"> Esta evaluación ex-post busca evaluar el impacto sobre el déficit fiscal y sobre la deuda publica neta del gobierno central como efecto de equilibrio general de la masificación de la Factura-Electrónica, la cual busca incrementar la recaudación del IVA a partir de tecnologías más eficientes y efectivas de control tributario. El modelo ha sido construido con el propósito de servir como herramienta de simulación del impacto económico, en el corto y mediano plazo, de decisiones alternativas de política fiscal</w:t>
      </w:r>
    </w:p>
    <w:p>
      <w:pPr>
        <w:pStyle w:val="Paragraph"/>
        <w:numPr>
          <w:ilvl w:val="1"/>
          <w:numId w:val="50"/>
        </w:numPr>
        <w:tabs>
          <w:tab w:val="left" w:pos="720"/>
        </w:tabs>
        <w:ind w:left="720" w:hanging="720"/>
        <w:rPr>
          <w:rFonts w:ascii="Arial" w:hAnsi="Arial" w:cs="Arial"/>
          <w:sz w:val="22"/>
          <w:lang w:val="es-ES_tradnl"/>
        </w:rPr>
      </w:pPr>
      <w:r>
        <w:rPr>
          <w:rFonts w:ascii="Arial" w:hAnsi="Arial" w:cs="Arial"/>
          <w:b/>
          <w:sz w:val="22"/>
          <w:lang w:val="es-ES_tradnl"/>
        </w:rPr>
        <w:t>Metodología.</w:t>
      </w:r>
      <w:r>
        <w:rPr>
          <w:rFonts w:ascii="Arial" w:eastAsia="Times New Roman" w:hAnsi="Arial" w:cs="Arial"/>
          <w:color w:val="000000"/>
          <w:sz w:val="22"/>
          <w:lang w:val="es-ES"/>
        </w:rPr>
        <w:t xml:space="preserve"> E</w:t>
      </w:r>
      <w:r>
        <w:rPr>
          <w:rFonts w:ascii="Arial" w:hAnsi="Arial" w:cs="Arial"/>
          <w:sz w:val="22"/>
          <w:lang w:val="es-ES_tradnl"/>
        </w:rPr>
        <w:t>l modelo representa una economía pequeña y abierta con tres sectores productivos: el sector transable, el no-transable y el sector encargado de la explotación de un recurso natural (petróleo). Cada uno de los tres sectores emplea capital y trabajo y compran insumos intermedios de los otros sectores productivos y del exterior. La estructura productiva de la economía y la interdependencia cuantitativa entre los distintos sectores económicos replican una versión estilizada de tres sectores de la matriz insumo-producto colombiana. La economía está habitada por un continuum de familias heterogéneas (Ricardianas y no-Ricardianas -familias que solo reciben ingreso laboral, no ahorran ni pagan impuestos), firmas que operan en competencia perfecta en los mercados de bienes y factores y un gobierno</w:t>
      </w:r>
      <w:r>
        <w:rPr>
          <w:rFonts w:ascii="Arial" w:eastAsia="Times New Roman" w:hAnsi="Arial" w:cs="Arial"/>
          <w:color w:val="000000"/>
          <w:sz w:val="22"/>
          <w:lang w:val="es-ES"/>
        </w:rPr>
        <w:t>.</w:t>
      </w:r>
    </w:p>
    <w:p>
      <w:pPr>
        <w:pStyle w:val="Paragraph"/>
        <w:numPr>
          <w:ilvl w:val="1"/>
          <w:numId w:val="50"/>
        </w:numPr>
        <w:tabs>
          <w:tab w:val="left" w:pos="720"/>
        </w:tabs>
        <w:ind w:left="720" w:hanging="720"/>
        <w:rPr>
          <w:rFonts w:ascii="Arial" w:hAnsi="Arial" w:cs="Arial"/>
          <w:sz w:val="22"/>
          <w:lang w:val="es-ES_tradnl"/>
        </w:rPr>
      </w:pPr>
      <w:r>
        <w:rPr>
          <w:rFonts w:ascii="Arial" w:hAnsi="Arial" w:cs="Arial"/>
          <w:sz w:val="22"/>
          <w:lang w:val="es-ES_tradnl"/>
        </w:rPr>
        <w:t>De forma consistente con el objetivo de estudiar el diseño e impacto de diferentes políticas fiscales en el corto y mediano plazo, el gobierno ejecuta varias acciones en la economía. El gobierno grava la renta laboral (impuesto de renta de las personas naturales), la renta de capital (impuesto de renta de las personas jurídicas), los gastos de consumo (impuesto al valor agregado), las importaciones (aranceles) y la producción doméstica de bienes o productos (impuestos específicos o “</w:t>
      </w:r>
      <w:proofErr w:type="spellStart"/>
      <w:r>
        <w:rPr>
          <w:rFonts w:ascii="Arial" w:hAnsi="Arial" w:cs="Arial"/>
          <w:sz w:val="22"/>
          <w:lang w:val="es-ES_tradnl"/>
        </w:rPr>
        <w:t>excise</w:t>
      </w:r>
      <w:proofErr w:type="spellEnd"/>
      <w:r>
        <w:rPr>
          <w:rFonts w:ascii="Arial" w:hAnsi="Arial" w:cs="Arial"/>
          <w:sz w:val="22"/>
          <w:lang w:val="es-ES_tradnl"/>
        </w:rPr>
        <w:t xml:space="preserve"> </w:t>
      </w:r>
      <w:proofErr w:type="spellStart"/>
      <w:r>
        <w:rPr>
          <w:rFonts w:ascii="Arial" w:hAnsi="Arial" w:cs="Arial"/>
          <w:sz w:val="22"/>
          <w:lang w:val="es-ES_tradnl"/>
        </w:rPr>
        <w:t>taxes</w:t>
      </w:r>
      <w:proofErr w:type="spellEnd"/>
      <w:r>
        <w:rPr>
          <w:rFonts w:ascii="Arial" w:hAnsi="Arial" w:cs="Arial"/>
          <w:sz w:val="22"/>
          <w:lang w:val="es-ES_tradnl"/>
        </w:rPr>
        <w:t>”). El gobierno recibe dividendos distribuidos por ECOPETROL, gasta en bienes no-transables, invierte en infraestructura física, y emite deuda en los mercados de capital interno y externo. El acervo de infraestructura está sujeto a congestión. Las políticas fiscales están especificadas en términos de trayectorias temporales exógenas y el modelo simula la respuesta de otras variables fiscales endógenas (ingreso tributario, por ejemplo) y el ajuste general que ocurre en la economía.</w:t>
      </w:r>
    </w:p>
    <w:p>
      <w:pPr>
        <w:pStyle w:val="Paragraph"/>
        <w:numPr>
          <w:ilvl w:val="1"/>
          <w:numId w:val="50"/>
        </w:numPr>
        <w:tabs>
          <w:tab w:val="left" w:pos="720"/>
        </w:tabs>
        <w:ind w:left="720" w:hanging="720"/>
        <w:rPr>
          <w:rFonts w:ascii="Arial" w:hAnsi="Arial" w:cs="Arial"/>
          <w:sz w:val="22"/>
          <w:lang w:val="es-ES_tradnl"/>
        </w:rPr>
      </w:pPr>
      <w:r>
        <w:rPr>
          <w:rFonts w:ascii="Arial" w:hAnsi="Arial" w:cs="Arial"/>
          <w:sz w:val="22"/>
          <w:lang w:val="es-ES_tradnl"/>
        </w:rPr>
        <w:t xml:space="preserve">El modelo consta de 85 ecuaciones no lineales y se calibró dando valores a 57 parámetros. En el documento que detalla el modelo, presenta la calibración del </w:t>
      </w:r>
      <w:r>
        <w:rPr>
          <w:rFonts w:ascii="Arial" w:hAnsi="Arial" w:cs="Arial"/>
          <w:sz w:val="22"/>
          <w:lang w:val="es-ES_tradnl"/>
        </w:rPr>
        <w:lastRenderedPageBreak/>
        <w:t>modelo suponiendo que la economía está en su posición de estado estacionario en el año 2010, año para el cual se dispone de la última información sobre la matriz insumo-producto. Luego, el sistema de 85 ecuaciones no lineales con expectativas racionales se log-</w:t>
      </w:r>
      <w:proofErr w:type="spellStart"/>
      <w:r>
        <w:rPr>
          <w:rFonts w:ascii="Arial" w:hAnsi="Arial" w:cs="Arial"/>
          <w:sz w:val="22"/>
          <w:lang w:val="es-ES_tradnl"/>
        </w:rPr>
        <w:t>lineariza</w:t>
      </w:r>
      <w:proofErr w:type="spellEnd"/>
      <w:r>
        <w:rPr>
          <w:rFonts w:ascii="Arial" w:hAnsi="Arial" w:cs="Arial"/>
          <w:sz w:val="22"/>
          <w:lang w:val="es-ES_tradnl"/>
        </w:rPr>
        <w:t xml:space="preserve"> alrededor del estado estacionario y el sistema se resuelve usando métodos numéricos estándar. La solución consiste en un sistema de ecuaciones lineales en diferencias que relacionan las 85 variables endógenas (consumo, inversión, PIB, tasa de crecimiento, exportaciones, importaciones, stock de infraestructura, deuda pública, déficit primario, etc.) con las llamadas variables de estado. Las variables de estado incluyen a las variables endógenas rezagadas y al conjunto de variables exógenas. Hay 21 variables exógenas. El vector de variables exógenas incluye, a grandes rasgos, variables del ciclo económico mundial (PIB global o de los mayores socios comerciales del país, tasa de interés externa y precios de commodities), choques tecnológicos domésticos y las variables de política fiscal. En resumen, la dinámica de la economía está dada por el siguiente proceso lineal:</w:t>
      </w:r>
    </w:p>
    <w:p>
      <w:pPr>
        <w:pStyle w:val="Paragraph"/>
        <w:numPr>
          <w:ilvl w:val="0"/>
          <w:numId w:val="0"/>
        </w:numPr>
        <w:ind w:left="630" w:hanging="648"/>
        <w:jc w:val="center"/>
        <w:rPr>
          <w:rFonts w:ascii="Arial" w:hAnsi="Arial" w:cs="Arial"/>
          <w:sz w:val="22"/>
          <w:lang w:val="es-ES_tradnl"/>
        </w:rPr>
      </w:pPr>
      <w:proofErr w:type="spellStart"/>
      <w:r>
        <w:rPr>
          <w:rFonts w:ascii="Arial" w:hAnsi="Arial" w:cs="Arial"/>
          <w:sz w:val="22"/>
          <w:lang w:val="es-ES_tradnl"/>
        </w:rPr>
        <w:t>Y_t</w:t>
      </w:r>
      <w:proofErr w:type="spellEnd"/>
      <w:r>
        <w:rPr>
          <w:rFonts w:ascii="Arial" w:hAnsi="Arial" w:cs="Arial"/>
          <w:sz w:val="22"/>
          <w:lang w:val="es-ES_tradnl"/>
        </w:rPr>
        <w:t>=AY_(t-</w:t>
      </w:r>
      <w:proofErr w:type="gramStart"/>
      <w:r>
        <w:rPr>
          <w:rFonts w:ascii="Arial" w:hAnsi="Arial" w:cs="Arial"/>
          <w:sz w:val="22"/>
          <w:lang w:val="es-ES_tradnl"/>
        </w:rPr>
        <w:t>1)+</w:t>
      </w:r>
      <w:proofErr w:type="spellStart"/>
      <w:proofErr w:type="gramEnd"/>
      <w:r>
        <w:rPr>
          <w:rFonts w:ascii="Arial" w:hAnsi="Arial" w:cs="Arial"/>
          <w:sz w:val="22"/>
          <w:lang w:val="es-ES_tradnl"/>
        </w:rPr>
        <w:t>Bω_t</w:t>
      </w:r>
      <w:proofErr w:type="spellEnd"/>
    </w:p>
    <w:p>
      <w:pPr>
        <w:pStyle w:val="Paragraph"/>
        <w:numPr>
          <w:ilvl w:val="0"/>
          <w:numId w:val="0"/>
        </w:numPr>
        <w:ind w:left="720" w:hanging="90"/>
        <w:rPr>
          <w:rFonts w:ascii="Arial" w:hAnsi="Arial" w:cs="Arial"/>
          <w:sz w:val="22"/>
          <w:lang w:val="es-ES_tradnl"/>
        </w:rPr>
      </w:pPr>
      <w:r>
        <w:rPr>
          <w:rFonts w:ascii="Arial" w:hAnsi="Arial" w:cs="Arial"/>
          <w:sz w:val="22"/>
          <w:lang w:val="es-ES_tradnl"/>
        </w:rPr>
        <w:t xml:space="preserve">Donde </w:t>
      </w:r>
      <w:proofErr w:type="spellStart"/>
      <w:r>
        <w:rPr>
          <w:rFonts w:ascii="Arial" w:hAnsi="Arial" w:cs="Arial"/>
          <w:sz w:val="22"/>
          <w:lang w:val="es-ES_tradnl"/>
        </w:rPr>
        <w:t>Y_t</w:t>
      </w:r>
      <w:proofErr w:type="spellEnd"/>
      <w:r>
        <w:rPr>
          <w:rFonts w:ascii="Arial" w:hAnsi="Arial" w:cs="Arial"/>
          <w:sz w:val="22"/>
          <w:lang w:val="es-ES_tradnl"/>
        </w:rPr>
        <w:t xml:space="preserve"> es el vector de variables endógenas, </w:t>
      </w:r>
      <w:proofErr w:type="spellStart"/>
      <w:r>
        <w:rPr>
          <w:rFonts w:ascii="Arial" w:hAnsi="Arial" w:cs="Arial"/>
          <w:sz w:val="22"/>
          <w:lang w:val="es-ES_tradnl"/>
        </w:rPr>
        <w:t>ω_t</w:t>
      </w:r>
      <w:proofErr w:type="spellEnd"/>
      <w:r>
        <w:rPr>
          <w:rFonts w:ascii="Arial" w:hAnsi="Arial" w:cs="Arial"/>
          <w:sz w:val="22"/>
          <w:lang w:val="es-ES_tradnl"/>
        </w:rPr>
        <w:t xml:space="preserve"> es el vector de variables exógenas y A y B son matrices que dependen de los parámetros del modelo. Dado un punto de partida Y_2010 (año 2010 o estado estacionario) y dada la trayectoria de la variable o variables exógenas desde el año 2010 hasta el horizonte deseado de proyección (año 2020, por ejemplo) ({</w:t>
      </w:r>
      <w:proofErr w:type="spellStart"/>
      <w:r>
        <w:rPr>
          <w:rFonts w:ascii="Arial" w:hAnsi="Arial" w:cs="Arial"/>
          <w:sz w:val="22"/>
          <w:lang w:val="es-ES_tradnl"/>
        </w:rPr>
        <w:t>ω_</w:t>
      </w:r>
      <w:proofErr w:type="gramStart"/>
      <w:r>
        <w:rPr>
          <w:rFonts w:ascii="Arial" w:hAnsi="Arial" w:cs="Arial"/>
          <w:sz w:val="22"/>
          <w:lang w:val="es-ES_tradnl"/>
        </w:rPr>
        <w:t>t</w:t>
      </w:r>
      <w:proofErr w:type="spellEnd"/>
      <w:r>
        <w:rPr>
          <w:rFonts w:ascii="Arial" w:hAnsi="Arial" w:cs="Arial"/>
          <w:sz w:val="22"/>
          <w:lang w:val="es-ES_tradnl"/>
        </w:rPr>
        <w:t xml:space="preserve"> }</w:t>
      </w:r>
      <w:proofErr w:type="gramEnd"/>
      <w:r>
        <w:rPr>
          <w:rFonts w:ascii="Arial" w:hAnsi="Arial" w:cs="Arial"/>
          <w:sz w:val="22"/>
          <w:lang w:val="es-ES_tradnl"/>
        </w:rPr>
        <w:t>_(t=2010)^(t=2020) ), es posible calcular la respuesta de la economía descrita por la trayectoria de las 85 variables endógenas ({</w:t>
      </w:r>
      <w:proofErr w:type="spellStart"/>
      <w:r>
        <w:rPr>
          <w:rFonts w:ascii="Arial" w:hAnsi="Arial" w:cs="Arial"/>
          <w:sz w:val="22"/>
          <w:lang w:val="es-ES_tradnl"/>
        </w:rPr>
        <w:t>Y_t</w:t>
      </w:r>
      <w:proofErr w:type="spellEnd"/>
      <w:r>
        <w:rPr>
          <w:rFonts w:ascii="Arial" w:hAnsi="Arial" w:cs="Arial"/>
          <w:sz w:val="22"/>
          <w:lang w:val="es-ES_tradnl"/>
        </w:rPr>
        <w:t xml:space="preserve"> }_(t=2010)^2020 ).</w:t>
      </w:r>
    </w:p>
    <w:p>
      <w:pPr>
        <w:pStyle w:val="Paragraph"/>
        <w:numPr>
          <w:ilvl w:val="1"/>
          <w:numId w:val="50"/>
        </w:numPr>
        <w:ind w:left="720" w:hanging="720"/>
        <w:rPr>
          <w:rFonts w:ascii="Arial" w:hAnsi="Arial" w:cs="Arial"/>
          <w:sz w:val="22"/>
          <w:lang w:val="es-ES_tradnl"/>
        </w:rPr>
      </w:pPr>
      <w:r>
        <w:rPr>
          <w:rFonts w:ascii="Arial" w:hAnsi="Arial" w:cs="Arial"/>
          <w:sz w:val="22"/>
          <w:lang w:val="es-ES"/>
        </w:rPr>
        <w:t>Para evaluar los impactos macroeconómicos de la masificación de la factura electrónica, se estimará la trayectoria temporal de la variable exógena - la tasa efectiva de tributación de IVA - y se usará el modelo para estimar el efecto sobre la evolución del déficit fiscal y la deuda pública. Se usará el resultado del ejercicio de control sintético para la construcción de la trayectoria de la variable exógena entre 2017 y 2020. Específicamente, el ejercicio de control sintético permite estimar los mayores ingresos de IVA en relación con el pool de donantes que no recibieron el “tratamiento” de la F-e. Con los datos de mayores ingresos de IVA explicados por el “tratamiento”, se construirá la senda temporal de la tasa efectiva de tributación de IVA. La calibración del modelo se actualizará en la medida que se disponga de información más reciente, particularmente, de la matriz insumo producto.</w:t>
      </w:r>
    </w:p>
    <w:p>
      <w:pPr>
        <w:pStyle w:val="Chapter"/>
        <w:numPr>
          <w:ilvl w:val="0"/>
          <w:numId w:val="15"/>
        </w:numPr>
        <w:spacing w:before="120" w:after="120"/>
        <w:ind w:hanging="720"/>
        <w:jc w:val="both"/>
        <w:rPr>
          <w:rFonts w:ascii="Arial" w:hAnsi="Arial" w:cs="Arial"/>
          <w:sz w:val="22"/>
          <w:lang w:val="es-ES_tradnl"/>
        </w:rPr>
      </w:pPr>
      <w:bookmarkStart w:id="28" w:name="_Toc496695013"/>
      <w:r>
        <w:rPr>
          <w:rFonts w:ascii="Arial" w:hAnsi="Arial" w:cs="Arial"/>
          <w:sz w:val="22"/>
          <w:lang w:val="es-ES_tradnl"/>
        </w:rPr>
        <w:t>Coordinación, plan de trabajo y presupuesto de la evaluación</w:t>
      </w:r>
      <w:bookmarkEnd w:id="28"/>
      <w:r>
        <w:rPr>
          <w:rFonts w:ascii="Arial" w:hAnsi="Arial" w:cs="Arial"/>
          <w:sz w:val="22"/>
          <w:lang w:val="es-ES_tradnl"/>
        </w:rPr>
        <w:t xml:space="preserve"> </w:t>
      </w:r>
    </w:p>
    <w:p>
      <w:pPr>
        <w:pStyle w:val="NoSpacing"/>
        <w:numPr>
          <w:ilvl w:val="1"/>
          <w:numId w:val="50"/>
        </w:numPr>
        <w:spacing w:before="120" w:after="120"/>
        <w:ind w:left="720" w:hanging="720"/>
        <w:jc w:val="both"/>
        <w:rPr>
          <w:rFonts w:ascii="Arial" w:hAnsi="Arial" w:cs="Arial"/>
          <w:lang w:val="es-ES_tradnl"/>
        </w:rPr>
      </w:pPr>
      <w:bookmarkStart w:id="29" w:name="_Hlk496695452"/>
      <w:r>
        <w:rPr>
          <w:rFonts w:ascii="Arial" w:hAnsi="Arial" w:cs="Arial"/>
          <w:lang w:val="es-ES_tradnl"/>
        </w:rPr>
        <w:t>La Evaluación del Programa será realizada por un consultor independiente, en coordinación con el equipo del proyecto, cuyos servicios serán cubiertos con recursos transaccionales de la división. La evaluación del programa será insumo del informe de terminación de proyecto de la operación (PCR), que deberá ocurrir después del desembolso de esta segunda operación.</w:t>
      </w:r>
    </w:p>
    <w:bookmarkEnd w:id="29"/>
    <w:p>
      <w:pPr>
        <w:pStyle w:val="NoSpacing"/>
        <w:numPr>
          <w:ilvl w:val="1"/>
          <w:numId w:val="50"/>
        </w:numPr>
        <w:spacing w:before="120" w:after="120"/>
        <w:ind w:left="720" w:hanging="720"/>
        <w:jc w:val="both"/>
        <w:rPr>
          <w:rFonts w:ascii="Arial" w:hAnsi="Arial" w:cs="Arial"/>
          <w:lang w:val="es-ES_tradnl"/>
        </w:rPr>
      </w:pPr>
      <w:r>
        <w:rPr>
          <w:rFonts w:ascii="Arial" w:hAnsi="Arial" w:cs="Arial"/>
          <w:lang w:val="es-ES_tradnl"/>
        </w:rPr>
        <w:t>Al final de este Plan, como anexo, se incluye un borrador de los términos de referencia a emplearse en la contratación de la consultoría para realizar la evaluación final del Programa.</w:t>
      </w:r>
    </w:p>
    <w:p>
      <w:pPr>
        <w:pStyle w:val="NoSpacing"/>
        <w:spacing w:before="120" w:after="120"/>
        <w:ind w:left="720" w:hanging="720"/>
        <w:jc w:val="both"/>
        <w:rPr>
          <w:rFonts w:ascii="Arial" w:hAnsi="Arial" w:cs="Arial"/>
          <w:lang w:val="es-ES_tradnl"/>
        </w:rPr>
      </w:pPr>
    </w:p>
    <w:p>
      <w:pPr>
        <w:pStyle w:val="NoSpacing"/>
        <w:numPr>
          <w:ilvl w:val="1"/>
          <w:numId w:val="50"/>
        </w:numPr>
        <w:spacing w:before="120" w:after="120"/>
        <w:ind w:left="720" w:hanging="720"/>
        <w:jc w:val="both"/>
        <w:rPr>
          <w:rFonts w:ascii="Arial" w:hAnsi="Arial" w:cs="Arial"/>
          <w:lang w:val="es-ES_tradnl"/>
        </w:rPr>
      </w:pPr>
      <w:r>
        <w:rPr>
          <w:rFonts w:ascii="Arial" w:hAnsi="Arial" w:cs="Arial"/>
          <w:lang w:val="es-ES_tradnl"/>
        </w:rPr>
        <w:t xml:space="preserve">En la Tabla III.A, se presenta el plan de trabajo para la implementación del Plan de Evaluación. Dicho plan incluye las principales actividades y sus respectivos </w:t>
      </w:r>
      <w:r>
        <w:rPr>
          <w:rFonts w:ascii="Arial" w:hAnsi="Arial" w:cs="Arial"/>
          <w:lang w:val="es-ES_tradnl"/>
        </w:rPr>
        <w:lastRenderedPageBreak/>
        <w:t xml:space="preserve">productos, el plazo de cumplimiento, el responsable y el costo, identificando la fuente de financiamiento. </w:t>
      </w:r>
    </w:p>
    <w:p>
      <w:pPr>
        <w:pStyle w:val="Paragraph"/>
        <w:numPr>
          <w:ilvl w:val="0"/>
          <w:numId w:val="0"/>
        </w:numPr>
        <w:tabs>
          <w:tab w:val="left" w:pos="720"/>
        </w:tabs>
        <w:spacing w:before="0" w:after="0"/>
        <w:ind w:firstLine="720"/>
        <w:jc w:val="center"/>
        <w:rPr>
          <w:rFonts w:ascii="Arial" w:eastAsia="Arial" w:hAnsi="Arial" w:cs="Arial"/>
          <w:b/>
          <w:bCs/>
          <w:sz w:val="22"/>
          <w:lang w:val="es-ES"/>
        </w:rPr>
      </w:pPr>
      <w:r>
        <w:rPr>
          <w:rFonts w:ascii="Arial" w:eastAsia="Arial" w:hAnsi="Arial" w:cs="Arial"/>
          <w:b/>
          <w:bCs/>
          <w:sz w:val="22"/>
          <w:lang w:val="es-ES"/>
        </w:rPr>
        <w:t>Tabla III.A</w:t>
      </w:r>
    </w:p>
    <w:p>
      <w:pPr>
        <w:pStyle w:val="Paragraph"/>
        <w:numPr>
          <w:ilvl w:val="0"/>
          <w:numId w:val="0"/>
        </w:numPr>
        <w:tabs>
          <w:tab w:val="left" w:pos="720"/>
        </w:tabs>
        <w:spacing w:before="0" w:after="0"/>
        <w:ind w:firstLine="720"/>
        <w:jc w:val="center"/>
        <w:rPr>
          <w:rFonts w:ascii="Arial" w:eastAsia="Arial" w:hAnsi="Arial" w:cs="Arial"/>
          <w:b/>
          <w:bCs/>
          <w:sz w:val="22"/>
          <w:lang w:val="es-CO"/>
        </w:rPr>
      </w:pPr>
      <w:r>
        <w:rPr>
          <w:rFonts w:ascii="Arial" w:eastAsia="Arial" w:hAnsi="Arial" w:cs="Arial"/>
          <w:b/>
          <w:bCs/>
          <w:sz w:val="22"/>
          <w:lang w:val="es-CO"/>
        </w:rPr>
        <w:t>Planificación y Presupuesto del Programa de Evaluación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291"/>
        <w:gridCol w:w="351"/>
        <w:gridCol w:w="351"/>
        <w:gridCol w:w="1307"/>
        <w:gridCol w:w="1615"/>
      </w:tblGrid>
      <w:tr>
        <w:trPr>
          <w:trHeight w:val="300"/>
          <w:jc w:val="right"/>
        </w:trPr>
        <w:tc>
          <w:tcPr>
            <w:tcW w:w="4291" w:type="dxa"/>
            <w:tcBorders>
              <w:top w:val="single" w:sz="4" w:space="0" w:color="auto"/>
              <w:left w:val="single" w:sz="4" w:space="0" w:color="auto"/>
              <w:bottom w:val="single" w:sz="4" w:space="0" w:color="auto"/>
              <w:right w:val="single" w:sz="4" w:space="0" w:color="auto"/>
            </w:tcBorders>
            <w:shd w:val="clear" w:color="auto" w:fill="8DB4E2"/>
            <w:noWrap/>
            <w:vAlign w:val="center"/>
            <w:hideMark/>
          </w:tcPr>
          <w:p>
            <w:pPr>
              <w:spacing w:after="0"/>
              <w:jc w:val="center"/>
              <w:rPr>
                <w:rFonts w:ascii="Arial" w:eastAsia="Arial,Times New Roman" w:hAnsi="Arial" w:cs="Arial"/>
                <w:b/>
                <w:bCs/>
                <w:color w:val="000000" w:themeColor="text1"/>
                <w:sz w:val="18"/>
                <w:szCs w:val="20"/>
                <w:lang w:val="es-CO"/>
              </w:rPr>
            </w:pPr>
            <w:r>
              <w:rPr>
                <w:rFonts w:ascii="Arial" w:eastAsia="Arial,Times New Roman" w:hAnsi="Arial" w:cs="Arial"/>
                <w:b/>
                <w:bCs/>
                <w:color w:val="000000" w:themeColor="text1"/>
                <w:sz w:val="18"/>
                <w:szCs w:val="20"/>
                <w:lang w:val="es-CO"/>
              </w:rPr>
              <w:t>Actividades</w:t>
            </w:r>
          </w:p>
        </w:tc>
        <w:tc>
          <w:tcPr>
            <w:tcW w:w="0" w:type="auto"/>
            <w:gridSpan w:val="2"/>
            <w:tcBorders>
              <w:top w:val="single" w:sz="4" w:space="0" w:color="auto"/>
              <w:left w:val="single" w:sz="4" w:space="0" w:color="auto"/>
              <w:bottom w:val="single" w:sz="4" w:space="0" w:color="auto"/>
              <w:right w:val="single" w:sz="4" w:space="0" w:color="auto"/>
            </w:tcBorders>
            <w:shd w:val="clear" w:color="auto" w:fill="8DB4E2"/>
            <w:vAlign w:val="center"/>
          </w:tcPr>
          <w:p>
            <w:pPr>
              <w:spacing w:after="0"/>
              <w:jc w:val="center"/>
              <w:rPr>
                <w:rFonts w:ascii="Arial" w:eastAsia="Arial,Times New Roman" w:hAnsi="Arial" w:cs="Arial"/>
                <w:b/>
                <w:bCs/>
                <w:color w:val="000000" w:themeColor="text1"/>
                <w:sz w:val="18"/>
                <w:szCs w:val="20"/>
                <w:lang w:val="es-CO"/>
              </w:rPr>
            </w:pPr>
            <w:r>
              <w:rPr>
                <w:rFonts w:ascii="Arial" w:eastAsia="Arial,Times New Roman" w:hAnsi="Arial" w:cs="Arial"/>
                <w:b/>
                <w:bCs/>
                <w:color w:val="000000" w:themeColor="text1"/>
                <w:sz w:val="18"/>
                <w:szCs w:val="20"/>
                <w:lang w:val="es-CO"/>
              </w:rPr>
              <w:t>2021</w:t>
            </w:r>
          </w:p>
        </w:tc>
        <w:tc>
          <w:tcPr>
            <w:tcW w:w="1307" w:type="dxa"/>
            <w:tcBorders>
              <w:top w:val="single" w:sz="4" w:space="0" w:color="auto"/>
              <w:left w:val="single" w:sz="4" w:space="0" w:color="auto"/>
              <w:bottom w:val="single" w:sz="4" w:space="0" w:color="auto"/>
              <w:right w:val="single" w:sz="4" w:space="0" w:color="auto"/>
            </w:tcBorders>
            <w:shd w:val="clear" w:color="auto" w:fill="8DB4E2"/>
            <w:noWrap/>
            <w:vAlign w:val="center"/>
            <w:hideMark/>
          </w:tcPr>
          <w:p>
            <w:pPr>
              <w:spacing w:after="0"/>
              <w:jc w:val="center"/>
              <w:rPr>
                <w:rFonts w:ascii="Arial" w:eastAsia="Arial,Times New Roman" w:hAnsi="Arial" w:cs="Arial"/>
                <w:b/>
                <w:bCs/>
                <w:color w:val="000000" w:themeColor="text1"/>
                <w:sz w:val="18"/>
                <w:szCs w:val="20"/>
                <w:lang w:val="es-CO"/>
              </w:rPr>
            </w:pPr>
            <w:r>
              <w:rPr>
                <w:rFonts w:ascii="Arial" w:eastAsia="Arial,Times New Roman" w:hAnsi="Arial" w:cs="Arial"/>
                <w:b/>
                <w:bCs/>
                <w:color w:val="000000" w:themeColor="text1"/>
                <w:sz w:val="18"/>
                <w:szCs w:val="20"/>
                <w:lang w:val="es-CO"/>
              </w:rPr>
              <w:t>Costo</w:t>
            </w:r>
          </w:p>
        </w:tc>
        <w:tc>
          <w:tcPr>
            <w:tcW w:w="1615" w:type="dxa"/>
            <w:tcBorders>
              <w:top w:val="single" w:sz="4" w:space="0" w:color="auto"/>
              <w:left w:val="single" w:sz="4" w:space="0" w:color="auto"/>
              <w:bottom w:val="single" w:sz="4" w:space="0" w:color="auto"/>
              <w:right w:val="single" w:sz="4" w:space="0" w:color="auto"/>
            </w:tcBorders>
            <w:shd w:val="clear" w:color="auto" w:fill="8DB4E2"/>
            <w:noWrap/>
            <w:vAlign w:val="center"/>
            <w:hideMark/>
          </w:tcPr>
          <w:p>
            <w:pPr>
              <w:spacing w:after="0"/>
              <w:jc w:val="center"/>
              <w:rPr>
                <w:rFonts w:ascii="Arial" w:eastAsia="Arial,Times New Roman" w:hAnsi="Arial" w:cs="Arial"/>
                <w:b/>
                <w:bCs/>
                <w:color w:val="000000" w:themeColor="text1"/>
                <w:sz w:val="18"/>
                <w:szCs w:val="20"/>
                <w:lang w:val="es-CO"/>
              </w:rPr>
            </w:pPr>
            <w:r>
              <w:rPr>
                <w:rFonts w:ascii="Arial" w:eastAsia="Arial,Times New Roman" w:hAnsi="Arial" w:cs="Arial"/>
                <w:b/>
                <w:bCs/>
                <w:color w:val="000000" w:themeColor="text1"/>
                <w:sz w:val="18"/>
                <w:szCs w:val="20"/>
                <w:lang w:val="es-CO"/>
              </w:rPr>
              <w:t>Fuente financiamiento</w:t>
            </w:r>
          </w:p>
        </w:tc>
      </w:tr>
      <w:tr>
        <w:trPr>
          <w:trHeight w:val="773"/>
          <w:jc w:val="right"/>
        </w:trPr>
        <w:tc>
          <w:tcPr>
            <w:tcW w:w="4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pacing w:after="0"/>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Medición de los indicadores de impacto y de resultados con información suministrada por el Gobierno, Sinergia y otras fuentes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pPr>
              <w:spacing w:after="0"/>
              <w:jc w:val="center"/>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X</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pPr>
              <w:jc w:val="center"/>
              <w:rPr>
                <w:rFonts w:ascii="Arial" w:eastAsia="Arial,Times New Roman" w:hAnsi="Arial" w:cs="Arial"/>
                <w:color w:val="000000" w:themeColor="text1"/>
                <w:sz w:val="18"/>
                <w:szCs w:val="20"/>
                <w:lang w:val="es-CO"/>
              </w:rPr>
            </w:pPr>
          </w:p>
        </w:tc>
        <w:tc>
          <w:tcPr>
            <w:tcW w:w="1307"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pPr>
              <w:spacing w:after="0"/>
              <w:jc w:val="center"/>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USD 20.000</w:t>
            </w:r>
          </w:p>
        </w:tc>
        <w:tc>
          <w:tcPr>
            <w:tcW w:w="1615" w:type="dxa"/>
            <w:vMerge w:val="restart"/>
            <w:tcBorders>
              <w:top w:val="single" w:sz="4" w:space="0" w:color="auto"/>
              <w:left w:val="single" w:sz="4" w:space="0" w:color="auto"/>
              <w:right w:val="single" w:sz="4" w:space="0" w:color="auto"/>
            </w:tcBorders>
            <w:shd w:val="clear" w:color="auto" w:fill="FFFFFF" w:themeFill="background1"/>
            <w:noWrap/>
            <w:vAlign w:val="center"/>
          </w:tcPr>
          <w:p>
            <w:pPr>
              <w:spacing w:after="0"/>
              <w:jc w:val="center"/>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Fondos propios y recursos transaccionales de IFD/FMM</w:t>
            </w:r>
          </w:p>
        </w:tc>
      </w:tr>
      <w:tr>
        <w:trPr>
          <w:trHeight w:val="620"/>
          <w:jc w:val="right"/>
        </w:trPr>
        <w:tc>
          <w:tcPr>
            <w:tcW w:w="4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after="0"/>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Aplicación de la metodología de control sintético para determinar el impacto en la recaudación del IVA por el cambio de modelo de la factura electrónica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pPr>
              <w:spacing w:after="0"/>
              <w:jc w:val="center"/>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X</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pPr>
              <w:spacing w:after="0"/>
              <w:jc w:val="center"/>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X</w:t>
            </w:r>
          </w:p>
        </w:tc>
        <w:tc>
          <w:tcPr>
            <w:tcW w:w="1307" w:type="dxa"/>
            <w:vMerge/>
            <w:tcBorders>
              <w:left w:val="single" w:sz="4" w:space="0" w:color="auto"/>
              <w:right w:val="single" w:sz="4" w:space="0" w:color="auto"/>
            </w:tcBorders>
            <w:shd w:val="clear" w:color="auto" w:fill="FFFFFF" w:themeFill="background1"/>
            <w:noWrap/>
            <w:vAlign w:val="center"/>
          </w:tcPr>
          <w:p>
            <w:pPr>
              <w:spacing w:after="0"/>
              <w:rPr>
                <w:rFonts w:ascii="Arial" w:eastAsia="Arial,Times New Roman" w:hAnsi="Arial" w:cs="Arial"/>
                <w:color w:val="000000" w:themeColor="text1"/>
                <w:sz w:val="18"/>
                <w:szCs w:val="20"/>
                <w:lang w:val="es-CO"/>
              </w:rPr>
            </w:pPr>
          </w:p>
        </w:tc>
        <w:tc>
          <w:tcPr>
            <w:tcW w:w="1615" w:type="dxa"/>
            <w:vMerge/>
            <w:tcBorders>
              <w:left w:val="single" w:sz="4" w:space="0" w:color="auto"/>
              <w:right w:val="single" w:sz="4" w:space="0" w:color="auto"/>
            </w:tcBorders>
            <w:shd w:val="clear" w:color="auto" w:fill="FFFFFF" w:themeFill="background1"/>
            <w:vAlign w:val="center"/>
          </w:tcPr>
          <w:p>
            <w:pPr>
              <w:spacing w:after="0"/>
              <w:rPr>
                <w:rFonts w:ascii="Arial" w:eastAsia="Arial,Times New Roman" w:hAnsi="Arial" w:cs="Arial"/>
                <w:color w:val="000000" w:themeColor="text1"/>
                <w:sz w:val="18"/>
                <w:szCs w:val="20"/>
                <w:lang w:val="es-CO"/>
              </w:rPr>
            </w:pPr>
          </w:p>
        </w:tc>
      </w:tr>
      <w:tr>
        <w:trPr>
          <w:trHeight w:val="620"/>
          <w:jc w:val="right"/>
        </w:trPr>
        <w:tc>
          <w:tcPr>
            <w:tcW w:w="4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pPr>
              <w:spacing w:after="0"/>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Calculo de los impactos macroeconómicos del programa mediante la aplicación del modelo de equilibrio general calibrado para Colombia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pPr>
              <w:spacing w:after="0"/>
              <w:jc w:val="center"/>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X</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pPr>
              <w:spacing w:after="0"/>
              <w:jc w:val="center"/>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X</w:t>
            </w:r>
          </w:p>
        </w:tc>
        <w:tc>
          <w:tcPr>
            <w:tcW w:w="1307" w:type="dxa"/>
            <w:vMerge/>
            <w:tcBorders>
              <w:left w:val="single" w:sz="4" w:space="0" w:color="auto"/>
              <w:right w:val="single" w:sz="4" w:space="0" w:color="auto"/>
            </w:tcBorders>
            <w:shd w:val="clear" w:color="auto" w:fill="FFFFFF" w:themeFill="background1"/>
            <w:noWrap/>
            <w:vAlign w:val="center"/>
            <w:hideMark/>
          </w:tcPr>
          <w:p>
            <w:pPr>
              <w:spacing w:after="0"/>
              <w:rPr>
                <w:rFonts w:ascii="Arial" w:eastAsia="Arial,Times New Roman" w:hAnsi="Arial" w:cs="Arial"/>
                <w:color w:val="000000" w:themeColor="text1"/>
                <w:sz w:val="18"/>
                <w:szCs w:val="20"/>
                <w:lang w:val="es-CO"/>
              </w:rPr>
            </w:pPr>
          </w:p>
        </w:tc>
        <w:tc>
          <w:tcPr>
            <w:tcW w:w="1615" w:type="dxa"/>
            <w:vMerge/>
            <w:tcBorders>
              <w:left w:val="single" w:sz="4" w:space="0" w:color="auto"/>
              <w:right w:val="single" w:sz="4" w:space="0" w:color="auto"/>
            </w:tcBorders>
            <w:shd w:val="clear" w:color="auto" w:fill="FFFFFF" w:themeFill="background1"/>
            <w:vAlign w:val="center"/>
          </w:tcPr>
          <w:p>
            <w:pPr>
              <w:spacing w:after="0"/>
              <w:rPr>
                <w:rFonts w:ascii="Arial" w:eastAsia="Arial,Times New Roman" w:hAnsi="Arial" w:cs="Arial"/>
                <w:color w:val="000000" w:themeColor="text1"/>
                <w:sz w:val="18"/>
                <w:szCs w:val="20"/>
                <w:lang w:val="es-CO"/>
              </w:rPr>
            </w:pPr>
          </w:p>
        </w:tc>
      </w:tr>
      <w:tr>
        <w:trPr>
          <w:trHeight w:val="620"/>
          <w:jc w:val="right"/>
        </w:trPr>
        <w:tc>
          <w:tcPr>
            <w:tcW w:w="4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after="0"/>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Informe de resultados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pPr>
              <w:spacing w:after="0"/>
              <w:jc w:val="center"/>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X</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pPr>
              <w:spacing w:after="0"/>
              <w:jc w:val="center"/>
              <w:rPr>
                <w:rFonts w:ascii="Arial" w:eastAsia="Arial,Times New Roman" w:hAnsi="Arial" w:cs="Arial"/>
                <w:color w:val="000000" w:themeColor="text1"/>
                <w:sz w:val="18"/>
                <w:szCs w:val="20"/>
                <w:lang w:val="es-CO"/>
              </w:rPr>
            </w:pPr>
            <w:r>
              <w:rPr>
                <w:rFonts w:ascii="Arial" w:eastAsia="Arial,Times New Roman" w:hAnsi="Arial" w:cs="Arial"/>
                <w:color w:val="000000" w:themeColor="text1"/>
                <w:sz w:val="18"/>
                <w:szCs w:val="20"/>
                <w:lang w:val="es-CO"/>
              </w:rPr>
              <w:t>X</w:t>
            </w:r>
          </w:p>
        </w:tc>
        <w:tc>
          <w:tcPr>
            <w:tcW w:w="1307" w:type="dxa"/>
            <w:vMerge/>
            <w:tcBorders>
              <w:left w:val="single" w:sz="4" w:space="0" w:color="auto"/>
              <w:bottom w:val="single" w:sz="4" w:space="0" w:color="auto"/>
              <w:right w:val="single" w:sz="4" w:space="0" w:color="auto"/>
            </w:tcBorders>
            <w:shd w:val="clear" w:color="auto" w:fill="FFFFFF" w:themeFill="background1"/>
            <w:noWrap/>
            <w:vAlign w:val="center"/>
          </w:tcPr>
          <w:p>
            <w:pPr>
              <w:spacing w:after="0"/>
              <w:rPr>
                <w:rFonts w:ascii="Arial" w:eastAsia="Arial,Times New Roman" w:hAnsi="Arial" w:cs="Arial"/>
                <w:color w:val="000000" w:themeColor="text1"/>
                <w:sz w:val="18"/>
                <w:szCs w:val="20"/>
                <w:lang w:val="es-CO"/>
              </w:rPr>
            </w:pPr>
          </w:p>
        </w:tc>
        <w:tc>
          <w:tcPr>
            <w:tcW w:w="1615" w:type="dxa"/>
            <w:vMerge/>
            <w:tcBorders>
              <w:left w:val="single" w:sz="4" w:space="0" w:color="auto"/>
              <w:bottom w:val="single" w:sz="4" w:space="0" w:color="auto"/>
              <w:right w:val="single" w:sz="4" w:space="0" w:color="auto"/>
            </w:tcBorders>
            <w:shd w:val="clear" w:color="auto" w:fill="FFFFFF" w:themeFill="background1"/>
            <w:vAlign w:val="center"/>
          </w:tcPr>
          <w:p>
            <w:pPr>
              <w:spacing w:after="0"/>
              <w:rPr>
                <w:rFonts w:ascii="Arial" w:eastAsia="Arial,Times New Roman" w:hAnsi="Arial" w:cs="Arial"/>
                <w:color w:val="000000" w:themeColor="text1"/>
                <w:sz w:val="18"/>
                <w:szCs w:val="20"/>
                <w:lang w:val="es-CO"/>
              </w:rPr>
            </w:pPr>
          </w:p>
        </w:tc>
      </w:tr>
    </w:tbl>
    <w:p>
      <w:pPr>
        <w:pStyle w:val="Paragraph"/>
        <w:numPr>
          <w:ilvl w:val="0"/>
          <w:numId w:val="0"/>
        </w:numPr>
        <w:spacing w:before="0" w:after="0"/>
        <w:rPr>
          <w:rFonts w:ascii="Arial" w:eastAsia="Arial" w:hAnsi="Arial" w:cs="Arial"/>
          <w:sz w:val="22"/>
          <w:lang w:val="es-CO"/>
        </w:rPr>
      </w:pPr>
    </w:p>
    <w:p>
      <w:pPr>
        <w:pStyle w:val="Paragraph"/>
        <w:numPr>
          <w:ilvl w:val="1"/>
          <w:numId w:val="0"/>
        </w:numPr>
        <w:spacing w:before="0" w:after="0"/>
        <w:ind w:firstLine="720"/>
        <w:jc w:val="center"/>
        <w:rPr>
          <w:rFonts w:ascii="Arial" w:eastAsia="Arial" w:hAnsi="Arial" w:cs="Arial"/>
          <w:b/>
          <w:bCs/>
          <w:sz w:val="22"/>
          <w:lang w:val="es-ES_tradnl"/>
        </w:rPr>
      </w:pPr>
    </w:p>
    <w:p>
      <w:pPr>
        <w:pStyle w:val="Paragraph"/>
        <w:numPr>
          <w:ilvl w:val="1"/>
          <w:numId w:val="0"/>
        </w:numPr>
        <w:spacing w:before="0" w:after="0"/>
        <w:ind w:firstLine="720"/>
        <w:jc w:val="center"/>
        <w:rPr>
          <w:rFonts w:ascii="Arial" w:eastAsia="Arial" w:hAnsi="Arial" w:cs="Arial"/>
          <w:b/>
          <w:bCs/>
          <w:sz w:val="22"/>
          <w:lang w:val="es-ES_tradnl"/>
        </w:rPr>
        <w:sectPr>
          <w:type w:val="continuous"/>
          <w:pgSz w:w="12240" w:h="15840"/>
          <w:pgMar w:top="1440" w:right="1800" w:bottom="1440" w:left="1800" w:header="720" w:footer="720" w:gutter="0"/>
          <w:cols w:space="720"/>
          <w:docGrid w:linePitch="360"/>
        </w:sectPr>
      </w:pPr>
    </w:p>
    <w:p>
      <w:pPr>
        <w:spacing w:after="0"/>
        <w:rPr>
          <w:rFonts w:ascii="Arial" w:hAnsi="Arial" w:cs="Arial"/>
          <w:b/>
          <w:bCs/>
          <w:lang w:val="es-ES_tradnl"/>
        </w:rPr>
      </w:pPr>
      <w:r>
        <w:rPr>
          <w:rFonts w:ascii="Arial" w:hAnsi="Arial" w:cs="Arial"/>
          <w:b/>
          <w:bCs/>
          <w:lang w:val="es-ES_tradnl"/>
        </w:rPr>
        <w:lastRenderedPageBreak/>
        <w:t xml:space="preserve">ANEXO </w:t>
      </w:r>
    </w:p>
    <w:p>
      <w:pPr>
        <w:spacing w:after="0"/>
        <w:rPr>
          <w:rFonts w:ascii="Arial" w:hAnsi="Arial" w:cs="Arial"/>
          <w:b/>
          <w:bCs/>
          <w:lang w:val="es-ES_tradnl"/>
        </w:rPr>
      </w:pPr>
    </w:p>
    <w:p>
      <w:pPr>
        <w:spacing w:after="0"/>
        <w:rPr>
          <w:rFonts w:ascii="Arial" w:hAnsi="Arial" w:cs="Arial"/>
          <w:b/>
          <w:bCs/>
          <w:lang w:val="es-ES_tradnl"/>
        </w:rPr>
      </w:pPr>
      <w:r>
        <w:rPr>
          <w:rFonts w:ascii="Arial" w:hAnsi="Arial" w:cs="Arial"/>
          <w:b/>
          <w:bCs/>
          <w:lang w:val="es-ES_tradnl"/>
        </w:rPr>
        <w:t xml:space="preserve">Colombia </w:t>
      </w:r>
    </w:p>
    <w:p>
      <w:pPr>
        <w:spacing w:after="0"/>
        <w:rPr>
          <w:rFonts w:ascii="Arial" w:hAnsi="Arial" w:cs="Arial"/>
          <w:b/>
          <w:bCs/>
          <w:lang w:val="es-ES_tradnl"/>
        </w:rPr>
      </w:pPr>
    </w:p>
    <w:p>
      <w:pPr>
        <w:spacing w:after="0"/>
        <w:rPr>
          <w:rFonts w:ascii="Arial" w:hAnsi="Arial" w:cs="Arial"/>
          <w:b/>
          <w:bCs/>
          <w:lang w:val="es-ES_tradnl"/>
        </w:rPr>
      </w:pPr>
      <w:r>
        <w:rPr>
          <w:rFonts w:ascii="Arial" w:hAnsi="Arial" w:cs="Arial"/>
          <w:b/>
          <w:bCs/>
          <w:lang w:val="es-ES_tradnl"/>
        </w:rPr>
        <w:t>FMM/CCO</w:t>
      </w:r>
    </w:p>
    <w:p>
      <w:pPr>
        <w:spacing w:after="0"/>
        <w:rPr>
          <w:rFonts w:ascii="Arial" w:hAnsi="Arial" w:cs="Arial"/>
          <w:b/>
          <w:bCs/>
          <w:lang w:val="es-ES_tradnl"/>
        </w:rPr>
      </w:pPr>
    </w:p>
    <w:p>
      <w:pPr>
        <w:spacing w:after="0"/>
        <w:rPr>
          <w:rFonts w:ascii="Arial" w:hAnsi="Arial" w:cs="Arial"/>
          <w:iCs/>
          <w:lang w:val="es-ES_tradnl"/>
        </w:rPr>
      </w:pPr>
      <w:r>
        <w:rPr>
          <w:rFonts w:ascii="Arial" w:hAnsi="Arial" w:cs="Arial"/>
          <w:b/>
          <w:bCs/>
          <w:lang w:val="es-ES_tradnl"/>
        </w:rPr>
        <w:t>EVALUACIÓN DEL PROGRAMA</w:t>
      </w:r>
    </w:p>
    <w:p>
      <w:pPr>
        <w:spacing w:after="0"/>
        <w:rPr>
          <w:rFonts w:ascii="Arial" w:hAnsi="Arial" w:cs="Arial"/>
          <w:iCs/>
          <w:lang w:val="es-ES_tradnl"/>
        </w:rPr>
      </w:pPr>
    </w:p>
    <w:p>
      <w:pPr>
        <w:spacing w:after="0"/>
        <w:rPr>
          <w:rFonts w:ascii="Arial" w:hAnsi="Arial" w:cs="Arial"/>
          <w:b/>
          <w:bCs/>
          <w:lang w:val="es-ES_tradnl"/>
        </w:rPr>
      </w:pPr>
      <w:r>
        <w:rPr>
          <w:rFonts w:ascii="Arial" w:hAnsi="Arial" w:cs="Arial"/>
          <w:b/>
          <w:bCs/>
          <w:lang w:val="es-ES_tradnl"/>
        </w:rPr>
        <w:t>TERMINOS DE REFERENCIA</w:t>
      </w:r>
    </w:p>
    <w:p>
      <w:pPr>
        <w:spacing w:after="0"/>
        <w:rPr>
          <w:rFonts w:ascii="Arial" w:hAnsi="Arial" w:cs="Arial"/>
          <w:b/>
          <w:bCs/>
          <w:lang w:val="es-ES_tradnl"/>
        </w:rPr>
      </w:pPr>
    </w:p>
    <w:p>
      <w:pPr>
        <w:spacing w:after="0"/>
        <w:jc w:val="both"/>
        <w:rPr>
          <w:rFonts w:ascii="Arial" w:hAnsi="Arial" w:cs="Arial"/>
          <w:b/>
          <w:bCs/>
          <w:lang w:val="es-ES_tradnl"/>
        </w:rPr>
      </w:pPr>
      <w:r>
        <w:rPr>
          <w:rFonts w:ascii="Arial" w:hAnsi="Arial" w:cs="Arial"/>
          <w:b/>
          <w:bCs/>
          <w:lang w:val="es-ES_tradnl"/>
        </w:rPr>
        <w:t>Antecedentes</w:t>
      </w:r>
    </w:p>
    <w:p>
      <w:pPr>
        <w:spacing w:after="0"/>
        <w:jc w:val="both"/>
        <w:rPr>
          <w:rFonts w:ascii="Arial" w:hAnsi="Arial" w:cs="Arial"/>
          <w:b/>
          <w:bCs/>
          <w:lang w:val="es-ES_tradnl"/>
        </w:rPr>
      </w:pPr>
    </w:p>
    <w:p>
      <w:pPr>
        <w:spacing w:after="0"/>
        <w:jc w:val="both"/>
        <w:rPr>
          <w:rFonts w:ascii="Arial" w:hAnsi="Arial" w:cs="Arial"/>
          <w:lang w:val="es-ES_tradnl"/>
        </w:rPr>
      </w:pPr>
      <w:r>
        <w:rPr>
          <w:rFonts w:ascii="Arial" w:hAnsi="Arial" w:cs="Arial"/>
          <w:lang w:val="es-ES_tradnl"/>
        </w:rPr>
        <w:t>Establecido en 1959, el Banco Interamericano de Desarrollo (“BID " o " Banco") es la principal fuente de financiamiento para el desarrollo económico, social e institucional en América Latina y el Caribe. Proporciona préstamos, subvenciones, garantías, asesoramiento sobre políticas y asistencia técnica a los sectores público y privado de sus países prestatarios.</w:t>
      </w:r>
    </w:p>
    <w:p>
      <w:pPr>
        <w:spacing w:after="0"/>
        <w:jc w:val="both"/>
        <w:rPr>
          <w:rFonts w:ascii="Arial" w:hAnsi="Arial" w:cs="Arial"/>
          <w:b/>
          <w:bCs/>
          <w:lang w:val="es-ES_tradnl"/>
        </w:rPr>
      </w:pPr>
    </w:p>
    <w:p>
      <w:pPr>
        <w:spacing w:after="0"/>
        <w:jc w:val="both"/>
        <w:rPr>
          <w:rFonts w:ascii="Arial" w:hAnsi="Arial" w:cs="Arial"/>
          <w:bCs/>
          <w:lang w:val="es-ES_tradnl"/>
        </w:rPr>
      </w:pPr>
      <w:r>
        <w:rPr>
          <w:rFonts w:ascii="Arial" w:hAnsi="Arial" w:cs="Arial"/>
          <w:bCs/>
          <w:lang w:val="es-ES_tradnl"/>
        </w:rPr>
        <w:t>En mayo de 2018 se aprobó la segunda operación (CO-L1227) de una serie de dos Préstamos de Apoyo a Reformas de Política bajo el enfoque Programático (PBP). La serie se originó en 2014 (3284/OC-CO) y fue acordada con el Gobierno de Colombia como apoyo a un conjunto de medidas estructurales destinadas a contribuir a la estabilidad fiscal.</w:t>
      </w:r>
    </w:p>
    <w:p>
      <w:pPr>
        <w:spacing w:after="0"/>
        <w:jc w:val="both"/>
        <w:rPr>
          <w:rFonts w:ascii="Arial" w:hAnsi="Arial" w:cs="Arial"/>
          <w:bCs/>
          <w:lang w:val="es-ES_tradnl"/>
        </w:rPr>
      </w:pPr>
    </w:p>
    <w:p>
      <w:pPr>
        <w:spacing w:after="0"/>
        <w:jc w:val="both"/>
        <w:rPr>
          <w:rFonts w:ascii="Arial" w:hAnsi="Arial" w:cs="Arial"/>
          <w:bCs/>
          <w:lang w:val="es-ES_tradnl"/>
        </w:rPr>
      </w:pPr>
      <w:r>
        <w:rPr>
          <w:rFonts w:ascii="Arial" w:hAnsi="Arial" w:cs="Arial"/>
          <w:bCs/>
          <w:lang w:val="es-ES_tradnl"/>
        </w:rPr>
        <w:t>El objetivo general de operación CO-L1227 es apoyar al Gobierno de Colombia en sus esfuerzos en procura de la estabilidad fiscal de Colombia mediante el aumento de la recaudación tributaria, el uso más eficiente del gasto público, y la mejora en la gestión de la deuda y los pasivos públicos, incluyendo los contingentes.</w:t>
      </w:r>
    </w:p>
    <w:p>
      <w:pPr>
        <w:spacing w:after="0"/>
        <w:jc w:val="both"/>
        <w:rPr>
          <w:rFonts w:ascii="Arial" w:hAnsi="Arial" w:cs="Arial"/>
          <w:bCs/>
          <w:lang w:val="es-ES_tradnl"/>
        </w:rPr>
      </w:pPr>
    </w:p>
    <w:p>
      <w:pPr>
        <w:spacing w:after="0"/>
        <w:jc w:val="both"/>
        <w:rPr>
          <w:rFonts w:ascii="Arial" w:hAnsi="Arial" w:cs="Arial"/>
          <w:bCs/>
          <w:lang w:val="es-ES_tradnl"/>
        </w:rPr>
      </w:pPr>
      <w:r>
        <w:rPr>
          <w:rFonts w:ascii="Arial" w:hAnsi="Arial" w:cs="Arial"/>
          <w:bCs/>
          <w:lang w:val="es-ES_tradnl"/>
        </w:rPr>
        <w:t>En el marco de esta operación, se estableció en el Plan de Monitoreo y Evaluación la necesidad de contratar a un consultor para realizar la Evaluación del Programa. El objetivo de la evaluación ex post es verificar la consecución de los objetivos del Programa y el impacto de las acciones de políticas implementadas por el Gobierno de Colombia con el apoyo del BID, tomando como referencia las metas e indicadores establecidos en las matrices de política y de resultados de las dos operaciones programáticas.</w:t>
      </w:r>
    </w:p>
    <w:p>
      <w:pPr>
        <w:spacing w:after="0"/>
        <w:jc w:val="both"/>
        <w:rPr>
          <w:rFonts w:ascii="Arial" w:hAnsi="Arial" w:cs="Arial"/>
          <w:bCs/>
          <w:lang w:val="es-ES_tradnl"/>
        </w:rPr>
      </w:pPr>
    </w:p>
    <w:p>
      <w:pPr>
        <w:spacing w:after="0"/>
        <w:jc w:val="both"/>
        <w:rPr>
          <w:rFonts w:ascii="Arial" w:hAnsi="Arial" w:cs="Arial"/>
          <w:b/>
          <w:bCs/>
          <w:lang w:val="es-ES_tradnl"/>
        </w:rPr>
      </w:pPr>
      <w:r>
        <w:rPr>
          <w:rFonts w:ascii="Arial" w:hAnsi="Arial" w:cs="Arial"/>
          <w:b/>
          <w:bCs/>
          <w:lang w:val="es-ES_tradnl"/>
        </w:rPr>
        <w:t>Objetivo(s) de la Consultoría</w:t>
      </w:r>
    </w:p>
    <w:p>
      <w:pPr>
        <w:spacing w:after="0"/>
        <w:jc w:val="both"/>
        <w:rPr>
          <w:rFonts w:ascii="Arial" w:hAnsi="Arial" w:cs="Arial"/>
          <w:b/>
          <w:bCs/>
          <w:lang w:val="es-ES_tradnl"/>
        </w:rPr>
      </w:pPr>
    </w:p>
    <w:p>
      <w:pPr>
        <w:spacing w:after="0"/>
        <w:jc w:val="both"/>
        <w:rPr>
          <w:rFonts w:ascii="Arial" w:hAnsi="Arial" w:cs="Arial"/>
          <w:bCs/>
          <w:lang w:val="es-ES_tradnl"/>
        </w:rPr>
      </w:pPr>
      <w:r>
        <w:rPr>
          <w:rFonts w:ascii="Arial" w:hAnsi="Arial" w:cs="Arial"/>
          <w:bCs/>
          <w:lang w:val="es-ES_tradnl"/>
        </w:rPr>
        <w:t>Preparar un informe de evaluación del Programa, considerando la presente operación (CO</w:t>
      </w:r>
      <w:r>
        <w:rPr>
          <w:rFonts w:ascii="Arial" w:hAnsi="Arial" w:cs="Arial"/>
          <w:bCs/>
          <w:lang w:val="es-ES_tradnl"/>
        </w:rPr>
        <w:noBreakHyphen/>
        <w:t>L1227) para su revisión y entrega a la División Fiscal y Municipal. El mismo será un insumo para el Informe de Terminación de Proyecto (PCR) del Programa.</w:t>
      </w:r>
    </w:p>
    <w:p>
      <w:pPr>
        <w:spacing w:after="0"/>
        <w:jc w:val="both"/>
        <w:rPr>
          <w:rFonts w:ascii="Arial" w:hAnsi="Arial" w:cs="Arial"/>
          <w:b/>
          <w:bCs/>
          <w:lang w:val="es-ES_tradnl"/>
        </w:rPr>
      </w:pPr>
    </w:p>
    <w:p>
      <w:pPr>
        <w:spacing w:after="0"/>
        <w:jc w:val="both"/>
        <w:rPr>
          <w:rFonts w:ascii="Arial" w:hAnsi="Arial" w:cs="Arial"/>
          <w:b/>
          <w:bCs/>
          <w:lang w:val="es-ES_tradnl"/>
        </w:rPr>
      </w:pPr>
      <w:r>
        <w:rPr>
          <w:rFonts w:ascii="Arial" w:hAnsi="Arial" w:cs="Arial"/>
          <w:b/>
          <w:bCs/>
          <w:lang w:val="es-ES_tradnl"/>
        </w:rPr>
        <w:t>Actividades Principales</w:t>
      </w:r>
    </w:p>
    <w:p>
      <w:pPr>
        <w:spacing w:after="0"/>
        <w:jc w:val="both"/>
        <w:rPr>
          <w:rFonts w:ascii="Arial" w:hAnsi="Arial" w:cs="Arial"/>
          <w:b/>
          <w:bCs/>
          <w:lang w:val="es-ES_tradnl"/>
        </w:rPr>
      </w:pPr>
    </w:p>
    <w:p>
      <w:pPr>
        <w:spacing w:after="0"/>
        <w:jc w:val="both"/>
        <w:rPr>
          <w:rFonts w:ascii="Arial" w:hAnsi="Arial" w:cs="Arial"/>
          <w:b/>
          <w:bCs/>
          <w:lang w:val="es-ES_tradnl"/>
        </w:rPr>
      </w:pPr>
      <w:r>
        <w:rPr>
          <w:rFonts w:ascii="Arial" w:hAnsi="Arial" w:cs="Arial"/>
          <w:bCs/>
          <w:lang w:val="es-ES_tradnl"/>
        </w:rPr>
        <w:t>El candidato seleccionado deberá:</w:t>
      </w:r>
    </w:p>
    <w:p>
      <w:pPr>
        <w:spacing w:after="0"/>
        <w:jc w:val="both"/>
        <w:rPr>
          <w:rFonts w:ascii="Arial" w:hAnsi="Arial" w:cs="Arial"/>
          <w:bCs/>
          <w:lang w:val="es-ES_tradnl"/>
        </w:rPr>
      </w:pPr>
    </w:p>
    <w:p>
      <w:pPr>
        <w:pStyle w:val="ListParagraph"/>
        <w:numPr>
          <w:ilvl w:val="0"/>
          <w:numId w:val="3"/>
        </w:numPr>
        <w:spacing w:after="0"/>
        <w:ind w:left="720"/>
        <w:jc w:val="both"/>
        <w:rPr>
          <w:rFonts w:ascii="Arial" w:hAnsi="Arial" w:cs="Arial"/>
          <w:bCs/>
          <w:lang w:val="es-ES_tradnl"/>
        </w:rPr>
      </w:pPr>
      <w:r>
        <w:rPr>
          <w:rFonts w:ascii="Arial" w:hAnsi="Arial" w:cs="Arial"/>
          <w:bCs/>
          <w:lang w:val="es-ES_tradnl"/>
        </w:rPr>
        <w:lastRenderedPageBreak/>
        <w:t>En coordinación directa con el jefe de equipo del proyecto, revisar la documentación correspondiente a la ejecución del Programa (CO-L1227). En particular, se evaluará el alcance e impacto logrado de acuerdo con las metas e indicadores establecidos en las matrices de políticas y resultados, utilizando como referencia la Evaluación Independiente de Condiciones Macroeconómicas del Banco.</w:t>
      </w:r>
    </w:p>
    <w:p>
      <w:pPr>
        <w:pStyle w:val="ListParagraph"/>
        <w:spacing w:after="0"/>
        <w:jc w:val="both"/>
        <w:rPr>
          <w:rFonts w:ascii="Arial" w:hAnsi="Arial" w:cs="Arial"/>
          <w:bCs/>
          <w:lang w:val="es-ES_tradnl"/>
        </w:rPr>
      </w:pPr>
    </w:p>
    <w:p>
      <w:pPr>
        <w:pStyle w:val="ListParagraph"/>
        <w:numPr>
          <w:ilvl w:val="0"/>
          <w:numId w:val="3"/>
        </w:numPr>
        <w:spacing w:after="0"/>
        <w:ind w:left="720"/>
        <w:jc w:val="both"/>
        <w:rPr>
          <w:rFonts w:ascii="Arial" w:hAnsi="Arial" w:cs="Arial"/>
          <w:bCs/>
          <w:lang w:val="es-ES_tradnl"/>
        </w:rPr>
      </w:pPr>
      <w:r>
        <w:rPr>
          <w:rFonts w:ascii="Arial" w:hAnsi="Arial" w:cs="Arial"/>
          <w:bCs/>
          <w:lang w:val="es-ES_tradnl"/>
        </w:rPr>
        <w:t>Evaluar el impacto de las acciones que conforman los componentes del Programa tomando como referencia la línea de base establecidas en las matrices de políticas y de resultados, auxiliándose tanto en la información proporcionada por el gobierno, en especial por el sistema SINERGIA, y otros estudios sobre el desempeño fiscal en Colombia.</w:t>
      </w:r>
    </w:p>
    <w:p>
      <w:pPr>
        <w:spacing w:after="0"/>
        <w:ind w:left="720"/>
        <w:jc w:val="both"/>
        <w:rPr>
          <w:rFonts w:ascii="Arial" w:hAnsi="Arial" w:cs="Arial"/>
          <w:bCs/>
          <w:lang w:val="es-ES_tradnl"/>
        </w:rPr>
      </w:pPr>
    </w:p>
    <w:p>
      <w:pPr>
        <w:pStyle w:val="ListParagraph"/>
        <w:numPr>
          <w:ilvl w:val="0"/>
          <w:numId w:val="3"/>
        </w:numPr>
        <w:spacing w:after="0"/>
        <w:ind w:left="720"/>
        <w:jc w:val="both"/>
        <w:rPr>
          <w:rFonts w:ascii="Arial" w:hAnsi="Arial" w:cs="Arial"/>
          <w:bCs/>
          <w:lang w:val="es-ES_tradnl"/>
        </w:rPr>
      </w:pPr>
      <w:r>
        <w:rPr>
          <w:rFonts w:ascii="Arial" w:hAnsi="Arial" w:cs="Arial"/>
          <w:bCs/>
          <w:lang w:val="es-ES_tradnl"/>
        </w:rPr>
        <w:t>Realizar una evaluación de los impactos macroeconómicos utilizando el Modelo de Equilibrio General Dinámico calibrado para Colombia (FMM-MFMP) y aplicar la metodología de control sintético propuesta para evaluar los efectos de la masificación de la factura electrónica.</w:t>
      </w:r>
    </w:p>
    <w:p>
      <w:pPr>
        <w:spacing w:after="0"/>
        <w:ind w:left="720"/>
        <w:jc w:val="both"/>
        <w:rPr>
          <w:rFonts w:ascii="Arial" w:hAnsi="Arial" w:cs="Arial"/>
          <w:bCs/>
          <w:lang w:val="es-ES_tradnl"/>
        </w:rPr>
      </w:pPr>
    </w:p>
    <w:p>
      <w:pPr>
        <w:pStyle w:val="ListParagraph"/>
        <w:numPr>
          <w:ilvl w:val="0"/>
          <w:numId w:val="3"/>
        </w:numPr>
        <w:spacing w:after="0"/>
        <w:ind w:left="720"/>
        <w:jc w:val="both"/>
        <w:rPr>
          <w:rFonts w:ascii="Arial" w:hAnsi="Arial" w:cs="Arial"/>
          <w:bCs/>
          <w:lang w:val="es-ES_tradnl"/>
        </w:rPr>
      </w:pPr>
      <w:r>
        <w:rPr>
          <w:rFonts w:ascii="Arial" w:hAnsi="Arial" w:cs="Arial"/>
          <w:bCs/>
          <w:lang w:val="es-ES_tradnl"/>
        </w:rPr>
        <w:t>En coordinación directa con el jefe de equipo, mantener reuniones con los principales actores involucrados en el diseño y ejecución de la operación, tanto en el BID como en la Dirección General de Crédito Público y del Tesoro Nacional del MHCP.</w:t>
      </w:r>
    </w:p>
    <w:p>
      <w:pPr>
        <w:spacing w:after="0"/>
        <w:ind w:left="720"/>
        <w:jc w:val="both"/>
        <w:rPr>
          <w:rFonts w:ascii="Arial" w:hAnsi="Arial" w:cs="Arial"/>
          <w:bCs/>
          <w:lang w:val="es-ES_tradnl"/>
        </w:rPr>
      </w:pPr>
    </w:p>
    <w:p>
      <w:pPr>
        <w:pStyle w:val="ListParagraph"/>
        <w:numPr>
          <w:ilvl w:val="0"/>
          <w:numId w:val="3"/>
        </w:numPr>
        <w:spacing w:after="0"/>
        <w:ind w:left="720"/>
        <w:jc w:val="both"/>
        <w:rPr>
          <w:rFonts w:ascii="Arial" w:hAnsi="Arial" w:cs="Arial"/>
          <w:bCs/>
          <w:lang w:val="es-ES_tradnl"/>
        </w:rPr>
      </w:pPr>
      <w:r>
        <w:rPr>
          <w:rFonts w:ascii="Arial" w:hAnsi="Arial" w:cs="Arial"/>
          <w:bCs/>
          <w:lang w:val="es-ES_tradnl"/>
        </w:rPr>
        <w:t>Revisar documentación de los organismos ejecutores y otros actores involucrados, para completar la información requerida para la preparación del PCR.</w:t>
      </w:r>
    </w:p>
    <w:p>
      <w:pPr>
        <w:spacing w:after="0"/>
        <w:ind w:left="720"/>
        <w:jc w:val="both"/>
        <w:rPr>
          <w:rFonts w:ascii="Arial" w:hAnsi="Arial" w:cs="Arial"/>
          <w:bCs/>
          <w:lang w:val="es-ES_tradnl"/>
        </w:rPr>
      </w:pPr>
    </w:p>
    <w:p>
      <w:pPr>
        <w:pStyle w:val="ListParagraph"/>
        <w:numPr>
          <w:ilvl w:val="0"/>
          <w:numId w:val="3"/>
        </w:numPr>
        <w:spacing w:after="0"/>
        <w:ind w:left="720"/>
        <w:jc w:val="both"/>
        <w:rPr>
          <w:rFonts w:ascii="Arial" w:hAnsi="Arial" w:cs="Arial"/>
          <w:b/>
          <w:bCs/>
          <w:lang w:val="es-ES_tradnl"/>
        </w:rPr>
      </w:pPr>
      <w:r>
        <w:rPr>
          <w:rFonts w:ascii="Arial" w:hAnsi="Arial" w:cs="Arial"/>
          <w:bCs/>
          <w:lang w:val="es-ES_tradnl"/>
        </w:rPr>
        <w:t xml:space="preserve">Preparar el texto del Informe, de acuerdo con el formato a ser entregado por el BID. </w:t>
      </w:r>
    </w:p>
    <w:p>
      <w:pPr>
        <w:spacing w:after="0"/>
        <w:jc w:val="both"/>
        <w:rPr>
          <w:rFonts w:ascii="Arial" w:hAnsi="Arial" w:cs="Arial"/>
          <w:b/>
          <w:bCs/>
          <w:lang w:val="es-ES_tradnl"/>
        </w:rPr>
      </w:pPr>
    </w:p>
    <w:p>
      <w:pPr>
        <w:spacing w:after="0"/>
        <w:jc w:val="both"/>
        <w:rPr>
          <w:rFonts w:ascii="Arial" w:hAnsi="Arial" w:cs="Arial"/>
          <w:b/>
          <w:bCs/>
          <w:lang w:val="es-ES_tradnl"/>
        </w:rPr>
      </w:pPr>
      <w:r>
        <w:rPr>
          <w:rFonts w:ascii="Arial" w:hAnsi="Arial" w:cs="Arial"/>
          <w:b/>
          <w:bCs/>
          <w:lang w:val="es-ES_tradnl"/>
        </w:rPr>
        <w:t>Informes / Entregables</w:t>
      </w:r>
    </w:p>
    <w:p>
      <w:pPr>
        <w:spacing w:after="0"/>
        <w:jc w:val="both"/>
        <w:rPr>
          <w:rFonts w:ascii="Arial" w:hAnsi="Arial" w:cs="Arial"/>
          <w:b/>
          <w:bCs/>
          <w:lang w:val="es-ES_tradnl"/>
        </w:rPr>
      </w:pPr>
    </w:p>
    <w:p>
      <w:pPr>
        <w:pStyle w:val="BodyText"/>
        <w:numPr>
          <w:ilvl w:val="0"/>
          <w:numId w:val="7"/>
        </w:numPr>
        <w:spacing w:after="0"/>
        <w:jc w:val="both"/>
        <w:rPr>
          <w:rFonts w:ascii="Arial" w:hAnsi="Arial" w:cs="Arial"/>
          <w:lang w:val="es-ES_tradnl"/>
        </w:rPr>
      </w:pPr>
      <w:r>
        <w:rPr>
          <w:rFonts w:ascii="Arial" w:hAnsi="Arial" w:cs="Arial"/>
          <w:lang w:val="es-ES_tradnl"/>
        </w:rPr>
        <w:t>Informe intermedio de Evaluación, con texto y gráficos, a ser revisado por el especialista sectorial que supervisa el Proyecto. El Informe debe incluir todas las áreas estipuladas en el formato, con especial énfasis en lo que corresponde a los resultados del proyecto y las lecciones aprendidas.</w:t>
      </w:r>
    </w:p>
    <w:p>
      <w:pPr>
        <w:pStyle w:val="BodyText"/>
        <w:spacing w:after="0"/>
        <w:jc w:val="both"/>
        <w:rPr>
          <w:rFonts w:ascii="Arial" w:hAnsi="Arial" w:cs="Arial"/>
          <w:lang w:val="es-ES_tradnl"/>
        </w:rPr>
      </w:pPr>
    </w:p>
    <w:p>
      <w:pPr>
        <w:pStyle w:val="BodyText"/>
        <w:numPr>
          <w:ilvl w:val="0"/>
          <w:numId w:val="7"/>
        </w:numPr>
        <w:spacing w:after="0"/>
        <w:jc w:val="both"/>
        <w:rPr>
          <w:rFonts w:ascii="Arial" w:hAnsi="Arial" w:cs="Arial"/>
          <w:lang w:val="es-ES_tradnl"/>
        </w:rPr>
      </w:pPr>
      <w:r>
        <w:rPr>
          <w:rFonts w:ascii="Arial" w:hAnsi="Arial" w:cs="Arial"/>
          <w:lang w:val="es-ES_tradnl"/>
        </w:rPr>
        <w:t xml:space="preserve">Documento con la evaluación ex-post de los impactos macroeconómicos resultantes de utilizar el modelo de equilibrio general para Colombia y aplicar la metodología de control sintético para determinar los efectos de la factura electrónica. </w:t>
      </w:r>
    </w:p>
    <w:p>
      <w:pPr>
        <w:pStyle w:val="BodyText"/>
        <w:spacing w:after="0"/>
        <w:jc w:val="both"/>
        <w:rPr>
          <w:rFonts w:ascii="Arial" w:hAnsi="Arial" w:cs="Arial"/>
          <w:lang w:val="es-ES_tradnl"/>
        </w:rPr>
      </w:pPr>
    </w:p>
    <w:p>
      <w:pPr>
        <w:pStyle w:val="BodyText"/>
        <w:numPr>
          <w:ilvl w:val="0"/>
          <w:numId w:val="7"/>
        </w:numPr>
        <w:spacing w:after="0"/>
        <w:jc w:val="both"/>
        <w:rPr>
          <w:rFonts w:ascii="Arial" w:hAnsi="Arial" w:cs="Arial"/>
          <w:lang w:val="es-ES_tradnl"/>
        </w:rPr>
      </w:pPr>
      <w:r>
        <w:rPr>
          <w:rFonts w:ascii="Arial" w:hAnsi="Arial" w:cs="Arial"/>
          <w:lang w:val="es-ES_tradnl"/>
        </w:rPr>
        <w:t>Informe final de Evaluación que incorpore comentarios hechos por el jefe de equipo.</w:t>
      </w:r>
    </w:p>
    <w:p>
      <w:pPr>
        <w:pStyle w:val="BodyText"/>
        <w:spacing w:after="0"/>
        <w:jc w:val="both"/>
        <w:rPr>
          <w:rFonts w:ascii="Arial" w:hAnsi="Arial" w:cs="Arial"/>
          <w:lang w:val="es-ES_tradnl"/>
        </w:rPr>
      </w:pPr>
    </w:p>
    <w:p>
      <w:pPr>
        <w:pStyle w:val="BodyText"/>
        <w:spacing w:after="0"/>
        <w:jc w:val="both"/>
        <w:rPr>
          <w:rFonts w:ascii="Arial" w:hAnsi="Arial" w:cs="Arial"/>
          <w:lang w:val="es-ES_tradnl"/>
        </w:rPr>
      </w:pPr>
      <w:r>
        <w:rPr>
          <w:rFonts w:ascii="Arial" w:hAnsi="Arial" w:cs="Arial"/>
          <w:lang w:val="es-ES_tradnl"/>
        </w:rPr>
        <w:t xml:space="preserve">Los informes serán presentados conforme los formatos establecidos por el Banco para tales fines. Todo Informe deberá ser entregado al Banco en forma electrónica en un solo archivo que incluya la portada, el documento principal y los anexos. (Archivos Zip no se aceptarán como informes finales, debido a regulaciones de la Sección de Administración de Archivos). </w:t>
      </w:r>
    </w:p>
    <w:p>
      <w:pPr>
        <w:spacing w:after="0"/>
        <w:jc w:val="both"/>
        <w:rPr>
          <w:rFonts w:ascii="Arial" w:hAnsi="Arial" w:cs="Arial"/>
          <w:b/>
          <w:bCs/>
          <w:lang w:val="es-ES_tradnl"/>
        </w:rPr>
      </w:pPr>
    </w:p>
    <w:p>
      <w:pPr>
        <w:spacing w:after="0"/>
        <w:jc w:val="both"/>
        <w:rPr>
          <w:rFonts w:ascii="Arial" w:hAnsi="Arial" w:cs="Arial"/>
          <w:b/>
          <w:bCs/>
          <w:lang w:val="es-ES_tradnl"/>
        </w:rPr>
      </w:pPr>
      <w:r>
        <w:rPr>
          <w:rFonts w:ascii="Arial" w:hAnsi="Arial" w:cs="Arial"/>
          <w:b/>
          <w:bCs/>
          <w:lang w:val="es-ES_tradnl"/>
        </w:rPr>
        <w:lastRenderedPageBreak/>
        <w:t>Cronograma de Pagos</w:t>
      </w:r>
    </w:p>
    <w:p>
      <w:pPr>
        <w:spacing w:after="0"/>
        <w:jc w:val="both"/>
        <w:rPr>
          <w:rFonts w:ascii="Arial" w:hAnsi="Arial" w:cs="Arial"/>
          <w:b/>
          <w:bCs/>
          <w:lang w:val="es-ES_tradnl"/>
        </w:rPr>
      </w:pPr>
    </w:p>
    <w:p>
      <w:pPr>
        <w:pStyle w:val="ListParagraph"/>
        <w:numPr>
          <w:ilvl w:val="0"/>
          <w:numId w:val="8"/>
        </w:numPr>
        <w:spacing w:after="0"/>
        <w:jc w:val="both"/>
        <w:rPr>
          <w:rFonts w:ascii="Arial" w:hAnsi="Arial" w:cs="Arial"/>
          <w:bCs/>
          <w:lang w:val="es-ES_tradnl"/>
        </w:rPr>
      </w:pPr>
      <w:r>
        <w:rPr>
          <w:rFonts w:ascii="Arial" w:hAnsi="Arial" w:cs="Arial"/>
          <w:bCs/>
          <w:lang w:val="es-ES_tradnl"/>
        </w:rPr>
        <w:t>30% contra entrega del primer informe.</w:t>
      </w:r>
    </w:p>
    <w:p>
      <w:pPr>
        <w:pStyle w:val="ListParagraph"/>
        <w:numPr>
          <w:ilvl w:val="0"/>
          <w:numId w:val="8"/>
        </w:numPr>
        <w:spacing w:after="0"/>
        <w:jc w:val="both"/>
        <w:rPr>
          <w:rFonts w:ascii="Arial" w:hAnsi="Arial" w:cs="Arial"/>
          <w:bCs/>
          <w:lang w:val="es-ES_tradnl"/>
        </w:rPr>
      </w:pPr>
      <w:r>
        <w:rPr>
          <w:rFonts w:ascii="Arial" w:hAnsi="Arial" w:cs="Arial"/>
          <w:bCs/>
          <w:lang w:val="es-ES_tradnl"/>
        </w:rPr>
        <w:t>30% contra entrega del informe intermedio.</w:t>
      </w:r>
    </w:p>
    <w:p>
      <w:pPr>
        <w:pStyle w:val="ListParagraph"/>
        <w:numPr>
          <w:ilvl w:val="0"/>
          <w:numId w:val="8"/>
        </w:numPr>
        <w:spacing w:after="0"/>
        <w:jc w:val="both"/>
        <w:rPr>
          <w:rFonts w:ascii="Arial" w:hAnsi="Arial" w:cs="Arial"/>
          <w:bCs/>
          <w:lang w:val="es-ES_tradnl"/>
        </w:rPr>
      </w:pPr>
      <w:r>
        <w:rPr>
          <w:rFonts w:ascii="Arial" w:hAnsi="Arial" w:cs="Arial"/>
          <w:bCs/>
          <w:lang w:val="es-ES_tradnl"/>
        </w:rPr>
        <w:t>40% contra entrega del informe final.</w:t>
      </w:r>
    </w:p>
    <w:p>
      <w:pPr>
        <w:spacing w:after="0"/>
        <w:jc w:val="both"/>
        <w:rPr>
          <w:rFonts w:ascii="Arial" w:hAnsi="Arial" w:cs="Arial"/>
          <w:bCs/>
          <w:lang w:val="es-ES_tradnl"/>
        </w:rPr>
      </w:pPr>
    </w:p>
    <w:p>
      <w:pPr>
        <w:spacing w:after="0"/>
        <w:jc w:val="both"/>
        <w:rPr>
          <w:rFonts w:ascii="Arial" w:hAnsi="Arial" w:cs="Arial"/>
          <w:b/>
          <w:bCs/>
          <w:lang w:val="es-ES_tradnl"/>
        </w:rPr>
      </w:pPr>
      <w:r>
        <w:rPr>
          <w:rFonts w:ascii="Arial" w:hAnsi="Arial" w:cs="Arial"/>
          <w:b/>
          <w:bCs/>
          <w:lang w:val="es-ES_tradnl"/>
        </w:rPr>
        <w:t>Calificaciones</w:t>
      </w:r>
    </w:p>
    <w:p>
      <w:pPr>
        <w:spacing w:after="0"/>
        <w:jc w:val="both"/>
        <w:rPr>
          <w:rFonts w:ascii="Arial" w:hAnsi="Arial" w:cs="Arial"/>
          <w:lang w:val="es-ES_tradnl"/>
        </w:rPr>
      </w:pPr>
    </w:p>
    <w:p>
      <w:pPr>
        <w:pStyle w:val="ListParagraph"/>
        <w:numPr>
          <w:ilvl w:val="0"/>
          <w:numId w:val="5"/>
        </w:numPr>
        <w:spacing w:after="0"/>
        <w:jc w:val="both"/>
        <w:rPr>
          <w:rFonts w:ascii="Arial" w:hAnsi="Arial" w:cs="Arial"/>
          <w:lang w:val="es-ES_tradnl"/>
        </w:rPr>
      </w:pPr>
      <w:r>
        <w:rPr>
          <w:rFonts w:ascii="Arial" w:hAnsi="Arial" w:cs="Arial"/>
          <w:i/>
          <w:lang w:val="es-ES_tradnl"/>
        </w:rPr>
        <w:t xml:space="preserve">Título/Nivel Académico &amp; Años de Experiencia Profesional: </w:t>
      </w:r>
      <w:r>
        <w:rPr>
          <w:rFonts w:ascii="Arial" w:hAnsi="Arial" w:cs="Arial"/>
          <w:lang w:val="es-ES_tradnl"/>
        </w:rPr>
        <w:t>Estudios de Maestría en Economía o en Políticas Públicas. PhD deseable</w:t>
      </w:r>
      <w:r>
        <w:rPr>
          <w:rFonts w:ascii="Arial" w:hAnsi="Arial" w:cs="Arial"/>
          <w:i/>
          <w:lang w:val="es-ES_tradnl"/>
        </w:rPr>
        <w:t xml:space="preserve">. </w:t>
      </w:r>
      <w:r>
        <w:rPr>
          <w:rFonts w:ascii="Arial" w:hAnsi="Arial" w:cs="Arial"/>
          <w:lang w:val="es-ES_tradnl"/>
        </w:rPr>
        <w:t xml:space="preserve">Al menos 10 años de experiencia trabajando en la preparación, supervisión y/o evaluación de proyectos en el sector público. </w:t>
      </w:r>
    </w:p>
    <w:p>
      <w:pPr>
        <w:pStyle w:val="ListParagraph"/>
        <w:numPr>
          <w:ilvl w:val="0"/>
          <w:numId w:val="5"/>
        </w:numPr>
        <w:spacing w:after="0" w:line="240" w:lineRule="auto"/>
        <w:contextualSpacing w:val="0"/>
        <w:jc w:val="both"/>
        <w:rPr>
          <w:rFonts w:ascii="Arial" w:hAnsi="Arial" w:cs="Arial"/>
          <w:i/>
          <w:lang w:val="es-ES_tradnl"/>
        </w:rPr>
      </w:pPr>
      <w:r>
        <w:rPr>
          <w:rFonts w:ascii="Arial" w:hAnsi="Arial" w:cs="Arial"/>
          <w:i/>
          <w:lang w:val="es-ES_tradnl"/>
        </w:rPr>
        <w:t xml:space="preserve">Idiomas: </w:t>
      </w:r>
      <w:r>
        <w:rPr>
          <w:rFonts w:ascii="Arial" w:hAnsi="Arial" w:cs="Arial"/>
          <w:lang w:val="es-ES_tradnl"/>
        </w:rPr>
        <w:t>español</w:t>
      </w:r>
    </w:p>
    <w:p>
      <w:pPr>
        <w:pStyle w:val="ListParagraph"/>
        <w:numPr>
          <w:ilvl w:val="0"/>
          <w:numId w:val="5"/>
        </w:numPr>
        <w:spacing w:after="0" w:line="240" w:lineRule="auto"/>
        <w:contextualSpacing w:val="0"/>
        <w:jc w:val="both"/>
        <w:rPr>
          <w:rFonts w:ascii="Arial" w:hAnsi="Arial" w:cs="Arial"/>
          <w:i/>
          <w:lang w:val="es-ES_tradnl"/>
        </w:rPr>
      </w:pPr>
      <w:r>
        <w:rPr>
          <w:rFonts w:ascii="Arial" w:hAnsi="Arial" w:cs="Arial"/>
          <w:i/>
          <w:lang w:val="es-ES_tradnl"/>
        </w:rPr>
        <w:t xml:space="preserve">Áreas de Especialización: </w:t>
      </w:r>
      <w:r>
        <w:rPr>
          <w:rFonts w:ascii="Arial" w:eastAsia="Times New Roman" w:hAnsi="Arial" w:cs="Arial"/>
          <w:lang w:val="es-ES_tradnl"/>
        </w:rPr>
        <w:t xml:space="preserve">Experiencia internacional en análisis macro-fiscal, análisis económico de proyectos de modernización institucional en el área fiscal. </w:t>
      </w:r>
    </w:p>
    <w:p>
      <w:pPr>
        <w:pStyle w:val="ListParagraph"/>
        <w:numPr>
          <w:ilvl w:val="0"/>
          <w:numId w:val="5"/>
        </w:numPr>
        <w:spacing w:after="0" w:line="240" w:lineRule="auto"/>
        <w:contextualSpacing w:val="0"/>
        <w:jc w:val="both"/>
        <w:rPr>
          <w:rFonts w:ascii="Arial" w:hAnsi="Arial" w:cs="Arial"/>
          <w:lang w:val="es-ES_tradnl"/>
        </w:rPr>
      </w:pPr>
      <w:r>
        <w:rPr>
          <w:rFonts w:ascii="Arial" w:hAnsi="Arial" w:cs="Arial"/>
          <w:i/>
          <w:lang w:val="es-ES_tradnl"/>
        </w:rPr>
        <w:t>Habilidades:</w:t>
      </w:r>
      <w:r>
        <w:rPr>
          <w:rFonts w:ascii="Arial" w:hAnsi="Arial" w:cs="Arial"/>
          <w:lang w:val="es-ES_tradnl"/>
        </w:rPr>
        <w:t xml:space="preserve"> </w:t>
      </w:r>
      <w:r>
        <w:rPr>
          <w:rFonts w:ascii="Arial" w:eastAsia="Times New Roman" w:hAnsi="Arial" w:cs="Arial"/>
          <w:lang w:val="es-ES_tradnl"/>
        </w:rPr>
        <w:t>Evaluación de proyectos financiados con recursos de cooperación multilateral y/o bilateral.</w:t>
      </w:r>
    </w:p>
    <w:p>
      <w:pPr>
        <w:spacing w:after="0"/>
        <w:jc w:val="both"/>
        <w:rPr>
          <w:rFonts w:ascii="Arial" w:hAnsi="Arial" w:cs="Arial"/>
          <w:lang w:val="es-ES_tradnl"/>
        </w:rPr>
      </w:pPr>
    </w:p>
    <w:p>
      <w:pPr>
        <w:spacing w:after="0"/>
        <w:jc w:val="both"/>
        <w:rPr>
          <w:rFonts w:ascii="Arial" w:hAnsi="Arial" w:cs="Arial"/>
          <w:b/>
          <w:bCs/>
          <w:lang w:val="es-ES_tradnl"/>
        </w:rPr>
      </w:pPr>
      <w:r>
        <w:rPr>
          <w:rFonts w:ascii="Arial" w:hAnsi="Arial" w:cs="Arial"/>
          <w:b/>
          <w:bCs/>
          <w:lang w:val="es-ES_tradnl"/>
        </w:rPr>
        <w:t>Características de la Consultoría</w:t>
      </w:r>
    </w:p>
    <w:p>
      <w:pPr>
        <w:spacing w:after="0"/>
        <w:jc w:val="both"/>
        <w:rPr>
          <w:rFonts w:ascii="Arial" w:hAnsi="Arial" w:cs="Arial"/>
          <w:b/>
          <w:bCs/>
          <w:lang w:val="es-ES_tradnl"/>
        </w:rPr>
      </w:pPr>
    </w:p>
    <w:p>
      <w:pPr>
        <w:pStyle w:val="ListParagraph"/>
        <w:numPr>
          <w:ilvl w:val="0"/>
          <w:numId w:val="6"/>
        </w:numPr>
        <w:spacing w:after="0" w:line="240" w:lineRule="auto"/>
        <w:contextualSpacing w:val="0"/>
        <w:jc w:val="both"/>
        <w:rPr>
          <w:rFonts w:ascii="Arial" w:hAnsi="Arial" w:cs="Arial"/>
          <w:lang w:val="es-ES_tradnl"/>
        </w:rPr>
      </w:pPr>
      <w:r>
        <w:rPr>
          <w:rFonts w:ascii="Arial" w:hAnsi="Arial" w:cs="Arial"/>
          <w:i/>
          <w:lang w:val="es-ES_tradnl"/>
        </w:rPr>
        <w:t>Categoría y Modalidad de la Consultoría:</w:t>
      </w:r>
      <w:r>
        <w:rPr>
          <w:rFonts w:ascii="Arial" w:hAnsi="Arial" w:cs="Arial"/>
          <w:lang w:val="es-ES_tradnl"/>
        </w:rPr>
        <w:t xml:space="preserve"> Contractual de Productos y Servicios Externos, Suma Alzada</w:t>
      </w:r>
    </w:p>
    <w:p>
      <w:pPr>
        <w:pStyle w:val="ListParagraph"/>
        <w:numPr>
          <w:ilvl w:val="0"/>
          <w:numId w:val="6"/>
        </w:numPr>
        <w:spacing w:after="0" w:line="240" w:lineRule="auto"/>
        <w:contextualSpacing w:val="0"/>
        <w:jc w:val="both"/>
        <w:rPr>
          <w:rFonts w:ascii="Arial" w:hAnsi="Arial" w:cs="Arial"/>
          <w:lang w:val="es-ES_tradnl"/>
        </w:rPr>
      </w:pPr>
      <w:r>
        <w:rPr>
          <w:rFonts w:ascii="Arial" w:hAnsi="Arial" w:cs="Arial"/>
          <w:i/>
          <w:lang w:val="es-ES_tradnl"/>
        </w:rPr>
        <w:t>Duración del Contrato:</w:t>
      </w:r>
      <w:r>
        <w:rPr>
          <w:rFonts w:ascii="Arial" w:hAnsi="Arial" w:cs="Arial"/>
          <w:lang w:val="es-ES_tradnl"/>
        </w:rPr>
        <w:t xml:space="preserve"> 12 meses</w:t>
      </w:r>
    </w:p>
    <w:p>
      <w:pPr>
        <w:pStyle w:val="ListParagraph"/>
        <w:numPr>
          <w:ilvl w:val="0"/>
          <w:numId w:val="6"/>
        </w:numPr>
        <w:spacing w:after="0" w:line="240" w:lineRule="auto"/>
        <w:contextualSpacing w:val="0"/>
        <w:jc w:val="both"/>
        <w:rPr>
          <w:rFonts w:ascii="Arial" w:hAnsi="Arial" w:cs="Arial"/>
          <w:lang w:val="es-ES_tradnl"/>
        </w:rPr>
      </w:pPr>
      <w:r>
        <w:rPr>
          <w:rFonts w:ascii="Arial" w:hAnsi="Arial" w:cs="Arial"/>
          <w:i/>
          <w:lang w:val="es-ES_tradnl"/>
        </w:rPr>
        <w:t>Lugar(es) de trabajo:</w:t>
      </w:r>
      <w:r>
        <w:rPr>
          <w:rFonts w:ascii="Arial" w:hAnsi="Arial" w:cs="Arial"/>
          <w:lang w:val="es-ES_tradnl"/>
        </w:rPr>
        <w:t xml:space="preserve"> Consultoría Externa</w:t>
      </w:r>
    </w:p>
    <w:p>
      <w:pPr>
        <w:pStyle w:val="ListParagraph"/>
        <w:numPr>
          <w:ilvl w:val="0"/>
          <w:numId w:val="6"/>
        </w:numPr>
        <w:spacing w:after="0" w:line="240" w:lineRule="auto"/>
        <w:contextualSpacing w:val="0"/>
        <w:jc w:val="both"/>
        <w:rPr>
          <w:rFonts w:ascii="Arial" w:hAnsi="Arial" w:cs="Arial"/>
          <w:b/>
          <w:bCs/>
          <w:lang w:val="es-ES_tradnl"/>
        </w:rPr>
      </w:pPr>
      <w:r>
        <w:rPr>
          <w:rFonts w:ascii="Arial" w:hAnsi="Arial" w:cs="Arial"/>
          <w:i/>
          <w:lang w:val="es-ES_tradnl"/>
        </w:rPr>
        <w:t>Líder de División o Coordinador:</w:t>
      </w:r>
      <w:r>
        <w:rPr>
          <w:rFonts w:ascii="Arial" w:hAnsi="Arial" w:cs="Arial"/>
          <w:lang w:val="es-ES_tradnl"/>
        </w:rPr>
        <w:t xml:space="preserve"> </w:t>
      </w:r>
      <w:r>
        <w:rPr>
          <w:rFonts w:ascii="Arial" w:hAnsi="Arial" w:cs="Arial"/>
          <w:bCs/>
          <w:lang w:val="es-ES_tradnl"/>
        </w:rPr>
        <w:t>Especialista Senior en Desarrollo Fiscal y Municipal (FMM/CCO)</w:t>
      </w:r>
    </w:p>
    <w:p>
      <w:pPr>
        <w:spacing w:after="0"/>
        <w:jc w:val="both"/>
        <w:rPr>
          <w:rFonts w:ascii="Arial" w:hAnsi="Arial" w:cs="Arial"/>
          <w:b/>
          <w:bCs/>
          <w:lang w:val="es-ES_tradnl"/>
        </w:rPr>
      </w:pPr>
    </w:p>
    <w:p>
      <w:pPr>
        <w:autoSpaceDE w:val="0"/>
        <w:autoSpaceDN w:val="0"/>
        <w:spacing w:after="0"/>
        <w:jc w:val="both"/>
        <w:rPr>
          <w:rFonts w:ascii="Arial" w:hAnsi="Arial" w:cs="Arial"/>
          <w:lang w:val="es-ES_tradnl"/>
        </w:rPr>
      </w:pPr>
      <w:r>
        <w:rPr>
          <w:rFonts w:ascii="Arial" w:hAnsi="Arial" w:cs="Arial"/>
          <w:b/>
          <w:bCs/>
          <w:lang w:val="es-ES_tradnl"/>
        </w:rPr>
        <w:t>Pago y Condiciones:</w:t>
      </w:r>
      <w:r>
        <w:rPr>
          <w:rFonts w:ascii="Arial" w:hAnsi="Arial" w:cs="Arial"/>
          <w:lang w:val="es-ES_tradnl"/>
        </w:rPr>
        <w:t xml:space="preserve"> La compensación será determinada de acuerdo con las políticas y procedimientos del Banco. Adicionalmente, los candidatos deberán ser ciudadanos de uno de los países miembros del BID. </w:t>
      </w:r>
    </w:p>
    <w:p>
      <w:pPr>
        <w:autoSpaceDE w:val="0"/>
        <w:autoSpaceDN w:val="0"/>
        <w:spacing w:after="0"/>
        <w:jc w:val="both"/>
        <w:rPr>
          <w:rFonts w:ascii="Arial" w:hAnsi="Arial" w:cs="Arial"/>
          <w:lang w:val="es-ES_tradnl"/>
        </w:rPr>
      </w:pPr>
      <w:r>
        <w:rPr>
          <w:rFonts w:ascii="Arial" w:hAnsi="Arial" w:cs="Arial"/>
          <w:lang w:val="es-ES_tradnl"/>
        </w:rPr>
        <w:t> </w:t>
      </w:r>
    </w:p>
    <w:p>
      <w:pPr>
        <w:autoSpaceDE w:val="0"/>
        <w:autoSpaceDN w:val="0"/>
        <w:spacing w:after="0"/>
        <w:jc w:val="both"/>
        <w:rPr>
          <w:rFonts w:ascii="Arial" w:hAnsi="Arial" w:cs="Arial"/>
          <w:lang w:val="es-ES_tradnl"/>
        </w:rPr>
      </w:pPr>
      <w:r>
        <w:rPr>
          <w:rFonts w:ascii="Arial" w:hAnsi="Arial" w:cs="Arial"/>
          <w:b/>
          <w:bCs/>
          <w:lang w:val="es-ES_tradnl"/>
        </w:rPr>
        <w:t>Consanguinidad:</w:t>
      </w:r>
      <w:r>
        <w:rPr>
          <w:rFonts w:ascii="Arial" w:hAnsi="Arial" w:cs="Arial"/>
          <w:lang w:val="es-ES_tradnl"/>
        </w:rPr>
        <w:t xml:space="preserve"> De conformidad con la política del Banco aplicable, los candidatos con parientes (incluyendo cuarto grado de consanguinidad y segundo grado de afinidad, incluyendo conyugue) que trabajan para el Banco como funcionario o contractual de la fuerza contractual complementaria, no serán elegibles para proveer servicios al Banco.</w:t>
      </w:r>
    </w:p>
    <w:p>
      <w:pPr>
        <w:autoSpaceDE w:val="0"/>
        <w:autoSpaceDN w:val="0"/>
        <w:spacing w:after="0"/>
        <w:jc w:val="both"/>
        <w:rPr>
          <w:rFonts w:ascii="Arial" w:hAnsi="Arial" w:cs="Arial"/>
          <w:lang w:val="es-ES_tradnl"/>
        </w:rPr>
      </w:pPr>
      <w:r>
        <w:rPr>
          <w:rFonts w:ascii="Arial" w:hAnsi="Arial" w:cs="Arial"/>
          <w:lang w:val="es-ES_tradnl"/>
        </w:rPr>
        <w:t> </w:t>
      </w:r>
    </w:p>
    <w:p>
      <w:pPr>
        <w:autoSpaceDE w:val="0"/>
        <w:autoSpaceDN w:val="0"/>
        <w:spacing w:after="0"/>
        <w:jc w:val="both"/>
        <w:rPr>
          <w:rFonts w:ascii="Arial" w:hAnsi="Arial" w:cs="Arial"/>
          <w:lang w:val="es-ES_tradnl"/>
        </w:rPr>
      </w:pPr>
      <w:r>
        <w:rPr>
          <w:rFonts w:ascii="Arial" w:hAnsi="Arial" w:cs="Arial"/>
          <w:b/>
          <w:bCs/>
          <w:lang w:val="es-ES_tradnl"/>
        </w:rPr>
        <w:t>Diversidad:</w:t>
      </w:r>
      <w:r>
        <w:rPr>
          <w:rFonts w:ascii="Arial" w:hAnsi="Arial" w:cs="Arial"/>
          <w:lang w:val="es-ES_tradnl"/>
        </w:rPr>
        <w:t xml:space="preserve"> El Banco está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sectPr>
      <w:headerReference w:type="default" r:id="rId19"/>
      <w:pgSz w:w="12240" w:h="15840"/>
      <w:pgMar w:top="1440" w:right="1440" w:bottom="1440" w:left="1440" w:header="720" w:footer="2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Arial" w:hAnsi="Arial" w:cs="Arial"/>
        <w:sz w:val="18"/>
      </w:rPr>
    </w:pPr>
    <w:r>
      <w:rPr>
        <w:rFonts w:ascii="Arial" w:hAnsi="Arial" w:cs="Arial"/>
        <w:sz w:val="18"/>
      </w:rPr>
      <w:t xml:space="preserve">- </w:t>
    </w:r>
    <w:sdt>
      <w:sdtPr>
        <w:rPr>
          <w:rFonts w:ascii="Arial" w:hAnsi="Arial" w:cs="Arial"/>
          <w:sz w:val="18"/>
        </w:rPr>
        <w:id w:val="1962065945"/>
        <w:docPartObj>
          <w:docPartGallery w:val="Page Numbers (Bottom of Page)"/>
          <w:docPartUnique/>
        </w:docPartObj>
      </w:sdtPr>
      <w:sdtEndPr>
        <w:rPr>
          <w:noProof/>
        </w:rPr>
      </w:sdtEndPr>
      <w:sdtContent>
        <w:r>
          <w:rPr>
            <w:rFonts w:ascii="Arial" w:hAnsi="Arial" w:cs="Arial"/>
            <w:sz w:val="18"/>
          </w:rPr>
          <w:fldChar w:fldCharType="begin"/>
        </w:r>
        <w:r>
          <w:rPr>
            <w:rFonts w:ascii="Arial" w:hAnsi="Arial" w:cs="Arial"/>
            <w:sz w:val="18"/>
          </w:rPr>
          <w:instrText xml:space="preserve"> PAGE   \* MERGEFORMAT </w:instrText>
        </w:r>
        <w:r>
          <w:rPr>
            <w:rFonts w:ascii="Arial" w:hAnsi="Arial" w:cs="Arial"/>
            <w:sz w:val="18"/>
          </w:rPr>
          <w:fldChar w:fldCharType="separate"/>
        </w:r>
        <w:r>
          <w:rPr>
            <w:rFonts w:ascii="Arial" w:hAnsi="Arial" w:cs="Arial"/>
            <w:noProof/>
            <w:sz w:val="18"/>
          </w:rPr>
          <w:t>2</w:t>
        </w:r>
        <w:r>
          <w:rPr>
            <w:rFonts w:ascii="Arial" w:hAnsi="Arial" w:cs="Arial"/>
            <w:noProof/>
            <w:sz w:val="18"/>
          </w:rPr>
          <w:fldChar w:fldCharType="end"/>
        </w:r>
        <w:r>
          <w:rPr>
            <w:rFonts w:ascii="Arial" w:hAnsi="Arial" w:cs="Arial"/>
            <w:noProof/>
            <w:sz w:val="18"/>
          </w:rPr>
          <w:t xml:space="preserve"> -</w:t>
        </w:r>
      </w:sdtContent>
    </w:sdt>
  </w:p>
  <w:p>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Arial" w:hAnsi="Arial" w:cs="Arial"/>
          <w:sz w:val="18"/>
          <w:szCs w:val="18"/>
          <w:lang w:val="es-ES"/>
        </w:rPr>
      </w:pPr>
      <w:r>
        <w:rPr>
          <w:rStyle w:val="FootnoteReference"/>
          <w:rFonts w:ascii="Arial" w:hAnsi="Arial" w:cs="Arial"/>
          <w:sz w:val="18"/>
          <w:szCs w:val="18"/>
        </w:rPr>
        <w:footnoteRef/>
      </w:r>
      <w:r>
        <w:rPr>
          <w:rFonts w:ascii="Arial" w:hAnsi="Arial" w:cs="Arial"/>
          <w:sz w:val="18"/>
          <w:szCs w:val="18"/>
          <w:lang w:val="es-ES"/>
        </w:rPr>
        <w:t xml:space="preserve"> </w:t>
      </w:r>
      <w:r>
        <w:rPr>
          <w:rFonts w:ascii="Arial" w:hAnsi="Arial" w:cs="Arial"/>
          <w:sz w:val="18"/>
          <w:szCs w:val="18"/>
          <w:lang w:val="es-ES"/>
        </w:rPr>
        <w:tab/>
        <w:t>Se presenta una versión resumida de la metodología de control sintético para la evaluación ex-post. Para los detalles de la metodología ver el EEO#5.</w:t>
      </w:r>
    </w:p>
  </w:footnote>
  <w:footnote w:id="3">
    <w:p>
      <w:pPr>
        <w:pStyle w:val="FootnoteText"/>
        <w:rPr>
          <w:rFonts w:ascii="Arial" w:hAnsi="Arial" w:cs="Arial"/>
          <w:sz w:val="18"/>
          <w:szCs w:val="18"/>
          <w:lang w:val="es-ES"/>
        </w:rPr>
      </w:pPr>
      <w:r>
        <w:rPr>
          <w:rStyle w:val="FootnoteReference"/>
          <w:rFonts w:ascii="Arial" w:hAnsi="Arial" w:cs="Arial"/>
          <w:sz w:val="18"/>
          <w:szCs w:val="18"/>
        </w:rPr>
        <w:footnoteRef/>
      </w:r>
      <w:r>
        <w:rPr>
          <w:rFonts w:ascii="Arial" w:hAnsi="Arial" w:cs="Arial"/>
          <w:sz w:val="18"/>
          <w:szCs w:val="18"/>
          <w:lang w:val="es-ES"/>
        </w:rPr>
        <w:t xml:space="preserve"> </w:t>
      </w:r>
      <w:r>
        <w:rPr>
          <w:rFonts w:ascii="Arial" w:hAnsi="Arial" w:cs="Arial"/>
          <w:sz w:val="18"/>
          <w:szCs w:val="18"/>
          <w:lang w:val="es-ES"/>
        </w:rPr>
        <w:tab/>
        <w:t xml:space="preserve">Los detalles de la construcción, calibración y simulación del modelo de equilibrio general dinámico se presentan en el EEO#6.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886"/>
    <w:multiLevelType w:val="hybridMultilevel"/>
    <w:tmpl w:val="24124360"/>
    <w:lvl w:ilvl="0" w:tplc="4ADEB41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8D1CCF"/>
    <w:multiLevelType w:val="hybridMultilevel"/>
    <w:tmpl w:val="C7E067A4"/>
    <w:lvl w:ilvl="0" w:tplc="4ADEB41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0342F"/>
    <w:multiLevelType w:val="multilevel"/>
    <w:tmpl w:val="5AF85C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8512C"/>
    <w:multiLevelType w:val="hybridMultilevel"/>
    <w:tmpl w:val="B6B0EBC0"/>
    <w:lvl w:ilvl="0" w:tplc="4ADEB41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F33D51"/>
    <w:multiLevelType w:val="hybridMultilevel"/>
    <w:tmpl w:val="47144E24"/>
    <w:lvl w:ilvl="0" w:tplc="4ADEB41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394F6A"/>
    <w:multiLevelType w:val="hybridMultilevel"/>
    <w:tmpl w:val="A708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7331"/>
    <w:multiLevelType w:val="multilevel"/>
    <w:tmpl w:val="CD8025D4"/>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FF66D9"/>
    <w:multiLevelType w:val="hybridMultilevel"/>
    <w:tmpl w:val="B6B0EBC0"/>
    <w:lvl w:ilvl="0" w:tplc="4ADEB41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35B2F"/>
    <w:multiLevelType w:val="multilevel"/>
    <w:tmpl w:val="546E6122"/>
    <w:lvl w:ilvl="0">
      <w:start w:val="1"/>
      <w:numFmt w:val="decimal"/>
      <w:lvlText w:val="%1"/>
      <w:lvlJc w:val="left"/>
      <w:pPr>
        <w:ind w:left="732" w:hanging="732"/>
      </w:pPr>
      <w:rPr>
        <w:rFonts w:hint="default"/>
      </w:rPr>
    </w:lvl>
    <w:lvl w:ilvl="1">
      <w:start w:val="1"/>
      <w:numFmt w:val="decimal"/>
      <w:lvlText w:val="%1.%2"/>
      <w:lvlJc w:val="left"/>
      <w:pPr>
        <w:ind w:left="714" w:hanging="732"/>
      </w:pPr>
      <w:rPr>
        <w:rFonts w:hint="default"/>
      </w:rPr>
    </w:lvl>
    <w:lvl w:ilvl="2">
      <w:start w:val="1"/>
      <w:numFmt w:val="decimal"/>
      <w:lvlText w:val="%1.%2.%3"/>
      <w:lvlJc w:val="left"/>
      <w:pPr>
        <w:ind w:left="696" w:hanging="732"/>
      </w:pPr>
      <w:rPr>
        <w:rFonts w:hint="default"/>
      </w:rPr>
    </w:lvl>
    <w:lvl w:ilvl="3">
      <w:start w:val="1"/>
      <w:numFmt w:val="decimal"/>
      <w:lvlText w:val="%1.%2.%3.%4"/>
      <w:lvlJc w:val="left"/>
      <w:pPr>
        <w:ind w:left="678" w:hanging="732"/>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296" w:hanging="1440"/>
      </w:pPr>
      <w:rPr>
        <w:rFonts w:hint="default"/>
      </w:rPr>
    </w:lvl>
  </w:abstractNum>
  <w:abstractNum w:abstractNumId="10" w15:restartNumberingAfterBreak="0">
    <w:nsid w:val="26A12778"/>
    <w:multiLevelType w:val="hybridMultilevel"/>
    <w:tmpl w:val="47144E24"/>
    <w:lvl w:ilvl="0" w:tplc="4ADEB41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50E46"/>
    <w:multiLevelType w:val="hybridMultilevel"/>
    <w:tmpl w:val="3B0C8A2E"/>
    <w:lvl w:ilvl="0" w:tplc="B3B0E2E0">
      <w:start w:val="1"/>
      <w:numFmt w:val="decimal"/>
      <w:lvlText w:val="%1."/>
      <w:lvlJc w:val="left"/>
      <w:pPr>
        <w:ind w:left="627" w:hanging="360"/>
      </w:pPr>
      <w:rPr>
        <w:rFonts w:hint="default"/>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12" w15:restartNumberingAfterBreak="0">
    <w:nsid w:val="283A76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FF3D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9A4796"/>
    <w:multiLevelType w:val="hybridMultilevel"/>
    <w:tmpl w:val="20420230"/>
    <w:lvl w:ilvl="0" w:tplc="4ADEB4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07556"/>
    <w:multiLevelType w:val="multilevel"/>
    <w:tmpl w:val="9EEC44B2"/>
    <w:lvl w:ilvl="0">
      <w:start w:val="1"/>
      <w:numFmt w:val="upperRoman"/>
      <w:lvlRestart w:val="0"/>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rFonts w:ascii="Arial" w:hAnsi="Arial" w:cs="Arial" w:hint="default"/>
        <w:sz w:val="22"/>
        <w:szCs w:val="22"/>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6" w15:restartNumberingAfterBreak="0">
    <w:nsid w:val="359B4991"/>
    <w:multiLevelType w:val="multilevel"/>
    <w:tmpl w:val="027A3F9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1296"/>
        </w:tabs>
        <w:ind w:left="1296" w:hanging="1296"/>
      </w:pPr>
      <w:rPr>
        <w:rFonts w:ascii="Arial" w:hAnsi="Arial" w:cs="Arial" w:hint="default"/>
        <w:b w:val="0"/>
        <w:sz w:val="22"/>
        <w:szCs w:val="22"/>
        <w:lang w:val="es-ES_tradnl"/>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7" w15:restartNumberingAfterBreak="0">
    <w:nsid w:val="3A0215C8"/>
    <w:multiLevelType w:val="hybridMultilevel"/>
    <w:tmpl w:val="B6B0EBC0"/>
    <w:lvl w:ilvl="0" w:tplc="4ADEB41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FF7EB0"/>
    <w:multiLevelType w:val="hybridMultilevel"/>
    <w:tmpl w:val="B4C0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4022B"/>
    <w:multiLevelType w:val="multilevel"/>
    <w:tmpl w:val="546E6122"/>
    <w:lvl w:ilvl="0">
      <w:start w:val="1"/>
      <w:numFmt w:val="decimal"/>
      <w:lvlText w:val="%1"/>
      <w:lvlJc w:val="left"/>
      <w:pPr>
        <w:ind w:left="732" w:hanging="732"/>
      </w:pPr>
      <w:rPr>
        <w:rFonts w:hint="default"/>
      </w:rPr>
    </w:lvl>
    <w:lvl w:ilvl="1">
      <w:start w:val="1"/>
      <w:numFmt w:val="decimal"/>
      <w:lvlText w:val="%1.%2"/>
      <w:lvlJc w:val="left"/>
      <w:pPr>
        <w:ind w:left="714" w:hanging="732"/>
      </w:pPr>
      <w:rPr>
        <w:rFonts w:hint="default"/>
      </w:rPr>
    </w:lvl>
    <w:lvl w:ilvl="2">
      <w:start w:val="1"/>
      <w:numFmt w:val="decimal"/>
      <w:lvlText w:val="%1.%2.%3"/>
      <w:lvlJc w:val="left"/>
      <w:pPr>
        <w:ind w:left="696" w:hanging="732"/>
      </w:pPr>
      <w:rPr>
        <w:rFonts w:hint="default"/>
      </w:rPr>
    </w:lvl>
    <w:lvl w:ilvl="3">
      <w:start w:val="1"/>
      <w:numFmt w:val="decimal"/>
      <w:lvlText w:val="%1.%2.%3.%4"/>
      <w:lvlJc w:val="left"/>
      <w:pPr>
        <w:ind w:left="678" w:hanging="732"/>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296" w:hanging="1440"/>
      </w:pPr>
      <w:rPr>
        <w:rFonts w:hint="default"/>
      </w:rPr>
    </w:lvl>
  </w:abstractNum>
  <w:abstractNum w:abstractNumId="20" w15:restartNumberingAfterBreak="0">
    <w:nsid w:val="47C75DB8"/>
    <w:multiLevelType w:val="hybridMultilevel"/>
    <w:tmpl w:val="F9222D3E"/>
    <w:lvl w:ilvl="0" w:tplc="375E64BE">
      <w:start w:val="1"/>
      <w:numFmt w:val="decimal"/>
      <w:lvlText w:val="%1-"/>
      <w:lvlJc w:val="left"/>
      <w:pPr>
        <w:ind w:left="720" w:hanging="360"/>
      </w:pPr>
      <w:rPr>
        <w:rFonts w:cs="Times New Roman" w:hint="default"/>
      </w:rPr>
    </w:lvl>
    <w:lvl w:ilvl="1" w:tplc="48347012" w:tentative="1">
      <w:start w:val="1"/>
      <w:numFmt w:val="lowerLetter"/>
      <w:lvlText w:val="%2."/>
      <w:lvlJc w:val="left"/>
      <w:pPr>
        <w:ind w:left="1440" w:hanging="360"/>
      </w:pPr>
      <w:rPr>
        <w:rFonts w:cs="Times New Roman"/>
      </w:rPr>
    </w:lvl>
    <w:lvl w:ilvl="2" w:tplc="DCC878B2" w:tentative="1">
      <w:start w:val="1"/>
      <w:numFmt w:val="lowerRoman"/>
      <w:lvlText w:val="%3."/>
      <w:lvlJc w:val="right"/>
      <w:pPr>
        <w:ind w:left="2160" w:hanging="180"/>
      </w:pPr>
      <w:rPr>
        <w:rFonts w:cs="Times New Roman"/>
      </w:rPr>
    </w:lvl>
    <w:lvl w:ilvl="3" w:tplc="DA28BAFC" w:tentative="1">
      <w:start w:val="1"/>
      <w:numFmt w:val="decimal"/>
      <w:lvlText w:val="%4."/>
      <w:lvlJc w:val="left"/>
      <w:pPr>
        <w:ind w:left="2880" w:hanging="360"/>
      </w:pPr>
      <w:rPr>
        <w:rFonts w:cs="Times New Roman"/>
      </w:rPr>
    </w:lvl>
    <w:lvl w:ilvl="4" w:tplc="C9F8EC98" w:tentative="1">
      <w:start w:val="1"/>
      <w:numFmt w:val="lowerLetter"/>
      <w:lvlText w:val="%5."/>
      <w:lvlJc w:val="left"/>
      <w:pPr>
        <w:ind w:left="3600" w:hanging="360"/>
      </w:pPr>
      <w:rPr>
        <w:rFonts w:cs="Times New Roman"/>
      </w:rPr>
    </w:lvl>
    <w:lvl w:ilvl="5" w:tplc="1D3AAAE6" w:tentative="1">
      <w:start w:val="1"/>
      <w:numFmt w:val="lowerRoman"/>
      <w:lvlText w:val="%6."/>
      <w:lvlJc w:val="right"/>
      <w:pPr>
        <w:ind w:left="4320" w:hanging="180"/>
      </w:pPr>
      <w:rPr>
        <w:rFonts w:cs="Times New Roman"/>
      </w:rPr>
    </w:lvl>
    <w:lvl w:ilvl="6" w:tplc="BD70E5A4" w:tentative="1">
      <w:start w:val="1"/>
      <w:numFmt w:val="decimal"/>
      <w:lvlText w:val="%7."/>
      <w:lvlJc w:val="left"/>
      <w:pPr>
        <w:ind w:left="5040" w:hanging="360"/>
      </w:pPr>
      <w:rPr>
        <w:rFonts w:cs="Times New Roman"/>
      </w:rPr>
    </w:lvl>
    <w:lvl w:ilvl="7" w:tplc="4E128DCE" w:tentative="1">
      <w:start w:val="1"/>
      <w:numFmt w:val="lowerLetter"/>
      <w:lvlText w:val="%8."/>
      <w:lvlJc w:val="left"/>
      <w:pPr>
        <w:ind w:left="5760" w:hanging="360"/>
      </w:pPr>
      <w:rPr>
        <w:rFonts w:cs="Times New Roman"/>
      </w:rPr>
    </w:lvl>
    <w:lvl w:ilvl="8" w:tplc="A8BA9556" w:tentative="1">
      <w:start w:val="1"/>
      <w:numFmt w:val="lowerRoman"/>
      <w:lvlText w:val="%9."/>
      <w:lvlJc w:val="right"/>
      <w:pPr>
        <w:ind w:left="6480" w:hanging="180"/>
      </w:pPr>
      <w:rPr>
        <w:rFonts w:cs="Times New Roman"/>
      </w:rPr>
    </w:lvl>
  </w:abstractNum>
  <w:abstractNum w:abstractNumId="21" w15:restartNumberingAfterBreak="0">
    <w:nsid w:val="484E1BEA"/>
    <w:multiLevelType w:val="hybridMultilevel"/>
    <w:tmpl w:val="47144E24"/>
    <w:lvl w:ilvl="0" w:tplc="4ADEB41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0641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944908"/>
    <w:multiLevelType w:val="hybridMultilevel"/>
    <w:tmpl w:val="474CA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82257"/>
    <w:multiLevelType w:val="hybridMultilevel"/>
    <w:tmpl w:val="20420230"/>
    <w:lvl w:ilvl="0" w:tplc="4ADEB4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32231"/>
    <w:multiLevelType w:val="hybridMultilevel"/>
    <w:tmpl w:val="AFCCB27E"/>
    <w:lvl w:ilvl="0" w:tplc="04090001">
      <w:start w:val="1"/>
      <w:numFmt w:val="bullet"/>
      <w:lvlText w:val=""/>
      <w:lvlJc w:val="left"/>
      <w:pPr>
        <w:ind w:left="4140" w:hanging="360"/>
      </w:pPr>
      <w:rPr>
        <w:rFonts w:ascii="Symbol" w:hAnsi="Symbol" w:hint="default"/>
      </w:rPr>
    </w:lvl>
    <w:lvl w:ilvl="1" w:tplc="6478D1F6">
      <w:start w:val="1"/>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26818"/>
    <w:multiLevelType w:val="multilevel"/>
    <w:tmpl w:val="6A6C0A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0905BFD"/>
    <w:multiLevelType w:val="hybridMultilevel"/>
    <w:tmpl w:val="B6B0EBC0"/>
    <w:lvl w:ilvl="0" w:tplc="4ADEB41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1F736D"/>
    <w:multiLevelType w:val="hybridMultilevel"/>
    <w:tmpl w:val="A274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C0A0E"/>
    <w:multiLevelType w:val="hybridMultilevel"/>
    <w:tmpl w:val="C7E067A4"/>
    <w:lvl w:ilvl="0" w:tplc="4ADEB41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92194C"/>
    <w:multiLevelType w:val="hybridMultilevel"/>
    <w:tmpl w:val="5B6CB46A"/>
    <w:lvl w:ilvl="0" w:tplc="4ADEB41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AB34E4"/>
    <w:multiLevelType w:val="hybridMultilevel"/>
    <w:tmpl w:val="56242DF2"/>
    <w:lvl w:ilvl="0" w:tplc="57746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53384"/>
    <w:multiLevelType w:val="hybridMultilevel"/>
    <w:tmpl w:val="9C7E3DB4"/>
    <w:lvl w:ilvl="0" w:tplc="84AC5F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45E6F"/>
    <w:multiLevelType w:val="multilevel"/>
    <w:tmpl w:val="259062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106E41"/>
    <w:multiLevelType w:val="multilevel"/>
    <w:tmpl w:val="F1B2B89E"/>
    <w:lvl w:ilvl="0">
      <w:start w:val="1"/>
      <w:numFmt w:val="upperRoman"/>
      <w:lvlText w:val="%1."/>
      <w:lvlJc w:val="right"/>
      <w:pPr>
        <w:ind w:left="720" w:hanging="360"/>
      </w:p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5" w15:restartNumberingAfterBreak="0">
    <w:nsid w:val="6512404A"/>
    <w:multiLevelType w:val="multilevel"/>
    <w:tmpl w:val="4852E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E70F9A"/>
    <w:multiLevelType w:val="hybridMultilevel"/>
    <w:tmpl w:val="755CD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52C46"/>
    <w:multiLevelType w:val="hybridMultilevel"/>
    <w:tmpl w:val="8146DE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4D3BC4"/>
    <w:multiLevelType w:val="multilevel"/>
    <w:tmpl w:val="948AFCE8"/>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9" w15:restartNumberingAfterBreak="0">
    <w:nsid w:val="71796C1D"/>
    <w:multiLevelType w:val="hybridMultilevel"/>
    <w:tmpl w:val="D8746DD0"/>
    <w:lvl w:ilvl="0" w:tplc="4ADEB41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1012B5"/>
    <w:multiLevelType w:val="hybridMultilevel"/>
    <w:tmpl w:val="0F021172"/>
    <w:lvl w:ilvl="0" w:tplc="837A600C">
      <w:start w:val="1"/>
      <w:numFmt w:val="lowerRoman"/>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5C0CAA"/>
    <w:multiLevelType w:val="multilevel"/>
    <w:tmpl w:val="895E5BAC"/>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42" w15:restartNumberingAfterBreak="0">
    <w:nsid w:val="72B96C00"/>
    <w:multiLevelType w:val="hybridMultilevel"/>
    <w:tmpl w:val="47144E24"/>
    <w:lvl w:ilvl="0" w:tplc="4ADEB41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1B03E0"/>
    <w:multiLevelType w:val="hybridMultilevel"/>
    <w:tmpl w:val="B40E2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F4429"/>
    <w:multiLevelType w:val="multilevel"/>
    <w:tmpl w:val="500A1F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8D67710"/>
    <w:multiLevelType w:val="hybridMultilevel"/>
    <w:tmpl w:val="24124360"/>
    <w:lvl w:ilvl="0" w:tplc="4ADEB41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B43F7A"/>
    <w:multiLevelType w:val="hybridMultilevel"/>
    <w:tmpl w:val="B6B0EBC0"/>
    <w:lvl w:ilvl="0" w:tplc="4ADEB412">
      <w:start w:val="1"/>
      <w:numFmt w:val="lowerRoman"/>
      <w:lvlText w:val="(%1)"/>
      <w:lvlJc w:val="left"/>
      <w:pPr>
        <w:ind w:left="640" w:hanging="360"/>
      </w:pPr>
      <w:rPr>
        <w:rFonts w:hint="default"/>
      </w:rPr>
    </w:lvl>
    <w:lvl w:ilvl="1" w:tplc="04090019">
      <w:start w:val="1"/>
      <w:numFmt w:val="lowerLetter"/>
      <w:lvlText w:val="%2."/>
      <w:lvlJc w:val="left"/>
      <w:pPr>
        <w:ind w:left="1360" w:hanging="360"/>
      </w:pPr>
    </w:lvl>
    <w:lvl w:ilvl="2" w:tplc="0409001B">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7" w15:restartNumberingAfterBreak="0">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8364B"/>
    <w:multiLevelType w:val="hybridMultilevel"/>
    <w:tmpl w:val="47144E24"/>
    <w:lvl w:ilvl="0" w:tplc="4ADEB41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1"/>
  </w:num>
  <w:num w:numId="3">
    <w:abstractNumId w:val="25"/>
  </w:num>
  <w:num w:numId="4">
    <w:abstractNumId w:val="20"/>
  </w:num>
  <w:num w:numId="5">
    <w:abstractNumId w:val="8"/>
  </w:num>
  <w:num w:numId="6">
    <w:abstractNumId w:val="47"/>
  </w:num>
  <w:num w:numId="7">
    <w:abstractNumId w:val="18"/>
  </w:num>
  <w:num w:numId="8">
    <w:abstractNumId w:val="5"/>
  </w:num>
  <w:num w:numId="9">
    <w:abstractNumId w:val="22"/>
  </w:num>
  <w:num w:numId="10">
    <w:abstractNumId w:val="34"/>
  </w:num>
  <w:num w:numId="11">
    <w:abstractNumId w:val="12"/>
  </w:num>
  <w:num w:numId="12">
    <w:abstractNumId w:val="13"/>
  </w:num>
  <w:num w:numId="13">
    <w:abstractNumId w:val="43"/>
  </w:num>
  <w:num w:numId="14">
    <w:abstractNumId w:val="36"/>
  </w:num>
  <w:num w:numId="15">
    <w:abstractNumId w:val="23"/>
  </w:num>
  <w:num w:numId="16">
    <w:abstractNumId w:val="14"/>
  </w:num>
  <w:num w:numId="17">
    <w:abstractNumId w:val="19"/>
  </w:num>
  <w:num w:numId="18">
    <w:abstractNumId w:val="24"/>
  </w:num>
  <w:num w:numId="19">
    <w:abstractNumId w:val="48"/>
  </w:num>
  <w:num w:numId="20">
    <w:abstractNumId w:val="4"/>
  </w:num>
  <w:num w:numId="21">
    <w:abstractNumId w:val="42"/>
  </w:num>
  <w:num w:numId="22">
    <w:abstractNumId w:val="10"/>
  </w:num>
  <w:num w:numId="23">
    <w:abstractNumId w:val="21"/>
  </w:num>
  <w:num w:numId="24">
    <w:abstractNumId w:val="26"/>
  </w:num>
  <w:num w:numId="25">
    <w:abstractNumId w:val="32"/>
  </w:num>
  <w:num w:numId="26">
    <w:abstractNumId w:val="30"/>
  </w:num>
  <w:num w:numId="27">
    <w:abstractNumId w:val="29"/>
  </w:num>
  <w:num w:numId="28">
    <w:abstractNumId w:val="1"/>
  </w:num>
  <w:num w:numId="29">
    <w:abstractNumId w:val="40"/>
  </w:num>
  <w:num w:numId="30">
    <w:abstractNumId w:val="45"/>
  </w:num>
  <w:num w:numId="31">
    <w:abstractNumId w:val="0"/>
  </w:num>
  <w:num w:numId="32">
    <w:abstractNumId w:val="39"/>
  </w:num>
  <w:num w:numId="33">
    <w:abstractNumId w:val="44"/>
  </w:num>
  <w:num w:numId="34">
    <w:abstractNumId w:val="46"/>
  </w:num>
  <w:num w:numId="35">
    <w:abstractNumId w:val="7"/>
  </w:num>
  <w:num w:numId="36">
    <w:abstractNumId w:val="17"/>
  </w:num>
  <w:num w:numId="37">
    <w:abstractNumId w:val="3"/>
  </w:num>
  <w:num w:numId="38">
    <w:abstractNumId w:val="27"/>
  </w:num>
  <w:num w:numId="39">
    <w:abstractNumId w:val="28"/>
  </w:num>
  <w:num w:numId="40">
    <w:abstractNumId w:val="15"/>
  </w:num>
  <w:num w:numId="41">
    <w:abstractNumId w:val="15"/>
  </w:num>
  <w:num w:numId="42">
    <w:abstractNumId w:val="15"/>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6"/>
  </w:num>
  <w:num w:numId="47">
    <w:abstractNumId w:val="9"/>
  </w:num>
  <w:num w:numId="48">
    <w:abstractNumId w:val="33"/>
  </w:num>
  <w:num w:numId="49">
    <w:abstractNumId w:val="2"/>
  </w:num>
  <w:num w:numId="50">
    <w:abstractNumId w:val="38"/>
  </w:num>
  <w:num w:numId="51">
    <w:abstractNumId w:val="37"/>
  </w:num>
  <w:num w:numId="52">
    <w:abstractNumId w:val="6"/>
  </w:num>
  <w:num w:numId="53">
    <w:abstractNumId w:val="35"/>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Chapter">
    <w:name w:val="Chapter"/>
    <w:basedOn w:val="Normal"/>
    <w:next w:val="Normal"/>
    <w:link w:val="ChapterChar"/>
    <w:qFormat/>
    <w:pPr>
      <w:keepNext/>
      <w:tabs>
        <w:tab w:val="left" w:pos="1440"/>
      </w:tabs>
      <w:spacing w:before="240" w:after="240" w:line="240" w:lineRule="auto"/>
      <w:jc w:val="center"/>
    </w:pPr>
    <w:rPr>
      <w:rFonts w:ascii="Times New Roman" w:hAnsi="Times New Roman" w:cs="Times New Roman"/>
      <w:b/>
      <w:smallCaps/>
      <w:sz w:val="24"/>
    </w:rPr>
  </w:style>
  <w:style w:type="character" w:customStyle="1" w:styleId="ChapterChar">
    <w:name w:val="Chapter Char"/>
    <w:basedOn w:val="DefaultParagraphFont"/>
    <w:link w:val="Chapter"/>
    <w:rPr>
      <w:rFonts w:ascii="Times New Roman" w:hAnsi="Times New Roman" w:cs="Times New Roman"/>
      <w:b/>
      <w:smallCaps/>
      <w:sz w:val="24"/>
    </w:rPr>
  </w:style>
  <w:style w:type="paragraph" w:customStyle="1" w:styleId="FirstHeading">
    <w:name w:val="FirstHeading"/>
    <w:basedOn w:val="Normal"/>
    <w:next w:val="Normal"/>
    <w:link w:val="FirstHeadingChar"/>
    <w:uiPriority w:val="99"/>
    <w:pPr>
      <w:keepNext/>
      <w:numPr>
        <w:numId w:val="2"/>
      </w:numPr>
      <w:tabs>
        <w:tab w:val="left" w:pos="0"/>
        <w:tab w:val="left" w:pos="86"/>
      </w:tabs>
      <w:spacing w:before="120" w:after="120" w:line="240" w:lineRule="auto"/>
    </w:pPr>
    <w:rPr>
      <w:rFonts w:ascii="Times New Roman" w:hAnsi="Times New Roman" w:cs="Times New Roman"/>
      <w:b/>
      <w:sz w:val="24"/>
    </w:rPr>
  </w:style>
  <w:style w:type="character" w:customStyle="1" w:styleId="FirstHeadingChar">
    <w:name w:val="FirstHeading Char"/>
    <w:basedOn w:val="DefaultParagraphFont"/>
    <w:link w:val="FirstHeading"/>
    <w:uiPriority w:val="99"/>
    <w:rPr>
      <w:rFonts w:ascii="Times New Roman" w:hAnsi="Times New Roman" w:cs="Times New Roman"/>
      <w:b/>
      <w:sz w:val="24"/>
    </w:rPr>
  </w:style>
  <w:style w:type="paragraph" w:customStyle="1" w:styleId="SecHeading">
    <w:name w:val="SecHeading"/>
    <w:basedOn w:val="Normal"/>
    <w:next w:val="Paragraph"/>
    <w:uiPriority w:val="99"/>
    <w:pPr>
      <w:keepNext/>
      <w:numPr>
        <w:ilvl w:val="1"/>
        <w:numId w:val="2"/>
      </w:numPr>
      <w:tabs>
        <w:tab w:val="clear" w:pos="5400"/>
        <w:tab w:val="num" w:pos="1296"/>
      </w:tabs>
      <w:spacing w:before="120" w:after="120" w:line="240" w:lineRule="auto"/>
      <w:ind w:left="1296"/>
    </w:pPr>
    <w:rPr>
      <w:rFonts w:ascii="Times New Roman" w:hAnsi="Times New Roman" w:cs="Times New Roman"/>
      <w:b/>
      <w:sz w:val="24"/>
    </w:rPr>
  </w:style>
  <w:style w:type="paragraph" w:customStyle="1" w:styleId="SubHeading1">
    <w:name w:val="SubHeading1"/>
    <w:basedOn w:val="SecHeading"/>
    <w:uiPriority w:val="99"/>
    <w:pPr>
      <w:numPr>
        <w:ilvl w:val="2"/>
      </w:numPr>
      <w:tabs>
        <w:tab w:val="clear" w:pos="5976"/>
        <w:tab w:val="num" w:pos="1872"/>
      </w:tabs>
      <w:ind w:left="1872"/>
    </w:pPr>
  </w:style>
  <w:style w:type="paragraph" w:customStyle="1" w:styleId="Subheading2">
    <w:name w:val="Subheading2"/>
    <w:basedOn w:val="SecHeading"/>
    <w:uiPriority w:val="99"/>
    <w:pPr>
      <w:numPr>
        <w:ilvl w:val="3"/>
      </w:numPr>
    </w:pPr>
  </w:style>
  <w:style w:type="paragraph" w:customStyle="1" w:styleId="Paragraph">
    <w:name w:val="Paragraph"/>
    <w:aliases w:val="paragraph,p,PARAGRAPH,PG,pa,at"/>
    <w:basedOn w:val="BodyTextIndent"/>
    <w:link w:val="ParagraphChar"/>
    <w:qFormat/>
    <w:pPr>
      <w:numPr>
        <w:ilvl w:val="1"/>
        <w:numId w:val="1"/>
      </w:numPr>
      <w:spacing w:before="120" w:line="240" w:lineRule="auto"/>
      <w:jc w:val="both"/>
      <w:outlineLvl w:val="1"/>
    </w:pPr>
    <w:rPr>
      <w:rFonts w:ascii="Times New Roman" w:hAnsi="Times New Roman" w:cs="Times New Roman"/>
      <w:sz w:val="24"/>
    </w:rPr>
  </w:style>
  <w:style w:type="character" w:customStyle="1" w:styleId="ParagraphChar">
    <w:name w:val="Paragraph Char"/>
    <w:basedOn w:val="DefaultParagraphFont"/>
    <w:link w:val="Paragraph"/>
    <w:rPr>
      <w:rFonts w:ascii="Times New Roman" w:hAnsi="Times New Roman" w:cs="Times New Roman"/>
      <w:sz w:val="24"/>
    </w:rPr>
  </w:style>
  <w:style w:type="paragraph" w:customStyle="1" w:styleId="subpar">
    <w:name w:val="subpar"/>
    <w:basedOn w:val="BodyTextIndent3"/>
    <w:link w:val="subparChar"/>
    <w:pPr>
      <w:numPr>
        <w:ilvl w:val="2"/>
        <w:numId w:val="1"/>
      </w:numPr>
      <w:spacing w:before="120" w:line="240" w:lineRule="auto"/>
      <w:jc w:val="both"/>
      <w:outlineLvl w:val="2"/>
    </w:pPr>
    <w:rPr>
      <w:rFonts w:ascii="Times New Roman" w:hAnsi="Times New Roman" w:cs="Times New Roman"/>
      <w:sz w:val="24"/>
    </w:rPr>
  </w:style>
  <w:style w:type="character" w:customStyle="1" w:styleId="subparChar">
    <w:name w:val="subpar Char"/>
    <w:basedOn w:val="DefaultParagraphFont"/>
    <w:link w:val="subpar"/>
    <w:rPr>
      <w:rFonts w:ascii="Times New Roman" w:hAnsi="Times New Roman" w:cs="Times New Roman"/>
      <w:sz w:val="24"/>
      <w:szCs w:val="16"/>
    </w:rPr>
  </w:style>
  <w:style w:type="paragraph" w:customStyle="1" w:styleId="SubSubPar">
    <w:name w:val="SubSubPar"/>
    <w:basedOn w:val="subpar"/>
    <w:link w:val="SubSubParChar"/>
    <w:pPr>
      <w:numPr>
        <w:ilvl w:val="3"/>
      </w:numPr>
      <w:tabs>
        <w:tab w:val="left" w:pos="0"/>
      </w:tabs>
    </w:pPr>
  </w:style>
  <w:style w:type="character" w:customStyle="1" w:styleId="SubSubParChar">
    <w:name w:val="SubSubPar Char"/>
    <w:basedOn w:val="DefaultParagraphFont"/>
    <w:link w:val="SubSubPar"/>
    <w:rPr>
      <w:rFonts w:ascii="Times New Roman" w:hAnsi="Times New Roman" w:cs="Times New Roman"/>
      <w:sz w:val="24"/>
      <w:szCs w:val="16"/>
    </w:rPr>
  </w:style>
  <w:style w:type="paragraph" w:styleId="FootnoteText">
    <w:name w:val="footnote text"/>
    <w:aliases w:val="fn,texto de nota al pie,Nota a pie/Bibliog,footnote,foottextfra,F,Texto nota pie Car Car Car Car Car Car Car Car,Texto nota pie Car Car Car,Footnote Text Char Char Char Char Char Char,Texto nota pie Car Car Car Car Car,Texto nota pie Car1"/>
    <w:basedOn w:val="Normal"/>
    <w:link w:val="FootnoteTextChar"/>
    <w:unhideWhenUsed/>
    <w:qFormat/>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de nota al pie Char,Nota a pie/Bibliog Char,footnote Char,foottextfra Char,F Char,Texto nota pie Car Car Car Car Car Car Car Car Char,Texto nota pie Car Car Car Char,Footnote Text Char Char Char Char Char Char Char"/>
    <w:basedOn w:val="DefaultParagraphFont"/>
    <w:link w:val="FootnoteText"/>
    <w:rPr>
      <w:rFonts w:ascii="Times New Roman" w:hAnsi="Times New Roman" w:cs="Times New Roman"/>
      <w:spacing w:val="-3"/>
      <w:sz w:val="20"/>
      <w:szCs w:val="20"/>
    </w:rPr>
  </w:style>
  <w:style w:type="paragraph" w:customStyle="1" w:styleId="21Paragraph">
    <w:name w:val="2.1 Paragraph"/>
    <w:basedOn w:val="Normal"/>
    <w:qFormat/>
    <w:pPr>
      <w:spacing w:before="120" w:after="120" w:line="240" w:lineRule="auto"/>
      <w:jc w:val="both"/>
    </w:pPr>
    <w:rPr>
      <w:rFonts w:ascii="Times New Roman" w:eastAsia="MS Mincho" w:hAnsi="Times New Roman" w:cs="Times New Roman"/>
      <w:sz w:val="24"/>
      <w:szCs w:val="24"/>
      <w:lang w:val="es-ES_tradnl"/>
    </w:rPr>
  </w:style>
  <w:style w:type="paragraph" w:styleId="ListParagraph">
    <w:name w:val="List Paragraph"/>
    <w:basedOn w:val="Normal"/>
    <w:link w:val="ListParagraphChar"/>
    <w:uiPriority w:val="34"/>
    <w:qFormat/>
    <w:pPr>
      <w:ind w:left="720"/>
      <w:contextualSpacing/>
    </w:pPr>
  </w:style>
  <w:style w:type="character" w:styleId="FootnoteReference">
    <w:name w:val="footnote reference"/>
    <w:aliases w:val="ftref,titulo 2,Fußnotenzeichen DISS,16 Point,Superscript 6 Point,BVI fnr, BVI fnr,Знак сноски 1,referencia nota al pie,FC,Footnote Referencefra,Ref. de nota al pie.,Footnote Reference.SES,Ref. de nota al pie EDEP,pie pddes,fr,SUPERS"/>
    <w:basedOn w:val="DefaultParagraphFont"/>
    <w:link w:val="Char2"/>
    <w:unhideWhenUsed/>
    <w:qFormat/>
    <w:rPr>
      <w:vertAlign w:val="superscript"/>
    </w:rPr>
  </w:style>
  <w:style w:type="table" w:styleId="TableGrid">
    <w:name w:val="Table Grid"/>
    <w:basedOn w:val="TableNormal"/>
    <w:uiPriority w:val="5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Newpage">
    <w:name w:val="Newpage"/>
    <w:basedOn w:val="Normal"/>
    <w:pPr>
      <w:tabs>
        <w:tab w:val="left" w:pos="1440"/>
        <w:tab w:val="left" w:pos="3060"/>
      </w:tabs>
      <w:spacing w:after="0" w:line="240" w:lineRule="auto"/>
      <w:jc w:val="center"/>
    </w:pPr>
    <w:rPr>
      <w:rFonts w:ascii="Times New Roman" w:eastAsia="Times New Roman" w:hAnsi="Times New Roman" w:cs="Arial"/>
      <w:b/>
      <w:smallCaps/>
      <w:spacing w:val="-3"/>
      <w:sz w:val="24"/>
      <w:szCs w:val="20"/>
      <w:lang w:val="es-ES"/>
    </w:rPr>
  </w:style>
  <w:style w:type="paragraph" w:styleId="TOC1">
    <w:name w:val="toc 1"/>
    <w:basedOn w:val="Normal"/>
    <w:next w:val="Normal"/>
    <w:autoRedefine/>
    <w:uiPriority w:val="39"/>
    <w:qFormat/>
    <w:pPr>
      <w:tabs>
        <w:tab w:val="right" w:leader="dot" w:pos="8741"/>
      </w:tabs>
      <w:spacing w:before="240" w:after="240" w:line="240" w:lineRule="auto"/>
      <w:ind w:left="547" w:hanging="547"/>
    </w:pPr>
    <w:rPr>
      <w:rFonts w:ascii="Arial" w:eastAsia="Times New Roman" w:hAnsi="Arial" w:cs="Arial"/>
      <w:b/>
      <w:smallCaps/>
      <w:noProof/>
      <w:spacing w:val="-3"/>
      <w:sz w:val="24"/>
      <w:szCs w:val="24"/>
      <w:lang w:val="es-ES"/>
    </w:rPr>
  </w:style>
  <w:style w:type="paragraph" w:styleId="TOC2">
    <w:name w:val="toc 2"/>
    <w:basedOn w:val="Normal"/>
    <w:next w:val="Normal"/>
    <w:autoRedefine/>
    <w:uiPriority w:val="39"/>
    <w:qFormat/>
    <w:pPr>
      <w:tabs>
        <w:tab w:val="left" w:pos="1152"/>
        <w:tab w:val="right" w:leader="dot" w:pos="8741"/>
      </w:tabs>
      <w:spacing w:after="0" w:line="240" w:lineRule="auto"/>
      <w:ind w:left="1166" w:hanging="605"/>
    </w:pPr>
    <w:rPr>
      <w:rFonts w:ascii="Times New Roman" w:eastAsia="Times New Roman" w:hAnsi="Times New Roman" w:cs="Times New Roman"/>
      <w:spacing w:val="-3"/>
      <w:sz w:val="24"/>
      <w:lang w:val="es-E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styleId="NoSpacing">
    <w:name w:val="No Spacing"/>
    <w:uiPriority w:val="1"/>
    <w:qFormat/>
    <w:pPr>
      <w:spacing w:after="0" w:line="240" w:lineRule="auto"/>
    </w:pPr>
  </w:style>
  <w:style w:type="character" w:customStyle="1" w:styleId="ListParagraphChar">
    <w:name w:val="List Paragraph Char"/>
    <w:link w:val="ListParagraph"/>
    <w:uiPriority w:val="34"/>
    <w:locked/>
  </w:style>
  <w:style w:type="paragraph" w:customStyle="1" w:styleId="Char2">
    <w:name w:val="Char2"/>
    <w:basedOn w:val="Normal"/>
    <w:link w:val="FootnoteReference"/>
    <w:uiPriority w:val="99"/>
    <w:pPr>
      <w:spacing w:after="160" w:line="240" w:lineRule="exact"/>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laboracion.dnp.gov.co/CDT/Sinergia/Documentos/Informe%20Final%20Linea%20Base%20FONDOS%20SGR.pdf" TargetMode="External"/><Relationship Id="rId18" Type="http://schemas.openxmlformats.org/officeDocument/2006/relationships/hyperlink" Target="https://www.colombiacompra.gov.co/tienda-virtual-del-estado-colombiano/seguros/intermediarios-de-seguro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gr.gov.co/LinkClick.aspx?fileticket=dwMEVzsn4_4%3d&amp;tabid=362" TargetMode="External"/><Relationship Id="rId17" Type="http://schemas.openxmlformats.org/officeDocument/2006/relationships/hyperlink" Target="http://repositorio.gestiondelriesgo.gov.co/bitstream/handle/20.500.11762/20713/Articulacion_instrumentos_planificacion.pdf?sequence=9&amp;isAllowed=y" TargetMode="External"/><Relationship Id="rId2" Type="http://schemas.openxmlformats.org/officeDocument/2006/relationships/numbering" Target="numbering.xml"/><Relationship Id="rId16" Type="http://schemas.openxmlformats.org/officeDocument/2006/relationships/hyperlink" Target="https://www.colombiacompra.gov.co/tienda-virtual-del-estado-colombiano/acuerdos-mar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gr.gov.co/LinkClick.aspx?fileticket=JKqVoX7Ozzs%3d&amp;tabid=294" TargetMode="External"/><Relationship Id="rId5" Type="http://schemas.openxmlformats.org/officeDocument/2006/relationships/webSettings" Target="webSettings.xml"/><Relationship Id="rId15" Type="http://schemas.openxmlformats.org/officeDocument/2006/relationships/hyperlink" Target="https://www.colombiacompra.gov.co/sites/cce_public/files/cce_documentos/20180131_informe_de_gestion_2017v2.pdf" TargetMode="External"/><Relationship Id="rId10" Type="http://schemas.openxmlformats.org/officeDocument/2006/relationships/hyperlink" Target="https://proyectostipo.dnp.gov.co/images/Metodologia-estandarizacion-documento-final.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cd.org/tax/transparency/exchange-of-information-on-request/ratings/" TargetMode="External"/><Relationship Id="rId14" Type="http://schemas.openxmlformats.org/officeDocument/2006/relationships/hyperlink" Target="https://colaboracion.dnp.gov.co/CDT/Sinergia/Documentos/129_Inform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B807-CA59-4BA6-A6EF-6C0ABA58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6122</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2018-06-07T13:49:00Z</dcterms:created>
  <dcterms:modified xsi:type="dcterms:W3CDTF">2018-06-07T14:07:00Z</dcterms:modified>
</cp:coreProperties>
</file>