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34A52" w14:textId="226767DD" w:rsidR="00490D10" w:rsidRPr="00C33424" w:rsidRDefault="00C33424">
      <w:pPr>
        <w:spacing w:before="200" w:after="200"/>
        <w:jc w:val="center"/>
        <w:rPr>
          <w:rFonts w:ascii="Arial" w:hAnsi="Arial" w:cs="Arial"/>
          <w:lang w:val="es-CO"/>
        </w:rPr>
      </w:pPr>
      <w:r>
        <w:rPr>
          <w:rFonts w:ascii="Arial" w:hAnsi="Arial" w:cs="Arial"/>
          <w:b/>
          <w:lang w:val="es-CO"/>
        </w:rPr>
        <w:t xml:space="preserve">TC </w:t>
      </w:r>
      <w:proofErr w:type="spellStart"/>
      <w:r>
        <w:rPr>
          <w:rFonts w:ascii="Arial" w:hAnsi="Arial" w:cs="Arial"/>
          <w:b/>
          <w:lang w:val="es-CO"/>
        </w:rPr>
        <w:t>Abstract</w:t>
      </w:r>
      <w:proofErr w:type="spellEnd"/>
    </w:p>
    <w:p w14:paraId="6A46E9AD" w14:textId="303B9F43" w:rsidR="00490D10" w:rsidRPr="00C33424" w:rsidRDefault="00B73C32">
      <w:pPr>
        <w:spacing w:before="120" w:after="120"/>
        <w:ind w:left="579" w:hanging="579"/>
        <w:rPr>
          <w:rFonts w:ascii="Arial" w:hAnsi="Arial" w:cs="Arial"/>
        </w:rPr>
      </w:pPr>
      <w:r w:rsidRPr="00C33424">
        <w:rPr>
          <w:rFonts w:ascii="Arial" w:hAnsi="Arial" w:cs="Arial"/>
          <w:b/>
        </w:rPr>
        <w:t>I.</w:t>
      </w:r>
      <w:r w:rsidRPr="00C33424">
        <w:rPr>
          <w:rFonts w:ascii="Arial" w:hAnsi="Arial" w:cs="Arial"/>
          <w:b/>
        </w:rPr>
        <w:tab/>
      </w:r>
      <w:r w:rsidR="00C33424" w:rsidRPr="00C33424">
        <w:rPr>
          <w:rFonts w:ascii="Arial" w:hAnsi="Arial" w:cs="Arial"/>
          <w:b/>
        </w:rPr>
        <w:t>Basic Information for T</w:t>
      </w:r>
      <w:r w:rsidR="00C33424">
        <w:rPr>
          <w:rFonts w:ascii="Arial" w:hAnsi="Arial" w:cs="Arial"/>
          <w:b/>
        </w:rPr>
        <w:t>C</w:t>
      </w:r>
    </w:p>
    <w:tbl>
      <w:tblPr>
        <w:tblStyle w:val="TableGrid"/>
        <w:tblW w:w="0" w:type="auto"/>
        <w:jc w:val="center"/>
        <w:tblBorders>
          <w:top w:val="single" w:sz="2" w:space="0" w:color="D3D3D3"/>
          <w:left w:val="single" w:sz="2" w:space="0" w:color="D3D3D3"/>
          <w:bottom w:val="single" w:sz="2" w:space="0" w:color="D3D3D3"/>
          <w:right w:val="single" w:sz="2" w:space="0" w:color="D3D3D3"/>
          <w:insideH w:val="single" w:sz="2" w:space="0" w:color="D3D3D3"/>
          <w:insideV w:val="single" w:sz="2" w:space="0" w:color="D3D3D3"/>
        </w:tblBorders>
        <w:tblLook w:val="04A0" w:firstRow="1" w:lastRow="0" w:firstColumn="1" w:lastColumn="0" w:noHBand="0" w:noVBand="1"/>
      </w:tblPr>
      <w:tblGrid>
        <w:gridCol w:w="4068"/>
        <w:gridCol w:w="4952"/>
      </w:tblGrid>
      <w:tr w:rsidR="008F644B" w:rsidRPr="00C33424" w14:paraId="4778441D" w14:textId="77777777" w:rsidTr="008F644B">
        <w:trPr>
          <w:jc w:val="center"/>
        </w:trPr>
        <w:tc>
          <w:tcPr>
            <w:tcW w:w="4068" w:type="dxa"/>
          </w:tcPr>
          <w:p w14:paraId="3D7F9366" w14:textId="67EBA584" w:rsidR="00490D10" w:rsidRPr="00C33424" w:rsidRDefault="00B73C32">
            <w:pPr>
              <w:spacing w:before="40" w:after="40"/>
              <w:ind w:left="115" w:hanging="115"/>
              <w:rPr>
                <w:rFonts w:ascii="Arial" w:hAnsi="Arial" w:cs="Arial"/>
              </w:rPr>
            </w:pPr>
            <w:r w:rsidRPr="00C33424">
              <w:rPr>
                <w:rFonts w:ascii="Arial" w:hAnsi="Arial" w:cs="Arial"/>
                <w:sz w:val="18"/>
                <w:szCs w:val="18"/>
              </w:rPr>
              <w:t>▪</w:t>
            </w:r>
            <w:r w:rsidRPr="00C33424">
              <w:rPr>
                <w:rFonts w:ascii="Arial" w:hAnsi="Arial" w:cs="Arial"/>
                <w:sz w:val="18"/>
                <w:szCs w:val="18"/>
              </w:rPr>
              <w:t xml:space="preserve"> </w:t>
            </w:r>
            <w:r w:rsidR="00C33424">
              <w:rPr>
                <w:rFonts w:ascii="Arial" w:hAnsi="Arial" w:cs="Arial"/>
                <w:sz w:val="18"/>
                <w:szCs w:val="18"/>
              </w:rPr>
              <w:t>Country</w:t>
            </w:r>
            <w:r w:rsidRPr="00C33424">
              <w:rPr>
                <w:rFonts w:ascii="Arial" w:hAnsi="Arial" w:cs="Arial"/>
                <w:sz w:val="18"/>
                <w:szCs w:val="18"/>
              </w:rPr>
              <w:t>/Regi</w:t>
            </w:r>
            <w:r w:rsidR="00C33424">
              <w:rPr>
                <w:rFonts w:ascii="Arial" w:hAnsi="Arial" w:cs="Arial"/>
                <w:sz w:val="18"/>
                <w:szCs w:val="18"/>
              </w:rPr>
              <w:t>o</w:t>
            </w:r>
            <w:r w:rsidRPr="00C33424">
              <w:rPr>
                <w:rFonts w:ascii="Arial" w:hAnsi="Arial" w:cs="Arial"/>
                <w:sz w:val="18"/>
                <w:szCs w:val="18"/>
              </w:rPr>
              <w:t>n:</w:t>
            </w:r>
          </w:p>
        </w:tc>
        <w:tc>
          <w:tcPr>
            <w:tcW w:w="4952" w:type="dxa"/>
          </w:tcPr>
          <w:p w14:paraId="62468C11" w14:textId="4A7DD198" w:rsidR="00490D10" w:rsidRPr="00C33424" w:rsidRDefault="00B73C32">
            <w:pPr>
              <w:spacing w:before="40" w:after="40"/>
              <w:rPr>
                <w:rFonts w:ascii="Arial" w:hAnsi="Arial" w:cs="Arial"/>
              </w:rPr>
            </w:pPr>
            <w:r w:rsidRPr="00C33424">
              <w:rPr>
                <w:rFonts w:ascii="Arial" w:hAnsi="Arial" w:cs="Arial"/>
                <w:sz w:val="18"/>
                <w:szCs w:val="18"/>
              </w:rPr>
              <w:t>U</w:t>
            </w:r>
            <w:r w:rsidR="008F644B" w:rsidRPr="00C33424">
              <w:rPr>
                <w:rFonts w:ascii="Arial" w:hAnsi="Arial" w:cs="Arial"/>
                <w:sz w:val="18"/>
                <w:szCs w:val="18"/>
              </w:rPr>
              <w:t>ruguay</w:t>
            </w:r>
            <w:r w:rsidRPr="00C33424">
              <w:rPr>
                <w:rFonts w:ascii="Arial" w:hAnsi="Arial" w:cs="Arial"/>
                <w:sz w:val="18"/>
                <w:szCs w:val="18"/>
              </w:rPr>
              <w:t xml:space="preserve">/CSC </w:t>
            </w:r>
            <w:r w:rsidR="008D3F63">
              <w:rPr>
                <w:rFonts w:ascii="Arial" w:hAnsi="Arial" w:cs="Arial"/>
                <w:sz w:val="18"/>
                <w:szCs w:val="18"/>
              </w:rPr>
              <w:t>–</w:t>
            </w:r>
            <w:r w:rsidRPr="00C33424">
              <w:rPr>
                <w:rFonts w:ascii="Arial" w:hAnsi="Arial" w:cs="Arial"/>
                <w:sz w:val="18"/>
                <w:szCs w:val="18"/>
              </w:rPr>
              <w:t xml:space="preserve"> </w:t>
            </w:r>
            <w:r w:rsidR="008D3F63">
              <w:rPr>
                <w:rFonts w:ascii="Arial" w:hAnsi="Arial" w:cs="Arial"/>
                <w:sz w:val="18"/>
                <w:szCs w:val="18"/>
              </w:rPr>
              <w:t xml:space="preserve">Southern cone </w:t>
            </w:r>
          </w:p>
        </w:tc>
      </w:tr>
      <w:tr w:rsidR="008F644B" w:rsidRPr="00ED7758" w14:paraId="24BE6B6F" w14:textId="77777777" w:rsidTr="008F644B">
        <w:trPr>
          <w:jc w:val="center"/>
        </w:trPr>
        <w:tc>
          <w:tcPr>
            <w:tcW w:w="4068" w:type="dxa"/>
          </w:tcPr>
          <w:p w14:paraId="6BD9E180" w14:textId="1DAAAB5A" w:rsidR="00490D10" w:rsidRPr="00C33424" w:rsidRDefault="00B73C32">
            <w:pPr>
              <w:spacing w:before="40" w:after="40"/>
              <w:ind w:left="115" w:hanging="115"/>
              <w:rPr>
                <w:rFonts w:ascii="Arial" w:hAnsi="Arial" w:cs="Arial"/>
              </w:rPr>
            </w:pPr>
            <w:r w:rsidRPr="00C33424">
              <w:rPr>
                <w:rFonts w:ascii="Arial" w:hAnsi="Arial" w:cs="Arial"/>
                <w:sz w:val="18"/>
                <w:szCs w:val="18"/>
              </w:rPr>
              <w:t>▪</w:t>
            </w:r>
            <w:r w:rsidRPr="00C33424">
              <w:rPr>
                <w:rFonts w:ascii="Arial" w:hAnsi="Arial" w:cs="Arial"/>
                <w:sz w:val="18"/>
                <w:szCs w:val="18"/>
              </w:rPr>
              <w:t xml:space="preserve"> </w:t>
            </w:r>
            <w:r w:rsidRPr="00C33424">
              <w:rPr>
                <w:rFonts w:ascii="Arial" w:hAnsi="Arial" w:cs="Arial"/>
                <w:sz w:val="18"/>
                <w:szCs w:val="18"/>
              </w:rPr>
              <w:t>T</w:t>
            </w:r>
            <w:r w:rsidR="00C33424">
              <w:rPr>
                <w:rFonts w:ascii="Arial" w:hAnsi="Arial" w:cs="Arial"/>
                <w:sz w:val="18"/>
                <w:szCs w:val="18"/>
              </w:rPr>
              <w:t>C Name</w:t>
            </w:r>
            <w:r w:rsidRPr="00C33424">
              <w:rPr>
                <w:rFonts w:ascii="Arial" w:hAnsi="Arial" w:cs="Arial"/>
                <w:sz w:val="18"/>
                <w:szCs w:val="18"/>
              </w:rPr>
              <w:t>:</w:t>
            </w:r>
          </w:p>
        </w:tc>
        <w:tc>
          <w:tcPr>
            <w:tcW w:w="4952" w:type="dxa"/>
          </w:tcPr>
          <w:p w14:paraId="20ACEAF5" w14:textId="418E5350" w:rsidR="00490D10" w:rsidRPr="00ED7758" w:rsidRDefault="00B73C32">
            <w:pPr>
              <w:spacing w:before="40" w:after="40"/>
              <w:rPr>
                <w:rFonts w:ascii="Arial" w:hAnsi="Arial" w:cs="Arial"/>
              </w:rPr>
            </w:pPr>
            <w:r w:rsidRPr="00ED7758">
              <w:rPr>
                <w:rFonts w:ascii="Arial" w:hAnsi="Arial" w:cs="Arial"/>
                <w:sz w:val="18"/>
                <w:szCs w:val="18"/>
              </w:rPr>
              <w:t>High</w:t>
            </w:r>
            <w:r w:rsidR="008F644B" w:rsidRPr="00ED7758">
              <w:rPr>
                <w:rFonts w:ascii="Arial" w:hAnsi="Arial" w:cs="Arial"/>
                <w:sz w:val="18"/>
                <w:szCs w:val="18"/>
              </w:rPr>
              <w:t xml:space="preserve"> </w:t>
            </w:r>
            <w:r w:rsidRPr="00ED7758">
              <w:rPr>
                <w:rFonts w:ascii="Arial" w:hAnsi="Arial" w:cs="Arial"/>
                <w:sz w:val="18"/>
                <w:szCs w:val="18"/>
              </w:rPr>
              <w:t xml:space="preserve">Touch High Tech: </w:t>
            </w:r>
            <w:r w:rsidR="00ED7758" w:rsidRPr="00192F9F">
              <w:rPr>
                <w:rFonts w:ascii="Arial" w:hAnsi="Arial" w:cs="Arial"/>
                <w:sz w:val="18"/>
                <w:szCs w:val="18"/>
              </w:rPr>
              <w:t>Teachers and Artificial Intelligence building an enhanced response to COVID emergency by fostering knowledge and skills.</w:t>
            </w:r>
          </w:p>
        </w:tc>
      </w:tr>
      <w:tr w:rsidR="008F644B" w:rsidRPr="00C33424" w14:paraId="51DA0F2A" w14:textId="77777777" w:rsidTr="008F644B">
        <w:trPr>
          <w:jc w:val="center"/>
        </w:trPr>
        <w:tc>
          <w:tcPr>
            <w:tcW w:w="4068" w:type="dxa"/>
          </w:tcPr>
          <w:p w14:paraId="382C3E2B" w14:textId="1D7A9F0C" w:rsidR="00490D10" w:rsidRPr="00C33424" w:rsidRDefault="00B73C32">
            <w:pPr>
              <w:spacing w:before="40" w:after="40"/>
              <w:ind w:left="115" w:hanging="115"/>
              <w:rPr>
                <w:rFonts w:ascii="Arial" w:hAnsi="Arial" w:cs="Arial"/>
              </w:rPr>
            </w:pPr>
            <w:r w:rsidRPr="00C33424">
              <w:rPr>
                <w:rFonts w:ascii="Arial" w:hAnsi="Arial" w:cs="Arial"/>
                <w:sz w:val="18"/>
                <w:szCs w:val="18"/>
              </w:rPr>
              <w:t>▪</w:t>
            </w:r>
            <w:r w:rsidRPr="00C33424">
              <w:rPr>
                <w:rFonts w:ascii="Arial" w:hAnsi="Arial" w:cs="Arial"/>
                <w:sz w:val="18"/>
                <w:szCs w:val="18"/>
              </w:rPr>
              <w:t xml:space="preserve"> </w:t>
            </w:r>
            <w:r w:rsidRPr="00C33424">
              <w:rPr>
                <w:rFonts w:ascii="Arial" w:hAnsi="Arial" w:cs="Arial"/>
                <w:sz w:val="18"/>
                <w:szCs w:val="18"/>
              </w:rPr>
              <w:t>T</w:t>
            </w:r>
            <w:r w:rsidR="00C33424">
              <w:rPr>
                <w:rFonts w:ascii="Arial" w:hAnsi="Arial" w:cs="Arial"/>
                <w:sz w:val="18"/>
                <w:szCs w:val="18"/>
              </w:rPr>
              <w:t>C Number</w:t>
            </w:r>
            <w:r w:rsidRPr="00C33424">
              <w:rPr>
                <w:rFonts w:ascii="Arial" w:hAnsi="Arial" w:cs="Arial"/>
                <w:sz w:val="18"/>
                <w:szCs w:val="18"/>
              </w:rPr>
              <w:t>:</w:t>
            </w:r>
          </w:p>
        </w:tc>
        <w:tc>
          <w:tcPr>
            <w:tcW w:w="4952" w:type="dxa"/>
          </w:tcPr>
          <w:p w14:paraId="1459BDFB" w14:textId="77777777" w:rsidR="00490D10" w:rsidRPr="00C33424" w:rsidRDefault="00B73C32">
            <w:pPr>
              <w:spacing w:before="40" w:after="40"/>
              <w:rPr>
                <w:rFonts w:ascii="Arial" w:hAnsi="Arial" w:cs="Arial"/>
              </w:rPr>
            </w:pPr>
            <w:r w:rsidRPr="00C33424">
              <w:rPr>
                <w:rFonts w:ascii="Arial" w:hAnsi="Arial" w:cs="Arial"/>
                <w:sz w:val="18"/>
                <w:szCs w:val="18"/>
              </w:rPr>
              <w:t>UR-T1244</w:t>
            </w:r>
          </w:p>
        </w:tc>
      </w:tr>
      <w:tr w:rsidR="008F644B" w:rsidRPr="00ED7758" w14:paraId="1F540E19" w14:textId="77777777" w:rsidTr="008F644B">
        <w:trPr>
          <w:jc w:val="center"/>
        </w:trPr>
        <w:tc>
          <w:tcPr>
            <w:tcW w:w="4068" w:type="dxa"/>
          </w:tcPr>
          <w:p w14:paraId="358494F3" w14:textId="3071E579" w:rsidR="00490D10" w:rsidRPr="00C33424" w:rsidRDefault="00B73C32">
            <w:pPr>
              <w:spacing w:before="40" w:after="40"/>
              <w:ind w:left="115" w:hanging="115"/>
              <w:rPr>
                <w:rFonts w:ascii="Arial" w:hAnsi="Arial" w:cs="Arial"/>
              </w:rPr>
            </w:pPr>
            <w:r w:rsidRPr="00C33424">
              <w:rPr>
                <w:rFonts w:ascii="Arial" w:hAnsi="Arial" w:cs="Arial"/>
                <w:sz w:val="18"/>
                <w:szCs w:val="18"/>
              </w:rPr>
              <w:t>▪</w:t>
            </w:r>
            <w:r w:rsidRPr="00C33424">
              <w:rPr>
                <w:rFonts w:ascii="Arial" w:hAnsi="Arial" w:cs="Arial"/>
                <w:sz w:val="18"/>
                <w:szCs w:val="18"/>
              </w:rPr>
              <w:t xml:space="preserve"> </w:t>
            </w:r>
            <w:r w:rsidR="00C33424">
              <w:rPr>
                <w:rFonts w:ascii="Arial" w:hAnsi="Arial" w:cs="Arial"/>
                <w:sz w:val="18"/>
                <w:szCs w:val="18"/>
              </w:rPr>
              <w:t>Team Leader</w:t>
            </w:r>
            <w:r w:rsidRPr="00C33424">
              <w:rPr>
                <w:rFonts w:ascii="Arial" w:hAnsi="Arial" w:cs="Arial"/>
                <w:sz w:val="18"/>
                <w:szCs w:val="18"/>
              </w:rPr>
              <w:t>/M</w:t>
            </w:r>
            <w:r w:rsidR="00C33424">
              <w:rPr>
                <w:rFonts w:ascii="Arial" w:hAnsi="Arial" w:cs="Arial"/>
                <w:sz w:val="18"/>
                <w:szCs w:val="18"/>
              </w:rPr>
              <w:t>embers</w:t>
            </w:r>
            <w:r w:rsidRPr="00C33424">
              <w:rPr>
                <w:rFonts w:ascii="Arial" w:hAnsi="Arial" w:cs="Arial"/>
                <w:sz w:val="18"/>
                <w:szCs w:val="18"/>
              </w:rPr>
              <w:t>:</w:t>
            </w:r>
          </w:p>
        </w:tc>
        <w:tc>
          <w:tcPr>
            <w:tcW w:w="4952" w:type="dxa"/>
          </w:tcPr>
          <w:p w14:paraId="3A530E30" w14:textId="36399A46" w:rsidR="00490D10" w:rsidRPr="00ED7758" w:rsidRDefault="00B73C32">
            <w:pPr>
              <w:spacing w:before="40" w:after="40"/>
              <w:rPr>
                <w:rFonts w:ascii="Arial" w:hAnsi="Arial" w:cs="Arial"/>
              </w:rPr>
            </w:pPr>
            <w:r w:rsidRPr="00ED7758">
              <w:rPr>
                <w:rFonts w:ascii="Arial" w:hAnsi="Arial" w:cs="Arial"/>
                <w:sz w:val="18"/>
                <w:szCs w:val="18"/>
              </w:rPr>
              <w:t>P</w:t>
            </w:r>
            <w:r w:rsidR="008F644B" w:rsidRPr="00ED7758">
              <w:rPr>
                <w:rFonts w:ascii="Arial" w:hAnsi="Arial" w:cs="Arial"/>
                <w:sz w:val="18"/>
                <w:szCs w:val="18"/>
              </w:rPr>
              <w:t>erez</w:t>
            </w:r>
            <w:r w:rsidRPr="00ED7758">
              <w:rPr>
                <w:rFonts w:ascii="Arial" w:hAnsi="Arial" w:cs="Arial"/>
                <w:sz w:val="18"/>
                <w:szCs w:val="18"/>
              </w:rPr>
              <w:t xml:space="preserve"> A</w:t>
            </w:r>
            <w:r w:rsidR="008F644B" w:rsidRPr="00ED7758">
              <w:rPr>
                <w:rFonts w:ascii="Arial" w:hAnsi="Arial" w:cs="Arial"/>
                <w:sz w:val="18"/>
                <w:szCs w:val="18"/>
              </w:rPr>
              <w:t>lfaro</w:t>
            </w:r>
            <w:r w:rsidRPr="00ED7758">
              <w:rPr>
                <w:rFonts w:ascii="Arial" w:hAnsi="Arial" w:cs="Arial"/>
                <w:sz w:val="18"/>
                <w:szCs w:val="18"/>
              </w:rPr>
              <w:t>, M</w:t>
            </w:r>
            <w:r w:rsidR="008F644B" w:rsidRPr="00ED7758">
              <w:rPr>
                <w:rFonts w:ascii="Arial" w:hAnsi="Arial" w:cs="Arial"/>
                <w:sz w:val="18"/>
                <w:szCs w:val="18"/>
              </w:rPr>
              <w:t>arcelo</w:t>
            </w:r>
            <w:r w:rsidRPr="00ED7758">
              <w:rPr>
                <w:rFonts w:ascii="Arial" w:hAnsi="Arial" w:cs="Arial"/>
                <w:sz w:val="18"/>
                <w:szCs w:val="18"/>
              </w:rPr>
              <w:t xml:space="preserve"> A. (SCL/EDU) </w:t>
            </w:r>
            <w:r w:rsidR="00ED7758" w:rsidRPr="00ED7758">
              <w:rPr>
                <w:rFonts w:ascii="Arial" w:hAnsi="Arial" w:cs="Arial"/>
                <w:sz w:val="18"/>
                <w:szCs w:val="18"/>
              </w:rPr>
              <w:t>Team Leade</w:t>
            </w:r>
            <w:r w:rsidR="00ED7758">
              <w:rPr>
                <w:rFonts w:ascii="Arial" w:hAnsi="Arial" w:cs="Arial"/>
                <w:sz w:val="18"/>
                <w:szCs w:val="18"/>
              </w:rPr>
              <w:t>r</w:t>
            </w:r>
            <w:r w:rsidRPr="00ED7758">
              <w:rPr>
                <w:rFonts w:ascii="Arial" w:hAnsi="Arial" w:cs="Arial"/>
                <w:sz w:val="18"/>
                <w:szCs w:val="18"/>
              </w:rPr>
              <w:t xml:space="preserve">; </w:t>
            </w:r>
            <w:r w:rsidR="008F644B" w:rsidRPr="00ED7758">
              <w:rPr>
                <w:rFonts w:ascii="Arial" w:hAnsi="Arial" w:cs="Arial"/>
                <w:sz w:val="18"/>
                <w:szCs w:val="18"/>
              </w:rPr>
              <w:t>Arias</w:t>
            </w:r>
            <w:r w:rsidRPr="00ED7758">
              <w:rPr>
                <w:rFonts w:ascii="Arial" w:hAnsi="Arial" w:cs="Arial"/>
                <w:sz w:val="18"/>
                <w:szCs w:val="18"/>
              </w:rPr>
              <w:t xml:space="preserve"> O</w:t>
            </w:r>
            <w:r w:rsidR="008F644B" w:rsidRPr="00ED7758">
              <w:rPr>
                <w:rFonts w:ascii="Arial" w:hAnsi="Arial" w:cs="Arial"/>
                <w:sz w:val="18"/>
                <w:szCs w:val="18"/>
              </w:rPr>
              <w:t>rtiz</w:t>
            </w:r>
            <w:r w:rsidRPr="00ED7758">
              <w:rPr>
                <w:rFonts w:ascii="Arial" w:hAnsi="Arial" w:cs="Arial"/>
                <w:sz w:val="18"/>
                <w:szCs w:val="18"/>
              </w:rPr>
              <w:t>, E</w:t>
            </w:r>
            <w:r w:rsidR="008F644B" w:rsidRPr="00ED7758">
              <w:rPr>
                <w:rFonts w:ascii="Arial" w:hAnsi="Arial" w:cs="Arial"/>
                <w:sz w:val="18"/>
                <w:szCs w:val="18"/>
              </w:rPr>
              <w:t>lena</w:t>
            </w:r>
            <w:r w:rsidRPr="00ED7758">
              <w:rPr>
                <w:rFonts w:ascii="Arial" w:hAnsi="Arial" w:cs="Arial"/>
                <w:sz w:val="18"/>
                <w:szCs w:val="18"/>
              </w:rPr>
              <w:t xml:space="preserve"> (SCL/SCL) </w:t>
            </w:r>
            <w:r w:rsidR="00ED7758">
              <w:rPr>
                <w:rFonts w:ascii="Arial" w:hAnsi="Arial" w:cs="Arial"/>
                <w:sz w:val="18"/>
                <w:szCs w:val="18"/>
              </w:rPr>
              <w:t>Alternate Team Leader</w:t>
            </w:r>
            <w:r w:rsidRPr="00ED7758">
              <w:rPr>
                <w:rFonts w:ascii="Arial" w:hAnsi="Arial" w:cs="Arial"/>
                <w:sz w:val="18"/>
                <w:szCs w:val="18"/>
              </w:rPr>
              <w:t>; T</w:t>
            </w:r>
            <w:r w:rsidR="008F644B" w:rsidRPr="00ED7758">
              <w:rPr>
                <w:rFonts w:ascii="Arial" w:hAnsi="Arial" w:cs="Arial"/>
                <w:sz w:val="18"/>
                <w:szCs w:val="18"/>
              </w:rPr>
              <w:t>ournier</w:t>
            </w:r>
            <w:r w:rsidRPr="00ED7758">
              <w:rPr>
                <w:rFonts w:ascii="Arial" w:hAnsi="Arial" w:cs="Arial"/>
                <w:sz w:val="18"/>
                <w:szCs w:val="18"/>
              </w:rPr>
              <w:t xml:space="preserve"> V</w:t>
            </w:r>
            <w:r w:rsidR="008F644B" w:rsidRPr="00ED7758">
              <w:rPr>
                <w:rFonts w:ascii="Arial" w:hAnsi="Arial" w:cs="Arial"/>
                <w:sz w:val="18"/>
                <w:szCs w:val="18"/>
              </w:rPr>
              <w:t>asquez</w:t>
            </w:r>
            <w:r w:rsidRPr="00ED7758">
              <w:rPr>
                <w:rFonts w:ascii="Arial" w:hAnsi="Arial" w:cs="Arial"/>
                <w:sz w:val="18"/>
                <w:szCs w:val="18"/>
              </w:rPr>
              <w:t>, V</w:t>
            </w:r>
            <w:r w:rsidR="008F644B" w:rsidRPr="00ED7758">
              <w:rPr>
                <w:rFonts w:ascii="Arial" w:hAnsi="Arial" w:cs="Arial"/>
                <w:sz w:val="18"/>
                <w:szCs w:val="18"/>
              </w:rPr>
              <w:t>alentina</w:t>
            </w:r>
            <w:r w:rsidRPr="00ED7758">
              <w:rPr>
                <w:rFonts w:ascii="Arial" w:hAnsi="Arial" w:cs="Arial"/>
                <w:sz w:val="18"/>
                <w:szCs w:val="18"/>
              </w:rPr>
              <w:t xml:space="preserve"> (CSC/CUR);</w:t>
            </w:r>
            <w:r w:rsidRPr="00ED7758">
              <w:rPr>
                <w:rFonts w:ascii="Arial" w:hAnsi="Arial" w:cs="Arial"/>
                <w:sz w:val="18"/>
                <w:szCs w:val="18"/>
              </w:rPr>
              <w:t xml:space="preserve"> </w:t>
            </w:r>
            <w:proofErr w:type="spellStart"/>
            <w:r w:rsidRPr="00ED7758">
              <w:rPr>
                <w:rFonts w:ascii="Arial" w:hAnsi="Arial" w:cs="Arial"/>
                <w:sz w:val="18"/>
                <w:szCs w:val="18"/>
              </w:rPr>
              <w:t>S</w:t>
            </w:r>
            <w:r w:rsidR="008F644B" w:rsidRPr="00ED7758">
              <w:rPr>
                <w:rFonts w:ascii="Arial" w:hAnsi="Arial" w:cs="Arial"/>
                <w:sz w:val="18"/>
                <w:szCs w:val="18"/>
              </w:rPr>
              <w:t>canonne</w:t>
            </w:r>
            <w:proofErr w:type="spellEnd"/>
            <w:r w:rsidRPr="00ED7758">
              <w:rPr>
                <w:rFonts w:ascii="Arial" w:hAnsi="Arial" w:cs="Arial"/>
                <w:sz w:val="18"/>
                <w:szCs w:val="18"/>
              </w:rPr>
              <w:t xml:space="preserve"> C</w:t>
            </w:r>
            <w:r w:rsidR="008F644B" w:rsidRPr="00ED7758">
              <w:rPr>
                <w:rFonts w:ascii="Arial" w:hAnsi="Arial" w:cs="Arial"/>
                <w:sz w:val="18"/>
                <w:szCs w:val="18"/>
              </w:rPr>
              <w:t>havez</w:t>
            </w:r>
            <w:r w:rsidRPr="00ED7758">
              <w:rPr>
                <w:rFonts w:ascii="Arial" w:hAnsi="Arial" w:cs="Arial"/>
                <w:sz w:val="18"/>
                <w:szCs w:val="18"/>
              </w:rPr>
              <w:t>, R</w:t>
            </w:r>
            <w:r w:rsidR="008F644B" w:rsidRPr="00ED7758">
              <w:rPr>
                <w:rFonts w:ascii="Arial" w:hAnsi="Arial" w:cs="Arial"/>
                <w:sz w:val="18"/>
                <w:szCs w:val="18"/>
              </w:rPr>
              <w:t>odolfo</w:t>
            </w:r>
            <w:r w:rsidRPr="00ED7758">
              <w:rPr>
                <w:rFonts w:ascii="Arial" w:hAnsi="Arial" w:cs="Arial"/>
                <w:sz w:val="18"/>
                <w:szCs w:val="18"/>
              </w:rPr>
              <w:t xml:space="preserve"> A</w:t>
            </w:r>
            <w:r w:rsidR="008F644B" w:rsidRPr="00ED7758">
              <w:rPr>
                <w:rFonts w:ascii="Arial" w:hAnsi="Arial" w:cs="Arial"/>
                <w:sz w:val="18"/>
                <w:szCs w:val="18"/>
              </w:rPr>
              <w:t>ndres</w:t>
            </w:r>
            <w:r w:rsidRPr="00ED7758">
              <w:rPr>
                <w:rFonts w:ascii="Arial" w:hAnsi="Arial" w:cs="Arial"/>
                <w:sz w:val="18"/>
                <w:szCs w:val="18"/>
              </w:rPr>
              <w:t xml:space="preserve"> (SCL/EDU); M</w:t>
            </w:r>
            <w:r w:rsidR="008F644B" w:rsidRPr="00ED7758">
              <w:rPr>
                <w:rFonts w:ascii="Arial" w:hAnsi="Arial" w:cs="Arial"/>
                <w:sz w:val="18"/>
                <w:szCs w:val="18"/>
              </w:rPr>
              <w:t>endoza</w:t>
            </w:r>
            <w:r w:rsidRPr="00ED7758">
              <w:rPr>
                <w:rFonts w:ascii="Arial" w:hAnsi="Arial" w:cs="Arial"/>
                <w:sz w:val="18"/>
                <w:szCs w:val="18"/>
              </w:rPr>
              <w:t xml:space="preserve"> </w:t>
            </w:r>
            <w:proofErr w:type="spellStart"/>
            <w:r w:rsidRPr="00ED7758">
              <w:rPr>
                <w:rFonts w:ascii="Arial" w:hAnsi="Arial" w:cs="Arial"/>
                <w:sz w:val="18"/>
                <w:szCs w:val="18"/>
              </w:rPr>
              <w:t>B</w:t>
            </w:r>
            <w:r w:rsidR="008F644B" w:rsidRPr="00ED7758">
              <w:rPr>
                <w:rFonts w:ascii="Arial" w:hAnsi="Arial" w:cs="Arial"/>
                <w:sz w:val="18"/>
                <w:szCs w:val="18"/>
              </w:rPr>
              <w:t>enavente</w:t>
            </w:r>
            <w:proofErr w:type="spellEnd"/>
            <w:r w:rsidRPr="00ED7758">
              <w:rPr>
                <w:rFonts w:ascii="Arial" w:hAnsi="Arial" w:cs="Arial"/>
                <w:sz w:val="18"/>
                <w:szCs w:val="18"/>
              </w:rPr>
              <w:t>,</w:t>
            </w:r>
            <w:r w:rsidR="008F644B" w:rsidRPr="00ED7758">
              <w:rPr>
                <w:rFonts w:ascii="Arial" w:hAnsi="Arial" w:cs="Arial"/>
                <w:sz w:val="18"/>
                <w:szCs w:val="18"/>
              </w:rPr>
              <w:t xml:space="preserve"> </w:t>
            </w:r>
            <w:r w:rsidRPr="00ED7758">
              <w:rPr>
                <w:rFonts w:ascii="Arial" w:hAnsi="Arial" w:cs="Arial"/>
                <w:sz w:val="18"/>
                <w:szCs w:val="18"/>
              </w:rPr>
              <w:t>H</w:t>
            </w:r>
            <w:r w:rsidR="008F644B" w:rsidRPr="00ED7758">
              <w:rPr>
                <w:rFonts w:ascii="Arial" w:hAnsi="Arial" w:cs="Arial"/>
                <w:sz w:val="18"/>
                <w:szCs w:val="18"/>
              </w:rPr>
              <w:t>oracio</w:t>
            </w:r>
            <w:r w:rsidRPr="00ED7758">
              <w:rPr>
                <w:rFonts w:ascii="Arial" w:hAnsi="Arial" w:cs="Arial"/>
                <w:sz w:val="18"/>
                <w:szCs w:val="18"/>
              </w:rPr>
              <w:t xml:space="preserve"> (LEG/SGO); B</w:t>
            </w:r>
            <w:r w:rsidR="008F644B" w:rsidRPr="00ED7758">
              <w:rPr>
                <w:rFonts w:ascii="Arial" w:hAnsi="Arial" w:cs="Arial"/>
                <w:sz w:val="18"/>
                <w:szCs w:val="18"/>
              </w:rPr>
              <w:t>lasco</w:t>
            </w:r>
            <w:r w:rsidRPr="00ED7758">
              <w:rPr>
                <w:rFonts w:ascii="Arial" w:hAnsi="Arial" w:cs="Arial"/>
                <w:sz w:val="18"/>
                <w:szCs w:val="18"/>
              </w:rPr>
              <w:t>, I</w:t>
            </w:r>
            <w:r w:rsidR="008F644B" w:rsidRPr="00ED7758">
              <w:rPr>
                <w:rFonts w:ascii="Arial" w:hAnsi="Arial" w:cs="Arial"/>
                <w:sz w:val="18"/>
                <w:szCs w:val="18"/>
              </w:rPr>
              <w:t>vana</w:t>
            </w:r>
            <w:r w:rsidRPr="00ED7758">
              <w:rPr>
                <w:rFonts w:ascii="Arial" w:hAnsi="Arial" w:cs="Arial"/>
                <w:sz w:val="18"/>
                <w:szCs w:val="18"/>
              </w:rPr>
              <w:t xml:space="preserve"> (SCL/EDU); H</w:t>
            </w:r>
            <w:r w:rsidR="008F644B" w:rsidRPr="00ED7758">
              <w:rPr>
                <w:rFonts w:ascii="Arial" w:hAnsi="Arial" w:cs="Arial"/>
                <w:sz w:val="18"/>
                <w:szCs w:val="18"/>
              </w:rPr>
              <w:t>olguin</w:t>
            </w:r>
            <w:r w:rsidRPr="00ED7758">
              <w:rPr>
                <w:rFonts w:ascii="Arial" w:hAnsi="Arial" w:cs="Arial"/>
                <w:sz w:val="18"/>
                <w:szCs w:val="18"/>
              </w:rPr>
              <w:t xml:space="preserve"> M</w:t>
            </w:r>
            <w:r w:rsidR="008F644B" w:rsidRPr="00ED7758">
              <w:rPr>
                <w:rFonts w:ascii="Arial" w:hAnsi="Arial" w:cs="Arial"/>
                <w:sz w:val="18"/>
                <w:szCs w:val="18"/>
              </w:rPr>
              <w:t>adrinan</w:t>
            </w:r>
            <w:r w:rsidRPr="00ED7758">
              <w:rPr>
                <w:rFonts w:ascii="Arial" w:hAnsi="Arial" w:cs="Arial"/>
                <w:sz w:val="18"/>
                <w:szCs w:val="18"/>
              </w:rPr>
              <w:t>, A</w:t>
            </w:r>
            <w:r w:rsidR="008F644B" w:rsidRPr="00ED7758">
              <w:rPr>
                <w:rFonts w:ascii="Arial" w:hAnsi="Arial" w:cs="Arial"/>
                <w:sz w:val="18"/>
                <w:szCs w:val="18"/>
              </w:rPr>
              <w:t>lejandra</w:t>
            </w:r>
            <w:r w:rsidRPr="00ED7758">
              <w:rPr>
                <w:rFonts w:ascii="Arial" w:hAnsi="Arial" w:cs="Arial"/>
                <w:sz w:val="18"/>
                <w:szCs w:val="18"/>
              </w:rPr>
              <w:t xml:space="preserve"> (SCL/SCL)</w:t>
            </w:r>
          </w:p>
        </w:tc>
      </w:tr>
      <w:tr w:rsidR="008F644B" w:rsidRPr="00C33424" w14:paraId="22062628" w14:textId="77777777" w:rsidTr="008F644B">
        <w:trPr>
          <w:jc w:val="center"/>
        </w:trPr>
        <w:tc>
          <w:tcPr>
            <w:tcW w:w="4068" w:type="dxa"/>
          </w:tcPr>
          <w:p w14:paraId="76AD9392" w14:textId="6F684B71" w:rsidR="00490D10" w:rsidRPr="00C33424" w:rsidRDefault="00B73C32">
            <w:pPr>
              <w:spacing w:before="40" w:after="40"/>
              <w:ind w:left="115" w:hanging="115"/>
              <w:rPr>
                <w:rFonts w:ascii="Arial" w:hAnsi="Arial" w:cs="Arial"/>
              </w:rPr>
            </w:pPr>
            <w:r w:rsidRPr="00C33424">
              <w:rPr>
                <w:rFonts w:ascii="Arial" w:hAnsi="Arial" w:cs="Arial"/>
                <w:sz w:val="18"/>
                <w:szCs w:val="18"/>
              </w:rPr>
              <w:t>▪</w:t>
            </w:r>
            <w:r w:rsidRPr="00C33424">
              <w:rPr>
                <w:rFonts w:ascii="Arial" w:hAnsi="Arial" w:cs="Arial"/>
                <w:sz w:val="18"/>
                <w:szCs w:val="18"/>
              </w:rPr>
              <w:t xml:space="preserve"> </w:t>
            </w:r>
            <w:r w:rsidR="00C45195" w:rsidRPr="00C45195">
              <w:rPr>
                <w:rFonts w:ascii="Arial" w:hAnsi="Arial" w:cs="Arial"/>
                <w:sz w:val="18"/>
                <w:szCs w:val="18"/>
              </w:rPr>
              <w:t>Indicate if: Operational Support, Client Support, or Research &amp; Dissemination</w:t>
            </w:r>
          </w:p>
        </w:tc>
        <w:tc>
          <w:tcPr>
            <w:tcW w:w="4952" w:type="dxa"/>
          </w:tcPr>
          <w:p w14:paraId="7C03349B" w14:textId="445672A2" w:rsidR="00490D10" w:rsidRPr="00C33424" w:rsidRDefault="00C33424">
            <w:pPr>
              <w:spacing w:before="40" w:after="40"/>
              <w:rPr>
                <w:rFonts w:ascii="Arial" w:hAnsi="Arial" w:cs="Arial"/>
              </w:rPr>
            </w:pPr>
            <w:r>
              <w:rPr>
                <w:rFonts w:ascii="Arial" w:hAnsi="Arial" w:cs="Arial"/>
                <w:sz w:val="18"/>
                <w:szCs w:val="18"/>
              </w:rPr>
              <w:t>Client Support</w:t>
            </w:r>
          </w:p>
        </w:tc>
      </w:tr>
      <w:tr w:rsidR="008F644B" w:rsidRPr="00C33424" w14:paraId="50C98ABB" w14:textId="77777777" w:rsidTr="008F644B">
        <w:trPr>
          <w:jc w:val="center"/>
        </w:trPr>
        <w:tc>
          <w:tcPr>
            <w:tcW w:w="4068" w:type="dxa"/>
          </w:tcPr>
          <w:p w14:paraId="60F28C25" w14:textId="47E65140" w:rsidR="00490D10" w:rsidRPr="00C45195" w:rsidRDefault="00B73C32">
            <w:pPr>
              <w:spacing w:before="40" w:after="40"/>
              <w:ind w:left="115" w:hanging="115"/>
              <w:rPr>
                <w:rFonts w:ascii="Arial" w:hAnsi="Arial" w:cs="Arial"/>
              </w:rPr>
            </w:pPr>
            <w:r w:rsidRPr="00C45195">
              <w:rPr>
                <w:rFonts w:ascii="Arial" w:hAnsi="Arial" w:cs="Arial"/>
                <w:sz w:val="18"/>
                <w:szCs w:val="18"/>
              </w:rPr>
              <w:t>▪</w:t>
            </w:r>
            <w:r w:rsidRPr="00C45195">
              <w:rPr>
                <w:rFonts w:ascii="Arial" w:hAnsi="Arial" w:cs="Arial"/>
                <w:sz w:val="18"/>
                <w:szCs w:val="18"/>
              </w:rPr>
              <w:t xml:space="preserve"> </w:t>
            </w:r>
            <w:r w:rsidR="00C45195" w:rsidRPr="000F744C">
              <w:rPr>
                <w:rFonts w:ascii="Arial" w:hAnsi="Arial" w:cs="Arial"/>
                <w:sz w:val="18"/>
                <w:szCs w:val="18"/>
              </w:rPr>
              <w:t>If Operational Support TC, give number and name of Operation Supported by the TC:</w:t>
            </w:r>
          </w:p>
        </w:tc>
        <w:tc>
          <w:tcPr>
            <w:tcW w:w="4952" w:type="dxa"/>
          </w:tcPr>
          <w:p w14:paraId="53F74972" w14:textId="77777777" w:rsidR="00490D10" w:rsidRPr="00C33424" w:rsidRDefault="00B73C32">
            <w:pPr>
              <w:spacing w:before="40" w:after="40"/>
              <w:rPr>
                <w:rFonts w:ascii="Arial" w:hAnsi="Arial" w:cs="Arial"/>
              </w:rPr>
            </w:pPr>
            <w:r w:rsidRPr="00C33424">
              <w:rPr>
                <w:rFonts w:ascii="Arial" w:hAnsi="Arial" w:cs="Arial"/>
                <w:sz w:val="18"/>
                <w:szCs w:val="18"/>
              </w:rPr>
              <w:t>N/A</w:t>
            </w:r>
          </w:p>
        </w:tc>
      </w:tr>
      <w:tr w:rsidR="008F644B" w:rsidRPr="00C33424" w14:paraId="07F045B4" w14:textId="77777777" w:rsidTr="008F644B">
        <w:trPr>
          <w:jc w:val="center"/>
        </w:trPr>
        <w:tc>
          <w:tcPr>
            <w:tcW w:w="4068" w:type="dxa"/>
          </w:tcPr>
          <w:p w14:paraId="5EDC0C7C" w14:textId="706AC35B" w:rsidR="00490D10" w:rsidRPr="00C45195" w:rsidRDefault="00B73C32">
            <w:pPr>
              <w:spacing w:before="40" w:after="40"/>
              <w:ind w:left="115" w:hanging="115"/>
              <w:rPr>
                <w:rFonts w:ascii="Arial" w:hAnsi="Arial" w:cs="Arial"/>
              </w:rPr>
            </w:pPr>
            <w:r w:rsidRPr="00C45195">
              <w:rPr>
                <w:rFonts w:ascii="Arial" w:hAnsi="Arial" w:cs="Arial"/>
                <w:sz w:val="18"/>
                <w:szCs w:val="18"/>
              </w:rPr>
              <w:t>▪</w:t>
            </w:r>
            <w:r w:rsidRPr="00C45195">
              <w:rPr>
                <w:rFonts w:ascii="Arial" w:hAnsi="Arial" w:cs="Arial"/>
                <w:sz w:val="18"/>
                <w:szCs w:val="18"/>
              </w:rPr>
              <w:t xml:space="preserve"> </w:t>
            </w:r>
            <w:r w:rsidR="00C45195" w:rsidRPr="000F744C">
              <w:rPr>
                <w:rFonts w:ascii="Arial" w:hAnsi="Arial" w:cs="Arial"/>
                <w:sz w:val="18"/>
                <w:szCs w:val="18"/>
              </w:rPr>
              <w:t>Date of TC Abstract authorization:</w:t>
            </w:r>
          </w:p>
        </w:tc>
        <w:tc>
          <w:tcPr>
            <w:tcW w:w="4952" w:type="dxa"/>
          </w:tcPr>
          <w:p w14:paraId="3AD7E81C" w14:textId="77777777" w:rsidR="00490D10" w:rsidRPr="00C33424" w:rsidRDefault="00B73C32">
            <w:pPr>
              <w:spacing w:before="40" w:after="40"/>
              <w:rPr>
                <w:rFonts w:ascii="Arial" w:hAnsi="Arial" w:cs="Arial"/>
              </w:rPr>
            </w:pPr>
            <w:r w:rsidRPr="00C33424">
              <w:rPr>
                <w:rFonts w:ascii="Arial" w:hAnsi="Arial" w:cs="Arial"/>
                <w:sz w:val="18"/>
                <w:szCs w:val="18"/>
              </w:rPr>
              <w:t>15 May 2020</w:t>
            </w:r>
          </w:p>
        </w:tc>
      </w:tr>
      <w:tr w:rsidR="008F644B" w:rsidRPr="00C33424" w14:paraId="2C0A60EF" w14:textId="77777777" w:rsidTr="008F644B">
        <w:trPr>
          <w:jc w:val="center"/>
        </w:trPr>
        <w:tc>
          <w:tcPr>
            <w:tcW w:w="4068" w:type="dxa"/>
          </w:tcPr>
          <w:p w14:paraId="27AEC177" w14:textId="6128224E" w:rsidR="00490D10" w:rsidRPr="00C33424" w:rsidRDefault="00B73C32">
            <w:pPr>
              <w:spacing w:before="40" w:after="40"/>
              <w:ind w:left="115" w:hanging="115"/>
              <w:rPr>
                <w:rFonts w:ascii="Arial" w:hAnsi="Arial" w:cs="Arial"/>
              </w:rPr>
            </w:pPr>
            <w:r w:rsidRPr="00C33424">
              <w:rPr>
                <w:rFonts w:ascii="Arial" w:hAnsi="Arial" w:cs="Arial"/>
                <w:sz w:val="18"/>
                <w:szCs w:val="18"/>
              </w:rPr>
              <w:t>▪</w:t>
            </w:r>
            <w:r w:rsidRPr="00C33424">
              <w:rPr>
                <w:rFonts w:ascii="Arial" w:hAnsi="Arial" w:cs="Arial"/>
                <w:sz w:val="18"/>
                <w:szCs w:val="18"/>
              </w:rPr>
              <w:t xml:space="preserve"> Beneficiar</w:t>
            </w:r>
            <w:r w:rsidR="00C45195">
              <w:rPr>
                <w:rFonts w:ascii="Arial" w:hAnsi="Arial" w:cs="Arial"/>
                <w:sz w:val="18"/>
                <w:szCs w:val="18"/>
              </w:rPr>
              <w:t>y</w:t>
            </w:r>
            <w:r w:rsidRPr="00C33424">
              <w:rPr>
                <w:rFonts w:ascii="Arial" w:hAnsi="Arial" w:cs="Arial"/>
                <w:sz w:val="18"/>
                <w:szCs w:val="18"/>
              </w:rPr>
              <w:t>:</w:t>
            </w:r>
          </w:p>
        </w:tc>
        <w:tc>
          <w:tcPr>
            <w:tcW w:w="4952" w:type="dxa"/>
          </w:tcPr>
          <w:p w14:paraId="7640B91C" w14:textId="77777777" w:rsidR="00490D10" w:rsidRPr="00C33424" w:rsidRDefault="00B73C32">
            <w:pPr>
              <w:spacing w:before="40" w:after="40"/>
              <w:rPr>
                <w:rFonts w:ascii="Arial" w:hAnsi="Arial" w:cs="Arial"/>
              </w:rPr>
            </w:pPr>
            <w:r w:rsidRPr="00C33424">
              <w:rPr>
                <w:rFonts w:ascii="Arial" w:hAnsi="Arial" w:cs="Arial"/>
                <w:sz w:val="18"/>
                <w:szCs w:val="18"/>
              </w:rPr>
              <w:t>Uruguay</w:t>
            </w:r>
          </w:p>
        </w:tc>
      </w:tr>
      <w:tr w:rsidR="008F644B" w:rsidRPr="00C33424" w14:paraId="59E7B8ED" w14:textId="77777777" w:rsidTr="008F644B">
        <w:trPr>
          <w:jc w:val="center"/>
        </w:trPr>
        <w:tc>
          <w:tcPr>
            <w:tcW w:w="4068" w:type="dxa"/>
          </w:tcPr>
          <w:p w14:paraId="25356ABF" w14:textId="6A669F13" w:rsidR="00490D10" w:rsidRPr="00C33424" w:rsidRDefault="00B73C32">
            <w:pPr>
              <w:spacing w:before="40" w:after="40"/>
              <w:ind w:left="115" w:hanging="115"/>
              <w:rPr>
                <w:rFonts w:ascii="Arial" w:hAnsi="Arial" w:cs="Arial"/>
              </w:rPr>
            </w:pPr>
            <w:r w:rsidRPr="00C33424">
              <w:rPr>
                <w:rFonts w:ascii="Arial" w:hAnsi="Arial" w:cs="Arial"/>
                <w:sz w:val="18"/>
                <w:szCs w:val="18"/>
              </w:rPr>
              <w:t>▪</w:t>
            </w:r>
            <w:r w:rsidRPr="00C33424">
              <w:rPr>
                <w:rFonts w:ascii="Arial" w:hAnsi="Arial" w:cs="Arial"/>
                <w:sz w:val="18"/>
                <w:szCs w:val="18"/>
              </w:rPr>
              <w:t xml:space="preserve"> </w:t>
            </w:r>
            <w:r w:rsidR="00C45195" w:rsidRPr="000F744C">
              <w:rPr>
                <w:rFonts w:ascii="Arial" w:hAnsi="Arial" w:cs="Arial"/>
                <w:sz w:val="18"/>
                <w:szCs w:val="18"/>
              </w:rPr>
              <w:t>Executing Agency</w:t>
            </w:r>
            <w:r w:rsidR="00C45195">
              <w:rPr>
                <w:rFonts w:ascii="Arial" w:hAnsi="Arial" w:cs="Arial"/>
                <w:sz w:val="18"/>
                <w:szCs w:val="18"/>
              </w:rPr>
              <w:t>:</w:t>
            </w:r>
          </w:p>
        </w:tc>
        <w:tc>
          <w:tcPr>
            <w:tcW w:w="4952" w:type="dxa"/>
          </w:tcPr>
          <w:p w14:paraId="0D4CE487" w14:textId="3EB48EF3" w:rsidR="00490D10" w:rsidRPr="00C33424" w:rsidRDefault="00B73C32">
            <w:pPr>
              <w:spacing w:before="40" w:after="40"/>
              <w:rPr>
                <w:rFonts w:ascii="Arial" w:hAnsi="Arial" w:cs="Arial"/>
              </w:rPr>
            </w:pPr>
            <w:r w:rsidRPr="00C33424">
              <w:rPr>
                <w:rFonts w:ascii="Arial" w:hAnsi="Arial" w:cs="Arial"/>
                <w:sz w:val="18"/>
                <w:szCs w:val="18"/>
              </w:rPr>
              <w:t>CENTRO CEIBAL</w:t>
            </w:r>
            <w:r w:rsidR="00ED7758">
              <w:rPr>
                <w:rFonts w:ascii="Arial" w:hAnsi="Arial" w:cs="Arial"/>
                <w:sz w:val="18"/>
                <w:szCs w:val="18"/>
              </w:rPr>
              <w:t xml:space="preserve"> – Leandro </w:t>
            </w:r>
            <w:proofErr w:type="spellStart"/>
            <w:r w:rsidR="00ED7758">
              <w:rPr>
                <w:rFonts w:ascii="Arial" w:hAnsi="Arial" w:cs="Arial"/>
                <w:sz w:val="18"/>
                <w:szCs w:val="18"/>
              </w:rPr>
              <w:t>Folgar</w:t>
            </w:r>
            <w:proofErr w:type="spellEnd"/>
          </w:p>
        </w:tc>
      </w:tr>
      <w:tr w:rsidR="008F644B" w:rsidRPr="00C33424" w14:paraId="1122D63F" w14:textId="77777777" w:rsidTr="008F644B">
        <w:trPr>
          <w:jc w:val="center"/>
        </w:trPr>
        <w:tc>
          <w:tcPr>
            <w:tcW w:w="4068" w:type="dxa"/>
          </w:tcPr>
          <w:p w14:paraId="29AE4A8B" w14:textId="201ECB85" w:rsidR="00490D10" w:rsidRPr="00C33424" w:rsidRDefault="00B73C32">
            <w:pPr>
              <w:spacing w:before="40" w:after="40"/>
              <w:ind w:left="115" w:hanging="115"/>
              <w:rPr>
                <w:rFonts w:ascii="Arial" w:hAnsi="Arial" w:cs="Arial"/>
                <w:sz w:val="18"/>
                <w:szCs w:val="18"/>
              </w:rPr>
            </w:pPr>
            <w:r w:rsidRPr="00C33424">
              <w:rPr>
                <w:rFonts w:ascii="Arial" w:hAnsi="Arial" w:cs="Arial"/>
                <w:sz w:val="18"/>
                <w:szCs w:val="18"/>
              </w:rPr>
              <w:t>▪</w:t>
            </w:r>
            <w:r w:rsidRPr="00C33424">
              <w:rPr>
                <w:rFonts w:ascii="Arial" w:hAnsi="Arial" w:cs="Arial"/>
                <w:sz w:val="18"/>
                <w:szCs w:val="18"/>
              </w:rPr>
              <w:t xml:space="preserve"> </w:t>
            </w:r>
            <w:r w:rsidR="00C45195" w:rsidRPr="000F744C">
              <w:rPr>
                <w:rFonts w:ascii="Arial" w:hAnsi="Arial" w:cs="Arial"/>
                <w:sz w:val="18"/>
                <w:szCs w:val="18"/>
              </w:rPr>
              <w:t>IDB Funding Requested:</w:t>
            </w:r>
          </w:p>
        </w:tc>
        <w:tc>
          <w:tcPr>
            <w:tcW w:w="4952" w:type="dxa"/>
          </w:tcPr>
          <w:p w14:paraId="1E6E864C" w14:textId="46FB6191" w:rsidR="008F644B" w:rsidRPr="00C33424" w:rsidRDefault="008F644B" w:rsidP="008F644B">
            <w:pPr>
              <w:tabs>
                <w:tab w:val="left" w:pos="3158"/>
                <w:tab w:val="right" w:pos="4709"/>
              </w:tabs>
              <w:bidi/>
              <w:spacing w:before="40" w:after="40"/>
              <w:jc w:val="right"/>
              <w:rPr>
                <w:rFonts w:ascii="Arial" w:hAnsi="Arial" w:cs="Arial"/>
                <w:sz w:val="18"/>
                <w:szCs w:val="18"/>
              </w:rPr>
            </w:pPr>
            <w:r w:rsidRPr="00C33424">
              <w:rPr>
                <w:rFonts w:ascii="Arial" w:hAnsi="Arial" w:cs="Arial"/>
                <w:sz w:val="18"/>
                <w:szCs w:val="18"/>
                <w:rtl/>
              </w:rPr>
              <w:t>US$800,000.00</w:t>
            </w:r>
          </w:p>
        </w:tc>
      </w:tr>
      <w:tr w:rsidR="008F644B" w:rsidRPr="00C33424" w14:paraId="423A0377" w14:textId="77777777" w:rsidTr="008F644B">
        <w:trPr>
          <w:jc w:val="center"/>
        </w:trPr>
        <w:tc>
          <w:tcPr>
            <w:tcW w:w="4068" w:type="dxa"/>
          </w:tcPr>
          <w:p w14:paraId="0081F10D" w14:textId="3F2969AD" w:rsidR="00490D10" w:rsidRPr="00C33424" w:rsidRDefault="00B73C32">
            <w:pPr>
              <w:spacing w:before="40" w:after="40"/>
              <w:ind w:left="115" w:hanging="115"/>
              <w:rPr>
                <w:rFonts w:ascii="Arial" w:hAnsi="Arial" w:cs="Arial"/>
                <w:sz w:val="18"/>
                <w:szCs w:val="18"/>
              </w:rPr>
            </w:pPr>
            <w:r w:rsidRPr="00C33424">
              <w:rPr>
                <w:rFonts w:ascii="Arial" w:hAnsi="Arial" w:cs="Arial"/>
                <w:sz w:val="18"/>
                <w:szCs w:val="18"/>
              </w:rPr>
              <w:t>▪</w:t>
            </w:r>
            <w:r w:rsidRPr="00C33424">
              <w:rPr>
                <w:rFonts w:ascii="Arial" w:hAnsi="Arial" w:cs="Arial"/>
                <w:sz w:val="18"/>
                <w:szCs w:val="18"/>
              </w:rPr>
              <w:t xml:space="preserve"> </w:t>
            </w:r>
            <w:r w:rsidR="00C45195" w:rsidRPr="000F744C">
              <w:rPr>
                <w:rFonts w:ascii="Arial" w:hAnsi="Arial" w:cs="Arial"/>
                <w:sz w:val="18"/>
                <w:szCs w:val="18"/>
              </w:rPr>
              <w:t>Local counterpart funding, if any:</w:t>
            </w:r>
          </w:p>
        </w:tc>
        <w:tc>
          <w:tcPr>
            <w:tcW w:w="4952" w:type="dxa"/>
          </w:tcPr>
          <w:p w14:paraId="1409421D" w14:textId="3BC5DBDD" w:rsidR="00490D10" w:rsidRPr="00C33424" w:rsidRDefault="008F644B" w:rsidP="008F644B">
            <w:pPr>
              <w:bidi/>
              <w:spacing w:before="40" w:after="40"/>
              <w:jc w:val="right"/>
              <w:rPr>
                <w:rFonts w:ascii="Arial" w:hAnsi="Arial" w:cs="Arial"/>
                <w:sz w:val="18"/>
                <w:szCs w:val="18"/>
                <w:lang w:val="es-CO"/>
              </w:rPr>
            </w:pPr>
            <w:r w:rsidRPr="00C33424">
              <w:rPr>
                <w:rFonts w:ascii="Arial" w:hAnsi="Arial" w:cs="Arial"/>
                <w:sz w:val="18"/>
                <w:szCs w:val="18"/>
                <w:rtl/>
              </w:rPr>
              <w:t>US$80,000.00 (</w:t>
            </w:r>
            <w:r w:rsidR="00CF0EF4">
              <w:rPr>
                <w:rFonts w:ascii="Arial" w:hAnsi="Arial" w:cs="Arial" w:hint="cs"/>
                <w:sz w:val="18"/>
                <w:szCs w:val="18"/>
                <w:rtl/>
              </w:rPr>
              <w:t>cash</w:t>
            </w:r>
            <w:r w:rsidRPr="00C33424">
              <w:rPr>
                <w:rFonts w:ascii="Arial" w:hAnsi="Arial" w:cs="Arial"/>
                <w:sz w:val="18"/>
                <w:szCs w:val="18"/>
                <w:rtl/>
              </w:rPr>
              <w:t xml:space="preserve">) </w:t>
            </w:r>
          </w:p>
        </w:tc>
      </w:tr>
      <w:tr w:rsidR="008F644B" w:rsidRPr="00C33424" w14:paraId="3D8F190C" w14:textId="77777777" w:rsidTr="008F644B">
        <w:trPr>
          <w:jc w:val="center"/>
        </w:trPr>
        <w:tc>
          <w:tcPr>
            <w:tcW w:w="4068" w:type="dxa"/>
          </w:tcPr>
          <w:p w14:paraId="46A3C2A9" w14:textId="5145A3F1" w:rsidR="00490D10" w:rsidRPr="00C33424" w:rsidRDefault="00B73C32">
            <w:pPr>
              <w:spacing w:before="40" w:after="40"/>
              <w:ind w:left="115" w:hanging="115"/>
              <w:rPr>
                <w:rFonts w:ascii="Arial" w:hAnsi="Arial" w:cs="Arial"/>
                <w:sz w:val="18"/>
                <w:szCs w:val="18"/>
              </w:rPr>
            </w:pPr>
            <w:r w:rsidRPr="00C33424">
              <w:rPr>
                <w:rFonts w:ascii="Arial" w:hAnsi="Arial" w:cs="Arial"/>
                <w:sz w:val="18"/>
                <w:szCs w:val="18"/>
              </w:rPr>
              <w:t>▪</w:t>
            </w:r>
            <w:r w:rsidRPr="00C33424">
              <w:rPr>
                <w:rFonts w:ascii="Arial" w:hAnsi="Arial" w:cs="Arial"/>
                <w:sz w:val="18"/>
                <w:szCs w:val="18"/>
              </w:rPr>
              <w:t xml:space="preserve"> </w:t>
            </w:r>
            <w:r w:rsidR="00C45195" w:rsidRPr="000F744C">
              <w:rPr>
                <w:rFonts w:ascii="Arial" w:hAnsi="Arial" w:cs="Arial"/>
                <w:sz w:val="18"/>
                <w:szCs w:val="18"/>
              </w:rPr>
              <w:t>Disbursement period:</w:t>
            </w:r>
          </w:p>
        </w:tc>
        <w:tc>
          <w:tcPr>
            <w:tcW w:w="4952" w:type="dxa"/>
          </w:tcPr>
          <w:p w14:paraId="136FA810" w14:textId="6D1B2D55" w:rsidR="00490D10" w:rsidRPr="00C33424" w:rsidRDefault="00ED7758" w:rsidP="00ED7758">
            <w:pPr>
              <w:bidi/>
              <w:spacing w:before="40" w:after="40"/>
              <w:jc w:val="right"/>
              <w:rPr>
                <w:rFonts w:ascii="Arial" w:hAnsi="Arial" w:cs="Arial"/>
                <w:sz w:val="18"/>
                <w:szCs w:val="18"/>
              </w:rPr>
            </w:pPr>
            <w:r>
              <w:rPr>
                <w:rFonts w:ascii="Arial" w:hAnsi="Arial" w:cs="Arial" w:hint="cs"/>
                <w:sz w:val="18"/>
                <w:szCs w:val="18"/>
                <w:rtl/>
              </w:rPr>
              <w:t>24months</w:t>
            </w:r>
          </w:p>
        </w:tc>
      </w:tr>
      <w:tr w:rsidR="008F644B" w:rsidRPr="00C33424" w14:paraId="592E3BBD" w14:textId="77777777" w:rsidTr="008F644B">
        <w:trPr>
          <w:jc w:val="center"/>
        </w:trPr>
        <w:tc>
          <w:tcPr>
            <w:tcW w:w="4068" w:type="dxa"/>
          </w:tcPr>
          <w:p w14:paraId="35C0B3C8" w14:textId="29EC6DE9" w:rsidR="00490D10" w:rsidRPr="00C33424" w:rsidRDefault="00B73C32">
            <w:pPr>
              <w:spacing w:before="40" w:after="40"/>
              <w:ind w:left="115" w:hanging="115"/>
              <w:rPr>
                <w:rFonts w:ascii="Arial" w:hAnsi="Arial" w:cs="Arial"/>
              </w:rPr>
            </w:pPr>
            <w:r w:rsidRPr="00C33424">
              <w:rPr>
                <w:rFonts w:ascii="Arial" w:hAnsi="Arial" w:cs="Arial"/>
                <w:sz w:val="18"/>
                <w:szCs w:val="18"/>
              </w:rPr>
              <w:t>▪</w:t>
            </w:r>
            <w:r w:rsidRPr="00C33424">
              <w:rPr>
                <w:rFonts w:ascii="Arial" w:hAnsi="Arial" w:cs="Arial"/>
                <w:sz w:val="18"/>
                <w:szCs w:val="18"/>
              </w:rPr>
              <w:t xml:space="preserve"> </w:t>
            </w:r>
            <w:r w:rsidR="00C45195" w:rsidRPr="000F744C">
              <w:rPr>
                <w:rFonts w:ascii="Arial" w:hAnsi="Arial" w:cs="Arial"/>
                <w:sz w:val="18"/>
                <w:szCs w:val="18"/>
              </w:rPr>
              <w:t>Types of consultants</w:t>
            </w:r>
          </w:p>
        </w:tc>
        <w:tc>
          <w:tcPr>
            <w:tcW w:w="4952" w:type="dxa"/>
          </w:tcPr>
          <w:p w14:paraId="3CBDD201" w14:textId="71F0218D" w:rsidR="00490D10" w:rsidRPr="00C33424" w:rsidRDefault="00C45195">
            <w:pPr>
              <w:spacing w:before="40" w:after="40"/>
              <w:rPr>
                <w:rFonts w:ascii="Arial" w:hAnsi="Arial" w:cs="Arial"/>
              </w:rPr>
            </w:pPr>
            <w:r>
              <w:rPr>
                <w:rFonts w:ascii="Arial" w:hAnsi="Arial" w:cs="Arial"/>
                <w:sz w:val="18"/>
                <w:szCs w:val="18"/>
              </w:rPr>
              <w:t>Firm</w:t>
            </w:r>
            <w:r w:rsidR="00ED7758">
              <w:rPr>
                <w:rFonts w:ascii="Arial" w:hAnsi="Arial" w:cs="Arial"/>
                <w:sz w:val="18"/>
                <w:szCs w:val="18"/>
              </w:rPr>
              <w:t>s, individual consultant</w:t>
            </w:r>
          </w:p>
        </w:tc>
      </w:tr>
      <w:tr w:rsidR="008F644B" w:rsidRPr="00C33424" w14:paraId="5A60D77B" w14:textId="77777777" w:rsidTr="008F644B">
        <w:trPr>
          <w:jc w:val="center"/>
        </w:trPr>
        <w:tc>
          <w:tcPr>
            <w:tcW w:w="4068" w:type="dxa"/>
          </w:tcPr>
          <w:p w14:paraId="5DB6B785" w14:textId="2DB0754B" w:rsidR="00490D10" w:rsidRPr="00C33424" w:rsidRDefault="00B73C32">
            <w:pPr>
              <w:spacing w:before="40" w:after="40"/>
              <w:ind w:left="115" w:hanging="115"/>
              <w:rPr>
                <w:rFonts w:ascii="Arial" w:hAnsi="Arial" w:cs="Arial"/>
              </w:rPr>
            </w:pPr>
            <w:r w:rsidRPr="00C33424">
              <w:rPr>
                <w:rFonts w:ascii="Arial" w:hAnsi="Arial" w:cs="Arial"/>
                <w:sz w:val="18"/>
                <w:szCs w:val="18"/>
              </w:rPr>
              <w:t>▪</w:t>
            </w:r>
            <w:r w:rsidRPr="00C33424">
              <w:rPr>
                <w:rFonts w:ascii="Arial" w:hAnsi="Arial" w:cs="Arial"/>
                <w:sz w:val="18"/>
                <w:szCs w:val="18"/>
              </w:rPr>
              <w:t xml:space="preserve"> </w:t>
            </w:r>
            <w:r w:rsidR="00C45195" w:rsidRPr="000F744C">
              <w:rPr>
                <w:rFonts w:ascii="Arial" w:hAnsi="Arial" w:cs="Arial"/>
                <w:sz w:val="18"/>
                <w:szCs w:val="18"/>
              </w:rPr>
              <w:t>Prepared by Unit:</w:t>
            </w:r>
          </w:p>
        </w:tc>
        <w:tc>
          <w:tcPr>
            <w:tcW w:w="4952" w:type="dxa"/>
          </w:tcPr>
          <w:p w14:paraId="45AB5ECE" w14:textId="2520A29E" w:rsidR="00490D10" w:rsidRPr="00C33424" w:rsidRDefault="00B73C32">
            <w:pPr>
              <w:spacing w:before="40" w:after="40"/>
              <w:rPr>
                <w:rFonts w:ascii="Arial" w:hAnsi="Arial" w:cs="Arial"/>
              </w:rPr>
            </w:pPr>
            <w:r w:rsidRPr="00C33424">
              <w:rPr>
                <w:rFonts w:ascii="Arial" w:hAnsi="Arial" w:cs="Arial"/>
                <w:sz w:val="18"/>
                <w:szCs w:val="18"/>
              </w:rPr>
              <w:t xml:space="preserve">SCL/EDU </w:t>
            </w:r>
            <w:r w:rsidR="008F644B" w:rsidRPr="00C33424">
              <w:rPr>
                <w:rFonts w:ascii="Arial" w:hAnsi="Arial" w:cs="Arial"/>
                <w:sz w:val="18"/>
                <w:szCs w:val="18"/>
              </w:rPr>
              <w:t>–</w:t>
            </w:r>
            <w:r w:rsidRPr="00C33424">
              <w:rPr>
                <w:rFonts w:ascii="Arial" w:hAnsi="Arial" w:cs="Arial"/>
                <w:sz w:val="18"/>
                <w:szCs w:val="18"/>
              </w:rPr>
              <w:t xml:space="preserve"> Educa</w:t>
            </w:r>
            <w:r w:rsidR="00C45195">
              <w:rPr>
                <w:rFonts w:ascii="Arial" w:hAnsi="Arial" w:cs="Arial"/>
                <w:sz w:val="18"/>
                <w:szCs w:val="18"/>
              </w:rPr>
              <w:t>tio</w:t>
            </w:r>
            <w:r w:rsidRPr="00C33424">
              <w:rPr>
                <w:rFonts w:ascii="Arial" w:hAnsi="Arial" w:cs="Arial"/>
                <w:sz w:val="18"/>
                <w:szCs w:val="18"/>
              </w:rPr>
              <w:t>n</w:t>
            </w:r>
          </w:p>
        </w:tc>
      </w:tr>
      <w:tr w:rsidR="008F644B" w:rsidRPr="00C33424" w14:paraId="3001A984" w14:textId="77777777" w:rsidTr="008F644B">
        <w:trPr>
          <w:jc w:val="center"/>
        </w:trPr>
        <w:tc>
          <w:tcPr>
            <w:tcW w:w="4068" w:type="dxa"/>
          </w:tcPr>
          <w:p w14:paraId="503770EF" w14:textId="327976D7" w:rsidR="00490D10" w:rsidRPr="00C33424" w:rsidRDefault="00B73C32">
            <w:pPr>
              <w:spacing w:before="40" w:after="40"/>
              <w:ind w:left="115" w:hanging="115"/>
              <w:rPr>
                <w:rFonts w:ascii="Arial" w:hAnsi="Arial" w:cs="Arial"/>
              </w:rPr>
            </w:pPr>
            <w:r w:rsidRPr="00C33424">
              <w:rPr>
                <w:rFonts w:ascii="Arial" w:hAnsi="Arial" w:cs="Arial"/>
                <w:sz w:val="18"/>
                <w:szCs w:val="18"/>
              </w:rPr>
              <w:t>▪</w:t>
            </w:r>
            <w:r w:rsidRPr="00C33424">
              <w:rPr>
                <w:rFonts w:ascii="Arial" w:hAnsi="Arial" w:cs="Arial"/>
                <w:sz w:val="18"/>
                <w:szCs w:val="18"/>
              </w:rPr>
              <w:t xml:space="preserve"> </w:t>
            </w:r>
            <w:r w:rsidR="00C45195" w:rsidRPr="000F744C">
              <w:rPr>
                <w:rFonts w:ascii="Arial" w:hAnsi="Arial" w:cs="Arial"/>
                <w:sz w:val="18"/>
                <w:szCs w:val="18"/>
              </w:rPr>
              <w:t>Unit of Disbursement Responsibility:</w:t>
            </w:r>
          </w:p>
        </w:tc>
        <w:tc>
          <w:tcPr>
            <w:tcW w:w="4952" w:type="dxa"/>
          </w:tcPr>
          <w:p w14:paraId="79F46633" w14:textId="51E62B7A" w:rsidR="00490D10" w:rsidRPr="00C33424" w:rsidRDefault="00B73C32">
            <w:pPr>
              <w:spacing w:before="40" w:after="40"/>
              <w:rPr>
                <w:rFonts w:ascii="Arial" w:hAnsi="Arial" w:cs="Arial"/>
              </w:rPr>
            </w:pPr>
            <w:r w:rsidRPr="00C33424">
              <w:rPr>
                <w:rFonts w:ascii="Arial" w:hAnsi="Arial" w:cs="Arial"/>
                <w:sz w:val="18"/>
                <w:szCs w:val="18"/>
              </w:rPr>
              <w:t xml:space="preserve">CSC/CUR </w:t>
            </w:r>
            <w:r w:rsidR="00C45195">
              <w:rPr>
                <w:rFonts w:ascii="Arial" w:hAnsi="Arial" w:cs="Arial"/>
                <w:sz w:val="18"/>
                <w:szCs w:val="18"/>
              </w:rPr>
              <w:t>–</w:t>
            </w:r>
            <w:r w:rsidRPr="00C33424">
              <w:rPr>
                <w:rFonts w:ascii="Arial" w:hAnsi="Arial" w:cs="Arial"/>
                <w:sz w:val="18"/>
                <w:szCs w:val="18"/>
              </w:rPr>
              <w:t xml:space="preserve"> </w:t>
            </w:r>
            <w:r w:rsidRPr="00C33424">
              <w:rPr>
                <w:rFonts w:ascii="Arial" w:hAnsi="Arial" w:cs="Arial"/>
                <w:sz w:val="18"/>
                <w:szCs w:val="18"/>
              </w:rPr>
              <w:t>Uruguay</w:t>
            </w:r>
            <w:r w:rsidR="00C45195">
              <w:rPr>
                <w:rFonts w:ascii="Arial" w:hAnsi="Arial" w:cs="Arial"/>
                <w:sz w:val="18"/>
                <w:szCs w:val="18"/>
              </w:rPr>
              <w:t xml:space="preserve"> Country Office</w:t>
            </w:r>
          </w:p>
        </w:tc>
      </w:tr>
      <w:tr w:rsidR="008F644B" w:rsidRPr="00C33424" w14:paraId="184E4851" w14:textId="77777777" w:rsidTr="008F644B">
        <w:trPr>
          <w:jc w:val="center"/>
        </w:trPr>
        <w:tc>
          <w:tcPr>
            <w:tcW w:w="4068" w:type="dxa"/>
          </w:tcPr>
          <w:p w14:paraId="4AD0F183" w14:textId="5BC0D4E8" w:rsidR="00490D10" w:rsidRPr="00C33424" w:rsidRDefault="00B73C32">
            <w:pPr>
              <w:spacing w:before="40" w:after="40"/>
              <w:rPr>
                <w:rFonts w:ascii="Arial" w:hAnsi="Arial" w:cs="Arial"/>
              </w:rPr>
            </w:pPr>
            <w:r w:rsidRPr="00C33424">
              <w:rPr>
                <w:rFonts w:ascii="Arial" w:hAnsi="Arial" w:cs="Arial"/>
                <w:sz w:val="18"/>
                <w:szCs w:val="18"/>
              </w:rPr>
              <w:t>▪</w:t>
            </w:r>
            <w:r w:rsidRPr="00C33424">
              <w:rPr>
                <w:rFonts w:ascii="Arial" w:hAnsi="Arial" w:cs="Arial"/>
                <w:sz w:val="18"/>
                <w:szCs w:val="18"/>
              </w:rPr>
              <w:t xml:space="preserve"> </w:t>
            </w:r>
            <w:r w:rsidR="00C45195" w:rsidRPr="000F744C">
              <w:rPr>
                <w:rFonts w:ascii="Arial" w:hAnsi="Arial" w:cs="Arial"/>
                <w:sz w:val="18"/>
                <w:szCs w:val="18"/>
              </w:rPr>
              <w:t>TC Included in Country Strategy (y/n):</w:t>
            </w:r>
            <w:r w:rsidRPr="00C33424">
              <w:rPr>
                <w:rFonts w:ascii="Arial" w:hAnsi="Arial" w:cs="Arial"/>
                <w:sz w:val="18"/>
                <w:szCs w:val="18"/>
              </w:rPr>
              <w:br/>
            </w:r>
            <w:r w:rsidRPr="00C33424">
              <w:rPr>
                <w:rFonts w:ascii="Arial" w:hAnsi="Arial" w:cs="Arial"/>
                <w:sz w:val="18"/>
                <w:szCs w:val="18"/>
              </w:rPr>
              <w:br/>
            </w:r>
            <w:r w:rsidR="00C45195" w:rsidRPr="000F744C">
              <w:rPr>
                <w:rFonts w:ascii="Arial" w:hAnsi="Arial" w:cs="Arial"/>
                <w:sz w:val="18"/>
                <w:szCs w:val="18"/>
              </w:rPr>
              <w:t>TC included in CPD (y/n):</w:t>
            </w:r>
          </w:p>
        </w:tc>
        <w:tc>
          <w:tcPr>
            <w:tcW w:w="4952" w:type="dxa"/>
          </w:tcPr>
          <w:p w14:paraId="4CCE1025" w14:textId="2D915D0A" w:rsidR="00490D10" w:rsidRPr="00C33424" w:rsidRDefault="00C45195">
            <w:pPr>
              <w:spacing w:before="40" w:after="40"/>
              <w:rPr>
                <w:rFonts w:ascii="Arial" w:hAnsi="Arial" w:cs="Arial"/>
              </w:rPr>
            </w:pPr>
            <w:r>
              <w:rPr>
                <w:rFonts w:ascii="Arial" w:hAnsi="Arial" w:cs="Arial"/>
                <w:sz w:val="18"/>
                <w:szCs w:val="18"/>
              </w:rPr>
              <w:t>Yes</w:t>
            </w:r>
            <w:r w:rsidR="00B73C32" w:rsidRPr="00C33424">
              <w:rPr>
                <w:rFonts w:ascii="Arial" w:hAnsi="Arial" w:cs="Arial"/>
                <w:sz w:val="18"/>
                <w:szCs w:val="18"/>
              </w:rPr>
              <w:br/>
            </w:r>
            <w:r w:rsidR="00B73C32" w:rsidRPr="00C33424">
              <w:rPr>
                <w:rFonts w:ascii="Arial" w:hAnsi="Arial" w:cs="Arial"/>
                <w:sz w:val="18"/>
                <w:szCs w:val="18"/>
              </w:rPr>
              <w:br/>
            </w:r>
            <w:proofErr w:type="spellStart"/>
            <w:r w:rsidRPr="00C45195">
              <w:rPr>
                <w:rFonts w:ascii="Arial" w:hAnsi="Arial" w:cs="Arial"/>
                <w:sz w:val="18"/>
                <w:szCs w:val="18"/>
              </w:rPr>
              <w:t>Yes</w:t>
            </w:r>
            <w:proofErr w:type="spellEnd"/>
          </w:p>
        </w:tc>
      </w:tr>
      <w:tr w:rsidR="008F644B" w:rsidRPr="00C33424" w14:paraId="79641982" w14:textId="77777777" w:rsidTr="008F644B">
        <w:trPr>
          <w:jc w:val="center"/>
        </w:trPr>
        <w:tc>
          <w:tcPr>
            <w:tcW w:w="4068" w:type="dxa"/>
          </w:tcPr>
          <w:p w14:paraId="0E38FBFC" w14:textId="2BC6EF09" w:rsidR="00490D10" w:rsidRPr="00C45195" w:rsidRDefault="00B73C32">
            <w:pPr>
              <w:spacing w:before="40" w:after="40"/>
              <w:ind w:left="115" w:hanging="115"/>
              <w:rPr>
                <w:rFonts w:ascii="Arial" w:hAnsi="Arial" w:cs="Arial"/>
              </w:rPr>
            </w:pPr>
            <w:r w:rsidRPr="00C45195">
              <w:rPr>
                <w:rFonts w:ascii="Arial" w:hAnsi="Arial" w:cs="Arial"/>
                <w:sz w:val="18"/>
                <w:szCs w:val="18"/>
              </w:rPr>
              <w:t>▪</w:t>
            </w:r>
            <w:r w:rsidRPr="00C45195">
              <w:rPr>
                <w:rFonts w:ascii="Arial" w:hAnsi="Arial" w:cs="Arial"/>
                <w:sz w:val="18"/>
                <w:szCs w:val="18"/>
              </w:rPr>
              <w:t xml:space="preserve"> </w:t>
            </w:r>
            <w:r w:rsidR="00C45195">
              <w:rPr>
                <w:rFonts w:ascii="Arial" w:hAnsi="Arial" w:cs="Arial"/>
                <w:sz w:val="18"/>
                <w:szCs w:val="18"/>
              </w:rPr>
              <w:t>Alignment to the Update to the Institutional Strategy 2010-2020</w:t>
            </w:r>
            <w:r w:rsidR="00C45195" w:rsidRPr="000F744C">
              <w:rPr>
                <w:rFonts w:ascii="Arial" w:hAnsi="Arial" w:cs="Arial"/>
                <w:sz w:val="18"/>
                <w:szCs w:val="18"/>
              </w:rPr>
              <w:t>:</w:t>
            </w:r>
          </w:p>
        </w:tc>
        <w:tc>
          <w:tcPr>
            <w:tcW w:w="4952" w:type="dxa"/>
          </w:tcPr>
          <w:p w14:paraId="3B279AA2" w14:textId="729BF977" w:rsidR="00490D10" w:rsidRPr="00C33424" w:rsidRDefault="00C45195">
            <w:pPr>
              <w:spacing w:before="40" w:after="40"/>
              <w:rPr>
                <w:rFonts w:ascii="Arial" w:hAnsi="Arial" w:cs="Arial"/>
              </w:rPr>
            </w:pPr>
            <w:r>
              <w:rPr>
                <w:rFonts w:ascii="Arial" w:hAnsi="Arial" w:cs="Arial"/>
                <w:sz w:val="18"/>
                <w:szCs w:val="18"/>
              </w:rPr>
              <w:t>Social inclusion and equality</w:t>
            </w:r>
          </w:p>
        </w:tc>
      </w:tr>
    </w:tbl>
    <w:p w14:paraId="0E9FC0AD" w14:textId="4075770B" w:rsidR="00490D10" w:rsidRPr="00C45195" w:rsidRDefault="00B73C32">
      <w:pPr>
        <w:spacing w:before="120" w:after="120"/>
        <w:ind w:left="579" w:hanging="579"/>
        <w:rPr>
          <w:rFonts w:ascii="Arial" w:hAnsi="Arial" w:cs="Arial"/>
        </w:rPr>
      </w:pPr>
      <w:r w:rsidRPr="00C45195">
        <w:rPr>
          <w:rFonts w:ascii="Arial" w:hAnsi="Arial" w:cs="Arial"/>
          <w:b/>
        </w:rPr>
        <w:t>II.</w:t>
      </w:r>
      <w:r w:rsidRPr="00C45195">
        <w:rPr>
          <w:rFonts w:ascii="Arial" w:hAnsi="Arial" w:cs="Arial"/>
          <w:b/>
        </w:rPr>
        <w:tab/>
      </w:r>
      <w:r w:rsidR="00C45195" w:rsidRPr="000F744C">
        <w:rPr>
          <w:rFonts w:ascii="Arial" w:hAnsi="Arial" w:cs="Arial"/>
          <w:b/>
        </w:rPr>
        <w:t>Objectives and Justification of the TC</w:t>
      </w:r>
    </w:p>
    <w:p w14:paraId="21AF578F" w14:textId="62FD001B" w:rsidR="00490D10" w:rsidRPr="00C33424" w:rsidRDefault="00B73C32">
      <w:pPr>
        <w:spacing w:before="120" w:after="120"/>
        <w:ind w:left="579" w:hanging="579"/>
        <w:jc w:val="both"/>
        <w:rPr>
          <w:rFonts w:ascii="Arial" w:hAnsi="Arial" w:cs="Arial"/>
        </w:rPr>
      </w:pPr>
      <w:r w:rsidRPr="00C33424">
        <w:rPr>
          <w:rFonts w:ascii="Arial" w:hAnsi="Arial" w:cs="Arial"/>
        </w:rPr>
        <w:t>2.1</w:t>
      </w:r>
      <w:r w:rsidRPr="00C33424">
        <w:rPr>
          <w:rFonts w:ascii="Arial" w:hAnsi="Arial" w:cs="Arial"/>
        </w:rPr>
        <w:tab/>
      </w:r>
      <w:r w:rsidR="00C33424" w:rsidRPr="00C33424">
        <w:rPr>
          <w:rFonts w:ascii="Arial" w:hAnsi="Arial" w:cs="Arial"/>
        </w:rPr>
        <w:t xml:space="preserve">The objectives of the TC are: </w:t>
      </w:r>
      <w:r w:rsidR="008D3F63">
        <w:rPr>
          <w:rFonts w:ascii="Arial" w:hAnsi="Arial" w:cs="Arial"/>
        </w:rPr>
        <w:t>(</w:t>
      </w:r>
      <w:r w:rsidR="00C33424" w:rsidRPr="00C33424">
        <w:rPr>
          <w:rFonts w:ascii="Arial" w:hAnsi="Arial" w:cs="Arial"/>
        </w:rPr>
        <w:t>i) to support CEIBAL’s educational response to the immediate and medium challenges arousing from the COVID 19 pandemic</w:t>
      </w:r>
      <w:r w:rsidR="008D3F63">
        <w:rPr>
          <w:rFonts w:ascii="Arial" w:hAnsi="Arial" w:cs="Arial"/>
        </w:rPr>
        <w:t>; (</w:t>
      </w:r>
      <w:r w:rsidR="00C33424" w:rsidRPr="00C33424">
        <w:rPr>
          <w:rFonts w:ascii="Arial" w:hAnsi="Arial" w:cs="Arial"/>
        </w:rPr>
        <w:t>ii) to develop and implement innovative pedagogical approach with tele-</w:t>
      </w:r>
      <w:proofErr w:type="spellStart"/>
      <w:r w:rsidR="00C33424" w:rsidRPr="00C33424">
        <w:rPr>
          <w:rFonts w:ascii="Arial" w:hAnsi="Arial" w:cs="Arial"/>
        </w:rPr>
        <w:t>edu</w:t>
      </w:r>
      <w:proofErr w:type="spellEnd"/>
      <w:r w:rsidR="00C33424" w:rsidRPr="00C33424">
        <w:rPr>
          <w:rFonts w:ascii="Arial" w:hAnsi="Arial" w:cs="Arial"/>
        </w:rPr>
        <w:t xml:space="preserve"> technology for mathematics and computational thinking, using High Touch-High Tech (HT-HT) strategies</w:t>
      </w:r>
      <w:r w:rsidR="008D3F63">
        <w:rPr>
          <w:rFonts w:ascii="Arial" w:hAnsi="Arial" w:cs="Arial"/>
        </w:rPr>
        <w:t>;</w:t>
      </w:r>
      <w:r w:rsidR="00C33424" w:rsidRPr="00C33424">
        <w:rPr>
          <w:rFonts w:ascii="Arial" w:hAnsi="Arial" w:cs="Arial"/>
        </w:rPr>
        <w:t xml:space="preserve"> </w:t>
      </w:r>
      <w:r w:rsidR="008D3F63">
        <w:rPr>
          <w:rFonts w:ascii="Arial" w:hAnsi="Arial" w:cs="Arial"/>
        </w:rPr>
        <w:t>and (</w:t>
      </w:r>
      <w:r w:rsidR="00C33424" w:rsidRPr="00C33424">
        <w:rPr>
          <w:rFonts w:ascii="Arial" w:hAnsi="Arial" w:cs="Arial"/>
        </w:rPr>
        <w:t>iii) to generate evidence about the results and impact of HT-HT strategies both in math learning outcomes and computational thinking skills; and to generate operational knowledge about the implementation of both pilots.</w:t>
      </w:r>
    </w:p>
    <w:p w14:paraId="5EBED0F4" w14:textId="524C0B76" w:rsidR="00490D10" w:rsidRPr="00C33424" w:rsidRDefault="00B73C32">
      <w:pPr>
        <w:spacing w:before="120" w:after="120"/>
        <w:ind w:left="579" w:hanging="579"/>
        <w:jc w:val="both"/>
        <w:rPr>
          <w:rFonts w:ascii="Arial" w:hAnsi="Arial" w:cs="Arial"/>
        </w:rPr>
      </w:pPr>
      <w:r w:rsidRPr="00C33424">
        <w:rPr>
          <w:rFonts w:ascii="Arial" w:hAnsi="Arial" w:cs="Arial"/>
        </w:rPr>
        <w:t>2.2</w:t>
      </w:r>
      <w:r w:rsidRPr="00C33424">
        <w:rPr>
          <w:rFonts w:ascii="Arial" w:hAnsi="Arial" w:cs="Arial"/>
        </w:rPr>
        <w:tab/>
        <w:t xml:space="preserve">Apart from providing access to digital devices (2007- 2009), CEIBAL fosters their use in the classroom by deploying educational platforms - Digital Library, learning management systems, CEIBAL in English (CEI), Adaptive Mathematics Platform (PAM), </w:t>
      </w:r>
      <w:proofErr w:type="spellStart"/>
      <w:r w:rsidRPr="00C33424">
        <w:rPr>
          <w:rFonts w:ascii="Arial" w:hAnsi="Arial" w:cs="Arial"/>
        </w:rPr>
        <w:t>Mat</w:t>
      </w:r>
      <w:r w:rsidRPr="00C33424">
        <w:rPr>
          <w:rFonts w:ascii="Arial" w:hAnsi="Arial" w:cs="Arial"/>
        </w:rPr>
        <w:t>ific</w:t>
      </w:r>
      <w:proofErr w:type="spellEnd"/>
      <w:r w:rsidRPr="00C33424">
        <w:rPr>
          <w:rFonts w:ascii="Arial" w:hAnsi="Arial" w:cs="Arial"/>
        </w:rPr>
        <w:t>, a game-based math platform and Online Learning Appraisal System (SEA),  creating digital educational content, and training teachers (2010-2012). Since 2013, CEIBAL emphasizes the use of technologies to leverage new teaching methods, transform teachin</w:t>
      </w:r>
      <w:r w:rsidRPr="00C33424">
        <w:rPr>
          <w:rFonts w:ascii="Arial" w:hAnsi="Arial" w:cs="Arial"/>
        </w:rPr>
        <w:t>g practices by integrating devices and new resources into the learning process and strengthening CEIBAL’s assessment capacities. Since 2018, Plan C</w:t>
      </w:r>
      <w:r w:rsidR="008D3F63">
        <w:rPr>
          <w:rFonts w:ascii="Arial" w:hAnsi="Arial" w:cs="Arial"/>
        </w:rPr>
        <w:t>EIBAL</w:t>
      </w:r>
      <w:r w:rsidRPr="00C33424">
        <w:rPr>
          <w:rFonts w:ascii="Arial" w:hAnsi="Arial" w:cs="Arial"/>
        </w:rPr>
        <w:t xml:space="preserve"> has developed a program for teaching Computational Thinking in primary schools.  The challenge for the </w:t>
      </w:r>
      <w:r w:rsidRPr="00C33424">
        <w:rPr>
          <w:rFonts w:ascii="Arial" w:hAnsi="Arial" w:cs="Arial"/>
        </w:rPr>
        <w:t xml:space="preserve">future </w:t>
      </w:r>
      <w:r w:rsidR="00BF6FFF">
        <w:rPr>
          <w:rFonts w:ascii="Arial" w:hAnsi="Arial" w:cs="Arial"/>
        </w:rPr>
        <w:t>are</w:t>
      </w:r>
      <w:r w:rsidRPr="00C33424">
        <w:rPr>
          <w:rFonts w:ascii="Arial" w:hAnsi="Arial" w:cs="Arial"/>
        </w:rPr>
        <w:t xml:space="preserve"> threefold: (i) maintain the high level of use of the various resources over time; (ii) integrate them effectively so as to consolidate their contribution to transforming the pedagogical process</w:t>
      </w:r>
      <w:r w:rsidR="00BF6FFF">
        <w:rPr>
          <w:rFonts w:ascii="Arial" w:hAnsi="Arial" w:cs="Arial"/>
        </w:rPr>
        <w:t>; and</w:t>
      </w:r>
      <w:r w:rsidRPr="00C33424">
        <w:rPr>
          <w:rFonts w:ascii="Arial" w:hAnsi="Arial" w:cs="Arial"/>
        </w:rPr>
        <w:t xml:space="preserve"> (iii) promote research and knowledge </w:t>
      </w:r>
      <w:r w:rsidRPr="00C33424">
        <w:rPr>
          <w:rFonts w:ascii="Arial" w:hAnsi="Arial" w:cs="Arial"/>
        </w:rPr>
        <w:lastRenderedPageBreak/>
        <w:t>transfer to sup</w:t>
      </w:r>
      <w:r w:rsidRPr="00C33424">
        <w:rPr>
          <w:rFonts w:ascii="Arial" w:hAnsi="Arial" w:cs="Arial"/>
        </w:rPr>
        <w:t>port decision-making by the education system’s various actors. CEIBAL’s track record—from closing the digital gap to this new focus on developing the maximum potential for learning, creativity, and critical thought in Uruguayan children and adolescents—has</w:t>
      </w:r>
      <w:r w:rsidRPr="00C33424">
        <w:rPr>
          <w:rFonts w:ascii="Arial" w:hAnsi="Arial" w:cs="Arial"/>
        </w:rPr>
        <w:t xml:space="preserve"> consolidated the institution’s pioneer status both within and beyond the region.</w:t>
      </w:r>
    </w:p>
    <w:p w14:paraId="59630FD5" w14:textId="77777777" w:rsidR="00490D10" w:rsidRPr="00C33424" w:rsidRDefault="00B73C32">
      <w:pPr>
        <w:spacing w:before="120" w:after="120"/>
        <w:ind w:left="579" w:hanging="579"/>
        <w:jc w:val="both"/>
        <w:rPr>
          <w:rFonts w:ascii="Arial" w:hAnsi="Arial" w:cs="Arial"/>
        </w:rPr>
      </w:pPr>
      <w:r w:rsidRPr="00C33424">
        <w:rPr>
          <w:rFonts w:ascii="Arial" w:hAnsi="Arial" w:cs="Arial"/>
        </w:rPr>
        <w:t>2.3</w:t>
      </w:r>
      <w:r w:rsidRPr="00C33424">
        <w:rPr>
          <w:rFonts w:ascii="Arial" w:hAnsi="Arial" w:cs="Arial"/>
        </w:rPr>
        <w:tab/>
        <w:t>CEIBAL and COVID response. Uruguay closed the schools on March 10th. Since school closure, CEIBAL is at the forefront of education continuity, by digital means. The numbe</w:t>
      </w:r>
      <w:r w:rsidRPr="00C33424">
        <w:rPr>
          <w:rFonts w:ascii="Arial" w:hAnsi="Arial" w:cs="Arial"/>
        </w:rPr>
        <w:t>r of users soared and CEIBAL adapted their platforms and contents to the new situation.</w:t>
      </w:r>
    </w:p>
    <w:p w14:paraId="48634D7F" w14:textId="304AD851" w:rsidR="00490D10" w:rsidRPr="00C33424" w:rsidRDefault="00B73C32">
      <w:pPr>
        <w:spacing w:before="120" w:after="120"/>
        <w:ind w:left="579" w:hanging="579"/>
        <w:jc w:val="both"/>
        <w:rPr>
          <w:rFonts w:ascii="Arial" w:hAnsi="Arial" w:cs="Arial"/>
        </w:rPr>
      </w:pPr>
      <w:r w:rsidRPr="00C33424">
        <w:rPr>
          <w:rFonts w:ascii="Arial" w:hAnsi="Arial" w:cs="Arial"/>
        </w:rPr>
        <w:t>2.4</w:t>
      </w:r>
      <w:r w:rsidRPr="00C33424">
        <w:rPr>
          <w:rFonts w:ascii="Arial" w:hAnsi="Arial" w:cs="Arial"/>
        </w:rPr>
        <w:tab/>
        <w:t>High-Touch, High-Tech: Addressing those challenges hinges on the ability to provide personalized learning at scale for every student. Teaching at the right level ha</w:t>
      </w:r>
      <w:r w:rsidRPr="00C33424">
        <w:rPr>
          <w:rFonts w:ascii="Arial" w:hAnsi="Arial" w:cs="Arial"/>
        </w:rPr>
        <w:t xml:space="preserve">s been identified as a key constraint to learning and technology could help achieve this. Artificial Intelligence (AI) offers one of the most promising breakthroughs towards making quality education available for all and addressing 21st-century skills. AI </w:t>
      </w:r>
      <w:r w:rsidRPr="00C33424">
        <w:rPr>
          <w:rFonts w:ascii="Arial" w:hAnsi="Arial" w:cs="Arial"/>
        </w:rPr>
        <w:t>can cater to the different abilities and backgrounds of every student, which earlier and more standardized technologies were not able to do. In this way, AI directly addresses the key binding constraint - the mismatch between classroom instruction (deliver</w:t>
      </w:r>
      <w:r w:rsidRPr="00C33424">
        <w:rPr>
          <w:rFonts w:ascii="Arial" w:hAnsi="Arial" w:cs="Arial"/>
        </w:rPr>
        <w:t>ed in a standard way) and student learning levels. Adaptive learning technologies can provide targeted support at scale by adapting teaching materials to students’ prior knowledge. These adaptive learning algorithms offer a cost-effective way of learning a</w:t>
      </w:r>
      <w:r w:rsidRPr="00C33424">
        <w:rPr>
          <w:rFonts w:ascii="Arial" w:hAnsi="Arial" w:cs="Arial"/>
        </w:rPr>
        <w:t xml:space="preserve">t the right pace and at the right level for students in resource-constrained contexts, with the potential to enable low-income countries to leapfrog current constraints to development. However, </w:t>
      </w:r>
      <w:r w:rsidR="00C33424" w:rsidRPr="00C33424">
        <w:rPr>
          <w:rFonts w:ascii="Arial" w:hAnsi="Arial" w:cs="Arial"/>
        </w:rPr>
        <w:t>to</w:t>
      </w:r>
      <w:r w:rsidRPr="00C33424">
        <w:rPr>
          <w:rFonts w:ascii="Arial" w:hAnsi="Arial" w:cs="Arial"/>
        </w:rPr>
        <w:t xml:space="preserve"> personalize learning for every student, adaptive (</w:t>
      </w:r>
      <w:r w:rsidRPr="00C33424">
        <w:rPr>
          <w:rFonts w:ascii="Arial" w:hAnsi="Arial" w:cs="Arial"/>
        </w:rPr>
        <w:t>High-Tech) learning should be combined with High-Touch learning: students need human connections and guidance that AI cannot offer. Teachers should be empowered to shift their roles toward High-Touch learning. Students no longer need teachers to the same e</w:t>
      </w:r>
      <w:r w:rsidRPr="00C33424">
        <w:rPr>
          <w:rFonts w:ascii="Arial" w:hAnsi="Arial" w:cs="Arial"/>
        </w:rPr>
        <w:t>xtent for knowledge acquisition, but the human connection and guidance is needed to help students develop higher order skills necessary for the 21st century. Thus, HT-HT learning hinges on the radical shift in the role of teachers to offer human touches fo</w:t>
      </w:r>
      <w:r w:rsidRPr="00C33424">
        <w:rPr>
          <w:rFonts w:ascii="Arial" w:hAnsi="Arial" w:cs="Arial"/>
        </w:rPr>
        <w:t>r students (High-Touch) while using AI to effectively deliver content knowledge for students (High-Tech). HT-HT will enhance the education system’s response to the COVID-19 emergency.</w:t>
      </w:r>
    </w:p>
    <w:p w14:paraId="24A0E94A" w14:textId="2CBCDC6F" w:rsidR="00490D10" w:rsidRPr="00C45195" w:rsidRDefault="00B73C32">
      <w:pPr>
        <w:spacing w:before="120" w:after="120"/>
        <w:ind w:left="579" w:hanging="579"/>
        <w:rPr>
          <w:rFonts w:ascii="Arial" w:hAnsi="Arial" w:cs="Arial"/>
        </w:rPr>
      </w:pPr>
      <w:r w:rsidRPr="00C45195">
        <w:rPr>
          <w:rFonts w:ascii="Arial" w:hAnsi="Arial" w:cs="Arial"/>
          <w:b/>
        </w:rPr>
        <w:t>III.</w:t>
      </w:r>
      <w:r w:rsidRPr="00C45195">
        <w:rPr>
          <w:rFonts w:ascii="Arial" w:hAnsi="Arial" w:cs="Arial"/>
          <w:b/>
        </w:rPr>
        <w:tab/>
      </w:r>
      <w:r w:rsidR="00C45195" w:rsidRPr="000F744C">
        <w:rPr>
          <w:rFonts w:ascii="Arial" w:hAnsi="Arial" w:cs="Arial"/>
          <w:b/>
        </w:rPr>
        <w:t>Description of activities/components and budget</w:t>
      </w:r>
    </w:p>
    <w:p w14:paraId="4C2281CA" w14:textId="18A4D249" w:rsidR="00490D10" w:rsidRPr="00C33424" w:rsidRDefault="00B73C32">
      <w:pPr>
        <w:spacing w:before="120" w:after="120"/>
        <w:ind w:left="579" w:hanging="579"/>
        <w:jc w:val="both"/>
        <w:rPr>
          <w:rFonts w:ascii="Arial" w:hAnsi="Arial" w:cs="Arial"/>
        </w:rPr>
      </w:pPr>
      <w:r w:rsidRPr="00C33424">
        <w:rPr>
          <w:rFonts w:ascii="Arial" w:hAnsi="Arial" w:cs="Arial"/>
        </w:rPr>
        <w:t>3.1</w:t>
      </w:r>
      <w:r w:rsidRPr="00C33424">
        <w:rPr>
          <w:rFonts w:ascii="Arial" w:hAnsi="Arial" w:cs="Arial"/>
        </w:rPr>
        <w:tab/>
      </w:r>
      <w:r w:rsidRPr="00C33424">
        <w:rPr>
          <w:rFonts w:ascii="Arial" w:hAnsi="Arial" w:cs="Arial"/>
          <w:b/>
        </w:rPr>
        <w:t>Compon</w:t>
      </w:r>
      <w:r w:rsidR="00C33424" w:rsidRPr="00C33424">
        <w:rPr>
          <w:rFonts w:ascii="Arial" w:hAnsi="Arial" w:cs="Arial"/>
          <w:b/>
        </w:rPr>
        <w:t>en</w:t>
      </w:r>
      <w:r w:rsidRPr="00C33424">
        <w:rPr>
          <w:rFonts w:ascii="Arial" w:hAnsi="Arial" w:cs="Arial"/>
          <w:b/>
        </w:rPr>
        <w:t>t</w:t>
      </w:r>
      <w:r w:rsidRPr="00C33424">
        <w:rPr>
          <w:rFonts w:ascii="Arial" w:hAnsi="Arial" w:cs="Arial"/>
          <w:b/>
        </w:rPr>
        <w:t xml:space="preserve"> I: </w:t>
      </w:r>
      <w:r w:rsidRPr="00C33424">
        <w:rPr>
          <w:rFonts w:ascii="Arial" w:hAnsi="Arial" w:cs="Arial"/>
          <w:b/>
        </w:rPr>
        <w:t>Design and implementation of HT-HT learning strategies in math teaching</w:t>
      </w:r>
      <w:r w:rsidR="00C33424" w:rsidRPr="00C33424">
        <w:rPr>
          <w:rFonts w:ascii="Arial" w:hAnsi="Arial" w:cs="Arial"/>
          <w:b/>
        </w:rPr>
        <w:t xml:space="preserve"> </w:t>
      </w:r>
      <w:r w:rsidR="00C33424" w:rsidRPr="00C33424">
        <w:rPr>
          <w:rFonts w:ascii="Arial" w:hAnsi="Arial" w:cs="Arial"/>
          <w:b/>
        </w:rPr>
        <w:t>[US$</w:t>
      </w:r>
      <w:r w:rsidR="00C33424" w:rsidRPr="00C33424">
        <w:rPr>
          <w:rFonts w:ascii="Arial" w:hAnsi="Arial" w:cs="Arial"/>
          <w:b/>
        </w:rPr>
        <w:t>330</w:t>
      </w:r>
      <w:r w:rsidR="00C33424" w:rsidRPr="00C33424">
        <w:rPr>
          <w:rFonts w:ascii="Arial" w:hAnsi="Arial" w:cs="Arial"/>
          <w:b/>
        </w:rPr>
        <w:t>.000]</w:t>
      </w:r>
      <w:r w:rsidRPr="00C33424">
        <w:rPr>
          <w:rFonts w:ascii="Arial" w:hAnsi="Arial" w:cs="Arial"/>
          <w:b/>
        </w:rPr>
        <w:t>.</w:t>
      </w:r>
      <w:r w:rsidR="00C33424" w:rsidRPr="00C33424">
        <w:rPr>
          <w:rFonts w:ascii="Arial" w:hAnsi="Arial" w:cs="Arial"/>
          <w:b/>
        </w:rPr>
        <w:t xml:space="preserve"> </w:t>
      </w:r>
      <w:r w:rsidRPr="00C33424">
        <w:rPr>
          <w:rFonts w:ascii="Arial" w:hAnsi="Arial" w:cs="Arial"/>
        </w:rPr>
        <w:t>This component seeks to improve mathematics learning and pedagogical practices. Taking advantage of PAM that offers students more than 100,000 math activities, this component will pilot HT-HT providing different learning paths for each student because aimi</w:t>
      </w:r>
      <w:r w:rsidRPr="00C33424">
        <w:rPr>
          <w:rFonts w:ascii="Arial" w:hAnsi="Arial" w:cs="Arial"/>
        </w:rPr>
        <w:t xml:space="preserve">ng at giving students individualized attention. </w:t>
      </w:r>
      <w:r w:rsidR="00C45195">
        <w:rPr>
          <w:rFonts w:ascii="Arial" w:hAnsi="Arial" w:cs="Arial"/>
        </w:rPr>
        <w:t>Local counterpart of US$30,000.00.</w:t>
      </w:r>
    </w:p>
    <w:p w14:paraId="62DA0E47" w14:textId="1E9EA6E6" w:rsidR="00490D10" w:rsidRPr="00C33424" w:rsidRDefault="00B73C32">
      <w:pPr>
        <w:spacing w:before="120" w:after="120"/>
        <w:ind w:left="579" w:hanging="579"/>
        <w:jc w:val="both"/>
        <w:rPr>
          <w:rFonts w:ascii="Arial" w:hAnsi="Arial" w:cs="Arial"/>
        </w:rPr>
      </w:pPr>
      <w:r w:rsidRPr="00C33424">
        <w:rPr>
          <w:rFonts w:ascii="Arial" w:hAnsi="Arial" w:cs="Arial"/>
        </w:rPr>
        <w:t>3.2</w:t>
      </w:r>
      <w:r w:rsidRPr="00C33424">
        <w:rPr>
          <w:rFonts w:ascii="Arial" w:hAnsi="Arial" w:cs="Arial"/>
        </w:rPr>
        <w:tab/>
      </w:r>
      <w:r w:rsidRPr="00C33424">
        <w:rPr>
          <w:rFonts w:ascii="Arial" w:hAnsi="Arial" w:cs="Arial"/>
          <w:b/>
        </w:rPr>
        <w:t>Component</w:t>
      </w:r>
      <w:r w:rsidRPr="00C33424">
        <w:rPr>
          <w:rFonts w:ascii="Arial" w:hAnsi="Arial" w:cs="Arial"/>
          <w:b/>
        </w:rPr>
        <w:t xml:space="preserve"> II: </w:t>
      </w:r>
      <w:r w:rsidRPr="00C33424">
        <w:rPr>
          <w:rFonts w:ascii="Arial" w:hAnsi="Arial" w:cs="Arial"/>
          <w:b/>
        </w:rPr>
        <w:t>Design and implementation of HT-HT learning strategies for computational thinking</w:t>
      </w:r>
      <w:r w:rsidR="00C33424" w:rsidRPr="00C33424">
        <w:rPr>
          <w:rFonts w:ascii="Arial" w:hAnsi="Arial" w:cs="Arial"/>
          <w:b/>
        </w:rPr>
        <w:t xml:space="preserve"> </w:t>
      </w:r>
      <w:r w:rsidR="00C33424" w:rsidRPr="00C33424">
        <w:rPr>
          <w:rFonts w:ascii="Arial" w:hAnsi="Arial" w:cs="Arial"/>
          <w:b/>
        </w:rPr>
        <w:t>[US$</w:t>
      </w:r>
      <w:r w:rsidR="00C33424" w:rsidRPr="00C33424">
        <w:rPr>
          <w:rFonts w:ascii="Arial" w:hAnsi="Arial" w:cs="Arial"/>
          <w:b/>
        </w:rPr>
        <w:t>400</w:t>
      </w:r>
      <w:r w:rsidR="00C33424" w:rsidRPr="00C33424">
        <w:rPr>
          <w:rFonts w:ascii="Arial" w:hAnsi="Arial" w:cs="Arial"/>
          <w:b/>
        </w:rPr>
        <w:t xml:space="preserve">.000]. </w:t>
      </w:r>
      <w:r w:rsidRPr="00C33424">
        <w:rPr>
          <w:rFonts w:ascii="Arial" w:hAnsi="Arial" w:cs="Arial"/>
        </w:rPr>
        <w:t>This component seeks to foster problem-solving skills that involve the action of computat</w:t>
      </w:r>
      <w:r w:rsidRPr="00C33424">
        <w:rPr>
          <w:rFonts w:ascii="Arial" w:hAnsi="Arial" w:cs="Arial"/>
        </w:rPr>
        <w:t>ional agents, as a basic skill that all students should develop for the digital society.</w:t>
      </w:r>
      <w:r w:rsidR="00C45195">
        <w:rPr>
          <w:rFonts w:ascii="Arial" w:hAnsi="Arial" w:cs="Arial"/>
        </w:rPr>
        <w:t xml:space="preserve"> Local counterpart of US$30,000.00.</w:t>
      </w:r>
    </w:p>
    <w:p w14:paraId="7E025A46" w14:textId="264CA4D5" w:rsidR="00490D10" w:rsidRPr="00C45195" w:rsidRDefault="00B73C32" w:rsidP="00C45195">
      <w:pPr>
        <w:spacing w:before="120" w:after="120"/>
        <w:ind w:left="579" w:hanging="579"/>
        <w:jc w:val="both"/>
        <w:rPr>
          <w:rFonts w:ascii="Arial" w:hAnsi="Arial" w:cs="Arial"/>
        </w:rPr>
      </w:pPr>
      <w:r w:rsidRPr="00C33424">
        <w:rPr>
          <w:rFonts w:ascii="Arial" w:hAnsi="Arial" w:cs="Arial"/>
        </w:rPr>
        <w:t>3.3</w:t>
      </w:r>
      <w:r w:rsidRPr="00C33424">
        <w:rPr>
          <w:rFonts w:ascii="Arial" w:hAnsi="Arial" w:cs="Arial"/>
        </w:rPr>
        <w:tab/>
      </w:r>
      <w:r w:rsidRPr="00C33424">
        <w:rPr>
          <w:rFonts w:ascii="Arial" w:hAnsi="Arial" w:cs="Arial"/>
          <w:b/>
        </w:rPr>
        <w:t>Component</w:t>
      </w:r>
      <w:r w:rsidRPr="00C33424">
        <w:rPr>
          <w:rFonts w:ascii="Arial" w:hAnsi="Arial" w:cs="Arial"/>
          <w:b/>
        </w:rPr>
        <w:t xml:space="preserve"> III:</w:t>
      </w:r>
      <w:r w:rsidRPr="00C33424">
        <w:rPr>
          <w:rFonts w:ascii="Arial" w:hAnsi="Arial" w:cs="Arial"/>
          <w:b/>
        </w:rPr>
        <w:t xml:space="preserve"> Monitoring, and evaluation of results</w:t>
      </w:r>
      <w:r w:rsidR="00C33424" w:rsidRPr="00C33424">
        <w:rPr>
          <w:rFonts w:ascii="Arial" w:hAnsi="Arial" w:cs="Arial"/>
          <w:b/>
        </w:rPr>
        <w:t xml:space="preserve"> </w:t>
      </w:r>
      <w:r w:rsidR="00C33424" w:rsidRPr="00C33424">
        <w:rPr>
          <w:rFonts w:ascii="Arial" w:hAnsi="Arial" w:cs="Arial"/>
          <w:b/>
        </w:rPr>
        <w:t>[US$1</w:t>
      </w:r>
      <w:r w:rsidR="00C33424" w:rsidRPr="00C33424">
        <w:rPr>
          <w:rFonts w:ascii="Arial" w:hAnsi="Arial" w:cs="Arial"/>
          <w:b/>
        </w:rPr>
        <w:t>50</w:t>
      </w:r>
      <w:r w:rsidR="00C33424" w:rsidRPr="00C33424">
        <w:rPr>
          <w:rFonts w:ascii="Arial" w:hAnsi="Arial" w:cs="Arial"/>
          <w:b/>
        </w:rPr>
        <w:t xml:space="preserve">.000]. </w:t>
      </w:r>
      <w:r w:rsidR="00C33424" w:rsidRPr="00C33424">
        <w:rPr>
          <w:rFonts w:ascii="Arial" w:hAnsi="Arial" w:cs="Arial"/>
          <w:bCs/>
        </w:rPr>
        <w:t>This component will finance:</w:t>
      </w:r>
      <w:r w:rsidR="00C33424" w:rsidRPr="00C33424">
        <w:rPr>
          <w:rFonts w:ascii="Arial" w:hAnsi="Arial" w:cs="Arial"/>
          <w:b/>
        </w:rPr>
        <w:t xml:space="preserve"> </w:t>
      </w:r>
      <w:r w:rsidR="00C33424" w:rsidRPr="00C33424">
        <w:rPr>
          <w:rFonts w:ascii="Arial" w:hAnsi="Arial" w:cs="Arial"/>
          <w:bCs/>
        </w:rPr>
        <w:t>(</w:t>
      </w:r>
      <w:r w:rsidRPr="00C33424">
        <w:rPr>
          <w:rFonts w:ascii="Arial" w:hAnsi="Arial" w:cs="Arial"/>
        </w:rPr>
        <w:t xml:space="preserve">i) </w:t>
      </w:r>
      <w:r w:rsidR="00C33424" w:rsidRPr="00C33424">
        <w:rPr>
          <w:rFonts w:ascii="Arial" w:hAnsi="Arial" w:cs="Arial"/>
        </w:rPr>
        <w:t>R</w:t>
      </w:r>
      <w:r w:rsidRPr="00C33424">
        <w:rPr>
          <w:rFonts w:ascii="Arial" w:hAnsi="Arial" w:cs="Arial"/>
        </w:rPr>
        <w:t>esults assessments of the HT-HT learning strategies in math and CT especially on how HT-</w:t>
      </w:r>
      <w:r w:rsidRPr="00C33424">
        <w:rPr>
          <w:rFonts w:ascii="Arial" w:hAnsi="Arial" w:cs="Arial"/>
        </w:rPr>
        <w:t>HT learning enables students to create and develop skills. The evaluation will look at how AI and mobile technology facilitate students remembering and understanding content (High-Tech), that followed by learning how to apply, analyze, evaluate what they u</w:t>
      </w:r>
      <w:r w:rsidRPr="00C33424">
        <w:rPr>
          <w:rFonts w:ascii="Arial" w:hAnsi="Arial" w:cs="Arial"/>
        </w:rPr>
        <w:t>nderstand, and finally results in learning to create, through engaging with teachers (High-Touch);</w:t>
      </w:r>
      <w:r w:rsidR="00C33424" w:rsidRPr="00C33424">
        <w:rPr>
          <w:rFonts w:ascii="Arial" w:hAnsi="Arial" w:cs="Arial"/>
        </w:rPr>
        <w:t xml:space="preserve"> and </w:t>
      </w:r>
      <w:r w:rsidRPr="00C33424">
        <w:rPr>
          <w:rFonts w:ascii="Arial" w:hAnsi="Arial" w:cs="Arial"/>
        </w:rPr>
        <w:t>(ii) an assessment of the process.</w:t>
      </w:r>
      <w:r w:rsidR="00C45195">
        <w:rPr>
          <w:rFonts w:ascii="Arial" w:hAnsi="Arial" w:cs="Arial"/>
        </w:rPr>
        <w:t xml:space="preserve"> Local counterpart of US$20,000.00.</w:t>
      </w:r>
    </w:p>
    <w:p w14:paraId="593D38C9" w14:textId="1CB856EE" w:rsidR="00C33424" w:rsidRPr="00C33424" w:rsidRDefault="00C33424">
      <w:pPr>
        <w:spacing w:before="120" w:after="120"/>
        <w:ind w:left="579" w:hanging="579"/>
        <w:rPr>
          <w:rFonts w:ascii="Arial" w:hAnsi="Arial" w:cs="Arial"/>
          <w:b/>
        </w:rPr>
      </w:pPr>
    </w:p>
    <w:p w14:paraId="66EBAF1E" w14:textId="7AA9F6C0" w:rsidR="00C33424" w:rsidRPr="00C33424" w:rsidRDefault="00C33424">
      <w:pPr>
        <w:spacing w:before="120" w:after="120"/>
        <w:ind w:left="579" w:hanging="579"/>
        <w:rPr>
          <w:rFonts w:ascii="Arial" w:hAnsi="Arial" w:cs="Arial"/>
          <w:b/>
        </w:rPr>
      </w:pPr>
    </w:p>
    <w:p w14:paraId="656C1052" w14:textId="77777777" w:rsidR="00C33424" w:rsidRPr="00C33424" w:rsidRDefault="00C33424">
      <w:pPr>
        <w:spacing w:before="120" w:after="120"/>
        <w:ind w:left="579" w:hanging="579"/>
        <w:rPr>
          <w:rFonts w:ascii="Arial" w:hAnsi="Arial" w:cs="Arial"/>
        </w:rPr>
      </w:pPr>
    </w:p>
    <w:p w14:paraId="3B4E3195" w14:textId="2BF14D9E" w:rsidR="00490D10" w:rsidRPr="00C33424" w:rsidRDefault="00C45195">
      <w:pPr>
        <w:spacing w:before="240" w:after="120"/>
        <w:jc w:val="center"/>
        <w:rPr>
          <w:rFonts w:ascii="Arial" w:hAnsi="Arial" w:cs="Arial"/>
        </w:rPr>
      </w:pPr>
      <w:r>
        <w:rPr>
          <w:rFonts w:ascii="Arial" w:hAnsi="Arial" w:cs="Arial"/>
          <w:b/>
          <w:sz w:val="18"/>
          <w:szCs w:val="18"/>
        </w:rPr>
        <w:t>Indicative Budget</w:t>
      </w:r>
    </w:p>
    <w:tbl>
      <w:tblPr>
        <w:tblStyle w:val="TableGrid"/>
        <w:tblW w:w="0" w:type="auto"/>
        <w:tblLook w:val="04A0" w:firstRow="1" w:lastRow="0" w:firstColumn="1" w:lastColumn="0" w:noHBand="0" w:noVBand="1"/>
      </w:tblPr>
      <w:tblGrid>
        <w:gridCol w:w="4225"/>
        <w:gridCol w:w="1710"/>
        <w:gridCol w:w="1530"/>
        <w:gridCol w:w="1551"/>
      </w:tblGrid>
      <w:tr w:rsidR="00C45195" w:rsidRPr="00C33424" w14:paraId="12D8A8EC" w14:textId="77777777" w:rsidTr="00C45195">
        <w:tc>
          <w:tcPr>
            <w:tcW w:w="4225" w:type="dxa"/>
            <w:vAlign w:val="center"/>
          </w:tcPr>
          <w:p w14:paraId="41D0E83C" w14:textId="7E52369F" w:rsidR="00490D10" w:rsidRPr="00C33424" w:rsidRDefault="00B73C32">
            <w:pPr>
              <w:spacing w:before="40" w:after="40"/>
              <w:jc w:val="center"/>
              <w:rPr>
                <w:rFonts w:ascii="Arial" w:hAnsi="Arial" w:cs="Arial"/>
                <w:sz w:val="18"/>
                <w:szCs w:val="18"/>
              </w:rPr>
            </w:pPr>
            <w:r w:rsidRPr="00C33424">
              <w:rPr>
                <w:rFonts w:ascii="Arial" w:hAnsi="Arial" w:cs="Arial"/>
                <w:b/>
                <w:sz w:val="18"/>
                <w:szCs w:val="18"/>
              </w:rPr>
              <w:t>Activi</w:t>
            </w:r>
            <w:r w:rsidR="00C45195">
              <w:rPr>
                <w:rFonts w:ascii="Arial" w:hAnsi="Arial" w:cs="Arial"/>
                <w:b/>
                <w:sz w:val="18"/>
                <w:szCs w:val="18"/>
              </w:rPr>
              <w:t>ty/Component/Description</w:t>
            </w:r>
          </w:p>
        </w:tc>
        <w:tc>
          <w:tcPr>
            <w:tcW w:w="1710" w:type="dxa"/>
          </w:tcPr>
          <w:p w14:paraId="066A2E1A" w14:textId="11BC936F" w:rsidR="00490D10" w:rsidRPr="00C33424" w:rsidRDefault="00C45195">
            <w:pPr>
              <w:spacing w:before="40" w:after="40"/>
              <w:jc w:val="center"/>
              <w:rPr>
                <w:rFonts w:ascii="Arial" w:hAnsi="Arial" w:cs="Arial"/>
                <w:sz w:val="18"/>
                <w:szCs w:val="18"/>
              </w:rPr>
            </w:pPr>
            <w:r>
              <w:rPr>
                <w:rFonts w:ascii="Arial" w:hAnsi="Arial" w:cs="Arial"/>
                <w:b/>
                <w:sz w:val="18"/>
                <w:szCs w:val="18"/>
              </w:rPr>
              <w:t>IDB</w:t>
            </w:r>
            <w:r w:rsidR="00B73C32" w:rsidRPr="00C33424">
              <w:rPr>
                <w:rFonts w:ascii="Arial" w:hAnsi="Arial" w:cs="Arial"/>
                <w:b/>
                <w:sz w:val="18"/>
                <w:szCs w:val="18"/>
              </w:rPr>
              <w:t>/</w:t>
            </w:r>
            <w:r>
              <w:rPr>
                <w:rFonts w:ascii="Arial" w:hAnsi="Arial" w:cs="Arial"/>
                <w:b/>
                <w:sz w:val="18"/>
                <w:szCs w:val="18"/>
              </w:rPr>
              <w:t>Fund Funding</w:t>
            </w:r>
          </w:p>
        </w:tc>
        <w:tc>
          <w:tcPr>
            <w:tcW w:w="1530" w:type="dxa"/>
          </w:tcPr>
          <w:p w14:paraId="327748EE" w14:textId="13B60B68" w:rsidR="00490D10" w:rsidRPr="00C33424" w:rsidRDefault="00C45195">
            <w:pPr>
              <w:spacing w:before="40" w:after="40"/>
              <w:jc w:val="center"/>
              <w:rPr>
                <w:rFonts w:ascii="Arial" w:hAnsi="Arial" w:cs="Arial"/>
                <w:sz w:val="18"/>
                <w:szCs w:val="18"/>
              </w:rPr>
            </w:pPr>
            <w:r>
              <w:rPr>
                <w:rFonts w:ascii="Arial" w:hAnsi="Arial" w:cs="Arial"/>
                <w:b/>
                <w:sz w:val="18"/>
                <w:szCs w:val="18"/>
              </w:rPr>
              <w:t>Counterpart Funding</w:t>
            </w:r>
          </w:p>
        </w:tc>
        <w:tc>
          <w:tcPr>
            <w:tcW w:w="1551" w:type="dxa"/>
          </w:tcPr>
          <w:p w14:paraId="25358FC1" w14:textId="5835E626" w:rsidR="00490D10" w:rsidRPr="00C33424" w:rsidRDefault="00C45195">
            <w:pPr>
              <w:spacing w:before="40" w:after="40"/>
              <w:jc w:val="center"/>
              <w:rPr>
                <w:rFonts w:ascii="Arial" w:hAnsi="Arial" w:cs="Arial"/>
                <w:sz w:val="18"/>
                <w:szCs w:val="18"/>
              </w:rPr>
            </w:pPr>
            <w:r>
              <w:rPr>
                <w:rFonts w:ascii="Arial" w:hAnsi="Arial" w:cs="Arial"/>
                <w:b/>
                <w:sz w:val="18"/>
                <w:szCs w:val="18"/>
              </w:rPr>
              <w:t>Total Funding</w:t>
            </w:r>
          </w:p>
        </w:tc>
      </w:tr>
      <w:tr w:rsidR="00C45195" w:rsidRPr="00C33424" w14:paraId="1C2E70EB" w14:textId="77777777" w:rsidTr="00C45195">
        <w:tc>
          <w:tcPr>
            <w:tcW w:w="4225" w:type="dxa"/>
            <w:vAlign w:val="center"/>
          </w:tcPr>
          <w:p w14:paraId="1CD515FE" w14:textId="77777777" w:rsidR="00490D10" w:rsidRPr="00C33424" w:rsidRDefault="00B73C32" w:rsidP="00C33424">
            <w:pPr>
              <w:spacing w:before="40" w:after="40"/>
              <w:jc w:val="both"/>
              <w:rPr>
                <w:rFonts w:ascii="Arial" w:hAnsi="Arial" w:cs="Arial"/>
                <w:sz w:val="18"/>
                <w:szCs w:val="18"/>
              </w:rPr>
            </w:pPr>
            <w:r w:rsidRPr="00C33424">
              <w:rPr>
                <w:rFonts w:ascii="Arial" w:hAnsi="Arial" w:cs="Arial"/>
                <w:sz w:val="18"/>
                <w:szCs w:val="18"/>
              </w:rPr>
              <w:t xml:space="preserve">Component I: Design and implementation of HT-HT learning strategies in math teaching. </w:t>
            </w:r>
          </w:p>
        </w:tc>
        <w:tc>
          <w:tcPr>
            <w:tcW w:w="1710" w:type="dxa"/>
            <w:vAlign w:val="center"/>
          </w:tcPr>
          <w:p w14:paraId="35B963DA" w14:textId="77777777" w:rsidR="00490D10" w:rsidRPr="00C33424" w:rsidRDefault="00B73C32">
            <w:pPr>
              <w:spacing w:before="40" w:after="40"/>
              <w:jc w:val="right"/>
              <w:rPr>
                <w:rFonts w:ascii="Arial" w:hAnsi="Arial" w:cs="Arial"/>
                <w:sz w:val="18"/>
                <w:szCs w:val="18"/>
              </w:rPr>
            </w:pPr>
            <w:r w:rsidRPr="00C33424">
              <w:rPr>
                <w:rFonts w:ascii="Arial" w:hAnsi="Arial" w:cs="Arial"/>
                <w:sz w:val="18"/>
                <w:szCs w:val="18"/>
              </w:rPr>
              <w:t>US$300,000.00</w:t>
            </w:r>
          </w:p>
        </w:tc>
        <w:tc>
          <w:tcPr>
            <w:tcW w:w="1530" w:type="dxa"/>
            <w:vAlign w:val="center"/>
          </w:tcPr>
          <w:p w14:paraId="24386CFA" w14:textId="77777777" w:rsidR="00490D10" w:rsidRPr="00C33424" w:rsidRDefault="00B73C32">
            <w:pPr>
              <w:spacing w:before="40" w:after="40"/>
              <w:jc w:val="right"/>
              <w:rPr>
                <w:rFonts w:ascii="Arial" w:hAnsi="Arial" w:cs="Arial"/>
                <w:sz w:val="18"/>
                <w:szCs w:val="18"/>
              </w:rPr>
            </w:pPr>
            <w:r w:rsidRPr="00C33424">
              <w:rPr>
                <w:rFonts w:ascii="Arial" w:hAnsi="Arial" w:cs="Arial"/>
                <w:sz w:val="18"/>
                <w:szCs w:val="18"/>
              </w:rPr>
              <w:t>US$30,000.00</w:t>
            </w:r>
          </w:p>
        </w:tc>
        <w:tc>
          <w:tcPr>
            <w:tcW w:w="1551" w:type="dxa"/>
            <w:vAlign w:val="center"/>
          </w:tcPr>
          <w:p w14:paraId="23B970F0" w14:textId="77777777" w:rsidR="00490D10" w:rsidRPr="00C33424" w:rsidRDefault="00B73C32">
            <w:pPr>
              <w:spacing w:before="40" w:after="40"/>
              <w:jc w:val="right"/>
              <w:rPr>
                <w:rFonts w:ascii="Arial" w:hAnsi="Arial" w:cs="Arial"/>
                <w:sz w:val="18"/>
                <w:szCs w:val="18"/>
              </w:rPr>
            </w:pPr>
            <w:r w:rsidRPr="00C33424">
              <w:rPr>
                <w:rFonts w:ascii="Arial" w:hAnsi="Arial" w:cs="Arial"/>
                <w:sz w:val="18"/>
                <w:szCs w:val="18"/>
              </w:rPr>
              <w:t>US$330,000.00</w:t>
            </w:r>
          </w:p>
        </w:tc>
      </w:tr>
      <w:tr w:rsidR="00C45195" w:rsidRPr="00C33424" w14:paraId="470A5B9A" w14:textId="77777777" w:rsidTr="00C45195">
        <w:tc>
          <w:tcPr>
            <w:tcW w:w="4225" w:type="dxa"/>
            <w:vAlign w:val="center"/>
          </w:tcPr>
          <w:p w14:paraId="3CAEB705" w14:textId="77777777" w:rsidR="00490D10" w:rsidRPr="00C33424" w:rsidRDefault="00B73C32" w:rsidP="00C33424">
            <w:pPr>
              <w:spacing w:before="40" w:after="40"/>
              <w:jc w:val="both"/>
              <w:rPr>
                <w:rFonts w:ascii="Arial" w:hAnsi="Arial" w:cs="Arial"/>
                <w:sz w:val="18"/>
                <w:szCs w:val="18"/>
              </w:rPr>
            </w:pPr>
            <w:r w:rsidRPr="00C33424">
              <w:rPr>
                <w:rFonts w:ascii="Arial" w:hAnsi="Arial" w:cs="Arial"/>
                <w:sz w:val="18"/>
                <w:szCs w:val="18"/>
              </w:rPr>
              <w:t xml:space="preserve">Component II: Design and implementation of HT-HT learning strategies for computational thinking. </w:t>
            </w:r>
          </w:p>
        </w:tc>
        <w:tc>
          <w:tcPr>
            <w:tcW w:w="1710" w:type="dxa"/>
            <w:vAlign w:val="center"/>
          </w:tcPr>
          <w:p w14:paraId="15B017E1" w14:textId="77777777" w:rsidR="00490D10" w:rsidRPr="00C33424" w:rsidRDefault="00B73C32">
            <w:pPr>
              <w:spacing w:before="40" w:after="40"/>
              <w:jc w:val="right"/>
              <w:rPr>
                <w:rFonts w:ascii="Arial" w:hAnsi="Arial" w:cs="Arial"/>
                <w:sz w:val="18"/>
                <w:szCs w:val="18"/>
              </w:rPr>
            </w:pPr>
            <w:r w:rsidRPr="00C33424">
              <w:rPr>
                <w:rFonts w:ascii="Arial" w:hAnsi="Arial" w:cs="Arial"/>
                <w:sz w:val="18"/>
                <w:szCs w:val="18"/>
              </w:rPr>
              <w:t>US$370,000.00</w:t>
            </w:r>
          </w:p>
        </w:tc>
        <w:tc>
          <w:tcPr>
            <w:tcW w:w="1530" w:type="dxa"/>
            <w:vAlign w:val="center"/>
          </w:tcPr>
          <w:p w14:paraId="1F90DD25" w14:textId="77777777" w:rsidR="00490D10" w:rsidRPr="00C33424" w:rsidRDefault="00B73C32">
            <w:pPr>
              <w:spacing w:before="40" w:after="40"/>
              <w:jc w:val="right"/>
              <w:rPr>
                <w:rFonts w:ascii="Arial" w:hAnsi="Arial" w:cs="Arial"/>
                <w:sz w:val="18"/>
                <w:szCs w:val="18"/>
              </w:rPr>
            </w:pPr>
            <w:r w:rsidRPr="00C33424">
              <w:rPr>
                <w:rFonts w:ascii="Arial" w:hAnsi="Arial" w:cs="Arial"/>
                <w:sz w:val="18"/>
                <w:szCs w:val="18"/>
              </w:rPr>
              <w:t>US$30,000.00</w:t>
            </w:r>
          </w:p>
        </w:tc>
        <w:tc>
          <w:tcPr>
            <w:tcW w:w="1551" w:type="dxa"/>
            <w:vAlign w:val="center"/>
          </w:tcPr>
          <w:p w14:paraId="13809615" w14:textId="77777777" w:rsidR="00490D10" w:rsidRPr="00C33424" w:rsidRDefault="00B73C32">
            <w:pPr>
              <w:spacing w:before="40" w:after="40"/>
              <w:jc w:val="right"/>
              <w:rPr>
                <w:rFonts w:ascii="Arial" w:hAnsi="Arial" w:cs="Arial"/>
                <w:sz w:val="18"/>
                <w:szCs w:val="18"/>
              </w:rPr>
            </w:pPr>
            <w:r w:rsidRPr="00C33424">
              <w:rPr>
                <w:rFonts w:ascii="Arial" w:hAnsi="Arial" w:cs="Arial"/>
                <w:sz w:val="18"/>
                <w:szCs w:val="18"/>
              </w:rPr>
              <w:t>US$400,000.00</w:t>
            </w:r>
          </w:p>
        </w:tc>
      </w:tr>
      <w:tr w:rsidR="00C45195" w:rsidRPr="00C33424" w14:paraId="2F7E8547" w14:textId="77777777" w:rsidTr="00C45195">
        <w:tc>
          <w:tcPr>
            <w:tcW w:w="4225" w:type="dxa"/>
            <w:vAlign w:val="center"/>
          </w:tcPr>
          <w:p w14:paraId="7368F0B8" w14:textId="7DBAFB44" w:rsidR="00490D10" w:rsidRPr="00C33424" w:rsidRDefault="00B73C32" w:rsidP="00C33424">
            <w:pPr>
              <w:spacing w:before="40" w:after="40"/>
              <w:jc w:val="both"/>
              <w:rPr>
                <w:rFonts w:ascii="Arial" w:hAnsi="Arial" w:cs="Arial"/>
                <w:sz w:val="18"/>
                <w:szCs w:val="18"/>
              </w:rPr>
            </w:pPr>
            <w:r w:rsidRPr="00C33424">
              <w:rPr>
                <w:rFonts w:ascii="Arial" w:hAnsi="Arial" w:cs="Arial"/>
                <w:sz w:val="18"/>
                <w:szCs w:val="18"/>
              </w:rPr>
              <w:t>Component II</w:t>
            </w:r>
            <w:r w:rsidR="00C33424" w:rsidRPr="00C33424">
              <w:rPr>
                <w:rFonts w:ascii="Arial" w:hAnsi="Arial" w:cs="Arial"/>
                <w:sz w:val="18"/>
                <w:szCs w:val="18"/>
              </w:rPr>
              <w:t>I</w:t>
            </w:r>
            <w:r w:rsidRPr="00C33424">
              <w:rPr>
                <w:rFonts w:ascii="Arial" w:hAnsi="Arial" w:cs="Arial"/>
                <w:sz w:val="18"/>
                <w:szCs w:val="18"/>
              </w:rPr>
              <w:t>: Monitoring, and evaluation of results.</w:t>
            </w:r>
          </w:p>
        </w:tc>
        <w:tc>
          <w:tcPr>
            <w:tcW w:w="1710" w:type="dxa"/>
            <w:vAlign w:val="center"/>
          </w:tcPr>
          <w:p w14:paraId="1BE7B184" w14:textId="77777777" w:rsidR="00490D10" w:rsidRPr="00C33424" w:rsidRDefault="00B73C32">
            <w:pPr>
              <w:spacing w:before="40" w:after="40"/>
              <w:jc w:val="right"/>
              <w:rPr>
                <w:rFonts w:ascii="Arial" w:hAnsi="Arial" w:cs="Arial"/>
                <w:sz w:val="18"/>
                <w:szCs w:val="18"/>
              </w:rPr>
            </w:pPr>
            <w:r w:rsidRPr="00C33424">
              <w:rPr>
                <w:rFonts w:ascii="Arial" w:hAnsi="Arial" w:cs="Arial"/>
                <w:sz w:val="18"/>
                <w:szCs w:val="18"/>
              </w:rPr>
              <w:t>US$130,000.00</w:t>
            </w:r>
          </w:p>
        </w:tc>
        <w:tc>
          <w:tcPr>
            <w:tcW w:w="1530" w:type="dxa"/>
            <w:vAlign w:val="center"/>
          </w:tcPr>
          <w:p w14:paraId="2291D35F" w14:textId="77777777" w:rsidR="00490D10" w:rsidRPr="00C33424" w:rsidRDefault="00B73C32">
            <w:pPr>
              <w:spacing w:before="40" w:after="40"/>
              <w:jc w:val="right"/>
              <w:rPr>
                <w:rFonts w:ascii="Arial" w:hAnsi="Arial" w:cs="Arial"/>
                <w:sz w:val="18"/>
                <w:szCs w:val="18"/>
              </w:rPr>
            </w:pPr>
            <w:r w:rsidRPr="00C33424">
              <w:rPr>
                <w:rFonts w:ascii="Arial" w:hAnsi="Arial" w:cs="Arial"/>
                <w:sz w:val="18"/>
                <w:szCs w:val="18"/>
              </w:rPr>
              <w:t>US$20,000.00</w:t>
            </w:r>
          </w:p>
        </w:tc>
        <w:tc>
          <w:tcPr>
            <w:tcW w:w="1551" w:type="dxa"/>
            <w:vAlign w:val="center"/>
          </w:tcPr>
          <w:p w14:paraId="4F66A2C0" w14:textId="77777777" w:rsidR="00490D10" w:rsidRPr="00C33424" w:rsidRDefault="00B73C32">
            <w:pPr>
              <w:spacing w:before="40" w:after="40"/>
              <w:jc w:val="right"/>
              <w:rPr>
                <w:rFonts w:ascii="Arial" w:hAnsi="Arial" w:cs="Arial"/>
                <w:sz w:val="18"/>
                <w:szCs w:val="18"/>
              </w:rPr>
            </w:pPr>
            <w:r w:rsidRPr="00C33424">
              <w:rPr>
                <w:rFonts w:ascii="Arial" w:hAnsi="Arial" w:cs="Arial"/>
                <w:sz w:val="18"/>
                <w:szCs w:val="18"/>
              </w:rPr>
              <w:t>US$150,000.00</w:t>
            </w:r>
          </w:p>
        </w:tc>
      </w:tr>
      <w:tr w:rsidR="00C45195" w:rsidRPr="00C33424" w14:paraId="50B02F34" w14:textId="77777777" w:rsidTr="00C45195">
        <w:tc>
          <w:tcPr>
            <w:tcW w:w="4225" w:type="dxa"/>
            <w:vAlign w:val="center"/>
          </w:tcPr>
          <w:p w14:paraId="23CBD35B" w14:textId="77777777" w:rsidR="00490D10" w:rsidRPr="00C33424" w:rsidRDefault="00B73C32">
            <w:pPr>
              <w:spacing w:before="40" w:after="40"/>
              <w:rPr>
                <w:rFonts w:ascii="Arial" w:hAnsi="Arial" w:cs="Arial"/>
                <w:sz w:val="18"/>
                <w:szCs w:val="18"/>
              </w:rPr>
            </w:pPr>
            <w:r w:rsidRPr="00C33424">
              <w:rPr>
                <w:rFonts w:ascii="Arial" w:hAnsi="Arial" w:cs="Arial"/>
                <w:b/>
                <w:sz w:val="18"/>
                <w:szCs w:val="18"/>
              </w:rPr>
              <w:t>Total</w:t>
            </w:r>
          </w:p>
        </w:tc>
        <w:tc>
          <w:tcPr>
            <w:tcW w:w="1710" w:type="dxa"/>
            <w:vAlign w:val="center"/>
          </w:tcPr>
          <w:p w14:paraId="5D780660" w14:textId="77777777" w:rsidR="00490D10" w:rsidRPr="00C33424" w:rsidRDefault="00B73C32">
            <w:pPr>
              <w:spacing w:before="40" w:after="40"/>
              <w:jc w:val="right"/>
              <w:rPr>
                <w:rFonts w:ascii="Arial" w:hAnsi="Arial" w:cs="Arial"/>
                <w:sz w:val="18"/>
                <w:szCs w:val="18"/>
              </w:rPr>
            </w:pPr>
            <w:r w:rsidRPr="00C33424">
              <w:rPr>
                <w:rFonts w:ascii="Arial" w:hAnsi="Arial" w:cs="Arial"/>
                <w:b/>
                <w:sz w:val="18"/>
                <w:szCs w:val="18"/>
              </w:rPr>
              <w:t>US$800,000.00</w:t>
            </w:r>
          </w:p>
        </w:tc>
        <w:tc>
          <w:tcPr>
            <w:tcW w:w="1530" w:type="dxa"/>
            <w:vAlign w:val="center"/>
          </w:tcPr>
          <w:p w14:paraId="6099732E" w14:textId="77777777" w:rsidR="00490D10" w:rsidRPr="00C33424" w:rsidRDefault="00B73C32">
            <w:pPr>
              <w:spacing w:before="40" w:after="40"/>
              <w:jc w:val="right"/>
              <w:rPr>
                <w:rFonts w:ascii="Arial" w:hAnsi="Arial" w:cs="Arial"/>
                <w:sz w:val="18"/>
                <w:szCs w:val="18"/>
              </w:rPr>
            </w:pPr>
            <w:r w:rsidRPr="00C33424">
              <w:rPr>
                <w:rFonts w:ascii="Arial" w:hAnsi="Arial" w:cs="Arial"/>
                <w:b/>
                <w:sz w:val="18"/>
                <w:szCs w:val="18"/>
              </w:rPr>
              <w:t>U</w:t>
            </w:r>
            <w:r w:rsidRPr="00C33424">
              <w:rPr>
                <w:rFonts w:ascii="Arial" w:hAnsi="Arial" w:cs="Arial"/>
                <w:b/>
                <w:sz w:val="18"/>
                <w:szCs w:val="18"/>
              </w:rPr>
              <w:t>S$80,000.00</w:t>
            </w:r>
          </w:p>
        </w:tc>
        <w:tc>
          <w:tcPr>
            <w:tcW w:w="1551" w:type="dxa"/>
            <w:vAlign w:val="center"/>
          </w:tcPr>
          <w:p w14:paraId="79E49189" w14:textId="77777777" w:rsidR="00490D10" w:rsidRPr="00C33424" w:rsidRDefault="00B73C32">
            <w:pPr>
              <w:spacing w:before="40" w:after="40"/>
              <w:jc w:val="right"/>
              <w:rPr>
                <w:rFonts w:ascii="Arial" w:hAnsi="Arial" w:cs="Arial"/>
                <w:sz w:val="18"/>
                <w:szCs w:val="18"/>
              </w:rPr>
            </w:pPr>
            <w:r w:rsidRPr="00C33424">
              <w:rPr>
                <w:rFonts w:ascii="Arial" w:hAnsi="Arial" w:cs="Arial"/>
                <w:b/>
                <w:sz w:val="18"/>
                <w:szCs w:val="18"/>
              </w:rPr>
              <w:t>US$880,000.00</w:t>
            </w:r>
          </w:p>
        </w:tc>
      </w:tr>
    </w:tbl>
    <w:p w14:paraId="120FB03D" w14:textId="296420DF" w:rsidR="00490D10" w:rsidRPr="00C45195" w:rsidRDefault="00B73C32">
      <w:pPr>
        <w:spacing w:before="120" w:after="120"/>
        <w:ind w:left="579" w:hanging="579"/>
        <w:rPr>
          <w:rFonts w:ascii="Arial" w:hAnsi="Arial" w:cs="Arial"/>
        </w:rPr>
      </w:pPr>
      <w:r w:rsidRPr="00C45195">
        <w:rPr>
          <w:rFonts w:ascii="Arial" w:hAnsi="Arial" w:cs="Arial"/>
          <w:b/>
        </w:rPr>
        <w:t>V.</w:t>
      </w:r>
      <w:r w:rsidRPr="00C45195">
        <w:rPr>
          <w:rFonts w:ascii="Arial" w:hAnsi="Arial" w:cs="Arial"/>
          <w:b/>
        </w:rPr>
        <w:tab/>
      </w:r>
      <w:r w:rsidR="00C45195" w:rsidRPr="000F744C">
        <w:rPr>
          <w:rFonts w:ascii="Arial" w:hAnsi="Arial" w:cs="Arial"/>
          <w:b/>
        </w:rPr>
        <w:t>Executing agency and execution structure</w:t>
      </w:r>
    </w:p>
    <w:p w14:paraId="7EE8DF89" w14:textId="77777777" w:rsidR="00490D10" w:rsidRPr="00C33424" w:rsidRDefault="00B73C32">
      <w:pPr>
        <w:spacing w:before="200" w:after="200"/>
        <w:ind w:left="579" w:hanging="579"/>
        <w:jc w:val="both"/>
        <w:rPr>
          <w:rFonts w:ascii="Arial" w:hAnsi="Arial" w:cs="Arial"/>
        </w:rPr>
      </w:pPr>
      <w:r w:rsidRPr="00C33424">
        <w:rPr>
          <w:rFonts w:ascii="Arial" w:hAnsi="Arial" w:cs="Arial"/>
        </w:rPr>
        <w:t>5.1</w:t>
      </w:r>
      <w:r w:rsidRPr="00C33424">
        <w:rPr>
          <w:rFonts w:ascii="Arial" w:hAnsi="Arial" w:cs="Arial"/>
        </w:rPr>
        <w:tab/>
        <w:t>The executing agency will be CEIBAL with the support of the Executing Unit of Loan UR-L1141.</w:t>
      </w:r>
    </w:p>
    <w:p w14:paraId="46D480A2" w14:textId="2A0EB492" w:rsidR="00490D10" w:rsidRPr="00C33424" w:rsidRDefault="00B73C32">
      <w:pPr>
        <w:spacing w:before="200" w:after="200"/>
        <w:ind w:left="579" w:hanging="579"/>
        <w:jc w:val="both"/>
        <w:rPr>
          <w:rFonts w:ascii="Arial" w:hAnsi="Arial" w:cs="Arial"/>
        </w:rPr>
      </w:pPr>
      <w:r w:rsidRPr="00C33424">
        <w:rPr>
          <w:rFonts w:ascii="Arial" w:hAnsi="Arial" w:cs="Arial"/>
        </w:rPr>
        <w:t>5.2</w:t>
      </w:r>
      <w:r w:rsidRPr="00C33424">
        <w:rPr>
          <w:rFonts w:ascii="Arial" w:hAnsi="Arial" w:cs="Arial"/>
        </w:rPr>
        <w:tab/>
        <w:t xml:space="preserve">The reasons for requesting the support of the Executing Agency are: (i) it has </w:t>
      </w:r>
      <w:r w:rsidRPr="00C33424">
        <w:rPr>
          <w:rFonts w:ascii="Arial" w:hAnsi="Arial" w:cs="Arial"/>
        </w:rPr>
        <w:t>wide experience and expertise in executing IDB loans and TCs; and (ii) it is the Government agency for innovation in education and for the implementation of digital transformation projects and policies in Uruguay, related to the education sector. CEIBAL wi</w:t>
      </w:r>
      <w:r w:rsidRPr="00C33424">
        <w:rPr>
          <w:rFonts w:ascii="Arial" w:hAnsi="Arial" w:cs="Arial"/>
        </w:rPr>
        <w:t xml:space="preserve">ll contract the goods, </w:t>
      </w:r>
      <w:r w:rsidR="00BF6FFF" w:rsidRPr="00C33424">
        <w:rPr>
          <w:rFonts w:ascii="Arial" w:hAnsi="Arial" w:cs="Arial"/>
        </w:rPr>
        <w:t>services,</w:t>
      </w:r>
      <w:r w:rsidRPr="00C33424">
        <w:rPr>
          <w:rFonts w:ascii="Arial" w:hAnsi="Arial" w:cs="Arial"/>
        </w:rPr>
        <w:t xml:space="preserve"> and consultancies necessary for the project in accordance with Bank policies (documents GN-2349-9 and 2350-9).</w:t>
      </w:r>
      <w:r w:rsidR="00BF6FFF">
        <w:rPr>
          <w:rFonts w:ascii="Arial" w:hAnsi="Arial" w:cs="Arial"/>
        </w:rPr>
        <w:t xml:space="preserve"> </w:t>
      </w:r>
      <w:r w:rsidRPr="00C33424">
        <w:rPr>
          <w:rFonts w:ascii="Arial" w:hAnsi="Arial" w:cs="Arial"/>
        </w:rPr>
        <w:t>CEIBAL will work in collaboration with the Education Commission (EC), implementing the project together along its</w:t>
      </w:r>
      <w:r w:rsidRPr="00C33424">
        <w:rPr>
          <w:rFonts w:ascii="Arial" w:hAnsi="Arial" w:cs="Arial"/>
        </w:rPr>
        <w:t xml:space="preserve"> components.</w:t>
      </w:r>
      <w:r w:rsidR="00BF6FFF">
        <w:rPr>
          <w:rFonts w:ascii="Arial" w:hAnsi="Arial" w:cs="Arial"/>
        </w:rPr>
        <w:t xml:space="preserve"> </w:t>
      </w:r>
      <w:r w:rsidRPr="00C33424">
        <w:rPr>
          <w:rFonts w:ascii="Arial" w:hAnsi="Arial" w:cs="Arial"/>
        </w:rPr>
        <w:t>Their implementation and research teams together with technology providers, will examine the best suitable HT-HT model for both pilots so that it could be scaled in the future. EC is partnering with selected countries, academic institutions, a</w:t>
      </w:r>
      <w:r w:rsidRPr="00C33424">
        <w:rPr>
          <w:rFonts w:ascii="Arial" w:hAnsi="Arial" w:cs="Arial"/>
        </w:rPr>
        <w:t>nd tech thought leaders to test the applicability and adaptability of HT-HT learning in diverse contexts. The first pilot - currently in Vietnam - will be followed by the second pilot in Uruguay.</w:t>
      </w:r>
    </w:p>
    <w:p w14:paraId="6157960D" w14:textId="1D443E0D" w:rsidR="00490D10" w:rsidRPr="00C33424" w:rsidRDefault="00B73C32">
      <w:pPr>
        <w:spacing w:before="120" w:after="120"/>
        <w:ind w:left="579" w:hanging="579"/>
        <w:rPr>
          <w:rFonts w:ascii="Arial" w:hAnsi="Arial" w:cs="Arial"/>
        </w:rPr>
      </w:pPr>
      <w:r w:rsidRPr="00C33424">
        <w:rPr>
          <w:rFonts w:ascii="Arial" w:hAnsi="Arial" w:cs="Arial"/>
          <w:b/>
        </w:rPr>
        <w:t>VI.</w:t>
      </w:r>
      <w:r w:rsidRPr="00C33424">
        <w:rPr>
          <w:rFonts w:ascii="Arial" w:hAnsi="Arial" w:cs="Arial"/>
          <w:b/>
        </w:rPr>
        <w:tab/>
      </w:r>
      <w:r w:rsidR="00C45195" w:rsidRPr="000F744C">
        <w:rPr>
          <w:rFonts w:ascii="Arial" w:hAnsi="Arial" w:cs="Arial"/>
          <w:b/>
        </w:rPr>
        <w:t>Major issues</w:t>
      </w:r>
    </w:p>
    <w:p w14:paraId="78244A55" w14:textId="77777777" w:rsidR="00490D10" w:rsidRPr="00C33424" w:rsidRDefault="00B73C32">
      <w:pPr>
        <w:spacing w:before="200" w:after="200"/>
        <w:ind w:left="579" w:hanging="579"/>
        <w:jc w:val="both"/>
        <w:rPr>
          <w:rFonts w:ascii="Arial" w:hAnsi="Arial" w:cs="Arial"/>
        </w:rPr>
      </w:pPr>
      <w:r w:rsidRPr="00C33424">
        <w:rPr>
          <w:rFonts w:ascii="Arial" w:hAnsi="Arial" w:cs="Arial"/>
        </w:rPr>
        <w:t>6.1</w:t>
      </w:r>
      <w:r w:rsidRPr="00C33424">
        <w:rPr>
          <w:rFonts w:ascii="Arial" w:hAnsi="Arial" w:cs="Arial"/>
        </w:rPr>
        <w:tab/>
        <w:t>The risks associated with this o</w:t>
      </w:r>
      <w:r w:rsidRPr="00C33424">
        <w:rPr>
          <w:rFonts w:ascii="Arial" w:hAnsi="Arial" w:cs="Arial"/>
        </w:rPr>
        <w:t>peration are low and manageable. The main risks identified for the implementation are: (i) to adequately address privacy concerns in data management and data retrieval; and (ii) to ensure the engagement of all relevant institutional stakeholders in the pro</w:t>
      </w:r>
      <w:r w:rsidRPr="00C33424">
        <w:rPr>
          <w:rFonts w:ascii="Arial" w:hAnsi="Arial" w:cs="Arial"/>
        </w:rPr>
        <w:t>ject and the coordination with the education authorities.</w:t>
      </w:r>
    </w:p>
    <w:p w14:paraId="2344A860" w14:textId="6476E7D8" w:rsidR="00490D10" w:rsidRPr="00C45195" w:rsidRDefault="00B73C32">
      <w:pPr>
        <w:spacing w:before="120" w:after="120"/>
        <w:ind w:left="579" w:hanging="579"/>
        <w:rPr>
          <w:rFonts w:ascii="Arial" w:hAnsi="Arial" w:cs="Arial"/>
        </w:rPr>
      </w:pPr>
      <w:r w:rsidRPr="00C45195">
        <w:rPr>
          <w:rFonts w:ascii="Arial" w:hAnsi="Arial" w:cs="Arial"/>
          <w:b/>
        </w:rPr>
        <w:t>VII.</w:t>
      </w:r>
      <w:r w:rsidRPr="00C45195">
        <w:rPr>
          <w:rFonts w:ascii="Arial" w:hAnsi="Arial" w:cs="Arial"/>
          <w:b/>
        </w:rPr>
        <w:tab/>
      </w:r>
      <w:r w:rsidR="00C45195" w:rsidRPr="00C45195">
        <w:rPr>
          <w:rFonts w:ascii="Arial" w:hAnsi="Arial" w:cs="Arial"/>
          <w:b/>
        </w:rPr>
        <w:t>Environmental and Social Strategy</w:t>
      </w:r>
    </w:p>
    <w:p w14:paraId="1BFC2A57" w14:textId="63644C12" w:rsidR="00490D10" w:rsidRPr="00057B8F" w:rsidRDefault="00B73C32">
      <w:pPr>
        <w:spacing w:before="240" w:after="120"/>
        <w:ind w:left="579" w:hanging="579"/>
        <w:jc w:val="both"/>
        <w:rPr>
          <w:rFonts w:ascii="Arial" w:hAnsi="Arial" w:cs="Arial"/>
        </w:rPr>
      </w:pPr>
      <w:r w:rsidRPr="00057B8F">
        <w:rPr>
          <w:rFonts w:ascii="Arial" w:hAnsi="Arial" w:cs="Arial"/>
        </w:rPr>
        <w:t>7.1</w:t>
      </w:r>
      <w:r w:rsidRPr="00057B8F">
        <w:rPr>
          <w:rFonts w:ascii="Arial" w:hAnsi="Arial" w:cs="Arial"/>
        </w:rPr>
        <w:tab/>
      </w:r>
      <w:r w:rsidR="00057B8F" w:rsidRPr="00057B8F">
        <w:rPr>
          <w:rFonts w:ascii="Arial" w:hAnsi="Arial" w:cs="Arial"/>
        </w:rPr>
        <w:t xml:space="preserve">Given the characteristics of the project, no negative environmental or social risks are expected. </w:t>
      </w:r>
      <w:r w:rsidR="00057B8F" w:rsidRPr="00057B8F">
        <w:rPr>
          <w:rFonts w:ascii="Arial" w:hAnsi="Arial" w:cs="Arial"/>
        </w:rPr>
        <w:t>Therefore,</w:t>
      </w:r>
      <w:r w:rsidR="00057B8F" w:rsidRPr="00057B8F">
        <w:rPr>
          <w:rFonts w:ascii="Arial" w:hAnsi="Arial" w:cs="Arial"/>
        </w:rPr>
        <w:t xml:space="preserve"> the classification of this operation according to environmental safeguards is “C”.</w:t>
      </w:r>
    </w:p>
    <w:sectPr w:rsidR="00490D10" w:rsidRPr="00057B8F" w:rsidSect="00FC302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E9550" w14:textId="77777777" w:rsidR="00B73C32" w:rsidRDefault="00B73C32">
      <w:r>
        <w:separator/>
      </w:r>
    </w:p>
  </w:endnote>
  <w:endnote w:type="continuationSeparator" w:id="0">
    <w:p w14:paraId="3718E450" w14:textId="77777777" w:rsidR="00B73C32" w:rsidRDefault="00B7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5032C" w14:textId="77777777" w:rsidR="00490D10" w:rsidRDefault="00B73C32">
    <w:pPr>
      <w:pStyle w:val="FooterStyle"/>
      <w:jc w:val="center"/>
    </w:pPr>
    <w:r>
      <w:t xml:space="preserve"> - </w:t>
    </w:r>
    <w:r>
      <w:fldChar w:fldCharType="begin"/>
    </w:r>
    <w:r>
      <w:instrText xml:space="preserve"> PAGE </w:instrText>
    </w:r>
    <w:r w:rsidR="008F09C2">
      <w:fldChar w:fldCharType="separate"/>
    </w:r>
    <w:r w:rsidR="008F09C2">
      <w:rPr>
        <w:noProof/>
      </w:rPr>
      <w:t>1</w:t>
    </w:r>
    <w:r>
      <w:fldChar w:fldCharType="end"/>
    </w:r>
    <w: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76A28" w14:textId="77777777" w:rsidR="00B73C32" w:rsidRDefault="00B73C32">
      <w:r>
        <w:separator/>
      </w:r>
    </w:p>
  </w:footnote>
  <w:footnote w:type="continuationSeparator" w:id="0">
    <w:p w14:paraId="46F87EC7" w14:textId="77777777" w:rsidR="00B73C32" w:rsidRDefault="00B73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057B8F"/>
    <w:rsid w:val="001915A3"/>
    <w:rsid w:val="00217F62"/>
    <w:rsid w:val="00490D10"/>
    <w:rsid w:val="008D3F63"/>
    <w:rsid w:val="008F09C2"/>
    <w:rsid w:val="008F644B"/>
    <w:rsid w:val="00A906D8"/>
    <w:rsid w:val="00AB5A74"/>
    <w:rsid w:val="00B73C32"/>
    <w:rsid w:val="00BF6FFF"/>
    <w:rsid w:val="00C33424"/>
    <w:rsid w:val="00C45195"/>
    <w:rsid w:val="00CF0EF4"/>
    <w:rsid w:val="00ED7758"/>
    <w:rsid w:val="00F071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94CA"/>
  <w15:docId w15:val="{676537B4-280C-48AE-8DF6-AB3405C70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Style">
    <w:name w:val="FooterStyle"/>
    <w:rPr>
      <w:rFonts w:ascii="Arial" w:eastAsia="Arial" w:hAnsi="Arial" w:cs="Arial"/>
      <w:sz w:val="18"/>
    </w:rPr>
  </w:style>
  <w:style w:type="paragraph" w:styleId="BalloonText">
    <w:name w:val="Balloon Text"/>
    <w:basedOn w:val="Normal"/>
    <w:link w:val="BalloonTextChar"/>
    <w:uiPriority w:val="99"/>
    <w:semiHidden/>
    <w:unhideWhenUsed/>
    <w:rsid w:val="008F6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Operations" ma:contentTypeID="0x010100ACF722E9F6B0B149B0CD8BE2560A6672007307AF39F0F7D44FA969BC36F67C931D" ma:contentTypeVersion="0" ma:contentTypeDescription="The base project type from which other project content types inherit their information." ma:contentTypeScope="" ma:versionID="7bd0046d857cd776061a6b3a1a12a4a1">
  <xsd:schema xmlns:xsd="http://www.w3.org/2001/XMLSchema" xmlns:xs="http://www.w3.org/2001/XMLSchema" xmlns:p="http://schemas.microsoft.com/office/2006/metadata/properties" xmlns:ns2="cdc7663a-08f0-4737-9e8c-148ce897a09c" targetNamespace="http://schemas.microsoft.com/office/2006/metadata/properties" ma:root="true" ma:fieldsID="dcdc96d33913fb7c82a7cd7184439f9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UR-T1244"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15626569CD2284448CEA60DA0B683380" ma:contentTypeVersion="0" ma:contentTypeDescription="A content type to manage public (operations) IDB documents" ma:contentTypeScope="" ma:versionID="1a0733009d319ea67b42fb96d328be6e">
  <xsd:schema xmlns:xsd="http://www.w3.org/2001/XMLSchema" xmlns:xs="http://www.w3.org/2001/XMLSchema" xmlns:p="http://schemas.microsoft.com/office/2006/metadata/properties" xmlns:ns2="cdc7663a-08f0-4737-9e8c-148ce897a09c" targetNamespace="http://schemas.microsoft.com/office/2006/metadata/properties" ma:root="true" ma:fieldsID="29327047154c41417d321d3d30652742"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UR-T1244"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Uruguay</TermName>
          <TermId xmlns="http://schemas.microsoft.com/office/infopath/2007/PartnerControls">5d9b6fdd-d595-4446-a0eb-c14b465f6d0e</TermId>
        </TermInfo>
      </Terms>
    </ic46d7e087fd4a108fb86518ca413cc6>
    <IDBDocs_x0020_Number xmlns="cdc7663a-08f0-4737-9e8c-148ce897a09c" xsi:nil="true"/>
    <Division_x0020_or_x0020_Unit xmlns="cdc7663a-08f0-4737-9e8c-148ce897a09c">SCL/SCL</Division_x0020_or_x0020_Unit>
    <Fiscal_x0020_Year_x0020_IDB xmlns="cdc7663a-08f0-4737-9e8c-148ce897a09c">2020</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ACTIVE</Phase>
    <Document_x0020_Author xmlns="cdc7663a-08f0-4737-9e8c-148ce897a09c">Holguin Madriñan Alejandra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e-EDUCATION</TermName>
          <TermId xmlns="http://schemas.microsoft.com/office/infopath/2007/PartnerControls">4d9ef545-94a9-4116-8003-369e6f4acfac</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KPR</TermName>
          <TermId xmlns="http://schemas.microsoft.com/office/infopath/2007/PartnerControls">6532625e-d021-44f5-96e1-a6225058695c</TermId>
        </TermInfo>
      </Terms>
    </g511464f9e53401d84b16fa9b379a574>
    <Related_x0020_SisCor_x0020_Number xmlns="cdc7663a-08f0-4737-9e8c-148ce897a09c" xsi:nil="true"/>
    <TaxCatchAll xmlns="cdc7663a-08f0-4737-9e8c-148ce897a09c">
      <Value>27</Value>
      <Value>32</Value>
      <Value>2</Value>
      <Value>246</Value>
      <Value>44</Value>
    </TaxCatchAll>
    <Operation_x0020_Type xmlns="cdc7663a-08f0-4737-9e8c-148ce897a09c">TCP</Operation_x0020_Type>
    <Package_x0020_Code xmlns="cdc7663a-08f0-4737-9e8c-148ce897a09c" xsi:nil="true"/>
    <Identifier xmlns="cdc7663a-08f0-4737-9e8c-148ce897a09c" xsi:nil="true"/>
    <Project_x0020_Number xmlns="cdc7663a-08f0-4737-9e8c-148ce897a09c">UR-T1244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e61db9d8-dcb9-423f-a737-53d6e603e7c4</TermId>
        </TermInfo>
      </Terms>
    </nddeef1749674d76abdbe4b239a70bc6>
    <Record_x0020_Number xmlns="cdc7663a-08f0-4737-9e8c-148ce897a09c" xsi:nil="true"/>
    <_dlc_DocId xmlns="cdc7663a-08f0-4737-9e8c-148ce897a09c">EZSHARE-1153812323-3</_dlc_DocId>
    <_dlc_DocIdUrl xmlns="cdc7663a-08f0-4737-9e8c-148ce897a09c">
      <Url>https://idbg.sharepoint.com/teams/EZ-UR-TCP/UR-T1244/_layouts/15/DocIdRedir.aspx?ID=EZSHARE-1153812323-3</Url>
      <Description>EZSHARE-1153812323-3</Description>
    </_dlc_DocIdUrl>
    <Disclosure_x0020_Activity xmlns="cdc7663a-08f0-4737-9e8c-148ce897a09c">TC Abstract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DB394571-D47B-499E-BBF3-38B07F532D93}"/>
</file>

<file path=customXml/itemProps2.xml><?xml version="1.0" encoding="utf-8"?>
<ds:datastoreItem xmlns:ds="http://schemas.openxmlformats.org/officeDocument/2006/customXml" ds:itemID="{A37819D7-FB34-45A3-9E17-962D2E988367}"/>
</file>

<file path=customXml/itemProps3.xml><?xml version="1.0" encoding="utf-8"?>
<ds:datastoreItem xmlns:ds="http://schemas.openxmlformats.org/officeDocument/2006/customXml" ds:itemID="{0C040ED2-6716-4358-9DF3-C54BE4467F07}"/>
</file>

<file path=customXml/itemProps4.xml><?xml version="1.0" encoding="utf-8"?>
<ds:datastoreItem xmlns:ds="http://schemas.openxmlformats.org/officeDocument/2006/customXml" ds:itemID="{054DEDC4-0C83-4140-A59B-EE851D4D5956}"/>
</file>

<file path=customXml/itemProps5.xml><?xml version="1.0" encoding="utf-8"?>
<ds:datastoreItem xmlns:ds="http://schemas.openxmlformats.org/officeDocument/2006/customXml" ds:itemID="{89A711EF-783B-4501-8169-6303ACC16B98}"/>
</file>

<file path=customXml/itemProps6.xml><?xml version="1.0" encoding="utf-8"?>
<ds:datastoreItem xmlns:ds="http://schemas.openxmlformats.org/officeDocument/2006/customXml" ds:itemID="{00E8EE3E-F99B-4A40-8AB0-56755816B681}"/>
</file>

<file path=docProps/app.xml><?xml version="1.0" encoding="utf-8"?>
<Properties xmlns="http://schemas.openxmlformats.org/officeDocument/2006/extended-properties" xmlns:vt="http://schemas.openxmlformats.org/officeDocument/2006/docPropsVTypes">
  <Template>Normal</Template>
  <TotalTime>52</TotalTime>
  <Pages>3</Pages>
  <Words>1418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Holguin Madrinan, Alejandra</dc:creator>
  <cp:keywords/>
  <cp:lastModifiedBy>Holguin Madrinan, Alejandra</cp:lastModifiedBy>
  <cp:revision>5</cp:revision>
  <dcterms:created xsi:type="dcterms:W3CDTF">2020-07-07T13:13:00Z</dcterms:created>
  <dcterms:modified xsi:type="dcterms:W3CDTF">2020-07-07T14:09:00Z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246;#e-EDUCATION|4d9ef545-94a9-4116-8003-369e6f4acfac</vt:lpwstr>
  </property>
  <property fmtid="{D5CDD505-2E9C-101B-9397-08002B2CF9AE}" pid="7" name="Fund IDB">
    <vt:lpwstr>32;#KPR|6532625e-d021-44f5-96e1-a6225058695c</vt:lpwstr>
  </property>
  <property fmtid="{D5CDD505-2E9C-101B-9397-08002B2CF9AE}" pid="8" name="Country">
    <vt:lpwstr>27;#Uruguay|5d9b6fdd-d595-4446-a0eb-c14b465f6d0e</vt:lpwstr>
  </property>
  <property fmtid="{D5CDD505-2E9C-101B-9397-08002B2CF9AE}" pid="9" name="Sector IDB">
    <vt:lpwstr>44;#EDUCATION|e61db9d8-dcb9-423f-a737-53d6e603e7c4</vt:lpwstr>
  </property>
  <property fmtid="{D5CDD505-2E9C-101B-9397-08002B2CF9AE}" pid="10" name="Function Operations IDB">
    <vt:lpwstr>2;#Project Preparation Planning and Design|29ca0c72-1fc4-435f-a09c-28585cb5eac9</vt:lpwstr>
  </property>
  <property fmtid="{D5CDD505-2E9C-101B-9397-08002B2CF9AE}" pid="11" name="_dlc_DocIdItemGuid">
    <vt:lpwstr>82e8f8eb-4c4a-4b06-8689-041bbc02b737</vt:lpwstr>
  </property>
  <property fmtid="{D5CDD505-2E9C-101B-9397-08002B2CF9AE}" pid="12" name="Disclosure Activity">
    <vt:lpwstr>TC Abstract</vt:lpwstr>
  </property>
  <property fmtid="{D5CDD505-2E9C-101B-9397-08002B2CF9AE}" pid="13" name="ContentTypeId">
    <vt:lpwstr>0x0101001A458A224826124E8B45B1D613300CFC0015626569CD2284448CEA60DA0B683380</vt:lpwstr>
  </property>
</Properties>
</file>