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47A56" w14:textId="77777777" w:rsidR="00232DCD" w:rsidRPr="007C0236" w:rsidRDefault="00232DCD" w:rsidP="00232DCD">
      <w:pPr>
        <w:jc w:val="center"/>
      </w:pPr>
    </w:p>
    <w:p w14:paraId="2B3639A4" w14:textId="77777777" w:rsidR="00232DCD" w:rsidRPr="001C38FF" w:rsidRDefault="00232DCD" w:rsidP="00232DCD">
      <w:pPr>
        <w:jc w:val="center"/>
        <w:rPr>
          <w:rFonts w:ascii="Arial" w:hAnsi="Arial" w:cs="Arial"/>
          <w:b/>
          <w:smallCaps/>
        </w:rPr>
      </w:pPr>
      <w:r w:rsidRPr="001C38FF">
        <w:rPr>
          <w:rFonts w:ascii="Arial" w:hAnsi="Arial" w:cs="Arial"/>
          <w:b/>
          <w:smallCaps/>
        </w:rPr>
        <w:t>Document of the Inter-American Development Bank</w:t>
      </w:r>
    </w:p>
    <w:p w14:paraId="5A4E20EB" w14:textId="77777777" w:rsidR="00232DCD" w:rsidRPr="001C38FF" w:rsidRDefault="00232DCD" w:rsidP="00232DCD">
      <w:pPr>
        <w:jc w:val="center"/>
        <w:rPr>
          <w:rFonts w:ascii="Arial" w:hAnsi="Arial" w:cs="Arial"/>
          <w:smallCaps/>
        </w:rPr>
      </w:pPr>
      <w:r w:rsidRPr="001C38FF">
        <w:rPr>
          <w:rFonts w:ascii="Arial" w:hAnsi="Arial" w:cs="Arial"/>
          <w:noProof/>
        </w:rPr>
        <w:drawing>
          <wp:inline distT="0" distB="0" distL="0" distR="0" wp14:anchorId="2F30F30B" wp14:editId="03E8ACBA">
            <wp:extent cx="3095538" cy="2190446"/>
            <wp:effectExtent l="0" t="0" r="0" b="635"/>
            <wp:docPr id="1" name="Picture 1" descr="http://idbnet.iadb.org/sites/identity/en/Documents/Logo%20IDB/English/Color/Medium%20resolution/IDB_english_MR_150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bnet.iadb.org/sites/identity/en/Documents/Logo%20IDB/English/Color/Medium%20resolution/IDB_english_MR_150dpi_RG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7667" cy="2191952"/>
                    </a:xfrm>
                    <a:prstGeom prst="rect">
                      <a:avLst/>
                    </a:prstGeom>
                    <a:noFill/>
                    <a:ln>
                      <a:noFill/>
                    </a:ln>
                  </pic:spPr>
                </pic:pic>
              </a:graphicData>
            </a:graphic>
          </wp:inline>
        </w:drawing>
      </w:r>
    </w:p>
    <w:p w14:paraId="0251B722" w14:textId="77777777" w:rsidR="00232DCD" w:rsidRDefault="00EE224D" w:rsidP="00232DCD">
      <w:pPr>
        <w:jc w:val="center"/>
        <w:rPr>
          <w:rFonts w:ascii="Arial" w:hAnsi="Arial" w:cs="Arial"/>
          <w:b/>
          <w:smallCaps/>
        </w:rPr>
      </w:pPr>
      <w:r>
        <w:rPr>
          <w:rFonts w:ascii="Arial" w:hAnsi="Arial" w:cs="Arial"/>
          <w:b/>
          <w:smallCaps/>
        </w:rPr>
        <w:t>Belize</w:t>
      </w:r>
    </w:p>
    <w:p w14:paraId="13EB4C13" w14:textId="77777777" w:rsidR="00491D06" w:rsidRPr="006F7063" w:rsidRDefault="00491D06" w:rsidP="00232DCD">
      <w:pPr>
        <w:jc w:val="center"/>
        <w:rPr>
          <w:rFonts w:ascii="Arial" w:hAnsi="Arial" w:cs="Arial"/>
          <w:b/>
          <w:smallCaps/>
        </w:rPr>
      </w:pPr>
    </w:p>
    <w:p w14:paraId="44D23BA3" w14:textId="3E0720BF" w:rsidR="00232DCD" w:rsidRDefault="3EFF9F7B" w:rsidP="3EFF9F7B">
      <w:pPr>
        <w:jc w:val="center"/>
        <w:rPr>
          <w:rFonts w:ascii="Arial" w:eastAsia="Arial" w:hAnsi="Arial" w:cs="Arial"/>
          <w:b/>
          <w:bCs/>
          <w:smallCaps/>
        </w:rPr>
      </w:pPr>
      <w:r w:rsidRPr="3EFF9F7B">
        <w:rPr>
          <w:rFonts w:ascii="Arial" w:eastAsia="Arial" w:hAnsi="Arial" w:cs="Arial"/>
          <w:b/>
          <w:bCs/>
          <w:smallCaps/>
        </w:rPr>
        <w:t>Additional Financing for George Price Highway Rehabilitation</w:t>
      </w:r>
    </w:p>
    <w:p w14:paraId="5046B8AD" w14:textId="77777777" w:rsidR="00491D06" w:rsidRPr="006F7063" w:rsidRDefault="00491D06" w:rsidP="00232DCD">
      <w:pPr>
        <w:jc w:val="center"/>
        <w:rPr>
          <w:rFonts w:ascii="Arial" w:hAnsi="Arial" w:cs="Arial"/>
          <w:b/>
          <w:smallCaps/>
        </w:rPr>
      </w:pPr>
    </w:p>
    <w:p w14:paraId="4427A43B" w14:textId="77777777" w:rsidR="00232DCD" w:rsidRPr="006F7063" w:rsidRDefault="0023659E" w:rsidP="00232DCD">
      <w:pPr>
        <w:jc w:val="center"/>
        <w:rPr>
          <w:rFonts w:ascii="Arial" w:hAnsi="Arial" w:cs="Arial"/>
          <w:b/>
          <w:smallCaps/>
        </w:rPr>
      </w:pPr>
      <w:r>
        <w:rPr>
          <w:rFonts w:ascii="Arial" w:hAnsi="Arial" w:cs="Arial"/>
          <w:b/>
          <w:smallCaps/>
        </w:rPr>
        <w:t>BL-L1029</w:t>
      </w:r>
    </w:p>
    <w:p w14:paraId="3FD44E0A" w14:textId="77777777" w:rsidR="00232DCD" w:rsidRPr="006F7063" w:rsidRDefault="00232DCD" w:rsidP="00232DCD">
      <w:pPr>
        <w:jc w:val="center"/>
        <w:rPr>
          <w:rFonts w:ascii="Arial" w:hAnsi="Arial" w:cs="Arial"/>
          <w:smallCaps/>
        </w:rPr>
      </w:pPr>
    </w:p>
    <w:p w14:paraId="4EC2B0F8" w14:textId="77777777" w:rsidR="00232DCD" w:rsidRPr="006F7063" w:rsidRDefault="00232DCD" w:rsidP="00232DCD">
      <w:pPr>
        <w:jc w:val="center"/>
        <w:rPr>
          <w:rFonts w:ascii="Arial" w:hAnsi="Arial" w:cs="Arial"/>
          <w:smallCaps/>
        </w:rPr>
      </w:pPr>
    </w:p>
    <w:p w14:paraId="1E0C040B" w14:textId="77777777" w:rsidR="00232DCD" w:rsidRPr="006F7063" w:rsidRDefault="00232DCD" w:rsidP="00232DCD">
      <w:pPr>
        <w:jc w:val="center"/>
        <w:rPr>
          <w:rFonts w:ascii="Arial" w:hAnsi="Arial" w:cs="Arial"/>
          <w:smallCaps/>
        </w:rPr>
      </w:pPr>
    </w:p>
    <w:p w14:paraId="4E03EDB1" w14:textId="77777777" w:rsidR="00232DCD" w:rsidRPr="006F7063" w:rsidRDefault="00232DCD" w:rsidP="00232DCD">
      <w:pPr>
        <w:jc w:val="center"/>
        <w:rPr>
          <w:rFonts w:ascii="Arial" w:hAnsi="Arial" w:cs="Arial"/>
          <w:smallCaps/>
        </w:rPr>
      </w:pPr>
    </w:p>
    <w:p w14:paraId="07C27506" w14:textId="77777777" w:rsidR="00232DCD" w:rsidRPr="006F7063" w:rsidRDefault="00232DCD" w:rsidP="00232DCD">
      <w:pPr>
        <w:jc w:val="center"/>
        <w:rPr>
          <w:rFonts w:ascii="Arial" w:hAnsi="Arial" w:cs="Arial"/>
          <w:b/>
          <w:bCs/>
          <w:caps/>
        </w:rPr>
      </w:pPr>
      <w:r w:rsidRPr="006F7063">
        <w:rPr>
          <w:rFonts w:ascii="Arial" w:hAnsi="Arial" w:cs="Arial"/>
          <w:b/>
          <w:bCs/>
          <w:caps/>
        </w:rPr>
        <w:t>Environmental and Social MANAGEMENT REPORT</w:t>
      </w:r>
    </w:p>
    <w:p w14:paraId="4A1012DD" w14:textId="77777777" w:rsidR="00232DCD" w:rsidRDefault="00232DCD" w:rsidP="00232DCD">
      <w:pPr>
        <w:jc w:val="center"/>
        <w:rPr>
          <w:rFonts w:ascii="Arial" w:hAnsi="Arial" w:cs="Arial"/>
          <w:b/>
          <w:smallCaps/>
        </w:rPr>
      </w:pPr>
      <w:r w:rsidRPr="006F7063">
        <w:rPr>
          <w:rFonts w:ascii="Arial" w:hAnsi="Arial" w:cs="Arial"/>
          <w:b/>
          <w:smallCaps/>
        </w:rPr>
        <w:t>(ES</w:t>
      </w:r>
      <w:r w:rsidR="00C53ABB" w:rsidRPr="006F7063">
        <w:rPr>
          <w:rFonts w:ascii="Arial" w:hAnsi="Arial" w:cs="Arial"/>
          <w:b/>
          <w:smallCaps/>
        </w:rPr>
        <w:t>MR</w:t>
      </w:r>
      <w:r w:rsidRPr="006F7063">
        <w:rPr>
          <w:rFonts w:ascii="Arial" w:hAnsi="Arial" w:cs="Arial"/>
          <w:b/>
          <w:smallCaps/>
        </w:rPr>
        <w:t>)</w:t>
      </w:r>
    </w:p>
    <w:p w14:paraId="65B07E27" w14:textId="77777777" w:rsidR="0023659E" w:rsidRDefault="0023659E" w:rsidP="00232DCD">
      <w:pPr>
        <w:jc w:val="center"/>
        <w:rPr>
          <w:rFonts w:ascii="Arial" w:hAnsi="Arial" w:cs="Arial"/>
          <w:b/>
          <w:smallCaps/>
        </w:rPr>
      </w:pPr>
    </w:p>
    <w:p w14:paraId="3EE47E27" w14:textId="77777777" w:rsidR="00491D06" w:rsidRDefault="00491D06" w:rsidP="00232DCD">
      <w:pPr>
        <w:jc w:val="center"/>
        <w:rPr>
          <w:rFonts w:ascii="Arial" w:hAnsi="Arial" w:cs="Arial"/>
          <w:b/>
          <w:smallCaps/>
        </w:rPr>
      </w:pPr>
    </w:p>
    <w:p w14:paraId="5EC86BCB" w14:textId="77777777" w:rsidR="00491D06" w:rsidRDefault="00491D06" w:rsidP="00232DCD">
      <w:pPr>
        <w:jc w:val="center"/>
        <w:rPr>
          <w:rFonts w:ascii="Arial" w:hAnsi="Arial" w:cs="Arial"/>
          <w:b/>
          <w:smallCaps/>
        </w:rPr>
      </w:pPr>
    </w:p>
    <w:p w14:paraId="49DC2B7A" w14:textId="77777777" w:rsidR="00050038" w:rsidRDefault="00050038" w:rsidP="00232DCD">
      <w:pPr>
        <w:jc w:val="center"/>
        <w:rPr>
          <w:rFonts w:ascii="Arial" w:hAnsi="Arial" w:cs="Arial"/>
          <w:b/>
          <w:smallCaps/>
        </w:rPr>
      </w:pPr>
    </w:p>
    <w:p w14:paraId="1E7CD445" w14:textId="77777777" w:rsidR="00050038" w:rsidRDefault="00050038" w:rsidP="00232DCD">
      <w:pPr>
        <w:jc w:val="center"/>
        <w:rPr>
          <w:rFonts w:ascii="Arial" w:hAnsi="Arial" w:cs="Arial"/>
          <w:b/>
          <w:smallCaps/>
        </w:rPr>
      </w:pPr>
    </w:p>
    <w:p w14:paraId="35E81297" w14:textId="77777777" w:rsidR="00050038" w:rsidRDefault="00050038" w:rsidP="00232DCD">
      <w:pPr>
        <w:jc w:val="center"/>
        <w:rPr>
          <w:rFonts w:ascii="Arial" w:hAnsi="Arial" w:cs="Arial"/>
          <w:b/>
          <w:smallCaps/>
        </w:rPr>
      </w:pPr>
    </w:p>
    <w:p w14:paraId="231DF530" w14:textId="77777777" w:rsidR="00050038" w:rsidRDefault="00050038" w:rsidP="00232DCD">
      <w:pPr>
        <w:jc w:val="center"/>
        <w:rPr>
          <w:rFonts w:ascii="Arial" w:hAnsi="Arial" w:cs="Arial"/>
          <w:b/>
          <w:smallCaps/>
        </w:rPr>
      </w:pPr>
    </w:p>
    <w:p w14:paraId="4F53ED1B" w14:textId="77777777" w:rsidR="00050038" w:rsidRDefault="00050038" w:rsidP="00232DCD">
      <w:pPr>
        <w:jc w:val="center"/>
        <w:rPr>
          <w:rFonts w:ascii="Arial" w:hAnsi="Arial" w:cs="Arial"/>
          <w:b/>
          <w:smallCaps/>
        </w:rPr>
      </w:pPr>
    </w:p>
    <w:p w14:paraId="61BC0743" w14:textId="77777777" w:rsidR="00491D06" w:rsidRPr="006F7063" w:rsidRDefault="00491D06" w:rsidP="00232DCD">
      <w:pPr>
        <w:jc w:val="center"/>
        <w:rPr>
          <w:rFonts w:ascii="Arial" w:hAnsi="Arial" w:cs="Arial"/>
          <w:b/>
          <w:smallCaps/>
        </w:rPr>
      </w:pPr>
    </w:p>
    <w:p w14:paraId="056F891C" w14:textId="4DBC11D6" w:rsidR="00232DCD" w:rsidRDefault="00BB3082" w:rsidP="00232DCD">
      <w:pPr>
        <w:jc w:val="center"/>
        <w:rPr>
          <w:rFonts w:ascii="Arial" w:hAnsi="Arial" w:cs="Arial"/>
          <w:b/>
          <w:smallCaps/>
        </w:rPr>
      </w:pPr>
      <w:r w:rsidRPr="004E369C">
        <w:rPr>
          <w:rFonts w:ascii="Arial" w:hAnsi="Arial" w:cs="Arial"/>
          <w:b/>
          <w:smallCaps/>
        </w:rPr>
        <w:t>1</w:t>
      </w:r>
      <w:r w:rsidR="0096384B" w:rsidRPr="004E369C">
        <w:rPr>
          <w:rFonts w:ascii="Arial" w:hAnsi="Arial" w:cs="Arial"/>
          <w:b/>
          <w:smallCaps/>
        </w:rPr>
        <w:t>0</w:t>
      </w:r>
      <w:r w:rsidR="00232DCD" w:rsidRPr="004E369C">
        <w:rPr>
          <w:rFonts w:ascii="Arial" w:hAnsi="Arial" w:cs="Arial"/>
          <w:b/>
          <w:smallCaps/>
        </w:rPr>
        <w:t>/</w:t>
      </w:r>
      <w:r w:rsidR="0096384B" w:rsidRPr="004E369C">
        <w:rPr>
          <w:rFonts w:ascii="Arial" w:hAnsi="Arial" w:cs="Arial"/>
          <w:b/>
          <w:smallCaps/>
        </w:rPr>
        <w:t>August</w:t>
      </w:r>
      <w:r w:rsidR="00232DCD" w:rsidRPr="004E369C">
        <w:rPr>
          <w:rFonts w:ascii="Arial" w:hAnsi="Arial" w:cs="Arial"/>
          <w:b/>
          <w:smallCaps/>
        </w:rPr>
        <w:t>/</w:t>
      </w:r>
      <w:r w:rsidR="0023659E" w:rsidRPr="004E369C">
        <w:rPr>
          <w:rFonts w:ascii="Arial" w:hAnsi="Arial" w:cs="Arial"/>
          <w:b/>
          <w:smallCaps/>
        </w:rPr>
        <w:t>2018</w:t>
      </w:r>
    </w:p>
    <w:p w14:paraId="43050AF2" w14:textId="56274924" w:rsidR="00D32CC7" w:rsidRPr="004E369C" w:rsidRDefault="00D32CC7" w:rsidP="00232DCD">
      <w:pPr>
        <w:jc w:val="center"/>
        <w:rPr>
          <w:rFonts w:ascii="Arial" w:hAnsi="Arial" w:cs="Arial"/>
          <w:b/>
          <w:smallCaps/>
        </w:rPr>
      </w:pPr>
      <w:r>
        <w:rPr>
          <w:rFonts w:ascii="Arial" w:hAnsi="Arial" w:cs="Arial"/>
          <w:b/>
          <w:smallCaps/>
        </w:rPr>
        <w:t xml:space="preserve">Updated </w:t>
      </w:r>
      <w:bookmarkStart w:id="0" w:name="_GoBack"/>
      <w:bookmarkEnd w:id="0"/>
      <w:r w:rsidR="000B6D94">
        <w:rPr>
          <w:rFonts w:ascii="Arial" w:hAnsi="Arial" w:cs="Arial"/>
          <w:b/>
          <w:smallCaps/>
        </w:rPr>
        <w:t>5</w:t>
      </w:r>
      <w:r>
        <w:rPr>
          <w:rFonts w:ascii="Arial" w:hAnsi="Arial" w:cs="Arial"/>
          <w:b/>
          <w:smallCaps/>
        </w:rPr>
        <w:t>/September/2018</w:t>
      </w:r>
    </w:p>
    <w:p w14:paraId="22EB9CA3" w14:textId="77777777" w:rsidR="00232DCD" w:rsidRPr="00C53ABB" w:rsidRDefault="00232DCD" w:rsidP="00232DCD">
      <w:pPr>
        <w:jc w:val="center"/>
        <w:rPr>
          <w:rFonts w:ascii="Arial" w:hAnsi="Arial" w:cs="Arial"/>
          <w:smallCaps/>
          <w:sz w:val="22"/>
          <w:szCs w:val="22"/>
        </w:rPr>
      </w:pPr>
    </w:p>
    <w:p w14:paraId="43E4EC29" w14:textId="77777777" w:rsidR="00232DCD" w:rsidRPr="007C0236" w:rsidRDefault="00232DCD" w:rsidP="00232DCD">
      <w:pPr>
        <w:jc w:val="center"/>
        <w:rPr>
          <w:rFonts w:ascii="Arial" w:hAnsi="Arial" w:cs="Arial"/>
          <w:smallCaps/>
        </w:rPr>
      </w:pPr>
    </w:p>
    <w:p w14:paraId="4044BDA8" w14:textId="77777777" w:rsidR="00232DCD" w:rsidRDefault="00232DCD" w:rsidP="00232DCD">
      <w:pPr>
        <w:jc w:val="center"/>
        <w:rPr>
          <w:rFonts w:ascii="Arial" w:hAnsi="Arial" w:cs="Arial"/>
          <w:smallCaps/>
        </w:rPr>
      </w:pPr>
    </w:p>
    <w:p w14:paraId="282CAAED" w14:textId="77777777" w:rsidR="00232DCD" w:rsidRPr="007C0236" w:rsidRDefault="00232DCD" w:rsidP="00232DCD">
      <w:pPr>
        <w:jc w:val="center"/>
        <w:rPr>
          <w:rFonts w:ascii="Arial" w:hAnsi="Arial" w:cs="Arial"/>
          <w:smallCaps/>
        </w:rPr>
      </w:pPr>
    </w:p>
    <w:p w14:paraId="54A61838" w14:textId="77777777" w:rsidR="00232DCD" w:rsidRPr="007C0236" w:rsidRDefault="00232DCD" w:rsidP="00232DCD">
      <w:pPr>
        <w:jc w:val="center"/>
        <w:rPr>
          <w:rFonts w:ascii="Arial" w:hAnsi="Arial" w:cs="Arial"/>
          <w:smallCaps/>
        </w:rPr>
      </w:pPr>
    </w:p>
    <w:p w14:paraId="02FBF92F" w14:textId="77777777" w:rsidR="00232DCD" w:rsidRPr="007C0236" w:rsidRDefault="00232DCD" w:rsidP="00232DCD">
      <w:pPr>
        <w:jc w:val="center"/>
        <w:rPr>
          <w:rFonts w:ascii="Arial" w:hAnsi="Arial" w:cs="Arial"/>
          <w:smallCaps/>
        </w:rPr>
      </w:pPr>
    </w:p>
    <w:p w14:paraId="17933593" w14:textId="77777777" w:rsidR="00232DCD" w:rsidRPr="007C0236" w:rsidRDefault="00232DCD" w:rsidP="00232DCD">
      <w:pPr>
        <w:jc w:val="center"/>
        <w:rPr>
          <w:rFonts w:ascii="Arial" w:hAnsi="Arial" w:cs="Arial"/>
          <w:smallCaps/>
        </w:rPr>
      </w:pPr>
    </w:p>
    <w:p w14:paraId="057B1669" w14:textId="77777777" w:rsidR="00232DCD" w:rsidRPr="007C0236" w:rsidRDefault="00232DCD" w:rsidP="00232DCD">
      <w:pPr>
        <w:jc w:val="center"/>
        <w:rPr>
          <w:rFonts w:ascii="Arial" w:hAnsi="Arial" w:cs="Arial"/>
          <w:smallCaps/>
        </w:rPr>
      </w:pPr>
    </w:p>
    <w:p w14:paraId="5E1761A1" w14:textId="77777777" w:rsidR="00C53ABB" w:rsidRDefault="00C53ABB" w:rsidP="00C53ABB">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r w:rsidRPr="005E54D2">
        <w:rPr>
          <w:rFonts w:ascii="Arial" w:hAnsi="Arial" w:cs="Arial"/>
          <w:sz w:val="18"/>
          <w:szCs w:val="18"/>
        </w:rPr>
        <w:t>This document was prepared by</w:t>
      </w:r>
      <w:r>
        <w:rPr>
          <w:rFonts w:ascii="Arial" w:hAnsi="Arial" w:cs="Arial"/>
          <w:sz w:val="18"/>
          <w:szCs w:val="18"/>
        </w:rPr>
        <w:t xml:space="preserve">: </w:t>
      </w:r>
    </w:p>
    <w:p w14:paraId="42095320" w14:textId="77777777" w:rsidR="00C53ABB" w:rsidRDefault="0023659E" w:rsidP="00C53ABB">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r>
        <w:rPr>
          <w:rFonts w:ascii="Arial" w:hAnsi="Arial" w:cs="Arial"/>
          <w:sz w:val="18"/>
          <w:szCs w:val="18"/>
        </w:rPr>
        <w:t>Rodolfo Tello and Natasha Kate Ward</w:t>
      </w:r>
      <w:r w:rsidR="00C53ABB">
        <w:rPr>
          <w:rFonts w:ascii="Arial" w:hAnsi="Arial" w:cs="Arial"/>
          <w:sz w:val="18"/>
          <w:szCs w:val="18"/>
        </w:rPr>
        <w:t xml:space="preserve"> (</w:t>
      </w:r>
      <w:r>
        <w:rPr>
          <w:rFonts w:ascii="Arial" w:hAnsi="Arial" w:cs="Arial"/>
          <w:sz w:val="18"/>
          <w:szCs w:val="18"/>
        </w:rPr>
        <w:t>VPS</w:t>
      </w:r>
      <w:r w:rsidR="00C53ABB">
        <w:rPr>
          <w:rFonts w:ascii="Arial" w:hAnsi="Arial" w:cs="Arial"/>
          <w:sz w:val="18"/>
          <w:szCs w:val="18"/>
        </w:rPr>
        <w:t>/</w:t>
      </w:r>
      <w:r>
        <w:rPr>
          <w:rFonts w:ascii="Arial" w:hAnsi="Arial" w:cs="Arial"/>
          <w:sz w:val="18"/>
          <w:szCs w:val="18"/>
        </w:rPr>
        <w:t>ESG</w:t>
      </w:r>
      <w:r w:rsidR="00C53ABB">
        <w:rPr>
          <w:rFonts w:ascii="Arial" w:hAnsi="Arial" w:cs="Arial"/>
          <w:sz w:val="18"/>
          <w:szCs w:val="18"/>
        </w:rPr>
        <w:t>)</w:t>
      </w:r>
    </w:p>
    <w:p w14:paraId="38A17744" w14:textId="77777777" w:rsidR="00C53ABB" w:rsidRDefault="00C53ABB"/>
    <w:tbl>
      <w:tblPr>
        <w:tblW w:w="9990" w:type="dxa"/>
        <w:tblInd w:w="10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297"/>
        <w:gridCol w:w="5693"/>
      </w:tblGrid>
      <w:tr w:rsidR="00B01F04" w:rsidRPr="00B51A3B" w14:paraId="4EB5642C" w14:textId="77777777" w:rsidTr="3EFF9F7B">
        <w:trPr>
          <w:trHeight w:val="420"/>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5B3D7" w:themeFill="accent1" w:themeFillTint="99"/>
            <w:tcMar>
              <w:top w:w="15" w:type="dxa"/>
              <w:left w:w="105" w:type="dxa"/>
              <w:bottom w:w="15" w:type="dxa"/>
              <w:right w:w="105" w:type="dxa"/>
            </w:tcMar>
            <w:vAlign w:val="center"/>
            <w:hideMark/>
          </w:tcPr>
          <w:p w14:paraId="25692B78" w14:textId="77777777" w:rsidR="00B01F04" w:rsidRPr="00C53ABB" w:rsidRDefault="00232DCD" w:rsidP="00232DCD">
            <w:pPr>
              <w:jc w:val="center"/>
              <w:rPr>
                <w:rFonts w:ascii="Arial" w:eastAsia="Times New Roman" w:hAnsi="Arial" w:cs="Arial"/>
                <w:b/>
                <w:bCs/>
                <w:sz w:val="27"/>
                <w:szCs w:val="27"/>
              </w:rPr>
            </w:pPr>
            <w:r w:rsidRPr="00C53ABB">
              <w:rPr>
                <w:rFonts w:ascii="Arial" w:eastAsia="Times New Roman" w:hAnsi="Arial" w:cs="Arial"/>
                <w:b/>
                <w:bCs/>
                <w:sz w:val="27"/>
                <w:szCs w:val="27"/>
              </w:rPr>
              <w:t>ENVIRONMENTAL AND SOCIAL MANAGEMENT REPORT (ESMR)</w:t>
            </w:r>
          </w:p>
        </w:tc>
      </w:tr>
      <w:tr w:rsidR="00232DCD" w:rsidRPr="007C0236" w14:paraId="027C3DC6" w14:textId="77777777" w:rsidTr="3EFF9F7B">
        <w:trPr>
          <w:trHeight w:val="236"/>
        </w:trPr>
        <w:tc>
          <w:tcPr>
            <w:tcW w:w="42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tcPr>
          <w:p w14:paraId="1FD0D410" w14:textId="77777777" w:rsidR="00232DCD" w:rsidRPr="006F7063" w:rsidRDefault="00232DCD" w:rsidP="00844A93">
            <w:pPr>
              <w:rPr>
                <w:rFonts w:ascii="Arial" w:eastAsia="Times New Roman" w:hAnsi="Arial" w:cs="Arial"/>
                <w:b/>
                <w:bCs/>
                <w:sz w:val="22"/>
                <w:szCs w:val="22"/>
              </w:rPr>
            </w:pPr>
            <w:r w:rsidRPr="006F7063">
              <w:rPr>
                <w:rFonts w:ascii="Arial" w:eastAsia="Times New Roman" w:hAnsi="Arial" w:cs="Arial"/>
                <w:b/>
                <w:bCs/>
                <w:sz w:val="22"/>
                <w:szCs w:val="22"/>
              </w:rPr>
              <w:t>Operation Name:</w:t>
            </w:r>
          </w:p>
        </w:tc>
        <w:tc>
          <w:tcPr>
            <w:tcW w:w="569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296428C1" w14:textId="65C20044" w:rsidR="00232DCD" w:rsidRPr="007270EE" w:rsidRDefault="3EFF9F7B" w:rsidP="3EFF9F7B">
            <w:pPr>
              <w:rPr>
                <w:rFonts w:asciiTheme="majorHAnsi" w:eastAsiaTheme="majorEastAsia" w:hAnsiTheme="majorHAnsi" w:cstheme="majorBidi"/>
                <w:sz w:val="22"/>
                <w:szCs w:val="22"/>
              </w:rPr>
            </w:pPr>
            <w:r w:rsidRPr="3EFF9F7B">
              <w:rPr>
                <w:rFonts w:asciiTheme="majorHAnsi" w:eastAsiaTheme="majorEastAsia" w:hAnsiTheme="majorHAnsi" w:cstheme="majorBidi"/>
                <w:sz w:val="22"/>
                <w:szCs w:val="22"/>
              </w:rPr>
              <w:t>Additional Financing for George Price Highway Rehabilitation</w:t>
            </w:r>
          </w:p>
        </w:tc>
      </w:tr>
      <w:tr w:rsidR="005354FC" w:rsidRPr="007C0236" w14:paraId="6739CC92" w14:textId="77777777" w:rsidTr="3EFF9F7B">
        <w:trPr>
          <w:trHeight w:val="236"/>
        </w:trPr>
        <w:tc>
          <w:tcPr>
            <w:tcW w:w="42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tcPr>
          <w:p w14:paraId="735A773E" w14:textId="77777777" w:rsidR="005354FC" w:rsidRPr="006F7063" w:rsidRDefault="005354FC" w:rsidP="00844A93">
            <w:pPr>
              <w:rPr>
                <w:rFonts w:ascii="Arial" w:eastAsia="Times New Roman" w:hAnsi="Arial" w:cs="Arial"/>
                <w:b/>
                <w:bCs/>
                <w:sz w:val="22"/>
                <w:szCs w:val="22"/>
              </w:rPr>
            </w:pPr>
            <w:r w:rsidRPr="006F7063">
              <w:rPr>
                <w:rFonts w:ascii="Arial" w:eastAsia="Times New Roman" w:hAnsi="Arial" w:cs="Arial"/>
                <w:b/>
                <w:bCs/>
                <w:sz w:val="22"/>
                <w:szCs w:val="22"/>
              </w:rPr>
              <w:t>Operation Number:</w:t>
            </w:r>
          </w:p>
        </w:tc>
        <w:tc>
          <w:tcPr>
            <w:tcW w:w="569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709D8D12" w14:textId="77777777" w:rsidR="005354FC" w:rsidRPr="007270EE" w:rsidRDefault="0061724F" w:rsidP="00844A93">
            <w:pPr>
              <w:rPr>
                <w:rFonts w:asciiTheme="majorHAnsi" w:eastAsia="Times New Roman" w:hAnsiTheme="majorHAnsi" w:cs="Arial"/>
                <w:sz w:val="22"/>
                <w:szCs w:val="22"/>
              </w:rPr>
            </w:pPr>
            <w:r w:rsidRPr="007270EE">
              <w:rPr>
                <w:rFonts w:asciiTheme="majorHAnsi" w:eastAsia="Times New Roman" w:hAnsiTheme="majorHAnsi" w:cs="Arial"/>
                <w:sz w:val="22"/>
                <w:szCs w:val="22"/>
              </w:rPr>
              <w:t>BL-L1029</w:t>
            </w:r>
          </w:p>
        </w:tc>
      </w:tr>
      <w:tr w:rsidR="00232DCD" w:rsidRPr="007C0236" w14:paraId="0BB2B869" w14:textId="77777777" w:rsidTr="3EFF9F7B">
        <w:trPr>
          <w:trHeight w:val="357"/>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5B3D7" w:themeFill="accent1" w:themeFillTint="99"/>
            <w:tcMar>
              <w:top w:w="15" w:type="dxa"/>
              <w:left w:w="105" w:type="dxa"/>
              <w:bottom w:w="15" w:type="dxa"/>
              <w:right w:w="105" w:type="dxa"/>
            </w:tcMar>
          </w:tcPr>
          <w:p w14:paraId="2F69DF92" w14:textId="77777777" w:rsidR="00232DCD" w:rsidRPr="00966D25" w:rsidRDefault="005354FC" w:rsidP="00F356E8">
            <w:pPr>
              <w:pStyle w:val="ListParagraph"/>
              <w:numPr>
                <w:ilvl w:val="0"/>
                <w:numId w:val="13"/>
              </w:numPr>
              <w:ind w:left="318" w:hanging="318"/>
              <w:rPr>
                <w:rFonts w:ascii="Arial" w:eastAsia="Times New Roman" w:hAnsi="Arial" w:cs="Arial"/>
                <w:sz w:val="20"/>
                <w:szCs w:val="20"/>
              </w:rPr>
            </w:pPr>
            <w:r w:rsidRPr="00966D25">
              <w:rPr>
                <w:rFonts w:ascii="Arial" w:eastAsia="Times New Roman" w:hAnsi="Arial" w:cs="Arial"/>
                <w:b/>
                <w:bCs/>
                <w:sz w:val="27"/>
                <w:szCs w:val="27"/>
              </w:rPr>
              <w:t xml:space="preserve">Operation </w:t>
            </w:r>
            <w:r w:rsidR="00232DCD" w:rsidRPr="00966D25">
              <w:rPr>
                <w:rFonts w:ascii="Arial" w:eastAsia="Times New Roman" w:hAnsi="Arial" w:cs="Arial"/>
                <w:b/>
                <w:bCs/>
                <w:sz w:val="27"/>
                <w:szCs w:val="27"/>
              </w:rPr>
              <w:t>Details</w:t>
            </w:r>
          </w:p>
        </w:tc>
      </w:tr>
      <w:tr w:rsidR="00B01F04" w:rsidRPr="007C0236" w14:paraId="50B2DA31" w14:textId="77777777" w:rsidTr="3EFF9F7B">
        <w:trPr>
          <w:trHeight w:val="236"/>
        </w:trPr>
        <w:tc>
          <w:tcPr>
            <w:tcW w:w="42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hideMark/>
          </w:tcPr>
          <w:p w14:paraId="62595BD9" w14:textId="77777777" w:rsidR="00B01F04" w:rsidRPr="006F7063" w:rsidRDefault="00B01F04" w:rsidP="00844A93">
            <w:pPr>
              <w:rPr>
                <w:rFonts w:ascii="Arial" w:eastAsia="Times New Roman" w:hAnsi="Arial" w:cs="Arial"/>
                <w:b/>
                <w:bCs/>
                <w:sz w:val="22"/>
                <w:szCs w:val="22"/>
              </w:rPr>
            </w:pPr>
            <w:r w:rsidRPr="006F7063">
              <w:rPr>
                <w:rFonts w:ascii="Arial" w:eastAsia="Times New Roman" w:hAnsi="Arial" w:cs="Arial"/>
                <w:b/>
                <w:bCs/>
                <w:sz w:val="22"/>
                <w:szCs w:val="22"/>
              </w:rPr>
              <w:t>IDB Sector</w:t>
            </w:r>
          </w:p>
        </w:tc>
        <w:tc>
          <w:tcPr>
            <w:tcW w:w="569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hideMark/>
          </w:tcPr>
          <w:p w14:paraId="19258D85" w14:textId="77777777" w:rsidR="00B01F04" w:rsidRPr="007270EE" w:rsidRDefault="0061724F" w:rsidP="00844A93">
            <w:pPr>
              <w:rPr>
                <w:rFonts w:asciiTheme="majorHAnsi" w:eastAsia="Times New Roman" w:hAnsiTheme="majorHAnsi" w:cs="Arial"/>
                <w:sz w:val="22"/>
                <w:szCs w:val="22"/>
              </w:rPr>
            </w:pPr>
            <w:r w:rsidRPr="007270EE">
              <w:rPr>
                <w:rFonts w:asciiTheme="majorHAnsi" w:eastAsia="Times New Roman" w:hAnsiTheme="majorHAnsi" w:cs="Arial"/>
                <w:sz w:val="22"/>
                <w:szCs w:val="22"/>
              </w:rPr>
              <w:t>Transport</w:t>
            </w:r>
          </w:p>
        </w:tc>
      </w:tr>
      <w:tr w:rsidR="00B01F04" w:rsidRPr="007C0236" w14:paraId="63889804" w14:textId="77777777" w:rsidTr="3EFF9F7B">
        <w:trPr>
          <w:trHeight w:val="236"/>
        </w:trPr>
        <w:tc>
          <w:tcPr>
            <w:tcW w:w="42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hideMark/>
          </w:tcPr>
          <w:p w14:paraId="78697073" w14:textId="77777777" w:rsidR="00B01F04" w:rsidRPr="006F7063" w:rsidRDefault="00B01F04" w:rsidP="00844A93">
            <w:pPr>
              <w:rPr>
                <w:rFonts w:ascii="Arial" w:eastAsia="Times New Roman" w:hAnsi="Arial" w:cs="Arial"/>
                <w:b/>
                <w:bCs/>
                <w:sz w:val="22"/>
                <w:szCs w:val="22"/>
              </w:rPr>
            </w:pPr>
            <w:r w:rsidRPr="006F7063">
              <w:rPr>
                <w:rFonts w:ascii="Arial" w:eastAsia="Times New Roman" w:hAnsi="Arial" w:cs="Arial"/>
                <w:b/>
                <w:bCs/>
                <w:sz w:val="22"/>
                <w:szCs w:val="22"/>
              </w:rPr>
              <w:t>Type of Operation</w:t>
            </w:r>
          </w:p>
        </w:tc>
        <w:tc>
          <w:tcPr>
            <w:tcW w:w="569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hideMark/>
          </w:tcPr>
          <w:p w14:paraId="000BE624" w14:textId="77777777" w:rsidR="00B01F04" w:rsidRPr="007270EE" w:rsidRDefault="0061724F" w:rsidP="00844A93">
            <w:pPr>
              <w:rPr>
                <w:rFonts w:asciiTheme="majorHAnsi" w:eastAsia="Times New Roman" w:hAnsiTheme="majorHAnsi" w:cs="Arial"/>
                <w:sz w:val="22"/>
                <w:szCs w:val="22"/>
              </w:rPr>
            </w:pPr>
            <w:r w:rsidRPr="007270EE">
              <w:rPr>
                <w:rFonts w:asciiTheme="majorHAnsi" w:eastAsia="Times New Roman" w:hAnsiTheme="majorHAnsi" w:cs="Arial"/>
                <w:sz w:val="22"/>
                <w:szCs w:val="22"/>
              </w:rPr>
              <w:t>Investment Loan – Specific investment Operation</w:t>
            </w:r>
            <w:r w:rsidR="00BF5F87">
              <w:rPr>
                <w:rFonts w:asciiTheme="majorHAnsi" w:eastAsia="Times New Roman" w:hAnsiTheme="majorHAnsi" w:cs="Arial"/>
                <w:sz w:val="22"/>
                <w:szCs w:val="22"/>
              </w:rPr>
              <w:t xml:space="preserve"> (ESP)</w:t>
            </w:r>
          </w:p>
        </w:tc>
      </w:tr>
      <w:tr w:rsidR="00B01F04" w:rsidRPr="007C0236" w14:paraId="7B37CD7F" w14:textId="77777777" w:rsidTr="3EFF9F7B">
        <w:trPr>
          <w:trHeight w:val="438"/>
        </w:trPr>
        <w:tc>
          <w:tcPr>
            <w:tcW w:w="42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tcPr>
          <w:p w14:paraId="0A3CC05A" w14:textId="77777777" w:rsidR="00B01F04" w:rsidRPr="006F7063" w:rsidRDefault="00394B4A" w:rsidP="005354FC">
            <w:pPr>
              <w:rPr>
                <w:rFonts w:ascii="Arial" w:eastAsia="Times New Roman" w:hAnsi="Arial" w:cs="Arial"/>
                <w:b/>
                <w:bCs/>
                <w:sz w:val="22"/>
                <w:szCs w:val="22"/>
              </w:rPr>
            </w:pPr>
            <w:r>
              <w:rPr>
                <w:rFonts w:ascii="Arial" w:eastAsia="Times New Roman" w:hAnsi="Arial" w:cs="Arial"/>
                <w:b/>
                <w:bCs/>
                <w:sz w:val="22"/>
                <w:szCs w:val="22"/>
              </w:rPr>
              <w:t xml:space="preserve">Environmental and Social </w:t>
            </w:r>
            <w:r w:rsidR="00B01F04" w:rsidRPr="006F7063">
              <w:rPr>
                <w:rFonts w:ascii="Arial" w:eastAsia="Times New Roman" w:hAnsi="Arial" w:cs="Arial"/>
                <w:b/>
                <w:bCs/>
                <w:sz w:val="22"/>
                <w:szCs w:val="22"/>
              </w:rPr>
              <w:t>Impact Categorization</w:t>
            </w:r>
          </w:p>
        </w:tc>
        <w:tc>
          <w:tcPr>
            <w:tcW w:w="569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57ABF737" w14:textId="77777777" w:rsidR="00B01F04" w:rsidRPr="007270EE" w:rsidRDefault="0061724F" w:rsidP="00844A93">
            <w:pPr>
              <w:rPr>
                <w:rFonts w:asciiTheme="majorHAnsi" w:eastAsia="Times New Roman" w:hAnsiTheme="majorHAnsi" w:cs="Arial"/>
                <w:sz w:val="22"/>
                <w:szCs w:val="22"/>
              </w:rPr>
            </w:pPr>
            <w:r w:rsidRPr="007270EE">
              <w:rPr>
                <w:rFonts w:asciiTheme="majorHAnsi" w:eastAsia="Times New Roman" w:hAnsiTheme="majorHAnsi" w:cs="Arial"/>
                <w:sz w:val="22"/>
                <w:szCs w:val="22"/>
              </w:rPr>
              <w:t>B</w:t>
            </w:r>
          </w:p>
        </w:tc>
      </w:tr>
      <w:tr w:rsidR="00B01F04" w:rsidRPr="007C0236" w14:paraId="0BE70B2E" w14:textId="77777777" w:rsidTr="3EFF9F7B">
        <w:trPr>
          <w:trHeight w:val="216"/>
        </w:trPr>
        <w:tc>
          <w:tcPr>
            <w:tcW w:w="42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tcPr>
          <w:p w14:paraId="26D37D25" w14:textId="77777777" w:rsidR="00B01F04" w:rsidRPr="006F7063" w:rsidDel="007813EB" w:rsidRDefault="00B01F04" w:rsidP="00844A93">
            <w:pPr>
              <w:rPr>
                <w:rFonts w:ascii="Arial" w:eastAsia="Times New Roman" w:hAnsi="Arial" w:cs="Arial"/>
                <w:b/>
                <w:bCs/>
                <w:sz w:val="22"/>
                <w:szCs w:val="22"/>
              </w:rPr>
            </w:pPr>
            <w:r w:rsidRPr="006F7063">
              <w:rPr>
                <w:rFonts w:ascii="Arial" w:eastAsia="Times New Roman" w:hAnsi="Arial" w:cs="Arial"/>
                <w:b/>
                <w:bCs/>
                <w:sz w:val="22"/>
                <w:szCs w:val="22"/>
              </w:rPr>
              <w:t>Disaster Risk Rating</w:t>
            </w:r>
          </w:p>
        </w:tc>
        <w:tc>
          <w:tcPr>
            <w:tcW w:w="569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1A74BF99" w14:textId="77777777" w:rsidR="00B01F04" w:rsidRPr="007270EE" w:rsidRDefault="00675588" w:rsidP="00844A93">
            <w:pPr>
              <w:rPr>
                <w:rFonts w:asciiTheme="majorHAnsi" w:eastAsia="Times New Roman" w:hAnsiTheme="majorHAnsi" w:cs="Arial"/>
                <w:sz w:val="22"/>
                <w:szCs w:val="22"/>
              </w:rPr>
            </w:pPr>
            <w:r>
              <w:rPr>
                <w:rFonts w:asciiTheme="majorHAnsi" w:eastAsia="Times New Roman" w:hAnsiTheme="majorHAnsi" w:cs="Arial"/>
                <w:sz w:val="22"/>
                <w:szCs w:val="22"/>
              </w:rPr>
              <w:t>Moderate</w:t>
            </w:r>
          </w:p>
        </w:tc>
      </w:tr>
      <w:tr w:rsidR="00B01F04" w:rsidRPr="007C0236" w14:paraId="528ACB28" w14:textId="77777777" w:rsidTr="3EFF9F7B">
        <w:trPr>
          <w:trHeight w:val="216"/>
        </w:trPr>
        <w:tc>
          <w:tcPr>
            <w:tcW w:w="42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tcPr>
          <w:p w14:paraId="39A498D6" w14:textId="77777777" w:rsidR="00B01F04" w:rsidRPr="006F7063" w:rsidRDefault="00B01F04" w:rsidP="00844A93">
            <w:pPr>
              <w:rPr>
                <w:rFonts w:ascii="Arial" w:eastAsia="Times New Roman" w:hAnsi="Arial" w:cs="Arial"/>
                <w:b/>
                <w:bCs/>
                <w:sz w:val="22"/>
                <w:szCs w:val="22"/>
              </w:rPr>
            </w:pPr>
            <w:r w:rsidRPr="006F7063">
              <w:rPr>
                <w:rFonts w:ascii="Arial" w:eastAsia="Times New Roman" w:hAnsi="Arial" w:cs="Arial"/>
                <w:b/>
                <w:bCs/>
                <w:sz w:val="22"/>
                <w:szCs w:val="22"/>
              </w:rPr>
              <w:t>Borrower</w:t>
            </w:r>
          </w:p>
        </w:tc>
        <w:tc>
          <w:tcPr>
            <w:tcW w:w="569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7A881B43" w14:textId="77777777" w:rsidR="00B01F04" w:rsidRPr="007270EE" w:rsidRDefault="0061724F" w:rsidP="00844A93">
            <w:pPr>
              <w:rPr>
                <w:rFonts w:asciiTheme="majorHAnsi" w:eastAsia="Times New Roman" w:hAnsiTheme="majorHAnsi" w:cs="Arial"/>
                <w:sz w:val="22"/>
                <w:szCs w:val="22"/>
              </w:rPr>
            </w:pPr>
            <w:r w:rsidRPr="007270EE">
              <w:rPr>
                <w:rFonts w:asciiTheme="majorHAnsi" w:eastAsia="Times New Roman" w:hAnsiTheme="majorHAnsi" w:cs="Arial"/>
                <w:sz w:val="22"/>
                <w:szCs w:val="22"/>
              </w:rPr>
              <w:t>Government of Belize</w:t>
            </w:r>
          </w:p>
        </w:tc>
      </w:tr>
      <w:tr w:rsidR="008E7356" w:rsidRPr="007C0236" w14:paraId="33735647" w14:textId="77777777" w:rsidTr="3EFF9F7B">
        <w:trPr>
          <w:trHeight w:val="216"/>
        </w:trPr>
        <w:tc>
          <w:tcPr>
            <w:tcW w:w="42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tcPr>
          <w:p w14:paraId="31A09413" w14:textId="77777777" w:rsidR="008E7356" w:rsidRPr="006F7063" w:rsidRDefault="008E7356" w:rsidP="00844A93">
            <w:pPr>
              <w:rPr>
                <w:rFonts w:ascii="Arial" w:eastAsia="Times New Roman" w:hAnsi="Arial" w:cs="Arial"/>
                <w:b/>
                <w:bCs/>
                <w:sz w:val="22"/>
                <w:szCs w:val="22"/>
              </w:rPr>
            </w:pPr>
            <w:r w:rsidRPr="006F7063">
              <w:rPr>
                <w:rFonts w:ascii="Arial" w:eastAsia="Times New Roman" w:hAnsi="Arial" w:cs="Arial"/>
                <w:b/>
                <w:bCs/>
                <w:sz w:val="22"/>
                <w:szCs w:val="22"/>
              </w:rPr>
              <w:t>Executing Agency</w:t>
            </w:r>
          </w:p>
        </w:tc>
        <w:tc>
          <w:tcPr>
            <w:tcW w:w="569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785D6EDF" w14:textId="77777777" w:rsidR="008E7356" w:rsidRPr="007270EE" w:rsidRDefault="0061724F" w:rsidP="00844A93">
            <w:pPr>
              <w:rPr>
                <w:rFonts w:asciiTheme="majorHAnsi" w:eastAsia="Times New Roman" w:hAnsiTheme="majorHAnsi" w:cs="Arial"/>
                <w:sz w:val="22"/>
                <w:szCs w:val="22"/>
              </w:rPr>
            </w:pPr>
            <w:r w:rsidRPr="007270EE">
              <w:rPr>
                <w:rFonts w:asciiTheme="majorHAnsi" w:eastAsia="Times New Roman" w:hAnsiTheme="majorHAnsi" w:cs="Arial"/>
                <w:sz w:val="22"/>
                <w:szCs w:val="22"/>
              </w:rPr>
              <w:t>Ministry of Works (MOW)</w:t>
            </w:r>
          </w:p>
        </w:tc>
      </w:tr>
      <w:tr w:rsidR="00B01F04" w:rsidRPr="007C0236" w14:paraId="3C76C5F6" w14:textId="77777777" w:rsidTr="3EFF9F7B">
        <w:trPr>
          <w:trHeight w:val="236"/>
        </w:trPr>
        <w:tc>
          <w:tcPr>
            <w:tcW w:w="42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tcPr>
          <w:p w14:paraId="6AC19F9B" w14:textId="77777777" w:rsidR="00B01F04" w:rsidRPr="006F7063" w:rsidRDefault="00B01F04" w:rsidP="00844A93">
            <w:pPr>
              <w:rPr>
                <w:rFonts w:ascii="Arial" w:eastAsia="Times New Roman" w:hAnsi="Arial" w:cs="Arial"/>
                <w:b/>
                <w:bCs/>
                <w:sz w:val="22"/>
                <w:szCs w:val="22"/>
              </w:rPr>
            </w:pPr>
            <w:r w:rsidRPr="006F7063">
              <w:rPr>
                <w:rFonts w:ascii="Arial" w:eastAsia="Times New Roman" w:hAnsi="Arial" w:cs="Arial"/>
                <w:b/>
                <w:bCs/>
                <w:sz w:val="22"/>
                <w:szCs w:val="22"/>
              </w:rPr>
              <w:t>IDB Loan US$ (and total project cost)</w:t>
            </w:r>
          </w:p>
        </w:tc>
        <w:tc>
          <w:tcPr>
            <w:tcW w:w="569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2114F7E5" w14:textId="692FDF84" w:rsidR="00B01F04" w:rsidRPr="007270EE" w:rsidRDefault="3EFF9F7B" w:rsidP="3EFF9F7B">
            <w:pPr>
              <w:rPr>
                <w:rFonts w:asciiTheme="majorHAnsi" w:eastAsiaTheme="majorEastAsia" w:hAnsiTheme="majorHAnsi" w:cstheme="majorBidi"/>
                <w:sz w:val="22"/>
                <w:szCs w:val="22"/>
              </w:rPr>
            </w:pPr>
            <w:r w:rsidRPr="3EFF9F7B">
              <w:rPr>
                <w:rFonts w:asciiTheme="majorHAnsi" w:eastAsiaTheme="majorEastAsia" w:hAnsiTheme="majorHAnsi" w:cstheme="majorBidi"/>
                <w:sz w:val="22"/>
                <w:szCs w:val="22"/>
              </w:rPr>
              <w:t>US$7 million (this is an additional loan to the US$27 BL-L1019 million project already approved)</w:t>
            </w:r>
          </w:p>
        </w:tc>
      </w:tr>
      <w:tr w:rsidR="00B01F04" w:rsidRPr="007C0236" w14:paraId="5D37E2F9" w14:textId="77777777" w:rsidTr="3EFF9F7B">
        <w:trPr>
          <w:trHeight w:val="236"/>
        </w:trPr>
        <w:tc>
          <w:tcPr>
            <w:tcW w:w="42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tcPr>
          <w:p w14:paraId="339549EE" w14:textId="77777777" w:rsidR="00B01F04" w:rsidRPr="006F7063" w:rsidRDefault="00D56917" w:rsidP="00844A93">
            <w:pPr>
              <w:rPr>
                <w:rFonts w:ascii="Arial" w:eastAsia="Times New Roman" w:hAnsi="Arial" w:cs="Arial"/>
                <w:b/>
                <w:bCs/>
                <w:sz w:val="22"/>
                <w:szCs w:val="22"/>
              </w:rPr>
            </w:pPr>
            <w:r w:rsidRPr="006F7063">
              <w:rPr>
                <w:rFonts w:ascii="Arial" w:eastAsia="Times New Roman" w:hAnsi="Arial" w:cs="Arial"/>
                <w:b/>
                <w:bCs/>
                <w:sz w:val="22"/>
                <w:szCs w:val="22"/>
              </w:rPr>
              <w:t xml:space="preserve">Applicable </w:t>
            </w:r>
            <w:r w:rsidR="00B01F04" w:rsidRPr="006F7063">
              <w:rPr>
                <w:rFonts w:ascii="Arial" w:eastAsia="Times New Roman" w:hAnsi="Arial" w:cs="Arial"/>
                <w:b/>
                <w:bCs/>
                <w:sz w:val="22"/>
                <w:szCs w:val="22"/>
              </w:rPr>
              <w:t>Policies</w:t>
            </w:r>
            <w:r w:rsidR="0047677D" w:rsidRPr="006F7063">
              <w:rPr>
                <w:rFonts w:ascii="Arial" w:eastAsia="Times New Roman" w:hAnsi="Arial" w:cs="Arial"/>
                <w:b/>
                <w:bCs/>
                <w:sz w:val="22"/>
                <w:szCs w:val="22"/>
              </w:rPr>
              <w:t>/Directives</w:t>
            </w:r>
            <w:r w:rsidR="00B01F04" w:rsidRPr="006F7063">
              <w:rPr>
                <w:rFonts w:ascii="Arial" w:eastAsia="Times New Roman" w:hAnsi="Arial" w:cs="Arial"/>
                <w:b/>
                <w:bCs/>
                <w:sz w:val="22"/>
                <w:szCs w:val="22"/>
              </w:rPr>
              <w:t xml:space="preserve"> </w:t>
            </w:r>
          </w:p>
        </w:tc>
        <w:tc>
          <w:tcPr>
            <w:tcW w:w="569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014207F5" w14:textId="77777777" w:rsidR="00B01F04" w:rsidRPr="007270EE" w:rsidRDefault="0061724F" w:rsidP="00844A93">
            <w:pPr>
              <w:rPr>
                <w:rFonts w:asciiTheme="majorHAnsi" w:eastAsia="Times New Roman" w:hAnsiTheme="majorHAnsi" w:cs="Arial"/>
                <w:sz w:val="22"/>
                <w:szCs w:val="22"/>
              </w:rPr>
            </w:pPr>
            <w:r w:rsidRPr="007270EE">
              <w:rPr>
                <w:rFonts w:asciiTheme="majorHAnsi" w:eastAsia="Times New Roman" w:hAnsiTheme="majorHAnsi" w:cs="Arial"/>
                <w:sz w:val="22"/>
                <w:szCs w:val="22"/>
              </w:rPr>
              <w:t>OP-102; OP-704; OP-761; OP-710, OP-703 (B1. B2, B3, B4, B5, B6, B7, B.9, B10, B11</w:t>
            </w:r>
            <w:r w:rsidR="00FA6C35" w:rsidRPr="007270EE">
              <w:rPr>
                <w:rFonts w:asciiTheme="majorHAnsi" w:eastAsia="Times New Roman" w:hAnsiTheme="majorHAnsi" w:cs="Arial"/>
                <w:sz w:val="22"/>
                <w:szCs w:val="22"/>
              </w:rPr>
              <w:t xml:space="preserve">, </w:t>
            </w:r>
            <w:r w:rsidR="00A83F6E">
              <w:rPr>
                <w:rFonts w:asciiTheme="majorHAnsi" w:eastAsia="Times New Roman" w:hAnsiTheme="majorHAnsi" w:cs="Arial"/>
                <w:sz w:val="22"/>
                <w:szCs w:val="22"/>
              </w:rPr>
              <w:t xml:space="preserve">B12, </w:t>
            </w:r>
            <w:r w:rsidR="00FA6C35" w:rsidRPr="007270EE">
              <w:rPr>
                <w:rFonts w:asciiTheme="majorHAnsi" w:eastAsia="Times New Roman" w:hAnsiTheme="majorHAnsi" w:cs="Arial"/>
                <w:sz w:val="22"/>
                <w:szCs w:val="22"/>
              </w:rPr>
              <w:t>B17</w:t>
            </w:r>
            <w:r w:rsidRPr="007270EE">
              <w:rPr>
                <w:rFonts w:asciiTheme="majorHAnsi" w:eastAsia="Times New Roman" w:hAnsiTheme="majorHAnsi" w:cs="Arial"/>
                <w:sz w:val="22"/>
                <w:szCs w:val="22"/>
              </w:rPr>
              <w:t>)</w:t>
            </w:r>
          </w:p>
        </w:tc>
      </w:tr>
      <w:tr w:rsidR="00B3466C" w:rsidRPr="007C0236" w14:paraId="7ED4F9EA" w14:textId="77777777" w:rsidTr="3EFF9F7B">
        <w:trPr>
          <w:trHeight w:val="429"/>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5B3D7" w:themeFill="accent1" w:themeFillTint="99"/>
            <w:tcMar>
              <w:top w:w="15" w:type="dxa"/>
              <w:left w:w="105" w:type="dxa"/>
              <w:bottom w:w="15" w:type="dxa"/>
              <w:right w:w="105" w:type="dxa"/>
            </w:tcMar>
            <w:vAlign w:val="center"/>
            <w:hideMark/>
          </w:tcPr>
          <w:p w14:paraId="440B414D" w14:textId="77777777" w:rsidR="00B3466C" w:rsidRPr="00966D25" w:rsidRDefault="00B3466C" w:rsidP="00F356E8">
            <w:pPr>
              <w:pStyle w:val="ListParagraph"/>
              <w:numPr>
                <w:ilvl w:val="0"/>
                <w:numId w:val="13"/>
              </w:numPr>
              <w:ind w:left="318" w:hanging="318"/>
              <w:rPr>
                <w:rFonts w:ascii="Arial" w:eastAsia="Times New Roman" w:hAnsi="Arial" w:cs="Arial"/>
                <w:b/>
                <w:bCs/>
                <w:sz w:val="27"/>
                <w:szCs w:val="27"/>
              </w:rPr>
            </w:pPr>
            <w:r w:rsidRPr="00966D25">
              <w:rPr>
                <w:rFonts w:ascii="Arial" w:eastAsia="Times New Roman" w:hAnsi="Arial" w:cs="Arial"/>
                <w:b/>
                <w:bCs/>
                <w:sz w:val="27"/>
                <w:szCs w:val="27"/>
              </w:rPr>
              <w:t>Executive Summary</w:t>
            </w:r>
          </w:p>
        </w:tc>
      </w:tr>
      <w:tr w:rsidR="00B3466C" w:rsidRPr="007C0236" w14:paraId="145F0AA8" w14:textId="77777777" w:rsidTr="3EFF9F7B">
        <w:trPr>
          <w:trHeight w:val="780"/>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hideMark/>
          </w:tcPr>
          <w:p w14:paraId="4B848922" w14:textId="0B6989D7" w:rsidR="002B0D79" w:rsidRPr="003F1CA2" w:rsidRDefault="3EFF9F7B" w:rsidP="3EFF9F7B">
            <w:pPr>
              <w:pStyle w:val="Paragraph"/>
              <w:tabs>
                <w:tab w:val="clear" w:pos="851"/>
                <w:tab w:val="num" w:pos="810"/>
              </w:tabs>
              <w:outlineLvl w:val="1"/>
              <w:rPr>
                <w:rFonts w:asciiTheme="majorHAnsi" w:eastAsiaTheme="majorEastAsia" w:hAnsiTheme="majorHAnsi" w:cstheme="majorBidi"/>
                <w:lang w:val="en-US" w:eastAsia="en-US"/>
              </w:rPr>
            </w:pPr>
            <w:r w:rsidRPr="3EFF9F7B">
              <w:rPr>
                <w:rFonts w:asciiTheme="majorHAnsi" w:eastAsiaTheme="majorEastAsia" w:hAnsiTheme="majorHAnsi" w:cstheme="majorBidi"/>
                <w:lang w:val="en-US" w:eastAsia="en-US"/>
              </w:rPr>
              <w:t xml:space="preserve">This operation will provide additional financing for the rehabilitation of the George Price Highway (GPH) in Belize, specifically the sector Belmopan-Santa Elena (miles 47.9 to 67.3) of the GPH –subdivided </w:t>
            </w:r>
            <w:r w:rsidRPr="3EFF9F7B">
              <w:rPr>
                <w:rFonts w:asciiTheme="majorHAnsi" w:eastAsiaTheme="majorEastAsia" w:hAnsiTheme="majorHAnsi" w:cstheme="majorBidi"/>
                <w:noProof/>
                <w:lang w:val="en-US" w:eastAsia="en-US"/>
              </w:rPr>
              <w:t>in</w:t>
            </w:r>
            <w:r w:rsidRPr="3EFF9F7B">
              <w:rPr>
                <w:rFonts w:asciiTheme="majorHAnsi" w:eastAsiaTheme="majorEastAsia" w:hAnsiTheme="majorHAnsi" w:cstheme="majorBidi"/>
                <w:lang w:val="en-US" w:eastAsia="en-US"/>
              </w:rPr>
              <w:t xml:space="preserve"> three sections– financed with operation BL-L1019, whose construction started in April 2018. This is an existing paved road and the works are expected to be done mainly within the existing right of way, </w:t>
            </w:r>
            <w:proofErr w:type="gramStart"/>
            <w:r w:rsidRPr="3EFF9F7B">
              <w:rPr>
                <w:rFonts w:asciiTheme="majorHAnsi" w:eastAsiaTheme="majorEastAsia" w:hAnsiTheme="majorHAnsi" w:cstheme="majorBidi"/>
                <w:lang w:val="en-US" w:eastAsia="en-US"/>
              </w:rPr>
              <w:t>with the exception of</w:t>
            </w:r>
            <w:proofErr w:type="gramEnd"/>
            <w:r w:rsidRPr="3EFF9F7B">
              <w:rPr>
                <w:rFonts w:asciiTheme="majorHAnsi" w:eastAsiaTheme="majorEastAsia" w:hAnsiTheme="majorHAnsi" w:cstheme="majorBidi"/>
                <w:lang w:val="en-US" w:eastAsia="en-US"/>
              </w:rPr>
              <w:t xml:space="preserve"> the area near a bridge in Section 1 that needs widening. For additional details, see Annex D (Maps).</w:t>
            </w:r>
          </w:p>
          <w:p w14:paraId="368DB265" w14:textId="48FF86F1" w:rsidR="002B0D79" w:rsidRPr="003F1CA2" w:rsidRDefault="002B0D79" w:rsidP="002B0D79">
            <w:pPr>
              <w:pStyle w:val="Paragraph"/>
              <w:tabs>
                <w:tab w:val="clear" w:pos="851"/>
                <w:tab w:val="num" w:pos="810"/>
              </w:tabs>
              <w:outlineLvl w:val="1"/>
              <w:rPr>
                <w:rFonts w:asciiTheme="majorHAnsi" w:hAnsiTheme="majorHAnsi" w:cs="Arial"/>
                <w:szCs w:val="22"/>
                <w:lang w:val="en-US" w:eastAsia="en-US"/>
              </w:rPr>
            </w:pPr>
            <w:bookmarkStart w:id="1" w:name="_Hlk515489145"/>
            <w:r w:rsidRPr="003F1CA2">
              <w:rPr>
                <w:rFonts w:asciiTheme="majorHAnsi" w:hAnsiTheme="majorHAnsi" w:cs="Arial"/>
                <w:szCs w:val="22"/>
                <w:lang w:val="en-US" w:eastAsia="en-US"/>
              </w:rPr>
              <w:t xml:space="preserve">In accordance with the Environment and Safeguards Compliance Policy (OP-703), this operation has been classified as "Category B". </w:t>
            </w:r>
            <w:r w:rsidR="00272BDD" w:rsidRPr="003F1CA2">
              <w:rPr>
                <w:rFonts w:asciiTheme="majorHAnsi" w:hAnsiTheme="majorHAnsi" w:cs="Arial"/>
                <w:szCs w:val="22"/>
                <w:lang w:val="en-US" w:eastAsia="en-US"/>
              </w:rPr>
              <w:t>T</w:t>
            </w:r>
            <w:r w:rsidRPr="003F1CA2">
              <w:rPr>
                <w:rFonts w:asciiTheme="majorHAnsi" w:hAnsiTheme="majorHAnsi" w:cs="Arial"/>
                <w:szCs w:val="22"/>
                <w:lang w:val="en-US" w:eastAsia="en-US"/>
              </w:rPr>
              <w:t xml:space="preserve">he key environmental and social impacts identified are: (i) the involuntary </w:t>
            </w:r>
            <w:r w:rsidR="00CF7FFC" w:rsidRPr="003F1CA2">
              <w:rPr>
                <w:rFonts w:asciiTheme="majorHAnsi" w:hAnsiTheme="majorHAnsi" w:cs="Arial"/>
                <w:szCs w:val="22"/>
                <w:lang w:val="en-US" w:eastAsia="en-US"/>
              </w:rPr>
              <w:t xml:space="preserve">displacement </w:t>
            </w:r>
            <w:r w:rsidRPr="003F1CA2">
              <w:rPr>
                <w:rFonts w:asciiTheme="majorHAnsi" w:hAnsiTheme="majorHAnsi" w:cs="Arial"/>
                <w:szCs w:val="22"/>
                <w:lang w:val="en-US" w:eastAsia="en-US"/>
              </w:rPr>
              <w:t>of</w:t>
            </w:r>
            <w:r w:rsidR="00655C81" w:rsidRPr="003F1CA2">
              <w:rPr>
                <w:rFonts w:asciiTheme="majorHAnsi" w:hAnsiTheme="majorHAnsi" w:cs="Arial"/>
                <w:szCs w:val="22"/>
                <w:lang w:val="en-US" w:eastAsia="en-US"/>
              </w:rPr>
              <w:t xml:space="preserve"> </w:t>
            </w:r>
            <w:r w:rsidR="00CF7FFC" w:rsidRPr="003F1CA2">
              <w:rPr>
                <w:rFonts w:asciiTheme="majorHAnsi" w:hAnsiTheme="majorHAnsi" w:cs="Arial"/>
                <w:szCs w:val="22"/>
                <w:lang w:val="en-US" w:eastAsia="en-US"/>
              </w:rPr>
              <w:t xml:space="preserve">two </w:t>
            </w:r>
            <w:r w:rsidR="00655C81" w:rsidRPr="003F1CA2">
              <w:rPr>
                <w:rFonts w:asciiTheme="majorHAnsi" w:hAnsiTheme="majorHAnsi" w:cs="Arial"/>
                <w:szCs w:val="22"/>
                <w:lang w:val="en-US" w:eastAsia="en-US"/>
              </w:rPr>
              <w:t>residential dwelling</w:t>
            </w:r>
            <w:r w:rsidR="0044281B" w:rsidRPr="003F1CA2">
              <w:rPr>
                <w:rFonts w:asciiTheme="majorHAnsi" w:hAnsiTheme="majorHAnsi" w:cs="Arial"/>
                <w:szCs w:val="22"/>
                <w:lang w:val="en-US" w:eastAsia="en-US"/>
              </w:rPr>
              <w:t>s</w:t>
            </w:r>
            <w:r w:rsidR="00452918" w:rsidRPr="003F1CA2">
              <w:rPr>
                <w:rFonts w:asciiTheme="majorHAnsi" w:hAnsiTheme="majorHAnsi" w:cs="Arial"/>
                <w:szCs w:val="22"/>
                <w:lang w:val="en-US" w:eastAsia="en-US"/>
              </w:rPr>
              <w:t xml:space="preserve"> (one individual and one tenant family)</w:t>
            </w:r>
            <w:r w:rsidR="00FA6C35" w:rsidRPr="003F1CA2">
              <w:rPr>
                <w:rFonts w:asciiTheme="majorHAnsi" w:hAnsiTheme="majorHAnsi" w:cs="Arial"/>
                <w:szCs w:val="22"/>
                <w:lang w:val="en-US" w:eastAsia="en-US"/>
              </w:rPr>
              <w:t xml:space="preserve">, </w:t>
            </w:r>
            <w:r w:rsidRPr="003F1CA2">
              <w:rPr>
                <w:rFonts w:asciiTheme="majorHAnsi" w:hAnsiTheme="majorHAnsi" w:cs="Arial"/>
                <w:szCs w:val="22"/>
                <w:lang w:val="en-US" w:eastAsia="en-US"/>
              </w:rPr>
              <w:t xml:space="preserve">and </w:t>
            </w:r>
            <w:r w:rsidR="001172CC" w:rsidRPr="003F1CA2">
              <w:rPr>
                <w:rFonts w:asciiTheme="majorHAnsi" w:hAnsiTheme="majorHAnsi" w:cs="Arial"/>
                <w:szCs w:val="22"/>
                <w:lang w:val="en-US" w:eastAsia="en-US"/>
              </w:rPr>
              <w:t xml:space="preserve">the </w:t>
            </w:r>
            <w:r w:rsidRPr="003F1CA2">
              <w:rPr>
                <w:rFonts w:asciiTheme="majorHAnsi" w:hAnsiTheme="majorHAnsi" w:cs="Arial"/>
                <w:szCs w:val="22"/>
                <w:lang w:val="en-US" w:eastAsia="en-US"/>
              </w:rPr>
              <w:t xml:space="preserve">partial affectation of </w:t>
            </w:r>
            <w:r w:rsidR="001172CC" w:rsidRPr="003F1CA2">
              <w:rPr>
                <w:rFonts w:asciiTheme="majorHAnsi" w:hAnsiTheme="majorHAnsi" w:cs="Arial"/>
                <w:szCs w:val="22"/>
                <w:lang w:val="en-US" w:eastAsia="en-US"/>
              </w:rPr>
              <w:t xml:space="preserve">parcels of </w:t>
            </w:r>
            <w:r w:rsidRPr="003F1CA2">
              <w:rPr>
                <w:rFonts w:asciiTheme="majorHAnsi" w:hAnsiTheme="majorHAnsi" w:cs="Arial"/>
                <w:szCs w:val="22"/>
                <w:lang w:val="en-US" w:eastAsia="en-US"/>
              </w:rPr>
              <w:t>land</w:t>
            </w:r>
            <w:r w:rsidR="005E5895" w:rsidRPr="009276AE">
              <w:rPr>
                <w:rFonts w:asciiTheme="majorHAnsi" w:hAnsiTheme="majorHAnsi" w:cs="Arial"/>
                <w:szCs w:val="22"/>
                <w:lang w:val="en-US" w:eastAsia="en-US"/>
              </w:rPr>
              <w:t xml:space="preserve"> along the right of way</w:t>
            </w:r>
            <w:r w:rsidR="00655C81" w:rsidRPr="003F1CA2">
              <w:rPr>
                <w:rFonts w:asciiTheme="majorHAnsi" w:hAnsiTheme="majorHAnsi" w:cs="Arial"/>
                <w:szCs w:val="22"/>
                <w:lang w:val="en-US" w:eastAsia="en-US"/>
              </w:rPr>
              <w:t xml:space="preserve">, </w:t>
            </w:r>
            <w:r w:rsidR="001172CC" w:rsidRPr="003F1CA2">
              <w:rPr>
                <w:rFonts w:asciiTheme="majorHAnsi" w:hAnsiTheme="majorHAnsi" w:cs="Arial"/>
                <w:szCs w:val="22"/>
                <w:lang w:val="en-US" w:eastAsia="en-US"/>
              </w:rPr>
              <w:t xml:space="preserve">impacts to </w:t>
            </w:r>
            <w:r w:rsidR="00655C81" w:rsidRPr="003F1CA2">
              <w:rPr>
                <w:rFonts w:asciiTheme="majorHAnsi" w:hAnsiTheme="majorHAnsi" w:cs="Arial"/>
                <w:szCs w:val="22"/>
                <w:lang w:val="en-US" w:eastAsia="en-US"/>
              </w:rPr>
              <w:t>assets</w:t>
            </w:r>
            <w:r w:rsidR="005E5895">
              <w:rPr>
                <w:rFonts w:asciiTheme="majorHAnsi" w:hAnsiTheme="majorHAnsi" w:cs="Arial"/>
                <w:szCs w:val="22"/>
                <w:lang w:val="en-US" w:eastAsia="en-US"/>
              </w:rPr>
              <w:t>, and</w:t>
            </w:r>
            <w:r w:rsidR="00655C81" w:rsidRPr="003F1CA2">
              <w:rPr>
                <w:rFonts w:asciiTheme="majorHAnsi" w:hAnsiTheme="majorHAnsi" w:cs="Arial"/>
                <w:szCs w:val="22"/>
                <w:lang w:val="en-US" w:eastAsia="en-US"/>
              </w:rPr>
              <w:t xml:space="preserve"> accessibility </w:t>
            </w:r>
            <w:r w:rsidRPr="003F1CA2">
              <w:rPr>
                <w:rFonts w:asciiTheme="majorHAnsi" w:hAnsiTheme="majorHAnsi" w:cs="Arial"/>
                <w:szCs w:val="22"/>
                <w:lang w:val="en-US" w:eastAsia="en-US"/>
              </w:rPr>
              <w:t xml:space="preserve">; (ii) risks associated to occupational and community health and safety, </w:t>
            </w:r>
            <w:r w:rsidR="005E5895">
              <w:rPr>
                <w:rFonts w:asciiTheme="majorHAnsi" w:hAnsiTheme="majorHAnsi" w:cs="Arial"/>
                <w:szCs w:val="22"/>
                <w:lang w:val="en-US" w:eastAsia="en-US"/>
              </w:rPr>
              <w:t xml:space="preserve">which includes </w:t>
            </w:r>
            <w:r w:rsidRPr="003F1CA2">
              <w:rPr>
                <w:rFonts w:asciiTheme="majorHAnsi" w:hAnsiTheme="majorHAnsi" w:cs="Arial"/>
                <w:szCs w:val="22"/>
                <w:lang w:val="en-US" w:eastAsia="en-US"/>
              </w:rPr>
              <w:t>labor relations and the interactions of workers with the local population</w:t>
            </w:r>
            <w:r w:rsidR="00272BDD" w:rsidRPr="003F1CA2">
              <w:rPr>
                <w:rFonts w:asciiTheme="majorHAnsi" w:hAnsiTheme="majorHAnsi" w:cs="Arial"/>
                <w:szCs w:val="22"/>
                <w:lang w:val="en-US" w:eastAsia="en-US"/>
              </w:rPr>
              <w:t xml:space="preserve">, </w:t>
            </w:r>
            <w:r w:rsidR="004F79A9" w:rsidRPr="003F1CA2">
              <w:rPr>
                <w:rFonts w:asciiTheme="majorHAnsi" w:hAnsiTheme="majorHAnsi" w:cs="Arial"/>
                <w:szCs w:val="22"/>
                <w:lang w:val="en-US" w:eastAsia="en-US"/>
              </w:rPr>
              <w:t xml:space="preserve">which involve </w:t>
            </w:r>
            <w:r w:rsidR="00272BDD" w:rsidRPr="003F1CA2">
              <w:rPr>
                <w:rFonts w:asciiTheme="majorHAnsi" w:hAnsiTheme="majorHAnsi" w:cs="Arial"/>
                <w:szCs w:val="22"/>
                <w:lang w:val="en-US" w:eastAsia="en-US"/>
              </w:rPr>
              <w:t xml:space="preserve">the risk of </w:t>
            </w:r>
            <w:r w:rsidR="00853E32" w:rsidRPr="003F1CA2">
              <w:rPr>
                <w:rFonts w:asciiTheme="majorHAnsi" w:hAnsiTheme="majorHAnsi" w:cs="Arial"/>
                <w:szCs w:val="22"/>
                <w:lang w:val="en-US" w:eastAsia="en-US"/>
              </w:rPr>
              <w:t xml:space="preserve">potential </w:t>
            </w:r>
            <w:r w:rsidR="00272BDD" w:rsidRPr="003F1CA2">
              <w:rPr>
                <w:rFonts w:asciiTheme="majorHAnsi" w:hAnsiTheme="majorHAnsi" w:cs="Arial"/>
                <w:szCs w:val="22"/>
                <w:lang w:val="en-US" w:eastAsia="en-US"/>
              </w:rPr>
              <w:t>sexual harassment</w:t>
            </w:r>
            <w:r w:rsidR="005E5895">
              <w:rPr>
                <w:rFonts w:asciiTheme="majorHAnsi" w:hAnsiTheme="majorHAnsi" w:cs="Arial"/>
                <w:szCs w:val="22"/>
                <w:lang w:val="en-US" w:eastAsia="en-US"/>
              </w:rPr>
              <w:t>,</w:t>
            </w:r>
            <w:r w:rsidR="005E5895" w:rsidRPr="00DA1379">
              <w:rPr>
                <w:rFonts w:asciiTheme="majorHAnsi" w:hAnsiTheme="majorHAnsi" w:cs="Arial"/>
                <w:szCs w:val="22"/>
                <w:lang w:val="en-US" w:eastAsia="en-US"/>
              </w:rPr>
              <w:t xml:space="preserve"> as well as road safety;</w:t>
            </w:r>
            <w:r w:rsidR="005C6A5C" w:rsidRPr="003F1CA2">
              <w:rPr>
                <w:rFonts w:asciiTheme="majorHAnsi" w:hAnsiTheme="majorHAnsi" w:cs="Arial"/>
                <w:szCs w:val="22"/>
                <w:lang w:val="en-US" w:eastAsia="en-US"/>
              </w:rPr>
              <w:t xml:space="preserve"> </w:t>
            </w:r>
            <w:r w:rsidR="00CF7FFC" w:rsidRPr="003F1CA2">
              <w:rPr>
                <w:rFonts w:asciiTheme="majorHAnsi" w:hAnsiTheme="majorHAnsi" w:cs="Arial"/>
                <w:szCs w:val="22"/>
                <w:lang w:val="en-US" w:eastAsia="en-US"/>
              </w:rPr>
              <w:t xml:space="preserve">and </w:t>
            </w:r>
            <w:r w:rsidR="005C6A5C" w:rsidRPr="003F1CA2">
              <w:rPr>
                <w:rFonts w:asciiTheme="majorHAnsi" w:hAnsiTheme="majorHAnsi" w:cs="Arial"/>
                <w:szCs w:val="22"/>
                <w:lang w:val="en-US" w:eastAsia="en-US"/>
              </w:rPr>
              <w:t>(i</w:t>
            </w:r>
            <w:r w:rsidR="005E5895">
              <w:rPr>
                <w:rFonts w:asciiTheme="majorHAnsi" w:hAnsiTheme="majorHAnsi" w:cs="Arial"/>
                <w:szCs w:val="22"/>
                <w:lang w:val="en-US" w:eastAsia="en-US"/>
              </w:rPr>
              <w:t>ii</w:t>
            </w:r>
            <w:r w:rsidR="005C6A5C" w:rsidRPr="003F1CA2">
              <w:rPr>
                <w:rFonts w:asciiTheme="majorHAnsi" w:hAnsiTheme="majorHAnsi" w:cs="Arial"/>
                <w:szCs w:val="22"/>
                <w:lang w:val="en-US" w:eastAsia="en-US"/>
              </w:rPr>
              <w:t xml:space="preserve">) </w:t>
            </w:r>
            <w:r w:rsidRPr="003F1CA2">
              <w:rPr>
                <w:rFonts w:asciiTheme="majorHAnsi" w:hAnsiTheme="majorHAnsi" w:cs="Arial"/>
                <w:szCs w:val="22"/>
                <w:lang w:val="en-US" w:eastAsia="en-US"/>
              </w:rPr>
              <w:t>construction impacts typical of road rehabilitation in rural areas (noise, dust, erosion, waste management</w:t>
            </w:r>
            <w:r w:rsidR="003D713D" w:rsidRPr="003F1CA2">
              <w:rPr>
                <w:rFonts w:asciiTheme="majorHAnsi" w:hAnsiTheme="majorHAnsi" w:cs="Arial"/>
                <w:szCs w:val="22"/>
                <w:lang w:val="en-US" w:eastAsia="en-US"/>
              </w:rPr>
              <w:t>,</w:t>
            </w:r>
            <w:r w:rsidRPr="003F1CA2">
              <w:rPr>
                <w:rFonts w:asciiTheme="majorHAnsi" w:hAnsiTheme="majorHAnsi" w:cs="Arial"/>
                <w:szCs w:val="22"/>
                <w:lang w:val="en-US" w:eastAsia="en-US"/>
              </w:rPr>
              <w:t xml:space="preserve"> etc</w:t>
            </w:r>
            <w:r w:rsidR="007D59D6" w:rsidRPr="003F1CA2">
              <w:rPr>
                <w:rFonts w:asciiTheme="majorHAnsi" w:hAnsiTheme="majorHAnsi" w:cs="Arial"/>
                <w:szCs w:val="22"/>
                <w:lang w:val="en-US" w:eastAsia="en-US"/>
              </w:rPr>
              <w:t>.</w:t>
            </w:r>
            <w:r w:rsidRPr="003F1CA2">
              <w:rPr>
                <w:rFonts w:asciiTheme="majorHAnsi" w:hAnsiTheme="majorHAnsi" w:cs="Arial"/>
                <w:szCs w:val="22"/>
                <w:lang w:val="en-US" w:eastAsia="en-US"/>
              </w:rPr>
              <w:t>).</w:t>
            </w:r>
            <w:r w:rsidR="00272BDD" w:rsidRPr="003F1CA2">
              <w:rPr>
                <w:rFonts w:asciiTheme="majorHAnsi" w:hAnsiTheme="majorHAnsi" w:cs="Arial"/>
                <w:szCs w:val="22"/>
                <w:lang w:val="en-US" w:eastAsia="en-US"/>
              </w:rPr>
              <w:t xml:space="preserve"> </w:t>
            </w:r>
            <w:r w:rsidR="00872D47" w:rsidRPr="003F1CA2">
              <w:rPr>
                <w:rFonts w:asciiTheme="majorHAnsi" w:hAnsiTheme="majorHAnsi" w:cs="Arial"/>
                <w:szCs w:val="22"/>
                <w:lang w:val="en-US" w:eastAsia="en-US"/>
              </w:rPr>
              <w:t>These are considered mostly local and short-term impacts and for which effective mitigation measures are readily available</w:t>
            </w:r>
            <w:r w:rsidR="001172CC" w:rsidRPr="003F1CA2">
              <w:rPr>
                <w:rFonts w:asciiTheme="majorHAnsi" w:hAnsiTheme="majorHAnsi" w:cs="Arial"/>
                <w:szCs w:val="22"/>
                <w:lang w:val="en-US" w:eastAsia="en-US"/>
              </w:rPr>
              <w:t>.</w:t>
            </w:r>
          </w:p>
          <w:p w14:paraId="0A98BCAD" w14:textId="18AFC114" w:rsidR="00443912" w:rsidRPr="00091A20" w:rsidRDefault="002B0D79" w:rsidP="3EFF9F7B">
            <w:pPr>
              <w:jc w:val="both"/>
              <w:rPr>
                <w:rFonts w:asciiTheme="majorHAnsi" w:eastAsiaTheme="majorEastAsia" w:hAnsiTheme="majorHAnsi" w:cstheme="majorBidi"/>
                <w:sz w:val="22"/>
                <w:szCs w:val="22"/>
              </w:rPr>
            </w:pPr>
            <w:r w:rsidRPr="3EFF9F7B">
              <w:rPr>
                <w:rFonts w:asciiTheme="majorHAnsi" w:eastAsiaTheme="majorEastAsia" w:hAnsiTheme="majorHAnsi" w:cstheme="majorBidi"/>
                <w:spacing w:val="-4"/>
                <w:sz w:val="22"/>
                <w:szCs w:val="22"/>
              </w:rPr>
              <w:t xml:space="preserve">An Environmental and Social Impact </w:t>
            </w:r>
            <w:r w:rsidR="00475A9D" w:rsidRPr="3EFF9F7B">
              <w:rPr>
                <w:rFonts w:asciiTheme="majorHAnsi" w:eastAsiaTheme="majorEastAsia" w:hAnsiTheme="majorHAnsi" w:cstheme="majorBidi"/>
                <w:spacing w:val="-4"/>
                <w:sz w:val="22"/>
                <w:szCs w:val="22"/>
              </w:rPr>
              <w:t xml:space="preserve">Assessment </w:t>
            </w:r>
            <w:r w:rsidRPr="3EFF9F7B">
              <w:rPr>
                <w:rFonts w:asciiTheme="majorHAnsi" w:eastAsiaTheme="majorEastAsia" w:hAnsiTheme="majorHAnsi" w:cstheme="majorBidi"/>
                <w:spacing w:val="-4"/>
                <w:sz w:val="22"/>
                <w:szCs w:val="22"/>
              </w:rPr>
              <w:t xml:space="preserve">(ESIA) and Environmental and Social Management Plan (ESMP) </w:t>
            </w:r>
            <w:r w:rsidR="005E5895" w:rsidRPr="3EFF9F7B">
              <w:rPr>
                <w:rFonts w:asciiTheme="majorHAnsi" w:eastAsiaTheme="majorEastAsia" w:hAnsiTheme="majorHAnsi" w:cstheme="majorBidi"/>
                <w:spacing w:val="-4"/>
                <w:sz w:val="22"/>
                <w:szCs w:val="22"/>
              </w:rPr>
              <w:t xml:space="preserve">were </w:t>
            </w:r>
            <w:r w:rsidRPr="3EFF9F7B">
              <w:rPr>
                <w:rFonts w:asciiTheme="majorHAnsi" w:eastAsiaTheme="majorEastAsia" w:hAnsiTheme="majorHAnsi" w:cstheme="majorBidi"/>
                <w:spacing w:val="-4"/>
                <w:sz w:val="22"/>
                <w:szCs w:val="22"/>
              </w:rPr>
              <w:t xml:space="preserve">prepared in 2014 for the entire length of the GPH Rehabilitation (four </w:t>
            </w:r>
            <w:r w:rsidR="00DA77C4" w:rsidRPr="3EFF9F7B">
              <w:rPr>
                <w:rFonts w:asciiTheme="majorHAnsi" w:eastAsiaTheme="majorEastAsia" w:hAnsiTheme="majorHAnsi" w:cstheme="majorBidi"/>
                <w:spacing w:val="-4"/>
                <w:sz w:val="22"/>
                <w:szCs w:val="22"/>
              </w:rPr>
              <w:t>sections</w:t>
            </w:r>
            <w:r w:rsidRPr="3EFF9F7B">
              <w:rPr>
                <w:rFonts w:asciiTheme="majorHAnsi" w:eastAsiaTheme="majorEastAsia" w:hAnsiTheme="majorHAnsi" w:cstheme="majorBidi"/>
                <w:spacing w:val="-4"/>
                <w:sz w:val="22"/>
                <w:szCs w:val="22"/>
              </w:rPr>
              <w:t xml:space="preserve">), including the sections to be financed in this </w:t>
            </w:r>
            <w:r w:rsidR="00722751" w:rsidRPr="3EFF9F7B">
              <w:rPr>
                <w:rFonts w:asciiTheme="majorHAnsi" w:eastAsiaTheme="majorEastAsia" w:hAnsiTheme="majorHAnsi" w:cstheme="majorBidi"/>
                <w:spacing w:val="-4"/>
                <w:sz w:val="22"/>
                <w:szCs w:val="22"/>
              </w:rPr>
              <w:t xml:space="preserve">additional loan </w:t>
            </w:r>
            <w:r w:rsidRPr="3EFF9F7B">
              <w:rPr>
                <w:rFonts w:asciiTheme="majorHAnsi" w:eastAsiaTheme="majorEastAsia" w:hAnsiTheme="majorHAnsi" w:cstheme="majorBidi"/>
                <w:spacing w:val="-4"/>
                <w:sz w:val="22"/>
                <w:szCs w:val="22"/>
              </w:rPr>
              <w:t>(se</w:t>
            </w:r>
            <w:r w:rsidR="007268B7" w:rsidRPr="3EFF9F7B">
              <w:rPr>
                <w:rFonts w:asciiTheme="majorHAnsi" w:eastAsiaTheme="majorEastAsia" w:hAnsiTheme="majorHAnsi" w:cstheme="majorBidi"/>
                <w:spacing w:val="-4"/>
                <w:sz w:val="22"/>
                <w:szCs w:val="22"/>
              </w:rPr>
              <w:t>ctions</w:t>
            </w:r>
            <w:r w:rsidRPr="3EFF9F7B">
              <w:rPr>
                <w:rFonts w:asciiTheme="majorHAnsi" w:eastAsiaTheme="majorEastAsia" w:hAnsiTheme="majorHAnsi" w:cstheme="majorBidi"/>
                <w:spacing w:val="-4"/>
                <w:sz w:val="22"/>
                <w:szCs w:val="22"/>
              </w:rPr>
              <w:t xml:space="preserve"> </w:t>
            </w:r>
            <w:r w:rsidR="007268B7" w:rsidRPr="3EFF9F7B">
              <w:rPr>
                <w:rFonts w:asciiTheme="majorHAnsi" w:eastAsiaTheme="majorEastAsia" w:hAnsiTheme="majorHAnsi" w:cstheme="majorBidi"/>
                <w:spacing w:val="-4"/>
                <w:sz w:val="22"/>
                <w:szCs w:val="22"/>
              </w:rPr>
              <w:t>I</w:t>
            </w:r>
            <w:r w:rsidRPr="3EFF9F7B">
              <w:rPr>
                <w:rFonts w:asciiTheme="majorHAnsi" w:eastAsiaTheme="majorEastAsia" w:hAnsiTheme="majorHAnsi" w:cstheme="majorBidi"/>
                <w:spacing w:val="-4"/>
                <w:sz w:val="22"/>
                <w:szCs w:val="22"/>
              </w:rPr>
              <w:t xml:space="preserve"> to </w:t>
            </w:r>
            <w:r w:rsidR="007268B7" w:rsidRPr="3EFF9F7B">
              <w:rPr>
                <w:rFonts w:asciiTheme="majorHAnsi" w:eastAsiaTheme="majorEastAsia" w:hAnsiTheme="majorHAnsi" w:cstheme="majorBidi"/>
                <w:spacing w:val="-4"/>
                <w:sz w:val="22"/>
                <w:szCs w:val="22"/>
              </w:rPr>
              <w:t>III</w:t>
            </w:r>
            <w:r w:rsidRPr="3EFF9F7B">
              <w:rPr>
                <w:rFonts w:asciiTheme="majorHAnsi" w:eastAsiaTheme="majorEastAsia" w:hAnsiTheme="majorHAnsi" w:cstheme="majorBidi"/>
                <w:spacing w:val="-4"/>
                <w:sz w:val="22"/>
                <w:szCs w:val="22"/>
              </w:rPr>
              <w:t xml:space="preserve">). However, since this time decisions related to the route have been taken, and final designs prepared. As a result, additional environmental and social management instruments </w:t>
            </w:r>
            <w:r w:rsidR="00B60AA8" w:rsidRPr="3EFF9F7B">
              <w:rPr>
                <w:rFonts w:asciiTheme="majorHAnsi" w:eastAsiaTheme="majorEastAsia" w:hAnsiTheme="majorHAnsi" w:cstheme="majorBidi"/>
                <w:spacing w:val="-4"/>
                <w:sz w:val="22"/>
                <w:szCs w:val="22"/>
              </w:rPr>
              <w:t>have been prepared</w:t>
            </w:r>
            <w:r w:rsidR="00722751" w:rsidRPr="3EFF9F7B">
              <w:rPr>
                <w:rFonts w:asciiTheme="majorHAnsi" w:eastAsiaTheme="majorEastAsia" w:hAnsiTheme="majorHAnsi" w:cstheme="majorBidi"/>
                <w:spacing w:val="-4"/>
                <w:sz w:val="22"/>
                <w:szCs w:val="22"/>
              </w:rPr>
              <w:t>:</w:t>
            </w:r>
            <w:r w:rsidR="001204D9" w:rsidRPr="3EFF9F7B">
              <w:rPr>
                <w:rFonts w:asciiTheme="majorHAnsi" w:eastAsiaTheme="majorEastAsia" w:hAnsiTheme="majorHAnsi" w:cstheme="majorBidi"/>
                <w:spacing w:val="-4"/>
                <w:sz w:val="22"/>
                <w:szCs w:val="22"/>
              </w:rPr>
              <w:t xml:space="preserve"> (i) an addendum to the ESIA; (ii) an updated ESMP; </w:t>
            </w:r>
            <w:r w:rsidRPr="3EFF9F7B">
              <w:rPr>
                <w:rFonts w:asciiTheme="majorHAnsi" w:eastAsiaTheme="majorEastAsia" w:hAnsiTheme="majorHAnsi" w:cstheme="majorBidi"/>
                <w:spacing w:val="-4"/>
                <w:sz w:val="22"/>
                <w:szCs w:val="22"/>
              </w:rPr>
              <w:t>(i</w:t>
            </w:r>
            <w:r w:rsidR="001204D9" w:rsidRPr="3EFF9F7B">
              <w:rPr>
                <w:rFonts w:asciiTheme="majorHAnsi" w:eastAsiaTheme="majorEastAsia" w:hAnsiTheme="majorHAnsi" w:cstheme="majorBidi"/>
                <w:spacing w:val="-4"/>
                <w:sz w:val="22"/>
                <w:szCs w:val="22"/>
              </w:rPr>
              <w:t>ii</w:t>
            </w:r>
            <w:r w:rsidRPr="3EFF9F7B">
              <w:rPr>
                <w:rFonts w:asciiTheme="majorHAnsi" w:eastAsiaTheme="majorEastAsia" w:hAnsiTheme="majorHAnsi" w:cstheme="majorBidi"/>
                <w:spacing w:val="-4"/>
                <w:sz w:val="22"/>
                <w:szCs w:val="22"/>
              </w:rPr>
              <w:t xml:space="preserve">) a resettlement and livelihoods restoration plan, (ii) a consultation </w:t>
            </w:r>
            <w:r w:rsidR="001204D9" w:rsidRPr="3EFF9F7B">
              <w:rPr>
                <w:rFonts w:asciiTheme="majorHAnsi" w:eastAsiaTheme="majorEastAsia" w:hAnsiTheme="majorHAnsi" w:cstheme="majorBidi"/>
                <w:spacing w:val="-4"/>
                <w:sz w:val="22"/>
                <w:szCs w:val="22"/>
              </w:rPr>
              <w:t xml:space="preserve">and stakeholder engagement </w:t>
            </w:r>
            <w:r w:rsidRPr="3EFF9F7B">
              <w:rPr>
                <w:rFonts w:asciiTheme="majorHAnsi" w:eastAsiaTheme="majorEastAsia" w:hAnsiTheme="majorHAnsi" w:cstheme="majorBidi"/>
                <w:spacing w:val="-4"/>
                <w:sz w:val="22"/>
                <w:szCs w:val="22"/>
              </w:rPr>
              <w:t>plan</w:t>
            </w:r>
            <w:r w:rsidR="001204D9" w:rsidRPr="3EFF9F7B">
              <w:rPr>
                <w:rFonts w:asciiTheme="majorHAnsi" w:eastAsiaTheme="majorEastAsia" w:hAnsiTheme="majorHAnsi" w:cstheme="majorBidi"/>
                <w:spacing w:val="-4"/>
                <w:sz w:val="22"/>
                <w:szCs w:val="22"/>
              </w:rPr>
              <w:t xml:space="preserve">; </w:t>
            </w:r>
            <w:r w:rsidRPr="3EFF9F7B">
              <w:rPr>
                <w:rFonts w:asciiTheme="majorHAnsi" w:eastAsiaTheme="majorEastAsia" w:hAnsiTheme="majorHAnsi" w:cstheme="majorBidi"/>
                <w:spacing w:val="-4"/>
                <w:sz w:val="22"/>
                <w:szCs w:val="22"/>
              </w:rPr>
              <w:t>(i</w:t>
            </w:r>
            <w:r w:rsidR="001204D9" w:rsidRPr="3EFF9F7B">
              <w:rPr>
                <w:rFonts w:asciiTheme="majorHAnsi" w:eastAsiaTheme="majorEastAsia" w:hAnsiTheme="majorHAnsi" w:cstheme="majorBidi"/>
                <w:spacing w:val="-4"/>
                <w:sz w:val="22"/>
                <w:szCs w:val="22"/>
              </w:rPr>
              <w:t>v</w:t>
            </w:r>
            <w:r w:rsidRPr="3EFF9F7B">
              <w:rPr>
                <w:rFonts w:asciiTheme="majorHAnsi" w:eastAsiaTheme="majorEastAsia" w:hAnsiTheme="majorHAnsi" w:cstheme="majorBidi"/>
                <w:spacing w:val="-4"/>
                <w:sz w:val="22"/>
                <w:szCs w:val="22"/>
              </w:rPr>
              <w:t xml:space="preserve">) a sociocultural analysis of the </w:t>
            </w:r>
            <w:r w:rsidR="00067EED" w:rsidRPr="3EFF9F7B">
              <w:rPr>
                <w:rFonts w:asciiTheme="majorHAnsi" w:eastAsiaTheme="majorEastAsia" w:hAnsiTheme="majorHAnsi" w:cstheme="majorBidi"/>
                <w:spacing w:val="-4"/>
                <w:sz w:val="22"/>
                <w:szCs w:val="22"/>
              </w:rPr>
              <w:t>local</w:t>
            </w:r>
            <w:r w:rsidRPr="3EFF9F7B">
              <w:rPr>
                <w:rFonts w:asciiTheme="majorHAnsi" w:eastAsiaTheme="majorEastAsia" w:hAnsiTheme="majorHAnsi" w:cstheme="majorBidi"/>
                <w:spacing w:val="-4"/>
                <w:sz w:val="22"/>
                <w:szCs w:val="22"/>
              </w:rPr>
              <w:t xml:space="preserve"> population</w:t>
            </w:r>
            <w:r w:rsidR="001204D9" w:rsidRPr="3EFF9F7B">
              <w:rPr>
                <w:rFonts w:asciiTheme="majorHAnsi" w:eastAsiaTheme="majorEastAsia" w:hAnsiTheme="majorHAnsi" w:cstheme="majorBidi"/>
                <w:spacing w:val="-4"/>
                <w:sz w:val="22"/>
                <w:szCs w:val="22"/>
              </w:rPr>
              <w:t>; (v) a gender strategy and action plan</w:t>
            </w:r>
            <w:r w:rsidR="00CA04D4" w:rsidRPr="3EFF9F7B">
              <w:rPr>
                <w:rFonts w:asciiTheme="majorHAnsi" w:eastAsiaTheme="majorEastAsia" w:hAnsiTheme="majorHAnsi" w:cstheme="majorBidi"/>
                <w:spacing w:val="-4"/>
                <w:sz w:val="22"/>
                <w:szCs w:val="22"/>
              </w:rPr>
              <w:t xml:space="preserve">; </w:t>
            </w:r>
            <w:r w:rsidR="001204D9" w:rsidRPr="3EFF9F7B">
              <w:rPr>
                <w:rFonts w:asciiTheme="majorHAnsi" w:eastAsiaTheme="majorEastAsia" w:hAnsiTheme="majorHAnsi" w:cstheme="majorBidi"/>
                <w:spacing w:val="-4"/>
                <w:sz w:val="22"/>
                <w:szCs w:val="22"/>
              </w:rPr>
              <w:t>(vi) a communications plan</w:t>
            </w:r>
            <w:r w:rsidR="00CA04D4" w:rsidRPr="3EFF9F7B">
              <w:rPr>
                <w:rFonts w:asciiTheme="majorHAnsi" w:eastAsiaTheme="majorEastAsia" w:hAnsiTheme="majorHAnsi" w:cstheme="majorBidi"/>
                <w:spacing w:val="-4"/>
                <w:sz w:val="22"/>
                <w:szCs w:val="22"/>
              </w:rPr>
              <w:t>; and (vii) an updated Grievance Redress Mechanism</w:t>
            </w:r>
            <w:r w:rsidRPr="3EFF9F7B">
              <w:rPr>
                <w:rFonts w:asciiTheme="majorHAnsi" w:eastAsiaTheme="majorEastAsia" w:hAnsiTheme="majorHAnsi" w:cstheme="majorBidi"/>
                <w:spacing w:val="-4"/>
                <w:sz w:val="22"/>
                <w:szCs w:val="22"/>
              </w:rPr>
              <w:t>.</w:t>
            </w:r>
            <w:r w:rsidR="00722751" w:rsidRPr="3EFF9F7B">
              <w:rPr>
                <w:rFonts w:asciiTheme="majorHAnsi" w:eastAsiaTheme="majorEastAsia" w:hAnsiTheme="majorHAnsi" w:cstheme="majorBidi"/>
                <w:spacing w:val="-4"/>
                <w:sz w:val="22"/>
                <w:szCs w:val="22"/>
              </w:rPr>
              <w:t xml:space="preserve"> The updated ESIA and plans were published on the IDBs website </w:t>
            </w:r>
            <w:r w:rsidR="00CF7FFC" w:rsidRPr="3EFF9F7B">
              <w:rPr>
                <w:rFonts w:asciiTheme="majorHAnsi" w:eastAsiaTheme="majorEastAsia" w:hAnsiTheme="majorHAnsi" w:cstheme="majorBidi"/>
                <w:spacing w:val="-4"/>
                <w:sz w:val="22"/>
                <w:szCs w:val="22"/>
              </w:rPr>
              <w:t>before the analysis mission</w:t>
            </w:r>
            <w:r w:rsidR="00722751" w:rsidRPr="3EFF9F7B">
              <w:rPr>
                <w:rFonts w:asciiTheme="majorHAnsi" w:eastAsiaTheme="majorEastAsia" w:hAnsiTheme="majorHAnsi" w:cstheme="majorBidi"/>
                <w:spacing w:val="-4"/>
                <w:sz w:val="22"/>
                <w:szCs w:val="22"/>
              </w:rPr>
              <w:t xml:space="preserve">. </w:t>
            </w:r>
            <w:bookmarkEnd w:id="1"/>
            <w:r w:rsidR="00443912" w:rsidRPr="3EFF9F7B">
              <w:rPr>
                <w:rFonts w:asciiTheme="majorHAnsi" w:eastAsiaTheme="majorEastAsia" w:hAnsiTheme="majorHAnsi" w:cstheme="majorBidi"/>
                <w:spacing w:val="-4"/>
                <w:sz w:val="22"/>
                <w:szCs w:val="22"/>
              </w:rPr>
              <w:t xml:space="preserve">Consultations were undertaken in 2014 during the preparation of </w:t>
            </w:r>
            <w:r w:rsidR="0061350B" w:rsidRPr="3EFF9F7B">
              <w:rPr>
                <w:rFonts w:asciiTheme="majorHAnsi" w:eastAsiaTheme="majorEastAsia" w:hAnsiTheme="majorHAnsi" w:cstheme="majorBidi"/>
                <w:spacing w:val="-4"/>
                <w:sz w:val="22"/>
                <w:szCs w:val="22"/>
              </w:rPr>
              <w:t>BL-L1019 (</w:t>
            </w:r>
            <w:r w:rsidR="00443912" w:rsidRPr="3EFF9F7B">
              <w:rPr>
                <w:rFonts w:asciiTheme="majorHAnsi" w:eastAsiaTheme="majorEastAsia" w:hAnsiTheme="majorHAnsi" w:cstheme="majorBidi"/>
                <w:spacing w:val="-4"/>
                <w:sz w:val="22"/>
                <w:szCs w:val="22"/>
              </w:rPr>
              <w:t>3344/OC-BL</w:t>
            </w:r>
            <w:r w:rsidR="0061350B" w:rsidRPr="3EFF9F7B">
              <w:rPr>
                <w:rFonts w:asciiTheme="majorHAnsi" w:eastAsiaTheme="majorEastAsia" w:hAnsiTheme="majorHAnsi" w:cstheme="majorBidi"/>
                <w:spacing w:val="-4"/>
                <w:sz w:val="22"/>
                <w:szCs w:val="22"/>
              </w:rPr>
              <w:t>)</w:t>
            </w:r>
            <w:r w:rsidR="00443912" w:rsidRPr="3EFF9F7B">
              <w:rPr>
                <w:rFonts w:asciiTheme="majorHAnsi" w:eastAsiaTheme="majorEastAsia" w:hAnsiTheme="majorHAnsi" w:cstheme="majorBidi"/>
                <w:spacing w:val="-4"/>
                <w:sz w:val="22"/>
                <w:szCs w:val="22"/>
              </w:rPr>
              <w:t xml:space="preserve">, and a new round of meaningful, gender-sensitive and socio-culturally appropriate consultations were held during the second half of June 2018. These consultations have been </w:t>
            </w:r>
            <w:r w:rsidR="00D32CC7" w:rsidRPr="3EFF9F7B">
              <w:rPr>
                <w:rFonts w:asciiTheme="majorHAnsi" w:eastAsiaTheme="majorEastAsia" w:hAnsiTheme="majorHAnsi" w:cstheme="majorBidi"/>
                <w:spacing w:val="-4"/>
                <w:sz w:val="22"/>
                <w:szCs w:val="22"/>
              </w:rPr>
              <w:t>completed and</w:t>
            </w:r>
            <w:r w:rsidR="003622F1" w:rsidRPr="3EFF9F7B">
              <w:rPr>
                <w:rFonts w:asciiTheme="majorHAnsi" w:eastAsiaTheme="majorEastAsia" w:hAnsiTheme="majorHAnsi" w:cstheme="majorBidi"/>
                <w:spacing w:val="-4"/>
                <w:sz w:val="22"/>
                <w:szCs w:val="22"/>
              </w:rPr>
              <w:t xml:space="preserve"> comply with the Bank’s consultation requirements established it its </w:t>
            </w:r>
            <w:r w:rsidR="003622F1" w:rsidRPr="3EFF9F7B">
              <w:rPr>
                <w:rFonts w:asciiTheme="majorHAnsi" w:eastAsiaTheme="majorEastAsia" w:hAnsiTheme="majorHAnsi" w:cstheme="majorBidi"/>
                <w:spacing w:val="-4"/>
                <w:sz w:val="22"/>
                <w:szCs w:val="22"/>
              </w:rPr>
              <w:lastRenderedPageBreak/>
              <w:t>safeguard policies applicable to this project</w:t>
            </w:r>
            <w:r w:rsidR="007C0FE8" w:rsidRPr="3EFF9F7B">
              <w:rPr>
                <w:rFonts w:asciiTheme="majorHAnsi" w:eastAsiaTheme="majorEastAsia" w:hAnsiTheme="majorHAnsi" w:cstheme="majorBidi"/>
                <w:spacing w:val="-4"/>
                <w:sz w:val="22"/>
                <w:szCs w:val="22"/>
              </w:rPr>
              <w:t>.  T</w:t>
            </w:r>
            <w:r w:rsidR="00443912" w:rsidRPr="3EFF9F7B">
              <w:rPr>
                <w:rFonts w:asciiTheme="majorHAnsi" w:eastAsiaTheme="majorEastAsia" w:hAnsiTheme="majorHAnsi" w:cstheme="majorBidi"/>
                <w:spacing w:val="-4"/>
                <w:sz w:val="22"/>
                <w:szCs w:val="22"/>
              </w:rPr>
              <w:t xml:space="preserve">he </w:t>
            </w:r>
            <w:r w:rsidR="007C0FE8" w:rsidRPr="3EFF9F7B">
              <w:rPr>
                <w:rFonts w:asciiTheme="majorHAnsi" w:eastAsiaTheme="majorEastAsia" w:hAnsiTheme="majorHAnsi" w:cstheme="majorBidi"/>
                <w:spacing w:val="-4"/>
                <w:sz w:val="22"/>
                <w:szCs w:val="22"/>
              </w:rPr>
              <w:t xml:space="preserve">addendum to the </w:t>
            </w:r>
            <w:r w:rsidR="00443912" w:rsidRPr="3EFF9F7B">
              <w:rPr>
                <w:rFonts w:asciiTheme="majorHAnsi" w:eastAsiaTheme="majorEastAsia" w:hAnsiTheme="majorHAnsi" w:cstheme="majorBidi"/>
                <w:spacing w:val="-4"/>
                <w:sz w:val="22"/>
                <w:szCs w:val="22"/>
              </w:rPr>
              <w:t xml:space="preserve">ESIA, ESMP, and </w:t>
            </w:r>
            <w:r w:rsidR="00EF69F8" w:rsidRPr="3EFF9F7B">
              <w:rPr>
                <w:rFonts w:asciiTheme="majorHAnsi" w:eastAsiaTheme="majorEastAsia" w:hAnsiTheme="majorHAnsi" w:cstheme="majorBidi"/>
                <w:spacing w:val="-4"/>
                <w:sz w:val="22"/>
                <w:szCs w:val="22"/>
              </w:rPr>
              <w:t xml:space="preserve">the </w:t>
            </w:r>
            <w:r w:rsidR="00443912" w:rsidRPr="3EFF9F7B">
              <w:rPr>
                <w:rFonts w:asciiTheme="majorHAnsi" w:eastAsiaTheme="majorEastAsia" w:hAnsiTheme="majorHAnsi" w:cstheme="majorBidi"/>
                <w:spacing w:val="-4"/>
                <w:sz w:val="22"/>
                <w:szCs w:val="22"/>
              </w:rPr>
              <w:t xml:space="preserve">other plans referenced above </w:t>
            </w:r>
            <w:r w:rsidR="00EF69F8" w:rsidRPr="3EFF9F7B">
              <w:rPr>
                <w:rFonts w:asciiTheme="majorHAnsi" w:eastAsiaTheme="majorEastAsia" w:hAnsiTheme="majorHAnsi" w:cstheme="majorBidi"/>
                <w:spacing w:val="-4"/>
                <w:sz w:val="22"/>
                <w:szCs w:val="22"/>
              </w:rPr>
              <w:t>were</w:t>
            </w:r>
            <w:r w:rsidR="00752E1A" w:rsidRPr="3EFF9F7B">
              <w:rPr>
                <w:rFonts w:asciiTheme="majorHAnsi" w:eastAsiaTheme="majorEastAsia" w:hAnsiTheme="majorHAnsi" w:cstheme="majorBidi"/>
                <w:spacing w:val="-4"/>
                <w:sz w:val="22"/>
                <w:szCs w:val="22"/>
              </w:rPr>
              <w:t xml:space="preserve"> also</w:t>
            </w:r>
            <w:r w:rsidR="00443912" w:rsidRPr="3EFF9F7B">
              <w:rPr>
                <w:rFonts w:asciiTheme="majorHAnsi" w:eastAsiaTheme="majorEastAsia" w:hAnsiTheme="majorHAnsi" w:cstheme="majorBidi"/>
                <w:spacing w:val="-4"/>
                <w:sz w:val="22"/>
                <w:szCs w:val="22"/>
              </w:rPr>
              <w:t xml:space="preserve"> updated and published in accordance with </w:t>
            </w:r>
            <w:r w:rsidR="00B43073" w:rsidRPr="3EFF9F7B">
              <w:rPr>
                <w:rFonts w:asciiTheme="majorHAnsi" w:eastAsiaTheme="majorEastAsia" w:hAnsiTheme="majorHAnsi" w:cstheme="majorBidi"/>
                <w:spacing w:val="-4"/>
                <w:sz w:val="22"/>
                <w:szCs w:val="22"/>
              </w:rPr>
              <w:t xml:space="preserve">OP-703 and </w:t>
            </w:r>
            <w:r w:rsidR="00443912" w:rsidRPr="3EFF9F7B">
              <w:rPr>
                <w:rFonts w:asciiTheme="majorHAnsi" w:eastAsiaTheme="majorEastAsia" w:hAnsiTheme="majorHAnsi" w:cstheme="majorBidi"/>
                <w:spacing w:val="-4"/>
                <w:sz w:val="22"/>
                <w:szCs w:val="22"/>
              </w:rPr>
              <w:t>OP-</w:t>
            </w:r>
            <w:r w:rsidR="00B43073" w:rsidRPr="3EFF9F7B">
              <w:rPr>
                <w:rFonts w:asciiTheme="majorHAnsi" w:eastAsiaTheme="majorEastAsia" w:hAnsiTheme="majorHAnsi" w:cstheme="majorBidi"/>
                <w:spacing w:val="-4"/>
                <w:sz w:val="22"/>
                <w:szCs w:val="22"/>
              </w:rPr>
              <w:t>102</w:t>
            </w:r>
            <w:r w:rsidR="00443912" w:rsidRPr="3EFF9F7B">
              <w:rPr>
                <w:rFonts w:asciiTheme="majorHAnsi" w:eastAsiaTheme="majorEastAsia" w:hAnsiTheme="majorHAnsi" w:cstheme="majorBidi"/>
                <w:spacing w:val="-4"/>
                <w:sz w:val="22"/>
                <w:szCs w:val="22"/>
              </w:rPr>
              <w:t>.</w:t>
            </w:r>
          </w:p>
          <w:p w14:paraId="55897222" w14:textId="77777777" w:rsidR="00443912" w:rsidRPr="003F1CA2" w:rsidRDefault="00443912" w:rsidP="005342E8">
            <w:pPr>
              <w:jc w:val="both"/>
              <w:rPr>
                <w:rFonts w:asciiTheme="majorHAnsi" w:eastAsia="Times New Roman" w:hAnsiTheme="majorHAnsi" w:cs="Arial"/>
                <w:sz w:val="22"/>
                <w:szCs w:val="22"/>
              </w:rPr>
            </w:pPr>
          </w:p>
          <w:p w14:paraId="5C4D1658" w14:textId="150AE595" w:rsidR="00A2278E" w:rsidRPr="00547C7F" w:rsidRDefault="3EFF9F7B" w:rsidP="3EFF9F7B">
            <w:pPr>
              <w:pStyle w:val="Paragraph"/>
              <w:tabs>
                <w:tab w:val="clear" w:pos="851"/>
              </w:tabs>
              <w:outlineLvl w:val="1"/>
              <w:rPr>
                <w:rFonts w:asciiTheme="majorHAnsi" w:eastAsiaTheme="majorEastAsia" w:hAnsiTheme="majorHAnsi" w:cstheme="majorBidi"/>
                <w:color w:val="000000" w:themeColor="text1"/>
              </w:rPr>
            </w:pPr>
            <w:r w:rsidRPr="3EFF9F7B">
              <w:rPr>
                <w:rFonts w:asciiTheme="majorHAnsi" w:eastAsiaTheme="majorEastAsia" w:hAnsiTheme="majorHAnsi" w:cstheme="majorBidi"/>
                <w:lang w:val="en-US" w:eastAsia="en-US"/>
              </w:rPr>
              <w:t>While the original loan BL-L1019 included financial provisions for the implementation of the identified environmental and social measures, the Project Executing Unit (PEU) of the Ministry of Works (MOW) has not shown adequate socio-environmental capacity, and as such, as part of the legal requirements for this additional loan, the Borrower will be required to hire environmental and social specialists to support the operation, and to ensure the implementation of the updated ESMP and the new social plans listed above.</w:t>
            </w:r>
            <w:r w:rsidRPr="3EFF9F7B">
              <w:rPr>
                <w:rFonts w:asciiTheme="majorHAnsi" w:eastAsiaTheme="majorEastAsia" w:hAnsiTheme="majorHAnsi" w:cstheme="majorBidi"/>
                <w:color w:val="000000" w:themeColor="text1"/>
                <w:lang w:val="en-US" w:eastAsia="en-US"/>
              </w:rPr>
              <w:t xml:space="preserve"> </w:t>
            </w:r>
            <w:r w:rsidRPr="3EFF9F7B">
              <w:rPr>
                <w:rFonts w:asciiTheme="majorHAnsi" w:eastAsiaTheme="majorEastAsia" w:hAnsiTheme="majorHAnsi" w:cstheme="majorBidi"/>
                <w:lang w:val="en-US" w:eastAsia="en-US"/>
              </w:rPr>
              <w:t xml:space="preserve">Likewise, sections I and II of the </w:t>
            </w:r>
            <w:proofErr w:type="gramStart"/>
            <w:r w:rsidRPr="3EFF9F7B">
              <w:rPr>
                <w:rFonts w:asciiTheme="majorHAnsi" w:eastAsiaTheme="majorEastAsia" w:hAnsiTheme="majorHAnsi" w:cstheme="majorBidi"/>
                <w:lang w:val="en-US" w:eastAsia="en-US"/>
              </w:rPr>
              <w:t>road</w:t>
            </w:r>
            <w:proofErr w:type="gramEnd"/>
            <w:r w:rsidRPr="3EFF9F7B">
              <w:rPr>
                <w:rFonts w:asciiTheme="majorHAnsi" w:eastAsiaTheme="majorEastAsia" w:hAnsiTheme="majorHAnsi" w:cstheme="majorBidi"/>
                <w:lang w:val="en-US" w:eastAsia="en-US"/>
              </w:rPr>
              <w:t xml:space="preserve"> are already in construction, and these works require the implementation </w:t>
            </w:r>
            <w:r w:rsidRPr="00BB1313">
              <w:rPr>
                <w:rFonts w:asciiTheme="majorHAnsi" w:eastAsiaTheme="majorEastAsia" w:hAnsiTheme="majorHAnsi" w:cstheme="majorBidi"/>
                <w:lang w:val="en-US" w:eastAsia="en-US"/>
              </w:rPr>
              <w:t>of a Corrective Action Plan</w:t>
            </w:r>
            <w:r w:rsidR="00D32CC7" w:rsidRPr="00BB1313">
              <w:rPr>
                <w:rFonts w:asciiTheme="majorHAnsi" w:eastAsiaTheme="majorEastAsia" w:hAnsiTheme="majorHAnsi" w:cstheme="majorBidi"/>
                <w:lang w:val="en-US" w:eastAsia="en-US"/>
              </w:rPr>
              <w:t xml:space="preserve"> (CAP)</w:t>
            </w:r>
            <w:r w:rsidRPr="00BB1313">
              <w:rPr>
                <w:rFonts w:asciiTheme="majorHAnsi" w:eastAsiaTheme="majorEastAsia" w:hAnsiTheme="majorHAnsi" w:cstheme="majorBidi"/>
                <w:lang w:val="en-US" w:eastAsia="en-US"/>
              </w:rPr>
              <w:t xml:space="preserve"> for BL-L1019, which was signed by the MOW and included as Annex E of this ESMR.</w:t>
            </w:r>
          </w:p>
        </w:tc>
      </w:tr>
      <w:tr w:rsidR="00B3466C" w:rsidRPr="007C0236" w14:paraId="3A1A393F" w14:textId="77777777" w:rsidTr="3EFF9F7B">
        <w:trPr>
          <w:trHeight w:val="411"/>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5B3D7" w:themeFill="accent1" w:themeFillTint="99"/>
            <w:tcMar>
              <w:top w:w="15" w:type="dxa"/>
              <w:left w:w="105" w:type="dxa"/>
              <w:bottom w:w="15" w:type="dxa"/>
              <w:right w:w="105" w:type="dxa"/>
            </w:tcMar>
            <w:vAlign w:val="center"/>
            <w:hideMark/>
          </w:tcPr>
          <w:p w14:paraId="1D289CF6" w14:textId="77777777" w:rsidR="00B3466C" w:rsidRPr="00966D25" w:rsidRDefault="003D6C2F" w:rsidP="00F356E8">
            <w:pPr>
              <w:pStyle w:val="ListParagraph"/>
              <w:numPr>
                <w:ilvl w:val="0"/>
                <w:numId w:val="13"/>
              </w:numPr>
              <w:ind w:left="318" w:hanging="318"/>
              <w:rPr>
                <w:rFonts w:ascii="Arial" w:eastAsia="Times New Roman" w:hAnsi="Arial" w:cs="Arial"/>
                <w:b/>
                <w:bCs/>
                <w:sz w:val="27"/>
                <w:szCs w:val="27"/>
              </w:rPr>
            </w:pPr>
            <w:r w:rsidRPr="00966D25">
              <w:rPr>
                <w:rFonts w:ascii="Arial" w:eastAsia="Times New Roman" w:hAnsi="Arial" w:cs="Arial"/>
                <w:b/>
                <w:bCs/>
                <w:sz w:val="27"/>
                <w:szCs w:val="27"/>
              </w:rPr>
              <w:lastRenderedPageBreak/>
              <w:t xml:space="preserve">Operation </w:t>
            </w:r>
            <w:r w:rsidR="00B3466C" w:rsidRPr="00966D25">
              <w:rPr>
                <w:rFonts w:ascii="Arial" w:eastAsia="Times New Roman" w:hAnsi="Arial" w:cs="Arial"/>
                <w:b/>
                <w:bCs/>
                <w:sz w:val="27"/>
                <w:szCs w:val="27"/>
              </w:rPr>
              <w:t>Description</w:t>
            </w:r>
          </w:p>
        </w:tc>
      </w:tr>
      <w:tr w:rsidR="00B3466C" w:rsidRPr="007C0236" w14:paraId="522671ED" w14:textId="77777777" w:rsidTr="3EFF9F7B">
        <w:trPr>
          <w:trHeight w:val="236"/>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hideMark/>
          </w:tcPr>
          <w:p w14:paraId="1B13025A" w14:textId="5D38A34C" w:rsidR="00CC1D50" w:rsidRPr="00EF6E80" w:rsidRDefault="3EFF9F7B" w:rsidP="3EFF9F7B">
            <w:pPr>
              <w:pStyle w:val="Paragraph"/>
              <w:tabs>
                <w:tab w:val="clear" w:pos="851"/>
                <w:tab w:val="num" w:pos="810"/>
              </w:tabs>
              <w:outlineLvl w:val="1"/>
              <w:rPr>
                <w:rFonts w:asciiTheme="majorHAnsi" w:eastAsiaTheme="majorEastAsia" w:hAnsiTheme="majorHAnsi" w:cstheme="majorBidi"/>
                <w:lang w:val="en-US"/>
              </w:rPr>
            </w:pPr>
            <w:r w:rsidRPr="3EFF9F7B">
              <w:rPr>
                <w:rFonts w:asciiTheme="majorHAnsi" w:eastAsiaTheme="majorEastAsia" w:hAnsiTheme="majorHAnsi" w:cstheme="majorBidi"/>
              </w:rPr>
              <w:t>The project objective is to improve the road connectivity within Belize and with Central America through the rehabilitation of the GPH road infrastructure, a paved road in Western Belize that has been in operation since the 1930s.</w:t>
            </w:r>
            <w:r w:rsidRPr="3EFF9F7B">
              <w:rPr>
                <w:rFonts w:asciiTheme="majorHAnsi" w:eastAsiaTheme="majorEastAsia" w:hAnsiTheme="majorHAnsi" w:cstheme="majorBidi"/>
                <w:lang w:val="en-US"/>
              </w:rPr>
              <w:t xml:space="preserve"> This operation (BL-L1029) will provide additional financing for the rehabilitation of the GPH in Belize, specifically the sector from Roaring Creek to the Santa Elena Roundabout (19.4 miles, from mile 47.9 to 67.3) of the GPH –subdivided </w:t>
            </w:r>
            <w:r w:rsidRPr="3EFF9F7B">
              <w:rPr>
                <w:rFonts w:asciiTheme="majorHAnsi" w:eastAsiaTheme="majorEastAsia" w:hAnsiTheme="majorHAnsi" w:cstheme="majorBidi"/>
                <w:noProof/>
                <w:lang w:val="en-US"/>
              </w:rPr>
              <w:t>into</w:t>
            </w:r>
            <w:r w:rsidRPr="3EFF9F7B">
              <w:rPr>
                <w:rFonts w:asciiTheme="majorHAnsi" w:eastAsiaTheme="majorEastAsia" w:hAnsiTheme="majorHAnsi" w:cstheme="majorBidi"/>
                <w:lang w:val="en-US"/>
              </w:rPr>
              <w:t xml:space="preserve"> three sections– financed with operation BL-L1019. Sections I and II of the </w:t>
            </w:r>
            <w:proofErr w:type="gramStart"/>
            <w:r w:rsidRPr="3EFF9F7B">
              <w:rPr>
                <w:rFonts w:asciiTheme="majorHAnsi" w:eastAsiaTheme="majorEastAsia" w:hAnsiTheme="majorHAnsi" w:cstheme="majorBidi"/>
                <w:lang w:val="en-US"/>
              </w:rPr>
              <w:t>road</w:t>
            </w:r>
            <w:proofErr w:type="gramEnd"/>
            <w:r w:rsidRPr="3EFF9F7B">
              <w:rPr>
                <w:rFonts w:asciiTheme="majorHAnsi" w:eastAsiaTheme="majorEastAsia" w:hAnsiTheme="majorHAnsi" w:cstheme="majorBidi"/>
                <w:lang w:val="en-US"/>
              </w:rPr>
              <w:t xml:space="preserve"> are already in construction, and based on the information gathered as part of the environmental and social studies conducted by the Bank, BL-L1019 requires the implementation of a Corrective Action Plan, which is included as Annex E of this ESMR.</w:t>
            </w:r>
          </w:p>
          <w:p w14:paraId="434DEFB7" w14:textId="77777777" w:rsidR="006206ED" w:rsidRPr="00A232EE" w:rsidRDefault="006C3699">
            <w:pPr>
              <w:pStyle w:val="Paragraph"/>
              <w:tabs>
                <w:tab w:val="clear" w:pos="851"/>
                <w:tab w:val="num" w:pos="810"/>
              </w:tabs>
              <w:outlineLvl w:val="1"/>
              <w:rPr>
                <w:rFonts w:asciiTheme="majorHAnsi" w:eastAsia="Calibri" w:hAnsiTheme="majorHAnsi" w:cs="Arial"/>
                <w:szCs w:val="22"/>
                <w:lang w:val="en-US"/>
              </w:rPr>
            </w:pPr>
            <w:r w:rsidRPr="00941273">
              <w:rPr>
                <w:rFonts w:asciiTheme="majorHAnsi" w:eastAsia="Calibri" w:hAnsiTheme="majorHAnsi" w:cs="Arial"/>
                <w:szCs w:val="22"/>
                <w:lang w:val="en-US"/>
              </w:rPr>
              <w:t>Th</w:t>
            </w:r>
            <w:r w:rsidR="00F8663A" w:rsidRPr="00941273">
              <w:rPr>
                <w:rFonts w:asciiTheme="majorHAnsi" w:eastAsia="Calibri" w:hAnsiTheme="majorHAnsi" w:cs="Arial"/>
                <w:szCs w:val="22"/>
                <w:lang w:val="en-US"/>
              </w:rPr>
              <w:t>e</w:t>
            </w:r>
            <w:r w:rsidRPr="00557192">
              <w:rPr>
                <w:rFonts w:asciiTheme="majorHAnsi" w:eastAsia="Calibri" w:hAnsiTheme="majorHAnsi" w:cs="Arial"/>
                <w:szCs w:val="22"/>
                <w:lang w:val="en-US"/>
              </w:rPr>
              <w:t xml:space="preserve"> works are expected to be carried out </w:t>
            </w:r>
            <w:r w:rsidR="004F2E5B" w:rsidRPr="00557192">
              <w:rPr>
                <w:rFonts w:asciiTheme="majorHAnsi" w:eastAsia="Calibri" w:hAnsiTheme="majorHAnsi" w:cs="Arial"/>
                <w:szCs w:val="22"/>
                <w:lang w:val="en-US"/>
              </w:rPr>
              <w:t xml:space="preserve">mainly </w:t>
            </w:r>
            <w:r w:rsidRPr="00557192">
              <w:rPr>
                <w:rFonts w:asciiTheme="majorHAnsi" w:eastAsia="Calibri" w:hAnsiTheme="majorHAnsi" w:cs="Arial"/>
                <w:szCs w:val="22"/>
                <w:lang w:val="en-US"/>
              </w:rPr>
              <w:t xml:space="preserve">within the existing right of way, </w:t>
            </w:r>
            <w:proofErr w:type="gramStart"/>
            <w:r w:rsidRPr="00557192">
              <w:rPr>
                <w:rFonts w:asciiTheme="majorHAnsi" w:eastAsia="Calibri" w:hAnsiTheme="majorHAnsi" w:cs="Arial"/>
                <w:szCs w:val="22"/>
                <w:lang w:val="en-US"/>
              </w:rPr>
              <w:t>with the exception of</w:t>
            </w:r>
            <w:proofErr w:type="gramEnd"/>
            <w:r w:rsidRPr="00557192">
              <w:rPr>
                <w:rFonts w:asciiTheme="majorHAnsi" w:eastAsia="Calibri" w:hAnsiTheme="majorHAnsi" w:cs="Arial"/>
                <w:szCs w:val="22"/>
                <w:lang w:val="en-US"/>
              </w:rPr>
              <w:t xml:space="preserve"> the area near </w:t>
            </w:r>
            <w:r w:rsidR="00F8663A" w:rsidRPr="00A232EE">
              <w:rPr>
                <w:rFonts w:asciiTheme="majorHAnsi" w:eastAsia="Calibri" w:hAnsiTheme="majorHAnsi" w:cs="Arial"/>
                <w:szCs w:val="22"/>
                <w:lang w:val="en-US"/>
              </w:rPr>
              <w:t>the Roaring Creek</w:t>
            </w:r>
            <w:r w:rsidRPr="00A232EE">
              <w:rPr>
                <w:rFonts w:asciiTheme="majorHAnsi" w:eastAsia="Calibri" w:hAnsiTheme="majorHAnsi" w:cs="Arial"/>
                <w:szCs w:val="22"/>
                <w:lang w:val="en-US"/>
              </w:rPr>
              <w:t xml:space="preserve"> bridge in se</w:t>
            </w:r>
            <w:r w:rsidR="004C345C" w:rsidRPr="00A232EE">
              <w:rPr>
                <w:rFonts w:asciiTheme="majorHAnsi" w:eastAsia="Calibri" w:hAnsiTheme="majorHAnsi" w:cs="Arial"/>
                <w:szCs w:val="22"/>
                <w:lang w:val="en-US"/>
              </w:rPr>
              <w:t>ction</w:t>
            </w:r>
            <w:r w:rsidRPr="00A232EE">
              <w:rPr>
                <w:rFonts w:asciiTheme="majorHAnsi" w:eastAsia="Calibri" w:hAnsiTheme="majorHAnsi" w:cs="Arial"/>
                <w:szCs w:val="22"/>
                <w:lang w:val="en-US"/>
              </w:rPr>
              <w:t xml:space="preserve"> </w:t>
            </w:r>
            <w:r w:rsidR="006D637E" w:rsidRPr="00A232EE">
              <w:rPr>
                <w:rFonts w:asciiTheme="majorHAnsi" w:eastAsia="Calibri" w:hAnsiTheme="majorHAnsi" w:cs="Arial"/>
                <w:szCs w:val="22"/>
                <w:lang w:val="en-US"/>
              </w:rPr>
              <w:t>one</w:t>
            </w:r>
            <w:r w:rsidRPr="00A232EE">
              <w:rPr>
                <w:rFonts w:asciiTheme="majorHAnsi" w:eastAsia="Calibri" w:hAnsiTheme="majorHAnsi" w:cs="Arial"/>
                <w:szCs w:val="22"/>
                <w:lang w:val="en-US"/>
              </w:rPr>
              <w:t xml:space="preserve"> that needs widening</w:t>
            </w:r>
            <w:r w:rsidR="00F8663A" w:rsidRPr="00A232EE">
              <w:rPr>
                <w:rFonts w:asciiTheme="majorHAnsi" w:eastAsia="Calibri" w:hAnsiTheme="majorHAnsi" w:cs="Arial"/>
                <w:szCs w:val="22"/>
                <w:lang w:val="en-US"/>
              </w:rPr>
              <w:t>, and an area known as the Z-Curve</w:t>
            </w:r>
            <w:r w:rsidRPr="00A232EE">
              <w:rPr>
                <w:rFonts w:asciiTheme="majorHAnsi" w:eastAsia="Calibri" w:hAnsiTheme="majorHAnsi" w:cs="Arial"/>
                <w:szCs w:val="22"/>
                <w:lang w:val="en-US"/>
              </w:rPr>
              <w:t xml:space="preserve">. </w:t>
            </w:r>
            <w:r w:rsidR="00A25146" w:rsidRPr="00A232EE">
              <w:rPr>
                <w:rFonts w:asciiTheme="majorHAnsi" w:eastAsia="Calibri" w:hAnsiTheme="majorHAnsi" w:cs="Arial"/>
                <w:szCs w:val="22"/>
                <w:lang w:val="en-US"/>
              </w:rPr>
              <w:t xml:space="preserve">Construction of segment one of the </w:t>
            </w:r>
            <w:proofErr w:type="gramStart"/>
            <w:r w:rsidR="00A25146" w:rsidRPr="00A232EE">
              <w:rPr>
                <w:rFonts w:asciiTheme="majorHAnsi" w:eastAsia="Calibri" w:hAnsiTheme="majorHAnsi" w:cs="Arial"/>
                <w:szCs w:val="22"/>
                <w:lang w:val="en-US"/>
              </w:rPr>
              <w:t>project</w:t>
            </w:r>
            <w:proofErr w:type="gramEnd"/>
            <w:r w:rsidR="00F8663A" w:rsidRPr="00A232EE">
              <w:rPr>
                <w:rFonts w:asciiTheme="majorHAnsi" w:eastAsia="Calibri" w:hAnsiTheme="majorHAnsi" w:cs="Arial"/>
                <w:szCs w:val="22"/>
                <w:lang w:val="en-US"/>
              </w:rPr>
              <w:t>—</w:t>
            </w:r>
            <w:r w:rsidR="00A25146" w:rsidRPr="00A232EE">
              <w:rPr>
                <w:rFonts w:asciiTheme="majorHAnsi" w:eastAsia="Calibri" w:hAnsiTheme="majorHAnsi" w:cs="Arial"/>
                <w:szCs w:val="22"/>
                <w:lang w:val="en-US"/>
              </w:rPr>
              <w:t xml:space="preserve">replacement of </w:t>
            </w:r>
            <w:r w:rsidR="00F8663A" w:rsidRPr="00A232EE">
              <w:rPr>
                <w:rFonts w:asciiTheme="majorHAnsi" w:eastAsia="Calibri" w:hAnsiTheme="majorHAnsi" w:cs="Arial"/>
                <w:szCs w:val="22"/>
                <w:lang w:val="en-US"/>
              </w:rPr>
              <w:t>the</w:t>
            </w:r>
            <w:r w:rsidR="006164DA" w:rsidRPr="00A232EE">
              <w:rPr>
                <w:rFonts w:asciiTheme="majorHAnsi" w:eastAsia="Calibri" w:hAnsiTheme="majorHAnsi" w:cs="Arial"/>
                <w:szCs w:val="22"/>
                <w:lang w:val="en-US"/>
              </w:rPr>
              <w:t xml:space="preserve"> Roaring Creek</w:t>
            </w:r>
            <w:r w:rsidR="00A25146" w:rsidRPr="00A232EE">
              <w:rPr>
                <w:rFonts w:asciiTheme="majorHAnsi" w:eastAsia="Calibri" w:hAnsiTheme="majorHAnsi" w:cs="Arial"/>
                <w:szCs w:val="22"/>
                <w:lang w:val="en-US"/>
              </w:rPr>
              <w:t xml:space="preserve"> bridge</w:t>
            </w:r>
            <w:r w:rsidR="006164DA" w:rsidRPr="00A232EE">
              <w:rPr>
                <w:rFonts w:asciiTheme="majorHAnsi" w:eastAsia="Calibri" w:hAnsiTheme="majorHAnsi" w:cs="Arial"/>
                <w:szCs w:val="22"/>
                <w:lang w:val="en-US"/>
              </w:rPr>
              <w:t>, retaining walls</w:t>
            </w:r>
            <w:r w:rsidR="006206ED" w:rsidRPr="00A232EE">
              <w:rPr>
                <w:rFonts w:asciiTheme="majorHAnsi" w:eastAsia="Calibri" w:hAnsiTheme="majorHAnsi" w:cs="Arial"/>
                <w:szCs w:val="22"/>
                <w:lang w:val="en-US"/>
              </w:rPr>
              <w:t>, service road</w:t>
            </w:r>
            <w:r w:rsidR="00826753" w:rsidRPr="00A232EE">
              <w:rPr>
                <w:rFonts w:asciiTheme="majorHAnsi" w:eastAsia="Calibri" w:hAnsiTheme="majorHAnsi" w:cs="Arial"/>
                <w:szCs w:val="22"/>
                <w:lang w:val="en-US"/>
              </w:rPr>
              <w:t>,</w:t>
            </w:r>
            <w:r w:rsidR="006206ED" w:rsidRPr="00A232EE">
              <w:rPr>
                <w:rFonts w:asciiTheme="majorHAnsi" w:eastAsia="Calibri" w:hAnsiTheme="majorHAnsi" w:cs="Arial"/>
                <w:szCs w:val="22"/>
                <w:lang w:val="en-US"/>
              </w:rPr>
              <w:t xml:space="preserve"> </w:t>
            </w:r>
            <w:r w:rsidR="006206ED" w:rsidRPr="00A232EE">
              <w:rPr>
                <w:rFonts w:asciiTheme="majorHAnsi" w:eastAsia="Calibri" w:hAnsiTheme="majorHAnsi" w:cs="Arial"/>
                <w:noProof/>
                <w:szCs w:val="22"/>
                <w:lang w:val="en-US"/>
              </w:rPr>
              <w:t>and</w:t>
            </w:r>
            <w:r w:rsidR="006206ED" w:rsidRPr="00A232EE">
              <w:rPr>
                <w:rFonts w:asciiTheme="majorHAnsi" w:eastAsia="Calibri" w:hAnsiTheme="majorHAnsi" w:cs="Arial"/>
                <w:szCs w:val="22"/>
                <w:lang w:val="en-US"/>
              </w:rPr>
              <w:t xml:space="preserve"> transition</w:t>
            </w:r>
            <w:r w:rsidR="00A25146" w:rsidRPr="00A232EE">
              <w:rPr>
                <w:rFonts w:asciiTheme="majorHAnsi" w:eastAsia="Calibri" w:hAnsiTheme="majorHAnsi" w:cs="Arial"/>
                <w:szCs w:val="22"/>
                <w:lang w:val="en-US"/>
              </w:rPr>
              <w:t xml:space="preserve"> area</w:t>
            </w:r>
            <w:r w:rsidR="006206ED" w:rsidRPr="00A232EE">
              <w:rPr>
                <w:rFonts w:asciiTheme="majorHAnsi" w:eastAsia="Calibri" w:hAnsiTheme="majorHAnsi" w:cs="Arial"/>
                <w:szCs w:val="22"/>
                <w:lang w:val="en-US"/>
              </w:rPr>
              <w:t>—</w:t>
            </w:r>
            <w:r w:rsidR="00A25146" w:rsidRPr="00A232EE">
              <w:rPr>
                <w:rFonts w:asciiTheme="majorHAnsi" w:eastAsia="Calibri" w:hAnsiTheme="majorHAnsi" w:cs="Arial"/>
                <w:szCs w:val="22"/>
                <w:lang w:val="en-US"/>
              </w:rPr>
              <w:t>started in April 201</w:t>
            </w:r>
            <w:r w:rsidR="0006109E" w:rsidRPr="00A232EE">
              <w:rPr>
                <w:rFonts w:asciiTheme="majorHAnsi" w:eastAsia="Calibri" w:hAnsiTheme="majorHAnsi" w:cs="Arial"/>
                <w:szCs w:val="22"/>
              </w:rPr>
              <w:t>8</w:t>
            </w:r>
            <w:r w:rsidR="0061757D" w:rsidRPr="00A232EE">
              <w:rPr>
                <w:rFonts w:asciiTheme="majorHAnsi" w:eastAsia="Calibri" w:hAnsiTheme="majorHAnsi" w:cs="Arial"/>
                <w:szCs w:val="22"/>
              </w:rPr>
              <w:t xml:space="preserve"> (site installation and preparation began in February)</w:t>
            </w:r>
            <w:r w:rsidR="00A25146" w:rsidRPr="00A232EE">
              <w:rPr>
                <w:rFonts w:asciiTheme="majorHAnsi" w:eastAsia="Calibri" w:hAnsiTheme="majorHAnsi" w:cs="Arial"/>
                <w:szCs w:val="22"/>
                <w:lang w:val="en-US"/>
              </w:rPr>
              <w:t>.</w:t>
            </w:r>
            <w:r w:rsidR="00015768" w:rsidRPr="00A232EE">
              <w:rPr>
                <w:rFonts w:asciiTheme="majorHAnsi" w:eastAsia="Calibri" w:hAnsiTheme="majorHAnsi" w:cs="Arial"/>
                <w:szCs w:val="22"/>
                <w:lang w:val="en-US"/>
              </w:rPr>
              <w:t xml:space="preserve"> The contract for </w:t>
            </w:r>
            <w:r w:rsidR="004C345C" w:rsidRPr="00A232EE">
              <w:rPr>
                <w:rFonts w:asciiTheme="majorHAnsi" w:eastAsia="Calibri" w:hAnsiTheme="majorHAnsi" w:cs="Arial"/>
                <w:szCs w:val="22"/>
                <w:lang w:val="en-US"/>
              </w:rPr>
              <w:t xml:space="preserve">section </w:t>
            </w:r>
            <w:r w:rsidR="006D637E" w:rsidRPr="00A232EE">
              <w:rPr>
                <w:rFonts w:asciiTheme="majorHAnsi" w:eastAsia="Calibri" w:hAnsiTheme="majorHAnsi" w:cs="Arial"/>
                <w:szCs w:val="22"/>
                <w:lang w:val="en-US"/>
              </w:rPr>
              <w:t>two</w:t>
            </w:r>
            <w:r w:rsidR="006206ED" w:rsidRPr="00A232EE">
              <w:rPr>
                <w:rFonts w:asciiTheme="majorHAnsi" w:eastAsia="Calibri" w:hAnsiTheme="majorHAnsi" w:cs="Arial"/>
                <w:szCs w:val="22"/>
                <w:lang w:val="en-US"/>
              </w:rPr>
              <w:t>—</w:t>
            </w:r>
            <w:r w:rsidR="006D637E" w:rsidRPr="00A232EE">
              <w:rPr>
                <w:rFonts w:asciiTheme="majorHAnsi" w:eastAsia="Calibri" w:hAnsiTheme="majorHAnsi" w:cs="Arial"/>
                <w:szCs w:val="22"/>
                <w:lang w:val="en-US"/>
              </w:rPr>
              <w:t xml:space="preserve">from </w:t>
            </w:r>
            <w:r w:rsidR="006206ED" w:rsidRPr="00A232EE">
              <w:rPr>
                <w:rFonts w:asciiTheme="majorHAnsi" w:eastAsia="Calibri" w:hAnsiTheme="majorHAnsi" w:cs="Arial"/>
                <w:szCs w:val="22"/>
                <w:lang w:val="en-US"/>
              </w:rPr>
              <w:t>Roaring Creek to Iguana Creek Junction—</w:t>
            </w:r>
            <w:r w:rsidR="00015768" w:rsidRPr="00A232EE">
              <w:rPr>
                <w:rFonts w:asciiTheme="majorHAnsi" w:eastAsia="Calibri" w:hAnsiTheme="majorHAnsi" w:cs="Arial"/>
                <w:szCs w:val="22"/>
                <w:lang w:val="en-US"/>
              </w:rPr>
              <w:t xml:space="preserve">was awarded in </w:t>
            </w:r>
            <w:r w:rsidR="00D7516C" w:rsidRPr="00A232EE">
              <w:rPr>
                <w:rFonts w:asciiTheme="majorHAnsi" w:eastAsia="Calibri" w:hAnsiTheme="majorHAnsi" w:cs="Arial"/>
                <w:szCs w:val="22"/>
                <w:lang w:val="en-US"/>
              </w:rPr>
              <w:t>early 201</w:t>
            </w:r>
            <w:r w:rsidR="00A8744A" w:rsidRPr="00A232EE">
              <w:rPr>
                <w:rFonts w:asciiTheme="majorHAnsi" w:eastAsia="Calibri" w:hAnsiTheme="majorHAnsi" w:cs="Arial"/>
                <w:szCs w:val="22"/>
                <w:lang w:val="en-US"/>
              </w:rPr>
              <w:t>8</w:t>
            </w:r>
            <w:r w:rsidR="006206ED" w:rsidRPr="00A232EE">
              <w:rPr>
                <w:rFonts w:asciiTheme="majorHAnsi" w:eastAsia="Calibri" w:hAnsiTheme="majorHAnsi" w:cs="Arial"/>
                <w:szCs w:val="22"/>
                <w:lang w:val="en-US"/>
              </w:rPr>
              <w:t>, and construction began in May 2018</w:t>
            </w:r>
            <w:r w:rsidR="00D7516C" w:rsidRPr="00A232EE">
              <w:rPr>
                <w:rFonts w:asciiTheme="majorHAnsi" w:eastAsia="Calibri" w:hAnsiTheme="majorHAnsi" w:cs="Arial"/>
                <w:szCs w:val="22"/>
                <w:lang w:val="en-US"/>
              </w:rPr>
              <w:t>.</w:t>
            </w:r>
            <w:r w:rsidR="00A25146" w:rsidRPr="00A232EE">
              <w:rPr>
                <w:rFonts w:asciiTheme="majorHAnsi" w:eastAsia="Calibri" w:hAnsiTheme="majorHAnsi" w:cs="Arial"/>
                <w:szCs w:val="22"/>
                <w:lang w:val="en-US"/>
              </w:rPr>
              <w:t xml:space="preserve"> </w:t>
            </w:r>
            <w:r w:rsidR="006206ED" w:rsidRPr="00A232EE">
              <w:rPr>
                <w:rFonts w:asciiTheme="majorHAnsi" w:eastAsia="Calibri" w:hAnsiTheme="majorHAnsi" w:cs="Arial"/>
                <w:szCs w:val="22"/>
                <w:lang w:val="en-US"/>
              </w:rPr>
              <w:t>Se</w:t>
            </w:r>
            <w:r w:rsidR="004C345C" w:rsidRPr="00A232EE">
              <w:rPr>
                <w:rFonts w:asciiTheme="majorHAnsi" w:eastAsia="Calibri" w:hAnsiTheme="majorHAnsi" w:cs="Arial"/>
                <w:szCs w:val="22"/>
                <w:lang w:val="en-US"/>
              </w:rPr>
              <w:t>ction</w:t>
            </w:r>
            <w:r w:rsidR="006D637E" w:rsidRPr="00A232EE">
              <w:rPr>
                <w:rFonts w:asciiTheme="majorHAnsi" w:eastAsia="Calibri" w:hAnsiTheme="majorHAnsi" w:cs="Arial"/>
                <w:szCs w:val="22"/>
                <w:lang w:val="en-US"/>
              </w:rPr>
              <w:t xml:space="preserve"> three</w:t>
            </w:r>
            <w:r w:rsidR="006206ED" w:rsidRPr="00A232EE">
              <w:rPr>
                <w:rFonts w:asciiTheme="majorHAnsi" w:eastAsia="Calibri" w:hAnsiTheme="majorHAnsi" w:cs="Arial"/>
                <w:szCs w:val="22"/>
                <w:lang w:val="en-US"/>
              </w:rPr>
              <w:t>—</w:t>
            </w:r>
            <w:r w:rsidR="006D637E" w:rsidRPr="00A232EE">
              <w:rPr>
                <w:rFonts w:asciiTheme="majorHAnsi" w:eastAsia="Calibri" w:hAnsiTheme="majorHAnsi" w:cs="Arial"/>
                <w:szCs w:val="22"/>
                <w:lang w:val="en-US"/>
              </w:rPr>
              <w:t>1</w:t>
            </w:r>
            <w:r w:rsidR="002D75C9" w:rsidRPr="00A232EE">
              <w:rPr>
                <w:rFonts w:asciiTheme="majorHAnsi" w:eastAsia="Calibri" w:hAnsiTheme="majorHAnsi" w:cs="Arial"/>
                <w:szCs w:val="22"/>
                <w:lang w:val="en-US"/>
              </w:rPr>
              <w:t>5.8</w:t>
            </w:r>
            <w:r w:rsidR="006D637E" w:rsidRPr="00A232EE">
              <w:rPr>
                <w:rFonts w:asciiTheme="majorHAnsi" w:eastAsia="Calibri" w:hAnsiTheme="majorHAnsi" w:cs="Arial"/>
                <w:szCs w:val="22"/>
                <w:lang w:val="en-US"/>
              </w:rPr>
              <w:t xml:space="preserve"> kilometers from </w:t>
            </w:r>
            <w:r w:rsidR="006206ED" w:rsidRPr="00A232EE">
              <w:rPr>
                <w:rFonts w:asciiTheme="majorHAnsi" w:eastAsia="Calibri" w:hAnsiTheme="majorHAnsi" w:cs="Arial"/>
                <w:szCs w:val="22"/>
                <w:lang w:val="en-US"/>
              </w:rPr>
              <w:t>Iguana Creek Junction to Santa Elena Roundabout—has been tendered and technical and financial proposals are currently under review by the Ministry of Works (MOW) and the IDB.</w:t>
            </w:r>
          </w:p>
          <w:p w14:paraId="1FF22217" w14:textId="190C82CF" w:rsidR="00FD3A15" w:rsidRPr="00A232EE" w:rsidRDefault="006F4332">
            <w:pPr>
              <w:pStyle w:val="Paragraph"/>
              <w:tabs>
                <w:tab w:val="clear" w:pos="851"/>
                <w:tab w:val="num" w:pos="810"/>
              </w:tabs>
              <w:outlineLvl w:val="1"/>
              <w:rPr>
                <w:rFonts w:asciiTheme="majorHAnsi" w:eastAsia="Calibri" w:hAnsiTheme="majorHAnsi" w:cs="Arial"/>
                <w:szCs w:val="22"/>
                <w:lang w:val="en-US"/>
              </w:rPr>
            </w:pPr>
            <w:r w:rsidRPr="00A232EE">
              <w:rPr>
                <w:rFonts w:asciiTheme="majorHAnsi" w:hAnsiTheme="majorHAnsi"/>
                <w:szCs w:val="22"/>
              </w:rPr>
              <w:t xml:space="preserve">This project experienced modifications during its preparation stage. It initially included Section 4 of the GPH, where other types of impacts and risks were identified (such as the need for a sociocultural analysis of the Maya and Garifuna populations in that sector), but then Section 4 was not included as part of this operation. </w:t>
            </w:r>
            <w:r w:rsidR="00FD3A15" w:rsidRPr="00A232EE">
              <w:rPr>
                <w:rFonts w:asciiTheme="majorHAnsi" w:hAnsiTheme="majorHAnsi"/>
                <w:szCs w:val="22"/>
              </w:rPr>
              <w:t xml:space="preserve">It should be </w:t>
            </w:r>
            <w:r w:rsidRPr="00A232EE">
              <w:rPr>
                <w:rFonts w:asciiTheme="majorHAnsi" w:hAnsiTheme="majorHAnsi"/>
                <w:szCs w:val="22"/>
              </w:rPr>
              <w:t xml:space="preserve">also </w:t>
            </w:r>
            <w:r w:rsidR="00FD3A15" w:rsidRPr="00A232EE">
              <w:rPr>
                <w:rFonts w:asciiTheme="majorHAnsi" w:hAnsiTheme="majorHAnsi"/>
                <w:szCs w:val="22"/>
              </w:rPr>
              <w:t xml:space="preserve">noted that a second loan is </w:t>
            </w:r>
            <w:r w:rsidR="006206ED" w:rsidRPr="00A232EE">
              <w:rPr>
                <w:rFonts w:asciiTheme="majorHAnsi" w:hAnsiTheme="majorHAnsi"/>
                <w:szCs w:val="22"/>
              </w:rPr>
              <w:t xml:space="preserve">being considered </w:t>
            </w:r>
            <w:r w:rsidR="006206ED" w:rsidRPr="00A232EE">
              <w:rPr>
                <w:rFonts w:asciiTheme="majorHAnsi" w:hAnsiTheme="majorHAnsi"/>
                <w:noProof/>
                <w:szCs w:val="22"/>
              </w:rPr>
              <w:t>for</w:t>
            </w:r>
            <w:r w:rsidR="00FD3A15" w:rsidRPr="00A232EE">
              <w:rPr>
                <w:rFonts w:asciiTheme="majorHAnsi" w:hAnsiTheme="majorHAnsi"/>
                <w:noProof/>
                <w:szCs w:val="22"/>
              </w:rPr>
              <w:t xml:space="preserve"> </w:t>
            </w:r>
            <w:r w:rsidR="003E659E" w:rsidRPr="00A232EE">
              <w:rPr>
                <w:rFonts w:asciiTheme="majorHAnsi" w:hAnsiTheme="majorHAnsi"/>
                <w:noProof/>
                <w:szCs w:val="22"/>
              </w:rPr>
              <w:t>the</w:t>
            </w:r>
            <w:r w:rsidR="003E659E" w:rsidRPr="00A232EE">
              <w:rPr>
                <w:rFonts w:asciiTheme="majorHAnsi" w:hAnsiTheme="majorHAnsi"/>
                <w:szCs w:val="22"/>
              </w:rPr>
              <w:t xml:space="preserve"> second half </w:t>
            </w:r>
            <w:r w:rsidR="00FD3A15" w:rsidRPr="00A232EE">
              <w:rPr>
                <w:rFonts w:asciiTheme="majorHAnsi" w:hAnsiTheme="majorHAnsi"/>
                <w:szCs w:val="22"/>
              </w:rPr>
              <w:t xml:space="preserve">of 2018 for approval in 2019 for </w:t>
            </w:r>
            <w:r w:rsidR="008F0E52" w:rsidRPr="00A232EE">
              <w:rPr>
                <w:rFonts w:asciiTheme="majorHAnsi" w:hAnsiTheme="majorHAnsi"/>
                <w:szCs w:val="22"/>
              </w:rPr>
              <w:t>the</w:t>
            </w:r>
            <w:r w:rsidR="00FD3A15" w:rsidRPr="00A232EE">
              <w:rPr>
                <w:rFonts w:asciiTheme="majorHAnsi" w:hAnsiTheme="majorHAnsi"/>
                <w:szCs w:val="22"/>
              </w:rPr>
              <w:t xml:space="preserve"> financing </w:t>
            </w:r>
            <w:r w:rsidR="008F0E52" w:rsidRPr="00A232EE">
              <w:rPr>
                <w:rFonts w:asciiTheme="majorHAnsi" w:hAnsiTheme="majorHAnsi"/>
                <w:szCs w:val="22"/>
              </w:rPr>
              <w:t>of</w:t>
            </w:r>
            <w:r w:rsidR="00FD3A15" w:rsidRPr="00A232EE">
              <w:rPr>
                <w:rFonts w:asciiTheme="majorHAnsi" w:hAnsiTheme="majorHAnsi"/>
                <w:szCs w:val="22"/>
              </w:rPr>
              <w:t xml:space="preserve"> </w:t>
            </w:r>
            <w:r w:rsidR="00F427CC" w:rsidRPr="00A232EE">
              <w:rPr>
                <w:rFonts w:asciiTheme="majorHAnsi" w:hAnsiTheme="majorHAnsi"/>
                <w:szCs w:val="22"/>
              </w:rPr>
              <w:t xml:space="preserve">section </w:t>
            </w:r>
            <w:r w:rsidR="00A07E88" w:rsidRPr="00A232EE">
              <w:rPr>
                <w:rFonts w:asciiTheme="majorHAnsi" w:hAnsiTheme="majorHAnsi"/>
                <w:szCs w:val="22"/>
              </w:rPr>
              <w:t>4</w:t>
            </w:r>
            <w:r w:rsidR="00FD3A15" w:rsidRPr="00A232EE">
              <w:rPr>
                <w:rFonts w:asciiTheme="majorHAnsi" w:hAnsiTheme="majorHAnsi"/>
                <w:szCs w:val="22"/>
              </w:rPr>
              <w:t xml:space="preserve"> of the GPH</w:t>
            </w:r>
            <w:r w:rsidR="00A8744A" w:rsidRPr="00A232EE">
              <w:rPr>
                <w:rFonts w:asciiTheme="majorHAnsi" w:hAnsiTheme="majorHAnsi"/>
                <w:szCs w:val="22"/>
              </w:rPr>
              <w:t>,</w:t>
            </w:r>
            <w:r w:rsidR="00A8744A" w:rsidRPr="00A232EE">
              <w:rPr>
                <w:rFonts w:asciiTheme="majorHAnsi" w:eastAsia="Calibri" w:hAnsiTheme="majorHAnsi" w:cs="Arial"/>
                <w:szCs w:val="22"/>
                <w:lang w:val="en-US"/>
              </w:rPr>
              <w:t xml:space="preserve"> </w:t>
            </w:r>
            <w:r w:rsidR="00A8744A" w:rsidRPr="00A232EE">
              <w:rPr>
                <w:rFonts w:asciiTheme="majorHAnsi" w:eastAsia="Calibri" w:hAnsiTheme="majorHAnsi" w:cs="Arial"/>
                <w:noProof/>
                <w:szCs w:val="22"/>
                <w:lang w:val="en-US"/>
              </w:rPr>
              <w:t>however</w:t>
            </w:r>
            <w:r w:rsidR="00826753" w:rsidRPr="00A232EE">
              <w:rPr>
                <w:rFonts w:asciiTheme="majorHAnsi" w:eastAsia="Calibri" w:hAnsiTheme="majorHAnsi" w:cs="Arial"/>
                <w:noProof/>
                <w:szCs w:val="22"/>
                <w:lang w:val="en-US"/>
              </w:rPr>
              <w:t>,</w:t>
            </w:r>
            <w:r w:rsidR="00A8744A" w:rsidRPr="00A232EE">
              <w:rPr>
                <w:rFonts w:asciiTheme="majorHAnsi" w:eastAsia="Calibri" w:hAnsiTheme="majorHAnsi" w:cs="Arial"/>
                <w:szCs w:val="22"/>
                <w:lang w:val="en-US"/>
              </w:rPr>
              <w:t xml:space="preserve"> this is not yet confirmed</w:t>
            </w:r>
            <w:r w:rsidR="00FD3A15" w:rsidRPr="00A232EE">
              <w:rPr>
                <w:rFonts w:asciiTheme="majorHAnsi" w:hAnsiTheme="majorHAnsi"/>
                <w:szCs w:val="22"/>
              </w:rPr>
              <w:t>.</w:t>
            </w:r>
            <w:r w:rsidR="00FD3A15" w:rsidRPr="00A232EE">
              <w:rPr>
                <w:rFonts w:asciiTheme="majorHAnsi" w:eastAsia="Calibri" w:hAnsiTheme="majorHAnsi" w:cs="Arial"/>
                <w:szCs w:val="22"/>
                <w:lang w:val="en-US"/>
              </w:rPr>
              <w:t xml:space="preserve"> For additional details, see the maps included at the end of this document</w:t>
            </w:r>
            <w:r w:rsidRPr="00A232EE">
              <w:rPr>
                <w:rFonts w:asciiTheme="majorHAnsi" w:eastAsia="Calibri" w:hAnsiTheme="majorHAnsi" w:cs="Arial"/>
                <w:szCs w:val="22"/>
                <w:lang w:val="en-US"/>
              </w:rPr>
              <w:t>.</w:t>
            </w:r>
          </w:p>
          <w:p w14:paraId="27128155" w14:textId="6AE3D183" w:rsidR="006C0287" w:rsidRPr="00A232EE" w:rsidRDefault="3EFF9F7B" w:rsidP="3EFF9F7B">
            <w:pPr>
              <w:pStyle w:val="Paragraph"/>
              <w:tabs>
                <w:tab w:val="clear" w:pos="851"/>
              </w:tabs>
              <w:spacing w:before="0" w:after="0"/>
              <w:outlineLvl w:val="1"/>
              <w:rPr>
                <w:rFonts w:asciiTheme="majorHAnsi" w:eastAsiaTheme="majorEastAsia" w:hAnsiTheme="majorHAnsi" w:cstheme="majorBidi"/>
              </w:rPr>
            </w:pPr>
            <w:r w:rsidRPr="3EFF9F7B">
              <w:rPr>
                <w:rFonts w:asciiTheme="majorHAnsi" w:eastAsiaTheme="majorEastAsia" w:hAnsiTheme="majorHAnsi" w:cstheme="majorBidi"/>
              </w:rPr>
              <w:t xml:space="preserve">This </w:t>
            </w:r>
            <w:r w:rsidRPr="3EFF9F7B">
              <w:rPr>
                <w:rFonts w:asciiTheme="majorHAnsi" w:eastAsiaTheme="majorEastAsia" w:hAnsiTheme="majorHAnsi" w:cstheme="majorBidi"/>
                <w:lang w:val="en-US" w:eastAsia="en-US"/>
              </w:rPr>
              <w:t>additional</w:t>
            </w:r>
            <w:r w:rsidRPr="3EFF9F7B">
              <w:rPr>
                <w:rFonts w:asciiTheme="majorHAnsi" w:eastAsiaTheme="majorEastAsia" w:hAnsiTheme="majorHAnsi" w:cstheme="majorBidi"/>
              </w:rPr>
              <w:t xml:space="preserve"> financing operation will provide US$7 million to cover the funding gap resulting from the additional costs of completing the project which included three components: (1) Civil Works and Maintenance; (2) Institutional Strengthening; and (3) Engineering and Administration. The </w:t>
            </w:r>
            <w:r w:rsidRPr="3EFF9F7B">
              <w:rPr>
                <w:rFonts w:asciiTheme="majorHAnsi" w:eastAsiaTheme="majorEastAsia" w:hAnsiTheme="majorHAnsi" w:cstheme="majorBidi"/>
                <w:lang w:val="en-US" w:eastAsia="en-US"/>
              </w:rPr>
              <w:t>additional</w:t>
            </w:r>
            <w:r w:rsidRPr="3EFF9F7B">
              <w:rPr>
                <w:rFonts w:asciiTheme="majorHAnsi" w:eastAsiaTheme="majorEastAsia" w:hAnsiTheme="majorHAnsi" w:cstheme="majorBidi"/>
              </w:rPr>
              <w:t xml:space="preserve"> funds will predominantly finance the following: U$1.15 million for Section 3, US$0.65 million for Construction Supervision; US$2.78 million for additional quantities; U$1.65 million for utility relocation </w:t>
            </w:r>
            <w:r w:rsidRPr="3EFF9F7B">
              <w:rPr>
                <w:rFonts w:asciiTheme="majorHAnsi" w:eastAsiaTheme="majorEastAsia" w:hAnsiTheme="majorHAnsi" w:cstheme="majorBidi"/>
                <w:lang w:val="en-US"/>
              </w:rPr>
              <w:t>that are within the right of way of the works</w:t>
            </w:r>
            <w:r w:rsidRPr="3EFF9F7B">
              <w:rPr>
                <w:rFonts w:asciiTheme="majorHAnsi" w:eastAsiaTheme="majorEastAsia" w:hAnsiTheme="majorHAnsi" w:cstheme="majorBidi"/>
              </w:rPr>
              <w:t xml:space="preserve">; US$0.25 million for environmental and social mitigation, and US$0.4 million for administration and evaluations. </w:t>
            </w:r>
            <w:r w:rsidRPr="3EFF9F7B">
              <w:rPr>
                <w:rFonts w:asciiTheme="majorHAnsi" w:eastAsiaTheme="majorEastAsia" w:hAnsiTheme="majorHAnsi" w:cstheme="majorBidi"/>
                <w:lang w:val="en-US"/>
              </w:rPr>
              <w:t>The timeline for the implementation of the construction works that are part of this operation is expected to be between the second quarter of 2018 and the end of 2019.</w:t>
            </w:r>
          </w:p>
          <w:p w14:paraId="0BF85D78" w14:textId="77777777" w:rsidR="00B748A5" w:rsidRPr="00547C7F" w:rsidRDefault="00B748A5" w:rsidP="005263D4">
            <w:pPr>
              <w:pStyle w:val="Paragraph"/>
              <w:tabs>
                <w:tab w:val="clear" w:pos="851"/>
              </w:tabs>
              <w:spacing w:before="0" w:after="0"/>
              <w:outlineLvl w:val="1"/>
              <w:rPr>
                <w:rFonts w:asciiTheme="majorHAnsi" w:hAnsiTheme="majorHAnsi"/>
                <w:szCs w:val="22"/>
              </w:rPr>
            </w:pPr>
          </w:p>
        </w:tc>
      </w:tr>
      <w:tr w:rsidR="00B3466C" w:rsidRPr="007C0236" w14:paraId="598E31F9" w14:textId="77777777" w:rsidTr="3EFF9F7B">
        <w:trPr>
          <w:trHeight w:val="402"/>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5B3D7" w:themeFill="accent1" w:themeFillTint="99"/>
            <w:tcMar>
              <w:top w:w="15" w:type="dxa"/>
              <w:left w:w="105" w:type="dxa"/>
              <w:bottom w:w="15" w:type="dxa"/>
              <w:right w:w="105" w:type="dxa"/>
            </w:tcMar>
            <w:vAlign w:val="center"/>
            <w:hideMark/>
          </w:tcPr>
          <w:p w14:paraId="27ED66D1" w14:textId="77777777" w:rsidR="00B3466C" w:rsidRPr="00966D25" w:rsidRDefault="00B3466C" w:rsidP="00F356E8">
            <w:pPr>
              <w:pStyle w:val="ListParagraph"/>
              <w:numPr>
                <w:ilvl w:val="0"/>
                <w:numId w:val="13"/>
              </w:numPr>
              <w:rPr>
                <w:rFonts w:ascii="Arial" w:eastAsia="Times New Roman" w:hAnsi="Arial" w:cs="Arial"/>
                <w:b/>
                <w:bCs/>
                <w:sz w:val="27"/>
                <w:szCs w:val="27"/>
              </w:rPr>
            </w:pPr>
            <w:r w:rsidRPr="00966D25">
              <w:rPr>
                <w:rFonts w:ascii="Arial" w:eastAsia="Times New Roman" w:hAnsi="Arial" w:cs="Arial"/>
                <w:b/>
                <w:bCs/>
                <w:sz w:val="27"/>
                <w:szCs w:val="27"/>
              </w:rPr>
              <w:lastRenderedPageBreak/>
              <w:t>Key Impacts, Risks</w:t>
            </w:r>
            <w:r w:rsidR="00307D0B" w:rsidRPr="00966D25">
              <w:rPr>
                <w:rFonts w:ascii="Arial" w:eastAsia="Times New Roman" w:hAnsi="Arial" w:cs="Arial"/>
                <w:b/>
                <w:bCs/>
                <w:sz w:val="27"/>
                <w:szCs w:val="27"/>
              </w:rPr>
              <w:t>,</w:t>
            </w:r>
            <w:r w:rsidRPr="00966D25">
              <w:rPr>
                <w:rFonts w:ascii="Arial" w:eastAsia="Times New Roman" w:hAnsi="Arial" w:cs="Arial"/>
                <w:b/>
                <w:bCs/>
                <w:sz w:val="27"/>
                <w:szCs w:val="27"/>
              </w:rPr>
              <w:t xml:space="preserve"> and Mitigation Measures </w:t>
            </w:r>
          </w:p>
        </w:tc>
      </w:tr>
      <w:tr w:rsidR="00E86DA3" w:rsidRPr="007C0236" w14:paraId="28A0E758" w14:textId="77777777" w:rsidTr="3EFF9F7B">
        <w:trPr>
          <w:trHeight w:val="236"/>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15" w:type="dxa"/>
              <w:left w:w="105" w:type="dxa"/>
              <w:bottom w:w="15" w:type="dxa"/>
              <w:right w:w="105" w:type="dxa"/>
            </w:tcMar>
            <w:vAlign w:val="center"/>
          </w:tcPr>
          <w:p w14:paraId="3F1FF353" w14:textId="77777777" w:rsidR="00DA2315" w:rsidRPr="006F7063" w:rsidRDefault="00B44DDA" w:rsidP="00DA2315">
            <w:pPr>
              <w:ind w:right="165"/>
              <w:rPr>
                <w:rFonts w:ascii="Arial" w:eastAsia="Times New Roman" w:hAnsi="Arial" w:cs="Arial"/>
                <w:b/>
                <w:sz w:val="22"/>
                <w:szCs w:val="22"/>
                <w:shd w:val="clear" w:color="auto" w:fill="FFFFFF"/>
              </w:rPr>
            </w:pPr>
            <w:r w:rsidRPr="006F7063">
              <w:rPr>
                <w:rFonts w:ascii="Arial" w:eastAsia="Times New Roman" w:hAnsi="Arial" w:cs="Arial"/>
                <w:b/>
                <w:sz w:val="22"/>
                <w:szCs w:val="22"/>
              </w:rPr>
              <w:t xml:space="preserve">Assessment </w:t>
            </w:r>
            <w:r w:rsidR="00E86DA3" w:rsidRPr="006F7063">
              <w:rPr>
                <w:rFonts w:ascii="Arial" w:eastAsia="Times New Roman" w:hAnsi="Arial" w:cs="Arial"/>
                <w:b/>
                <w:sz w:val="22"/>
                <w:szCs w:val="22"/>
              </w:rPr>
              <w:t>Requirements</w:t>
            </w:r>
            <w:r w:rsidR="00DA2315" w:rsidRPr="006F7063">
              <w:rPr>
                <w:rFonts w:ascii="Arial" w:eastAsia="Times New Roman" w:hAnsi="Arial" w:cs="Arial"/>
                <w:b/>
                <w:sz w:val="22"/>
                <w:szCs w:val="22"/>
              </w:rPr>
              <w:t xml:space="preserve"> </w:t>
            </w:r>
          </w:p>
          <w:p w14:paraId="47C69723" w14:textId="77777777" w:rsidR="00E86DA3" w:rsidRPr="007C0236" w:rsidRDefault="00DA2315" w:rsidP="009A77A6">
            <w:pPr>
              <w:ind w:right="165"/>
              <w:rPr>
                <w:rFonts w:ascii="Arial" w:eastAsia="Times New Roman" w:hAnsi="Arial" w:cs="Arial"/>
                <w:sz w:val="20"/>
                <w:szCs w:val="20"/>
                <w:shd w:val="clear" w:color="auto" w:fill="FFFFFF"/>
              </w:rPr>
            </w:pPr>
            <w:r w:rsidRPr="006F7063">
              <w:rPr>
                <w:rFonts w:ascii="Arial" w:eastAsia="Times New Roman" w:hAnsi="Arial" w:cs="Arial"/>
                <w:sz w:val="22"/>
                <w:szCs w:val="22"/>
              </w:rPr>
              <w:t>OP-703 (Environment and Safeguards Compliance Policy)</w:t>
            </w:r>
            <w:r w:rsidR="003D6C2F" w:rsidRPr="006F7063">
              <w:rPr>
                <w:rFonts w:ascii="Arial" w:eastAsia="Times New Roman" w:hAnsi="Arial" w:cs="Arial"/>
                <w:sz w:val="22"/>
                <w:szCs w:val="22"/>
              </w:rPr>
              <w:t xml:space="preserve">: </w:t>
            </w:r>
            <w:r w:rsidR="00E86DA3" w:rsidRPr="006F7063">
              <w:rPr>
                <w:rFonts w:ascii="Arial" w:eastAsia="Times New Roman" w:hAnsi="Arial" w:cs="Arial"/>
                <w:sz w:val="22"/>
                <w:szCs w:val="22"/>
              </w:rPr>
              <w:t>B</w:t>
            </w:r>
            <w:r w:rsidR="005354FC" w:rsidRPr="006F7063">
              <w:rPr>
                <w:rFonts w:ascii="Arial" w:eastAsia="Times New Roman" w:hAnsi="Arial" w:cs="Arial"/>
                <w:sz w:val="22"/>
                <w:szCs w:val="22"/>
              </w:rPr>
              <w:t>.</w:t>
            </w:r>
            <w:r w:rsidR="00E86DA3" w:rsidRPr="006F7063">
              <w:rPr>
                <w:rFonts w:ascii="Arial" w:eastAsia="Times New Roman" w:hAnsi="Arial" w:cs="Arial"/>
                <w:sz w:val="22"/>
                <w:szCs w:val="22"/>
              </w:rPr>
              <w:t>3 (</w:t>
            </w:r>
            <w:r w:rsidRPr="006F7063">
              <w:rPr>
                <w:rFonts w:ascii="Arial" w:eastAsia="Times New Roman" w:hAnsi="Arial" w:cs="Arial"/>
                <w:sz w:val="22"/>
                <w:szCs w:val="22"/>
              </w:rPr>
              <w:t>Screening and Classification</w:t>
            </w:r>
            <w:r w:rsidR="00E86DA3" w:rsidRPr="006F7063">
              <w:rPr>
                <w:rFonts w:ascii="Arial" w:eastAsia="Times New Roman" w:hAnsi="Arial" w:cs="Arial"/>
                <w:sz w:val="22"/>
                <w:szCs w:val="22"/>
              </w:rPr>
              <w:t>), B</w:t>
            </w:r>
            <w:r w:rsidR="005354FC" w:rsidRPr="006F7063">
              <w:rPr>
                <w:rFonts w:ascii="Arial" w:eastAsia="Times New Roman" w:hAnsi="Arial" w:cs="Arial"/>
                <w:sz w:val="22"/>
                <w:szCs w:val="22"/>
              </w:rPr>
              <w:t>.</w:t>
            </w:r>
            <w:r w:rsidR="00E86DA3" w:rsidRPr="006F7063">
              <w:rPr>
                <w:rFonts w:ascii="Arial" w:eastAsia="Times New Roman" w:hAnsi="Arial" w:cs="Arial"/>
                <w:sz w:val="22"/>
                <w:szCs w:val="22"/>
              </w:rPr>
              <w:t>4 (</w:t>
            </w:r>
            <w:r w:rsidRPr="006F7063">
              <w:rPr>
                <w:rFonts w:ascii="Arial" w:eastAsia="Times New Roman" w:hAnsi="Arial" w:cs="Arial"/>
                <w:sz w:val="22"/>
                <w:szCs w:val="22"/>
              </w:rPr>
              <w:t>Other Risk Factors</w:t>
            </w:r>
            <w:r w:rsidR="00E86DA3" w:rsidRPr="006F7063">
              <w:rPr>
                <w:rFonts w:ascii="Arial" w:eastAsia="Times New Roman" w:hAnsi="Arial" w:cs="Arial"/>
                <w:sz w:val="22"/>
                <w:szCs w:val="22"/>
              </w:rPr>
              <w:t>), B</w:t>
            </w:r>
            <w:r w:rsidR="005354FC" w:rsidRPr="006F7063">
              <w:rPr>
                <w:rFonts w:ascii="Arial" w:eastAsia="Times New Roman" w:hAnsi="Arial" w:cs="Arial"/>
                <w:sz w:val="22"/>
                <w:szCs w:val="22"/>
              </w:rPr>
              <w:t>.</w:t>
            </w:r>
            <w:r w:rsidR="00E86DA3" w:rsidRPr="006F7063">
              <w:rPr>
                <w:rFonts w:ascii="Arial" w:eastAsia="Times New Roman" w:hAnsi="Arial" w:cs="Arial"/>
                <w:sz w:val="22"/>
                <w:szCs w:val="22"/>
              </w:rPr>
              <w:t>5 (</w:t>
            </w:r>
            <w:r w:rsidRPr="006F7063">
              <w:rPr>
                <w:rFonts w:ascii="Arial" w:eastAsia="Times New Roman" w:hAnsi="Arial" w:cs="Arial"/>
                <w:sz w:val="22"/>
                <w:szCs w:val="22"/>
              </w:rPr>
              <w:t xml:space="preserve">Environmental Assessment </w:t>
            </w:r>
            <w:r w:rsidR="00307D0B" w:rsidRPr="006F7063">
              <w:rPr>
                <w:rFonts w:ascii="Arial" w:eastAsia="Times New Roman" w:hAnsi="Arial" w:cs="Arial"/>
                <w:sz w:val="22"/>
                <w:szCs w:val="22"/>
              </w:rPr>
              <w:t xml:space="preserve">and Plans </w:t>
            </w:r>
            <w:r w:rsidRPr="006F7063">
              <w:rPr>
                <w:rFonts w:ascii="Arial" w:eastAsia="Times New Roman" w:hAnsi="Arial" w:cs="Arial"/>
                <w:sz w:val="22"/>
                <w:szCs w:val="22"/>
              </w:rPr>
              <w:t>Requirements</w:t>
            </w:r>
            <w:r w:rsidR="00B44DDA" w:rsidRPr="006F7063">
              <w:rPr>
                <w:rFonts w:ascii="Arial" w:eastAsia="Times New Roman" w:hAnsi="Arial" w:cs="Arial"/>
                <w:sz w:val="22"/>
                <w:szCs w:val="22"/>
              </w:rPr>
              <w:t>)</w:t>
            </w:r>
            <w:r w:rsidR="00E2602E">
              <w:rPr>
                <w:rFonts w:ascii="Arial" w:eastAsia="Times New Roman" w:hAnsi="Arial" w:cs="Arial"/>
                <w:sz w:val="22"/>
                <w:szCs w:val="22"/>
              </w:rPr>
              <w:t xml:space="preserve">, </w:t>
            </w:r>
            <w:r w:rsidR="00E2602E" w:rsidRPr="007046A7">
              <w:rPr>
                <w:rFonts w:ascii="Arial" w:eastAsia="Times New Roman" w:hAnsi="Arial" w:cs="Arial"/>
                <w:sz w:val="22"/>
                <w:szCs w:val="22"/>
              </w:rPr>
              <w:t xml:space="preserve">and </w:t>
            </w:r>
            <w:r w:rsidR="00E2602E">
              <w:rPr>
                <w:rFonts w:ascii="Arial" w:eastAsia="Times New Roman" w:hAnsi="Arial" w:cs="Arial"/>
                <w:sz w:val="22"/>
                <w:szCs w:val="22"/>
              </w:rPr>
              <w:t>Assessment</w:t>
            </w:r>
            <w:r w:rsidR="00E2602E" w:rsidRPr="007046A7">
              <w:rPr>
                <w:rFonts w:ascii="Arial" w:eastAsia="Times New Roman" w:hAnsi="Arial" w:cs="Arial"/>
                <w:sz w:val="22"/>
                <w:szCs w:val="22"/>
              </w:rPr>
              <w:t xml:space="preserve"> requirements of OP-</w:t>
            </w:r>
            <w:r w:rsidR="00E2602E" w:rsidRPr="00EE3E7F">
              <w:rPr>
                <w:rFonts w:ascii="Arial" w:eastAsia="Times New Roman" w:hAnsi="Arial" w:cs="Arial"/>
                <w:sz w:val="22"/>
                <w:szCs w:val="22"/>
              </w:rPr>
              <w:t>710 (Involuntary</w:t>
            </w:r>
            <w:r w:rsidR="00E2602E" w:rsidRPr="007046A7">
              <w:rPr>
                <w:rFonts w:ascii="Arial" w:eastAsia="Times New Roman" w:hAnsi="Arial" w:cs="Arial"/>
                <w:sz w:val="22"/>
                <w:szCs w:val="22"/>
              </w:rPr>
              <w:t xml:space="preserve"> Resettlement Policy), OP-765 (Indigenous Peoples Policy), OP-761 (Gender Equality in Developmen</w:t>
            </w:r>
            <w:r w:rsidR="00E2602E" w:rsidRPr="00EE3E7F">
              <w:rPr>
                <w:rFonts w:ascii="Arial" w:eastAsia="Times New Roman" w:hAnsi="Arial" w:cs="Arial"/>
                <w:sz w:val="22"/>
                <w:szCs w:val="22"/>
              </w:rPr>
              <w:t>t</w:t>
            </w:r>
            <w:r w:rsidR="00E2602E" w:rsidRPr="007046A7">
              <w:rPr>
                <w:rFonts w:ascii="Arial" w:eastAsia="Times New Roman" w:hAnsi="Arial" w:cs="Arial"/>
                <w:sz w:val="22"/>
                <w:szCs w:val="22"/>
              </w:rPr>
              <w:t xml:space="preserve"> Policy), and OP-704</w:t>
            </w:r>
            <w:r w:rsidR="00E2602E" w:rsidRPr="006F7063">
              <w:rPr>
                <w:rFonts w:ascii="Arial" w:eastAsia="Times New Roman" w:hAnsi="Arial" w:cs="Arial"/>
                <w:sz w:val="22"/>
                <w:szCs w:val="22"/>
              </w:rPr>
              <w:t xml:space="preserve"> (Disaster Risk Management Policy) as applicable</w:t>
            </w:r>
          </w:p>
        </w:tc>
      </w:tr>
      <w:tr w:rsidR="00DA2315" w:rsidRPr="007C0236" w14:paraId="5E10267B" w14:textId="77777777" w:rsidTr="3EFF9F7B">
        <w:trPr>
          <w:trHeight w:val="236"/>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3FD7D557" w14:textId="1002F30E" w:rsidR="00174010" w:rsidRPr="00A232EE" w:rsidRDefault="00A93F07" w:rsidP="00482A14">
            <w:pPr>
              <w:pStyle w:val="Paragraph"/>
              <w:tabs>
                <w:tab w:val="clear" w:pos="851"/>
              </w:tabs>
              <w:outlineLvl w:val="1"/>
              <w:rPr>
                <w:rFonts w:asciiTheme="majorHAnsi" w:eastAsia="Calibri" w:hAnsiTheme="majorHAnsi" w:cs="Arial"/>
                <w:szCs w:val="22"/>
                <w:lang w:val="en-US"/>
              </w:rPr>
            </w:pPr>
            <w:r w:rsidRPr="00EF6E80">
              <w:rPr>
                <w:rFonts w:asciiTheme="majorHAnsi" w:eastAsia="Calibri" w:hAnsiTheme="majorHAnsi" w:cs="Arial"/>
                <w:szCs w:val="22"/>
                <w:lang w:val="en-US"/>
              </w:rPr>
              <w:t>As</w:t>
            </w:r>
            <w:r w:rsidR="00FD3D47" w:rsidRPr="00EF6E80">
              <w:rPr>
                <w:rFonts w:asciiTheme="majorHAnsi" w:eastAsia="Calibri" w:hAnsiTheme="majorHAnsi" w:cs="Arial"/>
                <w:szCs w:val="22"/>
                <w:lang w:val="en-US"/>
              </w:rPr>
              <w:t xml:space="preserve"> part of the preparation of the</w:t>
            </w:r>
            <w:r w:rsidR="00402C31" w:rsidRPr="00EF6E80">
              <w:rPr>
                <w:rFonts w:asciiTheme="majorHAnsi" w:eastAsia="Calibri" w:hAnsiTheme="majorHAnsi" w:cs="Arial"/>
                <w:szCs w:val="22"/>
                <w:lang w:val="en-US"/>
              </w:rPr>
              <w:t xml:space="preserve"> original operation </w:t>
            </w:r>
            <w:r w:rsidR="00FD3D47" w:rsidRPr="00EF6E80">
              <w:rPr>
                <w:rFonts w:asciiTheme="majorHAnsi" w:eastAsia="Calibri" w:hAnsiTheme="majorHAnsi" w:cs="Arial"/>
                <w:szCs w:val="22"/>
                <w:lang w:val="en-US"/>
              </w:rPr>
              <w:t>(</w:t>
            </w:r>
            <w:hyperlink r:id="rId15" w:history="1">
              <w:r w:rsidR="00FD3D47" w:rsidRPr="00A232EE">
                <w:rPr>
                  <w:rStyle w:val="Hyperlink"/>
                  <w:rFonts w:asciiTheme="majorHAnsi" w:eastAsia="Calibri" w:hAnsiTheme="majorHAnsi" w:cs="Arial"/>
                  <w:szCs w:val="22"/>
                  <w:lang w:val="en-US"/>
                </w:rPr>
                <w:t>BL-L1019</w:t>
              </w:r>
            </w:hyperlink>
            <w:r w:rsidR="00FD3D47" w:rsidRPr="00EF6E80">
              <w:rPr>
                <w:rFonts w:asciiTheme="majorHAnsi" w:eastAsia="Calibri" w:hAnsiTheme="majorHAnsi" w:cs="Arial"/>
                <w:szCs w:val="22"/>
                <w:lang w:val="en-US"/>
              </w:rPr>
              <w:t xml:space="preserve">), the MOW </w:t>
            </w:r>
            <w:r w:rsidR="00402C31" w:rsidRPr="00EF6E80">
              <w:rPr>
                <w:rFonts w:asciiTheme="majorHAnsi" w:eastAsia="Calibri" w:hAnsiTheme="majorHAnsi" w:cs="Arial"/>
                <w:szCs w:val="22"/>
                <w:lang w:val="en-US"/>
              </w:rPr>
              <w:t>prepared an Environmental and Social Impact Assessment (ESIA)</w:t>
            </w:r>
            <w:r w:rsidR="00FD3D47" w:rsidRPr="00941273">
              <w:rPr>
                <w:rFonts w:asciiTheme="majorHAnsi" w:eastAsia="Calibri" w:hAnsiTheme="majorHAnsi" w:cs="Arial"/>
                <w:szCs w:val="22"/>
                <w:lang w:val="en-US"/>
              </w:rPr>
              <w:t xml:space="preserve">, </w:t>
            </w:r>
            <w:r w:rsidRPr="00941273">
              <w:rPr>
                <w:rFonts w:asciiTheme="majorHAnsi" w:eastAsia="Calibri" w:hAnsiTheme="majorHAnsi" w:cs="Arial"/>
                <w:szCs w:val="22"/>
                <w:lang w:val="en-US"/>
              </w:rPr>
              <w:t>and</w:t>
            </w:r>
            <w:r w:rsidR="00FD3D47" w:rsidRPr="00557192">
              <w:rPr>
                <w:rFonts w:asciiTheme="majorHAnsi" w:eastAsia="Calibri" w:hAnsiTheme="majorHAnsi" w:cs="Arial"/>
                <w:szCs w:val="22"/>
                <w:lang w:val="en-US"/>
              </w:rPr>
              <w:t xml:space="preserve"> </w:t>
            </w:r>
            <w:r w:rsidR="00402C31" w:rsidRPr="00557192">
              <w:rPr>
                <w:rFonts w:asciiTheme="majorHAnsi" w:eastAsia="Calibri" w:hAnsiTheme="majorHAnsi" w:cs="Arial"/>
                <w:szCs w:val="22"/>
                <w:lang w:val="en-US"/>
              </w:rPr>
              <w:t>Environmental and Social Management Plan (ESMP)</w:t>
            </w:r>
            <w:r w:rsidRPr="00557192">
              <w:rPr>
                <w:rFonts w:asciiTheme="majorHAnsi" w:eastAsia="Calibri" w:hAnsiTheme="majorHAnsi" w:cs="Arial"/>
                <w:szCs w:val="22"/>
                <w:lang w:val="en-US"/>
              </w:rPr>
              <w:t xml:space="preserve"> which was made </w:t>
            </w:r>
            <w:r w:rsidR="009C1887" w:rsidRPr="00557192">
              <w:rPr>
                <w:rFonts w:asciiTheme="majorHAnsi" w:eastAsia="Calibri" w:hAnsiTheme="majorHAnsi" w:cs="Arial"/>
                <w:szCs w:val="22"/>
                <w:lang w:val="en-US"/>
              </w:rPr>
              <w:t xml:space="preserve">publicly </w:t>
            </w:r>
            <w:r w:rsidRPr="00557192">
              <w:rPr>
                <w:rFonts w:asciiTheme="majorHAnsi" w:eastAsia="Calibri" w:hAnsiTheme="majorHAnsi" w:cs="Arial"/>
                <w:szCs w:val="22"/>
                <w:lang w:val="en-US"/>
              </w:rPr>
              <w:t>available prior to approval in 201</w:t>
            </w:r>
            <w:r w:rsidR="009665B5" w:rsidRPr="00557192">
              <w:rPr>
                <w:rFonts w:asciiTheme="majorHAnsi" w:eastAsia="Calibri" w:hAnsiTheme="majorHAnsi" w:cs="Arial"/>
                <w:szCs w:val="22"/>
                <w:lang w:val="en-US"/>
              </w:rPr>
              <w:t>4</w:t>
            </w:r>
            <w:r w:rsidRPr="00557192">
              <w:rPr>
                <w:rFonts w:asciiTheme="majorHAnsi" w:eastAsia="Calibri" w:hAnsiTheme="majorHAnsi" w:cs="Arial"/>
                <w:szCs w:val="22"/>
                <w:lang w:val="en-US"/>
              </w:rPr>
              <w:t xml:space="preserve"> on the </w:t>
            </w:r>
            <w:hyperlink r:id="rId16" w:history="1">
              <w:r w:rsidRPr="00A232EE">
                <w:rPr>
                  <w:rFonts w:asciiTheme="majorHAnsi" w:eastAsia="Calibri" w:hAnsiTheme="majorHAnsi" w:cs="Arial"/>
                  <w:szCs w:val="22"/>
                  <w:u w:val="single"/>
                  <w:lang w:val="en-US"/>
                </w:rPr>
                <w:t>Bank’s website</w:t>
              </w:r>
            </w:hyperlink>
            <w:r w:rsidR="00FD3D47" w:rsidRPr="00EF6E80">
              <w:rPr>
                <w:rFonts w:asciiTheme="majorHAnsi" w:eastAsia="Calibri" w:hAnsiTheme="majorHAnsi" w:cs="Arial"/>
                <w:szCs w:val="22"/>
                <w:u w:val="single"/>
                <w:lang w:val="en-US"/>
              </w:rPr>
              <w:t>.</w:t>
            </w:r>
            <w:r w:rsidR="00FD3D47" w:rsidRPr="00EF6E80">
              <w:rPr>
                <w:rFonts w:asciiTheme="majorHAnsi" w:eastAsia="Calibri" w:hAnsiTheme="majorHAnsi" w:cs="Arial"/>
                <w:szCs w:val="22"/>
                <w:lang w:val="en-US"/>
              </w:rPr>
              <w:t xml:space="preserve"> This </w:t>
            </w:r>
            <w:r w:rsidR="009665B5" w:rsidRPr="00EF6E80">
              <w:rPr>
                <w:rFonts w:asciiTheme="majorHAnsi" w:eastAsia="Calibri" w:hAnsiTheme="majorHAnsi" w:cs="Arial"/>
                <w:szCs w:val="22"/>
                <w:lang w:val="en-US"/>
              </w:rPr>
              <w:t xml:space="preserve">ESIA </w:t>
            </w:r>
            <w:r w:rsidR="00402C31" w:rsidRPr="00EF6E80">
              <w:rPr>
                <w:rFonts w:asciiTheme="majorHAnsi" w:eastAsia="Calibri" w:hAnsiTheme="majorHAnsi" w:cs="Arial"/>
                <w:szCs w:val="22"/>
                <w:lang w:val="en-US"/>
              </w:rPr>
              <w:t>was prepared in 2014 for the entire length of the G</w:t>
            </w:r>
            <w:r w:rsidR="00402C31" w:rsidRPr="00941273">
              <w:rPr>
                <w:rFonts w:asciiTheme="majorHAnsi" w:eastAsia="Calibri" w:hAnsiTheme="majorHAnsi" w:cs="Arial"/>
                <w:szCs w:val="22"/>
                <w:lang w:val="en-US"/>
              </w:rPr>
              <w:t xml:space="preserve">PH </w:t>
            </w:r>
            <w:r w:rsidR="00FD3D47" w:rsidRPr="00941273">
              <w:rPr>
                <w:rFonts w:asciiTheme="majorHAnsi" w:eastAsia="Calibri" w:hAnsiTheme="majorHAnsi" w:cs="Arial"/>
                <w:szCs w:val="22"/>
                <w:lang w:val="en-US"/>
              </w:rPr>
              <w:t>(se</w:t>
            </w:r>
            <w:r w:rsidR="009665B5" w:rsidRPr="00557192">
              <w:rPr>
                <w:rFonts w:asciiTheme="majorHAnsi" w:eastAsia="Calibri" w:hAnsiTheme="majorHAnsi" w:cs="Arial"/>
                <w:szCs w:val="22"/>
                <w:lang w:val="en-US"/>
              </w:rPr>
              <w:t>ction</w:t>
            </w:r>
            <w:r w:rsidR="00FD3D47" w:rsidRPr="00557192">
              <w:rPr>
                <w:rFonts w:asciiTheme="majorHAnsi" w:eastAsia="Calibri" w:hAnsiTheme="majorHAnsi" w:cs="Arial"/>
                <w:szCs w:val="22"/>
                <w:lang w:val="en-US"/>
              </w:rPr>
              <w:t>s one to four)</w:t>
            </w:r>
            <w:r w:rsidR="00402C31" w:rsidRPr="00557192">
              <w:rPr>
                <w:rFonts w:asciiTheme="majorHAnsi" w:eastAsia="Calibri" w:hAnsiTheme="majorHAnsi" w:cs="Arial"/>
                <w:szCs w:val="22"/>
                <w:lang w:val="en-US"/>
              </w:rPr>
              <w:t>, including the section</w:t>
            </w:r>
            <w:r w:rsidR="00FD3D47" w:rsidRPr="00557192">
              <w:rPr>
                <w:rFonts w:asciiTheme="majorHAnsi" w:eastAsia="Calibri" w:hAnsiTheme="majorHAnsi" w:cs="Arial"/>
                <w:szCs w:val="22"/>
                <w:lang w:val="en-US"/>
              </w:rPr>
              <w:t>s</w:t>
            </w:r>
            <w:r w:rsidR="00402C31" w:rsidRPr="00557192">
              <w:rPr>
                <w:rFonts w:asciiTheme="majorHAnsi" w:eastAsia="Calibri" w:hAnsiTheme="majorHAnsi" w:cs="Arial"/>
                <w:szCs w:val="22"/>
                <w:lang w:val="en-US"/>
              </w:rPr>
              <w:t xml:space="preserve"> to be financed </w:t>
            </w:r>
            <w:r w:rsidR="00FD3D47" w:rsidRPr="00557192">
              <w:rPr>
                <w:rFonts w:asciiTheme="majorHAnsi" w:eastAsia="Calibri" w:hAnsiTheme="majorHAnsi" w:cs="Arial"/>
                <w:szCs w:val="22"/>
                <w:lang w:val="en-US"/>
              </w:rPr>
              <w:t>by</w:t>
            </w:r>
            <w:r w:rsidR="00402C31" w:rsidRPr="00557192">
              <w:rPr>
                <w:rFonts w:asciiTheme="majorHAnsi" w:eastAsia="Calibri" w:hAnsiTheme="majorHAnsi" w:cs="Arial"/>
                <w:szCs w:val="22"/>
                <w:lang w:val="en-US"/>
              </w:rPr>
              <w:t xml:space="preserve"> this operation. This ESIA </w:t>
            </w:r>
            <w:r w:rsidRPr="00A232EE">
              <w:rPr>
                <w:rFonts w:asciiTheme="majorHAnsi" w:eastAsia="Calibri" w:hAnsiTheme="majorHAnsi" w:cs="Arial"/>
                <w:szCs w:val="22"/>
                <w:lang w:val="en-US"/>
              </w:rPr>
              <w:t>included an environmental and social-economic setting and baseline, detailed the institutional framework, assessed</w:t>
            </w:r>
            <w:r w:rsidR="00530768" w:rsidRPr="00A232EE">
              <w:rPr>
                <w:rFonts w:asciiTheme="majorHAnsi" w:eastAsia="Calibri" w:hAnsiTheme="majorHAnsi" w:cs="Arial"/>
                <w:szCs w:val="22"/>
                <w:lang w:val="en-US"/>
              </w:rPr>
              <w:t xml:space="preserve"> </w:t>
            </w:r>
            <w:r w:rsidRPr="00A232EE">
              <w:rPr>
                <w:rFonts w:asciiTheme="majorHAnsi" w:eastAsia="Calibri" w:hAnsiTheme="majorHAnsi" w:cs="Arial"/>
                <w:szCs w:val="22"/>
                <w:lang w:val="en-US"/>
              </w:rPr>
              <w:t>the environmental and social impacts and risks, including the disaster risk and climate change impacts</w:t>
            </w:r>
            <w:r w:rsidR="00402C31" w:rsidRPr="00A232EE">
              <w:rPr>
                <w:rFonts w:asciiTheme="majorHAnsi" w:eastAsia="Calibri" w:hAnsiTheme="majorHAnsi" w:cs="Arial"/>
                <w:szCs w:val="22"/>
                <w:lang w:val="en-US"/>
              </w:rPr>
              <w:t xml:space="preserve">, </w:t>
            </w:r>
            <w:r w:rsidRPr="00A232EE">
              <w:rPr>
                <w:rFonts w:asciiTheme="majorHAnsi" w:eastAsia="Calibri" w:hAnsiTheme="majorHAnsi" w:cs="Arial"/>
                <w:szCs w:val="22"/>
                <w:lang w:val="en-US"/>
              </w:rPr>
              <w:t xml:space="preserve">and established </w:t>
            </w:r>
            <w:r w:rsidR="00530768" w:rsidRPr="00A232EE">
              <w:rPr>
                <w:rFonts w:asciiTheme="majorHAnsi" w:eastAsia="Calibri" w:hAnsiTheme="majorHAnsi" w:cs="Arial"/>
                <w:szCs w:val="22"/>
                <w:lang w:val="en-US"/>
              </w:rPr>
              <w:t>an ESMP</w:t>
            </w:r>
            <w:r w:rsidR="00402C31" w:rsidRPr="00A232EE">
              <w:rPr>
                <w:rFonts w:asciiTheme="majorHAnsi" w:eastAsia="Calibri" w:hAnsiTheme="majorHAnsi" w:cs="Arial"/>
                <w:szCs w:val="22"/>
                <w:lang w:val="en-US"/>
              </w:rPr>
              <w:t>.</w:t>
            </w:r>
            <w:r w:rsidR="0036498B" w:rsidRPr="00A232EE">
              <w:rPr>
                <w:rFonts w:asciiTheme="majorHAnsi" w:eastAsia="Calibri" w:hAnsiTheme="majorHAnsi" w:cs="Arial"/>
                <w:szCs w:val="22"/>
                <w:lang w:val="en-US"/>
              </w:rPr>
              <w:t xml:space="preserve"> The ESIA also detailed the participation efforts undertaken during preparation. </w:t>
            </w:r>
            <w:r w:rsidR="009665B5" w:rsidRPr="00A232EE">
              <w:rPr>
                <w:rFonts w:asciiTheme="majorHAnsi" w:eastAsia="Calibri" w:hAnsiTheme="majorHAnsi" w:cs="Arial"/>
                <w:szCs w:val="22"/>
                <w:lang w:val="en-US"/>
              </w:rPr>
              <w:t>From an environmental perspective, the ESIA was as comprehensive as it could be based on the then preliminary bridge and road designs</w:t>
            </w:r>
            <w:r w:rsidR="00826753" w:rsidRPr="00A232EE">
              <w:rPr>
                <w:rFonts w:asciiTheme="majorHAnsi" w:eastAsia="Calibri" w:hAnsiTheme="majorHAnsi" w:cs="Arial"/>
                <w:szCs w:val="22"/>
                <w:lang w:val="en-US"/>
              </w:rPr>
              <w:t>.</w:t>
            </w:r>
            <w:r w:rsidR="009665B5" w:rsidRPr="00A232EE">
              <w:rPr>
                <w:rFonts w:asciiTheme="majorHAnsi" w:eastAsia="Calibri" w:hAnsiTheme="majorHAnsi" w:cs="Arial"/>
                <w:szCs w:val="22"/>
                <w:lang w:val="en-US"/>
              </w:rPr>
              <w:t xml:space="preserve"> </w:t>
            </w:r>
            <w:r w:rsidR="00826753" w:rsidRPr="00A232EE">
              <w:rPr>
                <w:rFonts w:asciiTheme="majorHAnsi" w:eastAsia="Calibri" w:hAnsiTheme="majorHAnsi" w:cs="Arial"/>
                <w:noProof/>
                <w:szCs w:val="22"/>
                <w:lang w:val="en-US"/>
              </w:rPr>
              <w:t>H</w:t>
            </w:r>
            <w:r w:rsidR="009665B5" w:rsidRPr="00A232EE">
              <w:rPr>
                <w:rFonts w:asciiTheme="majorHAnsi" w:eastAsia="Calibri" w:hAnsiTheme="majorHAnsi" w:cs="Arial"/>
                <w:noProof/>
                <w:szCs w:val="22"/>
                <w:lang w:val="en-US"/>
              </w:rPr>
              <w:t>owever</w:t>
            </w:r>
            <w:r w:rsidR="00826753" w:rsidRPr="00A232EE">
              <w:rPr>
                <w:rFonts w:asciiTheme="majorHAnsi" w:eastAsia="Calibri" w:hAnsiTheme="majorHAnsi" w:cs="Arial"/>
                <w:noProof/>
                <w:szCs w:val="22"/>
                <w:lang w:val="en-US"/>
              </w:rPr>
              <w:t>,</w:t>
            </w:r>
            <w:r w:rsidR="009665B5" w:rsidRPr="00A232EE">
              <w:rPr>
                <w:rFonts w:asciiTheme="majorHAnsi" w:eastAsia="Calibri" w:hAnsiTheme="majorHAnsi" w:cs="Arial"/>
                <w:szCs w:val="22"/>
                <w:lang w:val="en-US"/>
              </w:rPr>
              <w:t xml:space="preserve"> the ESMP lacked some level of specificity in terms of </w:t>
            </w:r>
            <w:r w:rsidR="009665B5" w:rsidRPr="00A232EE">
              <w:rPr>
                <w:rFonts w:asciiTheme="majorHAnsi" w:eastAsia="Calibri" w:hAnsiTheme="majorHAnsi" w:cs="Arial"/>
                <w:noProof/>
                <w:szCs w:val="22"/>
                <w:lang w:val="en-US"/>
              </w:rPr>
              <w:t>responsibilities</w:t>
            </w:r>
            <w:r w:rsidR="009665B5" w:rsidRPr="00A232EE">
              <w:rPr>
                <w:rFonts w:asciiTheme="majorHAnsi" w:eastAsia="Calibri" w:hAnsiTheme="majorHAnsi" w:cs="Arial"/>
                <w:szCs w:val="22"/>
                <w:lang w:val="en-US"/>
              </w:rPr>
              <w:t xml:space="preserve"> and indicators. </w:t>
            </w:r>
            <w:proofErr w:type="gramStart"/>
            <w:r w:rsidR="009665B5" w:rsidRPr="00A232EE">
              <w:rPr>
                <w:rFonts w:asciiTheme="majorHAnsi" w:eastAsia="Calibri" w:hAnsiTheme="majorHAnsi" w:cs="Arial"/>
                <w:szCs w:val="22"/>
                <w:lang w:val="en-US"/>
              </w:rPr>
              <w:t>A number of</w:t>
            </w:r>
            <w:proofErr w:type="gramEnd"/>
            <w:r w:rsidR="009665B5" w:rsidRPr="00A232EE">
              <w:rPr>
                <w:rFonts w:asciiTheme="majorHAnsi" w:eastAsia="Calibri" w:hAnsiTheme="majorHAnsi" w:cs="Arial"/>
                <w:szCs w:val="22"/>
                <w:lang w:val="en-US"/>
              </w:rPr>
              <w:t xml:space="preserve"> social plans—most importantly a Resettlement and Livelihoods Plan—were absent. </w:t>
            </w:r>
            <w:r w:rsidR="0036498B" w:rsidRPr="00A232EE">
              <w:rPr>
                <w:rFonts w:asciiTheme="majorHAnsi" w:eastAsia="Calibri" w:hAnsiTheme="majorHAnsi" w:cs="Arial"/>
                <w:szCs w:val="22"/>
                <w:lang w:val="en-US"/>
              </w:rPr>
              <w:t xml:space="preserve">The ESMP was included into the </w:t>
            </w:r>
            <w:r w:rsidR="00D133E9" w:rsidRPr="00A232EE">
              <w:rPr>
                <w:rFonts w:asciiTheme="majorHAnsi" w:eastAsia="Calibri" w:hAnsiTheme="majorHAnsi" w:cs="Arial"/>
                <w:szCs w:val="22"/>
                <w:lang w:val="en-US"/>
              </w:rPr>
              <w:t xml:space="preserve">contracts of the </w:t>
            </w:r>
            <w:r w:rsidR="0036498B" w:rsidRPr="00A232EE">
              <w:rPr>
                <w:rFonts w:asciiTheme="majorHAnsi" w:eastAsia="Calibri" w:hAnsiTheme="majorHAnsi" w:cs="Arial"/>
                <w:szCs w:val="22"/>
                <w:lang w:val="en-US"/>
              </w:rPr>
              <w:t>construction contractor</w:t>
            </w:r>
            <w:r w:rsidR="00D133E9" w:rsidRPr="00A232EE">
              <w:rPr>
                <w:rFonts w:asciiTheme="majorHAnsi" w:eastAsia="Calibri" w:hAnsiTheme="majorHAnsi" w:cs="Arial"/>
                <w:szCs w:val="22"/>
                <w:lang w:val="en-US"/>
              </w:rPr>
              <w:t xml:space="preserve"> firms</w:t>
            </w:r>
            <w:r w:rsidR="0036498B" w:rsidRPr="00A232EE">
              <w:rPr>
                <w:rFonts w:asciiTheme="majorHAnsi" w:eastAsia="Calibri" w:hAnsiTheme="majorHAnsi" w:cs="Arial"/>
                <w:szCs w:val="22"/>
                <w:lang w:val="en-US"/>
              </w:rPr>
              <w:t xml:space="preserve"> for Section 1 and 2</w:t>
            </w:r>
            <w:r w:rsidR="00D133E9" w:rsidRPr="00A232EE">
              <w:rPr>
                <w:rFonts w:asciiTheme="majorHAnsi" w:eastAsia="Calibri" w:hAnsiTheme="majorHAnsi" w:cs="Arial"/>
                <w:szCs w:val="22"/>
                <w:lang w:val="en-US"/>
              </w:rPr>
              <w:t>.</w:t>
            </w:r>
            <w:r w:rsidR="0036498B" w:rsidRPr="00A232EE">
              <w:rPr>
                <w:rFonts w:asciiTheme="majorHAnsi" w:eastAsia="Calibri" w:hAnsiTheme="majorHAnsi" w:cs="Arial"/>
                <w:szCs w:val="22"/>
                <w:lang w:val="en-US"/>
              </w:rPr>
              <w:t xml:space="preserve"> </w:t>
            </w:r>
            <w:r w:rsidR="00D133E9" w:rsidRPr="00A232EE">
              <w:rPr>
                <w:rFonts w:asciiTheme="majorHAnsi" w:eastAsia="Calibri" w:hAnsiTheme="majorHAnsi" w:cs="Arial"/>
                <w:szCs w:val="22"/>
                <w:lang w:val="en-US"/>
              </w:rPr>
              <w:t>H</w:t>
            </w:r>
            <w:r w:rsidR="0036498B" w:rsidRPr="00A232EE">
              <w:rPr>
                <w:rFonts w:asciiTheme="majorHAnsi" w:eastAsia="Calibri" w:hAnsiTheme="majorHAnsi" w:cs="Arial"/>
                <w:szCs w:val="22"/>
                <w:lang w:val="en-US"/>
              </w:rPr>
              <w:t>owever</w:t>
            </w:r>
            <w:r w:rsidR="00D133E9" w:rsidRPr="00A232EE">
              <w:rPr>
                <w:rFonts w:asciiTheme="majorHAnsi" w:eastAsia="Calibri" w:hAnsiTheme="majorHAnsi" w:cs="Arial"/>
                <w:szCs w:val="22"/>
                <w:lang w:val="en-US"/>
              </w:rPr>
              <w:t>,</w:t>
            </w:r>
            <w:r w:rsidR="0036498B" w:rsidRPr="00A232EE">
              <w:rPr>
                <w:rFonts w:asciiTheme="majorHAnsi" w:eastAsia="Calibri" w:hAnsiTheme="majorHAnsi" w:cs="Arial"/>
                <w:szCs w:val="22"/>
                <w:lang w:val="en-US"/>
              </w:rPr>
              <w:t xml:space="preserve"> many of the mitigation </w:t>
            </w:r>
            <w:r w:rsidR="00402C31" w:rsidRPr="00A232EE">
              <w:rPr>
                <w:rFonts w:asciiTheme="majorHAnsi" w:eastAsia="Calibri" w:hAnsiTheme="majorHAnsi" w:cs="Arial"/>
                <w:szCs w:val="22"/>
                <w:lang w:val="en-US"/>
              </w:rPr>
              <w:t xml:space="preserve">measures contemplated have not </w:t>
            </w:r>
            <w:r w:rsidR="00986979" w:rsidRPr="00A232EE">
              <w:rPr>
                <w:rFonts w:asciiTheme="majorHAnsi" w:eastAsia="Calibri" w:hAnsiTheme="majorHAnsi" w:cs="Arial"/>
                <w:szCs w:val="22"/>
                <w:lang w:val="en-US"/>
              </w:rPr>
              <w:t xml:space="preserve">yet </w:t>
            </w:r>
            <w:r w:rsidR="00402C31" w:rsidRPr="00A232EE">
              <w:rPr>
                <w:rFonts w:asciiTheme="majorHAnsi" w:eastAsia="Calibri" w:hAnsiTheme="majorHAnsi" w:cs="Arial"/>
                <w:szCs w:val="22"/>
                <w:lang w:val="en-US"/>
              </w:rPr>
              <w:t xml:space="preserve">been </w:t>
            </w:r>
            <w:r w:rsidR="00986979" w:rsidRPr="00A232EE">
              <w:rPr>
                <w:rFonts w:asciiTheme="majorHAnsi" w:eastAsia="Calibri" w:hAnsiTheme="majorHAnsi" w:cs="Arial"/>
                <w:szCs w:val="22"/>
                <w:lang w:val="en-US"/>
              </w:rPr>
              <w:t xml:space="preserve">fully </w:t>
            </w:r>
            <w:r w:rsidR="00402C31" w:rsidRPr="00A232EE">
              <w:rPr>
                <w:rFonts w:asciiTheme="majorHAnsi" w:eastAsia="Calibri" w:hAnsiTheme="majorHAnsi" w:cs="Arial"/>
                <w:szCs w:val="22"/>
                <w:lang w:val="en-US"/>
              </w:rPr>
              <w:t xml:space="preserve">implemented because the works on the first </w:t>
            </w:r>
            <w:r w:rsidR="009665B5" w:rsidRPr="00A232EE">
              <w:rPr>
                <w:rFonts w:asciiTheme="majorHAnsi" w:eastAsia="Calibri" w:hAnsiTheme="majorHAnsi" w:cs="Arial"/>
                <w:szCs w:val="22"/>
                <w:lang w:val="en-US"/>
              </w:rPr>
              <w:t xml:space="preserve">two </w:t>
            </w:r>
            <w:r w:rsidR="00402C31" w:rsidRPr="00A232EE">
              <w:rPr>
                <w:rFonts w:asciiTheme="majorHAnsi" w:eastAsia="Calibri" w:hAnsiTheme="majorHAnsi" w:cs="Arial"/>
                <w:szCs w:val="22"/>
                <w:lang w:val="en-US"/>
              </w:rPr>
              <w:t>se</w:t>
            </w:r>
            <w:r w:rsidR="009665B5" w:rsidRPr="00A232EE">
              <w:rPr>
                <w:rFonts w:asciiTheme="majorHAnsi" w:eastAsia="Calibri" w:hAnsiTheme="majorHAnsi" w:cs="Arial"/>
                <w:szCs w:val="22"/>
                <w:lang w:val="en-US"/>
              </w:rPr>
              <w:t>ctions</w:t>
            </w:r>
            <w:r w:rsidR="00402C31" w:rsidRPr="00A232EE">
              <w:rPr>
                <w:rFonts w:asciiTheme="majorHAnsi" w:eastAsia="Calibri" w:hAnsiTheme="majorHAnsi" w:cs="Arial"/>
                <w:szCs w:val="22"/>
                <w:lang w:val="en-US"/>
              </w:rPr>
              <w:t xml:space="preserve"> of the project </w:t>
            </w:r>
            <w:r w:rsidR="00FD3D47" w:rsidRPr="00A232EE">
              <w:rPr>
                <w:rFonts w:asciiTheme="majorHAnsi" w:eastAsia="Calibri" w:hAnsiTheme="majorHAnsi" w:cs="Arial"/>
                <w:szCs w:val="22"/>
                <w:lang w:val="en-US"/>
              </w:rPr>
              <w:t>only started in the second quarter of 2018</w:t>
            </w:r>
            <w:r w:rsidR="00F87542" w:rsidRPr="00A232EE">
              <w:rPr>
                <w:rFonts w:asciiTheme="majorHAnsi" w:eastAsia="Calibri" w:hAnsiTheme="majorHAnsi" w:cs="Arial"/>
                <w:szCs w:val="22"/>
                <w:lang w:val="en-US"/>
              </w:rPr>
              <w:t xml:space="preserve">, </w:t>
            </w:r>
            <w:proofErr w:type="gramStart"/>
            <w:r w:rsidR="00F87542" w:rsidRPr="00A232EE">
              <w:rPr>
                <w:rFonts w:asciiTheme="majorHAnsi" w:eastAsia="Calibri" w:hAnsiTheme="majorHAnsi" w:cs="Arial"/>
                <w:szCs w:val="22"/>
                <w:lang w:val="en-US"/>
              </w:rPr>
              <w:t xml:space="preserve">and </w:t>
            </w:r>
            <w:r w:rsidR="00D133E9" w:rsidRPr="00A232EE">
              <w:rPr>
                <w:rFonts w:asciiTheme="majorHAnsi" w:eastAsia="Calibri" w:hAnsiTheme="majorHAnsi" w:cs="Arial"/>
                <w:szCs w:val="22"/>
                <w:lang w:val="en-US"/>
              </w:rPr>
              <w:t>also</w:t>
            </w:r>
            <w:proofErr w:type="gramEnd"/>
            <w:r w:rsidR="00D133E9" w:rsidRPr="00A232EE">
              <w:rPr>
                <w:rFonts w:asciiTheme="majorHAnsi" w:eastAsia="Calibri" w:hAnsiTheme="majorHAnsi" w:cs="Arial"/>
                <w:szCs w:val="22"/>
                <w:lang w:val="en-US"/>
              </w:rPr>
              <w:t xml:space="preserve"> </w:t>
            </w:r>
            <w:r w:rsidR="00F87542" w:rsidRPr="00A232EE">
              <w:rPr>
                <w:rFonts w:asciiTheme="majorHAnsi" w:eastAsia="Calibri" w:hAnsiTheme="majorHAnsi" w:cs="Arial"/>
                <w:szCs w:val="22"/>
                <w:lang w:val="en-US"/>
              </w:rPr>
              <w:t>due to the lack of experience and capacity of the contractors with best management practices for environmental and social mitigation</w:t>
            </w:r>
            <w:r w:rsidR="00D133E9" w:rsidRPr="00A232EE">
              <w:rPr>
                <w:rFonts w:asciiTheme="majorHAnsi" w:eastAsia="Calibri" w:hAnsiTheme="majorHAnsi" w:cs="Arial"/>
                <w:szCs w:val="22"/>
                <w:lang w:val="en-US"/>
              </w:rPr>
              <w:t>.</w:t>
            </w:r>
            <w:r w:rsidR="00F87542" w:rsidRPr="00A232EE">
              <w:rPr>
                <w:rFonts w:asciiTheme="majorHAnsi" w:eastAsia="Calibri" w:hAnsiTheme="majorHAnsi" w:cs="Arial"/>
                <w:szCs w:val="22"/>
                <w:lang w:val="en-US"/>
              </w:rPr>
              <w:t xml:space="preserve">  Additionally</w:t>
            </w:r>
            <w:r w:rsidR="009665B5" w:rsidRPr="00A232EE">
              <w:rPr>
                <w:rFonts w:asciiTheme="majorHAnsi" w:eastAsia="Calibri" w:hAnsiTheme="majorHAnsi" w:cs="Arial"/>
                <w:szCs w:val="22"/>
                <w:lang w:val="en-US"/>
              </w:rPr>
              <w:t xml:space="preserve">, the PEU has yet to put in place environmental and social </w:t>
            </w:r>
            <w:r w:rsidR="00D133E9" w:rsidRPr="00A232EE">
              <w:rPr>
                <w:rFonts w:asciiTheme="majorHAnsi" w:eastAsia="Calibri" w:hAnsiTheme="majorHAnsi" w:cs="Arial"/>
                <w:szCs w:val="22"/>
                <w:lang w:val="en-US"/>
              </w:rPr>
              <w:t xml:space="preserve">specialists to improve its </w:t>
            </w:r>
            <w:r w:rsidR="009665B5" w:rsidRPr="00A232EE">
              <w:rPr>
                <w:rFonts w:asciiTheme="majorHAnsi" w:eastAsia="Calibri" w:hAnsiTheme="majorHAnsi" w:cs="Arial"/>
                <w:szCs w:val="22"/>
                <w:lang w:val="en-US"/>
              </w:rPr>
              <w:t>capacity</w:t>
            </w:r>
            <w:r w:rsidR="00D133E9" w:rsidRPr="00A232EE">
              <w:rPr>
                <w:rFonts w:asciiTheme="majorHAnsi" w:eastAsia="Calibri" w:hAnsiTheme="majorHAnsi" w:cs="Arial"/>
                <w:szCs w:val="22"/>
                <w:lang w:val="en-US"/>
              </w:rPr>
              <w:t>.</w:t>
            </w:r>
            <w:r w:rsidR="00F87542" w:rsidRPr="00A232EE">
              <w:rPr>
                <w:rFonts w:asciiTheme="majorHAnsi" w:eastAsia="Calibri" w:hAnsiTheme="majorHAnsi" w:cs="Arial"/>
                <w:szCs w:val="22"/>
                <w:lang w:val="en-US"/>
              </w:rPr>
              <w:t xml:space="preserve"> </w:t>
            </w:r>
            <w:r w:rsidR="00D133E9" w:rsidRPr="00A232EE">
              <w:rPr>
                <w:rFonts w:asciiTheme="majorHAnsi" w:eastAsia="Calibri" w:hAnsiTheme="majorHAnsi" w:cs="Arial"/>
                <w:szCs w:val="22"/>
                <w:lang w:val="en-US"/>
              </w:rPr>
              <w:t>T</w:t>
            </w:r>
            <w:r w:rsidR="00F87542" w:rsidRPr="00A232EE">
              <w:rPr>
                <w:rFonts w:asciiTheme="majorHAnsi" w:eastAsia="Calibri" w:hAnsiTheme="majorHAnsi" w:cs="Arial"/>
                <w:szCs w:val="22"/>
                <w:lang w:val="en-US"/>
              </w:rPr>
              <w:t xml:space="preserve">he Supervision Consultant does have a </w:t>
            </w:r>
            <w:r w:rsidR="00F87542" w:rsidRPr="00A232EE">
              <w:rPr>
                <w:rFonts w:asciiTheme="majorHAnsi" w:eastAsia="Calibri" w:hAnsiTheme="majorHAnsi" w:cs="Arial"/>
                <w:noProof/>
                <w:szCs w:val="22"/>
                <w:lang w:val="en-US"/>
              </w:rPr>
              <w:t>part</w:t>
            </w:r>
            <w:r w:rsidR="00826753" w:rsidRPr="00A232EE">
              <w:rPr>
                <w:rFonts w:asciiTheme="majorHAnsi" w:eastAsia="Calibri" w:hAnsiTheme="majorHAnsi" w:cs="Arial"/>
                <w:noProof/>
                <w:szCs w:val="22"/>
                <w:lang w:val="en-US"/>
              </w:rPr>
              <w:t>-</w:t>
            </w:r>
            <w:r w:rsidR="00F87542" w:rsidRPr="00A232EE">
              <w:rPr>
                <w:rFonts w:asciiTheme="majorHAnsi" w:eastAsia="Calibri" w:hAnsiTheme="majorHAnsi" w:cs="Arial"/>
                <w:noProof/>
                <w:szCs w:val="22"/>
                <w:lang w:val="en-US"/>
              </w:rPr>
              <w:t>time</w:t>
            </w:r>
            <w:r w:rsidR="00F87542" w:rsidRPr="00A232EE">
              <w:rPr>
                <w:rFonts w:asciiTheme="majorHAnsi" w:eastAsia="Calibri" w:hAnsiTheme="majorHAnsi" w:cs="Arial"/>
                <w:szCs w:val="22"/>
                <w:lang w:val="en-US"/>
              </w:rPr>
              <w:t xml:space="preserve"> environmental office.</w:t>
            </w:r>
            <w:r w:rsidR="009665B5" w:rsidRPr="00A232EE">
              <w:rPr>
                <w:rFonts w:asciiTheme="majorHAnsi" w:eastAsia="Calibri" w:hAnsiTheme="majorHAnsi" w:cs="Arial"/>
                <w:szCs w:val="22"/>
                <w:lang w:val="en-US"/>
              </w:rPr>
              <w:t xml:space="preserve"> </w:t>
            </w:r>
          </w:p>
          <w:p w14:paraId="56203130" w14:textId="5C3307DF" w:rsidR="00A13E14" w:rsidRPr="00A232EE" w:rsidRDefault="00843931" w:rsidP="003037CE">
            <w:pPr>
              <w:pStyle w:val="ListParagraph"/>
              <w:ind w:left="0"/>
              <w:jc w:val="both"/>
              <w:rPr>
                <w:rFonts w:asciiTheme="majorHAnsi" w:eastAsia="Calibri" w:hAnsiTheme="majorHAnsi" w:cs="Arial"/>
                <w:sz w:val="22"/>
                <w:szCs w:val="22"/>
                <w:lang w:eastAsia="it-IT"/>
              </w:rPr>
            </w:pPr>
            <w:r w:rsidRPr="00A232EE">
              <w:rPr>
                <w:rFonts w:asciiTheme="majorHAnsi" w:eastAsia="Calibri" w:hAnsiTheme="majorHAnsi" w:cs="Arial"/>
                <w:sz w:val="22"/>
                <w:szCs w:val="22"/>
                <w:lang w:eastAsia="it-IT"/>
              </w:rPr>
              <w:t>Since the original ESIA was prepared</w:t>
            </w:r>
            <w:r w:rsidR="00D133E9" w:rsidRPr="00A232EE">
              <w:rPr>
                <w:rFonts w:asciiTheme="majorHAnsi" w:eastAsia="Calibri" w:hAnsiTheme="majorHAnsi" w:cs="Arial"/>
                <w:sz w:val="22"/>
                <w:szCs w:val="22"/>
                <w:lang w:eastAsia="it-IT"/>
              </w:rPr>
              <w:t>,</w:t>
            </w:r>
            <w:r w:rsidR="009665B5" w:rsidRPr="00A232EE">
              <w:rPr>
                <w:rFonts w:asciiTheme="majorHAnsi" w:eastAsia="Calibri" w:hAnsiTheme="majorHAnsi" w:cs="Arial"/>
                <w:sz w:val="22"/>
                <w:szCs w:val="22"/>
                <w:lang w:eastAsia="it-IT"/>
              </w:rPr>
              <w:t xml:space="preserve"> the</w:t>
            </w:r>
            <w:r w:rsidRPr="00A232EE">
              <w:rPr>
                <w:rFonts w:asciiTheme="majorHAnsi" w:eastAsia="Calibri" w:hAnsiTheme="majorHAnsi" w:cs="Arial"/>
                <w:sz w:val="22"/>
                <w:szCs w:val="22"/>
                <w:lang w:eastAsia="it-IT"/>
              </w:rPr>
              <w:t xml:space="preserve"> </w:t>
            </w:r>
            <w:r w:rsidR="009665B5" w:rsidRPr="00A232EE">
              <w:rPr>
                <w:rFonts w:asciiTheme="majorHAnsi" w:eastAsia="Calibri" w:hAnsiTheme="majorHAnsi" w:cs="Arial"/>
                <w:sz w:val="22"/>
                <w:szCs w:val="22"/>
                <w:lang w:eastAsia="it-IT"/>
              </w:rPr>
              <w:t xml:space="preserve">engineering </w:t>
            </w:r>
            <w:r w:rsidRPr="00A232EE">
              <w:rPr>
                <w:rFonts w:asciiTheme="majorHAnsi" w:eastAsia="Calibri" w:hAnsiTheme="majorHAnsi" w:cs="Arial"/>
                <w:sz w:val="22"/>
                <w:szCs w:val="22"/>
                <w:lang w:eastAsia="it-IT"/>
              </w:rPr>
              <w:t xml:space="preserve">designs </w:t>
            </w:r>
            <w:r w:rsidR="009665B5" w:rsidRPr="00A232EE">
              <w:rPr>
                <w:rFonts w:asciiTheme="majorHAnsi" w:eastAsia="Calibri" w:hAnsiTheme="majorHAnsi" w:cs="Arial"/>
                <w:sz w:val="22"/>
                <w:szCs w:val="22"/>
                <w:lang w:eastAsia="it-IT"/>
              </w:rPr>
              <w:t>for the bridge and the</w:t>
            </w:r>
            <w:r w:rsidRPr="00A232EE">
              <w:rPr>
                <w:rFonts w:asciiTheme="majorHAnsi" w:eastAsia="Calibri" w:hAnsiTheme="majorHAnsi" w:cs="Arial"/>
                <w:sz w:val="22"/>
                <w:szCs w:val="22"/>
                <w:lang w:eastAsia="it-IT"/>
              </w:rPr>
              <w:t xml:space="preserve"> road have </w:t>
            </w:r>
            <w:r w:rsidR="009665B5" w:rsidRPr="00A232EE">
              <w:rPr>
                <w:rFonts w:asciiTheme="majorHAnsi" w:eastAsia="Calibri" w:hAnsiTheme="majorHAnsi" w:cs="Arial"/>
                <w:sz w:val="22"/>
                <w:szCs w:val="22"/>
                <w:lang w:eastAsia="it-IT"/>
              </w:rPr>
              <w:t>undergone significant changes and updates</w:t>
            </w:r>
            <w:r w:rsidRPr="00A232EE">
              <w:rPr>
                <w:rFonts w:asciiTheme="majorHAnsi" w:eastAsia="Calibri" w:hAnsiTheme="majorHAnsi" w:cs="Arial"/>
                <w:sz w:val="22"/>
                <w:szCs w:val="22"/>
                <w:lang w:eastAsia="it-IT"/>
              </w:rPr>
              <w:t>. Accordingly, t</w:t>
            </w:r>
            <w:r w:rsidR="00E36A10" w:rsidRPr="00A232EE">
              <w:rPr>
                <w:rFonts w:asciiTheme="majorHAnsi" w:eastAsia="Calibri" w:hAnsiTheme="majorHAnsi" w:cs="Arial"/>
                <w:sz w:val="22"/>
                <w:szCs w:val="22"/>
                <w:lang w:eastAsia="it-IT"/>
              </w:rPr>
              <w:t xml:space="preserve">he </w:t>
            </w:r>
            <w:r w:rsidR="0020769D" w:rsidRPr="00A232EE">
              <w:rPr>
                <w:rFonts w:asciiTheme="majorHAnsi" w:eastAsia="Calibri" w:hAnsiTheme="majorHAnsi" w:cs="Arial"/>
                <w:sz w:val="22"/>
                <w:szCs w:val="22"/>
                <w:lang w:eastAsia="it-IT"/>
              </w:rPr>
              <w:t>B</w:t>
            </w:r>
            <w:r w:rsidR="00E36A10" w:rsidRPr="00A232EE">
              <w:rPr>
                <w:rFonts w:asciiTheme="majorHAnsi" w:eastAsia="Calibri" w:hAnsiTheme="majorHAnsi" w:cs="Arial"/>
                <w:sz w:val="22"/>
                <w:szCs w:val="22"/>
                <w:lang w:eastAsia="it-IT"/>
              </w:rPr>
              <w:t xml:space="preserve">ank identified the need to strengthen </w:t>
            </w:r>
            <w:r w:rsidRPr="00A232EE">
              <w:rPr>
                <w:rFonts w:asciiTheme="majorHAnsi" w:eastAsia="Calibri" w:hAnsiTheme="majorHAnsi" w:cs="Arial"/>
                <w:sz w:val="22"/>
                <w:szCs w:val="22"/>
                <w:lang w:eastAsia="it-IT"/>
              </w:rPr>
              <w:t>the ESIA</w:t>
            </w:r>
            <w:r w:rsidR="00E36A10" w:rsidRPr="00A232EE">
              <w:rPr>
                <w:rFonts w:asciiTheme="majorHAnsi" w:eastAsia="Calibri" w:hAnsiTheme="majorHAnsi" w:cs="Arial"/>
                <w:sz w:val="22"/>
                <w:szCs w:val="22"/>
                <w:lang w:eastAsia="it-IT"/>
              </w:rPr>
              <w:t xml:space="preserve"> </w:t>
            </w:r>
            <w:r w:rsidR="00F87542" w:rsidRPr="00A232EE">
              <w:rPr>
                <w:rFonts w:asciiTheme="majorHAnsi" w:eastAsia="Calibri" w:hAnsiTheme="majorHAnsi" w:cs="Arial"/>
                <w:sz w:val="22"/>
                <w:szCs w:val="22"/>
                <w:lang w:eastAsia="it-IT"/>
              </w:rPr>
              <w:t>and</w:t>
            </w:r>
            <w:r w:rsidR="009F2B68" w:rsidRPr="00A232EE">
              <w:rPr>
                <w:rFonts w:asciiTheme="majorHAnsi" w:eastAsia="Calibri" w:hAnsiTheme="majorHAnsi" w:cs="Arial"/>
                <w:sz w:val="22"/>
                <w:szCs w:val="22"/>
                <w:lang w:eastAsia="it-IT"/>
              </w:rPr>
              <w:t xml:space="preserve"> </w:t>
            </w:r>
            <w:r w:rsidR="00E36A10" w:rsidRPr="00A232EE">
              <w:rPr>
                <w:rFonts w:asciiTheme="majorHAnsi" w:eastAsia="Calibri" w:hAnsiTheme="majorHAnsi" w:cs="Arial"/>
                <w:sz w:val="22"/>
                <w:szCs w:val="22"/>
                <w:lang w:eastAsia="it-IT"/>
              </w:rPr>
              <w:t>update the ESMP</w:t>
            </w:r>
            <w:r w:rsidR="004B0934" w:rsidRPr="00A232EE">
              <w:rPr>
                <w:rFonts w:asciiTheme="majorHAnsi" w:eastAsia="Calibri" w:hAnsiTheme="majorHAnsi" w:cs="Arial"/>
                <w:sz w:val="22"/>
                <w:szCs w:val="22"/>
                <w:lang w:eastAsia="it-IT"/>
              </w:rPr>
              <w:t xml:space="preserve">, making it more specific and </w:t>
            </w:r>
            <w:r w:rsidR="00E36A10" w:rsidRPr="00A232EE">
              <w:rPr>
                <w:rFonts w:asciiTheme="majorHAnsi" w:eastAsia="Calibri" w:hAnsiTheme="majorHAnsi" w:cs="Arial"/>
                <w:sz w:val="22"/>
                <w:szCs w:val="22"/>
                <w:lang w:eastAsia="it-IT"/>
              </w:rPr>
              <w:t xml:space="preserve">more operational. </w:t>
            </w:r>
            <w:r w:rsidR="004B0934" w:rsidRPr="00A232EE">
              <w:rPr>
                <w:rFonts w:asciiTheme="majorHAnsi" w:eastAsia="Calibri" w:hAnsiTheme="majorHAnsi" w:cs="Arial"/>
                <w:sz w:val="22"/>
                <w:szCs w:val="22"/>
                <w:lang w:eastAsia="it-IT"/>
              </w:rPr>
              <w:t>This involved undertaking an</w:t>
            </w:r>
            <w:r w:rsidR="003037CE" w:rsidRPr="00A232EE">
              <w:rPr>
                <w:rFonts w:asciiTheme="majorHAnsi" w:eastAsia="Calibri" w:hAnsiTheme="majorHAnsi" w:cs="Arial"/>
                <w:sz w:val="22"/>
                <w:szCs w:val="22"/>
                <w:lang w:eastAsia="it-IT"/>
              </w:rPr>
              <w:t xml:space="preserve"> a</w:t>
            </w:r>
            <w:r w:rsidR="00402C31" w:rsidRPr="00A232EE">
              <w:rPr>
                <w:rFonts w:asciiTheme="majorHAnsi" w:eastAsia="Calibri" w:hAnsiTheme="majorHAnsi" w:cs="Arial"/>
                <w:sz w:val="22"/>
                <w:szCs w:val="22"/>
                <w:lang w:eastAsia="it-IT"/>
              </w:rPr>
              <w:t xml:space="preserve">ddendum to </w:t>
            </w:r>
            <w:r w:rsidR="004B0934" w:rsidRPr="00A232EE">
              <w:rPr>
                <w:rFonts w:asciiTheme="majorHAnsi" w:eastAsia="Calibri" w:hAnsiTheme="majorHAnsi" w:cs="Arial"/>
                <w:sz w:val="22"/>
                <w:szCs w:val="22"/>
                <w:lang w:eastAsia="it-IT"/>
              </w:rPr>
              <w:t xml:space="preserve">the original </w:t>
            </w:r>
            <w:r w:rsidR="00CD72F7" w:rsidRPr="00A232EE">
              <w:rPr>
                <w:rFonts w:asciiTheme="majorHAnsi" w:eastAsia="Calibri" w:hAnsiTheme="majorHAnsi" w:cs="Arial"/>
                <w:sz w:val="22"/>
                <w:szCs w:val="22"/>
                <w:lang w:eastAsia="it-IT"/>
              </w:rPr>
              <w:t>ESIA</w:t>
            </w:r>
            <w:r w:rsidRPr="00A232EE">
              <w:rPr>
                <w:rFonts w:asciiTheme="majorHAnsi" w:eastAsia="Calibri" w:hAnsiTheme="majorHAnsi" w:cs="Arial"/>
                <w:sz w:val="22"/>
                <w:szCs w:val="22"/>
                <w:lang w:eastAsia="it-IT"/>
              </w:rPr>
              <w:t xml:space="preserve">, </w:t>
            </w:r>
            <w:r w:rsidR="004B0934" w:rsidRPr="00A232EE">
              <w:rPr>
                <w:rFonts w:asciiTheme="majorHAnsi" w:eastAsia="Calibri" w:hAnsiTheme="majorHAnsi" w:cs="Arial"/>
                <w:sz w:val="22"/>
                <w:szCs w:val="22"/>
                <w:lang w:eastAsia="it-IT"/>
              </w:rPr>
              <w:t>including the following additional analysis</w:t>
            </w:r>
            <w:r w:rsidR="00402C31" w:rsidRPr="00A232EE">
              <w:rPr>
                <w:rFonts w:asciiTheme="majorHAnsi" w:eastAsia="Calibri" w:hAnsiTheme="majorHAnsi" w:cs="Arial"/>
                <w:sz w:val="22"/>
                <w:szCs w:val="22"/>
                <w:lang w:eastAsia="it-IT"/>
              </w:rPr>
              <w:t>:</w:t>
            </w:r>
            <w:r w:rsidR="003037CE" w:rsidRPr="00A232EE">
              <w:rPr>
                <w:rFonts w:asciiTheme="majorHAnsi" w:eastAsia="Calibri" w:hAnsiTheme="majorHAnsi" w:cs="Arial"/>
                <w:sz w:val="22"/>
                <w:szCs w:val="22"/>
                <w:lang w:eastAsia="it-IT"/>
              </w:rPr>
              <w:t xml:space="preserve"> (i) </w:t>
            </w:r>
            <w:r w:rsidRPr="00A232EE">
              <w:rPr>
                <w:rFonts w:asciiTheme="majorHAnsi" w:eastAsia="Calibri" w:hAnsiTheme="majorHAnsi" w:cs="Arial"/>
                <w:sz w:val="22"/>
                <w:szCs w:val="22"/>
                <w:lang w:eastAsia="it-IT"/>
              </w:rPr>
              <w:t>a</w:t>
            </w:r>
            <w:r w:rsidR="00402C31" w:rsidRPr="00A232EE">
              <w:rPr>
                <w:rFonts w:asciiTheme="majorHAnsi" w:eastAsia="Calibri" w:hAnsiTheme="majorHAnsi" w:cs="Arial"/>
                <w:sz w:val="22"/>
                <w:szCs w:val="22"/>
                <w:lang w:eastAsia="it-IT"/>
              </w:rPr>
              <w:t xml:space="preserve"> socio</w:t>
            </w:r>
            <w:r w:rsidR="004B0934" w:rsidRPr="00A232EE">
              <w:rPr>
                <w:rFonts w:asciiTheme="majorHAnsi" w:eastAsia="Calibri" w:hAnsiTheme="majorHAnsi" w:cs="Arial"/>
                <w:sz w:val="22"/>
                <w:szCs w:val="22"/>
                <w:lang w:eastAsia="it-IT"/>
              </w:rPr>
              <w:t>-</w:t>
            </w:r>
            <w:r w:rsidR="00402C31" w:rsidRPr="00A232EE">
              <w:rPr>
                <w:rFonts w:asciiTheme="majorHAnsi" w:eastAsia="Calibri" w:hAnsiTheme="majorHAnsi" w:cs="Arial"/>
                <w:sz w:val="22"/>
                <w:szCs w:val="22"/>
                <w:lang w:eastAsia="it-IT"/>
              </w:rPr>
              <w:t xml:space="preserve">cultural analysis (SCA) </w:t>
            </w:r>
            <w:r w:rsidR="00402C31" w:rsidRPr="00EF6E80">
              <w:rPr>
                <w:rFonts w:asciiTheme="majorHAnsi" w:eastAsia="Calibri" w:hAnsiTheme="majorHAnsi" w:cs="Arial"/>
                <w:sz w:val="22"/>
                <w:szCs w:val="22"/>
                <w:lang w:eastAsia="it-IT"/>
              </w:rPr>
              <w:t>of the population</w:t>
            </w:r>
            <w:r w:rsidR="00BD7F21" w:rsidRPr="00EF6E80">
              <w:rPr>
                <w:rFonts w:asciiTheme="majorHAnsi" w:eastAsia="Calibri" w:hAnsiTheme="majorHAnsi" w:cs="Arial"/>
                <w:sz w:val="22"/>
                <w:szCs w:val="22"/>
                <w:lang w:eastAsia="it-IT"/>
              </w:rPr>
              <w:t xml:space="preserve"> </w:t>
            </w:r>
            <w:r w:rsidR="00402C31" w:rsidRPr="00941273">
              <w:rPr>
                <w:rFonts w:asciiTheme="majorHAnsi" w:eastAsia="Calibri" w:hAnsiTheme="majorHAnsi" w:cs="Arial"/>
                <w:sz w:val="22"/>
                <w:szCs w:val="22"/>
                <w:lang w:eastAsia="it-IT"/>
              </w:rPr>
              <w:t xml:space="preserve">living in the </w:t>
            </w:r>
            <w:r w:rsidR="0089212B" w:rsidRPr="00941273">
              <w:rPr>
                <w:rFonts w:asciiTheme="majorHAnsi" w:eastAsia="Calibri" w:hAnsiTheme="majorHAnsi" w:cs="Arial"/>
                <w:sz w:val="22"/>
                <w:szCs w:val="22"/>
                <w:lang w:eastAsia="it-IT"/>
              </w:rPr>
              <w:t>area of influence of the project</w:t>
            </w:r>
            <w:r w:rsidR="00424398" w:rsidRPr="00557192">
              <w:rPr>
                <w:rFonts w:asciiTheme="majorHAnsi" w:eastAsia="Calibri" w:hAnsiTheme="majorHAnsi" w:cs="Arial"/>
                <w:sz w:val="22"/>
                <w:szCs w:val="22"/>
                <w:lang w:eastAsia="it-IT"/>
              </w:rPr>
              <w:t>, which was undertaken because of the presence of Maya and Garifuna populations in Section 4, which</w:t>
            </w:r>
            <w:r w:rsidR="006E5B68" w:rsidRPr="00A232EE">
              <w:rPr>
                <w:rFonts w:asciiTheme="majorHAnsi" w:eastAsia="Calibri" w:hAnsiTheme="majorHAnsi" w:cs="Arial"/>
                <w:sz w:val="22"/>
                <w:szCs w:val="22"/>
                <w:lang w:eastAsia="it-IT"/>
              </w:rPr>
              <w:t xml:space="preserve"> eventually was</w:t>
            </w:r>
            <w:r w:rsidR="00424398" w:rsidRPr="00A232EE">
              <w:rPr>
                <w:rFonts w:asciiTheme="majorHAnsi" w:eastAsia="Calibri" w:hAnsiTheme="majorHAnsi" w:cs="Arial"/>
                <w:sz w:val="22"/>
                <w:szCs w:val="22"/>
                <w:lang w:eastAsia="it-IT"/>
              </w:rPr>
              <w:t xml:space="preserve"> taken out of the scope of this operation, </w:t>
            </w:r>
            <w:r w:rsidR="006E5B68" w:rsidRPr="00A232EE">
              <w:rPr>
                <w:rFonts w:asciiTheme="majorHAnsi" w:eastAsia="Calibri" w:hAnsiTheme="majorHAnsi" w:cs="Arial"/>
                <w:sz w:val="22"/>
                <w:szCs w:val="22"/>
                <w:lang w:eastAsia="it-IT"/>
              </w:rPr>
              <w:t>but was left in place to confirm the lack of presence in the area of influence of segments 1-3 of the project</w:t>
            </w:r>
            <w:r w:rsidR="003037CE" w:rsidRPr="00A232EE">
              <w:rPr>
                <w:rFonts w:asciiTheme="majorHAnsi" w:eastAsia="Calibri" w:hAnsiTheme="majorHAnsi" w:cs="Arial"/>
                <w:sz w:val="22"/>
                <w:szCs w:val="22"/>
                <w:lang w:eastAsia="it-IT"/>
              </w:rPr>
              <w:t xml:space="preserve">; </w:t>
            </w:r>
            <w:r w:rsidR="00D133E9" w:rsidRPr="00A232EE">
              <w:rPr>
                <w:rFonts w:asciiTheme="majorHAnsi" w:eastAsia="Calibri" w:hAnsiTheme="majorHAnsi" w:cs="Arial"/>
                <w:sz w:val="22"/>
                <w:szCs w:val="22"/>
                <w:lang w:eastAsia="it-IT"/>
              </w:rPr>
              <w:t xml:space="preserve">and </w:t>
            </w:r>
            <w:r w:rsidR="003037CE" w:rsidRPr="00A232EE">
              <w:rPr>
                <w:rFonts w:asciiTheme="majorHAnsi" w:eastAsia="Calibri" w:hAnsiTheme="majorHAnsi" w:cs="Arial"/>
                <w:sz w:val="22"/>
                <w:szCs w:val="22"/>
                <w:lang w:eastAsia="it-IT"/>
              </w:rPr>
              <w:t>(ii) a</w:t>
            </w:r>
            <w:r w:rsidR="00F36DBD" w:rsidRPr="00A232EE">
              <w:rPr>
                <w:rFonts w:asciiTheme="majorHAnsi" w:eastAsia="Calibri" w:hAnsiTheme="majorHAnsi" w:cs="Arial"/>
                <w:sz w:val="22"/>
                <w:szCs w:val="22"/>
                <w:lang w:eastAsia="it-IT"/>
              </w:rPr>
              <w:t xml:space="preserve"> s</w:t>
            </w:r>
            <w:r w:rsidR="00402C31" w:rsidRPr="00A232EE">
              <w:rPr>
                <w:rFonts w:asciiTheme="majorHAnsi" w:eastAsia="Calibri" w:hAnsiTheme="majorHAnsi" w:cs="Arial"/>
                <w:sz w:val="22"/>
                <w:szCs w:val="22"/>
                <w:lang w:eastAsia="it-IT"/>
              </w:rPr>
              <w:t>trengthened analysis of road safety</w:t>
            </w:r>
            <w:r w:rsidRPr="00A232EE">
              <w:rPr>
                <w:rFonts w:asciiTheme="majorHAnsi" w:eastAsia="Calibri" w:hAnsiTheme="majorHAnsi" w:cs="Arial"/>
                <w:sz w:val="22"/>
                <w:szCs w:val="22"/>
                <w:lang w:eastAsia="it-IT"/>
              </w:rPr>
              <w:t xml:space="preserve"> issues</w:t>
            </w:r>
            <w:r w:rsidR="003037CE" w:rsidRPr="00A232EE">
              <w:rPr>
                <w:rFonts w:asciiTheme="majorHAnsi" w:eastAsia="Calibri" w:hAnsiTheme="majorHAnsi" w:cs="Arial"/>
                <w:sz w:val="22"/>
                <w:szCs w:val="22"/>
                <w:lang w:eastAsia="it-IT"/>
              </w:rPr>
              <w:t>.</w:t>
            </w:r>
            <w:r w:rsidRPr="00A232EE">
              <w:rPr>
                <w:rFonts w:asciiTheme="majorHAnsi" w:eastAsia="Calibri" w:hAnsiTheme="majorHAnsi" w:cs="Arial"/>
                <w:sz w:val="22"/>
                <w:szCs w:val="22"/>
                <w:lang w:eastAsia="it-IT"/>
              </w:rPr>
              <w:t xml:space="preserve"> </w:t>
            </w:r>
            <w:r w:rsidR="004B0934" w:rsidRPr="00A232EE">
              <w:rPr>
                <w:rFonts w:asciiTheme="majorHAnsi" w:eastAsia="Calibri" w:hAnsiTheme="majorHAnsi" w:cs="Arial"/>
                <w:sz w:val="22"/>
                <w:szCs w:val="22"/>
                <w:lang w:eastAsia="it-IT"/>
              </w:rPr>
              <w:t xml:space="preserve">The </w:t>
            </w:r>
            <w:r w:rsidR="00402C31" w:rsidRPr="00A232EE">
              <w:rPr>
                <w:rFonts w:asciiTheme="majorHAnsi" w:eastAsia="Calibri" w:hAnsiTheme="majorHAnsi" w:cs="Arial"/>
                <w:sz w:val="22"/>
                <w:szCs w:val="22"/>
                <w:lang w:eastAsia="it-IT"/>
              </w:rPr>
              <w:t>ESMP</w:t>
            </w:r>
            <w:r w:rsidR="004B0934" w:rsidRPr="00A232EE">
              <w:rPr>
                <w:rFonts w:asciiTheme="majorHAnsi" w:eastAsia="Calibri" w:hAnsiTheme="majorHAnsi" w:cs="Arial"/>
                <w:sz w:val="22"/>
                <w:szCs w:val="22"/>
                <w:lang w:eastAsia="it-IT"/>
              </w:rPr>
              <w:t xml:space="preserve"> w</w:t>
            </w:r>
            <w:r w:rsidR="00F87542" w:rsidRPr="00A232EE">
              <w:rPr>
                <w:rFonts w:asciiTheme="majorHAnsi" w:eastAsia="Calibri" w:hAnsiTheme="majorHAnsi" w:cs="Arial"/>
                <w:sz w:val="22"/>
                <w:szCs w:val="22"/>
                <w:lang w:eastAsia="it-IT"/>
              </w:rPr>
              <w:t>as</w:t>
            </w:r>
            <w:r w:rsidR="004B0934" w:rsidRPr="00A232EE">
              <w:rPr>
                <w:rFonts w:asciiTheme="majorHAnsi" w:eastAsia="Calibri" w:hAnsiTheme="majorHAnsi" w:cs="Arial"/>
                <w:sz w:val="22"/>
                <w:szCs w:val="22"/>
                <w:lang w:eastAsia="it-IT"/>
              </w:rPr>
              <w:t xml:space="preserve"> updated, and a number of new plans were prepared:</w:t>
            </w:r>
            <w:r w:rsidR="003037CE" w:rsidRPr="00A232EE">
              <w:rPr>
                <w:rFonts w:asciiTheme="majorHAnsi" w:eastAsia="Calibri" w:hAnsiTheme="majorHAnsi" w:cs="Arial"/>
                <w:sz w:val="22"/>
                <w:szCs w:val="22"/>
                <w:lang w:eastAsia="it-IT"/>
              </w:rPr>
              <w:t xml:space="preserve"> </w:t>
            </w:r>
            <w:proofErr w:type="gramStart"/>
            <w:r w:rsidR="003E703E" w:rsidRPr="00A232EE">
              <w:rPr>
                <w:rFonts w:asciiTheme="majorHAnsi" w:eastAsia="Calibri" w:hAnsiTheme="majorHAnsi" w:cs="Arial"/>
                <w:sz w:val="22"/>
                <w:szCs w:val="22"/>
                <w:lang w:eastAsia="it-IT"/>
              </w:rPr>
              <w:t>a</w:t>
            </w:r>
            <w:proofErr w:type="gramEnd"/>
            <w:r w:rsidR="003037CE" w:rsidRPr="00A232EE">
              <w:rPr>
                <w:rFonts w:asciiTheme="majorHAnsi" w:eastAsia="Calibri" w:hAnsiTheme="majorHAnsi" w:cs="Arial"/>
                <w:sz w:val="22"/>
                <w:szCs w:val="22"/>
                <w:lang w:eastAsia="it-IT"/>
              </w:rPr>
              <w:t xml:space="preserve"> </w:t>
            </w:r>
            <w:r w:rsidR="004B0934" w:rsidRPr="00A232EE">
              <w:rPr>
                <w:rFonts w:asciiTheme="majorHAnsi" w:eastAsia="Calibri" w:hAnsiTheme="majorHAnsi" w:cs="Arial"/>
                <w:sz w:val="22"/>
                <w:szCs w:val="22"/>
                <w:lang w:eastAsia="it-IT"/>
              </w:rPr>
              <w:t>G</w:t>
            </w:r>
            <w:r w:rsidR="003037CE" w:rsidRPr="00A232EE">
              <w:rPr>
                <w:rFonts w:asciiTheme="majorHAnsi" w:eastAsia="Calibri" w:hAnsiTheme="majorHAnsi" w:cs="Arial"/>
                <w:sz w:val="22"/>
                <w:szCs w:val="22"/>
                <w:lang w:eastAsia="it-IT"/>
              </w:rPr>
              <w:t xml:space="preserve">ender </w:t>
            </w:r>
            <w:r w:rsidR="00482A14" w:rsidRPr="00A232EE">
              <w:rPr>
                <w:rFonts w:asciiTheme="majorHAnsi" w:eastAsia="Calibri" w:hAnsiTheme="majorHAnsi" w:cs="Arial"/>
                <w:sz w:val="22"/>
                <w:szCs w:val="22"/>
                <w:lang w:eastAsia="it-IT"/>
              </w:rPr>
              <w:t xml:space="preserve">Strategy and </w:t>
            </w:r>
            <w:r w:rsidR="003E703E" w:rsidRPr="00A232EE">
              <w:rPr>
                <w:rFonts w:asciiTheme="majorHAnsi" w:eastAsia="Calibri" w:hAnsiTheme="majorHAnsi" w:cs="Arial"/>
                <w:sz w:val="22"/>
                <w:szCs w:val="22"/>
                <w:lang w:eastAsia="it-IT"/>
              </w:rPr>
              <w:t>A</w:t>
            </w:r>
            <w:r w:rsidR="003037CE" w:rsidRPr="00A232EE">
              <w:rPr>
                <w:rFonts w:asciiTheme="majorHAnsi" w:eastAsia="Calibri" w:hAnsiTheme="majorHAnsi" w:cs="Arial"/>
                <w:sz w:val="22"/>
                <w:szCs w:val="22"/>
                <w:lang w:eastAsia="it-IT"/>
              </w:rPr>
              <w:t xml:space="preserve">ction </w:t>
            </w:r>
            <w:r w:rsidR="003E703E" w:rsidRPr="00A232EE">
              <w:rPr>
                <w:rFonts w:asciiTheme="majorHAnsi" w:eastAsia="Calibri" w:hAnsiTheme="majorHAnsi" w:cs="Arial"/>
                <w:sz w:val="22"/>
                <w:szCs w:val="22"/>
                <w:lang w:eastAsia="it-IT"/>
              </w:rPr>
              <w:t>P</w:t>
            </w:r>
            <w:r w:rsidR="003037CE" w:rsidRPr="00A232EE">
              <w:rPr>
                <w:rFonts w:asciiTheme="majorHAnsi" w:eastAsia="Calibri" w:hAnsiTheme="majorHAnsi" w:cs="Arial"/>
                <w:sz w:val="22"/>
                <w:szCs w:val="22"/>
                <w:lang w:eastAsia="it-IT"/>
              </w:rPr>
              <w:t xml:space="preserve">lan, </w:t>
            </w:r>
            <w:r w:rsidR="003E703E" w:rsidRPr="00A232EE">
              <w:rPr>
                <w:rFonts w:asciiTheme="majorHAnsi" w:eastAsia="Calibri" w:hAnsiTheme="majorHAnsi" w:cs="Arial"/>
                <w:sz w:val="22"/>
                <w:szCs w:val="22"/>
                <w:lang w:eastAsia="it-IT"/>
              </w:rPr>
              <w:t>a C</w:t>
            </w:r>
            <w:r w:rsidR="003037CE" w:rsidRPr="00A232EE">
              <w:rPr>
                <w:rFonts w:asciiTheme="majorHAnsi" w:eastAsia="Calibri" w:hAnsiTheme="majorHAnsi" w:cs="Arial"/>
                <w:sz w:val="22"/>
                <w:szCs w:val="22"/>
                <w:lang w:eastAsia="it-IT"/>
              </w:rPr>
              <w:t xml:space="preserve">onsultation and </w:t>
            </w:r>
            <w:r w:rsidR="003E703E" w:rsidRPr="00A232EE">
              <w:rPr>
                <w:rFonts w:asciiTheme="majorHAnsi" w:eastAsia="Calibri" w:hAnsiTheme="majorHAnsi" w:cs="Arial"/>
                <w:sz w:val="22"/>
                <w:szCs w:val="22"/>
                <w:lang w:eastAsia="it-IT"/>
              </w:rPr>
              <w:t>S</w:t>
            </w:r>
            <w:r w:rsidR="00CD72F7" w:rsidRPr="00A232EE">
              <w:rPr>
                <w:rFonts w:asciiTheme="majorHAnsi" w:eastAsia="Calibri" w:hAnsiTheme="majorHAnsi" w:cs="Arial"/>
                <w:sz w:val="22"/>
                <w:szCs w:val="22"/>
                <w:lang w:eastAsia="it-IT"/>
              </w:rPr>
              <w:t>takeholder</w:t>
            </w:r>
            <w:r w:rsidR="003037CE" w:rsidRPr="00A232EE">
              <w:rPr>
                <w:rFonts w:asciiTheme="majorHAnsi" w:eastAsia="Calibri" w:hAnsiTheme="majorHAnsi" w:cs="Arial"/>
                <w:sz w:val="22"/>
                <w:szCs w:val="22"/>
                <w:lang w:eastAsia="it-IT"/>
              </w:rPr>
              <w:t xml:space="preserve"> </w:t>
            </w:r>
            <w:r w:rsidR="003E703E" w:rsidRPr="00A232EE">
              <w:rPr>
                <w:rFonts w:asciiTheme="majorHAnsi" w:eastAsia="Calibri" w:hAnsiTheme="majorHAnsi" w:cs="Arial"/>
                <w:sz w:val="22"/>
                <w:szCs w:val="22"/>
                <w:lang w:eastAsia="it-IT"/>
              </w:rPr>
              <w:t>E</w:t>
            </w:r>
            <w:r w:rsidR="003037CE" w:rsidRPr="00A232EE">
              <w:rPr>
                <w:rFonts w:asciiTheme="majorHAnsi" w:eastAsia="Calibri" w:hAnsiTheme="majorHAnsi" w:cs="Arial"/>
                <w:sz w:val="22"/>
                <w:szCs w:val="22"/>
                <w:lang w:eastAsia="it-IT"/>
              </w:rPr>
              <w:t xml:space="preserve">ngagement </w:t>
            </w:r>
            <w:r w:rsidR="003E703E" w:rsidRPr="00A232EE">
              <w:rPr>
                <w:rFonts w:asciiTheme="majorHAnsi" w:eastAsia="Calibri" w:hAnsiTheme="majorHAnsi" w:cs="Arial"/>
                <w:sz w:val="22"/>
                <w:szCs w:val="22"/>
                <w:lang w:eastAsia="it-IT"/>
              </w:rPr>
              <w:t>P</w:t>
            </w:r>
            <w:r w:rsidR="003037CE" w:rsidRPr="00A232EE">
              <w:rPr>
                <w:rFonts w:asciiTheme="majorHAnsi" w:eastAsia="Calibri" w:hAnsiTheme="majorHAnsi" w:cs="Arial"/>
                <w:sz w:val="22"/>
                <w:szCs w:val="22"/>
                <w:lang w:eastAsia="it-IT"/>
              </w:rPr>
              <w:t xml:space="preserve">lan, and </w:t>
            </w:r>
            <w:r w:rsidR="003E703E" w:rsidRPr="00A232EE">
              <w:rPr>
                <w:rFonts w:asciiTheme="majorHAnsi" w:eastAsia="Calibri" w:hAnsiTheme="majorHAnsi" w:cs="Arial"/>
                <w:sz w:val="22"/>
                <w:szCs w:val="22"/>
                <w:lang w:eastAsia="it-IT"/>
              </w:rPr>
              <w:t>a R</w:t>
            </w:r>
            <w:r w:rsidR="00CD72F7" w:rsidRPr="00A232EE">
              <w:rPr>
                <w:rFonts w:asciiTheme="majorHAnsi" w:eastAsia="Calibri" w:hAnsiTheme="majorHAnsi" w:cs="Arial"/>
                <w:sz w:val="22"/>
                <w:szCs w:val="22"/>
                <w:lang w:eastAsia="it-IT"/>
              </w:rPr>
              <w:t xml:space="preserve">esettlement and </w:t>
            </w:r>
            <w:r w:rsidR="003E703E" w:rsidRPr="00A232EE">
              <w:rPr>
                <w:rFonts w:asciiTheme="majorHAnsi" w:eastAsia="Calibri" w:hAnsiTheme="majorHAnsi" w:cs="Arial"/>
                <w:sz w:val="22"/>
                <w:szCs w:val="22"/>
                <w:lang w:eastAsia="it-IT"/>
              </w:rPr>
              <w:t>L</w:t>
            </w:r>
            <w:r w:rsidR="00CD72F7" w:rsidRPr="00A232EE">
              <w:rPr>
                <w:rFonts w:asciiTheme="majorHAnsi" w:eastAsia="Calibri" w:hAnsiTheme="majorHAnsi" w:cs="Arial"/>
                <w:sz w:val="22"/>
                <w:szCs w:val="22"/>
                <w:lang w:eastAsia="it-IT"/>
              </w:rPr>
              <w:t xml:space="preserve">ivelihoods </w:t>
            </w:r>
            <w:r w:rsidR="003E703E" w:rsidRPr="00A232EE">
              <w:rPr>
                <w:rFonts w:asciiTheme="majorHAnsi" w:eastAsia="Calibri" w:hAnsiTheme="majorHAnsi" w:cs="Arial"/>
                <w:sz w:val="22"/>
                <w:szCs w:val="22"/>
                <w:lang w:eastAsia="it-IT"/>
              </w:rPr>
              <w:t>R</w:t>
            </w:r>
            <w:r w:rsidR="00CD72F7" w:rsidRPr="00A232EE">
              <w:rPr>
                <w:rFonts w:asciiTheme="majorHAnsi" w:eastAsia="Calibri" w:hAnsiTheme="majorHAnsi" w:cs="Arial"/>
                <w:sz w:val="22"/>
                <w:szCs w:val="22"/>
                <w:lang w:eastAsia="it-IT"/>
              </w:rPr>
              <w:t xml:space="preserve">estoration </w:t>
            </w:r>
            <w:r w:rsidR="003E703E" w:rsidRPr="00A232EE">
              <w:rPr>
                <w:rFonts w:asciiTheme="majorHAnsi" w:eastAsia="Calibri" w:hAnsiTheme="majorHAnsi" w:cs="Arial"/>
                <w:sz w:val="22"/>
                <w:szCs w:val="22"/>
                <w:lang w:eastAsia="it-IT"/>
              </w:rPr>
              <w:t>P</w:t>
            </w:r>
            <w:r w:rsidR="00CD72F7" w:rsidRPr="00A232EE">
              <w:rPr>
                <w:rFonts w:asciiTheme="majorHAnsi" w:eastAsia="Calibri" w:hAnsiTheme="majorHAnsi" w:cs="Arial"/>
                <w:sz w:val="22"/>
                <w:szCs w:val="22"/>
                <w:lang w:eastAsia="it-IT"/>
              </w:rPr>
              <w:t>lan</w:t>
            </w:r>
            <w:r w:rsidR="00F51A18" w:rsidRPr="00A232EE">
              <w:rPr>
                <w:rFonts w:asciiTheme="majorHAnsi" w:eastAsia="Calibri" w:hAnsiTheme="majorHAnsi" w:cs="Arial"/>
                <w:sz w:val="22"/>
                <w:szCs w:val="22"/>
                <w:lang w:eastAsia="it-IT"/>
              </w:rPr>
              <w:t>.</w:t>
            </w:r>
            <w:r w:rsidR="00EF0758" w:rsidRPr="00A232EE">
              <w:rPr>
                <w:rFonts w:asciiTheme="majorHAnsi" w:eastAsia="Calibri" w:hAnsiTheme="majorHAnsi" w:cs="Arial"/>
                <w:sz w:val="22"/>
                <w:szCs w:val="22"/>
                <w:lang w:eastAsia="it-IT"/>
              </w:rPr>
              <w:t xml:space="preserve"> These plans are explained in the following sections.</w:t>
            </w:r>
          </w:p>
          <w:p w14:paraId="2C0BDC53" w14:textId="77777777" w:rsidR="003037CE" w:rsidRPr="00547C7F" w:rsidRDefault="00067EED" w:rsidP="00091C16">
            <w:pPr>
              <w:pStyle w:val="Paragraph"/>
              <w:tabs>
                <w:tab w:val="clear" w:pos="851"/>
                <w:tab w:val="num" w:pos="810"/>
              </w:tabs>
              <w:outlineLvl w:val="1"/>
              <w:rPr>
                <w:rFonts w:asciiTheme="majorHAnsi" w:hAnsiTheme="majorHAnsi"/>
                <w:szCs w:val="22"/>
                <w:shd w:val="clear" w:color="auto" w:fill="FFFFFF"/>
              </w:rPr>
            </w:pPr>
            <w:r w:rsidRPr="00A232EE">
              <w:rPr>
                <w:rFonts w:asciiTheme="majorHAnsi" w:eastAsia="Calibri" w:hAnsiTheme="majorHAnsi" w:cs="Arial"/>
                <w:szCs w:val="22"/>
                <w:lang w:val="en-US"/>
              </w:rPr>
              <w:t xml:space="preserve">The environmental and social risk of the project has been deemed as moderate </w:t>
            </w:r>
            <w:r w:rsidR="00F87542" w:rsidRPr="00A232EE">
              <w:rPr>
                <w:rFonts w:asciiTheme="majorHAnsi" w:eastAsia="Calibri" w:hAnsiTheme="majorHAnsi" w:cs="Arial"/>
                <w:szCs w:val="22"/>
                <w:lang w:val="en-US"/>
              </w:rPr>
              <w:t>due to</w:t>
            </w:r>
            <w:r w:rsidRPr="00A232EE">
              <w:rPr>
                <w:rFonts w:asciiTheme="majorHAnsi" w:eastAsia="Calibri" w:hAnsiTheme="majorHAnsi" w:cs="Arial"/>
                <w:szCs w:val="22"/>
                <w:lang w:val="en-US"/>
              </w:rPr>
              <w:t xml:space="preserve"> the combination of impacts caused by the project, </w:t>
            </w:r>
            <w:proofErr w:type="gramStart"/>
            <w:r w:rsidR="00F87542" w:rsidRPr="00A232EE">
              <w:rPr>
                <w:rFonts w:asciiTheme="majorHAnsi" w:eastAsia="Calibri" w:hAnsiTheme="majorHAnsi" w:cs="Arial"/>
                <w:szCs w:val="22"/>
                <w:lang w:val="en-US"/>
              </w:rPr>
              <w:t xml:space="preserve">in </w:t>
            </w:r>
            <w:r w:rsidR="00F87542" w:rsidRPr="00A232EE">
              <w:rPr>
                <w:rFonts w:asciiTheme="majorHAnsi" w:eastAsia="Calibri" w:hAnsiTheme="majorHAnsi" w:cs="Arial"/>
                <w:noProof/>
                <w:szCs w:val="22"/>
                <w:lang w:val="en-US"/>
              </w:rPr>
              <w:t>particular</w:t>
            </w:r>
            <w:r w:rsidRPr="00A232EE">
              <w:rPr>
                <w:rFonts w:asciiTheme="majorHAnsi" w:eastAsia="Calibri" w:hAnsiTheme="majorHAnsi" w:cs="Arial"/>
                <w:szCs w:val="22"/>
                <w:lang w:val="en-US"/>
              </w:rPr>
              <w:t xml:space="preserve"> the</w:t>
            </w:r>
            <w:proofErr w:type="gramEnd"/>
            <w:r w:rsidRPr="00A232EE">
              <w:rPr>
                <w:rFonts w:asciiTheme="majorHAnsi" w:eastAsia="Calibri" w:hAnsiTheme="majorHAnsi" w:cs="Arial"/>
                <w:szCs w:val="22"/>
                <w:lang w:val="en-US"/>
              </w:rPr>
              <w:t xml:space="preserve"> limited scope of the physical displacement and economic impacts</w:t>
            </w:r>
            <w:r w:rsidR="00F87542" w:rsidRPr="00A232EE">
              <w:rPr>
                <w:rFonts w:asciiTheme="majorHAnsi" w:eastAsia="Calibri" w:hAnsiTheme="majorHAnsi" w:cs="Arial"/>
                <w:szCs w:val="22"/>
                <w:lang w:val="en-US"/>
              </w:rPr>
              <w:t>,</w:t>
            </w:r>
            <w:r w:rsidRPr="00A232EE">
              <w:rPr>
                <w:rFonts w:asciiTheme="majorHAnsi" w:eastAsia="Calibri" w:hAnsiTheme="majorHAnsi" w:cs="Arial"/>
                <w:szCs w:val="22"/>
                <w:lang w:val="en-US"/>
              </w:rPr>
              <w:t xml:space="preserve"> and the limited capacity of </w:t>
            </w:r>
            <w:r w:rsidR="00F87542" w:rsidRPr="00A232EE">
              <w:rPr>
                <w:rFonts w:asciiTheme="majorHAnsi" w:eastAsia="Calibri" w:hAnsiTheme="majorHAnsi" w:cs="Arial"/>
                <w:szCs w:val="22"/>
                <w:lang w:val="en-US"/>
              </w:rPr>
              <w:t>the Executing Agency and the Contractors</w:t>
            </w:r>
            <w:r w:rsidRPr="00A232EE">
              <w:rPr>
                <w:rFonts w:asciiTheme="majorHAnsi" w:eastAsia="Calibri" w:hAnsiTheme="majorHAnsi" w:cs="Arial"/>
                <w:szCs w:val="22"/>
                <w:lang w:val="en-US"/>
              </w:rPr>
              <w:t xml:space="preserve"> to implement and monitor the execution of the environmental and social management plans</w:t>
            </w:r>
            <w:r w:rsidR="00F87542" w:rsidRPr="00A232EE">
              <w:rPr>
                <w:rFonts w:asciiTheme="majorHAnsi" w:eastAsia="Calibri" w:hAnsiTheme="majorHAnsi" w:cs="Arial"/>
                <w:szCs w:val="22"/>
                <w:lang w:val="en-US"/>
              </w:rPr>
              <w:t>.</w:t>
            </w:r>
            <w:r w:rsidRPr="00A232EE">
              <w:rPr>
                <w:rFonts w:asciiTheme="majorHAnsi" w:eastAsia="Calibri" w:hAnsiTheme="majorHAnsi" w:cs="Arial"/>
                <w:szCs w:val="22"/>
                <w:lang w:val="en-US"/>
              </w:rPr>
              <w:t xml:space="preserve"> </w:t>
            </w:r>
          </w:p>
        </w:tc>
      </w:tr>
      <w:tr w:rsidR="00DA2315" w:rsidRPr="007C0236" w14:paraId="1451DF97" w14:textId="77777777" w:rsidTr="3EFF9F7B">
        <w:trPr>
          <w:trHeight w:val="236"/>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15" w:type="dxa"/>
              <w:left w:w="105" w:type="dxa"/>
              <w:bottom w:w="15" w:type="dxa"/>
              <w:right w:w="105" w:type="dxa"/>
            </w:tcMar>
            <w:vAlign w:val="center"/>
          </w:tcPr>
          <w:p w14:paraId="2CA11DB8" w14:textId="77777777" w:rsidR="00DA2315" w:rsidRPr="006F7063" w:rsidRDefault="00DA2315" w:rsidP="006F7063">
            <w:pPr>
              <w:ind w:right="165"/>
              <w:jc w:val="both"/>
              <w:rPr>
                <w:rFonts w:ascii="Arial" w:eastAsia="Times New Roman" w:hAnsi="Arial" w:cs="Arial"/>
                <w:b/>
                <w:sz w:val="22"/>
                <w:szCs w:val="22"/>
                <w:shd w:val="clear" w:color="auto" w:fill="FFFFFF"/>
              </w:rPr>
            </w:pPr>
            <w:r w:rsidRPr="006F7063">
              <w:rPr>
                <w:rFonts w:ascii="Arial" w:eastAsia="Times New Roman" w:hAnsi="Arial" w:cs="Arial"/>
                <w:b/>
                <w:sz w:val="22"/>
                <w:szCs w:val="22"/>
              </w:rPr>
              <w:t>Consultation</w:t>
            </w:r>
            <w:r w:rsidRPr="006F7063">
              <w:rPr>
                <w:rFonts w:ascii="Arial" w:eastAsia="Times New Roman" w:hAnsi="Arial" w:cs="Arial"/>
                <w:b/>
                <w:sz w:val="22"/>
                <w:szCs w:val="22"/>
                <w:shd w:val="clear" w:color="auto" w:fill="FFFFFF"/>
              </w:rPr>
              <w:t xml:space="preserve"> </w:t>
            </w:r>
          </w:p>
          <w:p w14:paraId="3BFDD7F0" w14:textId="77777777" w:rsidR="00DA2315" w:rsidRPr="006F7063" w:rsidRDefault="00DA2315" w:rsidP="006F7063">
            <w:pPr>
              <w:ind w:right="165"/>
              <w:jc w:val="both"/>
              <w:rPr>
                <w:rFonts w:ascii="Arial" w:eastAsia="Times New Roman" w:hAnsi="Arial" w:cs="Arial"/>
                <w:sz w:val="22"/>
                <w:szCs w:val="22"/>
                <w:shd w:val="clear" w:color="auto" w:fill="FFFFFF"/>
              </w:rPr>
            </w:pPr>
            <w:r w:rsidRPr="006F7063">
              <w:rPr>
                <w:rFonts w:ascii="Arial" w:eastAsia="Times New Roman" w:hAnsi="Arial" w:cs="Arial"/>
                <w:sz w:val="22"/>
                <w:szCs w:val="22"/>
              </w:rPr>
              <w:t>OP-703 (</w:t>
            </w:r>
            <w:r w:rsidRPr="007046A7">
              <w:rPr>
                <w:rFonts w:ascii="Arial" w:eastAsia="Times New Roman" w:hAnsi="Arial" w:cs="Arial"/>
                <w:sz w:val="22"/>
                <w:szCs w:val="22"/>
              </w:rPr>
              <w:t>Environment and Safeguards Compliance Policy)</w:t>
            </w:r>
            <w:r w:rsidR="003D6C2F" w:rsidRPr="007046A7">
              <w:rPr>
                <w:rFonts w:ascii="Arial" w:eastAsia="Times New Roman" w:hAnsi="Arial" w:cs="Arial"/>
                <w:sz w:val="22"/>
                <w:szCs w:val="22"/>
              </w:rPr>
              <w:t xml:space="preserve">: </w:t>
            </w:r>
            <w:r w:rsidRPr="007046A7">
              <w:rPr>
                <w:rFonts w:ascii="Arial" w:eastAsia="Times New Roman" w:hAnsi="Arial" w:cs="Arial"/>
                <w:sz w:val="22"/>
                <w:szCs w:val="22"/>
              </w:rPr>
              <w:t>B</w:t>
            </w:r>
            <w:r w:rsidR="003D6C2F" w:rsidRPr="007046A7">
              <w:rPr>
                <w:rFonts w:ascii="Arial" w:eastAsia="Times New Roman" w:hAnsi="Arial" w:cs="Arial"/>
                <w:sz w:val="22"/>
                <w:szCs w:val="22"/>
              </w:rPr>
              <w:t>.</w:t>
            </w:r>
            <w:r w:rsidRPr="007046A7">
              <w:rPr>
                <w:rFonts w:ascii="Arial" w:eastAsia="Times New Roman" w:hAnsi="Arial" w:cs="Arial"/>
                <w:sz w:val="22"/>
                <w:szCs w:val="22"/>
              </w:rPr>
              <w:t>6 (Consultation)</w:t>
            </w:r>
            <w:r w:rsidR="003D6C2F" w:rsidRPr="007046A7">
              <w:rPr>
                <w:rFonts w:ascii="Arial" w:eastAsia="Times New Roman" w:hAnsi="Arial" w:cs="Arial"/>
                <w:sz w:val="22"/>
                <w:szCs w:val="22"/>
              </w:rPr>
              <w:t>;</w:t>
            </w:r>
            <w:r w:rsidR="00D632E9" w:rsidRPr="007046A7">
              <w:rPr>
                <w:rFonts w:ascii="Arial" w:eastAsia="Times New Roman" w:hAnsi="Arial" w:cs="Arial"/>
                <w:sz w:val="22"/>
                <w:szCs w:val="22"/>
              </w:rPr>
              <w:t xml:space="preserve"> and </w:t>
            </w:r>
            <w:r w:rsidRPr="007046A7">
              <w:rPr>
                <w:rFonts w:ascii="Arial" w:eastAsia="Times New Roman" w:hAnsi="Arial" w:cs="Arial"/>
                <w:sz w:val="22"/>
                <w:szCs w:val="22"/>
              </w:rPr>
              <w:t>Consultation requirements of OP-</w:t>
            </w:r>
            <w:r w:rsidRPr="001D2104">
              <w:rPr>
                <w:rFonts w:ascii="Arial" w:eastAsia="Times New Roman" w:hAnsi="Arial" w:cs="Arial"/>
                <w:sz w:val="22"/>
                <w:szCs w:val="22"/>
              </w:rPr>
              <w:t>710</w:t>
            </w:r>
            <w:r w:rsidR="009444D9" w:rsidRPr="001D2104">
              <w:rPr>
                <w:rFonts w:ascii="Arial" w:eastAsia="Times New Roman" w:hAnsi="Arial" w:cs="Arial"/>
                <w:sz w:val="22"/>
                <w:szCs w:val="22"/>
              </w:rPr>
              <w:t xml:space="preserve"> (Involuntary</w:t>
            </w:r>
            <w:r w:rsidR="009444D9" w:rsidRPr="007046A7">
              <w:rPr>
                <w:rFonts w:ascii="Arial" w:eastAsia="Times New Roman" w:hAnsi="Arial" w:cs="Arial"/>
                <w:sz w:val="22"/>
                <w:szCs w:val="22"/>
              </w:rPr>
              <w:t xml:space="preserve"> Resettlement</w:t>
            </w:r>
            <w:r w:rsidR="00D632E9" w:rsidRPr="007046A7">
              <w:rPr>
                <w:rFonts w:ascii="Arial" w:eastAsia="Times New Roman" w:hAnsi="Arial" w:cs="Arial"/>
                <w:sz w:val="22"/>
                <w:szCs w:val="22"/>
              </w:rPr>
              <w:t xml:space="preserve"> Policy</w:t>
            </w:r>
            <w:r w:rsidR="009444D9" w:rsidRPr="007046A7">
              <w:rPr>
                <w:rFonts w:ascii="Arial" w:eastAsia="Times New Roman" w:hAnsi="Arial" w:cs="Arial"/>
                <w:sz w:val="22"/>
                <w:szCs w:val="22"/>
              </w:rPr>
              <w:t>),</w:t>
            </w:r>
            <w:r w:rsidRPr="007046A7">
              <w:rPr>
                <w:rFonts w:ascii="Arial" w:eastAsia="Times New Roman" w:hAnsi="Arial" w:cs="Arial"/>
                <w:sz w:val="22"/>
                <w:szCs w:val="22"/>
              </w:rPr>
              <w:t xml:space="preserve"> OP-765</w:t>
            </w:r>
            <w:r w:rsidR="009444D9" w:rsidRPr="007046A7">
              <w:rPr>
                <w:rFonts w:ascii="Arial" w:eastAsia="Times New Roman" w:hAnsi="Arial" w:cs="Arial"/>
                <w:sz w:val="22"/>
                <w:szCs w:val="22"/>
              </w:rPr>
              <w:t xml:space="preserve"> (Indigenous Peoples</w:t>
            </w:r>
            <w:r w:rsidR="00D632E9" w:rsidRPr="007046A7">
              <w:rPr>
                <w:rFonts w:ascii="Arial" w:eastAsia="Times New Roman" w:hAnsi="Arial" w:cs="Arial"/>
                <w:sz w:val="22"/>
                <w:szCs w:val="22"/>
              </w:rPr>
              <w:t xml:space="preserve"> Policy</w:t>
            </w:r>
            <w:r w:rsidR="009444D9" w:rsidRPr="007046A7">
              <w:rPr>
                <w:rFonts w:ascii="Arial" w:eastAsia="Times New Roman" w:hAnsi="Arial" w:cs="Arial"/>
                <w:sz w:val="22"/>
                <w:szCs w:val="22"/>
              </w:rPr>
              <w:t>)</w:t>
            </w:r>
            <w:r w:rsidRPr="007046A7">
              <w:rPr>
                <w:rFonts w:ascii="Arial" w:eastAsia="Times New Roman" w:hAnsi="Arial" w:cs="Arial"/>
                <w:sz w:val="22"/>
                <w:szCs w:val="22"/>
              </w:rPr>
              <w:t xml:space="preserve">, OP-761 </w:t>
            </w:r>
            <w:r w:rsidR="009444D9" w:rsidRPr="007046A7">
              <w:rPr>
                <w:rFonts w:ascii="Arial" w:eastAsia="Times New Roman" w:hAnsi="Arial" w:cs="Arial"/>
                <w:sz w:val="22"/>
                <w:szCs w:val="22"/>
              </w:rPr>
              <w:t>(Gender Equality in Developmen</w:t>
            </w:r>
            <w:r w:rsidR="009444D9" w:rsidRPr="001D2104">
              <w:rPr>
                <w:rFonts w:ascii="Arial" w:eastAsia="Times New Roman" w:hAnsi="Arial" w:cs="Arial"/>
                <w:sz w:val="22"/>
                <w:szCs w:val="22"/>
              </w:rPr>
              <w:t>t</w:t>
            </w:r>
            <w:r w:rsidR="00D632E9" w:rsidRPr="007046A7">
              <w:rPr>
                <w:rFonts w:ascii="Arial" w:eastAsia="Times New Roman" w:hAnsi="Arial" w:cs="Arial"/>
                <w:sz w:val="22"/>
                <w:szCs w:val="22"/>
              </w:rPr>
              <w:t xml:space="preserve"> Policy</w:t>
            </w:r>
            <w:r w:rsidR="009444D9" w:rsidRPr="007046A7">
              <w:rPr>
                <w:rFonts w:ascii="Arial" w:eastAsia="Times New Roman" w:hAnsi="Arial" w:cs="Arial"/>
                <w:sz w:val="22"/>
                <w:szCs w:val="22"/>
              </w:rPr>
              <w:t>)</w:t>
            </w:r>
            <w:r w:rsidR="00FA27DF" w:rsidRPr="007046A7">
              <w:rPr>
                <w:rFonts w:ascii="Arial" w:eastAsia="Times New Roman" w:hAnsi="Arial" w:cs="Arial"/>
                <w:sz w:val="22"/>
                <w:szCs w:val="22"/>
              </w:rPr>
              <w:t>,</w:t>
            </w:r>
            <w:r w:rsidR="009444D9" w:rsidRPr="007046A7">
              <w:rPr>
                <w:rFonts w:ascii="Arial" w:eastAsia="Times New Roman" w:hAnsi="Arial" w:cs="Arial"/>
                <w:sz w:val="22"/>
                <w:szCs w:val="22"/>
              </w:rPr>
              <w:t xml:space="preserve"> </w:t>
            </w:r>
            <w:r w:rsidRPr="007046A7">
              <w:rPr>
                <w:rFonts w:ascii="Arial" w:eastAsia="Times New Roman" w:hAnsi="Arial" w:cs="Arial"/>
                <w:sz w:val="22"/>
                <w:szCs w:val="22"/>
              </w:rPr>
              <w:t>and OP-704</w:t>
            </w:r>
            <w:r w:rsidRPr="006F7063">
              <w:rPr>
                <w:rFonts w:ascii="Arial" w:eastAsia="Times New Roman" w:hAnsi="Arial" w:cs="Arial"/>
                <w:sz w:val="22"/>
                <w:szCs w:val="22"/>
              </w:rPr>
              <w:t xml:space="preserve"> </w:t>
            </w:r>
            <w:r w:rsidR="009444D9" w:rsidRPr="006F7063">
              <w:rPr>
                <w:rFonts w:ascii="Arial" w:eastAsia="Times New Roman" w:hAnsi="Arial" w:cs="Arial"/>
                <w:sz w:val="22"/>
                <w:szCs w:val="22"/>
              </w:rPr>
              <w:t>(Disaster Risk Management</w:t>
            </w:r>
            <w:r w:rsidR="00D632E9" w:rsidRPr="006F7063">
              <w:rPr>
                <w:rFonts w:ascii="Arial" w:eastAsia="Times New Roman" w:hAnsi="Arial" w:cs="Arial"/>
                <w:sz w:val="22"/>
                <w:szCs w:val="22"/>
              </w:rPr>
              <w:t xml:space="preserve"> Policy</w:t>
            </w:r>
            <w:r w:rsidR="009444D9" w:rsidRPr="006F7063">
              <w:rPr>
                <w:rFonts w:ascii="Arial" w:eastAsia="Times New Roman" w:hAnsi="Arial" w:cs="Arial"/>
                <w:sz w:val="22"/>
                <w:szCs w:val="22"/>
              </w:rPr>
              <w:t>) as applicable</w:t>
            </w:r>
          </w:p>
        </w:tc>
      </w:tr>
      <w:tr w:rsidR="009444D9" w:rsidRPr="007C0236" w14:paraId="37B39C0B" w14:textId="77777777" w:rsidTr="3EFF9F7B">
        <w:trPr>
          <w:trHeight w:val="236"/>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23FB6FAF" w14:textId="2CC1E129" w:rsidR="00697D66" w:rsidRPr="00A232EE" w:rsidRDefault="00702185" w:rsidP="00482A14">
            <w:pPr>
              <w:pStyle w:val="Paragraph"/>
              <w:tabs>
                <w:tab w:val="clear" w:pos="851"/>
                <w:tab w:val="num" w:pos="810"/>
              </w:tabs>
              <w:outlineLvl w:val="1"/>
              <w:rPr>
                <w:rFonts w:asciiTheme="majorHAnsi" w:eastAsia="Calibri" w:hAnsiTheme="majorHAnsi" w:cs="Arial"/>
                <w:szCs w:val="22"/>
                <w:lang w:val="en-US"/>
              </w:rPr>
            </w:pPr>
            <w:r w:rsidRPr="00EF6E80">
              <w:rPr>
                <w:rFonts w:asciiTheme="majorHAnsi" w:eastAsia="Calibri" w:hAnsiTheme="majorHAnsi" w:cs="Arial"/>
                <w:szCs w:val="22"/>
              </w:rPr>
              <w:t>C</w:t>
            </w:r>
            <w:r w:rsidR="00FB3DE6" w:rsidRPr="00EF6E80">
              <w:rPr>
                <w:rFonts w:asciiTheme="majorHAnsi" w:eastAsia="Calibri" w:hAnsiTheme="majorHAnsi" w:cs="Arial"/>
                <w:szCs w:val="22"/>
              </w:rPr>
              <w:t xml:space="preserve">onsultations were undertaken in 2014 as part of the preparation for the ESIA and ESMP for </w:t>
            </w:r>
            <w:r w:rsidR="00FB3DE6" w:rsidRPr="00EF6E80">
              <w:rPr>
                <w:rFonts w:asciiTheme="majorHAnsi" w:eastAsia="Calibri" w:hAnsiTheme="majorHAnsi" w:cs="Arial"/>
                <w:szCs w:val="22"/>
                <w:lang w:val="en-US"/>
              </w:rPr>
              <w:t>t</w:t>
            </w:r>
            <w:r w:rsidR="003D71E3" w:rsidRPr="00EF6E80">
              <w:rPr>
                <w:rFonts w:asciiTheme="majorHAnsi" w:eastAsia="Calibri" w:hAnsiTheme="majorHAnsi" w:cs="Arial"/>
                <w:szCs w:val="22"/>
                <w:lang w:val="en-US"/>
              </w:rPr>
              <w:t xml:space="preserve">he </w:t>
            </w:r>
            <w:r w:rsidR="001327F2" w:rsidRPr="00EF6E80">
              <w:rPr>
                <w:rFonts w:asciiTheme="majorHAnsi" w:eastAsia="Calibri" w:hAnsiTheme="majorHAnsi" w:cs="Arial"/>
                <w:szCs w:val="22"/>
                <w:lang w:val="en-US"/>
              </w:rPr>
              <w:t>original project (BL-L1019)</w:t>
            </w:r>
            <w:r w:rsidR="003D71E3" w:rsidRPr="00941273">
              <w:rPr>
                <w:rFonts w:asciiTheme="majorHAnsi" w:eastAsia="Calibri" w:hAnsiTheme="majorHAnsi" w:cs="Arial"/>
                <w:szCs w:val="22"/>
                <w:lang w:val="en-US"/>
              </w:rPr>
              <w:t>.</w:t>
            </w:r>
            <w:r w:rsidR="001327F2" w:rsidRPr="00941273">
              <w:rPr>
                <w:rFonts w:asciiTheme="majorHAnsi" w:eastAsia="Calibri" w:hAnsiTheme="majorHAnsi" w:cs="Arial"/>
                <w:szCs w:val="22"/>
                <w:lang w:val="en-US"/>
              </w:rPr>
              <w:t xml:space="preserve"> </w:t>
            </w:r>
            <w:r w:rsidR="00CD5F6F" w:rsidRPr="00557192">
              <w:rPr>
                <w:rFonts w:asciiTheme="majorHAnsi" w:eastAsia="Calibri" w:hAnsiTheme="majorHAnsi" w:cs="Arial"/>
                <w:szCs w:val="22"/>
                <w:lang w:val="en-US"/>
              </w:rPr>
              <w:t xml:space="preserve">The population was overall in favor of the project, particularly because </w:t>
            </w:r>
            <w:r w:rsidR="003E703E" w:rsidRPr="00557192">
              <w:rPr>
                <w:rFonts w:asciiTheme="majorHAnsi" w:eastAsia="Calibri" w:hAnsiTheme="majorHAnsi" w:cs="Arial"/>
                <w:szCs w:val="22"/>
                <w:lang w:val="en-US"/>
              </w:rPr>
              <w:t xml:space="preserve">of </w:t>
            </w:r>
            <w:r w:rsidR="00CD5F6F" w:rsidRPr="00557192">
              <w:rPr>
                <w:rFonts w:asciiTheme="majorHAnsi" w:eastAsia="Calibri" w:hAnsiTheme="majorHAnsi" w:cs="Arial"/>
                <w:szCs w:val="22"/>
                <w:lang w:val="en-US"/>
              </w:rPr>
              <w:t xml:space="preserve">the anticipated local economic development benefits </w:t>
            </w:r>
            <w:proofErr w:type="gramStart"/>
            <w:r w:rsidR="00CD5F6F" w:rsidRPr="00557192">
              <w:rPr>
                <w:rFonts w:asciiTheme="majorHAnsi" w:eastAsia="Calibri" w:hAnsiTheme="majorHAnsi" w:cs="Arial"/>
                <w:szCs w:val="22"/>
                <w:lang w:val="en-US"/>
              </w:rPr>
              <w:t>as a result of</w:t>
            </w:r>
            <w:proofErr w:type="gramEnd"/>
            <w:r w:rsidR="00CD5F6F" w:rsidRPr="00A232EE">
              <w:rPr>
                <w:rFonts w:asciiTheme="majorHAnsi" w:eastAsia="Calibri" w:hAnsiTheme="majorHAnsi" w:cs="Arial"/>
                <w:szCs w:val="22"/>
                <w:lang w:val="en-US"/>
              </w:rPr>
              <w:t xml:space="preserve"> the road rehabilitation, local employment, improved design and </w:t>
            </w:r>
            <w:r w:rsidR="00CD5F6F" w:rsidRPr="00A232EE">
              <w:rPr>
                <w:rFonts w:asciiTheme="majorHAnsi" w:eastAsia="Calibri" w:hAnsiTheme="majorHAnsi" w:cs="Arial"/>
                <w:szCs w:val="22"/>
                <w:lang w:val="en-US"/>
              </w:rPr>
              <w:lastRenderedPageBreak/>
              <w:t>road safety measures especially for pedestrians (school children)</w:t>
            </w:r>
            <w:r w:rsidR="00697D66" w:rsidRPr="00A232EE">
              <w:rPr>
                <w:rFonts w:asciiTheme="majorHAnsi" w:eastAsia="Calibri" w:hAnsiTheme="majorHAnsi" w:cs="Arial"/>
                <w:szCs w:val="22"/>
                <w:lang w:val="en-US"/>
              </w:rPr>
              <w:t>,</w:t>
            </w:r>
            <w:r w:rsidR="00CD5F6F" w:rsidRPr="00A232EE">
              <w:rPr>
                <w:rFonts w:asciiTheme="majorHAnsi" w:eastAsia="Calibri" w:hAnsiTheme="majorHAnsi" w:cs="Arial"/>
                <w:szCs w:val="22"/>
                <w:lang w:val="en-US"/>
              </w:rPr>
              <w:t xml:space="preserve"> and relief from </w:t>
            </w:r>
            <w:r w:rsidR="00CD5F6F" w:rsidRPr="00A232EE">
              <w:rPr>
                <w:rFonts w:asciiTheme="majorHAnsi" w:eastAsia="Calibri" w:hAnsiTheme="majorHAnsi" w:cs="Arial"/>
                <w:noProof/>
                <w:szCs w:val="22"/>
                <w:lang w:val="en-US"/>
              </w:rPr>
              <w:t>long</w:t>
            </w:r>
            <w:r w:rsidR="00826753" w:rsidRPr="00A232EE">
              <w:rPr>
                <w:rFonts w:asciiTheme="majorHAnsi" w:eastAsia="Calibri" w:hAnsiTheme="majorHAnsi" w:cs="Arial"/>
                <w:noProof/>
                <w:szCs w:val="22"/>
                <w:lang w:val="en-US"/>
              </w:rPr>
              <w:t>-</w:t>
            </w:r>
            <w:r w:rsidR="00CD5F6F" w:rsidRPr="00A232EE">
              <w:rPr>
                <w:rFonts w:asciiTheme="majorHAnsi" w:eastAsia="Calibri" w:hAnsiTheme="majorHAnsi" w:cs="Arial"/>
                <w:noProof/>
                <w:szCs w:val="22"/>
                <w:lang w:val="en-US"/>
              </w:rPr>
              <w:t>standing</w:t>
            </w:r>
            <w:r w:rsidR="00CD5F6F" w:rsidRPr="00A232EE">
              <w:rPr>
                <w:rFonts w:asciiTheme="majorHAnsi" w:eastAsia="Calibri" w:hAnsiTheme="majorHAnsi" w:cs="Arial"/>
                <w:szCs w:val="22"/>
                <w:lang w:val="en-US"/>
              </w:rPr>
              <w:t xml:space="preserve"> flooding due to poor/non-existent drainage/culverts.</w:t>
            </w:r>
          </w:p>
          <w:p w14:paraId="7FF85F84" w14:textId="77777777" w:rsidR="00697D66" w:rsidRPr="00A232EE" w:rsidRDefault="00CD5F6F" w:rsidP="00482A14">
            <w:pPr>
              <w:pStyle w:val="Paragraph"/>
              <w:tabs>
                <w:tab w:val="clear" w:pos="851"/>
                <w:tab w:val="num" w:pos="810"/>
              </w:tabs>
              <w:outlineLvl w:val="1"/>
              <w:rPr>
                <w:rFonts w:asciiTheme="majorHAnsi" w:eastAsia="Calibri" w:hAnsiTheme="majorHAnsi" w:cs="Arial"/>
                <w:szCs w:val="22"/>
                <w:lang w:val="en-US"/>
              </w:rPr>
            </w:pPr>
            <w:r w:rsidRPr="00A232EE">
              <w:rPr>
                <w:rFonts w:asciiTheme="majorHAnsi" w:eastAsia="Calibri" w:hAnsiTheme="majorHAnsi" w:cs="Arial"/>
                <w:szCs w:val="22"/>
                <w:lang w:val="en-US"/>
              </w:rPr>
              <w:t xml:space="preserve">The key issues and concerns of the population were a potential increase in traffic flow and reckless driving, speeding, and noise pollution </w:t>
            </w:r>
            <w:proofErr w:type="gramStart"/>
            <w:r w:rsidRPr="00A232EE">
              <w:rPr>
                <w:rFonts w:asciiTheme="majorHAnsi" w:eastAsia="Calibri" w:hAnsiTheme="majorHAnsi" w:cs="Arial"/>
                <w:szCs w:val="22"/>
                <w:lang w:val="en-US"/>
              </w:rPr>
              <w:t>as a result of</w:t>
            </w:r>
            <w:proofErr w:type="gramEnd"/>
            <w:r w:rsidRPr="00A232EE">
              <w:rPr>
                <w:rFonts w:asciiTheme="majorHAnsi" w:eastAsia="Calibri" w:hAnsiTheme="majorHAnsi" w:cs="Arial"/>
                <w:szCs w:val="22"/>
                <w:lang w:val="en-US"/>
              </w:rPr>
              <w:t xml:space="preserve"> improved road conditions, along with a potential disruption to community cohesion created by the influx of workers. A critical concern among educators and women </w:t>
            </w:r>
            <w:r w:rsidR="003E703E" w:rsidRPr="00A232EE">
              <w:rPr>
                <w:rFonts w:asciiTheme="majorHAnsi" w:eastAsia="Calibri" w:hAnsiTheme="majorHAnsi" w:cs="Arial"/>
                <w:szCs w:val="22"/>
                <w:lang w:val="en-US"/>
              </w:rPr>
              <w:t>was</w:t>
            </w:r>
            <w:r w:rsidRPr="00A232EE">
              <w:rPr>
                <w:rFonts w:asciiTheme="majorHAnsi" w:eastAsia="Calibri" w:hAnsiTheme="majorHAnsi" w:cs="Arial"/>
                <w:szCs w:val="22"/>
                <w:lang w:val="en-US"/>
              </w:rPr>
              <w:t xml:space="preserve"> </w:t>
            </w:r>
            <w:r w:rsidR="003E703E" w:rsidRPr="00A232EE">
              <w:rPr>
                <w:rFonts w:asciiTheme="majorHAnsi" w:eastAsia="Calibri" w:hAnsiTheme="majorHAnsi" w:cs="Arial"/>
                <w:szCs w:val="22"/>
                <w:lang w:val="en-US"/>
              </w:rPr>
              <w:t xml:space="preserve">the risk of sexual exploitation of adolescent girls and sexual harassment of women in the communities </w:t>
            </w:r>
            <w:proofErr w:type="gramStart"/>
            <w:r w:rsidR="003E703E" w:rsidRPr="00A232EE">
              <w:rPr>
                <w:rFonts w:asciiTheme="majorHAnsi" w:eastAsia="Calibri" w:hAnsiTheme="majorHAnsi" w:cs="Arial"/>
                <w:szCs w:val="22"/>
                <w:lang w:val="en-US"/>
              </w:rPr>
              <w:t>as a result of</w:t>
            </w:r>
            <w:proofErr w:type="gramEnd"/>
            <w:r w:rsidR="003E703E" w:rsidRPr="00A232EE">
              <w:rPr>
                <w:rFonts w:asciiTheme="majorHAnsi" w:eastAsia="Calibri" w:hAnsiTheme="majorHAnsi" w:cs="Arial"/>
                <w:szCs w:val="22"/>
                <w:lang w:val="en-US"/>
              </w:rPr>
              <w:t xml:space="preserve"> an influx of a </w:t>
            </w:r>
            <w:r w:rsidRPr="00A232EE">
              <w:rPr>
                <w:rFonts w:asciiTheme="majorHAnsi" w:eastAsia="Calibri" w:hAnsiTheme="majorHAnsi" w:cs="Arial"/>
                <w:szCs w:val="22"/>
                <w:lang w:val="en-US"/>
              </w:rPr>
              <w:t xml:space="preserve">predominantly male workforce. </w:t>
            </w:r>
            <w:r w:rsidR="0029788C" w:rsidRPr="00A232EE">
              <w:rPr>
                <w:rFonts w:asciiTheme="majorHAnsi" w:eastAsia="Calibri" w:hAnsiTheme="majorHAnsi" w:cs="Arial"/>
                <w:szCs w:val="22"/>
                <w:lang w:val="en-US"/>
              </w:rPr>
              <w:t>T</w:t>
            </w:r>
            <w:r w:rsidRPr="00A232EE">
              <w:rPr>
                <w:rFonts w:asciiTheme="majorHAnsi" w:eastAsia="Calibri" w:hAnsiTheme="majorHAnsi" w:cs="Arial"/>
                <w:szCs w:val="22"/>
                <w:lang w:val="en-US"/>
              </w:rPr>
              <w:t xml:space="preserve">hese </w:t>
            </w:r>
            <w:r w:rsidR="0029788C" w:rsidRPr="00A232EE">
              <w:rPr>
                <w:rFonts w:asciiTheme="majorHAnsi" w:eastAsia="Calibri" w:hAnsiTheme="majorHAnsi" w:cs="Arial"/>
                <w:szCs w:val="22"/>
                <w:lang w:val="en-US"/>
              </w:rPr>
              <w:t>concerns</w:t>
            </w:r>
            <w:r w:rsidRPr="00A232EE">
              <w:rPr>
                <w:rFonts w:asciiTheme="majorHAnsi" w:eastAsia="Calibri" w:hAnsiTheme="majorHAnsi" w:cs="Arial"/>
                <w:szCs w:val="22"/>
                <w:lang w:val="en-US"/>
              </w:rPr>
              <w:t xml:space="preserve"> were </w:t>
            </w:r>
            <w:proofErr w:type="gramStart"/>
            <w:r w:rsidRPr="00A232EE">
              <w:rPr>
                <w:rFonts w:asciiTheme="majorHAnsi" w:eastAsia="Calibri" w:hAnsiTheme="majorHAnsi" w:cs="Arial"/>
                <w:szCs w:val="22"/>
                <w:lang w:val="en-US"/>
              </w:rPr>
              <w:t>taken into account</w:t>
            </w:r>
            <w:proofErr w:type="gramEnd"/>
            <w:r w:rsidRPr="00A232EE">
              <w:rPr>
                <w:rFonts w:asciiTheme="majorHAnsi" w:eastAsia="Calibri" w:hAnsiTheme="majorHAnsi" w:cs="Arial"/>
                <w:szCs w:val="22"/>
                <w:lang w:val="en-US"/>
              </w:rPr>
              <w:t xml:space="preserve"> in the </w:t>
            </w:r>
            <w:r w:rsidR="0012670D" w:rsidRPr="00A232EE">
              <w:rPr>
                <w:rFonts w:asciiTheme="majorHAnsi" w:eastAsia="Calibri" w:hAnsiTheme="majorHAnsi" w:cs="Arial"/>
                <w:szCs w:val="22"/>
                <w:lang w:val="en-US"/>
              </w:rPr>
              <w:t>due diligence process</w:t>
            </w:r>
            <w:r w:rsidR="00697D66" w:rsidRPr="00A232EE">
              <w:rPr>
                <w:rFonts w:asciiTheme="majorHAnsi" w:eastAsia="Calibri" w:hAnsiTheme="majorHAnsi" w:cs="Arial"/>
                <w:szCs w:val="22"/>
                <w:lang w:val="en-US"/>
              </w:rPr>
              <w:t xml:space="preserve"> conducted </w:t>
            </w:r>
            <w:r w:rsidR="00183162" w:rsidRPr="00A232EE">
              <w:rPr>
                <w:rFonts w:asciiTheme="majorHAnsi" w:eastAsia="Calibri" w:hAnsiTheme="majorHAnsi" w:cs="Arial"/>
                <w:szCs w:val="22"/>
                <w:lang w:val="en-US"/>
              </w:rPr>
              <w:t>for this project</w:t>
            </w:r>
            <w:r w:rsidR="0012670D" w:rsidRPr="00A232EE">
              <w:rPr>
                <w:rFonts w:asciiTheme="majorHAnsi" w:eastAsia="Calibri" w:hAnsiTheme="majorHAnsi" w:cs="Arial"/>
                <w:szCs w:val="22"/>
                <w:lang w:val="en-US"/>
              </w:rPr>
              <w:t xml:space="preserve">, strengthening </w:t>
            </w:r>
            <w:r w:rsidR="003E703E" w:rsidRPr="00A232EE">
              <w:rPr>
                <w:rFonts w:asciiTheme="majorHAnsi" w:eastAsia="Calibri" w:hAnsiTheme="majorHAnsi" w:cs="Arial"/>
                <w:szCs w:val="22"/>
                <w:lang w:val="en-US"/>
              </w:rPr>
              <w:t>of the ESIA</w:t>
            </w:r>
            <w:r w:rsidR="0012670D" w:rsidRPr="00A232EE">
              <w:rPr>
                <w:rFonts w:asciiTheme="majorHAnsi" w:eastAsia="Calibri" w:hAnsiTheme="majorHAnsi" w:cs="Arial"/>
                <w:szCs w:val="22"/>
                <w:lang w:val="en-US"/>
              </w:rPr>
              <w:t xml:space="preserve"> and mitigation measures </w:t>
            </w:r>
            <w:r w:rsidR="003E703E" w:rsidRPr="00A232EE">
              <w:rPr>
                <w:rFonts w:asciiTheme="majorHAnsi" w:eastAsia="Calibri" w:hAnsiTheme="majorHAnsi" w:cs="Arial"/>
                <w:szCs w:val="22"/>
                <w:lang w:val="en-US"/>
              </w:rPr>
              <w:t>in</w:t>
            </w:r>
            <w:r w:rsidR="0012670D" w:rsidRPr="00A232EE">
              <w:rPr>
                <w:rFonts w:asciiTheme="majorHAnsi" w:eastAsia="Calibri" w:hAnsiTheme="majorHAnsi" w:cs="Arial"/>
                <w:szCs w:val="22"/>
                <w:lang w:val="en-US"/>
              </w:rPr>
              <w:t xml:space="preserve"> the </w:t>
            </w:r>
            <w:r w:rsidR="003E703E" w:rsidRPr="00A232EE">
              <w:rPr>
                <w:rFonts w:asciiTheme="majorHAnsi" w:eastAsia="Calibri" w:hAnsiTheme="majorHAnsi" w:cs="Arial"/>
                <w:szCs w:val="22"/>
                <w:lang w:val="en-US"/>
              </w:rPr>
              <w:t>ESMP</w:t>
            </w:r>
            <w:r w:rsidR="0012670D" w:rsidRPr="00A232EE">
              <w:rPr>
                <w:rFonts w:asciiTheme="majorHAnsi" w:eastAsia="Calibri" w:hAnsiTheme="majorHAnsi" w:cs="Arial"/>
                <w:szCs w:val="22"/>
                <w:lang w:val="en-US"/>
              </w:rPr>
              <w:t xml:space="preserve">, along with </w:t>
            </w:r>
            <w:r w:rsidR="003E703E" w:rsidRPr="00A232EE">
              <w:rPr>
                <w:rFonts w:asciiTheme="majorHAnsi" w:eastAsia="Calibri" w:hAnsiTheme="majorHAnsi" w:cs="Arial"/>
                <w:szCs w:val="22"/>
                <w:lang w:val="en-US"/>
              </w:rPr>
              <w:t xml:space="preserve">the addition of new </w:t>
            </w:r>
            <w:r w:rsidR="0012670D" w:rsidRPr="00A232EE">
              <w:rPr>
                <w:rFonts w:asciiTheme="majorHAnsi" w:eastAsia="Calibri" w:hAnsiTheme="majorHAnsi" w:cs="Arial"/>
                <w:szCs w:val="22"/>
                <w:lang w:val="en-US"/>
              </w:rPr>
              <w:t xml:space="preserve">specific </w:t>
            </w:r>
            <w:r w:rsidR="00DB2143" w:rsidRPr="00A232EE">
              <w:rPr>
                <w:rFonts w:asciiTheme="majorHAnsi" w:eastAsia="Calibri" w:hAnsiTheme="majorHAnsi" w:cs="Arial"/>
                <w:szCs w:val="22"/>
                <w:lang w:val="en-US"/>
              </w:rPr>
              <w:t>instruments</w:t>
            </w:r>
            <w:r w:rsidR="003E703E" w:rsidRPr="00A232EE">
              <w:rPr>
                <w:rFonts w:asciiTheme="majorHAnsi" w:eastAsia="Calibri" w:hAnsiTheme="majorHAnsi" w:cs="Arial"/>
                <w:szCs w:val="22"/>
                <w:lang w:val="en-US"/>
              </w:rPr>
              <w:t xml:space="preserve">, in </w:t>
            </w:r>
            <w:r w:rsidR="003E703E" w:rsidRPr="00A232EE">
              <w:rPr>
                <w:rFonts w:asciiTheme="majorHAnsi" w:eastAsia="Calibri" w:hAnsiTheme="majorHAnsi" w:cs="Arial"/>
                <w:noProof/>
                <w:szCs w:val="22"/>
                <w:lang w:val="en-US"/>
              </w:rPr>
              <w:t>particular</w:t>
            </w:r>
            <w:r w:rsidR="003E703E" w:rsidRPr="00A232EE">
              <w:rPr>
                <w:rFonts w:asciiTheme="majorHAnsi" w:eastAsia="Calibri" w:hAnsiTheme="majorHAnsi" w:cs="Arial"/>
                <w:szCs w:val="22"/>
                <w:lang w:val="en-US"/>
              </w:rPr>
              <w:t xml:space="preserve"> </w:t>
            </w:r>
            <w:r w:rsidR="0012670D" w:rsidRPr="00A232EE">
              <w:rPr>
                <w:rFonts w:asciiTheme="majorHAnsi" w:eastAsia="Calibri" w:hAnsiTheme="majorHAnsi" w:cs="Arial"/>
                <w:szCs w:val="22"/>
                <w:lang w:val="en-US"/>
              </w:rPr>
              <w:t xml:space="preserve">the </w:t>
            </w:r>
            <w:r w:rsidR="003E703E" w:rsidRPr="00A232EE">
              <w:rPr>
                <w:rFonts w:asciiTheme="majorHAnsi" w:eastAsia="Calibri" w:hAnsiTheme="majorHAnsi" w:cs="Arial"/>
                <w:szCs w:val="22"/>
                <w:lang w:val="en-US"/>
              </w:rPr>
              <w:t>G</w:t>
            </w:r>
            <w:r w:rsidR="0012670D" w:rsidRPr="00A232EE">
              <w:rPr>
                <w:rFonts w:asciiTheme="majorHAnsi" w:eastAsia="Calibri" w:hAnsiTheme="majorHAnsi" w:cs="Arial"/>
                <w:szCs w:val="22"/>
                <w:lang w:val="en-US"/>
              </w:rPr>
              <w:t xml:space="preserve">ender </w:t>
            </w:r>
            <w:r w:rsidR="00482A14" w:rsidRPr="00A232EE">
              <w:rPr>
                <w:rFonts w:asciiTheme="majorHAnsi" w:eastAsia="Calibri" w:hAnsiTheme="majorHAnsi" w:cs="Arial"/>
                <w:szCs w:val="22"/>
                <w:lang w:val="en-US"/>
              </w:rPr>
              <w:t xml:space="preserve">Strategy and </w:t>
            </w:r>
            <w:r w:rsidR="003E703E" w:rsidRPr="00A232EE">
              <w:rPr>
                <w:rFonts w:asciiTheme="majorHAnsi" w:eastAsia="Calibri" w:hAnsiTheme="majorHAnsi" w:cs="Arial"/>
                <w:szCs w:val="22"/>
                <w:lang w:val="en-US"/>
              </w:rPr>
              <w:t>A</w:t>
            </w:r>
            <w:r w:rsidR="0012670D" w:rsidRPr="00A232EE">
              <w:rPr>
                <w:rFonts w:asciiTheme="majorHAnsi" w:eastAsia="Calibri" w:hAnsiTheme="majorHAnsi" w:cs="Arial"/>
                <w:szCs w:val="22"/>
                <w:lang w:val="en-US"/>
              </w:rPr>
              <w:t xml:space="preserve">ction </w:t>
            </w:r>
            <w:r w:rsidR="003E703E" w:rsidRPr="00A232EE">
              <w:rPr>
                <w:rFonts w:asciiTheme="majorHAnsi" w:eastAsia="Calibri" w:hAnsiTheme="majorHAnsi" w:cs="Arial"/>
                <w:szCs w:val="22"/>
                <w:lang w:val="en-US"/>
              </w:rPr>
              <w:t>P</w:t>
            </w:r>
            <w:r w:rsidR="0012670D" w:rsidRPr="00A232EE">
              <w:rPr>
                <w:rFonts w:asciiTheme="majorHAnsi" w:eastAsia="Calibri" w:hAnsiTheme="majorHAnsi" w:cs="Arial"/>
                <w:szCs w:val="22"/>
                <w:lang w:val="en-US"/>
              </w:rPr>
              <w:t>lan.</w:t>
            </w:r>
          </w:p>
          <w:p w14:paraId="76754E13" w14:textId="0C4F79C3" w:rsidR="00CD5F6F" w:rsidRPr="00547C7F" w:rsidRDefault="3EFF9F7B" w:rsidP="3EFF9F7B">
            <w:pPr>
              <w:pStyle w:val="Paragraph"/>
              <w:tabs>
                <w:tab w:val="clear" w:pos="851"/>
                <w:tab w:val="num" w:pos="810"/>
              </w:tabs>
              <w:outlineLvl w:val="1"/>
              <w:rPr>
                <w:rFonts w:asciiTheme="majorHAnsi" w:eastAsiaTheme="majorEastAsia" w:hAnsiTheme="majorHAnsi" w:cstheme="majorBidi"/>
              </w:rPr>
            </w:pPr>
            <w:r w:rsidRPr="3EFF9F7B">
              <w:rPr>
                <w:rFonts w:asciiTheme="majorHAnsi" w:eastAsiaTheme="majorEastAsia" w:hAnsiTheme="majorHAnsi" w:cstheme="majorBidi"/>
                <w:lang w:val="en-US"/>
              </w:rPr>
              <w:t xml:space="preserve">Additionally, in the preparation of the Additional Financing the Bank and the MOW identified </w:t>
            </w:r>
            <w:r w:rsidRPr="3EFF9F7B">
              <w:rPr>
                <w:rFonts w:asciiTheme="majorHAnsi" w:eastAsiaTheme="majorEastAsia" w:hAnsiTheme="majorHAnsi" w:cstheme="majorBidi"/>
                <w:noProof/>
                <w:lang w:val="en-US"/>
              </w:rPr>
              <w:t>short fallings</w:t>
            </w:r>
            <w:r w:rsidRPr="3EFF9F7B">
              <w:rPr>
                <w:rFonts w:asciiTheme="majorHAnsi" w:eastAsiaTheme="majorEastAsia" w:hAnsiTheme="majorHAnsi" w:cstheme="majorBidi"/>
                <w:lang w:val="en-US"/>
              </w:rPr>
              <w:t xml:space="preserve"> in the designs related to road safety measures, </w:t>
            </w:r>
            <w:proofErr w:type="gramStart"/>
            <w:r w:rsidRPr="3EFF9F7B">
              <w:rPr>
                <w:rFonts w:asciiTheme="majorHAnsi" w:eastAsiaTheme="majorEastAsia" w:hAnsiTheme="majorHAnsi" w:cstheme="majorBidi"/>
                <w:lang w:val="en-US"/>
              </w:rPr>
              <w:t>in particular some</w:t>
            </w:r>
            <w:proofErr w:type="gramEnd"/>
            <w:r w:rsidRPr="3EFF9F7B">
              <w:rPr>
                <w:rFonts w:asciiTheme="majorHAnsi" w:eastAsiaTheme="majorEastAsia" w:hAnsiTheme="majorHAnsi" w:cstheme="majorBidi"/>
                <w:lang w:val="en-US"/>
              </w:rPr>
              <w:t xml:space="preserve"> of those identified in prior consultations, and as such the additional loan includes resources dedicated to ensuring appropriate design of sidewalks, crosswalks, and road safety measures such as speed bumps, relative to location of schools and bus stops. </w:t>
            </w:r>
          </w:p>
          <w:p w14:paraId="0D412A50" w14:textId="77777777" w:rsidR="00D32DAD" w:rsidRPr="00A232EE" w:rsidRDefault="000260B4" w:rsidP="005027EA">
            <w:pPr>
              <w:spacing w:before="120" w:after="120"/>
              <w:jc w:val="both"/>
              <w:rPr>
                <w:rFonts w:asciiTheme="majorHAnsi" w:eastAsia="Calibri" w:hAnsiTheme="majorHAnsi" w:cs="Arial"/>
                <w:sz w:val="22"/>
                <w:szCs w:val="22"/>
                <w:lang w:eastAsia="it-IT"/>
              </w:rPr>
            </w:pPr>
            <w:r w:rsidRPr="00EF6E80">
              <w:rPr>
                <w:rFonts w:asciiTheme="majorHAnsi" w:eastAsia="Calibri" w:hAnsiTheme="majorHAnsi" w:cs="Arial"/>
                <w:sz w:val="22"/>
                <w:szCs w:val="22"/>
                <w:lang w:eastAsia="it-IT"/>
              </w:rPr>
              <w:t>G</w:t>
            </w:r>
            <w:r w:rsidR="00307385" w:rsidRPr="00EF6E80">
              <w:rPr>
                <w:rFonts w:asciiTheme="majorHAnsi" w:eastAsia="Calibri" w:hAnsiTheme="majorHAnsi" w:cs="Arial"/>
                <w:sz w:val="22"/>
                <w:szCs w:val="22"/>
                <w:lang w:eastAsia="it-IT"/>
              </w:rPr>
              <w:t xml:space="preserve">iven the </w:t>
            </w:r>
            <w:r w:rsidR="00972AB1" w:rsidRPr="00EF6E80">
              <w:rPr>
                <w:rFonts w:asciiTheme="majorHAnsi" w:eastAsia="Calibri" w:hAnsiTheme="majorHAnsi" w:cs="Arial"/>
                <w:sz w:val="22"/>
                <w:szCs w:val="22"/>
                <w:lang w:eastAsia="it-IT"/>
              </w:rPr>
              <w:t xml:space="preserve">length of </w:t>
            </w:r>
            <w:r w:rsidR="00307385" w:rsidRPr="00EF6E80">
              <w:rPr>
                <w:rFonts w:asciiTheme="majorHAnsi" w:eastAsia="Calibri" w:hAnsiTheme="majorHAnsi" w:cs="Arial"/>
                <w:sz w:val="22"/>
                <w:szCs w:val="22"/>
                <w:lang w:eastAsia="it-IT"/>
              </w:rPr>
              <w:t xml:space="preserve">time elapsed since </w:t>
            </w:r>
            <w:r w:rsidR="00972AB1" w:rsidRPr="00EF6E80">
              <w:rPr>
                <w:rFonts w:asciiTheme="majorHAnsi" w:eastAsia="Calibri" w:hAnsiTheme="majorHAnsi" w:cs="Arial"/>
                <w:sz w:val="22"/>
                <w:szCs w:val="22"/>
                <w:lang w:eastAsia="it-IT"/>
              </w:rPr>
              <w:t>2014</w:t>
            </w:r>
            <w:r w:rsidR="00307385" w:rsidRPr="00EF6E80">
              <w:rPr>
                <w:rFonts w:asciiTheme="majorHAnsi" w:eastAsia="Calibri" w:hAnsiTheme="majorHAnsi" w:cs="Arial"/>
                <w:sz w:val="22"/>
                <w:szCs w:val="22"/>
                <w:lang w:eastAsia="it-IT"/>
              </w:rPr>
              <w:t xml:space="preserve">, the IDB considered </w:t>
            </w:r>
            <w:r w:rsidR="00AD1056" w:rsidRPr="00EF6E80">
              <w:rPr>
                <w:rFonts w:asciiTheme="majorHAnsi" w:eastAsia="Calibri" w:hAnsiTheme="majorHAnsi" w:cs="Arial"/>
                <w:sz w:val="22"/>
                <w:szCs w:val="22"/>
                <w:lang w:eastAsia="it-IT"/>
              </w:rPr>
              <w:t>it</w:t>
            </w:r>
            <w:r w:rsidR="003D71E3" w:rsidRPr="00EF6E80">
              <w:rPr>
                <w:rFonts w:asciiTheme="majorHAnsi" w:eastAsia="Calibri" w:hAnsiTheme="majorHAnsi" w:cs="Arial"/>
                <w:sz w:val="22"/>
                <w:szCs w:val="22"/>
                <w:lang w:eastAsia="it-IT"/>
              </w:rPr>
              <w:t xml:space="preserve"> necessary </w:t>
            </w:r>
            <w:r w:rsidR="003E703E" w:rsidRPr="00EF6E80">
              <w:rPr>
                <w:rFonts w:asciiTheme="majorHAnsi" w:eastAsia="Calibri" w:hAnsiTheme="majorHAnsi" w:cs="Arial"/>
                <w:sz w:val="22"/>
                <w:szCs w:val="22"/>
                <w:lang w:eastAsia="it-IT"/>
              </w:rPr>
              <w:t xml:space="preserve">for the MOW </w:t>
            </w:r>
            <w:r w:rsidR="003D71E3" w:rsidRPr="00EF6E80">
              <w:rPr>
                <w:rFonts w:asciiTheme="majorHAnsi" w:eastAsia="Calibri" w:hAnsiTheme="majorHAnsi" w:cs="Arial"/>
                <w:sz w:val="22"/>
                <w:szCs w:val="22"/>
                <w:lang w:eastAsia="it-IT"/>
              </w:rPr>
              <w:t xml:space="preserve">to </w:t>
            </w:r>
            <w:r w:rsidR="00307385" w:rsidRPr="00EF6E80">
              <w:rPr>
                <w:rFonts w:asciiTheme="majorHAnsi" w:eastAsia="Calibri" w:hAnsiTheme="majorHAnsi" w:cs="Arial"/>
                <w:sz w:val="22"/>
                <w:szCs w:val="22"/>
                <w:lang w:eastAsia="it-IT"/>
              </w:rPr>
              <w:t xml:space="preserve">provide an </w:t>
            </w:r>
            <w:r w:rsidR="003D71E3" w:rsidRPr="00EF6E80">
              <w:rPr>
                <w:rFonts w:asciiTheme="majorHAnsi" w:eastAsia="Calibri" w:hAnsiTheme="majorHAnsi" w:cs="Arial"/>
                <w:sz w:val="22"/>
                <w:szCs w:val="22"/>
                <w:lang w:eastAsia="it-IT"/>
              </w:rPr>
              <w:t xml:space="preserve">update </w:t>
            </w:r>
            <w:r w:rsidR="000B7756" w:rsidRPr="00941273">
              <w:rPr>
                <w:rFonts w:asciiTheme="majorHAnsi" w:eastAsia="Calibri" w:hAnsiTheme="majorHAnsi" w:cs="Arial"/>
                <w:sz w:val="22"/>
                <w:szCs w:val="22"/>
                <w:lang w:eastAsia="it-IT"/>
              </w:rPr>
              <w:t xml:space="preserve">to </w:t>
            </w:r>
            <w:r w:rsidR="003D71E3" w:rsidRPr="00941273">
              <w:rPr>
                <w:rFonts w:asciiTheme="majorHAnsi" w:eastAsia="Calibri" w:hAnsiTheme="majorHAnsi" w:cs="Arial"/>
                <w:sz w:val="22"/>
                <w:szCs w:val="22"/>
                <w:lang w:eastAsia="it-IT"/>
              </w:rPr>
              <w:t xml:space="preserve">the </w:t>
            </w:r>
            <w:r w:rsidR="00DD5E20" w:rsidRPr="00557192">
              <w:rPr>
                <w:rFonts w:asciiTheme="majorHAnsi" w:eastAsia="Calibri" w:hAnsiTheme="majorHAnsi" w:cs="Arial"/>
                <w:sz w:val="22"/>
                <w:szCs w:val="22"/>
                <w:lang w:eastAsia="it-IT"/>
              </w:rPr>
              <w:t xml:space="preserve">relevant stakeholders (potentially affected and interested parties) </w:t>
            </w:r>
            <w:r w:rsidR="003D71E3" w:rsidRPr="00557192">
              <w:rPr>
                <w:rFonts w:asciiTheme="majorHAnsi" w:eastAsia="Calibri" w:hAnsiTheme="majorHAnsi" w:cs="Arial"/>
                <w:sz w:val="22"/>
                <w:szCs w:val="22"/>
                <w:lang w:eastAsia="it-IT"/>
              </w:rPr>
              <w:t>on the changes</w:t>
            </w:r>
            <w:r w:rsidR="003E703E" w:rsidRPr="00557192">
              <w:rPr>
                <w:rFonts w:asciiTheme="majorHAnsi" w:eastAsia="Calibri" w:hAnsiTheme="majorHAnsi" w:cs="Arial"/>
                <w:sz w:val="22"/>
                <w:szCs w:val="22"/>
                <w:lang w:eastAsia="it-IT"/>
              </w:rPr>
              <w:t xml:space="preserve"> and advances in the project over </w:t>
            </w:r>
            <w:r w:rsidR="003D71E3" w:rsidRPr="00A232EE">
              <w:rPr>
                <w:rFonts w:asciiTheme="majorHAnsi" w:eastAsia="Calibri" w:hAnsiTheme="majorHAnsi" w:cs="Arial"/>
                <w:sz w:val="22"/>
                <w:szCs w:val="22"/>
                <w:lang w:eastAsia="it-IT"/>
              </w:rPr>
              <w:t xml:space="preserve">the last four years, including </w:t>
            </w:r>
            <w:r w:rsidR="000B7756" w:rsidRPr="00A232EE">
              <w:rPr>
                <w:rFonts w:asciiTheme="majorHAnsi" w:eastAsia="Calibri" w:hAnsiTheme="majorHAnsi" w:cs="Arial"/>
                <w:sz w:val="22"/>
                <w:szCs w:val="22"/>
                <w:lang w:eastAsia="it-IT"/>
              </w:rPr>
              <w:t>information from the ESIA</w:t>
            </w:r>
            <w:r w:rsidR="003E703E" w:rsidRPr="00A232EE">
              <w:rPr>
                <w:rFonts w:asciiTheme="majorHAnsi" w:eastAsia="Calibri" w:hAnsiTheme="majorHAnsi" w:cs="Arial"/>
                <w:sz w:val="22"/>
                <w:szCs w:val="22"/>
                <w:lang w:eastAsia="it-IT"/>
              </w:rPr>
              <w:t xml:space="preserve"> Addendum</w:t>
            </w:r>
            <w:r w:rsidR="000B7756" w:rsidRPr="00A232EE">
              <w:rPr>
                <w:rFonts w:asciiTheme="majorHAnsi" w:eastAsia="Calibri" w:hAnsiTheme="majorHAnsi" w:cs="Arial"/>
                <w:sz w:val="22"/>
                <w:szCs w:val="22"/>
                <w:lang w:eastAsia="it-IT"/>
              </w:rPr>
              <w:t xml:space="preserve"> and </w:t>
            </w:r>
            <w:r w:rsidR="003D71E3" w:rsidRPr="00A232EE">
              <w:rPr>
                <w:rFonts w:asciiTheme="majorHAnsi" w:eastAsia="Calibri" w:hAnsiTheme="majorHAnsi" w:cs="Arial"/>
                <w:sz w:val="22"/>
                <w:szCs w:val="22"/>
                <w:lang w:eastAsia="it-IT"/>
              </w:rPr>
              <w:t>the update</w:t>
            </w:r>
            <w:r w:rsidR="000B7756" w:rsidRPr="00A232EE">
              <w:rPr>
                <w:rFonts w:asciiTheme="majorHAnsi" w:eastAsia="Calibri" w:hAnsiTheme="majorHAnsi" w:cs="Arial"/>
                <w:sz w:val="22"/>
                <w:szCs w:val="22"/>
                <w:lang w:eastAsia="it-IT"/>
              </w:rPr>
              <w:t>d</w:t>
            </w:r>
            <w:r w:rsidR="003D71E3" w:rsidRPr="00A232EE">
              <w:rPr>
                <w:rFonts w:asciiTheme="majorHAnsi" w:eastAsia="Calibri" w:hAnsiTheme="majorHAnsi" w:cs="Arial"/>
                <w:sz w:val="22"/>
                <w:szCs w:val="22"/>
                <w:lang w:eastAsia="it-IT"/>
              </w:rPr>
              <w:t xml:space="preserve"> ESMP</w:t>
            </w:r>
            <w:r w:rsidR="003E703E" w:rsidRPr="00A232EE">
              <w:rPr>
                <w:rFonts w:asciiTheme="majorHAnsi" w:eastAsia="Calibri" w:hAnsiTheme="majorHAnsi" w:cs="Arial"/>
                <w:sz w:val="22"/>
                <w:szCs w:val="22"/>
                <w:lang w:eastAsia="it-IT"/>
              </w:rPr>
              <w:t>, as well</w:t>
            </w:r>
            <w:r w:rsidR="0056596F" w:rsidRPr="00A232EE">
              <w:rPr>
                <w:rFonts w:asciiTheme="majorHAnsi" w:eastAsia="Calibri" w:hAnsiTheme="majorHAnsi" w:cs="Arial"/>
                <w:sz w:val="22"/>
                <w:szCs w:val="22"/>
                <w:lang w:eastAsia="it-IT"/>
              </w:rPr>
              <w:t xml:space="preserve"> </w:t>
            </w:r>
            <w:r w:rsidR="003E703E" w:rsidRPr="00A232EE">
              <w:rPr>
                <w:rFonts w:asciiTheme="majorHAnsi" w:eastAsia="Calibri" w:hAnsiTheme="majorHAnsi" w:cs="Arial"/>
                <w:sz w:val="22"/>
                <w:szCs w:val="22"/>
                <w:lang w:eastAsia="it-IT"/>
              </w:rPr>
              <w:t>as</w:t>
            </w:r>
            <w:r w:rsidR="0056596F" w:rsidRPr="00A232EE">
              <w:rPr>
                <w:rFonts w:asciiTheme="majorHAnsi" w:eastAsia="Calibri" w:hAnsiTheme="majorHAnsi" w:cs="Arial"/>
                <w:sz w:val="22"/>
                <w:szCs w:val="22"/>
                <w:lang w:eastAsia="it-IT"/>
              </w:rPr>
              <w:t xml:space="preserve"> strengthened measures to address concerns</w:t>
            </w:r>
            <w:r w:rsidR="005027EA" w:rsidRPr="00A232EE">
              <w:rPr>
                <w:rFonts w:asciiTheme="majorHAnsi" w:eastAsia="Calibri" w:hAnsiTheme="majorHAnsi" w:cs="Arial"/>
                <w:sz w:val="22"/>
                <w:szCs w:val="22"/>
                <w:lang w:eastAsia="it-IT"/>
              </w:rPr>
              <w:t xml:space="preserve"> expressed earlier in the project design</w:t>
            </w:r>
            <w:r w:rsidR="003D71E3" w:rsidRPr="00A232EE">
              <w:rPr>
                <w:rFonts w:asciiTheme="majorHAnsi" w:eastAsia="Calibri" w:hAnsiTheme="majorHAnsi" w:cs="Arial"/>
                <w:sz w:val="22"/>
                <w:szCs w:val="22"/>
                <w:lang w:eastAsia="it-IT"/>
              </w:rPr>
              <w:t>.</w:t>
            </w:r>
            <w:r w:rsidR="001327F2" w:rsidRPr="00A232EE">
              <w:rPr>
                <w:rFonts w:asciiTheme="majorHAnsi" w:eastAsia="Calibri" w:hAnsiTheme="majorHAnsi" w:cs="Arial"/>
                <w:sz w:val="22"/>
                <w:szCs w:val="22"/>
                <w:lang w:eastAsia="it-IT"/>
              </w:rPr>
              <w:t xml:space="preserve"> </w:t>
            </w:r>
            <w:r w:rsidR="009F4436" w:rsidRPr="00A232EE">
              <w:rPr>
                <w:rFonts w:asciiTheme="majorHAnsi" w:eastAsia="Calibri" w:hAnsiTheme="majorHAnsi" w:cs="Arial"/>
                <w:sz w:val="22"/>
                <w:szCs w:val="22"/>
                <w:lang w:eastAsia="it-IT"/>
              </w:rPr>
              <w:t>T</w:t>
            </w:r>
            <w:r w:rsidR="001327F2" w:rsidRPr="00A232EE">
              <w:rPr>
                <w:rFonts w:asciiTheme="majorHAnsi" w:eastAsia="Calibri" w:hAnsiTheme="majorHAnsi" w:cs="Arial"/>
                <w:sz w:val="22"/>
                <w:szCs w:val="22"/>
                <w:lang w:eastAsia="it-IT"/>
              </w:rPr>
              <w:t xml:space="preserve">he Bank </w:t>
            </w:r>
            <w:r w:rsidR="0056596F" w:rsidRPr="00A232EE">
              <w:rPr>
                <w:rFonts w:asciiTheme="majorHAnsi" w:eastAsia="Calibri" w:hAnsiTheme="majorHAnsi" w:cs="Arial"/>
                <w:sz w:val="22"/>
                <w:szCs w:val="22"/>
                <w:lang w:eastAsia="it-IT"/>
              </w:rPr>
              <w:t xml:space="preserve">also </w:t>
            </w:r>
            <w:r w:rsidR="005027EA" w:rsidRPr="00A232EE">
              <w:rPr>
                <w:rFonts w:asciiTheme="majorHAnsi" w:eastAsia="Calibri" w:hAnsiTheme="majorHAnsi" w:cs="Arial"/>
                <w:sz w:val="22"/>
                <w:szCs w:val="22"/>
                <w:lang w:eastAsia="it-IT"/>
              </w:rPr>
              <w:t xml:space="preserve">required </w:t>
            </w:r>
            <w:r w:rsidR="001327F2" w:rsidRPr="00A232EE">
              <w:rPr>
                <w:rFonts w:asciiTheme="majorHAnsi" w:eastAsia="Calibri" w:hAnsiTheme="majorHAnsi" w:cs="Arial"/>
                <w:sz w:val="22"/>
                <w:szCs w:val="22"/>
                <w:lang w:eastAsia="it-IT"/>
              </w:rPr>
              <w:t xml:space="preserve">that a consultation plan </w:t>
            </w:r>
            <w:r w:rsidR="001327F2" w:rsidRPr="00A232EE">
              <w:rPr>
                <w:rFonts w:asciiTheme="majorHAnsi" w:eastAsia="Calibri" w:hAnsiTheme="majorHAnsi" w:cs="Arial"/>
                <w:noProof/>
                <w:sz w:val="22"/>
                <w:szCs w:val="22"/>
                <w:lang w:eastAsia="it-IT"/>
              </w:rPr>
              <w:t>be</w:t>
            </w:r>
            <w:r w:rsidR="001327F2" w:rsidRPr="00A232EE">
              <w:rPr>
                <w:rFonts w:asciiTheme="majorHAnsi" w:eastAsia="Calibri" w:hAnsiTheme="majorHAnsi" w:cs="Arial"/>
                <w:sz w:val="22"/>
                <w:szCs w:val="22"/>
                <w:lang w:eastAsia="it-IT"/>
              </w:rPr>
              <w:t xml:space="preserve"> prepared before </w:t>
            </w:r>
            <w:r w:rsidR="0034087F" w:rsidRPr="00A232EE">
              <w:rPr>
                <w:rFonts w:asciiTheme="majorHAnsi" w:eastAsia="Calibri" w:hAnsiTheme="majorHAnsi" w:cs="Arial"/>
                <w:sz w:val="22"/>
                <w:szCs w:val="22"/>
                <w:lang w:eastAsia="it-IT"/>
              </w:rPr>
              <w:t xml:space="preserve">carrying out </w:t>
            </w:r>
            <w:r w:rsidR="001327F2" w:rsidRPr="00A232EE">
              <w:rPr>
                <w:rFonts w:asciiTheme="majorHAnsi" w:eastAsia="Calibri" w:hAnsiTheme="majorHAnsi" w:cs="Arial"/>
                <w:sz w:val="22"/>
                <w:szCs w:val="22"/>
                <w:lang w:eastAsia="it-IT"/>
              </w:rPr>
              <w:t>th</w:t>
            </w:r>
            <w:r w:rsidR="0034087F" w:rsidRPr="00A232EE">
              <w:rPr>
                <w:rFonts w:asciiTheme="majorHAnsi" w:eastAsia="Calibri" w:hAnsiTheme="majorHAnsi" w:cs="Arial"/>
                <w:sz w:val="22"/>
                <w:szCs w:val="22"/>
                <w:lang w:eastAsia="it-IT"/>
              </w:rPr>
              <w:t xml:space="preserve">is new round of consultations, to ensure that </w:t>
            </w:r>
            <w:r w:rsidR="005027EA" w:rsidRPr="00A232EE">
              <w:rPr>
                <w:rFonts w:asciiTheme="majorHAnsi" w:eastAsia="Calibri" w:hAnsiTheme="majorHAnsi" w:cs="Arial"/>
                <w:sz w:val="22"/>
                <w:szCs w:val="22"/>
                <w:lang w:eastAsia="it-IT"/>
              </w:rPr>
              <w:t>this is</w:t>
            </w:r>
            <w:r w:rsidR="0034087F" w:rsidRPr="00A232EE">
              <w:rPr>
                <w:rFonts w:asciiTheme="majorHAnsi" w:eastAsia="Calibri" w:hAnsiTheme="majorHAnsi" w:cs="Arial"/>
                <w:sz w:val="22"/>
                <w:szCs w:val="22"/>
                <w:lang w:eastAsia="it-IT"/>
              </w:rPr>
              <w:t xml:space="preserve"> done in a gender-sensitive</w:t>
            </w:r>
            <w:r w:rsidR="00475A9D" w:rsidRPr="00A232EE">
              <w:rPr>
                <w:rFonts w:asciiTheme="majorHAnsi" w:eastAsia="Calibri" w:hAnsiTheme="majorHAnsi" w:cs="Arial"/>
                <w:sz w:val="22"/>
                <w:szCs w:val="22"/>
                <w:lang w:eastAsia="it-IT"/>
              </w:rPr>
              <w:t xml:space="preserve">, </w:t>
            </w:r>
            <w:proofErr w:type="spellStart"/>
            <w:r w:rsidR="0034087F" w:rsidRPr="00A232EE">
              <w:rPr>
                <w:rFonts w:asciiTheme="majorHAnsi" w:eastAsia="Calibri" w:hAnsiTheme="majorHAnsi" w:cs="Arial"/>
                <w:sz w:val="22"/>
                <w:szCs w:val="22"/>
                <w:lang w:eastAsia="it-IT"/>
              </w:rPr>
              <w:t>socioculturally</w:t>
            </w:r>
            <w:proofErr w:type="spellEnd"/>
            <w:r w:rsidR="0034087F" w:rsidRPr="00A232EE">
              <w:rPr>
                <w:rFonts w:asciiTheme="majorHAnsi" w:eastAsia="Calibri" w:hAnsiTheme="majorHAnsi" w:cs="Arial"/>
                <w:sz w:val="22"/>
                <w:szCs w:val="22"/>
                <w:lang w:eastAsia="it-IT"/>
              </w:rPr>
              <w:t xml:space="preserve"> appropriate</w:t>
            </w:r>
            <w:r w:rsidR="00475A9D" w:rsidRPr="00A232EE">
              <w:rPr>
                <w:rFonts w:asciiTheme="majorHAnsi" w:eastAsia="Calibri" w:hAnsiTheme="majorHAnsi" w:cs="Arial"/>
                <w:sz w:val="22"/>
                <w:szCs w:val="22"/>
                <w:lang w:eastAsia="it-IT"/>
              </w:rPr>
              <w:t>,</w:t>
            </w:r>
            <w:r w:rsidR="0034087F" w:rsidRPr="00A232EE">
              <w:rPr>
                <w:rFonts w:asciiTheme="majorHAnsi" w:eastAsia="Calibri" w:hAnsiTheme="majorHAnsi" w:cs="Arial"/>
                <w:sz w:val="22"/>
                <w:szCs w:val="22"/>
                <w:lang w:eastAsia="it-IT"/>
              </w:rPr>
              <w:t xml:space="preserve"> </w:t>
            </w:r>
            <w:r w:rsidR="00475A9D" w:rsidRPr="00A232EE">
              <w:rPr>
                <w:rFonts w:asciiTheme="majorHAnsi" w:eastAsia="Calibri" w:hAnsiTheme="majorHAnsi" w:cs="Arial"/>
                <w:sz w:val="22"/>
                <w:szCs w:val="22"/>
                <w:lang w:eastAsia="it-IT"/>
              </w:rPr>
              <w:t xml:space="preserve">and meaningful </w:t>
            </w:r>
            <w:r w:rsidR="0034087F" w:rsidRPr="00A232EE">
              <w:rPr>
                <w:rFonts w:asciiTheme="majorHAnsi" w:eastAsia="Calibri" w:hAnsiTheme="majorHAnsi" w:cs="Arial"/>
                <w:sz w:val="22"/>
                <w:szCs w:val="22"/>
                <w:lang w:eastAsia="it-IT"/>
              </w:rPr>
              <w:t>way</w:t>
            </w:r>
            <w:r w:rsidR="001327F2" w:rsidRPr="00A232EE">
              <w:rPr>
                <w:rFonts w:asciiTheme="majorHAnsi" w:eastAsia="Calibri" w:hAnsiTheme="majorHAnsi" w:cs="Arial"/>
                <w:sz w:val="22"/>
                <w:szCs w:val="22"/>
                <w:lang w:eastAsia="it-IT"/>
              </w:rPr>
              <w:t>.</w:t>
            </w:r>
          </w:p>
          <w:p w14:paraId="1800F8D6" w14:textId="382F210E" w:rsidR="00CD5F6F" w:rsidRDefault="001327F2" w:rsidP="005027EA">
            <w:pPr>
              <w:spacing w:before="120" w:after="120"/>
              <w:jc w:val="both"/>
              <w:rPr>
                <w:rFonts w:asciiTheme="majorHAnsi" w:eastAsia="Calibri" w:hAnsiTheme="majorHAnsi" w:cs="Arial"/>
                <w:sz w:val="22"/>
                <w:szCs w:val="22"/>
                <w:lang w:eastAsia="it-IT"/>
              </w:rPr>
            </w:pPr>
            <w:r w:rsidRPr="00A232EE">
              <w:rPr>
                <w:rFonts w:asciiTheme="majorHAnsi" w:eastAsia="Calibri" w:hAnsiTheme="majorHAnsi" w:cs="Arial"/>
                <w:sz w:val="22"/>
                <w:szCs w:val="22"/>
                <w:lang w:eastAsia="it-IT"/>
              </w:rPr>
              <w:t xml:space="preserve">As a result, a </w:t>
            </w:r>
            <w:r w:rsidR="009F4436" w:rsidRPr="00A232EE">
              <w:rPr>
                <w:rFonts w:asciiTheme="majorHAnsi" w:eastAsia="Calibri" w:hAnsiTheme="majorHAnsi" w:cs="Arial"/>
                <w:sz w:val="22"/>
                <w:szCs w:val="22"/>
                <w:lang w:eastAsia="it-IT"/>
              </w:rPr>
              <w:t xml:space="preserve">Consultation and Stakeholder </w:t>
            </w:r>
            <w:r w:rsidR="00CB0B2E" w:rsidRPr="00A232EE">
              <w:rPr>
                <w:rFonts w:asciiTheme="majorHAnsi" w:eastAsia="Calibri" w:hAnsiTheme="majorHAnsi" w:cs="Arial"/>
                <w:sz w:val="22"/>
                <w:szCs w:val="22"/>
                <w:lang w:eastAsia="it-IT"/>
              </w:rPr>
              <w:t xml:space="preserve">Engagement </w:t>
            </w:r>
            <w:r w:rsidR="009F4436" w:rsidRPr="00A232EE">
              <w:rPr>
                <w:rFonts w:asciiTheme="majorHAnsi" w:eastAsia="Calibri" w:hAnsiTheme="majorHAnsi" w:cs="Arial"/>
                <w:sz w:val="22"/>
                <w:szCs w:val="22"/>
                <w:lang w:eastAsia="it-IT"/>
              </w:rPr>
              <w:t>Plan</w:t>
            </w:r>
            <w:r w:rsidR="00E3395A" w:rsidRPr="00A232EE">
              <w:rPr>
                <w:rFonts w:asciiTheme="majorHAnsi" w:eastAsia="Calibri" w:hAnsiTheme="majorHAnsi" w:cs="Arial"/>
                <w:sz w:val="22"/>
                <w:szCs w:val="22"/>
                <w:lang w:eastAsia="it-IT"/>
              </w:rPr>
              <w:t xml:space="preserve">, which includes a </w:t>
            </w:r>
            <w:r w:rsidR="00E3395A" w:rsidRPr="00547C7F">
              <w:rPr>
                <w:rFonts w:asciiTheme="majorHAnsi" w:eastAsia="Calibri" w:hAnsiTheme="majorHAnsi" w:cs="Arial"/>
                <w:sz w:val="22"/>
                <w:szCs w:val="22"/>
                <w:lang w:eastAsia="it-IT"/>
              </w:rPr>
              <w:t>gr</w:t>
            </w:r>
            <w:r w:rsidR="004F79A9" w:rsidRPr="00EF6E80">
              <w:rPr>
                <w:rFonts w:asciiTheme="majorHAnsi" w:eastAsia="Calibri" w:hAnsiTheme="majorHAnsi" w:cs="Arial"/>
                <w:sz w:val="22"/>
                <w:szCs w:val="22"/>
                <w:lang w:eastAsia="it-IT"/>
              </w:rPr>
              <w:t>i</w:t>
            </w:r>
            <w:r w:rsidR="00E3395A" w:rsidRPr="00547C7F">
              <w:rPr>
                <w:rFonts w:asciiTheme="majorHAnsi" w:eastAsia="Calibri" w:hAnsiTheme="majorHAnsi" w:cs="Arial"/>
                <w:sz w:val="22"/>
                <w:szCs w:val="22"/>
                <w:lang w:eastAsia="it-IT"/>
              </w:rPr>
              <w:t>ev</w:t>
            </w:r>
            <w:r w:rsidR="004F79A9" w:rsidRPr="00EF6E80">
              <w:rPr>
                <w:rFonts w:asciiTheme="majorHAnsi" w:eastAsia="Calibri" w:hAnsiTheme="majorHAnsi" w:cs="Arial"/>
                <w:sz w:val="22"/>
                <w:szCs w:val="22"/>
                <w:lang w:eastAsia="it-IT"/>
              </w:rPr>
              <w:t>a</w:t>
            </w:r>
            <w:r w:rsidR="00E3395A" w:rsidRPr="00547C7F">
              <w:rPr>
                <w:rFonts w:asciiTheme="majorHAnsi" w:eastAsia="Calibri" w:hAnsiTheme="majorHAnsi" w:cs="Arial"/>
                <w:sz w:val="22"/>
                <w:szCs w:val="22"/>
                <w:lang w:eastAsia="it-IT"/>
              </w:rPr>
              <w:t>nce redress mechanism,</w:t>
            </w:r>
            <w:r w:rsidR="00E3395A" w:rsidRPr="00EF6E80">
              <w:rPr>
                <w:rFonts w:asciiTheme="majorHAnsi" w:eastAsia="Calibri" w:hAnsiTheme="majorHAnsi" w:cs="Arial"/>
                <w:sz w:val="22"/>
                <w:szCs w:val="22"/>
                <w:lang w:eastAsia="it-IT"/>
              </w:rPr>
              <w:t xml:space="preserve"> </w:t>
            </w:r>
            <w:r w:rsidR="009F4436" w:rsidRPr="00941273">
              <w:rPr>
                <w:rFonts w:asciiTheme="majorHAnsi" w:eastAsia="Calibri" w:hAnsiTheme="majorHAnsi" w:cs="Arial"/>
                <w:sz w:val="22"/>
                <w:szCs w:val="22"/>
                <w:lang w:eastAsia="it-IT"/>
              </w:rPr>
              <w:t xml:space="preserve">was prepared </w:t>
            </w:r>
            <w:r w:rsidR="0034087F" w:rsidRPr="00941273">
              <w:rPr>
                <w:rFonts w:asciiTheme="majorHAnsi" w:eastAsia="Calibri" w:hAnsiTheme="majorHAnsi" w:cs="Arial"/>
                <w:sz w:val="22"/>
                <w:szCs w:val="22"/>
                <w:lang w:eastAsia="it-IT"/>
              </w:rPr>
              <w:t>t</w:t>
            </w:r>
            <w:r w:rsidRPr="00557192">
              <w:rPr>
                <w:rFonts w:asciiTheme="majorHAnsi" w:eastAsia="Calibri" w:hAnsiTheme="majorHAnsi" w:cs="Arial"/>
                <w:sz w:val="22"/>
                <w:szCs w:val="22"/>
                <w:lang w:eastAsia="it-IT"/>
              </w:rPr>
              <w:t xml:space="preserve">o guide the </w:t>
            </w:r>
            <w:r w:rsidR="00D91F6E" w:rsidRPr="00557192">
              <w:rPr>
                <w:rFonts w:asciiTheme="majorHAnsi" w:eastAsia="Calibri" w:hAnsiTheme="majorHAnsi" w:cs="Arial"/>
                <w:sz w:val="22"/>
                <w:szCs w:val="22"/>
                <w:lang w:eastAsia="it-IT"/>
              </w:rPr>
              <w:t xml:space="preserve">new </w:t>
            </w:r>
            <w:r w:rsidR="003827AA" w:rsidRPr="00557192">
              <w:rPr>
                <w:rFonts w:asciiTheme="majorHAnsi" w:eastAsia="Calibri" w:hAnsiTheme="majorHAnsi" w:cs="Arial"/>
                <w:sz w:val="22"/>
                <w:szCs w:val="22"/>
                <w:lang w:eastAsia="it-IT"/>
              </w:rPr>
              <w:t xml:space="preserve">round of </w:t>
            </w:r>
            <w:r w:rsidRPr="00557192">
              <w:rPr>
                <w:rFonts w:asciiTheme="majorHAnsi" w:eastAsia="Calibri" w:hAnsiTheme="majorHAnsi" w:cs="Arial"/>
                <w:sz w:val="22"/>
                <w:szCs w:val="22"/>
                <w:lang w:eastAsia="it-IT"/>
              </w:rPr>
              <w:t>consultation</w:t>
            </w:r>
            <w:r w:rsidR="003827AA" w:rsidRPr="00557192">
              <w:rPr>
                <w:rFonts w:asciiTheme="majorHAnsi" w:eastAsia="Calibri" w:hAnsiTheme="majorHAnsi" w:cs="Arial"/>
                <w:sz w:val="22"/>
                <w:szCs w:val="22"/>
                <w:lang w:eastAsia="it-IT"/>
              </w:rPr>
              <w:t>s</w:t>
            </w:r>
            <w:r w:rsidRPr="00557192">
              <w:rPr>
                <w:rFonts w:asciiTheme="majorHAnsi" w:eastAsia="Calibri" w:hAnsiTheme="majorHAnsi" w:cs="Arial"/>
                <w:sz w:val="22"/>
                <w:szCs w:val="22"/>
                <w:lang w:eastAsia="it-IT"/>
              </w:rPr>
              <w:t xml:space="preserve"> </w:t>
            </w:r>
            <w:r w:rsidR="00694DEC" w:rsidRPr="00557192">
              <w:rPr>
                <w:rFonts w:asciiTheme="majorHAnsi" w:eastAsia="Calibri" w:hAnsiTheme="majorHAnsi" w:cs="Arial"/>
                <w:sz w:val="22"/>
                <w:szCs w:val="22"/>
                <w:lang w:eastAsia="it-IT"/>
              </w:rPr>
              <w:t>to be</w:t>
            </w:r>
            <w:r w:rsidR="00F0416E" w:rsidRPr="00557192">
              <w:rPr>
                <w:rFonts w:asciiTheme="majorHAnsi" w:eastAsia="Calibri" w:hAnsiTheme="majorHAnsi" w:cs="Arial"/>
                <w:sz w:val="22"/>
                <w:szCs w:val="22"/>
                <w:lang w:eastAsia="it-IT"/>
              </w:rPr>
              <w:t xml:space="preserve"> carried out</w:t>
            </w:r>
            <w:r w:rsidR="00694DEC" w:rsidRPr="00557192">
              <w:rPr>
                <w:rFonts w:asciiTheme="majorHAnsi" w:eastAsia="Calibri" w:hAnsiTheme="majorHAnsi" w:cs="Arial"/>
                <w:sz w:val="22"/>
                <w:szCs w:val="22"/>
                <w:lang w:eastAsia="it-IT"/>
              </w:rPr>
              <w:t xml:space="preserve"> by the </w:t>
            </w:r>
            <w:r w:rsidR="005027EA" w:rsidRPr="00557192">
              <w:rPr>
                <w:rFonts w:asciiTheme="majorHAnsi" w:eastAsia="Calibri" w:hAnsiTheme="majorHAnsi" w:cs="Arial"/>
                <w:sz w:val="22"/>
                <w:szCs w:val="22"/>
                <w:lang w:eastAsia="it-IT"/>
              </w:rPr>
              <w:t>MOW</w:t>
            </w:r>
            <w:r w:rsidR="00694DEC" w:rsidRPr="00557192">
              <w:rPr>
                <w:rFonts w:asciiTheme="majorHAnsi" w:eastAsia="Calibri" w:hAnsiTheme="majorHAnsi" w:cs="Arial"/>
                <w:sz w:val="22"/>
                <w:szCs w:val="22"/>
                <w:lang w:eastAsia="it-IT"/>
              </w:rPr>
              <w:t xml:space="preserve">, with the support of </w:t>
            </w:r>
            <w:r w:rsidRPr="00557192">
              <w:rPr>
                <w:rFonts w:asciiTheme="majorHAnsi" w:eastAsia="Calibri" w:hAnsiTheme="majorHAnsi" w:cs="Arial"/>
                <w:sz w:val="22"/>
                <w:szCs w:val="22"/>
                <w:lang w:eastAsia="it-IT"/>
              </w:rPr>
              <w:t>a social consultant. Th</w:t>
            </w:r>
            <w:r w:rsidR="003827AA" w:rsidRPr="00A232EE">
              <w:rPr>
                <w:rFonts w:asciiTheme="majorHAnsi" w:eastAsia="Calibri" w:hAnsiTheme="majorHAnsi" w:cs="Arial"/>
                <w:sz w:val="22"/>
                <w:szCs w:val="22"/>
                <w:lang w:eastAsia="it-IT"/>
              </w:rPr>
              <w:t>is</w:t>
            </w:r>
            <w:r w:rsidRPr="00A232EE">
              <w:rPr>
                <w:rFonts w:asciiTheme="majorHAnsi" w:eastAsia="Calibri" w:hAnsiTheme="majorHAnsi" w:cs="Arial"/>
                <w:sz w:val="22"/>
                <w:szCs w:val="22"/>
                <w:lang w:eastAsia="it-IT"/>
              </w:rPr>
              <w:t xml:space="preserve"> plan addresse</w:t>
            </w:r>
            <w:r w:rsidR="009F4436" w:rsidRPr="00A232EE">
              <w:rPr>
                <w:rFonts w:asciiTheme="majorHAnsi" w:eastAsia="Calibri" w:hAnsiTheme="majorHAnsi" w:cs="Arial"/>
                <w:sz w:val="22"/>
                <w:szCs w:val="22"/>
                <w:lang w:eastAsia="it-IT"/>
              </w:rPr>
              <w:t>s</w:t>
            </w:r>
            <w:r w:rsidRPr="00A232EE">
              <w:rPr>
                <w:rFonts w:asciiTheme="majorHAnsi" w:eastAsia="Calibri" w:hAnsiTheme="majorHAnsi" w:cs="Arial"/>
                <w:sz w:val="22"/>
                <w:szCs w:val="22"/>
                <w:lang w:eastAsia="it-IT"/>
              </w:rPr>
              <w:t xml:space="preserve"> the different elements needed for the consultation</w:t>
            </w:r>
            <w:r w:rsidR="003827AA" w:rsidRPr="00A232EE">
              <w:rPr>
                <w:rFonts w:asciiTheme="majorHAnsi" w:eastAsia="Calibri" w:hAnsiTheme="majorHAnsi" w:cs="Arial"/>
                <w:sz w:val="22"/>
                <w:szCs w:val="22"/>
                <w:lang w:eastAsia="it-IT"/>
              </w:rPr>
              <w:t>s</w:t>
            </w:r>
            <w:r w:rsidRPr="00A232EE">
              <w:rPr>
                <w:rFonts w:asciiTheme="majorHAnsi" w:eastAsia="Calibri" w:hAnsiTheme="majorHAnsi" w:cs="Arial"/>
                <w:sz w:val="22"/>
                <w:szCs w:val="22"/>
                <w:lang w:eastAsia="it-IT"/>
              </w:rPr>
              <w:t xml:space="preserve"> to be meaningful</w:t>
            </w:r>
            <w:r w:rsidR="009F4436" w:rsidRPr="00A232EE">
              <w:rPr>
                <w:rFonts w:asciiTheme="majorHAnsi" w:eastAsia="Calibri" w:hAnsiTheme="majorHAnsi" w:cs="Arial"/>
                <w:sz w:val="22"/>
                <w:szCs w:val="22"/>
                <w:lang w:eastAsia="it-IT"/>
              </w:rPr>
              <w:t>,</w:t>
            </w:r>
            <w:r w:rsidRPr="00A232EE">
              <w:rPr>
                <w:rFonts w:asciiTheme="majorHAnsi" w:eastAsia="Calibri" w:hAnsiTheme="majorHAnsi" w:cs="Arial"/>
                <w:sz w:val="22"/>
                <w:szCs w:val="22"/>
                <w:lang w:eastAsia="it-IT"/>
              </w:rPr>
              <w:t xml:space="preserve"> including </w:t>
            </w:r>
            <w:r w:rsidR="003D71E3" w:rsidRPr="00A232EE">
              <w:rPr>
                <w:rFonts w:asciiTheme="majorHAnsi" w:eastAsia="Calibri" w:hAnsiTheme="majorHAnsi" w:cs="Arial"/>
                <w:sz w:val="22"/>
                <w:szCs w:val="22"/>
                <w:lang w:eastAsia="it-IT"/>
              </w:rPr>
              <w:t xml:space="preserve">a stakeholders’ map and analysis of their relationship with the project; </w:t>
            </w:r>
            <w:r w:rsidR="00196EF4" w:rsidRPr="00A232EE">
              <w:rPr>
                <w:rFonts w:asciiTheme="majorHAnsi" w:eastAsia="Calibri" w:hAnsiTheme="majorHAnsi" w:cs="Arial"/>
                <w:sz w:val="22"/>
                <w:szCs w:val="22"/>
                <w:lang w:eastAsia="it-IT"/>
              </w:rPr>
              <w:t xml:space="preserve">the need to </w:t>
            </w:r>
            <w:r w:rsidR="003D71E3" w:rsidRPr="00A232EE">
              <w:rPr>
                <w:rFonts w:asciiTheme="majorHAnsi" w:eastAsia="Calibri" w:hAnsiTheme="majorHAnsi" w:cs="Arial"/>
                <w:sz w:val="22"/>
                <w:szCs w:val="22"/>
                <w:lang w:eastAsia="it-IT"/>
              </w:rPr>
              <w:t>share prior information about the project and its</w:t>
            </w:r>
            <w:r w:rsidR="009271D8" w:rsidRPr="00A232EE">
              <w:rPr>
                <w:rFonts w:asciiTheme="majorHAnsi" w:eastAsia="Calibri" w:hAnsiTheme="majorHAnsi" w:cs="Arial"/>
                <w:sz w:val="22"/>
                <w:szCs w:val="22"/>
                <w:lang w:eastAsia="it-IT"/>
              </w:rPr>
              <w:t xml:space="preserve"> key </w:t>
            </w:r>
            <w:r w:rsidR="003D71E3" w:rsidRPr="00A232EE">
              <w:rPr>
                <w:rFonts w:asciiTheme="majorHAnsi" w:eastAsia="Calibri" w:hAnsiTheme="majorHAnsi" w:cs="Arial"/>
                <w:sz w:val="22"/>
                <w:szCs w:val="22"/>
                <w:lang w:eastAsia="it-IT"/>
              </w:rPr>
              <w:t xml:space="preserve">social and environmental impacts, risks, and mitigation measures in an appropriate language, format, timing, and venues; </w:t>
            </w:r>
            <w:r w:rsidR="00196EF4" w:rsidRPr="00A232EE">
              <w:rPr>
                <w:rFonts w:asciiTheme="majorHAnsi" w:eastAsia="Calibri" w:hAnsiTheme="majorHAnsi" w:cs="Arial"/>
                <w:sz w:val="22"/>
                <w:szCs w:val="22"/>
                <w:lang w:eastAsia="it-IT"/>
              </w:rPr>
              <w:t xml:space="preserve">provides information so </w:t>
            </w:r>
            <w:r w:rsidR="003D71E3" w:rsidRPr="00A232EE">
              <w:rPr>
                <w:rFonts w:asciiTheme="majorHAnsi" w:eastAsia="Calibri" w:hAnsiTheme="majorHAnsi" w:cs="Arial"/>
                <w:sz w:val="22"/>
                <w:szCs w:val="22"/>
                <w:lang w:eastAsia="it-IT"/>
              </w:rPr>
              <w:t xml:space="preserve">that the different interest groups </w:t>
            </w:r>
            <w:r w:rsidR="00196EF4" w:rsidRPr="00A232EE">
              <w:rPr>
                <w:rFonts w:asciiTheme="majorHAnsi" w:eastAsia="Calibri" w:hAnsiTheme="majorHAnsi" w:cs="Arial"/>
                <w:sz w:val="22"/>
                <w:szCs w:val="22"/>
                <w:lang w:eastAsia="it-IT"/>
              </w:rPr>
              <w:t>are</w:t>
            </w:r>
            <w:r w:rsidR="00A9591D" w:rsidRPr="00A232EE">
              <w:rPr>
                <w:rFonts w:asciiTheme="majorHAnsi" w:eastAsia="Calibri" w:hAnsiTheme="majorHAnsi" w:cs="Arial"/>
                <w:sz w:val="22"/>
                <w:szCs w:val="22"/>
                <w:lang w:eastAsia="it-IT"/>
              </w:rPr>
              <w:t xml:space="preserve"> </w:t>
            </w:r>
            <w:r w:rsidR="003D71E3" w:rsidRPr="00A232EE">
              <w:rPr>
                <w:rFonts w:asciiTheme="majorHAnsi" w:eastAsia="Calibri" w:hAnsiTheme="majorHAnsi" w:cs="Arial"/>
                <w:sz w:val="22"/>
                <w:szCs w:val="22"/>
                <w:lang w:eastAsia="it-IT"/>
              </w:rPr>
              <w:t>properly represented, in a gender-</w:t>
            </w:r>
            <w:r w:rsidR="001A3B61" w:rsidRPr="00A232EE">
              <w:rPr>
                <w:rFonts w:asciiTheme="majorHAnsi" w:eastAsia="Calibri" w:hAnsiTheme="majorHAnsi" w:cs="Arial"/>
                <w:sz w:val="22"/>
                <w:szCs w:val="22"/>
                <w:lang w:eastAsia="it-IT"/>
              </w:rPr>
              <w:t xml:space="preserve"> and culturally-</w:t>
            </w:r>
            <w:r w:rsidR="003D71E3" w:rsidRPr="00A232EE">
              <w:rPr>
                <w:rFonts w:asciiTheme="majorHAnsi" w:eastAsia="Calibri" w:hAnsiTheme="majorHAnsi" w:cs="Arial"/>
                <w:sz w:val="22"/>
                <w:szCs w:val="22"/>
                <w:lang w:eastAsia="it-IT"/>
              </w:rPr>
              <w:t xml:space="preserve">sensitive way; </w:t>
            </w:r>
            <w:r w:rsidR="00196EF4" w:rsidRPr="00A232EE">
              <w:rPr>
                <w:rFonts w:asciiTheme="majorHAnsi" w:eastAsia="Calibri" w:hAnsiTheme="majorHAnsi" w:cs="Arial"/>
                <w:sz w:val="22"/>
                <w:szCs w:val="22"/>
                <w:lang w:eastAsia="it-IT"/>
              </w:rPr>
              <w:t xml:space="preserve">includes </w:t>
            </w:r>
            <w:r w:rsidR="003D71E3" w:rsidRPr="00A232EE">
              <w:rPr>
                <w:rFonts w:asciiTheme="majorHAnsi" w:eastAsia="Calibri" w:hAnsiTheme="majorHAnsi" w:cs="Arial"/>
                <w:sz w:val="22"/>
                <w:szCs w:val="22"/>
                <w:lang w:eastAsia="it-IT"/>
              </w:rPr>
              <w:t>a</w:t>
            </w:r>
            <w:r w:rsidR="00A9591D" w:rsidRPr="00A232EE">
              <w:rPr>
                <w:rFonts w:asciiTheme="majorHAnsi" w:eastAsia="Calibri" w:hAnsiTheme="majorHAnsi" w:cs="Arial"/>
                <w:sz w:val="22"/>
                <w:szCs w:val="22"/>
                <w:lang w:eastAsia="it-IT"/>
              </w:rPr>
              <w:t>n explanation of the</w:t>
            </w:r>
            <w:r w:rsidR="003D71E3" w:rsidRPr="00A232EE">
              <w:rPr>
                <w:rFonts w:asciiTheme="majorHAnsi" w:eastAsia="Calibri" w:hAnsiTheme="majorHAnsi" w:cs="Arial"/>
                <w:sz w:val="22"/>
                <w:szCs w:val="22"/>
                <w:lang w:eastAsia="it-IT"/>
              </w:rPr>
              <w:t xml:space="preserve"> mechanism</w:t>
            </w:r>
            <w:r w:rsidR="00A9591D" w:rsidRPr="00A232EE">
              <w:rPr>
                <w:rFonts w:asciiTheme="majorHAnsi" w:eastAsia="Calibri" w:hAnsiTheme="majorHAnsi" w:cs="Arial"/>
                <w:sz w:val="22"/>
                <w:szCs w:val="22"/>
                <w:lang w:eastAsia="it-IT"/>
              </w:rPr>
              <w:t>s</w:t>
            </w:r>
            <w:r w:rsidR="003D71E3" w:rsidRPr="00A232EE">
              <w:rPr>
                <w:rFonts w:asciiTheme="majorHAnsi" w:eastAsia="Calibri" w:hAnsiTheme="majorHAnsi" w:cs="Arial"/>
                <w:sz w:val="22"/>
                <w:szCs w:val="22"/>
                <w:lang w:eastAsia="it-IT"/>
              </w:rPr>
              <w:t xml:space="preserve"> and channels for grievances, and </w:t>
            </w:r>
            <w:r w:rsidR="00196EF4" w:rsidRPr="00A232EE">
              <w:rPr>
                <w:rFonts w:asciiTheme="majorHAnsi" w:eastAsia="Calibri" w:hAnsiTheme="majorHAnsi" w:cs="Arial"/>
                <w:sz w:val="22"/>
                <w:szCs w:val="22"/>
                <w:lang w:eastAsia="it-IT"/>
              </w:rPr>
              <w:t xml:space="preserve">also provides guidance on </w:t>
            </w:r>
            <w:r w:rsidR="00A9591D" w:rsidRPr="00A232EE">
              <w:rPr>
                <w:rFonts w:asciiTheme="majorHAnsi" w:eastAsia="Calibri" w:hAnsiTheme="majorHAnsi" w:cs="Arial"/>
                <w:sz w:val="22"/>
                <w:szCs w:val="22"/>
                <w:lang w:eastAsia="it-IT"/>
              </w:rPr>
              <w:t xml:space="preserve">the </w:t>
            </w:r>
            <w:r w:rsidR="003D71E3" w:rsidRPr="00A232EE">
              <w:rPr>
                <w:rFonts w:asciiTheme="majorHAnsi" w:eastAsia="Calibri" w:hAnsiTheme="majorHAnsi" w:cs="Arial"/>
                <w:sz w:val="22"/>
                <w:szCs w:val="22"/>
                <w:lang w:eastAsia="it-IT"/>
              </w:rPr>
              <w:t xml:space="preserve">stakeholder engagement and communications activities expected during </w:t>
            </w:r>
            <w:r w:rsidR="00A9591D" w:rsidRPr="00A232EE">
              <w:rPr>
                <w:rFonts w:asciiTheme="majorHAnsi" w:eastAsia="Calibri" w:hAnsiTheme="majorHAnsi" w:cs="Arial"/>
                <w:sz w:val="22"/>
                <w:szCs w:val="22"/>
                <w:lang w:eastAsia="it-IT"/>
              </w:rPr>
              <w:t xml:space="preserve">the project’s </w:t>
            </w:r>
            <w:r w:rsidR="003D71E3" w:rsidRPr="00A232EE">
              <w:rPr>
                <w:rFonts w:asciiTheme="majorHAnsi" w:eastAsia="Calibri" w:hAnsiTheme="majorHAnsi" w:cs="Arial"/>
                <w:sz w:val="22"/>
                <w:szCs w:val="22"/>
                <w:lang w:eastAsia="it-IT"/>
              </w:rPr>
              <w:t>construction and operation</w:t>
            </w:r>
            <w:r w:rsidR="009271D8" w:rsidRPr="00A232EE">
              <w:rPr>
                <w:rFonts w:asciiTheme="majorHAnsi" w:eastAsia="Calibri" w:hAnsiTheme="majorHAnsi" w:cs="Arial"/>
                <w:sz w:val="22"/>
                <w:szCs w:val="22"/>
                <w:lang w:eastAsia="it-IT"/>
              </w:rPr>
              <w:t xml:space="preserve"> stages</w:t>
            </w:r>
            <w:r w:rsidR="003D71E3" w:rsidRPr="00A232EE">
              <w:rPr>
                <w:rFonts w:asciiTheme="majorHAnsi" w:eastAsia="Calibri" w:hAnsiTheme="majorHAnsi" w:cs="Arial"/>
                <w:sz w:val="22"/>
                <w:szCs w:val="22"/>
                <w:lang w:eastAsia="it-IT"/>
              </w:rPr>
              <w:t>.</w:t>
            </w:r>
          </w:p>
          <w:p w14:paraId="07F95CC2" w14:textId="401CD1F6" w:rsidR="0062613F" w:rsidRDefault="006C4344" w:rsidP="00210EBA">
            <w:pPr>
              <w:spacing w:before="120" w:after="120"/>
              <w:jc w:val="both"/>
            </w:pPr>
            <w:r w:rsidRPr="00A232EE">
              <w:rPr>
                <w:rFonts w:asciiTheme="majorHAnsi" w:eastAsia="Calibri" w:hAnsiTheme="majorHAnsi" w:cs="Arial"/>
                <w:sz w:val="22"/>
                <w:szCs w:val="22"/>
                <w:lang w:eastAsia="it-IT"/>
              </w:rPr>
              <w:t>This new round of consultations</w:t>
            </w:r>
            <w:r w:rsidR="0083234D">
              <w:rPr>
                <w:rFonts w:asciiTheme="majorHAnsi" w:eastAsia="Calibri" w:hAnsiTheme="majorHAnsi" w:cs="Arial"/>
                <w:sz w:val="22"/>
                <w:szCs w:val="22"/>
                <w:lang w:eastAsia="it-IT"/>
              </w:rPr>
              <w:t xml:space="preserve"> was </w:t>
            </w:r>
            <w:r w:rsidR="0083234D" w:rsidRPr="00091A20">
              <w:rPr>
                <w:rFonts w:asciiTheme="majorHAnsi" w:eastAsia="Times New Roman" w:hAnsiTheme="majorHAnsi" w:cs="Arial"/>
                <w:spacing w:val="-4"/>
                <w:sz w:val="22"/>
                <w:szCs w:val="22"/>
              </w:rPr>
              <w:t>held during the second half of June 2018.</w:t>
            </w:r>
            <w:r w:rsidR="00210EBA">
              <w:rPr>
                <w:rFonts w:asciiTheme="majorHAnsi" w:eastAsia="Times New Roman" w:hAnsiTheme="majorHAnsi" w:cs="Arial"/>
                <w:spacing w:val="-4"/>
                <w:sz w:val="22"/>
                <w:szCs w:val="22"/>
              </w:rPr>
              <w:t xml:space="preserve"> </w:t>
            </w:r>
            <w:r w:rsidR="0062613F" w:rsidRPr="00210EBA">
              <w:rPr>
                <w:rFonts w:asciiTheme="majorHAnsi" w:eastAsia="Times New Roman" w:hAnsiTheme="majorHAnsi" w:cs="Arial"/>
                <w:spacing w:val="-4"/>
                <w:sz w:val="22"/>
                <w:szCs w:val="22"/>
              </w:rPr>
              <w:t xml:space="preserve">The primary concerns for stakeholders across all meetings were </w:t>
            </w:r>
            <w:r w:rsidR="00210EBA" w:rsidRPr="00210EBA">
              <w:rPr>
                <w:rFonts w:asciiTheme="majorHAnsi" w:eastAsia="Times New Roman" w:hAnsiTheme="majorHAnsi" w:cs="Arial"/>
                <w:spacing w:val="-4"/>
                <w:sz w:val="22"/>
                <w:szCs w:val="22"/>
              </w:rPr>
              <w:t xml:space="preserve">(i) </w:t>
            </w:r>
            <w:r w:rsidR="0062613F" w:rsidRPr="00210EBA">
              <w:rPr>
                <w:rFonts w:asciiTheme="majorHAnsi" w:eastAsia="Times New Roman" w:hAnsiTheme="majorHAnsi" w:cs="Arial"/>
                <w:spacing w:val="-4"/>
                <w:sz w:val="22"/>
                <w:szCs w:val="22"/>
              </w:rPr>
              <w:t xml:space="preserve">the installation of road safety features, especially near schools, and </w:t>
            </w:r>
            <w:r w:rsidR="00210EBA" w:rsidRPr="00210EBA">
              <w:rPr>
                <w:rFonts w:asciiTheme="majorHAnsi" w:eastAsia="Times New Roman" w:hAnsiTheme="majorHAnsi" w:cs="Arial"/>
                <w:spacing w:val="-4"/>
                <w:sz w:val="22"/>
                <w:szCs w:val="22"/>
              </w:rPr>
              <w:t xml:space="preserve">(ii) </w:t>
            </w:r>
            <w:r w:rsidR="0062613F" w:rsidRPr="00210EBA">
              <w:rPr>
                <w:rFonts w:asciiTheme="majorHAnsi" w:eastAsia="Times New Roman" w:hAnsiTheme="majorHAnsi" w:cs="Arial"/>
                <w:spacing w:val="-4"/>
                <w:sz w:val="22"/>
                <w:szCs w:val="22"/>
              </w:rPr>
              <w:t>the availability of jobs within the project</w:t>
            </w:r>
            <w:r w:rsidR="00210EBA" w:rsidRPr="00210EBA">
              <w:rPr>
                <w:rFonts w:asciiTheme="majorHAnsi" w:eastAsia="Times New Roman" w:hAnsiTheme="majorHAnsi" w:cs="Arial"/>
                <w:spacing w:val="-4"/>
                <w:sz w:val="22"/>
                <w:szCs w:val="22"/>
              </w:rPr>
              <w:t xml:space="preserve"> for t</w:t>
            </w:r>
            <w:r w:rsidR="00210EBA">
              <w:rPr>
                <w:rFonts w:asciiTheme="majorHAnsi" w:eastAsia="Times New Roman" w:hAnsiTheme="majorHAnsi" w:cs="Arial"/>
                <w:spacing w:val="-4"/>
                <w:sz w:val="22"/>
                <w:szCs w:val="22"/>
              </w:rPr>
              <w:t>he</w:t>
            </w:r>
            <w:r w:rsidR="00210EBA" w:rsidRPr="00210EBA">
              <w:rPr>
                <w:rFonts w:asciiTheme="majorHAnsi" w:eastAsia="Times New Roman" w:hAnsiTheme="majorHAnsi" w:cs="Arial"/>
                <w:spacing w:val="-4"/>
                <w:sz w:val="22"/>
                <w:szCs w:val="22"/>
              </w:rPr>
              <w:t xml:space="preserve"> local population</w:t>
            </w:r>
            <w:r w:rsidR="0062613F" w:rsidRPr="00210EBA">
              <w:rPr>
                <w:rFonts w:asciiTheme="majorHAnsi" w:eastAsia="Times New Roman" w:hAnsiTheme="majorHAnsi" w:cs="Arial"/>
                <w:spacing w:val="-4"/>
                <w:sz w:val="22"/>
                <w:szCs w:val="22"/>
              </w:rPr>
              <w:t xml:space="preserve">. </w:t>
            </w:r>
            <w:r w:rsidR="005C21EA" w:rsidRPr="00210EBA">
              <w:rPr>
                <w:rFonts w:asciiTheme="majorHAnsi" w:eastAsia="Times New Roman" w:hAnsiTheme="majorHAnsi" w:cs="Arial"/>
                <w:spacing w:val="-4"/>
                <w:sz w:val="22"/>
                <w:szCs w:val="22"/>
              </w:rPr>
              <w:t>Participants</w:t>
            </w:r>
            <w:r w:rsidR="0062613F" w:rsidRPr="00210EBA">
              <w:rPr>
                <w:rFonts w:asciiTheme="majorHAnsi" w:eastAsia="Times New Roman" w:hAnsiTheme="majorHAnsi" w:cs="Arial"/>
                <w:spacing w:val="-4"/>
                <w:sz w:val="22"/>
                <w:szCs w:val="22"/>
              </w:rPr>
              <w:t xml:space="preserve"> were satisfied </w:t>
            </w:r>
            <w:r w:rsidR="005C21EA" w:rsidRPr="00210EBA">
              <w:rPr>
                <w:rFonts w:asciiTheme="majorHAnsi" w:eastAsia="Times New Roman" w:hAnsiTheme="majorHAnsi" w:cs="Arial"/>
                <w:spacing w:val="-4"/>
                <w:sz w:val="22"/>
                <w:szCs w:val="22"/>
              </w:rPr>
              <w:t xml:space="preserve">to hear </w:t>
            </w:r>
            <w:r w:rsidR="0062613F" w:rsidRPr="00210EBA">
              <w:rPr>
                <w:rFonts w:asciiTheme="majorHAnsi" w:eastAsia="Times New Roman" w:hAnsiTheme="majorHAnsi" w:cs="Arial"/>
                <w:spacing w:val="-4"/>
                <w:sz w:val="22"/>
                <w:szCs w:val="22"/>
              </w:rPr>
              <w:t>that the MOW would be incorporating the suggestions of the community as to locations of safety features such as speed bumps, road crossing and bus stops as the plans were being finalize</w:t>
            </w:r>
            <w:r w:rsidR="00210EBA">
              <w:rPr>
                <w:rFonts w:asciiTheme="majorHAnsi" w:eastAsia="Times New Roman" w:hAnsiTheme="majorHAnsi" w:cs="Arial"/>
                <w:spacing w:val="-4"/>
                <w:sz w:val="22"/>
                <w:szCs w:val="22"/>
              </w:rPr>
              <w:t>d</w:t>
            </w:r>
            <w:r w:rsidR="0062613F" w:rsidRPr="00210EBA">
              <w:rPr>
                <w:rFonts w:asciiTheme="majorHAnsi" w:eastAsia="Times New Roman" w:hAnsiTheme="majorHAnsi" w:cs="Arial"/>
                <w:spacing w:val="-4"/>
                <w:sz w:val="22"/>
                <w:szCs w:val="22"/>
              </w:rPr>
              <w:t xml:space="preserve"> and prioritized.</w:t>
            </w:r>
            <w:r w:rsidR="000519F3" w:rsidRPr="00203143">
              <w:rPr>
                <w:rFonts w:asciiTheme="majorHAnsi" w:eastAsia="Times New Roman" w:hAnsiTheme="majorHAnsi" w:cs="Arial"/>
                <w:spacing w:val="-4"/>
                <w:sz w:val="22"/>
                <w:szCs w:val="22"/>
              </w:rPr>
              <w:t xml:space="preserve"> All </w:t>
            </w:r>
            <w:r w:rsidR="00203143">
              <w:rPr>
                <w:rFonts w:asciiTheme="majorHAnsi" w:eastAsia="Times New Roman" w:hAnsiTheme="majorHAnsi" w:cs="Arial"/>
                <w:spacing w:val="-4"/>
                <w:sz w:val="22"/>
                <w:szCs w:val="22"/>
              </w:rPr>
              <w:t>participants</w:t>
            </w:r>
            <w:r w:rsidR="00E4630C">
              <w:rPr>
                <w:rFonts w:asciiTheme="majorHAnsi" w:eastAsia="Times New Roman" w:hAnsiTheme="majorHAnsi" w:cs="Arial"/>
                <w:spacing w:val="-4"/>
                <w:sz w:val="22"/>
                <w:szCs w:val="22"/>
              </w:rPr>
              <w:t>’</w:t>
            </w:r>
            <w:r w:rsidR="00203143">
              <w:rPr>
                <w:rFonts w:asciiTheme="majorHAnsi" w:eastAsia="Times New Roman" w:hAnsiTheme="majorHAnsi" w:cs="Arial"/>
                <w:spacing w:val="-4"/>
                <w:sz w:val="22"/>
                <w:szCs w:val="22"/>
              </w:rPr>
              <w:t xml:space="preserve"> </w:t>
            </w:r>
            <w:r w:rsidR="000519F3" w:rsidRPr="00203143">
              <w:rPr>
                <w:rFonts w:asciiTheme="majorHAnsi" w:eastAsia="Times New Roman" w:hAnsiTheme="majorHAnsi" w:cs="Arial"/>
                <w:spacing w:val="-4"/>
                <w:sz w:val="22"/>
                <w:szCs w:val="22"/>
              </w:rPr>
              <w:t>questions were answered to their satisfaction</w:t>
            </w:r>
            <w:r w:rsidR="00203143" w:rsidRPr="00203143">
              <w:rPr>
                <w:rFonts w:asciiTheme="majorHAnsi" w:eastAsia="Times New Roman" w:hAnsiTheme="majorHAnsi" w:cs="Arial"/>
                <w:spacing w:val="-4"/>
                <w:sz w:val="22"/>
                <w:szCs w:val="22"/>
              </w:rPr>
              <w:t>, and in general there were no objections to the project.</w:t>
            </w:r>
          </w:p>
          <w:p w14:paraId="7856DEF0" w14:textId="74619D4F" w:rsidR="00A13E14" w:rsidRPr="00D543DC" w:rsidRDefault="0083234D" w:rsidP="005027EA">
            <w:pPr>
              <w:spacing w:before="120" w:after="120"/>
              <w:jc w:val="both"/>
              <w:rPr>
                <w:rFonts w:asciiTheme="majorHAnsi" w:eastAsia="Calibri" w:hAnsiTheme="majorHAnsi" w:cs="Arial"/>
                <w:sz w:val="22"/>
                <w:szCs w:val="22"/>
                <w:lang w:eastAsia="it-IT"/>
              </w:rPr>
            </w:pPr>
            <w:r w:rsidRPr="00091A20">
              <w:rPr>
                <w:rFonts w:asciiTheme="majorHAnsi" w:eastAsia="Times New Roman" w:hAnsiTheme="majorHAnsi" w:cs="Arial"/>
                <w:spacing w:val="-4"/>
                <w:sz w:val="22"/>
                <w:szCs w:val="22"/>
              </w:rPr>
              <w:t xml:space="preserve">The consultation </w:t>
            </w:r>
            <w:r w:rsidR="00A042D5">
              <w:rPr>
                <w:rFonts w:asciiTheme="majorHAnsi" w:eastAsia="Times New Roman" w:hAnsiTheme="majorHAnsi" w:cs="Arial"/>
                <w:spacing w:val="-4"/>
                <w:sz w:val="22"/>
                <w:szCs w:val="22"/>
              </w:rPr>
              <w:t xml:space="preserve">requirements for this operation </w:t>
            </w:r>
            <w:r w:rsidR="00193945">
              <w:rPr>
                <w:rFonts w:asciiTheme="majorHAnsi" w:eastAsia="Times New Roman" w:hAnsiTheme="majorHAnsi" w:cs="Arial"/>
                <w:spacing w:val="-4"/>
                <w:sz w:val="22"/>
                <w:szCs w:val="22"/>
              </w:rPr>
              <w:t>were</w:t>
            </w:r>
            <w:r w:rsidRPr="00091A20">
              <w:rPr>
                <w:rFonts w:asciiTheme="majorHAnsi" w:eastAsia="Times New Roman" w:hAnsiTheme="majorHAnsi" w:cs="Arial"/>
                <w:spacing w:val="-4"/>
                <w:sz w:val="22"/>
                <w:szCs w:val="22"/>
              </w:rPr>
              <w:t xml:space="preserve"> completed</w:t>
            </w:r>
            <w:r w:rsidR="00B03414">
              <w:rPr>
                <w:rFonts w:asciiTheme="majorHAnsi" w:eastAsia="Times New Roman" w:hAnsiTheme="majorHAnsi" w:cs="Arial"/>
                <w:spacing w:val="-4"/>
                <w:sz w:val="22"/>
                <w:szCs w:val="22"/>
              </w:rPr>
              <w:t xml:space="preserve"> </w:t>
            </w:r>
            <w:r w:rsidR="00193945">
              <w:rPr>
                <w:rFonts w:asciiTheme="majorHAnsi" w:eastAsia="Times New Roman" w:hAnsiTheme="majorHAnsi" w:cs="Arial"/>
                <w:spacing w:val="-4"/>
                <w:sz w:val="22"/>
                <w:szCs w:val="22"/>
              </w:rPr>
              <w:t xml:space="preserve">prior to OPC </w:t>
            </w:r>
            <w:r w:rsidR="00B03414">
              <w:rPr>
                <w:rFonts w:asciiTheme="majorHAnsi" w:eastAsia="Times New Roman" w:hAnsiTheme="majorHAnsi" w:cs="Arial"/>
                <w:spacing w:val="-4"/>
                <w:sz w:val="22"/>
                <w:szCs w:val="22"/>
              </w:rPr>
              <w:t xml:space="preserve">and comply with the Bank’s </w:t>
            </w:r>
            <w:r w:rsidR="00CC52B0">
              <w:rPr>
                <w:rFonts w:asciiTheme="majorHAnsi" w:eastAsia="Times New Roman" w:hAnsiTheme="majorHAnsi" w:cs="Arial"/>
                <w:spacing w:val="-4"/>
                <w:sz w:val="22"/>
                <w:szCs w:val="22"/>
              </w:rPr>
              <w:t xml:space="preserve">consultation requirements </w:t>
            </w:r>
            <w:r w:rsidR="004D569A">
              <w:rPr>
                <w:rFonts w:asciiTheme="majorHAnsi" w:eastAsia="Times New Roman" w:hAnsiTheme="majorHAnsi" w:cs="Arial"/>
                <w:spacing w:val="-4"/>
                <w:sz w:val="22"/>
                <w:szCs w:val="22"/>
              </w:rPr>
              <w:t>established</w:t>
            </w:r>
            <w:r w:rsidR="00CC52B0">
              <w:rPr>
                <w:rFonts w:asciiTheme="majorHAnsi" w:eastAsia="Times New Roman" w:hAnsiTheme="majorHAnsi" w:cs="Arial"/>
                <w:spacing w:val="-4"/>
                <w:sz w:val="22"/>
                <w:szCs w:val="22"/>
              </w:rPr>
              <w:t xml:space="preserve"> it its safeguard policies</w:t>
            </w:r>
            <w:r w:rsidR="0045431E">
              <w:rPr>
                <w:rFonts w:asciiTheme="majorHAnsi" w:eastAsia="Times New Roman" w:hAnsiTheme="majorHAnsi" w:cs="Arial"/>
                <w:spacing w:val="-4"/>
                <w:sz w:val="22"/>
                <w:szCs w:val="22"/>
              </w:rPr>
              <w:t xml:space="preserve"> applicable to this </w:t>
            </w:r>
            <w:r w:rsidR="004D569A">
              <w:rPr>
                <w:rFonts w:asciiTheme="majorHAnsi" w:eastAsia="Times New Roman" w:hAnsiTheme="majorHAnsi" w:cs="Arial"/>
                <w:spacing w:val="-4"/>
                <w:sz w:val="22"/>
                <w:szCs w:val="22"/>
              </w:rPr>
              <w:t>project</w:t>
            </w:r>
            <w:r w:rsidR="00B03414">
              <w:rPr>
                <w:rFonts w:asciiTheme="majorHAnsi" w:eastAsia="Times New Roman" w:hAnsiTheme="majorHAnsi" w:cs="Arial"/>
                <w:spacing w:val="-4"/>
                <w:sz w:val="22"/>
                <w:szCs w:val="22"/>
              </w:rPr>
              <w:t>.</w:t>
            </w:r>
            <w:r w:rsidR="00A82031" w:rsidRPr="00A232EE">
              <w:rPr>
                <w:rFonts w:asciiTheme="majorHAnsi" w:eastAsia="Calibri" w:hAnsiTheme="majorHAnsi" w:cs="Arial"/>
                <w:sz w:val="22"/>
                <w:szCs w:val="22"/>
                <w:lang w:eastAsia="it-IT"/>
              </w:rPr>
              <w:t xml:space="preserve"> </w:t>
            </w:r>
            <w:r w:rsidR="0045431E">
              <w:rPr>
                <w:rFonts w:asciiTheme="majorHAnsi" w:eastAsia="Calibri" w:hAnsiTheme="majorHAnsi" w:cs="Arial"/>
                <w:sz w:val="22"/>
                <w:szCs w:val="22"/>
                <w:lang w:eastAsia="it-IT"/>
              </w:rPr>
              <w:t>More</w:t>
            </w:r>
            <w:r w:rsidR="002410DE" w:rsidRPr="00A232EE">
              <w:rPr>
                <w:rFonts w:asciiTheme="majorHAnsi" w:eastAsia="Calibri" w:hAnsiTheme="majorHAnsi" w:cs="Arial"/>
                <w:sz w:val="22"/>
                <w:szCs w:val="22"/>
                <w:lang w:eastAsia="it-IT"/>
              </w:rPr>
              <w:t xml:space="preserve"> information on the c</w:t>
            </w:r>
            <w:r w:rsidR="00B93BDF" w:rsidRPr="00A232EE">
              <w:rPr>
                <w:rFonts w:asciiTheme="majorHAnsi" w:eastAsia="Calibri" w:hAnsiTheme="majorHAnsi" w:cs="Arial"/>
                <w:sz w:val="22"/>
                <w:szCs w:val="22"/>
                <w:lang w:eastAsia="it-IT"/>
              </w:rPr>
              <w:t xml:space="preserve">onsultations related to the resettlement </w:t>
            </w:r>
            <w:r w:rsidR="002410DE" w:rsidRPr="00A232EE">
              <w:rPr>
                <w:rFonts w:asciiTheme="majorHAnsi" w:eastAsia="Calibri" w:hAnsiTheme="majorHAnsi" w:cs="Arial"/>
                <w:sz w:val="22"/>
                <w:szCs w:val="22"/>
                <w:lang w:eastAsia="it-IT"/>
              </w:rPr>
              <w:t>activities</w:t>
            </w:r>
            <w:r w:rsidR="00B93BDF" w:rsidRPr="00A232EE">
              <w:rPr>
                <w:rFonts w:asciiTheme="majorHAnsi" w:eastAsia="Calibri" w:hAnsiTheme="majorHAnsi" w:cs="Arial"/>
                <w:sz w:val="22"/>
                <w:szCs w:val="22"/>
                <w:lang w:eastAsia="it-IT"/>
              </w:rPr>
              <w:t xml:space="preserve"> </w:t>
            </w:r>
            <w:r w:rsidR="002410DE" w:rsidRPr="00A232EE">
              <w:rPr>
                <w:rFonts w:asciiTheme="majorHAnsi" w:eastAsia="Calibri" w:hAnsiTheme="majorHAnsi" w:cs="Arial"/>
                <w:sz w:val="22"/>
                <w:szCs w:val="22"/>
                <w:lang w:eastAsia="it-IT"/>
              </w:rPr>
              <w:t>is</w:t>
            </w:r>
            <w:r w:rsidR="00B93BDF" w:rsidRPr="00A232EE">
              <w:rPr>
                <w:rFonts w:asciiTheme="majorHAnsi" w:eastAsia="Calibri" w:hAnsiTheme="majorHAnsi" w:cs="Arial"/>
                <w:sz w:val="22"/>
                <w:szCs w:val="22"/>
                <w:lang w:eastAsia="it-IT"/>
              </w:rPr>
              <w:t xml:space="preserve"> </w:t>
            </w:r>
            <w:r w:rsidR="002410DE" w:rsidRPr="00A232EE">
              <w:rPr>
                <w:rFonts w:asciiTheme="majorHAnsi" w:eastAsia="Calibri" w:hAnsiTheme="majorHAnsi" w:cs="Arial"/>
                <w:sz w:val="22"/>
                <w:szCs w:val="22"/>
                <w:lang w:eastAsia="it-IT"/>
              </w:rPr>
              <w:t>included</w:t>
            </w:r>
            <w:r w:rsidR="00B93BDF" w:rsidRPr="00A232EE">
              <w:rPr>
                <w:rFonts w:asciiTheme="majorHAnsi" w:eastAsia="Calibri" w:hAnsiTheme="majorHAnsi" w:cs="Arial"/>
                <w:sz w:val="22"/>
                <w:szCs w:val="22"/>
                <w:lang w:eastAsia="it-IT"/>
              </w:rPr>
              <w:t xml:space="preserve"> in the section “Livelihoods and Resettlement.” </w:t>
            </w:r>
            <w:r w:rsidR="004B47DA" w:rsidRPr="00A232EE">
              <w:rPr>
                <w:rFonts w:asciiTheme="majorHAnsi" w:eastAsia="Calibri" w:hAnsiTheme="majorHAnsi" w:cs="Arial"/>
                <w:sz w:val="22"/>
                <w:szCs w:val="22"/>
                <w:lang w:eastAsia="it-IT"/>
              </w:rPr>
              <w:t xml:space="preserve">The inclusion of women in the consultation </w:t>
            </w:r>
            <w:r w:rsidR="001F5571" w:rsidRPr="00A232EE">
              <w:rPr>
                <w:rFonts w:asciiTheme="majorHAnsi" w:eastAsia="Calibri" w:hAnsiTheme="majorHAnsi" w:cs="Arial"/>
                <w:sz w:val="22"/>
                <w:szCs w:val="22"/>
                <w:lang w:eastAsia="it-IT"/>
              </w:rPr>
              <w:t xml:space="preserve">process </w:t>
            </w:r>
            <w:r w:rsidR="004B47DA" w:rsidRPr="00A232EE">
              <w:rPr>
                <w:rFonts w:asciiTheme="majorHAnsi" w:eastAsia="Calibri" w:hAnsiTheme="majorHAnsi" w:cs="Arial"/>
                <w:sz w:val="22"/>
                <w:szCs w:val="22"/>
                <w:lang w:eastAsia="it-IT"/>
              </w:rPr>
              <w:t xml:space="preserve">is </w:t>
            </w:r>
            <w:r w:rsidR="0053111C" w:rsidRPr="00A232EE">
              <w:rPr>
                <w:rFonts w:asciiTheme="majorHAnsi" w:eastAsia="Calibri" w:hAnsiTheme="majorHAnsi" w:cs="Arial"/>
                <w:sz w:val="22"/>
                <w:szCs w:val="22"/>
                <w:lang w:eastAsia="it-IT"/>
              </w:rPr>
              <w:t xml:space="preserve">also </w:t>
            </w:r>
            <w:r w:rsidR="004B47DA" w:rsidRPr="00A232EE">
              <w:rPr>
                <w:rFonts w:asciiTheme="majorHAnsi" w:eastAsia="Calibri" w:hAnsiTheme="majorHAnsi" w:cs="Arial"/>
                <w:sz w:val="22"/>
                <w:szCs w:val="22"/>
                <w:lang w:eastAsia="it-IT"/>
              </w:rPr>
              <w:t>explained in the section</w:t>
            </w:r>
            <w:r w:rsidR="00092E26" w:rsidRPr="00A232EE">
              <w:rPr>
                <w:rFonts w:asciiTheme="majorHAnsi" w:eastAsia="Calibri" w:hAnsiTheme="majorHAnsi" w:cs="Arial"/>
                <w:sz w:val="22"/>
                <w:szCs w:val="22"/>
                <w:lang w:eastAsia="it-IT"/>
              </w:rPr>
              <w:t xml:space="preserve"> “Gender Equality.”</w:t>
            </w:r>
          </w:p>
        </w:tc>
      </w:tr>
      <w:tr w:rsidR="009444D9" w:rsidRPr="001C38FF" w14:paraId="28C8405D" w14:textId="77777777" w:rsidTr="3EFF9F7B">
        <w:trPr>
          <w:trHeight w:val="236"/>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15" w:type="dxa"/>
              <w:left w:w="105" w:type="dxa"/>
              <w:bottom w:w="15" w:type="dxa"/>
              <w:right w:w="105" w:type="dxa"/>
            </w:tcMar>
          </w:tcPr>
          <w:p w14:paraId="00761968" w14:textId="77777777" w:rsidR="00D632E9" w:rsidRPr="006F7063" w:rsidRDefault="009444D9" w:rsidP="006F7063">
            <w:pPr>
              <w:ind w:right="165"/>
              <w:jc w:val="both"/>
              <w:rPr>
                <w:rFonts w:ascii="Arial" w:eastAsia="Times New Roman" w:hAnsi="Arial" w:cs="Arial"/>
                <w:b/>
                <w:sz w:val="22"/>
                <w:szCs w:val="22"/>
                <w:shd w:val="clear" w:color="auto" w:fill="FFFFFF"/>
              </w:rPr>
            </w:pPr>
            <w:r w:rsidRPr="006F7063">
              <w:rPr>
                <w:rFonts w:ascii="Arial" w:eastAsia="Times New Roman" w:hAnsi="Arial" w:cs="Arial"/>
                <w:b/>
                <w:sz w:val="22"/>
                <w:szCs w:val="22"/>
              </w:rPr>
              <w:lastRenderedPageBreak/>
              <w:t>Information Disclosure</w:t>
            </w:r>
            <w:r w:rsidRPr="006F7063">
              <w:rPr>
                <w:rFonts w:ascii="Arial" w:eastAsia="Times New Roman" w:hAnsi="Arial" w:cs="Arial"/>
                <w:b/>
                <w:sz w:val="22"/>
                <w:szCs w:val="22"/>
                <w:shd w:val="clear" w:color="auto" w:fill="FFFFFF"/>
              </w:rPr>
              <w:t xml:space="preserve"> </w:t>
            </w:r>
          </w:p>
          <w:p w14:paraId="4DB9623A" w14:textId="77777777" w:rsidR="00B44DDA" w:rsidRPr="006F7063" w:rsidRDefault="00B44DDA" w:rsidP="006F7063">
            <w:pPr>
              <w:ind w:right="165"/>
              <w:jc w:val="both"/>
              <w:rPr>
                <w:rFonts w:ascii="Arial" w:eastAsia="Times New Roman" w:hAnsi="Arial" w:cs="Arial"/>
                <w:sz w:val="22"/>
                <w:szCs w:val="22"/>
                <w:shd w:val="clear" w:color="auto" w:fill="FFFFFF"/>
              </w:rPr>
            </w:pPr>
            <w:r w:rsidRPr="006F7063">
              <w:rPr>
                <w:rFonts w:ascii="Arial" w:eastAsia="Times New Roman" w:hAnsi="Arial" w:cs="Arial"/>
                <w:sz w:val="22"/>
                <w:szCs w:val="22"/>
              </w:rPr>
              <w:t>OP-703 (Environment and Safeguards Compliance Policy)</w:t>
            </w:r>
            <w:r w:rsidR="003D6C2F" w:rsidRPr="006F7063">
              <w:rPr>
                <w:rFonts w:ascii="Arial" w:eastAsia="Times New Roman" w:hAnsi="Arial" w:cs="Arial"/>
                <w:sz w:val="22"/>
                <w:szCs w:val="22"/>
              </w:rPr>
              <w:t xml:space="preserve">: </w:t>
            </w:r>
            <w:r w:rsidRPr="006F7063">
              <w:rPr>
                <w:rFonts w:ascii="Arial" w:eastAsia="Times New Roman" w:hAnsi="Arial" w:cs="Arial"/>
                <w:sz w:val="22"/>
                <w:szCs w:val="22"/>
              </w:rPr>
              <w:t>B</w:t>
            </w:r>
            <w:r w:rsidR="003D6C2F" w:rsidRPr="006F7063">
              <w:rPr>
                <w:rFonts w:ascii="Arial" w:eastAsia="Times New Roman" w:hAnsi="Arial" w:cs="Arial"/>
                <w:sz w:val="22"/>
                <w:szCs w:val="22"/>
              </w:rPr>
              <w:t>.</w:t>
            </w:r>
            <w:r w:rsidRPr="006F7063">
              <w:rPr>
                <w:rFonts w:ascii="Arial" w:eastAsia="Times New Roman" w:hAnsi="Arial" w:cs="Arial"/>
                <w:sz w:val="22"/>
                <w:szCs w:val="22"/>
              </w:rPr>
              <w:t xml:space="preserve">5 (Environmental Assessment </w:t>
            </w:r>
            <w:r w:rsidR="009A1DBA" w:rsidRPr="006F7063">
              <w:rPr>
                <w:rFonts w:ascii="Arial" w:eastAsia="Times New Roman" w:hAnsi="Arial" w:cs="Arial"/>
                <w:sz w:val="22"/>
                <w:szCs w:val="22"/>
              </w:rPr>
              <w:t xml:space="preserve">and Plan </w:t>
            </w:r>
            <w:r w:rsidRPr="006F7063">
              <w:rPr>
                <w:rFonts w:ascii="Arial" w:eastAsia="Times New Roman" w:hAnsi="Arial" w:cs="Arial"/>
                <w:sz w:val="22"/>
                <w:szCs w:val="22"/>
              </w:rPr>
              <w:t>Requirements)</w:t>
            </w:r>
            <w:r w:rsidR="00FD295A">
              <w:rPr>
                <w:rFonts w:ascii="Arial" w:eastAsia="Times New Roman" w:hAnsi="Arial" w:cs="Arial"/>
                <w:sz w:val="22"/>
                <w:szCs w:val="22"/>
              </w:rPr>
              <w:t xml:space="preserve"> </w:t>
            </w:r>
            <w:r w:rsidR="00FD295A" w:rsidRPr="007046A7">
              <w:rPr>
                <w:rFonts w:ascii="Arial" w:eastAsia="Times New Roman" w:hAnsi="Arial" w:cs="Arial"/>
                <w:sz w:val="22"/>
                <w:szCs w:val="22"/>
              </w:rPr>
              <w:t xml:space="preserve">and </w:t>
            </w:r>
            <w:r w:rsidR="00FD295A">
              <w:rPr>
                <w:rFonts w:ascii="Arial" w:eastAsia="Times New Roman" w:hAnsi="Arial" w:cs="Arial"/>
                <w:sz w:val="22"/>
                <w:szCs w:val="22"/>
              </w:rPr>
              <w:t>Information Disclosure requirements</w:t>
            </w:r>
            <w:r w:rsidR="00FD295A" w:rsidRPr="007046A7">
              <w:rPr>
                <w:rFonts w:ascii="Arial" w:eastAsia="Times New Roman" w:hAnsi="Arial" w:cs="Arial"/>
                <w:sz w:val="22"/>
                <w:szCs w:val="22"/>
              </w:rPr>
              <w:t xml:space="preserve"> of OP-</w:t>
            </w:r>
            <w:r w:rsidR="00FD295A" w:rsidRPr="00EE3E7F">
              <w:rPr>
                <w:rFonts w:ascii="Arial" w:eastAsia="Times New Roman" w:hAnsi="Arial" w:cs="Arial"/>
                <w:sz w:val="22"/>
                <w:szCs w:val="22"/>
              </w:rPr>
              <w:t>710 (Involuntary</w:t>
            </w:r>
            <w:r w:rsidR="00FD295A" w:rsidRPr="007046A7">
              <w:rPr>
                <w:rFonts w:ascii="Arial" w:eastAsia="Times New Roman" w:hAnsi="Arial" w:cs="Arial"/>
                <w:sz w:val="22"/>
                <w:szCs w:val="22"/>
              </w:rPr>
              <w:t xml:space="preserve"> Resettlement Policy), OP-765 (Indigenous Peoples Policy), OP-761 (Gender Equality in Developmen</w:t>
            </w:r>
            <w:r w:rsidR="00FD295A" w:rsidRPr="00EE3E7F">
              <w:rPr>
                <w:rFonts w:ascii="Arial" w:eastAsia="Times New Roman" w:hAnsi="Arial" w:cs="Arial"/>
                <w:sz w:val="22"/>
                <w:szCs w:val="22"/>
              </w:rPr>
              <w:t>t</w:t>
            </w:r>
            <w:r w:rsidR="00FD295A" w:rsidRPr="007046A7">
              <w:rPr>
                <w:rFonts w:ascii="Arial" w:eastAsia="Times New Roman" w:hAnsi="Arial" w:cs="Arial"/>
                <w:sz w:val="22"/>
                <w:szCs w:val="22"/>
              </w:rPr>
              <w:t xml:space="preserve"> Policy), and OP-704</w:t>
            </w:r>
            <w:r w:rsidR="00FD295A" w:rsidRPr="006F7063">
              <w:rPr>
                <w:rFonts w:ascii="Arial" w:eastAsia="Times New Roman" w:hAnsi="Arial" w:cs="Arial"/>
                <w:sz w:val="22"/>
                <w:szCs w:val="22"/>
              </w:rPr>
              <w:t xml:space="preserve"> (Disaster Risk Management Policy) as applicable</w:t>
            </w:r>
            <w:r w:rsidR="00FD295A">
              <w:rPr>
                <w:rFonts w:ascii="Arial" w:eastAsia="Times New Roman" w:hAnsi="Arial" w:cs="Arial"/>
                <w:sz w:val="22"/>
                <w:szCs w:val="22"/>
              </w:rPr>
              <w:t>;</w:t>
            </w:r>
          </w:p>
          <w:p w14:paraId="5BFA34CB" w14:textId="77777777" w:rsidR="009444D9" w:rsidRPr="006F7063" w:rsidRDefault="009444D9" w:rsidP="006F7063">
            <w:pPr>
              <w:ind w:right="165"/>
              <w:jc w:val="both"/>
              <w:rPr>
                <w:rFonts w:ascii="Arial" w:eastAsia="Times New Roman" w:hAnsi="Arial" w:cs="Arial"/>
                <w:sz w:val="22"/>
                <w:szCs w:val="22"/>
                <w:shd w:val="clear" w:color="auto" w:fill="FFFFFF"/>
              </w:rPr>
            </w:pPr>
            <w:r w:rsidRPr="006F7063">
              <w:rPr>
                <w:rFonts w:ascii="Arial" w:eastAsia="Times New Roman" w:hAnsi="Arial" w:cs="Arial"/>
                <w:sz w:val="22"/>
                <w:szCs w:val="22"/>
              </w:rPr>
              <w:t>O</w:t>
            </w:r>
            <w:r w:rsidR="00D632E9" w:rsidRPr="006F7063">
              <w:rPr>
                <w:rFonts w:ascii="Arial" w:eastAsia="Times New Roman" w:hAnsi="Arial" w:cs="Arial"/>
                <w:sz w:val="22"/>
                <w:szCs w:val="22"/>
              </w:rPr>
              <w:t>P-102 (Access to Information Policy)</w:t>
            </w:r>
          </w:p>
        </w:tc>
      </w:tr>
      <w:tr w:rsidR="009444D9" w:rsidRPr="001C38FF" w14:paraId="1F64BF4D" w14:textId="77777777" w:rsidTr="3EFF9F7B">
        <w:trPr>
          <w:trHeight w:val="236"/>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tcPr>
          <w:p w14:paraId="255A09DA" w14:textId="769A8C4F" w:rsidR="00264D40" w:rsidRPr="00547C7F" w:rsidRDefault="00264D40" w:rsidP="00264D40">
            <w:pPr>
              <w:spacing w:before="120" w:after="120"/>
              <w:jc w:val="both"/>
              <w:rPr>
                <w:rFonts w:asciiTheme="majorHAnsi" w:hAnsiTheme="majorHAnsi"/>
                <w:sz w:val="22"/>
                <w:szCs w:val="22"/>
                <w:shd w:val="clear" w:color="auto" w:fill="FFFFFF"/>
              </w:rPr>
            </w:pPr>
            <w:bookmarkStart w:id="2" w:name="_Hlk511310596"/>
            <w:r w:rsidRPr="00EF6E80">
              <w:rPr>
                <w:rFonts w:asciiTheme="majorHAnsi" w:eastAsia="Calibri" w:hAnsiTheme="majorHAnsi" w:cs="Arial"/>
                <w:sz w:val="22"/>
                <w:szCs w:val="22"/>
                <w:lang w:eastAsia="it-IT"/>
              </w:rPr>
              <w:lastRenderedPageBreak/>
              <w:t>The original ESIA (2014), along with the ESIA Addendum (including updated ESMP), and the fit-for-disclosure Resettlement and Livelihoods Restoration Plan</w:t>
            </w:r>
            <w:r w:rsidR="009F12D1" w:rsidRPr="00941273">
              <w:rPr>
                <w:rFonts w:asciiTheme="majorHAnsi" w:eastAsia="Calibri" w:hAnsiTheme="majorHAnsi" w:cs="Arial"/>
                <w:sz w:val="22"/>
                <w:szCs w:val="22"/>
                <w:lang w:eastAsia="it-IT"/>
              </w:rPr>
              <w:t xml:space="preserve"> was disclosed in English, on the Bank’s website on </w:t>
            </w:r>
            <w:r w:rsidRPr="00941273">
              <w:rPr>
                <w:rFonts w:asciiTheme="majorHAnsi" w:eastAsia="Calibri" w:hAnsiTheme="majorHAnsi" w:cs="Arial"/>
                <w:sz w:val="22"/>
                <w:szCs w:val="22"/>
                <w:lang w:eastAsia="it-IT"/>
              </w:rPr>
              <w:t>May</w:t>
            </w:r>
            <w:r w:rsidR="009F12D1" w:rsidRPr="00557192">
              <w:rPr>
                <w:rFonts w:asciiTheme="majorHAnsi" w:eastAsia="Calibri" w:hAnsiTheme="majorHAnsi" w:cs="Arial"/>
                <w:sz w:val="22"/>
                <w:szCs w:val="22"/>
                <w:lang w:eastAsia="it-IT"/>
              </w:rPr>
              <w:t xml:space="preserve"> </w:t>
            </w:r>
            <w:r w:rsidR="006E1FA1" w:rsidRPr="00557192">
              <w:rPr>
                <w:rFonts w:asciiTheme="majorHAnsi" w:eastAsia="Calibri" w:hAnsiTheme="majorHAnsi" w:cs="Arial"/>
                <w:sz w:val="22"/>
                <w:szCs w:val="22"/>
                <w:lang w:eastAsia="it-IT"/>
              </w:rPr>
              <w:t xml:space="preserve">22, </w:t>
            </w:r>
            <w:r w:rsidR="0055737C" w:rsidRPr="00557192">
              <w:rPr>
                <w:rFonts w:asciiTheme="majorHAnsi" w:eastAsia="Calibri" w:hAnsiTheme="majorHAnsi" w:cs="Arial"/>
                <w:sz w:val="22"/>
                <w:szCs w:val="22"/>
                <w:lang w:eastAsia="it-IT"/>
              </w:rPr>
              <w:t>2</w:t>
            </w:r>
            <w:r w:rsidR="006E1FA1" w:rsidRPr="00557192">
              <w:rPr>
                <w:rFonts w:asciiTheme="majorHAnsi" w:eastAsia="Calibri" w:hAnsiTheme="majorHAnsi" w:cs="Arial"/>
                <w:sz w:val="22"/>
                <w:szCs w:val="22"/>
                <w:lang w:eastAsia="it-IT"/>
              </w:rPr>
              <w:t>3 and 25</w:t>
            </w:r>
            <w:r w:rsidR="009F12D1" w:rsidRPr="00A232EE">
              <w:rPr>
                <w:rFonts w:asciiTheme="majorHAnsi" w:eastAsia="Calibri" w:hAnsiTheme="majorHAnsi" w:cs="Arial"/>
                <w:sz w:val="22"/>
                <w:szCs w:val="22"/>
                <w:lang w:eastAsia="it-IT"/>
              </w:rPr>
              <w:t>th, 2018</w:t>
            </w:r>
            <w:r w:rsidR="006E1FA1" w:rsidRPr="00A232EE">
              <w:rPr>
                <w:rFonts w:asciiTheme="majorHAnsi" w:eastAsia="Calibri" w:hAnsiTheme="majorHAnsi" w:cs="Arial"/>
                <w:sz w:val="22"/>
                <w:szCs w:val="22"/>
                <w:lang w:eastAsia="it-IT"/>
              </w:rPr>
              <w:t>, respectively,</w:t>
            </w:r>
            <w:r w:rsidR="009F12D1" w:rsidRPr="00A232EE">
              <w:rPr>
                <w:rFonts w:asciiTheme="majorHAnsi" w:eastAsia="Calibri" w:hAnsiTheme="majorHAnsi" w:cs="Arial"/>
                <w:sz w:val="22"/>
                <w:szCs w:val="22"/>
                <w:lang w:eastAsia="it-IT"/>
              </w:rPr>
              <w:t xml:space="preserve"> ahead of the Analysis Mission (</w:t>
            </w:r>
            <w:r w:rsidRPr="00A232EE">
              <w:rPr>
                <w:rFonts w:asciiTheme="majorHAnsi" w:eastAsia="Calibri" w:hAnsiTheme="majorHAnsi" w:cs="Arial"/>
                <w:sz w:val="22"/>
                <w:szCs w:val="22"/>
                <w:lang w:eastAsia="it-IT"/>
              </w:rPr>
              <w:t>May 29</w:t>
            </w:r>
            <w:r w:rsidR="009F12D1" w:rsidRPr="00A232EE">
              <w:rPr>
                <w:rFonts w:asciiTheme="majorHAnsi" w:eastAsia="Calibri" w:hAnsiTheme="majorHAnsi" w:cs="Arial"/>
                <w:sz w:val="22"/>
                <w:szCs w:val="22"/>
                <w:lang w:eastAsia="it-IT"/>
              </w:rPr>
              <w:t xml:space="preserve">, 2018). </w:t>
            </w:r>
            <w:bookmarkEnd w:id="2"/>
            <w:r w:rsidRPr="00A232EE">
              <w:rPr>
                <w:rFonts w:asciiTheme="majorHAnsi" w:eastAsia="Calibri" w:hAnsiTheme="majorHAnsi" w:cs="Arial"/>
                <w:sz w:val="22"/>
                <w:szCs w:val="22"/>
                <w:lang w:eastAsia="it-IT"/>
              </w:rPr>
              <w:t xml:space="preserve">A summary of the project has been prepared as part of the Consultation and Stakeholder Plan and will be distributed as part of the invitation to stakeholders to the consultation meetings to be held in June. Copies of the ESIA Addendum will also be shared by MOW with the Construction Contractors for Sections 1 and 2, the Supervision Consultant, and with the Department of Environment. </w:t>
            </w:r>
          </w:p>
          <w:p w14:paraId="0A38B06A" w14:textId="77777777" w:rsidR="00A856A1" w:rsidRPr="00547C7F" w:rsidRDefault="00DA1F89" w:rsidP="00264D40">
            <w:pPr>
              <w:pStyle w:val="ListParagraph"/>
              <w:numPr>
                <w:ilvl w:val="0"/>
                <w:numId w:val="43"/>
              </w:numPr>
              <w:spacing w:before="120" w:after="120"/>
              <w:ind w:right="158"/>
              <w:rPr>
                <w:rFonts w:asciiTheme="majorHAnsi" w:eastAsia="Times New Roman" w:hAnsiTheme="majorHAnsi" w:cs="Arial"/>
                <w:sz w:val="22"/>
                <w:szCs w:val="22"/>
                <w:shd w:val="clear" w:color="auto" w:fill="FFFFFF"/>
              </w:rPr>
            </w:pPr>
            <w:hyperlink r:id="rId17" w:history="1">
              <w:r w:rsidR="00F40B45" w:rsidRPr="00547C7F">
                <w:rPr>
                  <w:rStyle w:val="Hyperlink"/>
                  <w:rFonts w:asciiTheme="majorHAnsi" w:eastAsia="Times New Roman" w:hAnsiTheme="majorHAnsi" w:cs="Arial"/>
                  <w:noProof/>
                  <w:sz w:val="22"/>
                  <w:szCs w:val="22"/>
                  <w:shd w:val="clear" w:color="auto" w:fill="FFFFFF"/>
                </w:rPr>
                <w:t>F</w:t>
              </w:r>
              <w:r w:rsidR="00767B41" w:rsidRPr="00547C7F">
                <w:rPr>
                  <w:rStyle w:val="Hyperlink"/>
                  <w:rFonts w:asciiTheme="majorHAnsi" w:eastAsia="Times New Roman" w:hAnsiTheme="majorHAnsi" w:cs="Arial"/>
                  <w:noProof/>
                  <w:sz w:val="22"/>
                  <w:szCs w:val="22"/>
                  <w:shd w:val="clear" w:color="auto" w:fill="FFFFFF"/>
                </w:rPr>
                <w:t>inal</w:t>
              </w:r>
              <w:r w:rsidR="00767B41" w:rsidRPr="00547C7F">
                <w:rPr>
                  <w:rStyle w:val="Hyperlink"/>
                  <w:rFonts w:asciiTheme="majorHAnsi" w:eastAsia="Times New Roman" w:hAnsiTheme="majorHAnsi" w:cs="Arial"/>
                  <w:sz w:val="22"/>
                  <w:szCs w:val="22"/>
                  <w:shd w:val="clear" w:color="auto" w:fill="FFFFFF"/>
                </w:rPr>
                <w:t xml:space="preserve"> version of the o</w:t>
              </w:r>
              <w:r w:rsidR="00BE1842" w:rsidRPr="00547C7F">
                <w:rPr>
                  <w:rStyle w:val="Hyperlink"/>
                  <w:rFonts w:asciiTheme="majorHAnsi" w:eastAsia="Times New Roman" w:hAnsiTheme="majorHAnsi" w:cs="Arial"/>
                  <w:sz w:val="22"/>
                  <w:szCs w:val="22"/>
                  <w:shd w:val="clear" w:color="auto" w:fill="FFFFFF"/>
                </w:rPr>
                <w:t xml:space="preserve">riginal ESIA </w:t>
              </w:r>
              <w:r w:rsidR="00482A14" w:rsidRPr="00547C7F">
                <w:rPr>
                  <w:rStyle w:val="Hyperlink"/>
                  <w:rFonts w:asciiTheme="majorHAnsi" w:eastAsia="Times New Roman" w:hAnsiTheme="majorHAnsi" w:cs="Arial"/>
                  <w:sz w:val="22"/>
                  <w:szCs w:val="22"/>
                  <w:shd w:val="clear" w:color="auto" w:fill="FFFFFF"/>
                </w:rPr>
                <w:t>(</w:t>
              </w:r>
              <w:r w:rsidR="00BE1842" w:rsidRPr="00547C7F">
                <w:rPr>
                  <w:rStyle w:val="Hyperlink"/>
                  <w:rFonts w:asciiTheme="majorHAnsi" w:eastAsia="Times New Roman" w:hAnsiTheme="majorHAnsi" w:cs="Arial"/>
                  <w:sz w:val="22"/>
                  <w:szCs w:val="22"/>
                  <w:shd w:val="clear" w:color="auto" w:fill="FFFFFF"/>
                </w:rPr>
                <w:t>2014</w:t>
              </w:r>
            </w:hyperlink>
            <w:r w:rsidR="00482A14" w:rsidRPr="00547C7F">
              <w:rPr>
                <w:rFonts w:asciiTheme="majorHAnsi" w:eastAsia="Times New Roman" w:hAnsiTheme="majorHAnsi" w:cs="Arial"/>
                <w:sz w:val="22"/>
                <w:szCs w:val="22"/>
                <w:shd w:val="clear" w:color="auto" w:fill="FFFFFF"/>
              </w:rPr>
              <w:t>)</w:t>
            </w:r>
            <w:r w:rsidR="00233E8C" w:rsidRPr="00547C7F">
              <w:rPr>
                <w:rFonts w:asciiTheme="majorHAnsi" w:eastAsia="Times New Roman" w:hAnsiTheme="majorHAnsi" w:cs="Arial"/>
                <w:sz w:val="22"/>
                <w:szCs w:val="22"/>
                <w:shd w:val="clear" w:color="auto" w:fill="FFFFFF"/>
              </w:rPr>
              <w:t xml:space="preserve"> </w:t>
            </w:r>
          </w:p>
          <w:p w14:paraId="3BD4792C" w14:textId="77777777" w:rsidR="00264D40" w:rsidRPr="00547C7F" w:rsidRDefault="00DA1F89" w:rsidP="00482A14">
            <w:pPr>
              <w:pStyle w:val="ListParagraph"/>
              <w:numPr>
                <w:ilvl w:val="0"/>
                <w:numId w:val="45"/>
              </w:numPr>
              <w:spacing w:before="120" w:after="120"/>
              <w:ind w:right="158"/>
              <w:rPr>
                <w:rFonts w:asciiTheme="majorHAnsi" w:eastAsia="Times New Roman" w:hAnsiTheme="majorHAnsi" w:cs="Arial"/>
                <w:sz w:val="22"/>
                <w:szCs w:val="22"/>
                <w:shd w:val="clear" w:color="auto" w:fill="FFFFFF"/>
              </w:rPr>
            </w:pPr>
            <w:hyperlink r:id="rId18" w:history="1">
              <w:r w:rsidR="00264D40" w:rsidRPr="00547C7F">
                <w:rPr>
                  <w:rStyle w:val="Hyperlink"/>
                  <w:rFonts w:asciiTheme="majorHAnsi" w:eastAsia="Times New Roman" w:hAnsiTheme="majorHAnsi" w:cs="Arial"/>
                  <w:noProof/>
                  <w:sz w:val="22"/>
                  <w:szCs w:val="22"/>
                  <w:shd w:val="clear" w:color="auto" w:fill="FFFFFF"/>
                </w:rPr>
                <w:t>Fit-for-disclosure</w:t>
              </w:r>
              <w:r w:rsidR="00264D40" w:rsidRPr="00547C7F">
                <w:rPr>
                  <w:rStyle w:val="Hyperlink"/>
                  <w:rFonts w:asciiTheme="majorHAnsi" w:eastAsia="Times New Roman" w:hAnsiTheme="majorHAnsi" w:cs="Arial"/>
                  <w:sz w:val="22"/>
                  <w:szCs w:val="22"/>
                  <w:shd w:val="clear" w:color="auto" w:fill="FFFFFF"/>
                </w:rPr>
                <w:t xml:space="preserve"> version of the Addendum to the original ESIA</w:t>
              </w:r>
            </w:hyperlink>
            <w:r w:rsidR="00264D40" w:rsidRPr="00547C7F">
              <w:rPr>
                <w:rFonts w:asciiTheme="majorHAnsi" w:eastAsia="Times New Roman" w:hAnsiTheme="majorHAnsi" w:cs="Arial"/>
                <w:sz w:val="22"/>
                <w:szCs w:val="22"/>
                <w:shd w:val="clear" w:color="auto" w:fill="FFFFFF"/>
              </w:rPr>
              <w:t xml:space="preserve"> (2018)</w:t>
            </w:r>
            <w:r w:rsidR="0000561B" w:rsidRPr="00547C7F">
              <w:rPr>
                <w:rFonts w:asciiTheme="majorHAnsi" w:eastAsia="Times New Roman" w:hAnsiTheme="majorHAnsi" w:cs="Arial"/>
                <w:sz w:val="22"/>
                <w:szCs w:val="22"/>
                <w:shd w:val="clear" w:color="auto" w:fill="FFFFFF"/>
              </w:rPr>
              <w:t xml:space="preserve"> </w:t>
            </w:r>
          </w:p>
          <w:p w14:paraId="61395C55" w14:textId="77777777" w:rsidR="00343ABE" w:rsidRPr="00EF6E80" w:rsidRDefault="00343ABE" w:rsidP="00482A14">
            <w:pPr>
              <w:pStyle w:val="ListParagraph"/>
              <w:ind w:left="360" w:right="165"/>
              <w:rPr>
                <w:rFonts w:asciiTheme="majorHAnsi" w:eastAsia="Calibri" w:hAnsiTheme="majorHAnsi" w:cs="Arial"/>
                <w:sz w:val="22"/>
                <w:szCs w:val="22"/>
                <w:lang w:eastAsia="it-IT"/>
              </w:rPr>
            </w:pPr>
            <w:r w:rsidRPr="00EF6E80">
              <w:rPr>
                <w:rFonts w:asciiTheme="majorHAnsi" w:eastAsia="Calibri" w:hAnsiTheme="majorHAnsi" w:cs="Arial"/>
                <w:sz w:val="22"/>
                <w:szCs w:val="22"/>
                <w:lang w:eastAsia="it-IT"/>
              </w:rPr>
              <w:t xml:space="preserve">This document includes the following: </w:t>
            </w:r>
          </w:p>
          <w:p w14:paraId="7098106D" w14:textId="77777777" w:rsidR="00343ABE" w:rsidRPr="00941273" w:rsidRDefault="00343ABE" w:rsidP="00343ABE">
            <w:pPr>
              <w:pStyle w:val="ListParagraph"/>
              <w:numPr>
                <w:ilvl w:val="1"/>
                <w:numId w:val="40"/>
              </w:numPr>
              <w:ind w:right="165"/>
              <w:rPr>
                <w:rFonts w:asciiTheme="majorHAnsi" w:eastAsia="Calibri" w:hAnsiTheme="majorHAnsi" w:cs="Arial"/>
                <w:sz w:val="22"/>
                <w:szCs w:val="22"/>
                <w:lang w:eastAsia="it-IT"/>
              </w:rPr>
            </w:pPr>
            <w:r w:rsidRPr="00941273">
              <w:rPr>
                <w:rFonts w:asciiTheme="majorHAnsi" w:eastAsia="Calibri" w:hAnsiTheme="majorHAnsi" w:cs="Arial"/>
                <w:sz w:val="22"/>
                <w:szCs w:val="22"/>
                <w:lang w:eastAsia="it-IT"/>
              </w:rPr>
              <w:t>Updated ESMP</w:t>
            </w:r>
          </w:p>
          <w:p w14:paraId="14BB26DA" w14:textId="77777777" w:rsidR="00343ABE" w:rsidRPr="00557192" w:rsidRDefault="00343ABE" w:rsidP="00343ABE">
            <w:pPr>
              <w:pStyle w:val="ListParagraph"/>
              <w:numPr>
                <w:ilvl w:val="1"/>
                <w:numId w:val="40"/>
              </w:numPr>
              <w:ind w:right="165"/>
              <w:rPr>
                <w:rFonts w:asciiTheme="majorHAnsi" w:eastAsia="Calibri" w:hAnsiTheme="majorHAnsi" w:cs="Arial"/>
                <w:sz w:val="22"/>
                <w:szCs w:val="22"/>
                <w:lang w:eastAsia="it-IT"/>
              </w:rPr>
            </w:pPr>
            <w:r w:rsidRPr="00557192">
              <w:rPr>
                <w:rFonts w:asciiTheme="majorHAnsi" w:eastAsia="Calibri" w:hAnsiTheme="majorHAnsi" w:cs="Arial"/>
                <w:sz w:val="22"/>
                <w:szCs w:val="22"/>
                <w:lang w:eastAsia="it-IT"/>
              </w:rPr>
              <w:t>Socio</w:t>
            </w:r>
            <w:r w:rsidR="00264D40" w:rsidRPr="00557192">
              <w:rPr>
                <w:rFonts w:asciiTheme="majorHAnsi" w:eastAsia="Calibri" w:hAnsiTheme="majorHAnsi" w:cs="Arial"/>
                <w:sz w:val="22"/>
                <w:szCs w:val="22"/>
                <w:lang w:eastAsia="it-IT"/>
              </w:rPr>
              <w:t>c</w:t>
            </w:r>
            <w:r w:rsidRPr="00557192">
              <w:rPr>
                <w:rFonts w:asciiTheme="majorHAnsi" w:eastAsia="Calibri" w:hAnsiTheme="majorHAnsi" w:cs="Arial"/>
                <w:sz w:val="22"/>
                <w:szCs w:val="22"/>
                <w:lang w:eastAsia="it-IT"/>
              </w:rPr>
              <w:t>ultural Analysis</w:t>
            </w:r>
          </w:p>
          <w:p w14:paraId="6ACE3968" w14:textId="77777777" w:rsidR="00343ABE" w:rsidRPr="00A232EE" w:rsidRDefault="00343ABE" w:rsidP="00343ABE">
            <w:pPr>
              <w:pStyle w:val="ListParagraph"/>
              <w:numPr>
                <w:ilvl w:val="1"/>
                <w:numId w:val="40"/>
              </w:numPr>
              <w:ind w:right="165"/>
              <w:rPr>
                <w:rFonts w:asciiTheme="majorHAnsi" w:eastAsia="Calibri" w:hAnsiTheme="majorHAnsi" w:cs="Arial"/>
                <w:sz w:val="22"/>
                <w:szCs w:val="22"/>
                <w:lang w:eastAsia="it-IT"/>
              </w:rPr>
            </w:pPr>
            <w:r w:rsidRPr="00A232EE">
              <w:rPr>
                <w:rFonts w:asciiTheme="majorHAnsi" w:eastAsia="Calibri" w:hAnsiTheme="majorHAnsi" w:cs="Arial"/>
                <w:sz w:val="22"/>
                <w:szCs w:val="22"/>
                <w:lang w:eastAsia="it-IT"/>
              </w:rPr>
              <w:t xml:space="preserve">Consultation and </w:t>
            </w:r>
            <w:r w:rsidR="00F74D27" w:rsidRPr="00A232EE">
              <w:rPr>
                <w:rFonts w:asciiTheme="majorHAnsi" w:eastAsia="Calibri" w:hAnsiTheme="majorHAnsi" w:cs="Arial"/>
                <w:sz w:val="22"/>
                <w:szCs w:val="22"/>
                <w:lang w:eastAsia="it-IT"/>
              </w:rPr>
              <w:t>S</w:t>
            </w:r>
            <w:r w:rsidRPr="00A232EE">
              <w:rPr>
                <w:rFonts w:asciiTheme="majorHAnsi" w:eastAsia="Calibri" w:hAnsiTheme="majorHAnsi" w:cs="Arial"/>
                <w:sz w:val="22"/>
                <w:szCs w:val="22"/>
                <w:lang w:eastAsia="it-IT"/>
              </w:rPr>
              <w:t xml:space="preserve">takeholder </w:t>
            </w:r>
            <w:r w:rsidR="00F74D27" w:rsidRPr="00A232EE">
              <w:rPr>
                <w:rFonts w:asciiTheme="majorHAnsi" w:eastAsia="Calibri" w:hAnsiTheme="majorHAnsi" w:cs="Arial"/>
                <w:sz w:val="22"/>
                <w:szCs w:val="22"/>
                <w:lang w:eastAsia="it-IT"/>
              </w:rPr>
              <w:t>E</w:t>
            </w:r>
            <w:r w:rsidRPr="00A232EE">
              <w:rPr>
                <w:rFonts w:asciiTheme="majorHAnsi" w:eastAsia="Calibri" w:hAnsiTheme="majorHAnsi" w:cs="Arial"/>
                <w:sz w:val="22"/>
                <w:szCs w:val="22"/>
                <w:lang w:eastAsia="it-IT"/>
              </w:rPr>
              <w:t xml:space="preserve">ngagement </w:t>
            </w:r>
            <w:r w:rsidR="00264D40" w:rsidRPr="00A232EE">
              <w:rPr>
                <w:rFonts w:asciiTheme="majorHAnsi" w:eastAsia="Calibri" w:hAnsiTheme="majorHAnsi" w:cs="Arial"/>
                <w:sz w:val="22"/>
                <w:szCs w:val="22"/>
                <w:lang w:eastAsia="it-IT"/>
              </w:rPr>
              <w:t>P</w:t>
            </w:r>
            <w:r w:rsidRPr="00A232EE">
              <w:rPr>
                <w:rFonts w:asciiTheme="majorHAnsi" w:eastAsia="Calibri" w:hAnsiTheme="majorHAnsi" w:cs="Arial"/>
                <w:sz w:val="22"/>
                <w:szCs w:val="22"/>
                <w:lang w:eastAsia="it-IT"/>
              </w:rPr>
              <w:t>lan</w:t>
            </w:r>
          </w:p>
          <w:p w14:paraId="047D3E2D" w14:textId="77777777" w:rsidR="003A37AF" w:rsidRPr="00A232EE" w:rsidRDefault="003A37AF" w:rsidP="00343ABE">
            <w:pPr>
              <w:pStyle w:val="ListParagraph"/>
              <w:numPr>
                <w:ilvl w:val="1"/>
                <w:numId w:val="40"/>
              </w:numPr>
              <w:ind w:right="165"/>
              <w:rPr>
                <w:rFonts w:asciiTheme="majorHAnsi" w:eastAsia="Calibri" w:hAnsiTheme="majorHAnsi" w:cs="Arial"/>
                <w:sz w:val="22"/>
                <w:szCs w:val="22"/>
                <w:lang w:eastAsia="it-IT"/>
              </w:rPr>
            </w:pPr>
            <w:r w:rsidRPr="00A232EE">
              <w:rPr>
                <w:rFonts w:asciiTheme="majorHAnsi" w:eastAsia="Calibri" w:hAnsiTheme="majorHAnsi" w:cs="Arial"/>
                <w:sz w:val="22"/>
                <w:szCs w:val="22"/>
                <w:lang w:eastAsia="it-IT"/>
              </w:rPr>
              <w:t xml:space="preserve">Gender </w:t>
            </w:r>
            <w:r w:rsidR="00F74D27" w:rsidRPr="00A232EE">
              <w:rPr>
                <w:rFonts w:asciiTheme="majorHAnsi" w:eastAsia="Calibri" w:hAnsiTheme="majorHAnsi" w:cs="Arial"/>
                <w:sz w:val="22"/>
                <w:szCs w:val="22"/>
                <w:lang w:eastAsia="it-IT"/>
              </w:rPr>
              <w:t>Strategy and A</w:t>
            </w:r>
            <w:r w:rsidRPr="00A232EE">
              <w:rPr>
                <w:rFonts w:asciiTheme="majorHAnsi" w:eastAsia="Calibri" w:hAnsiTheme="majorHAnsi" w:cs="Arial"/>
                <w:sz w:val="22"/>
                <w:szCs w:val="22"/>
                <w:lang w:eastAsia="it-IT"/>
              </w:rPr>
              <w:t xml:space="preserve">ction </w:t>
            </w:r>
            <w:r w:rsidR="00F74D27" w:rsidRPr="00A232EE">
              <w:rPr>
                <w:rFonts w:asciiTheme="majorHAnsi" w:eastAsia="Calibri" w:hAnsiTheme="majorHAnsi" w:cs="Arial"/>
                <w:sz w:val="22"/>
                <w:szCs w:val="22"/>
                <w:lang w:eastAsia="it-IT"/>
              </w:rPr>
              <w:t>P</w:t>
            </w:r>
            <w:r w:rsidRPr="00A232EE">
              <w:rPr>
                <w:rFonts w:asciiTheme="majorHAnsi" w:eastAsia="Calibri" w:hAnsiTheme="majorHAnsi" w:cs="Arial"/>
                <w:sz w:val="22"/>
                <w:szCs w:val="22"/>
                <w:lang w:eastAsia="it-IT"/>
              </w:rPr>
              <w:t>lan</w:t>
            </w:r>
          </w:p>
          <w:p w14:paraId="53C6ED55" w14:textId="77777777" w:rsidR="00F74D27" w:rsidRPr="00A232EE" w:rsidRDefault="00F74D27" w:rsidP="00343ABE">
            <w:pPr>
              <w:pStyle w:val="ListParagraph"/>
              <w:numPr>
                <w:ilvl w:val="1"/>
                <w:numId w:val="40"/>
              </w:numPr>
              <w:ind w:right="165"/>
              <w:rPr>
                <w:rFonts w:asciiTheme="majorHAnsi" w:eastAsia="Calibri" w:hAnsiTheme="majorHAnsi" w:cs="Arial"/>
                <w:sz w:val="22"/>
                <w:szCs w:val="22"/>
                <w:lang w:eastAsia="it-IT"/>
              </w:rPr>
            </w:pPr>
            <w:r w:rsidRPr="00A232EE">
              <w:rPr>
                <w:rFonts w:asciiTheme="majorHAnsi" w:eastAsia="Calibri" w:hAnsiTheme="majorHAnsi" w:cs="Arial"/>
                <w:sz w:val="22"/>
                <w:szCs w:val="22"/>
                <w:lang w:eastAsia="it-IT"/>
              </w:rPr>
              <w:t>Communications Plan</w:t>
            </w:r>
          </w:p>
          <w:p w14:paraId="118BBD6F" w14:textId="77777777" w:rsidR="00A856A1" w:rsidRPr="00547C7F" w:rsidRDefault="00A856A1" w:rsidP="00A856A1">
            <w:pPr>
              <w:pStyle w:val="ListParagraph"/>
              <w:ind w:left="1080" w:right="165"/>
              <w:rPr>
                <w:rFonts w:asciiTheme="majorHAnsi" w:eastAsia="Times New Roman" w:hAnsiTheme="majorHAnsi" w:cs="Arial"/>
                <w:sz w:val="22"/>
                <w:szCs w:val="22"/>
                <w:shd w:val="clear" w:color="auto" w:fill="FFFFFF"/>
              </w:rPr>
            </w:pPr>
          </w:p>
          <w:p w14:paraId="38EEFFDA" w14:textId="77777777" w:rsidR="00F40B45" w:rsidRPr="00547C7F" w:rsidRDefault="00DA1F89" w:rsidP="003852CB">
            <w:pPr>
              <w:pStyle w:val="ListParagraph"/>
              <w:numPr>
                <w:ilvl w:val="0"/>
                <w:numId w:val="44"/>
              </w:numPr>
              <w:ind w:right="165"/>
              <w:jc w:val="both"/>
              <w:rPr>
                <w:rFonts w:asciiTheme="majorHAnsi" w:eastAsia="Times New Roman" w:hAnsiTheme="majorHAnsi" w:cs="Arial"/>
                <w:sz w:val="22"/>
                <w:szCs w:val="22"/>
                <w:shd w:val="clear" w:color="auto" w:fill="FFFFFF"/>
              </w:rPr>
            </w:pPr>
            <w:hyperlink r:id="rId19" w:history="1">
              <w:r w:rsidR="00F40B45" w:rsidRPr="00A232EE">
                <w:rPr>
                  <w:rStyle w:val="Hyperlink"/>
                  <w:rFonts w:asciiTheme="majorHAnsi" w:eastAsia="Calibri" w:hAnsiTheme="majorHAnsi" w:cs="Arial"/>
                  <w:noProof/>
                  <w:sz w:val="22"/>
                  <w:szCs w:val="22"/>
                  <w:lang w:eastAsia="it-IT"/>
                </w:rPr>
                <w:t>Fit-for-disclosure</w:t>
              </w:r>
              <w:r w:rsidR="00F40B45" w:rsidRPr="00A232EE">
                <w:rPr>
                  <w:rStyle w:val="Hyperlink"/>
                  <w:rFonts w:asciiTheme="majorHAnsi" w:eastAsia="Calibri" w:hAnsiTheme="majorHAnsi" w:cs="Arial"/>
                  <w:sz w:val="22"/>
                  <w:szCs w:val="22"/>
                  <w:lang w:eastAsia="it-IT"/>
                </w:rPr>
                <w:t xml:space="preserve"> </w:t>
              </w:r>
              <w:r w:rsidR="00767B41" w:rsidRPr="00A232EE">
                <w:rPr>
                  <w:rStyle w:val="Hyperlink"/>
                  <w:rFonts w:asciiTheme="majorHAnsi" w:eastAsia="Calibri" w:hAnsiTheme="majorHAnsi" w:cs="Arial"/>
                  <w:sz w:val="22"/>
                  <w:szCs w:val="22"/>
                  <w:lang w:eastAsia="it-IT"/>
                </w:rPr>
                <w:t xml:space="preserve">version of the </w:t>
              </w:r>
              <w:r w:rsidR="00BE1842" w:rsidRPr="00A232EE">
                <w:rPr>
                  <w:rStyle w:val="Hyperlink"/>
                  <w:rFonts w:asciiTheme="majorHAnsi" w:eastAsia="Calibri" w:hAnsiTheme="majorHAnsi" w:cs="Arial"/>
                  <w:sz w:val="22"/>
                  <w:szCs w:val="22"/>
                  <w:lang w:eastAsia="it-IT"/>
                </w:rPr>
                <w:t>Resettlement and Livelihood Restoration Plan</w:t>
              </w:r>
            </w:hyperlink>
            <w:r w:rsidR="003852CB" w:rsidRPr="00EF6E80">
              <w:rPr>
                <w:rFonts w:asciiTheme="majorHAnsi" w:eastAsia="Calibri" w:hAnsiTheme="majorHAnsi" w:cs="Arial"/>
                <w:sz w:val="22"/>
                <w:szCs w:val="22"/>
                <w:lang w:eastAsia="it-IT"/>
              </w:rPr>
              <w:t xml:space="preserve"> (2018)</w:t>
            </w:r>
          </w:p>
          <w:p w14:paraId="43DA0E56" w14:textId="122E0246" w:rsidR="00775A98" w:rsidRPr="00547C7F" w:rsidRDefault="004C79D5" w:rsidP="005263D4">
            <w:pPr>
              <w:spacing w:before="120" w:after="120"/>
              <w:jc w:val="both"/>
              <w:rPr>
                <w:rFonts w:asciiTheme="majorHAnsi" w:eastAsia="Times New Roman" w:hAnsiTheme="majorHAnsi" w:cs="Arial"/>
                <w:sz w:val="22"/>
                <w:szCs w:val="22"/>
                <w:shd w:val="clear" w:color="auto" w:fill="FFFFFF"/>
              </w:rPr>
            </w:pPr>
            <w:r w:rsidRPr="00EF6E80">
              <w:rPr>
                <w:rFonts w:asciiTheme="majorHAnsi" w:eastAsia="Calibri" w:hAnsiTheme="majorHAnsi" w:cs="Arial"/>
                <w:sz w:val="22"/>
                <w:szCs w:val="22"/>
                <w:lang w:eastAsia="it-IT"/>
              </w:rPr>
              <w:t>In accordance with the provisions of the IDB's Access to Information policy (OP-102), t</w:t>
            </w:r>
            <w:r w:rsidR="00767B41" w:rsidRPr="00EF6E80">
              <w:rPr>
                <w:rFonts w:asciiTheme="majorHAnsi" w:eastAsia="Calibri" w:hAnsiTheme="majorHAnsi" w:cs="Arial"/>
                <w:sz w:val="22"/>
                <w:szCs w:val="22"/>
                <w:lang w:eastAsia="it-IT"/>
              </w:rPr>
              <w:t>he Bank, along with the MOW, also publish</w:t>
            </w:r>
            <w:r w:rsidR="00FE279A">
              <w:rPr>
                <w:rFonts w:asciiTheme="majorHAnsi" w:eastAsia="Calibri" w:hAnsiTheme="majorHAnsi" w:cs="Arial"/>
                <w:sz w:val="22"/>
                <w:szCs w:val="22"/>
                <w:lang w:eastAsia="it-IT"/>
              </w:rPr>
              <w:t>ed</w:t>
            </w:r>
            <w:r w:rsidR="00767B41" w:rsidRPr="00EF6E80">
              <w:rPr>
                <w:rFonts w:asciiTheme="majorHAnsi" w:eastAsia="Calibri" w:hAnsiTheme="majorHAnsi" w:cs="Arial"/>
                <w:sz w:val="22"/>
                <w:szCs w:val="22"/>
                <w:lang w:eastAsia="it-IT"/>
              </w:rPr>
              <w:t xml:space="preserve"> the final versions of the following documents</w:t>
            </w:r>
            <w:r w:rsidRPr="00941273">
              <w:rPr>
                <w:rFonts w:asciiTheme="majorHAnsi" w:eastAsia="Calibri" w:hAnsiTheme="majorHAnsi" w:cs="Arial"/>
                <w:sz w:val="22"/>
                <w:szCs w:val="22"/>
                <w:lang w:eastAsia="it-IT"/>
              </w:rPr>
              <w:t xml:space="preserve"> before the Loan Proposal of this operation </w:t>
            </w:r>
            <w:r w:rsidR="00E81EEE">
              <w:rPr>
                <w:rFonts w:asciiTheme="majorHAnsi" w:eastAsia="Calibri" w:hAnsiTheme="majorHAnsi" w:cs="Arial"/>
                <w:sz w:val="22"/>
                <w:szCs w:val="22"/>
                <w:lang w:eastAsia="it-IT"/>
              </w:rPr>
              <w:t>was</w:t>
            </w:r>
            <w:r w:rsidRPr="00941273">
              <w:rPr>
                <w:rFonts w:asciiTheme="majorHAnsi" w:eastAsia="Calibri" w:hAnsiTheme="majorHAnsi" w:cs="Arial"/>
                <w:sz w:val="22"/>
                <w:szCs w:val="22"/>
                <w:lang w:eastAsia="it-IT"/>
              </w:rPr>
              <w:t xml:space="preserve"> distributed to the Bank’s operations Committee (OPC):</w:t>
            </w:r>
            <w:r w:rsidR="003852CB" w:rsidRPr="00557192">
              <w:rPr>
                <w:rFonts w:asciiTheme="majorHAnsi" w:eastAsia="Calibri" w:hAnsiTheme="majorHAnsi" w:cs="Arial"/>
                <w:sz w:val="22"/>
                <w:szCs w:val="22"/>
                <w:lang w:eastAsia="it-IT"/>
              </w:rPr>
              <w:t xml:space="preserve"> (i) The </w:t>
            </w:r>
            <w:r w:rsidRPr="00557192">
              <w:rPr>
                <w:rFonts w:asciiTheme="majorHAnsi" w:eastAsia="Calibri" w:hAnsiTheme="majorHAnsi" w:cs="Arial"/>
                <w:sz w:val="22"/>
                <w:szCs w:val="22"/>
                <w:lang w:eastAsia="it-IT"/>
              </w:rPr>
              <w:t>ESIA</w:t>
            </w:r>
            <w:r w:rsidR="003852CB" w:rsidRPr="00557192">
              <w:rPr>
                <w:rFonts w:asciiTheme="majorHAnsi" w:eastAsia="Calibri" w:hAnsiTheme="majorHAnsi" w:cs="Arial"/>
                <w:sz w:val="22"/>
                <w:szCs w:val="22"/>
                <w:lang w:eastAsia="it-IT"/>
              </w:rPr>
              <w:t xml:space="preserve"> Addendum (including all items listed above); (ii) </w:t>
            </w:r>
            <w:r w:rsidRPr="00A232EE">
              <w:rPr>
                <w:rFonts w:asciiTheme="majorHAnsi" w:eastAsia="Calibri" w:hAnsiTheme="majorHAnsi" w:cs="Arial"/>
                <w:sz w:val="22"/>
                <w:szCs w:val="22"/>
                <w:lang w:eastAsia="it-IT"/>
              </w:rPr>
              <w:t xml:space="preserve">Resettlement and </w:t>
            </w:r>
            <w:r w:rsidR="003852CB" w:rsidRPr="00A232EE">
              <w:rPr>
                <w:rFonts w:asciiTheme="majorHAnsi" w:eastAsia="Calibri" w:hAnsiTheme="majorHAnsi" w:cs="Arial"/>
                <w:sz w:val="22"/>
                <w:szCs w:val="22"/>
                <w:lang w:eastAsia="it-IT"/>
              </w:rPr>
              <w:t>L</w:t>
            </w:r>
            <w:r w:rsidRPr="00A232EE">
              <w:rPr>
                <w:rFonts w:asciiTheme="majorHAnsi" w:eastAsia="Calibri" w:hAnsiTheme="majorHAnsi" w:cs="Arial"/>
                <w:sz w:val="22"/>
                <w:szCs w:val="22"/>
                <w:lang w:eastAsia="it-IT"/>
              </w:rPr>
              <w:t xml:space="preserve">ivelihoods </w:t>
            </w:r>
            <w:r w:rsidR="003852CB" w:rsidRPr="00A232EE">
              <w:rPr>
                <w:rFonts w:asciiTheme="majorHAnsi" w:eastAsia="Calibri" w:hAnsiTheme="majorHAnsi" w:cs="Arial"/>
                <w:sz w:val="22"/>
                <w:szCs w:val="22"/>
                <w:lang w:eastAsia="it-IT"/>
              </w:rPr>
              <w:t>R</w:t>
            </w:r>
            <w:r w:rsidRPr="00A232EE">
              <w:rPr>
                <w:rFonts w:asciiTheme="majorHAnsi" w:eastAsia="Calibri" w:hAnsiTheme="majorHAnsi" w:cs="Arial"/>
                <w:sz w:val="22"/>
                <w:szCs w:val="22"/>
                <w:lang w:eastAsia="it-IT"/>
              </w:rPr>
              <w:t xml:space="preserve">estoration </w:t>
            </w:r>
            <w:r w:rsidR="003852CB" w:rsidRPr="00A232EE">
              <w:rPr>
                <w:rFonts w:asciiTheme="majorHAnsi" w:eastAsia="Calibri" w:hAnsiTheme="majorHAnsi" w:cs="Arial"/>
                <w:sz w:val="22"/>
                <w:szCs w:val="22"/>
                <w:lang w:eastAsia="it-IT"/>
              </w:rPr>
              <w:t>P</w:t>
            </w:r>
            <w:r w:rsidRPr="00A232EE">
              <w:rPr>
                <w:rFonts w:asciiTheme="majorHAnsi" w:eastAsia="Calibri" w:hAnsiTheme="majorHAnsi" w:cs="Arial"/>
                <w:sz w:val="22"/>
                <w:szCs w:val="22"/>
                <w:lang w:eastAsia="it-IT"/>
              </w:rPr>
              <w:t>lan</w:t>
            </w:r>
            <w:r w:rsidR="003852CB" w:rsidRPr="00A232EE">
              <w:rPr>
                <w:rFonts w:asciiTheme="majorHAnsi" w:eastAsia="Calibri" w:hAnsiTheme="majorHAnsi" w:cs="Arial"/>
                <w:sz w:val="22"/>
                <w:szCs w:val="22"/>
                <w:lang w:eastAsia="it-IT"/>
              </w:rPr>
              <w:t xml:space="preserve">; </w:t>
            </w:r>
            <w:r w:rsidR="00083006" w:rsidRPr="00A232EE">
              <w:rPr>
                <w:rFonts w:asciiTheme="majorHAnsi" w:eastAsia="Calibri" w:hAnsiTheme="majorHAnsi" w:cs="Arial"/>
                <w:sz w:val="22"/>
                <w:szCs w:val="22"/>
                <w:lang w:eastAsia="it-IT"/>
              </w:rPr>
              <w:t xml:space="preserve">and </w:t>
            </w:r>
            <w:r w:rsidR="003852CB" w:rsidRPr="00A232EE">
              <w:rPr>
                <w:rFonts w:asciiTheme="majorHAnsi" w:eastAsia="Calibri" w:hAnsiTheme="majorHAnsi" w:cs="Arial"/>
                <w:sz w:val="22"/>
                <w:szCs w:val="22"/>
                <w:lang w:eastAsia="it-IT"/>
              </w:rPr>
              <w:t>(iii) A</w:t>
            </w:r>
            <w:r w:rsidR="00F25B70">
              <w:rPr>
                <w:rFonts w:asciiTheme="majorHAnsi" w:eastAsia="Calibri" w:hAnsiTheme="majorHAnsi" w:cs="Arial"/>
                <w:sz w:val="22"/>
                <w:szCs w:val="22"/>
                <w:lang w:eastAsia="it-IT"/>
              </w:rPr>
              <w:t>n updated version of the</w:t>
            </w:r>
            <w:r w:rsidR="003852CB" w:rsidRPr="00A232EE">
              <w:rPr>
                <w:rFonts w:asciiTheme="majorHAnsi" w:eastAsia="Calibri" w:hAnsiTheme="majorHAnsi" w:cs="Arial"/>
                <w:sz w:val="22"/>
                <w:szCs w:val="22"/>
                <w:lang w:eastAsia="it-IT"/>
              </w:rPr>
              <w:t xml:space="preserve"> </w:t>
            </w:r>
            <w:r w:rsidR="00781E10" w:rsidRPr="00A232EE">
              <w:rPr>
                <w:rFonts w:asciiTheme="majorHAnsi" w:eastAsia="Calibri" w:hAnsiTheme="majorHAnsi" w:cs="Arial"/>
                <w:sz w:val="22"/>
                <w:szCs w:val="22"/>
                <w:lang w:eastAsia="it-IT"/>
              </w:rPr>
              <w:t>Consultation and Stakeholder Engagement Plan</w:t>
            </w:r>
            <w:r w:rsidR="00781E10">
              <w:rPr>
                <w:rFonts w:asciiTheme="majorHAnsi" w:eastAsia="Calibri" w:hAnsiTheme="majorHAnsi" w:cs="Arial"/>
                <w:sz w:val="22"/>
                <w:szCs w:val="22"/>
                <w:lang w:eastAsia="it-IT"/>
              </w:rPr>
              <w:t>, with an annex reporting</w:t>
            </w:r>
            <w:r w:rsidR="00781E10" w:rsidRPr="00A232EE">
              <w:rPr>
                <w:rFonts w:asciiTheme="majorHAnsi" w:eastAsia="Calibri" w:hAnsiTheme="majorHAnsi" w:cs="Arial"/>
                <w:sz w:val="22"/>
                <w:szCs w:val="22"/>
                <w:lang w:eastAsia="it-IT"/>
              </w:rPr>
              <w:t xml:space="preserve"> </w:t>
            </w:r>
            <w:r w:rsidR="00781E10">
              <w:rPr>
                <w:rFonts w:asciiTheme="majorHAnsi" w:eastAsia="Calibri" w:hAnsiTheme="majorHAnsi" w:cs="Arial"/>
                <w:sz w:val="22"/>
                <w:szCs w:val="22"/>
                <w:lang w:eastAsia="it-IT"/>
              </w:rPr>
              <w:t>the consultations carried out</w:t>
            </w:r>
            <w:r w:rsidR="003852CB" w:rsidRPr="00A232EE">
              <w:rPr>
                <w:rFonts w:asciiTheme="majorHAnsi" w:eastAsia="Calibri" w:hAnsiTheme="majorHAnsi" w:cs="Arial"/>
                <w:sz w:val="22"/>
                <w:szCs w:val="22"/>
                <w:lang w:eastAsia="it-IT"/>
              </w:rPr>
              <w:t>.</w:t>
            </w:r>
            <w:r w:rsidR="0095710C">
              <w:rPr>
                <w:rFonts w:asciiTheme="majorHAnsi" w:eastAsia="Calibri" w:hAnsiTheme="majorHAnsi" w:cs="Arial"/>
                <w:sz w:val="22"/>
                <w:szCs w:val="22"/>
                <w:lang w:eastAsia="it-IT"/>
              </w:rPr>
              <w:t xml:space="preserve"> These documents are available at the following link: </w:t>
            </w:r>
            <w:hyperlink r:id="rId20" w:history="1">
              <w:r w:rsidR="00165F63" w:rsidRPr="00B47654">
                <w:rPr>
                  <w:rStyle w:val="Hyperlink"/>
                  <w:rFonts w:asciiTheme="majorHAnsi" w:eastAsia="Calibri" w:hAnsiTheme="majorHAnsi" w:cs="Arial"/>
                  <w:sz w:val="22"/>
                  <w:szCs w:val="22"/>
                  <w:lang w:eastAsia="it-IT"/>
                </w:rPr>
                <w:t>https://www.iadb.org/en/project/BL-L1029</w:t>
              </w:r>
            </w:hyperlink>
            <w:r w:rsidR="00165F63">
              <w:rPr>
                <w:rFonts w:asciiTheme="majorHAnsi" w:eastAsia="Calibri" w:hAnsiTheme="majorHAnsi" w:cs="Arial"/>
                <w:sz w:val="22"/>
                <w:szCs w:val="22"/>
                <w:lang w:eastAsia="it-IT"/>
              </w:rPr>
              <w:t xml:space="preserve"> </w:t>
            </w:r>
          </w:p>
        </w:tc>
      </w:tr>
      <w:tr w:rsidR="00D632E9" w:rsidRPr="001C38FF" w14:paraId="104F7CCD" w14:textId="77777777" w:rsidTr="3EFF9F7B">
        <w:trPr>
          <w:trHeight w:val="236"/>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15" w:type="dxa"/>
              <w:left w:w="105" w:type="dxa"/>
              <w:bottom w:w="15" w:type="dxa"/>
              <w:right w:w="105" w:type="dxa"/>
            </w:tcMar>
            <w:vAlign w:val="center"/>
          </w:tcPr>
          <w:p w14:paraId="770BC071" w14:textId="77777777" w:rsidR="00D632E9" w:rsidRPr="006F7063" w:rsidRDefault="00D632E9" w:rsidP="006F7063">
            <w:pPr>
              <w:ind w:right="165"/>
              <w:jc w:val="both"/>
              <w:rPr>
                <w:rFonts w:ascii="Arial" w:eastAsia="Times New Roman" w:hAnsi="Arial" w:cs="Arial"/>
                <w:b/>
                <w:sz w:val="22"/>
                <w:szCs w:val="22"/>
                <w:shd w:val="clear" w:color="auto" w:fill="FFFFFF"/>
              </w:rPr>
            </w:pPr>
            <w:r w:rsidRPr="00FD295A">
              <w:rPr>
                <w:rFonts w:ascii="Arial" w:eastAsia="Times New Roman" w:hAnsi="Arial" w:cs="Arial"/>
                <w:b/>
                <w:sz w:val="22"/>
                <w:szCs w:val="22"/>
              </w:rPr>
              <w:t>Environmental</w:t>
            </w:r>
            <w:r w:rsidR="001A33FA" w:rsidRPr="00FD295A">
              <w:rPr>
                <w:rFonts w:ascii="Arial" w:eastAsia="Times New Roman" w:hAnsi="Arial" w:cs="Arial"/>
                <w:b/>
                <w:sz w:val="22"/>
                <w:szCs w:val="22"/>
              </w:rPr>
              <w:t xml:space="preserve"> and Social</w:t>
            </w:r>
            <w:r w:rsidRPr="00FD295A">
              <w:rPr>
                <w:rFonts w:ascii="Arial" w:eastAsia="Times New Roman" w:hAnsi="Arial" w:cs="Arial"/>
                <w:b/>
                <w:sz w:val="22"/>
                <w:szCs w:val="22"/>
              </w:rPr>
              <w:t xml:space="preserve"> </w:t>
            </w:r>
            <w:r w:rsidR="00425A6B" w:rsidRPr="00FD295A">
              <w:rPr>
                <w:rFonts w:ascii="Arial" w:eastAsia="Times New Roman" w:hAnsi="Arial" w:cs="Arial"/>
                <w:b/>
                <w:sz w:val="22"/>
                <w:szCs w:val="22"/>
              </w:rPr>
              <w:t>Impacts and Risks</w:t>
            </w:r>
            <w:r w:rsidRPr="00FD295A">
              <w:rPr>
                <w:rFonts w:ascii="Arial" w:eastAsia="Times New Roman" w:hAnsi="Arial" w:cs="Arial"/>
                <w:b/>
                <w:sz w:val="22"/>
                <w:szCs w:val="22"/>
              </w:rPr>
              <w:t xml:space="preserve"> </w:t>
            </w:r>
            <w:r w:rsidR="00FD295A" w:rsidRPr="00FD295A">
              <w:rPr>
                <w:rFonts w:ascii="Arial" w:eastAsia="Times New Roman" w:hAnsi="Arial" w:cs="Arial"/>
                <w:b/>
                <w:sz w:val="22"/>
                <w:szCs w:val="22"/>
              </w:rPr>
              <w:t>and Mitigation Measures</w:t>
            </w:r>
          </w:p>
          <w:p w14:paraId="18E2963B" w14:textId="77777777" w:rsidR="00D632E9" w:rsidRDefault="00D632E9" w:rsidP="006F7063">
            <w:pPr>
              <w:ind w:right="165"/>
              <w:jc w:val="both"/>
              <w:rPr>
                <w:rFonts w:ascii="Arial" w:eastAsia="Times New Roman" w:hAnsi="Arial" w:cs="Arial"/>
                <w:sz w:val="22"/>
                <w:szCs w:val="22"/>
              </w:rPr>
            </w:pPr>
            <w:r w:rsidRPr="006F7063">
              <w:rPr>
                <w:rFonts w:ascii="Arial" w:eastAsia="Times New Roman" w:hAnsi="Arial" w:cs="Arial"/>
                <w:sz w:val="22"/>
                <w:szCs w:val="22"/>
              </w:rPr>
              <w:t>OP-703 (Environment and Safeguards Compliance Policy)</w:t>
            </w:r>
            <w:r w:rsidR="003D6C2F" w:rsidRPr="006F7063">
              <w:rPr>
                <w:rFonts w:ascii="Arial" w:eastAsia="Times New Roman" w:hAnsi="Arial" w:cs="Arial"/>
                <w:sz w:val="22"/>
                <w:szCs w:val="22"/>
              </w:rPr>
              <w:t xml:space="preserve">: </w:t>
            </w:r>
            <w:r w:rsidRPr="006F7063">
              <w:rPr>
                <w:rFonts w:ascii="Arial" w:eastAsia="Times New Roman" w:hAnsi="Arial" w:cs="Arial"/>
                <w:sz w:val="22"/>
                <w:szCs w:val="22"/>
              </w:rPr>
              <w:t>B5 (Environmental Assessment Requirements), B8 (Transboundary Impacts), B9 (Natural Habitats and Cultural Sites), B10 (Hazardous Materials), B11 (Pollution Prevention and Abatement)</w:t>
            </w:r>
            <w:r w:rsidR="008E2AB9" w:rsidRPr="006F7063">
              <w:rPr>
                <w:rFonts w:ascii="Arial" w:eastAsia="Times New Roman" w:hAnsi="Arial" w:cs="Arial"/>
                <w:sz w:val="22"/>
                <w:szCs w:val="22"/>
              </w:rPr>
              <w:t>,</w:t>
            </w:r>
            <w:r w:rsidRPr="006F7063">
              <w:rPr>
                <w:rFonts w:ascii="Arial" w:eastAsia="Times New Roman" w:hAnsi="Arial" w:cs="Arial"/>
                <w:sz w:val="22"/>
                <w:szCs w:val="22"/>
              </w:rPr>
              <w:t xml:space="preserve"> and B12 (Project</w:t>
            </w:r>
            <w:r w:rsidR="008E2AB9" w:rsidRPr="006F7063">
              <w:rPr>
                <w:rFonts w:ascii="Arial" w:eastAsia="Times New Roman" w:hAnsi="Arial" w:cs="Arial"/>
                <w:sz w:val="22"/>
                <w:szCs w:val="22"/>
              </w:rPr>
              <w:t>s</w:t>
            </w:r>
            <w:r w:rsidRPr="006F7063">
              <w:rPr>
                <w:rFonts w:ascii="Arial" w:eastAsia="Times New Roman" w:hAnsi="Arial" w:cs="Arial"/>
                <w:sz w:val="22"/>
                <w:szCs w:val="22"/>
              </w:rPr>
              <w:t xml:space="preserve"> Under Construction)</w:t>
            </w:r>
          </w:p>
          <w:p w14:paraId="47AA0D8E" w14:textId="77777777" w:rsidR="00B505FD" w:rsidRDefault="00B505FD" w:rsidP="00B505FD">
            <w:pPr>
              <w:ind w:right="165"/>
              <w:jc w:val="both"/>
              <w:rPr>
                <w:rFonts w:ascii="Arial" w:eastAsia="Times New Roman" w:hAnsi="Arial" w:cs="Arial"/>
                <w:sz w:val="22"/>
                <w:szCs w:val="22"/>
              </w:rPr>
            </w:pPr>
            <w:r w:rsidRPr="006F7063">
              <w:rPr>
                <w:rFonts w:ascii="Arial" w:eastAsia="Times New Roman" w:hAnsi="Arial" w:cs="Arial"/>
                <w:sz w:val="22"/>
                <w:szCs w:val="22"/>
              </w:rPr>
              <w:t>OP-710 (Involuntary Resettlement Policy)</w:t>
            </w:r>
          </w:p>
          <w:p w14:paraId="61D6DC4C" w14:textId="77777777" w:rsidR="00B505FD" w:rsidRDefault="00B505FD" w:rsidP="00B505FD">
            <w:pPr>
              <w:ind w:right="165"/>
              <w:jc w:val="both"/>
              <w:rPr>
                <w:rFonts w:ascii="Arial" w:eastAsia="Times New Roman" w:hAnsi="Arial" w:cs="Arial"/>
                <w:sz w:val="22"/>
                <w:szCs w:val="22"/>
              </w:rPr>
            </w:pPr>
            <w:r w:rsidRPr="006F7063">
              <w:rPr>
                <w:rFonts w:ascii="Arial" w:eastAsia="Times New Roman" w:hAnsi="Arial" w:cs="Arial"/>
                <w:sz w:val="22"/>
                <w:szCs w:val="22"/>
              </w:rPr>
              <w:t>OP-765 (Indigenous Peoples Policy)</w:t>
            </w:r>
          </w:p>
          <w:p w14:paraId="0ACE360A" w14:textId="77777777" w:rsidR="00B505FD" w:rsidRDefault="00B505FD" w:rsidP="00B505FD">
            <w:pPr>
              <w:ind w:right="165"/>
              <w:jc w:val="both"/>
              <w:rPr>
                <w:rFonts w:ascii="Arial" w:eastAsia="Times New Roman" w:hAnsi="Arial" w:cs="Arial"/>
                <w:sz w:val="22"/>
                <w:szCs w:val="22"/>
              </w:rPr>
            </w:pPr>
            <w:r w:rsidRPr="00B505FD">
              <w:rPr>
                <w:rFonts w:ascii="Arial" w:eastAsia="Times New Roman" w:hAnsi="Arial" w:cs="Arial"/>
                <w:sz w:val="22"/>
                <w:szCs w:val="22"/>
              </w:rPr>
              <w:t>OP-704 (Disaster Risk Management Policy)</w:t>
            </w:r>
          </w:p>
          <w:p w14:paraId="23FBDCB9" w14:textId="77777777" w:rsidR="00B505FD" w:rsidRPr="006F7063" w:rsidRDefault="00B505FD" w:rsidP="00B505FD">
            <w:pPr>
              <w:ind w:right="165"/>
              <w:jc w:val="both"/>
              <w:rPr>
                <w:rFonts w:ascii="Arial" w:eastAsia="Times New Roman" w:hAnsi="Arial" w:cs="Arial"/>
                <w:sz w:val="22"/>
                <w:szCs w:val="22"/>
                <w:shd w:val="clear" w:color="auto" w:fill="FFFFFF"/>
              </w:rPr>
            </w:pPr>
            <w:r w:rsidRPr="006F7063">
              <w:rPr>
                <w:rFonts w:ascii="Arial" w:eastAsia="Times New Roman" w:hAnsi="Arial" w:cs="Arial"/>
                <w:sz w:val="22"/>
                <w:szCs w:val="22"/>
              </w:rPr>
              <w:t>OP-761 (Gender Equality in Development Policy)</w:t>
            </w:r>
          </w:p>
        </w:tc>
      </w:tr>
      <w:tr w:rsidR="00D632E9" w:rsidRPr="001C38FF" w14:paraId="3A29C7EE" w14:textId="77777777" w:rsidTr="3EFF9F7B">
        <w:trPr>
          <w:trHeight w:val="236"/>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547384E9" w14:textId="77777777" w:rsidR="00FB1C88" w:rsidRPr="00EF6E80" w:rsidRDefault="005C495F" w:rsidP="00B672B1">
            <w:pPr>
              <w:pStyle w:val="Paragraph"/>
              <w:tabs>
                <w:tab w:val="clear" w:pos="851"/>
                <w:tab w:val="num" w:pos="810"/>
              </w:tabs>
              <w:outlineLvl w:val="1"/>
              <w:rPr>
                <w:rFonts w:asciiTheme="majorHAnsi" w:eastAsia="Calibri" w:hAnsiTheme="majorHAnsi" w:cs="Arial"/>
                <w:szCs w:val="22"/>
                <w:lang w:val="en-US"/>
              </w:rPr>
            </w:pPr>
            <w:r w:rsidRPr="00EF6E80">
              <w:rPr>
                <w:rFonts w:asciiTheme="majorHAnsi" w:eastAsia="Calibri" w:hAnsiTheme="majorHAnsi" w:cs="Arial"/>
                <w:szCs w:val="22"/>
                <w:lang w:val="en-US"/>
              </w:rPr>
              <w:t xml:space="preserve">The key social and environmental impacts </w:t>
            </w:r>
            <w:r w:rsidR="00B672B1" w:rsidRPr="00EF6E80">
              <w:rPr>
                <w:rFonts w:asciiTheme="majorHAnsi" w:eastAsia="Calibri" w:hAnsiTheme="majorHAnsi" w:cs="Arial"/>
                <w:szCs w:val="22"/>
                <w:lang w:val="en-US"/>
              </w:rPr>
              <w:t xml:space="preserve">and risks </w:t>
            </w:r>
            <w:r w:rsidRPr="00EF6E80">
              <w:rPr>
                <w:rFonts w:asciiTheme="majorHAnsi" w:eastAsia="Calibri" w:hAnsiTheme="majorHAnsi" w:cs="Arial"/>
                <w:szCs w:val="22"/>
                <w:lang w:val="en-US"/>
              </w:rPr>
              <w:t xml:space="preserve">preliminarily identified are the following ones: </w:t>
            </w:r>
          </w:p>
          <w:p w14:paraId="6EBEC093" w14:textId="77777777" w:rsidR="005C495F" w:rsidRPr="00A232EE" w:rsidRDefault="00FB1C88" w:rsidP="00B672B1">
            <w:pPr>
              <w:pStyle w:val="Paragraph"/>
              <w:tabs>
                <w:tab w:val="clear" w:pos="851"/>
                <w:tab w:val="num" w:pos="810"/>
              </w:tabs>
              <w:outlineLvl w:val="1"/>
              <w:rPr>
                <w:rFonts w:asciiTheme="majorHAnsi" w:eastAsia="Calibri" w:hAnsiTheme="majorHAnsi" w:cs="Arial"/>
                <w:b/>
                <w:szCs w:val="22"/>
                <w:lang w:val="en-US"/>
              </w:rPr>
            </w:pPr>
            <w:r w:rsidRPr="00941273">
              <w:rPr>
                <w:rFonts w:asciiTheme="majorHAnsi" w:eastAsia="Calibri" w:hAnsiTheme="majorHAnsi" w:cs="Arial"/>
                <w:b/>
                <w:szCs w:val="22"/>
                <w:lang w:val="en-US"/>
              </w:rPr>
              <w:t xml:space="preserve">Involuntary </w:t>
            </w:r>
            <w:r w:rsidR="00B53B5E" w:rsidRPr="00941273">
              <w:rPr>
                <w:rFonts w:asciiTheme="majorHAnsi" w:eastAsia="Calibri" w:hAnsiTheme="majorHAnsi" w:cs="Arial"/>
                <w:b/>
                <w:szCs w:val="22"/>
                <w:lang w:val="en-US"/>
              </w:rPr>
              <w:t>r</w:t>
            </w:r>
            <w:r w:rsidRPr="00557192">
              <w:rPr>
                <w:rFonts w:asciiTheme="majorHAnsi" w:eastAsia="Calibri" w:hAnsiTheme="majorHAnsi" w:cs="Arial"/>
                <w:b/>
                <w:szCs w:val="22"/>
                <w:lang w:val="en-US"/>
              </w:rPr>
              <w:t xml:space="preserve">esettlement and affectation of land: </w:t>
            </w:r>
            <w:r w:rsidR="004A5EFE" w:rsidRPr="00557192">
              <w:rPr>
                <w:rFonts w:asciiTheme="majorHAnsi" w:eastAsia="Calibri" w:hAnsiTheme="majorHAnsi" w:cs="Arial"/>
                <w:szCs w:val="22"/>
                <w:lang w:val="en-US"/>
              </w:rPr>
              <w:t xml:space="preserve">This project will involve: </w:t>
            </w:r>
            <w:r w:rsidR="005C495F" w:rsidRPr="00557192">
              <w:rPr>
                <w:rFonts w:asciiTheme="majorHAnsi" w:eastAsia="Calibri" w:hAnsiTheme="majorHAnsi" w:cs="Arial"/>
                <w:szCs w:val="22"/>
                <w:lang w:val="en-US"/>
              </w:rPr>
              <w:t xml:space="preserve">(i) the involuntary </w:t>
            </w:r>
            <w:r w:rsidR="0044281B" w:rsidRPr="00557192">
              <w:rPr>
                <w:rFonts w:asciiTheme="majorHAnsi" w:eastAsia="Calibri" w:hAnsiTheme="majorHAnsi" w:cs="Arial"/>
                <w:szCs w:val="22"/>
                <w:lang w:val="en-US"/>
              </w:rPr>
              <w:t xml:space="preserve">displacement </w:t>
            </w:r>
            <w:r w:rsidR="005C495F" w:rsidRPr="00557192">
              <w:rPr>
                <w:rFonts w:asciiTheme="majorHAnsi" w:eastAsia="Calibri" w:hAnsiTheme="majorHAnsi" w:cs="Arial"/>
                <w:szCs w:val="22"/>
                <w:lang w:val="en-US"/>
              </w:rPr>
              <w:t xml:space="preserve">of </w:t>
            </w:r>
            <w:r w:rsidR="00AC692F" w:rsidRPr="00A232EE">
              <w:rPr>
                <w:rFonts w:asciiTheme="majorHAnsi" w:eastAsia="Calibri" w:hAnsiTheme="majorHAnsi" w:cs="Arial"/>
                <w:szCs w:val="22"/>
                <w:lang w:val="en-US"/>
              </w:rPr>
              <w:t>2</w:t>
            </w:r>
            <w:r w:rsidR="005C495F" w:rsidRPr="00A232EE">
              <w:rPr>
                <w:rFonts w:asciiTheme="majorHAnsi" w:eastAsia="Calibri" w:hAnsiTheme="majorHAnsi" w:cs="Arial"/>
                <w:szCs w:val="22"/>
                <w:lang w:val="en-US"/>
              </w:rPr>
              <w:t xml:space="preserve"> residential dwelling</w:t>
            </w:r>
            <w:r w:rsidR="00D3647E" w:rsidRPr="00A232EE">
              <w:rPr>
                <w:rFonts w:asciiTheme="majorHAnsi" w:eastAsia="Calibri" w:hAnsiTheme="majorHAnsi" w:cs="Arial"/>
                <w:szCs w:val="22"/>
                <w:lang w:val="en-US"/>
              </w:rPr>
              <w:t>s</w:t>
            </w:r>
            <w:r w:rsidR="00AC692F" w:rsidRPr="00A232EE">
              <w:rPr>
                <w:rFonts w:asciiTheme="majorHAnsi" w:eastAsia="Calibri" w:hAnsiTheme="majorHAnsi" w:cs="Arial"/>
                <w:szCs w:val="22"/>
                <w:lang w:val="en-US"/>
              </w:rPr>
              <w:t xml:space="preserve"> of vulnerable people</w:t>
            </w:r>
            <w:r w:rsidR="005C495F" w:rsidRPr="00A232EE">
              <w:rPr>
                <w:rFonts w:asciiTheme="majorHAnsi" w:eastAsia="Calibri" w:hAnsiTheme="majorHAnsi" w:cs="Arial"/>
                <w:szCs w:val="22"/>
                <w:lang w:val="en-US"/>
              </w:rPr>
              <w:t xml:space="preserve">; (ii) the partial affectation of the land of </w:t>
            </w:r>
            <w:r w:rsidR="00AC692F" w:rsidRPr="00A232EE">
              <w:rPr>
                <w:rFonts w:asciiTheme="majorHAnsi" w:eastAsia="Calibri" w:hAnsiTheme="majorHAnsi" w:cs="Arial"/>
                <w:szCs w:val="22"/>
                <w:lang w:val="en-US"/>
              </w:rPr>
              <w:t>13</w:t>
            </w:r>
            <w:r w:rsidR="008509C2" w:rsidRPr="00A232EE">
              <w:rPr>
                <w:rFonts w:asciiTheme="majorHAnsi" w:eastAsia="Calibri" w:hAnsiTheme="majorHAnsi" w:cs="Arial"/>
                <w:szCs w:val="22"/>
                <w:lang w:val="en-US"/>
              </w:rPr>
              <w:t xml:space="preserve"> </w:t>
            </w:r>
            <w:r w:rsidR="00AC692F" w:rsidRPr="00A232EE">
              <w:rPr>
                <w:rFonts w:asciiTheme="majorHAnsi" w:eastAsia="Calibri" w:hAnsiTheme="majorHAnsi" w:cs="Arial"/>
                <w:szCs w:val="22"/>
                <w:lang w:val="en-US"/>
              </w:rPr>
              <w:t xml:space="preserve">parcels </w:t>
            </w:r>
            <w:r w:rsidR="005C495F" w:rsidRPr="00A232EE">
              <w:rPr>
                <w:rFonts w:asciiTheme="majorHAnsi" w:eastAsia="Calibri" w:hAnsiTheme="majorHAnsi" w:cs="Arial"/>
                <w:szCs w:val="22"/>
                <w:lang w:val="en-US"/>
              </w:rPr>
              <w:t>located along the right of way</w:t>
            </w:r>
            <w:r w:rsidR="006B0FA7" w:rsidRPr="00A232EE">
              <w:rPr>
                <w:rFonts w:asciiTheme="majorHAnsi" w:eastAsia="Calibri" w:hAnsiTheme="majorHAnsi" w:cs="Arial"/>
                <w:szCs w:val="22"/>
                <w:lang w:val="en-US"/>
              </w:rPr>
              <w:t xml:space="preserve">; </w:t>
            </w:r>
            <w:r w:rsidR="00B53599" w:rsidRPr="00A232EE">
              <w:rPr>
                <w:rFonts w:asciiTheme="majorHAnsi" w:eastAsia="Calibri" w:hAnsiTheme="majorHAnsi" w:cs="Arial"/>
                <w:szCs w:val="22"/>
                <w:lang w:val="en-US"/>
              </w:rPr>
              <w:t xml:space="preserve">(iii) impacts to assets in </w:t>
            </w:r>
            <w:r w:rsidR="00AC692F" w:rsidRPr="00A232EE">
              <w:rPr>
                <w:rFonts w:asciiTheme="majorHAnsi" w:eastAsia="Calibri" w:hAnsiTheme="majorHAnsi" w:cs="Arial"/>
                <w:szCs w:val="22"/>
                <w:lang w:val="en-US"/>
              </w:rPr>
              <w:t>8</w:t>
            </w:r>
            <w:r w:rsidR="005D09FF" w:rsidRPr="00A232EE">
              <w:rPr>
                <w:rFonts w:asciiTheme="majorHAnsi" w:eastAsia="Calibri" w:hAnsiTheme="majorHAnsi" w:cs="Arial"/>
                <w:szCs w:val="22"/>
                <w:lang w:val="en-US"/>
              </w:rPr>
              <w:t xml:space="preserve"> </w:t>
            </w:r>
            <w:r w:rsidR="00B53599" w:rsidRPr="00A232EE">
              <w:rPr>
                <w:rFonts w:asciiTheme="majorHAnsi" w:eastAsia="Calibri" w:hAnsiTheme="majorHAnsi" w:cs="Arial"/>
                <w:szCs w:val="22"/>
                <w:lang w:val="en-US"/>
              </w:rPr>
              <w:t xml:space="preserve">cases; (iv) impacts to safety and security in </w:t>
            </w:r>
            <w:r w:rsidR="00AC692F" w:rsidRPr="00A232EE">
              <w:rPr>
                <w:rFonts w:asciiTheme="majorHAnsi" w:eastAsia="Calibri" w:hAnsiTheme="majorHAnsi" w:cs="Arial"/>
                <w:szCs w:val="22"/>
                <w:lang w:val="en-US"/>
              </w:rPr>
              <w:t xml:space="preserve">7 </w:t>
            </w:r>
            <w:r w:rsidR="00B53599" w:rsidRPr="00A232EE">
              <w:rPr>
                <w:rFonts w:asciiTheme="majorHAnsi" w:eastAsia="Calibri" w:hAnsiTheme="majorHAnsi" w:cs="Arial"/>
                <w:szCs w:val="22"/>
                <w:lang w:val="en-US"/>
              </w:rPr>
              <w:t xml:space="preserve">cases; </w:t>
            </w:r>
            <w:r w:rsidR="006B0FA7" w:rsidRPr="00A232EE">
              <w:rPr>
                <w:rFonts w:asciiTheme="majorHAnsi" w:eastAsia="Calibri" w:hAnsiTheme="majorHAnsi" w:cs="Arial"/>
                <w:szCs w:val="22"/>
                <w:lang w:val="en-US"/>
              </w:rPr>
              <w:t>and (</w:t>
            </w:r>
            <w:r w:rsidR="00B53599" w:rsidRPr="00A232EE">
              <w:rPr>
                <w:rFonts w:asciiTheme="majorHAnsi" w:eastAsia="Calibri" w:hAnsiTheme="majorHAnsi" w:cs="Arial"/>
                <w:szCs w:val="22"/>
                <w:lang w:val="en-US"/>
              </w:rPr>
              <w:t>v</w:t>
            </w:r>
            <w:r w:rsidR="006B0FA7" w:rsidRPr="00A232EE">
              <w:rPr>
                <w:rFonts w:asciiTheme="majorHAnsi" w:eastAsia="Calibri" w:hAnsiTheme="majorHAnsi" w:cs="Arial"/>
                <w:szCs w:val="22"/>
                <w:lang w:val="en-US"/>
              </w:rPr>
              <w:t xml:space="preserve">) the restrictions to accessibility imposed by the construction </w:t>
            </w:r>
            <w:r w:rsidR="00B53599" w:rsidRPr="00A232EE">
              <w:rPr>
                <w:rFonts w:asciiTheme="majorHAnsi" w:eastAsia="Calibri" w:hAnsiTheme="majorHAnsi" w:cs="Arial"/>
                <w:szCs w:val="22"/>
                <w:lang w:val="en-US"/>
              </w:rPr>
              <w:t>works</w:t>
            </w:r>
            <w:r w:rsidR="006B0FA7" w:rsidRPr="00A232EE">
              <w:rPr>
                <w:rFonts w:asciiTheme="majorHAnsi" w:eastAsia="Calibri" w:hAnsiTheme="majorHAnsi" w:cs="Arial"/>
                <w:szCs w:val="22"/>
                <w:lang w:val="en-US"/>
              </w:rPr>
              <w:t xml:space="preserve"> on </w:t>
            </w:r>
            <w:r w:rsidR="00AC692F" w:rsidRPr="00A232EE">
              <w:rPr>
                <w:rFonts w:asciiTheme="majorHAnsi" w:eastAsia="Calibri" w:hAnsiTheme="majorHAnsi" w:cs="Arial"/>
                <w:szCs w:val="22"/>
                <w:lang w:val="en-US"/>
              </w:rPr>
              <w:t xml:space="preserve">4 </w:t>
            </w:r>
            <w:r w:rsidR="006B0FA7" w:rsidRPr="00A232EE">
              <w:rPr>
                <w:rFonts w:asciiTheme="majorHAnsi" w:eastAsia="Calibri" w:hAnsiTheme="majorHAnsi" w:cs="Arial"/>
                <w:szCs w:val="22"/>
                <w:lang w:val="en-US"/>
              </w:rPr>
              <w:t>establishments, which will need alternate means of access</w:t>
            </w:r>
            <w:r w:rsidR="002830F8" w:rsidRPr="00A232EE">
              <w:rPr>
                <w:rFonts w:asciiTheme="majorHAnsi" w:eastAsia="Calibri" w:hAnsiTheme="majorHAnsi" w:cs="Arial"/>
                <w:szCs w:val="22"/>
                <w:lang w:val="en-US"/>
              </w:rPr>
              <w:t xml:space="preserve"> to restore their functionality and minimize the disruptions on </w:t>
            </w:r>
            <w:r w:rsidR="00AC692F" w:rsidRPr="00A232EE">
              <w:rPr>
                <w:rFonts w:asciiTheme="majorHAnsi" w:eastAsia="Calibri" w:hAnsiTheme="majorHAnsi" w:cs="Arial"/>
                <w:szCs w:val="22"/>
                <w:lang w:val="en-US"/>
              </w:rPr>
              <w:t>their</w:t>
            </w:r>
            <w:r w:rsidR="002830F8" w:rsidRPr="00A232EE">
              <w:rPr>
                <w:rFonts w:asciiTheme="majorHAnsi" w:eastAsia="Calibri" w:hAnsiTheme="majorHAnsi" w:cs="Arial"/>
                <w:szCs w:val="22"/>
                <w:lang w:val="en-US"/>
              </w:rPr>
              <w:t xml:space="preserve"> li</w:t>
            </w:r>
            <w:r w:rsidR="006F641A" w:rsidRPr="00A232EE">
              <w:rPr>
                <w:rFonts w:asciiTheme="majorHAnsi" w:eastAsia="Calibri" w:hAnsiTheme="majorHAnsi" w:cs="Arial"/>
                <w:szCs w:val="22"/>
                <w:lang w:val="en-US"/>
              </w:rPr>
              <w:t>v</w:t>
            </w:r>
            <w:r w:rsidR="002830F8" w:rsidRPr="00A232EE">
              <w:rPr>
                <w:rFonts w:asciiTheme="majorHAnsi" w:eastAsia="Calibri" w:hAnsiTheme="majorHAnsi" w:cs="Arial"/>
                <w:szCs w:val="22"/>
                <w:lang w:val="en-US"/>
              </w:rPr>
              <w:t>elihoods</w:t>
            </w:r>
            <w:r w:rsidR="005C495F" w:rsidRPr="00A232EE">
              <w:rPr>
                <w:rFonts w:asciiTheme="majorHAnsi" w:eastAsia="Calibri" w:hAnsiTheme="majorHAnsi" w:cs="Arial"/>
                <w:szCs w:val="22"/>
                <w:lang w:val="en-US"/>
              </w:rPr>
              <w:t>.</w:t>
            </w:r>
            <w:r w:rsidR="009B23A5" w:rsidRPr="00A232EE">
              <w:rPr>
                <w:rFonts w:asciiTheme="majorHAnsi" w:eastAsia="Calibri" w:hAnsiTheme="majorHAnsi" w:cs="Arial"/>
                <w:szCs w:val="22"/>
                <w:lang w:val="en-US"/>
              </w:rPr>
              <w:t xml:space="preserve"> </w:t>
            </w:r>
            <w:r w:rsidR="00137815" w:rsidRPr="00A232EE">
              <w:rPr>
                <w:rFonts w:asciiTheme="majorHAnsi" w:eastAsia="Calibri" w:hAnsiTheme="majorHAnsi" w:cs="Arial"/>
                <w:szCs w:val="22"/>
                <w:lang w:val="en-US"/>
              </w:rPr>
              <w:t>T</w:t>
            </w:r>
            <w:r w:rsidR="009B23A5" w:rsidRPr="00A232EE">
              <w:rPr>
                <w:rFonts w:asciiTheme="majorHAnsi" w:eastAsia="Calibri" w:hAnsiTheme="majorHAnsi" w:cs="Arial"/>
                <w:szCs w:val="22"/>
                <w:lang w:val="en-US"/>
              </w:rPr>
              <w:t xml:space="preserve">hese cases </w:t>
            </w:r>
            <w:r w:rsidR="009B23A5" w:rsidRPr="00A232EE">
              <w:rPr>
                <w:rFonts w:asciiTheme="majorHAnsi" w:eastAsia="Calibri" w:hAnsiTheme="majorHAnsi" w:cs="Arial"/>
                <w:noProof/>
                <w:szCs w:val="22"/>
                <w:lang w:val="en-US"/>
              </w:rPr>
              <w:t>ha</w:t>
            </w:r>
            <w:r w:rsidR="00826753" w:rsidRPr="00A232EE">
              <w:rPr>
                <w:rFonts w:asciiTheme="majorHAnsi" w:eastAsia="Calibri" w:hAnsiTheme="majorHAnsi" w:cs="Arial"/>
                <w:noProof/>
                <w:szCs w:val="22"/>
                <w:lang w:val="en-US"/>
              </w:rPr>
              <w:t>ve</w:t>
            </w:r>
            <w:r w:rsidR="009B23A5" w:rsidRPr="00A232EE">
              <w:rPr>
                <w:rFonts w:asciiTheme="majorHAnsi" w:eastAsia="Calibri" w:hAnsiTheme="majorHAnsi" w:cs="Arial"/>
                <w:szCs w:val="22"/>
                <w:lang w:val="en-US"/>
              </w:rPr>
              <w:t xml:space="preserve"> been identified in the </w:t>
            </w:r>
            <w:r w:rsidR="00B672B1" w:rsidRPr="00A232EE">
              <w:rPr>
                <w:rFonts w:asciiTheme="majorHAnsi" w:eastAsia="Calibri" w:hAnsiTheme="majorHAnsi" w:cs="Arial"/>
                <w:szCs w:val="22"/>
                <w:lang w:val="en-US"/>
              </w:rPr>
              <w:t>R</w:t>
            </w:r>
            <w:r w:rsidR="009B23A5" w:rsidRPr="00A232EE">
              <w:rPr>
                <w:rFonts w:asciiTheme="majorHAnsi" w:eastAsia="Calibri" w:hAnsiTheme="majorHAnsi" w:cs="Arial"/>
                <w:szCs w:val="22"/>
                <w:lang w:val="en-US"/>
              </w:rPr>
              <w:t xml:space="preserve">esettlement and </w:t>
            </w:r>
            <w:r w:rsidR="00B672B1" w:rsidRPr="00A232EE">
              <w:rPr>
                <w:rFonts w:asciiTheme="majorHAnsi" w:eastAsia="Calibri" w:hAnsiTheme="majorHAnsi" w:cs="Arial"/>
                <w:szCs w:val="22"/>
                <w:lang w:val="en-US"/>
              </w:rPr>
              <w:t>L</w:t>
            </w:r>
            <w:r w:rsidR="009B23A5" w:rsidRPr="00A232EE">
              <w:rPr>
                <w:rFonts w:asciiTheme="majorHAnsi" w:eastAsia="Calibri" w:hAnsiTheme="majorHAnsi" w:cs="Arial"/>
                <w:szCs w:val="22"/>
                <w:lang w:val="en-US"/>
              </w:rPr>
              <w:t xml:space="preserve">ivelihoods </w:t>
            </w:r>
            <w:r w:rsidR="00B672B1" w:rsidRPr="00A232EE">
              <w:rPr>
                <w:rFonts w:asciiTheme="majorHAnsi" w:eastAsia="Calibri" w:hAnsiTheme="majorHAnsi" w:cs="Arial"/>
                <w:szCs w:val="22"/>
                <w:lang w:val="en-US"/>
              </w:rPr>
              <w:t>R</w:t>
            </w:r>
            <w:r w:rsidR="009B23A5" w:rsidRPr="00A232EE">
              <w:rPr>
                <w:rFonts w:asciiTheme="majorHAnsi" w:eastAsia="Calibri" w:hAnsiTheme="majorHAnsi" w:cs="Arial"/>
                <w:szCs w:val="22"/>
                <w:lang w:val="en-US"/>
              </w:rPr>
              <w:t xml:space="preserve">estoration </w:t>
            </w:r>
            <w:r w:rsidR="00B672B1" w:rsidRPr="00A232EE">
              <w:rPr>
                <w:rFonts w:asciiTheme="majorHAnsi" w:eastAsia="Calibri" w:hAnsiTheme="majorHAnsi" w:cs="Arial"/>
                <w:szCs w:val="22"/>
                <w:lang w:val="en-US"/>
              </w:rPr>
              <w:t>P</w:t>
            </w:r>
            <w:r w:rsidR="009B23A5" w:rsidRPr="00A232EE">
              <w:rPr>
                <w:rFonts w:asciiTheme="majorHAnsi" w:eastAsia="Calibri" w:hAnsiTheme="majorHAnsi" w:cs="Arial"/>
                <w:szCs w:val="22"/>
                <w:lang w:val="en-US"/>
              </w:rPr>
              <w:t>lan, with measures for each of them.</w:t>
            </w:r>
          </w:p>
          <w:p w14:paraId="26EEB0C1" w14:textId="0F20EFE5" w:rsidR="00B5615E" w:rsidRPr="00EF6E80" w:rsidRDefault="00FB1C88" w:rsidP="00B672B1">
            <w:pPr>
              <w:pStyle w:val="Paragraph"/>
              <w:tabs>
                <w:tab w:val="clear" w:pos="851"/>
                <w:tab w:val="num" w:pos="810"/>
              </w:tabs>
              <w:outlineLvl w:val="1"/>
              <w:rPr>
                <w:rFonts w:asciiTheme="majorHAnsi" w:eastAsia="Calibri" w:hAnsiTheme="majorHAnsi" w:cs="Arial"/>
                <w:szCs w:val="22"/>
                <w:lang w:val="en-US"/>
              </w:rPr>
            </w:pPr>
            <w:r w:rsidRPr="00547C7F">
              <w:rPr>
                <w:rFonts w:asciiTheme="majorHAnsi" w:eastAsia="Calibri" w:hAnsiTheme="majorHAnsi" w:cs="Arial"/>
                <w:b/>
                <w:szCs w:val="22"/>
              </w:rPr>
              <w:t>C</w:t>
            </w:r>
            <w:proofErr w:type="spellStart"/>
            <w:r w:rsidR="007268B7" w:rsidRPr="00547C7F">
              <w:rPr>
                <w:rFonts w:asciiTheme="majorHAnsi" w:eastAsia="Calibri" w:hAnsiTheme="majorHAnsi" w:cs="Arial"/>
                <w:b/>
                <w:szCs w:val="22"/>
                <w:lang w:val="en-US"/>
              </w:rPr>
              <w:t>ommunity</w:t>
            </w:r>
            <w:proofErr w:type="spellEnd"/>
            <w:r w:rsidR="005C495F" w:rsidRPr="00547C7F">
              <w:rPr>
                <w:rFonts w:asciiTheme="majorHAnsi" w:eastAsia="Calibri" w:hAnsiTheme="majorHAnsi" w:cs="Arial"/>
                <w:b/>
                <w:szCs w:val="22"/>
                <w:lang w:val="en-US"/>
              </w:rPr>
              <w:t xml:space="preserve"> health and safety, </w:t>
            </w:r>
            <w:r w:rsidRPr="00547C7F">
              <w:rPr>
                <w:rFonts w:asciiTheme="majorHAnsi" w:eastAsia="Calibri" w:hAnsiTheme="majorHAnsi" w:cs="Arial"/>
                <w:b/>
                <w:szCs w:val="22"/>
                <w:lang w:val="en-US"/>
              </w:rPr>
              <w:t>particularly</w:t>
            </w:r>
            <w:r w:rsidR="001E157A" w:rsidRPr="00547C7F">
              <w:rPr>
                <w:rFonts w:asciiTheme="majorHAnsi" w:eastAsia="Calibri" w:hAnsiTheme="majorHAnsi" w:cs="Arial"/>
                <w:b/>
                <w:szCs w:val="22"/>
                <w:lang w:val="en-US"/>
              </w:rPr>
              <w:t xml:space="preserve"> </w:t>
            </w:r>
            <w:r w:rsidR="005C495F" w:rsidRPr="00547C7F">
              <w:rPr>
                <w:rFonts w:asciiTheme="majorHAnsi" w:eastAsia="Calibri" w:hAnsiTheme="majorHAnsi" w:cs="Arial"/>
                <w:b/>
                <w:szCs w:val="22"/>
                <w:lang w:val="en-US"/>
              </w:rPr>
              <w:t>labor relations</w:t>
            </w:r>
            <w:r w:rsidRPr="00547C7F">
              <w:rPr>
                <w:rFonts w:asciiTheme="majorHAnsi" w:eastAsia="Calibri" w:hAnsiTheme="majorHAnsi" w:cs="Arial"/>
                <w:b/>
                <w:szCs w:val="22"/>
                <w:lang w:val="en-US"/>
              </w:rPr>
              <w:t>:</w:t>
            </w:r>
            <w:r w:rsidR="00F318E2" w:rsidRPr="00547C7F">
              <w:rPr>
                <w:rFonts w:asciiTheme="majorHAnsi" w:eastAsia="Calibri" w:hAnsiTheme="majorHAnsi" w:cs="Arial"/>
                <w:b/>
                <w:szCs w:val="22"/>
                <w:lang w:val="en-US"/>
              </w:rPr>
              <w:t xml:space="preserve"> </w:t>
            </w:r>
            <w:r w:rsidR="00F318E2" w:rsidRPr="00547C7F">
              <w:rPr>
                <w:rFonts w:asciiTheme="majorHAnsi" w:eastAsia="Calibri" w:hAnsiTheme="majorHAnsi" w:cs="Arial"/>
                <w:szCs w:val="22"/>
                <w:lang w:val="en-US"/>
              </w:rPr>
              <w:t>The project poses a risk with relation to the</w:t>
            </w:r>
            <w:r w:rsidR="005C495F" w:rsidRPr="00547C7F">
              <w:rPr>
                <w:rFonts w:asciiTheme="majorHAnsi" w:eastAsia="Calibri" w:hAnsiTheme="majorHAnsi" w:cs="Arial"/>
                <w:szCs w:val="22"/>
                <w:lang w:val="en-US"/>
              </w:rPr>
              <w:t xml:space="preserve"> interactions of workers with the local population</w:t>
            </w:r>
            <w:r w:rsidR="001E157A" w:rsidRPr="00547C7F">
              <w:rPr>
                <w:rFonts w:asciiTheme="majorHAnsi" w:eastAsia="Calibri" w:hAnsiTheme="majorHAnsi" w:cs="Arial"/>
                <w:szCs w:val="22"/>
                <w:lang w:val="en-US"/>
              </w:rPr>
              <w:t>, which could lead to</w:t>
            </w:r>
            <w:r w:rsidR="005C495F" w:rsidRPr="00547C7F">
              <w:rPr>
                <w:rFonts w:asciiTheme="majorHAnsi" w:eastAsia="Calibri" w:hAnsiTheme="majorHAnsi" w:cs="Arial"/>
                <w:szCs w:val="22"/>
                <w:lang w:val="en-US"/>
              </w:rPr>
              <w:t xml:space="preserve"> potential </w:t>
            </w:r>
            <w:r w:rsidR="001E157A" w:rsidRPr="00547C7F">
              <w:rPr>
                <w:rFonts w:asciiTheme="majorHAnsi" w:eastAsia="Calibri" w:hAnsiTheme="majorHAnsi" w:cs="Arial"/>
                <w:szCs w:val="22"/>
                <w:lang w:val="en-US"/>
              </w:rPr>
              <w:t xml:space="preserve">sexual exploitation and </w:t>
            </w:r>
            <w:r w:rsidR="005C495F" w:rsidRPr="00547C7F">
              <w:rPr>
                <w:rFonts w:asciiTheme="majorHAnsi" w:eastAsia="Calibri" w:hAnsiTheme="majorHAnsi" w:cs="Arial"/>
                <w:szCs w:val="22"/>
                <w:lang w:val="en-US"/>
              </w:rPr>
              <w:t xml:space="preserve">sexual harassment </w:t>
            </w:r>
            <w:r w:rsidR="001E157A" w:rsidRPr="00547C7F">
              <w:rPr>
                <w:rFonts w:asciiTheme="majorHAnsi" w:eastAsia="Calibri" w:hAnsiTheme="majorHAnsi" w:cs="Arial"/>
                <w:szCs w:val="22"/>
                <w:lang w:val="en-US"/>
              </w:rPr>
              <w:t>from</w:t>
            </w:r>
            <w:r w:rsidR="005C495F" w:rsidRPr="00547C7F">
              <w:rPr>
                <w:rFonts w:asciiTheme="majorHAnsi" w:eastAsia="Calibri" w:hAnsiTheme="majorHAnsi" w:cs="Arial"/>
                <w:szCs w:val="22"/>
                <w:lang w:val="en-US"/>
              </w:rPr>
              <w:t xml:space="preserve"> male workers toward</w:t>
            </w:r>
            <w:r w:rsidR="00B672B1" w:rsidRPr="00547C7F">
              <w:rPr>
                <w:rFonts w:asciiTheme="majorHAnsi" w:eastAsia="Calibri" w:hAnsiTheme="majorHAnsi" w:cs="Arial"/>
                <w:szCs w:val="22"/>
                <w:lang w:val="en-US"/>
              </w:rPr>
              <w:t>s</w:t>
            </w:r>
            <w:r w:rsidR="005C495F" w:rsidRPr="00547C7F">
              <w:rPr>
                <w:rFonts w:asciiTheme="majorHAnsi" w:eastAsia="Calibri" w:hAnsiTheme="majorHAnsi" w:cs="Arial"/>
                <w:szCs w:val="22"/>
                <w:lang w:val="en-US"/>
              </w:rPr>
              <w:t xml:space="preserve"> local women and </w:t>
            </w:r>
            <w:r w:rsidR="00604757" w:rsidRPr="00547C7F">
              <w:rPr>
                <w:rFonts w:asciiTheme="majorHAnsi" w:eastAsia="Calibri" w:hAnsiTheme="majorHAnsi" w:cs="Arial"/>
                <w:szCs w:val="22"/>
                <w:lang w:val="en-US"/>
              </w:rPr>
              <w:t xml:space="preserve">adolescent </w:t>
            </w:r>
            <w:r w:rsidR="005C495F" w:rsidRPr="00547C7F">
              <w:rPr>
                <w:rFonts w:asciiTheme="majorHAnsi" w:eastAsia="Calibri" w:hAnsiTheme="majorHAnsi" w:cs="Arial"/>
                <w:szCs w:val="22"/>
                <w:lang w:val="en-US"/>
              </w:rPr>
              <w:t xml:space="preserve">girls. </w:t>
            </w:r>
            <w:r w:rsidR="001275D0" w:rsidRPr="00547C7F">
              <w:rPr>
                <w:rFonts w:asciiTheme="majorHAnsi" w:eastAsia="Calibri" w:hAnsiTheme="majorHAnsi" w:cs="Arial"/>
                <w:szCs w:val="22"/>
                <w:lang w:val="en-US"/>
              </w:rPr>
              <w:t>This issue was identified in the</w:t>
            </w:r>
            <w:r w:rsidR="00B672B1" w:rsidRPr="00547C7F">
              <w:rPr>
                <w:rFonts w:asciiTheme="majorHAnsi" w:eastAsia="Calibri" w:hAnsiTheme="majorHAnsi" w:cs="Arial"/>
                <w:szCs w:val="22"/>
                <w:lang w:val="en-US"/>
              </w:rPr>
              <w:t xml:space="preserve"> original ESIA and</w:t>
            </w:r>
            <w:r w:rsidR="001275D0" w:rsidRPr="00547C7F">
              <w:rPr>
                <w:rFonts w:asciiTheme="majorHAnsi" w:eastAsia="Calibri" w:hAnsiTheme="majorHAnsi" w:cs="Arial"/>
                <w:szCs w:val="22"/>
                <w:lang w:val="en-US"/>
              </w:rPr>
              <w:t xml:space="preserve"> </w:t>
            </w:r>
            <w:r w:rsidR="00060B71" w:rsidRPr="00547C7F">
              <w:rPr>
                <w:rFonts w:asciiTheme="majorHAnsi" w:eastAsia="Calibri" w:hAnsiTheme="majorHAnsi" w:cs="Arial"/>
                <w:szCs w:val="22"/>
                <w:lang w:val="en-US"/>
              </w:rPr>
              <w:t xml:space="preserve">in the </w:t>
            </w:r>
            <w:r w:rsidR="001275D0" w:rsidRPr="00547C7F">
              <w:rPr>
                <w:rFonts w:asciiTheme="majorHAnsi" w:eastAsia="Calibri" w:hAnsiTheme="majorHAnsi" w:cs="Arial"/>
                <w:szCs w:val="22"/>
                <w:lang w:val="en-US"/>
              </w:rPr>
              <w:t>consultations</w:t>
            </w:r>
            <w:r w:rsidR="00B672B1" w:rsidRPr="00547C7F">
              <w:rPr>
                <w:rFonts w:asciiTheme="majorHAnsi" w:eastAsia="Calibri" w:hAnsiTheme="majorHAnsi" w:cs="Arial"/>
                <w:szCs w:val="22"/>
                <w:lang w:val="en-US"/>
              </w:rPr>
              <w:t xml:space="preserve"> conducted in 2014</w:t>
            </w:r>
            <w:r w:rsidR="001275D0" w:rsidRPr="00547C7F">
              <w:rPr>
                <w:rFonts w:asciiTheme="majorHAnsi" w:eastAsia="Calibri" w:hAnsiTheme="majorHAnsi" w:cs="Arial"/>
                <w:szCs w:val="22"/>
                <w:lang w:val="en-US"/>
              </w:rPr>
              <w:t>. As a result</w:t>
            </w:r>
            <w:r w:rsidR="001E157A" w:rsidRPr="00547C7F">
              <w:rPr>
                <w:rFonts w:asciiTheme="majorHAnsi" w:eastAsia="Calibri" w:hAnsiTheme="majorHAnsi" w:cs="Arial"/>
                <w:szCs w:val="22"/>
                <w:lang w:val="en-US"/>
              </w:rPr>
              <w:t>, the updated ESMP include</w:t>
            </w:r>
            <w:r w:rsidR="00B672B1" w:rsidRPr="00547C7F">
              <w:rPr>
                <w:rFonts w:asciiTheme="majorHAnsi" w:eastAsia="Calibri" w:hAnsiTheme="majorHAnsi" w:cs="Arial"/>
                <w:szCs w:val="22"/>
                <w:lang w:val="en-US"/>
              </w:rPr>
              <w:t>s</w:t>
            </w:r>
            <w:r w:rsidR="001E157A" w:rsidRPr="00547C7F">
              <w:rPr>
                <w:rFonts w:asciiTheme="majorHAnsi" w:eastAsia="Calibri" w:hAnsiTheme="majorHAnsi" w:cs="Arial"/>
                <w:szCs w:val="22"/>
                <w:lang w:val="en-US"/>
              </w:rPr>
              <w:t xml:space="preserve"> a </w:t>
            </w:r>
            <w:r w:rsidR="00B672B1" w:rsidRPr="00547C7F">
              <w:rPr>
                <w:rFonts w:asciiTheme="majorHAnsi" w:eastAsia="Calibri" w:hAnsiTheme="majorHAnsi" w:cs="Arial"/>
                <w:szCs w:val="22"/>
                <w:lang w:val="en-US"/>
              </w:rPr>
              <w:t>G</w:t>
            </w:r>
            <w:r w:rsidR="001E157A" w:rsidRPr="00547C7F">
              <w:rPr>
                <w:rFonts w:asciiTheme="majorHAnsi" w:eastAsia="Calibri" w:hAnsiTheme="majorHAnsi" w:cs="Arial"/>
                <w:szCs w:val="22"/>
                <w:lang w:val="en-US"/>
              </w:rPr>
              <w:t xml:space="preserve">ender </w:t>
            </w:r>
            <w:r w:rsidR="00B672B1" w:rsidRPr="00547C7F">
              <w:rPr>
                <w:rFonts w:asciiTheme="majorHAnsi" w:eastAsia="Calibri" w:hAnsiTheme="majorHAnsi" w:cs="Arial"/>
                <w:szCs w:val="22"/>
                <w:lang w:val="en-US"/>
              </w:rPr>
              <w:t>S</w:t>
            </w:r>
            <w:r w:rsidR="001E157A" w:rsidRPr="00547C7F">
              <w:rPr>
                <w:rFonts w:asciiTheme="majorHAnsi" w:eastAsia="Calibri" w:hAnsiTheme="majorHAnsi" w:cs="Arial"/>
                <w:szCs w:val="22"/>
                <w:lang w:val="en-US"/>
              </w:rPr>
              <w:t>trategy</w:t>
            </w:r>
            <w:r w:rsidR="00B672B1" w:rsidRPr="00547C7F">
              <w:rPr>
                <w:rFonts w:asciiTheme="majorHAnsi" w:eastAsia="Calibri" w:hAnsiTheme="majorHAnsi" w:cs="Arial"/>
                <w:szCs w:val="22"/>
                <w:lang w:val="en-US"/>
              </w:rPr>
              <w:t xml:space="preserve"> and A</w:t>
            </w:r>
            <w:r w:rsidR="001E157A" w:rsidRPr="00547C7F">
              <w:rPr>
                <w:rFonts w:asciiTheme="majorHAnsi" w:eastAsia="Calibri" w:hAnsiTheme="majorHAnsi" w:cs="Arial"/>
                <w:szCs w:val="22"/>
                <w:lang w:val="en-US"/>
              </w:rPr>
              <w:t xml:space="preserve">ction </w:t>
            </w:r>
            <w:r w:rsidR="00B672B1" w:rsidRPr="00547C7F">
              <w:rPr>
                <w:rFonts w:asciiTheme="majorHAnsi" w:eastAsia="Calibri" w:hAnsiTheme="majorHAnsi" w:cs="Arial"/>
                <w:szCs w:val="22"/>
                <w:lang w:val="en-US"/>
              </w:rPr>
              <w:t>P</w:t>
            </w:r>
            <w:r w:rsidR="001E157A" w:rsidRPr="00547C7F">
              <w:rPr>
                <w:rFonts w:asciiTheme="majorHAnsi" w:eastAsia="Calibri" w:hAnsiTheme="majorHAnsi" w:cs="Arial"/>
                <w:szCs w:val="22"/>
                <w:lang w:val="en-US"/>
              </w:rPr>
              <w:t xml:space="preserve">lan, </w:t>
            </w:r>
            <w:r w:rsidR="001275D0" w:rsidRPr="00547C7F">
              <w:rPr>
                <w:rFonts w:asciiTheme="majorHAnsi" w:eastAsia="Calibri" w:hAnsiTheme="majorHAnsi" w:cs="Arial"/>
                <w:szCs w:val="22"/>
                <w:lang w:val="en-US"/>
              </w:rPr>
              <w:t>with mitigation measures</w:t>
            </w:r>
            <w:r w:rsidR="00257FC4" w:rsidRPr="00547C7F">
              <w:rPr>
                <w:rFonts w:asciiTheme="majorHAnsi" w:eastAsia="Calibri" w:hAnsiTheme="majorHAnsi" w:cs="Arial"/>
                <w:szCs w:val="22"/>
                <w:lang w:val="en-US"/>
              </w:rPr>
              <w:t xml:space="preserve">, </w:t>
            </w:r>
            <w:r w:rsidR="001E157A" w:rsidRPr="00547C7F">
              <w:rPr>
                <w:rFonts w:asciiTheme="majorHAnsi" w:eastAsia="Calibri" w:hAnsiTheme="majorHAnsi" w:cs="Arial"/>
                <w:szCs w:val="22"/>
                <w:lang w:val="en-US"/>
              </w:rPr>
              <w:t xml:space="preserve">as well as provisions </w:t>
            </w:r>
            <w:r w:rsidR="00B672B1" w:rsidRPr="00547C7F">
              <w:rPr>
                <w:rFonts w:asciiTheme="majorHAnsi" w:eastAsia="Calibri" w:hAnsiTheme="majorHAnsi" w:cs="Arial"/>
                <w:szCs w:val="22"/>
                <w:lang w:val="en-US"/>
              </w:rPr>
              <w:t>to implement a</w:t>
            </w:r>
            <w:r w:rsidR="001E157A" w:rsidRPr="00547C7F">
              <w:rPr>
                <w:rFonts w:asciiTheme="majorHAnsi" w:eastAsia="Calibri" w:hAnsiTheme="majorHAnsi" w:cs="Arial"/>
                <w:szCs w:val="22"/>
                <w:lang w:val="en-US"/>
              </w:rPr>
              <w:t xml:space="preserve"> </w:t>
            </w:r>
            <w:r w:rsidR="00B672B1" w:rsidRPr="00547C7F">
              <w:rPr>
                <w:rFonts w:asciiTheme="majorHAnsi" w:eastAsia="Calibri" w:hAnsiTheme="majorHAnsi" w:cs="Arial"/>
                <w:szCs w:val="22"/>
                <w:lang w:val="en-US"/>
              </w:rPr>
              <w:t>W</w:t>
            </w:r>
            <w:r w:rsidR="001E157A" w:rsidRPr="00547C7F">
              <w:rPr>
                <w:rFonts w:asciiTheme="majorHAnsi" w:eastAsia="Calibri" w:hAnsiTheme="majorHAnsi" w:cs="Arial"/>
                <w:szCs w:val="22"/>
                <w:lang w:val="en-US"/>
              </w:rPr>
              <w:t xml:space="preserve">orkers’ </w:t>
            </w:r>
            <w:r w:rsidR="00B672B1" w:rsidRPr="00547C7F">
              <w:rPr>
                <w:rFonts w:asciiTheme="majorHAnsi" w:eastAsia="Calibri" w:hAnsiTheme="majorHAnsi" w:cs="Arial"/>
                <w:szCs w:val="22"/>
                <w:lang w:val="en-US"/>
              </w:rPr>
              <w:t>C</w:t>
            </w:r>
            <w:r w:rsidR="001E157A" w:rsidRPr="00547C7F">
              <w:rPr>
                <w:rFonts w:asciiTheme="majorHAnsi" w:eastAsia="Calibri" w:hAnsiTheme="majorHAnsi" w:cs="Arial"/>
                <w:szCs w:val="22"/>
                <w:lang w:val="en-US"/>
              </w:rPr>
              <w:t xml:space="preserve">ode of </w:t>
            </w:r>
            <w:r w:rsidR="00B672B1" w:rsidRPr="00547C7F">
              <w:rPr>
                <w:rFonts w:asciiTheme="majorHAnsi" w:eastAsia="Calibri" w:hAnsiTheme="majorHAnsi" w:cs="Arial"/>
                <w:szCs w:val="22"/>
                <w:lang w:val="en-US"/>
              </w:rPr>
              <w:t>C</w:t>
            </w:r>
            <w:r w:rsidR="001E157A" w:rsidRPr="00547C7F">
              <w:rPr>
                <w:rFonts w:asciiTheme="majorHAnsi" w:eastAsia="Calibri" w:hAnsiTheme="majorHAnsi" w:cs="Arial"/>
                <w:szCs w:val="22"/>
                <w:lang w:val="en-US"/>
              </w:rPr>
              <w:t xml:space="preserve">onduct and </w:t>
            </w:r>
            <w:r w:rsidR="00B672B1" w:rsidRPr="00547C7F">
              <w:rPr>
                <w:rFonts w:asciiTheme="majorHAnsi" w:eastAsia="Calibri" w:hAnsiTheme="majorHAnsi" w:cs="Arial"/>
                <w:szCs w:val="22"/>
                <w:lang w:val="en-US"/>
              </w:rPr>
              <w:t xml:space="preserve">corresponding </w:t>
            </w:r>
            <w:r w:rsidR="001E157A" w:rsidRPr="00547C7F">
              <w:rPr>
                <w:rFonts w:asciiTheme="majorHAnsi" w:eastAsia="Calibri" w:hAnsiTheme="majorHAnsi" w:cs="Arial"/>
                <w:szCs w:val="22"/>
                <w:lang w:val="en-US"/>
              </w:rPr>
              <w:t xml:space="preserve">monitoring measures to ensure that these </w:t>
            </w:r>
            <w:r w:rsidR="00FD0281" w:rsidRPr="00547C7F">
              <w:rPr>
                <w:rFonts w:asciiTheme="majorHAnsi" w:eastAsia="Calibri" w:hAnsiTheme="majorHAnsi" w:cs="Arial"/>
                <w:szCs w:val="22"/>
                <w:lang w:val="en-US"/>
              </w:rPr>
              <w:t xml:space="preserve">provisions are complied with. </w:t>
            </w:r>
            <w:r w:rsidR="00B672B1" w:rsidRPr="00547C7F">
              <w:rPr>
                <w:rFonts w:asciiTheme="majorHAnsi" w:eastAsia="Calibri" w:hAnsiTheme="majorHAnsi" w:cs="Arial"/>
                <w:szCs w:val="22"/>
                <w:lang w:val="en-US"/>
              </w:rPr>
              <w:lastRenderedPageBreak/>
              <w:t xml:space="preserve">Stakeholders </w:t>
            </w:r>
            <w:r w:rsidR="00FD0281" w:rsidRPr="00547C7F">
              <w:rPr>
                <w:rFonts w:asciiTheme="majorHAnsi" w:eastAsia="Calibri" w:hAnsiTheme="majorHAnsi" w:cs="Arial"/>
                <w:szCs w:val="22"/>
                <w:lang w:val="en-US"/>
              </w:rPr>
              <w:t xml:space="preserve">will also </w:t>
            </w:r>
            <w:proofErr w:type="gramStart"/>
            <w:r w:rsidR="00FD0281" w:rsidRPr="00547C7F">
              <w:rPr>
                <w:rFonts w:asciiTheme="majorHAnsi" w:eastAsia="Calibri" w:hAnsiTheme="majorHAnsi" w:cs="Arial"/>
                <w:szCs w:val="22"/>
                <w:lang w:val="en-US"/>
              </w:rPr>
              <w:t xml:space="preserve">have </w:t>
            </w:r>
            <w:r w:rsidR="00F318E2" w:rsidRPr="00547C7F">
              <w:rPr>
                <w:rFonts w:asciiTheme="majorHAnsi" w:eastAsia="Calibri" w:hAnsiTheme="majorHAnsi" w:cs="Arial"/>
                <w:szCs w:val="22"/>
                <w:lang w:val="en-US"/>
              </w:rPr>
              <w:t>the opportunity</w:t>
            </w:r>
            <w:r w:rsidR="00FD0281" w:rsidRPr="00547C7F">
              <w:rPr>
                <w:rFonts w:asciiTheme="majorHAnsi" w:eastAsia="Calibri" w:hAnsiTheme="majorHAnsi" w:cs="Arial"/>
                <w:szCs w:val="22"/>
                <w:lang w:val="en-US"/>
              </w:rPr>
              <w:t xml:space="preserve"> to</w:t>
            </w:r>
            <w:proofErr w:type="gramEnd"/>
            <w:r w:rsidR="00FD0281" w:rsidRPr="00547C7F">
              <w:rPr>
                <w:rFonts w:asciiTheme="majorHAnsi" w:eastAsia="Calibri" w:hAnsiTheme="majorHAnsi" w:cs="Arial"/>
                <w:szCs w:val="22"/>
                <w:lang w:val="en-US"/>
              </w:rPr>
              <w:t xml:space="preserve"> report their concerns via the Gr</w:t>
            </w:r>
            <w:r w:rsidR="0029360C" w:rsidRPr="00547C7F">
              <w:rPr>
                <w:rFonts w:asciiTheme="majorHAnsi" w:eastAsia="Calibri" w:hAnsiTheme="majorHAnsi" w:cs="Arial"/>
                <w:szCs w:val="22"/>
                <w:lang w:val="en-US"/>
              </w:rPr>
              <w:t>i</w:t>
            </w:r>
            <w:r w:rsidR="00FD0281" w:rsidRPr="00547C7F">
              <w:rPr>
                <w:rFonts w:asciiTheme="majorHAnsi" w:eastAsia="Calibri" w:hAnsiTheme="majorHAnsi" w:cs="Arial"/>
                <w:szCs w:val="22"/>
                <w:lang w:val="en-US"/>
              </w:rPr>
              <w:t xml:space="preserve">evance Redress Mechanism. </w:t>
            </w:r>
            <w:r w:rsidR="00257FC4" w:rsidRPr="00547C7F">
              <w:rPr>
                <w:rFonts w:asciiTheme="majorHAnsi" w:eastAsia="Calibri" w:hAnsiTheme="majorHAnsi" w:cs="Arial"/>
                <w:szCs w:val="22"/>
                <w:lang w:val="en-US"/>
              </w:rPr>
              <w:t xml:space="preserve">These measures are </w:t>
            </w:r>
            <w:r w:rsidR="00A12F82" w:rsidRPr="00547C7F">
              <w:rPr>
                <w:rFonts w:asciiTheme="majorHAnsi" w:eastAsia="Calibri" w:hAnsiTheme="majorHAnsi" w:cs="Arial"/>
                <w:szCs w:val="22"/>
                <w:lang w:val="en-US"/>
              </w:rPr>
              <w:t>further</w:t>
            </w:r>
            <w:r w:rsidR="00257FC4" w:rsidRPr="00547C7F">
              <w:rPr>
                <w:rFonts w:asciiTheme="majorHAnsi" w:eastAsia="Calibri" w:hAnsiTheme="majorHAnsi" w:cs="Arial"/>
                <w:szCs w:val="22"/>
                <w:lang w:val="en-US"/>
              </w:rPr>
              <w:t xml:space="preserve"> explained in the section “Gender Equality.”</w:t>
            </w:r>
            <w:r w:rsidR="00557192" w:rsidRPr="00547C7F">
              <w:rPr>
                <w:rFonts w:asciiTheme="majorHAnsi" w:eastAsia="Calibri" w:hAnsiTheme="majorHAnsi" w:cs="Arial"/>
                <w:szCs w:val="22"/>
                <w:lang w:val="en-US"/>
              </w:rPr>
              <w:t xml:space="preserve"> During construction </w:t>
            </w:r>
            <w:r w:rsidR="00B5615E" w:rsidRPr="00547C7F">
              <w:rPr>
                <w:rFonts w:asciiTheme="majorHAnsi" w:eastAsia="Calibri" w:hAnsiTheme="majorHAnsi" w:cs="Arial"/>
                <w:szCs w:val="22"/>
                <w:lang w:val="en-US"/>
              </w:rPr>
              <w:t>noise</w:t>
            </w:r>
            <w:r w:rsidR="00557192" w:rsidRPr="00547C7F">
              <w:rPr>
                <w:rFonts w:asciiTheme="majorHAnsi" w:eastAsia="Calibri" w:hAnsiTheme="majorHAnsi" w:cs="Arial"/>
                <w:szCs w:val="22"/>
                <w:lang w:val="en-US"/>
              </w:rPr>
              <w:t xml:space="preserve">, </w:t>
            </w:r>
            <w:r w:rsidR="00B5615E" w:rsidRPr="00547C7F">
              <w:rPr>
                <w:rFonts w:asciiTheme="majorHAnsi" w:eastAsia="Calibri" w:hAnsiTheme="majorHAnsi" w:cs="Arial"/>
                <w:szCs w:val="22"/>
                <w:lang w:val="en-US"/>
              </w:rPr>
              <w:t>dust</w:t>
            </w:r>
            <w:r w:rsidR="00557192" w:rsidRPr="00547C7F">
              <w:rPr>
                <w:rFonts w:asciiTheme="majorHAnsi" w:eastAsia="Calibri" w:hAnsiTheme="majorHAnsi" w:cs="Arial"/>
                <w:szCs w:val="22"/>
                <w:lang w:val="en-US"/>
              </w:rPr>
              <w:t>, and vibration levels will be higher than normal for residents living and working in proximity to the road. The ESMP includes a series of general Construction Practices Mitigation Measures, including permissible levels for noise. Monitoring has not yet begun on the sections</w:t>
            </w:r>
            <w:r w:rsidR="00230E2E" w:rsidRPr="00547C7F">
              <w:rPr>
                <w:rFonts w:asciiTheme="majorHAnsi" w:eastAsia="Calibri" w:hAnsiTheme="majorHAnsi" w:cs="Arial"/>
                <w:szCs w:val="22"/>
                <w:lang w:val="en-US"/>
              </w:rPr>
              <w:t xml:space="preserve"> </w:t>
            </w:r>
            <w:r w:rsidR="00557192" w:rsidRPr="00547C7F">
              <w:rPr>
                <w:rFonts w:asciiTheme="majorHAnsi" w:eastAsia="Calibri" w:hAnsiTheme="majorHAnsi" w:cs="Arial"/>
                <w:szCs w:val="22"/>
                <w:lang w:val="en-US"/>
              </w:rPr>
              <w:t xml:space="preserve">in construction, </w:t>
            </w:r>
            <w:r w:rsidR="00230E2E" w:rsidRPr="00547C7F">
              <w:rPr>
                <w:rFonts w:asciiTheme="majorHAnsi" w:eastAsia="Calibri" w:hAnsiTheme="majorHAnsi" w:cs="Arial"/>
                <w:szCs w:val="22"/>
                <w:lang w:val="en-US"/>
              </w:rPr>
              <w:t xml:space="preserve">so </w:t>
            </w:r>
            <w:r w:rsidR="0085637F" w:rsidRPr="00547C7F">
              <w:rPr>
                <w:rFonts w:asciiTheme="majorHAnsi" w:eastAsia="Calibri" w:hAnsiTheme="majorHAnsi" w:cs="Arial"/>
                <w:szCs w:val="22"/>
                <w:lang w:val="en-US"/>
              </w:rPr>
              <w:t>this</w:t>
            </w:r>
            <w:r w:rsidR="00230E2E" w:rsidRPr="00547C7F">
              <w:rPr>
                <w:rFonts w:asciiTheme="majorHAnsi" w:eastAsia="Calibri" w:hAnsiTheme="majorHAnsi" w:cs="Arial"/>
                <w:szCs w:val="22"/>
                <w:lang w:val="en-US"/>
              </w:rPr>
              <w:t xml:space="preserve"> is </w:t>
            </w:r>
            <w:r w:rsidR="00557192" w:rsidRPr="00547C7F">
              <w:rPr>
                <w:rFonts w:asciiTheme="majorHAnsi" w:eastAsia="Calibri" w:hAnsiTheme="majorHAnsi" w:cs="Arial"/>
                <w:szCs w:val="22"/>
                <w:lang w:val="en-US"/>
              </w:rPr>
              <w:t xml:space="preserve">something </w:t>
            </w:r>
            <w:r w:rsidR="0085637F" w:rsidRPr="00547C7F">
              <w:rPr>
                <w:rFonts w:asciiTheme="majorHAnsi" w:eastAsia="Calibri" w:hAnsiTheme="majorHAnsi" w:cs="Arial"/>
                <w:szCs w:val="22"/>
                <w:lang w:val="en-US"/>
              </w:rPr>
              <w:t>highlighted</w:t>
            </w:r>
            <w:r w:rsidR="00557192" w:rsidRPr="00547C7F">
              <w:rPr>
                <w:rFonts w:asciiTheme="majorHAnsi" w:eastAsia="Calibri" w:hAnsiTheme="majorHAnsi" w:cs="Arial"/>
                <w:szCs w:val="22"/>
                <w:lang w:val="en-US"/>
              </w:rPr>
              <w:t xml:space="preserve"> in the Corrective Action Plan issued under BL-L1019.</w:t>
            </w:r>
          </w:p>
          <w:p w14:paraId="2DFF9E93" w14:textId="77777777" w:rsidR="0047598C" w:rsidRPr="00EF6E80" w:rsidRDefault="001E157A" w:rsidP="00B672B1">
            <w:pPr>
              <w:pStyle w:val="Paragraph"/>
              <w:tabs>
                <w:tab w:val="clear" w:pos="851"/>
                <w:tab w:val="num" w:pos="810"/>
              </w:tabs>
              <w:outlineLvl w:val="1"/>
              <w:rPr>
                <w:rFonts w:asciiTheme="majorHAnsi" w:eastAsia="Calibri" w:hAnsiTheme="majorHAnsi" w:cs="Arial"/>
                <w:szCs w:val="22"/>
                <w:lang w:val="en-US"/>
              </w:rPr>
            </w:pPr>
            <w:r w:rsidRPr="00EF6E80">
              <w:rPr>
                <w:rFonts w:asciiTheme="majorHAnsi" w:eastAsia="Calibri" w:hAnsiTheme="majorHAnsi" w:cs="Arial"/>
                <w:b/>
                <w:szCs w:val="22"/>
                <w:lang w:val="en-US"/>
              </w:rPr>
              <w:t>Road safety</w:t>
            </w:r>
            <w:r w:rsidR="00FB1C88" w:rsidRPr="00EF6E80">
              <w:rPr>
                <w:rFonts w:asciiTheme="majorHAnsi" w:eastAsia="Calibri" w:hAnsiTheme="majorHAnsi" w:cs="Arial"/>
                <w:b/>
                <w:szCs w:val="22"/>
                <w:lang w:val="en-US"/>
              </w:rPr>
              <w:t>:</w:t>
            </w:r>
            <w:r w:rsidR="005D09FF" w:rsidRPr="00EF6E80">
              <w:rPr>
                <w:rFonts w:asciiTheme="majorHAnsi" w:eastAsia="Calibri" w:hAnsiTheme="majorHAnsi" w:cs="Arial"/>
                <w:b/>
                <w:szCs w:val="22"/>
                <w:lang w:val="en-US"/>
              </w:rPr>
              <w:t xml:space="preserve"> </w:t>
            </w:r>
            <w:r w:rsidR="005D09FF" w:rsidRPr="00EF6E80">
              <w:rPr>
                <w:rFonts w:asciiTheme="majorHAnsi" w:eastAsia="Calibri" w:hAnsiTheme="majorHAnsi" w:cs="Arial"/>
                <w:szCs w:val="22"/>
                <w:lang w:val="en-US"/>
              </w:rPr>
              <w:t>Belize has one of the highest road fatality rates in the LAC region.</w:t>
            </w:r>
            <w:r w:rsidR="0044550B" w:rsidRPr="00EF6E80">
              <w:rPr>
                <w:rFonts w:asciiTheme="majorHAnsi" w:eastAsia="Calibri" w:hAnsiTheme="majorHAnsi" w:cs="Arial"/>
                <w:szCs w:val="22"/>
                <w:lang w:val="en-US"/>
              </w:rPr>
              <w:t xml:space="preserve"> </w:t>
            </w:r>
            <w:r w:rsidR="006E1FA1" w:rsidRPr="00EF6E80">
              <w:rPr>
                <w:rFonts w:asciiTheme="majorHAnsi" w:eastAsia="Calibri" w:hAnsiTheme="majorHAnsi" w:cs="Arial"/>
                <w:szCs w:val="22"/>
                <w:lang w:val="en-US"/>
              </w:rPr>
              <w:t xml:space="preserve">The project is expected to </w:t>
            </w:r>
            <w:r w:rsidR="009249B0" w:rsidRPr="00941273">
              <w:rPr>
                <w:rFonts w:asciiTheme="majorHAnsi" w:eastAsia="Calibri" w:hAnsiTheme="majorHAnsi" w:cs="Arial"/>
                <w:szCs w:val="22"/>
                <w:lang w:val="en-US"/>
              </w:rPr>
              <w:t>increase traffic flow</w:t>
            </w:r>
            <w:r w:rsidR="006E1FA1" w:rsidRPr="00941273">
              <w:rPr>
                <w:rFonts w:asciiTheme="majorHAnsi" w:eastAsia="Calibri" w:hAnsiTheme="majorHAnsi" w:cs="Arial"/>
                <w:szCs w:val="22"/>
                <w:lang w:val="en-US"/>
              </w:rPr>
              <w:t xml:space="preserve"> speeds.  As such the proj</w:t>
            </w:r>
            <w:r w:rsidR="006E1FA1" w:rsidRPr="00557192">
              <w:rPr>
                <w:rFonts w:asciiTheme="majorHAnsi" w:eastAsia="Calibri" w:hAnsiTheme="majorHAnsi" w:cs="Arial"/>
                <w:szCs w:val="22"/>
                <w:lang w:val="en-US"/>
              </w:rPr>
              <w:t xml:space="preserve">ect poses a risk, if drivers </w:t>
            </w:r>
            <w:r w:rsidR="009249B0" w:rsidRPr="00557192">
              <w:rPr>
                <w:rFonts w:asciiTheme="majorHAnsi" w:eastAsia="Calibri" w:hAnsiTheme="majorHAnsi" w:cs="Arial"/>
                <w:szCs w:val="22"/>
                <w:lang w:val="en-US"/>
              </w:rPr>
              <w:t>do not adhere to safety standards</w:t>
            </w:r>
            <w:r w:rsidR="00604757" w:rsidRPr="00557192">
              <w:rPr>
                <w:rFonts w:asciiTheme="majorHAnsi" w:eastAsia="Calibri" w:hAnsiTheme="majorHAnsi" w:cs="Arial"/>
                <w:szCs w:val="22"/>
                <w:lang w:val="en-US"/>
              </w:rPr>
              <w:t xml:space="preserve">, </w:t>
            </w:r>
            <w:proofErr w:type="gramStart"/>
            <w:r w:rsidR="006E1FA1" w:rsidRPr="00557192">
              <w:rPr>
                <w:rFonts w:asciiTheme="majorHAnsi" w:eastAsia="Calibri" w:hAnsiTheme="majorHAnsi" w:cs="Arial"/>
                <w:szCs w:val="22"/>
                <w:lang w:val="en-US"/>
              </w:rPr>
              <w:t xml:space="preserve">in </w:t>
            </w:r>
            <w:r w:rsidR="006E1FA1" w:rsidRPr="00557192">
              <w:rPr>
                <w:rFonts w:asciiTheme="majorHAnsi" w:eastAsia="Calibri" w:hAnsiTheme="majorHAnsi" w:cs="Arial"/>
                <w:noProof/>
                <w:szCs w:val="22"/>
                <w:lang w:val="en-US"/>
              </w:rPr>
              <w:t>particular</w:t>
            </w:r>
            <w:r w:rsidR="006E1FA1" w:rsidRPr="00557192">
              <w:rPr>
                <w:rFonts w:asciiTheme="majorHAnsi" w:eastAsia="Calibri" w:hAnsiTheme="majorHAnsi" w:cs="Arial"/>
                <w:szCs w:val="22"/>
                <w:lang w:val="en-US"/>
              </w:rPr>
              <w:t xml:space="preserve"> </w:t>
            </w:r>
            <w:r w:rsidR="00604757" w:rsidRPr="00557192">
              <w:rPr>
                <w:rFonts w:asciiTheme="majorHAnsi" w:eastAsia="Calibri" w:hAnsiTheme="majorHAnsi" w:cs="Arial"/>
                <w:szCs w:val="22"/>
                <w:lang w:val="en-US"/>
              </w:rPr>
              <w:t>speeding</w:t>
            </w:r>
            <w:proofErr w:type="gramEnd"/>
            <w:r w:rsidR="00604757" w:rsidRPr="00557192">
              <w:rPr>
                <w:rFonts w:asciiTheme="majorHAnsi" w:eastAsia="Calibri" w:hAnsiTheme="majorHAnsi" w:cs="Arial"/>
                <w:szCs w:val="22"/>
                <w:lang w:val="en-US"/>
              </w:rPr>
              <w:t>,</w:t>
            </w:r>
            <w:r w:rsidR="006E1FA1" w:rsidRPr="00A232EE">
              <w:rPr>
                <w:rFonts w:asciiTheme="majorHAnsi" w:eastAsia="Calibri" w:hAnsiTheme="majorHAnsi" w:cs="Arial"/>
                <w:szCs w:val="22"/>
                <w:lang w:val="en-US"/>
              </w:rPr>
              <w:t xml:space="preserve"> leading to an increase in traffic </w:t>
            </w:r>
            <w:r w:rsidR="009249B0" w:rsidRPr="00A232EE">
              <w:rPr>
                <w:rFonts w:asciiTheme="majorHAnsi" w:eastAsia="Calibri" w:hAnsiTheme="majorHAnsi" w:cs="Arial"/>
                <w:szCs w:val="22"/>
                <w:lang w:val="en-US"/>
              </w:rPr>
              <w:t>accidents and incidents with the local population,</w:t>
            </w:r>
            <w:r w:rsidR="00604757" w:rsidRPr="00A232EE">
              <w:rPr>
                <w:rFonts w:asciiTheme="majorHAnsi" w:eastAsia="Calibri" w:hAnsiTheme="majorHAnsi" w:cs="Arial"/>
                <w:szCs w:val="22"/>
                <w:lang w:val="en-US"/>
              </w:rPr>
              <w:t xml:space="preserve"> including pedestrians, </w:t>
            </w:r>
            <w:r w:rsidR="006E1FA1" w:rsidRPr="00A232EE">
              <w:rPr>
                <w:rFonts w:asciiTheme="majorHAnsi" w:eastAsia="Calibri" w:hAnsiTheme="majorHAnsi" w:cs="Arial"/>
                <w:szCs w:val="22"/>
                <w:lang w:val="en-US"/>
              </w:rPr>
              <w:t>bicyclists</w:t>
            </w:r>
            <w:r w:rsidR="00604757" w:rsidRPr="00A232EE">
              <w:rPr>
                <w:rFonts w:asciiTheme="majorHAnsi" w:eastAsia="Calibri" w:hAnsiTheme="majorHAnsi" w:cs="Arial"/>
                <w:szCs w:val="22"/>
                <w:lang w:val="en-US"/>
              </w:rPr>
              <w:t>, and motorcycle users,</w:t>
            </w:r>
            <w:r w:rsidR="009249B0" w:rsidRPr="00A232EE">
              <w:rPr>
                <w:rFonts w:asciiTheme="majorHAnsi" w:eastAsia="Calibri" w:hAnsiTheme="majorHAnsi" w:cs="Arial"/>
                <w:szCs w:val="22"/>
                <w:lang w:val="en-US"/>
              </w:rPr>
              <w:t xml:space="preserve"> </w:t>
            </w:r>
            <w:r w:rsidR="00B946B0" w:rsidRPr="00A232EE">
              <w:rPr>
                <w:rFonts w:asciiTheme="majorHAnsi" w:eastAsia="Calibri" w:hAnsiTheme="majorHAnsi" w:cs="Arial"/>
                <w:szCs w:val="22"/>
                <w:lang w:val="en-US"/>
              </w:rPr>
              <w:t xml:space="preserve">particularly </w:t>
            </w:r>
            <w:r w:rsidR="009249B0" w:rsidRPr="00A232EE">
              <w:rPr>
                <w:rFonts w:asciiTheme="majorHAnsi" w:eastAsia="Calibri" w:hAnsiTheme="majorHAnsi" w:cs="Arial"/>
                <w:szCs w:val="22"/>
                <w:lang w:val="en-US"/>
              </w:rPr>
              <w:t xml:space="preserve">if appropriate road safety measures are not in place. </w:t>
            </w:r>
            <w:r w:rsidR="006E1FA1" w:rsidRPr="00A232EE">
              <w:rPr>
                <w:rFonts w:asciiTheme="majorHAnsi" w:eastAsia="Calibri" w:hAnsiTheme="majorHAnsi" w:cs="Arial"/>
                <w:szCs w:val="22"/>
                <w:lang w:val="en-US"/>
              </w:rPr>
              <w:t xml:space="preserve">The current designs lack sidewalks (particularly important in towns and </w:t>
            </w:r>
            <w:r w:rsidR="00234014" w:rsidRPr="00A232EE">
              <w:rPr>
                <w:rFonts w:asciiTheme="majorHAnsi" w:eastAsia="Calibri" w:hAnsiTheme="majorHAnsi" w:cs="Arial"/>
                <w:szCs w:val="22"/>
                <w:lang w:val="en-US"/>
              </w:rPr>
              <w:t>villages</w:t>
            </w:r>
            <w:r w:rsidR="006E1FA1" w:rsidRPr="00A232EE">
              <w:rPr>
                <w:rFonts w:asciiTheme="majorHAnsi" w:eastAsia="Calibri" w:hAnsiTheme="majorHAnsi" w:cs="Arial"/>
                <w:szCs w:val="22"/>
                <w:lang w:val="en-US"/>
              </w:rPr>
              <w:t xml:space="preserve"> by schools and bus stops), </w:t>
            </w:r>
            <w:r w:rsidR="00234014" w:rsidRPr="00A232EE">
              <w:rPr>
                <w:rFonts w:asciiTheme="majorHAnsi" w:eastAsia="Calibri" w:hAnsiTheme="majorHAnsi" w:cs="Arial"/>
                <w:szCs w:val="22"/>
                <w:lang w:val="en-US"/>
              </w:rPr>
              <w:t>and lack</w:t>
            </w:r>
            <w:r w:rsidR="006E1FA1" w:rsidRPr="00A232EE">
              <w:rPr>
                <w:rFonts w:asciiTheme="majorHAnsi" w:eastAsia="Calibri" w:hAnsiTheme="majorHAnsi" w:cs="Arial"/>
                <w:szCs w:val="22"/>
                <w:lang w:val="en-US"/>
              </w:rPr>
              <w:t xml:space="preserve"> detail</w:t>
            </w:r>
            <w:r w:rsidR="00B946B0" w:rsidRPr="00A232EE">
              <w:rPr>
                <w:rFonts w:asciiTheme="majorHAnsi" w:eastAsia="Calibri" w:hAnsiTheme="majorHAnsi" w:cs="Arial"/>
                <w:szCs w:val="22"/>
                <w:lang w:val="en-US"/>
              </w:rPr>
              <w:t>,</w:t>
            </w:r>
            <w:r w:rsidR="006E1FA1" w:rsidRPr="00A232EE">
              <w:rPr>
                <w:rFonts w:asciiTheme="majorHAnsi" w:eastAsia="Calibri" w:hAnsiTheme="majorHAnsi" w:cs="Arial"/>
                <w:szCs w:val="22"/>
                <w:lang w:val="en-US"/>
              </w:rPr>
              <w:t xml:space="preserve"> </w:t>
            </w:r>
            <w:r w:rsidR="00B946B0" w:rsidRPr="00A232EE">
              <w:rPr>
                <w:rFonts w:asciiTheme="majorHAnsi" w:eastAsia="Calibri" w:hAnsiTheme="majorHAnsi" w:cs="Arial"/>
                <w:szCs w:val="22"/>
                <w:lang w:val="en-US"/>
              </w:rPr>
              <w:t>especially</w:t>
            </w:r>
            <w:r w:rsidR="006E1FA1" w:rsidRPr="00A232EE">
              <w:rPr>
                <w:rFonts w:asciiTheme="majorHAnsi" w:eastAsia="Calibri" w:hAnsiTheme="majorHAnsi" w:cs="Arial"/>
                <w:szCs w:val="22"/>
                <w:lang w:val="en-US"/>
              </w:rPr>
              <w:t xml:space="preserve"> with respect to the final location of bus stops and crosswalks. </w:t>
            </w:r>
            <w:proofErr w:type="gramStart"/>
            <w:r w:rsidR="006E1FA1" w:rsidRPr="00A232EE">
              <w:rPr>
                <w:rFonts w:asciiTheme="majorHAnsi" w:eastAsia="Calibri" w:hAnsiTheme="majorHAnsi" w:cs="Arial"/>
                <w:szCs w:val="22"/>
                <w:lang w:val="en-US"/>
              </w:rPr>
              <w:t>In particular, the</w:t>
            </w:r>
            <w:proofErr w:type="gramEnd"/>
            <w:r w:rsidR="006E1FA1" w:rsidRPr="00A232EE">
              <w:rPr>
                <w:rFonts w:asciiTheme="majorHAnsi" w:eastAsia="Calibri" w:hAnsiTheme="majorHAnsi" w:cs="Arial"/>
                <w:szCs w:val="22"/>
                <w:lang w:val="en-US"/>
              </w:rPr>
              <w:t xml:space="preserve"> designs will require revision to address road safety measures (including but not limited to sidewalks, crosswalks, speed reduction measures) relative to </w:t>
            </w:r>
            <w:r w:rsidR="00234014" w:rsidRPr="00A232EE">
              <w:rPr>
                <w:rFonts w:asciiTheme="majorHAnsi" w:eastAsia="Calibri" w:hAnsiTheme="majorHAnsi" w:cs="Arial"/>
                <w:szCs w:val="22"/>
                <w:lang w:val="en-US"/>
              </w:rPr>
              <w:t xml:space="preserve">schools and bus stops. During the analysis </w:t>
            </w:r>
            <w:r w:rsidR="00234014" w:rsidRPr="00A232EE">
              <w:rPr>
                <w:rFonts w:asciiTheme="majorHAnsi" w:eastAsia="Calibri" w:hAnsiTheme="majorHAnsi" w:cs="Arial"/>
                <w:noProof/>
                <w:szCs w:val="22"/>
                <w:lang w:val="en-US"/>
              </w:rPr>
              <w:t>mission</w:t>
            </w:r>
            <w:r w:rsidR="00826753" w:rsidRPr="00A232EE">
              <w:rPr>
                <w:rFonts w:asciiTheme="majorHAnsi" w:eastAsia="Calibri" w:hAnsiTheme="majorHAnsi" w:cs="Arial"/>
                <w:noProof/>
                <w:szCs w:val="22"/>
                <w:lang w:val="en-US"/>
              </w:rPr>
              <w:t>,</w:t>
            </w:r>
            <w:r w:rsidR="00234014" w:rsidRPr="00A232EE">
              <w:rPr>
                <w:rFonts w:asciiTheme="majorHAnsi" w:eastAsia="Calibri" w:hAnsiTheme="majorHAnsi" w:cs="Arial"/>
                <w:szCs w:val="22"/>
                <w:lang w:val="en-US"/>
              </w:rPr>
              <w:t xml:space="preserve"> it was agreed that the Ministry of Works </w:t>
            </w:r>
            <w:r w:rsidR="00B946B0" w:rsidRPr="00A232EE">
              <w:rPr>
                <w:rFonts w:asciiTheme="majorHAnsi" w:eastAsia="Calibri" w:hAnsiTheme="majorHAnsi" w:cs="Arial"/>
                <w:szCs w:val="22"/>
                <w:lang w:val="en-US"/>
              </w:rPr>
              <w:t>will</w:t>
            </w:r>
            <w:r w:rsidR="00234014" w:rsidRPr="00A232EE">
              <w:rPr>
                <w:rFonts w:asciiTheme="majorHAnsi" w:eastAsia="Calibri" w:hAnsiTheme="majorHAnsi" w:cs="Arial"/>
                <w:szCs w:val="22"/>
                <w:lang w:val="en-US"/>
              </w:rPr>
              <w:t xml:space="preserve"> convene a meeting to discuss the location of the bus </w:t>
            </w:r>
            <w:r w:rsidR="00E540ED" w:rsidRPr="00A232EE">
              <w:rPr>
                <w:rFonts w:asciiTheme="majorHAnsi" w:eastAsia="Calibri" w:hAnsiTheme="majorHAnsi" w:cs="Arial"/>
                <w:szCs w:val="22"/>
                <w:lang w:val="en-US"/>
              </w:rPr>
              <w:t>stops and</w:t>
            </w:r>
            <w:r w:rsidR="00234014" w:rsidRPr="00A232EE">
              <w:rPr>
                <w:rFonts w:asciiTheme="majorHAnsi" w:eastAsia="Calibri" w:hAnsiTheme="majorHAnsi" w:cs="Arial"/>
                <w:szCs w:val="22"/>
                <w:lang w:val="en-US"/>
              </w:rPr>
              <w:t xml:space="preserve"> would review the designs to ensure that appropriate road safety measures are included.</w:t>
            </w:r>
            <w:r w:rsidR="00E3395A" w:rsidRPr="00A232EE">
              <w:rPr>
                <w:rFonts w:asciiTheme="majorHAnsi" w:eastAsia="Calibri" w:hAnsiTheme="majorHAnsi" w:cs="Arial"/>
                <w:szCs w:val="22"/>
                <w:lang w:val="en-US"/>
              </w:rPr>
              <w:t xml:space="preserve"> </w:t>
            </w:r>
            <w:r w:rsidR="00CB7113" w:rsidRPr="00A232EE">
              <w:rPr>
                <w:rFonts w:asciiTheme="majorHAnsi" w:eastAsia="Calibri" w:hAnsiTheme="majorHAnsi" w:cs="Arial"/>
                <w:szCs w:val="22"/>
                <w:lang w:val="en-US"/>
              </w:rPr>
              <w:t xml:space="preserve">Measures to address road safety are part of both the Corrective Action Plan for BL-L1019 (Annex E) and the ESMP for BL-L1029. </w:t>
            </w:r>
            <w:r w:rsidR="00E3395A" w:rsidRPr="00A232EE">
              <w:rPr>
                <w:rFonts w:asciiTheme="majorHAnsi" w:eastAsia="Calibri" w:hAnsiTheme="majorHAnsi" w:cs="Arial"/>
                <w:szCs w:val="22"/>
                <w:lang w:val="en-US"/>
              </w:rPr>
              <w:t xml:space="preserve">The ESMR will be updated to reflect this point before the distribution of the Loan Proposal to OPC. </w:t>
            </w:r>
            <w:r w:rsidR="00E3395A" w:rsidRPr="00547C7F">
              <w:rPr>
                <w:rFonts w:asciiTheme="majorHAnsi" w:eastAsia="Calibri" w:hAnsiTheme="majorHAnsi" w:cs="Arial"/>
                <w:szCs w:val="22"/>
                <w:lang w:val="en-US"/>
              </w:rPr>
              <w:t>The Bank wil</w:t>
            </w:r>
            <w:r w:rsidR="00E3395A" w:rsidRPr="00EF6E80">
              <w:rPr>
                <w:rFonts w:asciiTheme="majorHAnsi" w:eastAsia="Calibri" w:hAnsiTheme="majorHAnsi" w:cs="Arial"/>
                <w:szCs w:val="22"/>
                <w:lang w:val="en-US"/>
              </w:rPr>
              <w:t>l</w:t>
            </w:r>
            <w:r w:rsidR="00E3395A" w:rsidRPr="00547C7F">
              <w:rPr>
                <w:rFonts w:asciiTheme="majorHAnsi" w:eastAsia="Calibri" w:hAnsiTheme="majorHAnsi" w:cs="Arial"/>
                <w:szCs w:val="22"/>
                <w:lang w:val="en-US"/>
              </w:rPr>
              <w:t xml:space="preserve"> </w:t>
            </w:r>
            <w:r w:rsidR="00E3395A" w:rsidRPr="00EF6E80">
              <w:rPr>
                <w:rFonts w:asciiTheme="majorHAnsi" w:eastAsia="Calibri" w:hAnsiTheme="majorHAnsi" w:cs="Arial"/>
                <w:szCs w:val="22"/>
                <w:lang w:val="en-US"/>
              </w:rPr>
              <w:t xml:space="preserve">also </w:t>
            </w:r>
            <w:r w:rsidR="00E3395A" w:rsidRPr="00547C7F">
              <w:rPr>
                <w:rFonts w:asciiTheme="majorHAnsi" w:eastAsia="Calibri" w:hAnsiTheme="majorHAnsi" w:cs="Arial"/>
                <w:szCs w:val="22"/>
                <w:lang w:val="en-US"/>
              </w:rPr>
              <w:t xml:space="preserve">follow up this issue during project execution to ensure </w:t>
            </w:r>
            <w:proofErr w:type="spellStart"/>
            <w:r w:rsidR="00E3395A" w:rsidRPr="00547C7F">
              <w:rPr>
                <w:rFonts w:asciiTheme="majorHAnsi" w:eastAsia="Calibri" w:hAnsiTheme="majorHAnsi" w:cs="Arial"/>
                <w:szCs w:val="22"/>
                <w:lang w:val="en-US"/>
              </w:rPr>
              <w:t>thar</w:t>
            </w:r>
            <w:proofErr w:type="spellEnd"/>
            <w:r w:rsidR="00E3395A" w:rsidRPr="00547C7F">
              <w:rPr>
                <w:rFonts w:asciiTheme="majorHAnsi" w:eastAsia="Calibri" w:hAnsiTheme="majorHAnsi" w:cs="Arial"/>
                <w:szCs w:val="22"/>
                <w:lang w:val="en-US"/>
              </w:rPr>
              <w:t xml:space="preserve"> proper mitigation measures are implemented</w:t>
            </w:r>
            <w:r w:rsidR="00CB7113" w:rsidRPr="00EF6E80">
              <w:rPr>
                <w:rFonts w:asciiTheme="majorHAnsi" w:eastAsia="Calibri" w:hAnsiTheme="majorHAnsi" w:cs="Arial"/>
                <w:szCs w:val="22"/>
                <w:lang w:val="en-US"/>
              </w:rPr>
              <w:t>.</w:t>
            </w:r>
          </w:p>
          <w:p w14:paraId="42734BAA" w14:textId="77777777" w:rsidR="007268B7" w:rsidRPr="00557192" w:rsidRDefault="00FB1C88" w:rsidP="00B672B1">
            <w:pPr>
              <w:pStyle w:val="Paragraph"/>
              <w:tabs>
                <w:tab w:val="clear" w:pos="851"/>
                <w:tab w:val="num" w:pos="810"/>
              </w:tabs>
              <w:outlineLvl w:val="1"/>
              <w:rPr>
                <w:rFonts w:asciiTheme="majorHAnsi" w:eastAsia="Calibri" w:hAnsiTheme="majorHAnsi" w:cs="Arial"/>
                <w:szCs w:val="22"/>
                <w:lang w:val="en-US"/>
              </w:rPr>
            </w:pPr>
            <w:r w:rsidRPr="00941273">
              <w:rPr>
                <w:rFonts w:asciiTheme="majorHAnsi" w:eastAsia="Calibri" w:hAnsiTheme="majorHAnsi" w:cs="Arial"/>
                <w:b/>
                <w:szCs w:val="22"/>
                <w:lang w:val="en-US"/>
              </w:rPr>
              <w:t>Impacts to receiving environment</w:t>
            </w:r>
            <w:r w:rsidR="00F318E2" w:rsidRPr="00557192">
              <w:rPr>
                <w:rFonts w:asciiTheme="majorHAnsi" w:eastAsia="Calibri" w:hAnsiTheme="majorHAnsi" w:cs="Arial"/>
                <w:szCs w:val="22"/>
                <w:lang w:val="en-US"/>
              </w:rPr>
              <w:t xml:space="preserve">: </w:t>
            </w:r>
            <w:r w:rsidR="007268B7" w:rsidRPr="003F1CA2">
              <w:rPr>
                <w:rFonts w:asciiTheme="majorHAnsi" w:hAnsiTheme="majorHAnsi" w:cs="Arial"/>
                <w:szCs w:val="22"/>
                <w:lang w:val="en-US" w:eastAsia="en-US"/>
              </w:rPr>
              <w:t>Given the nature of the works, there will be standard construction impacts typical of road rehabilitation in rural areas (noise, dust, erosion, waste management, etc.). While these are considered mostly local and short-term negative impacts and for which effective mitigation measures are readily available</w:t>
            </w:r>
            <w:r w:rsidR="007268B7" w:rsidRPr="00EF6E80">
              <w:rPr>
                <w:rFonts w:asciiTheme="majorHAnsi" w:eastAsia="Calibri" w:hAnsiTheme="majorHAnsi" w:cs="Arial"/>
                <w:szCs w:val="22"/>
                <w:lang w:val="en-US"/>
              </w:rPr>
              <w:t xml:space="preserve">, to date a number of these measures, included in the original ESMP, and the Environmental Compliance Plan (issued by the </w:t>
            </w:r>
            <w:r w:rsidR="007268B7" w:rsidRPr="00941273">
              <w:rPr>
                <w:rFonts w:asciiTheme="majorHAnsi" w:eastAsia="Calibri" w:hAnsiTheme="majorHAnsi" w:cs="Arial"/>
                <w:szCs w:val="22"/>
                <w:lang w:val="en-US"/>
              </w:rPr>
              <w:t xml:space="preserve">Department of Environment), have not yet been implemented in Section I or II by the Construction contractors. These are requirements under the original loan (BL-L1019) and constitute non-compliances. </w:t>
            </w:r>
            <w:r w:rsidR="007B4A03" w:rsidRPr="00557192">
              <w:rPr>
                <w:rFonts w:asciiTheme="majorHAnsi" w:eastAsia="Calibri" w:hAnsiTheme="majorHAnsi" w:cs="Arial"/>
                <w:szCs w:val="22"/>
                <w:lang w:val="en-US"/>
              </w:rPr>
              <w:t>In addition, the original ESIA identified the potential risks posed by the project with respect to ongoing fragmentation of wildlife corridors in Belize, proposing 3 locations for wildlife crossings</w:t>
            </w:r>
            <w:r w:rsidR="00DF7A04" w:rsidRPr="00557192">
              <w:rPr>
                <w:rFonts w:asciiTheme="majorHAnsi" w:eastAsia="Calibri" w:hAnsiTheme="majorHAnsi" w:cs="Arial"/>
                <w:szCs w:val="22"/>
                <w:lang w:val="en-US"/>
              </w:rPr>
              <w:t>.</w:t>
            </w:r>
            <w:r w:rsidR="007B4A03" w:rsidRPr="00557192">
              <w:rPr>
                <w:rFonts w:asciiTheme="majorHAnsi" w:eastAsia="Calibri" w:hAnsiTheme="majorHAnsi" w:cs="Arial"/>
                <w:szCs w:val="22"/>
                <w:lang w:val="en-US"/>
              </w:rPr>
              <w:t xml:space="preserve"> </w:t>
            </w:r>
            <w:r w:rsidR="007268B7" w:rsidRPr="00557192">
              <w:rPr>
                <w:rFonts w:asciiTheme="majorHAnsi" w:eastAsia="Calibri" w:hAnsiTheme="majorHAnsi" w:cs="Arial"/>
                <w:szCs w:val="22"/>
                <w:lang w:val="en-US"/>
              </w:rPr>
              <w:t>Following the IDB</w:t>
            </w:r>
            <w:r w:rsidR="00B946B0" w:rsidRPr="00A232EE">
              <w:rPr>
                <w:rFonts w:asciiTheme="majorHAnsi" w:eastAsia="Calibri" w:hAnsiTheme="majorHAnsi" w:cs="Arial"/>
                <w:szCs w:val="22"/>
                <w:lang w:val="en-US"/>
              </w:rPr>
              <w:t>’</w:t>
            </w:r>
            <w:r w:rsidR="007268B7" w:rsidRPr="00A232EE">
              <w:rPr>
                <w:rFonts w:asciiTheme="majorHAnsi" w:eastAsia="Calibri" w:hAnsiTheme="majorHAnsi" w:cs="Arial"/>
                <w:szCs w:val="22"/>
                <w:lang w:val="en-US"/>
              </w:rPr>
              <w:t xml:space="preserve">s analysis mission, the Bank issued a Corrective Action Plan to the MOW for BL-L1019 </w:t>
            </w:r>
            <w:r w:rsidR="007268B7" w:rsidRPr="00EF6E80">
              <w:rPr>
                <w:rFonts w:asciiTheme="majorHAnsi" w:eastAsia="Calibri" w:hAnsiTheme="majorHAnsi" w:cs="Arial"/>
                <w:szCs w:val="22"/>
                <w:lang w:val="en-US"/>
              </w:rPr>
              <w:t xml:space="preserve">(See Annex </w:t>
            </w:r>
            <w:r w:rsidR="00A83F6E" w:rsidRPr="00EF6E80">
              <w:rPr>
                <w:rFonts w:asciiTheme="majorHAnsi" w:eastAsia="Calibri" w:hAnsiTheme="majorHAnsi" w:cs="Arial"/>
                <w:szCs w:val="22"/>
                <w:lang w:val="en-US"/>
              </w:rPr>
              <w:t>E</w:t>
            </w:r>
            <w:r w:rsidR="007268B7" w:rsidRPr="00EF6E80">
              <w:rPr>
                <w:rFonts w:asciiTheme="majorHAnsi" w:eastAsia="Calibri" w:hAnsiTheme="majorHAnsi" w:cs="Arial"/>
                <w:szCs w:val="22"/>
                <w:lang w:val="en-US"/>
              </w:rPr>
              <w:t>).</w:t>
            </w:r>
            <w:r w:rsidR="00781AF5" w:rsidRPr="00EF6E80">
              <w:rPr>
                <w:rFonts w:asciiTheme="majorHAnsi" w:eastAsia="Calibri" w:hAnsiTheme="majorHAnsi" w:cs="Arial"/>
                <w:szCs w:val="22"/>
                <w:lang w:val="en-US"/>
              </w:rPr>
              <w:t xml:space="preserve"> No transboundary impacts were identified as part of the socioenvironmental studies.</w:t>
            </w:r>
            <w:r w:rsidR="007268B7" w:rsidRPr="00941273">
              <w:rPr>
                <w:rFonts w:asciiTheme="majorHAnsi" w:eastAsia="Calibri" w:hAnsiTheme="majorHAnsi" w:cs="Arial"/>
                <w:szCs w:val="22"/>
                <w:lang w:val="en-US"/>
              </w:rPr>
              <w:t xml:space="preserve"> </w:t>
            </w:r>
            <w:r w:rsidR="007B4A03" w:rsidRPr="00941273">
              <w:rPr>
                <w:rFonts w:asciiTheme="majorHAnsi" w:eastAsia="Calibri" w:hAnsiTheme="majorHAnsi" w:cs="Arial"/>
                <w:szCs w:val="22"/>
                <w:lang w:val="en-US"/>
              </w:rPr>
              <w:t xml:space="preserve"> </w:t>
            </w:r>
          </w:p>
          <w:p w14:paraId="5C2A7F90" w14:textId="77777777" w:rsidR="00CC0F47" w:rsidRPr="00A232EE" w:rsidRDefault="00CF7039" w:rsidP="00D07AF0">
            <w:pPr>
              <w:pStyle w:val="Paragraph"/>
              <w:tabs>
                <w:tab w:val="clear" w:pos="851"/>
                <w:tab w:val="num" w:pos="810"/>
              </w:tabs>
              <w:outlineLvl w:val="1"/>
              <w:rPr>
                <w:rFonts w:asciiTheme="majorHAnsi" w:eastAsia="Calibri" w:hAnsiTheme="majorHAnsi" w:cs="Arial"/>
                <w:szCs w:val="22"/>
                <w:lang w:val="en-US"/>
              </w:rPr>
            </w:pPr>
            <w:r w:rsidRPr="00557192">
              <w:rPr>
                <w:rFonts w:asciiTheme="majorHAnsi" w:eastAsia="Calibri" w:hAnsiTheme="majorHAnsi" w:cs="Arial"/>
                <w:b/>
                <w:szCs w:val="22"/>
                <w:lang w:val="en-US"/>
              </w:rPr>
              <w:t>Disaster Risk</w:t>
            </w:r>
            <w:r w:rsidRPr="00557192">
              <w:rPr>
                <w:rFonts w:asciiTheme="majorHAnsi" w:eastAsia="Calibri" w:hAnsiTheme="majorHAnsi" w:cs="Arial"/>
                <w:szCs w:val="22"/>
                <w:lang w:val="en-US"/>
              </w:rPr>
              <w:t xml:space="preserve">: </w:t>
            </w:r>
            <w:r w:rsidR="00CC0F47" w:rsidRPr="00557192">
              <w:rPr>
                <w:rFonts w:asciiTheme="majorHAnsi" w:eastAsia="Calibri" w:hAnsiTheme="majorHAnsi" w:cs="Arial"/>
                <w:szCs w:val="22"/>
                <w:lang w:val="en-US"/>
              </w:rPr>
              <w:t>In terms of disaster risk management (type 1, those related to the risks posed to the project by natural disasters), due to the frequency of tropical storms which cause frequent flooding in the project area, the disaster risk is considered moderate. The pr</w:t>
            </w:r>
            <w:r w:rsidR="00CC0F47" w:rsidRPr="00A232EE">
              <w:rPr>
                <w:rFonts w:asciiTheme="majorHAnsi" w:eastAsia="Calibri" w:hAnsiTheme="majorHAnsi" w:cs="Arial"/>
                <w:szCs w:val="22"/>
                <w:lang w:val="en-US"/>
              </w:rPr>
              <w:t xml:space="preserve">oject itself is not expected to exacerbate these risks), rather reduce these, through the mitigation measures have been already included in the design of the road (i.e. raised </w:t>
            </w:r>
            <w:r w:rsidR="00CC0F47" w:rsidRPr="00A232EE">
              <w:rPr>
                <w:rFonts w:asciiTheme="majorHAnsi" w:eastAsia="Calibri" w:hAnsiTheme="majorHAnsi" w:cs="Arial"/>
                <w:noProof/>
                <w:szCs w:val="22"/>
                <w:lang w:val="en-US"/>
              </w:rPr>
              <w:t>elevation</w:t>
            </w:r>
            <w:r w:rsidR="00CC0F47" w:rsidRPr="00A232EE">
              <w:rPr>
                <w:rFonts w:asciiTheme="majorHAnsi" w:eastAsia="Calibri" w:hAnsiTheme="majorHAnsi" w:cs="Arial"/>
                <w:szCs w:val="22"/>
                <w:lang w:val="en-US"/>
              </w:rPr>
              <w:t xml:space="preserve"> of </w:t>
            </w:r>
            <w:r w:rsidR="00826753" w:rsidRPr="00A232EE">
              <w:rPr>
                <w:rFonts w:asciiTheme="majorHAnsi" w:eastAsia="Calibri" w:hAnsiTheme="majorHAnsi" w:cs="Arial"/>
                <w:szCs w:val="22"/>
                <w:lang w:val="en-US"/>
              </w:rPr>
              <w:t xml:space="preserve">the </w:t>
            </w:r>
            <w:r w:rsidR="00CC0F47" w:rsidRPr="00A232EE">
              <w:rPr>
                <w:rFonts w:asciiTheme="majorHAnsi" w:eastAsia="Calibri" w:hAnsiTheme="majorHAnsi" w:cs="Arial"/>
                <w:noProof/>
                <w:szCs w:val="22"/>
                <w:lang w:val="en-US"/>
              </w:rPr>
              <w:t>bridge</w:t>
            </w:r>
            <w:r w:rsidR="00CC0F47" w:rsidRPr="00A232EE">
              <w:rPr>
                <w:rFonts w:asciiTheme="majorHAnsi" w:eastAsia="Calibri" w:hAnsiTheme="majorHAnsi" w:cs="Arial"/>
                <w:szCs w:val="22"/>
                <w:lang w:val="en-US"/>
              </w:rPr>
              <w:t xml:space="preserve">, improved drainage). See section below “Disaster Risk Management” </w:t>
            </w:r>
          </w:p>
          <w:p w14:paraId="656CAA1A" w14:textId="77777777" w:rsidR="00F1459F" w:rsidRPr="00A232EE" w:rsidRDefault="006E1FA1" w:rsidP="00D07AF0">
            <w:pPr>
              <w:pStyle w:val="Paragraph"/>
              <w:tabs>
                <w:tab w:val="clear" w:pos="851"/>
                <w:tab w:val="num" w:pos="810"/>
              </w:tabs>
              <w:outlineLvl w:val="1"/>
              <w:rPr>
                <w:rFonts w:asciiTheme="majorHAnsi" w:eastAsia="Calibri" w:hAnsiTheme="majorHAnsi" w:cs="Arial"/>
                <w:szCs w:val="22"/>
                <w:lang w:val="en-US"/>
              </w:rPr>
            </w:pPr>
            <w:r w:rsidRPr="00A232EE">
              <w:rPr>
                <w:rFonts w:asciiTheme="majorHAnsi" w:eastAsia="Calibri" w:hAnsiTheme="majorHAnsi" w:cs="Arial"/>
                <w:b/>
                <w:szCs w:val="22"/>
                <w:lang w:val="en-US"/>
              </w:rPr>
              <w:t>Environmental and Social Risk.</w:t>
            </w:r>
            <w:r w:rsidRPr="00A232EE">
              <w:rPr>
                <w:rFonts w:asciiTheme="majorHAnsi" w:eastAsia="Calibri" w:hAnsiTheme="majorHAnsi" w:cs="Arial"/>
                <w:szCs w:val="22"/>
                <w:lang w:val="en-US"/>
              </w:rPr>
              <w:t xml:space="preserve"> </w:t>
            </w:r>
            <w:r w:rsidR="00322AC1" w:rsidRPr="00A232EE">
              <w:rPr>
                <w:rFonts w:asciiTheme="majorHAnsi" w:eastAsia="Calibri" w:hAnsiTheme="majorHAnsi" w:cs="Arial"/>
                <w:szCs w:val="22"/>
                <w:lang w:val="en-US"/>
              </w:rPr>
              <w:t>T</w:t>
            </w:r>
            <w:r w:rsidR="005C495F" w:rsidRPr="00A232EE">
              <w:rPr>
                <w:rFonts w:asciiTheme="majorHAnsi" w:eastAsia="Calibri" w:hAnsiTheme="majorHAnsi" w:cs="Arial"/>
                <w:szCs w:val="22"/>
                <w:lang w:val="en-US"/>
              </w:rPr>
              <w:t xml:space="preserve">he </w:t>
            </w:r>
            <w:r w:rsidR="00D07AF0" w:rsidRPr="00A232EE">
              <w:rPr>
                <w:rFonts w:asciiTheme="majorHAnsi" w:eastAsia="Calibri" w:hAnsiTheme="majorHAnsi" w:cs="Arial"/>
                <w:szCs w:val="22"/>
                <w:lang w:val="en-US"/>
              </w:rPr>
              <w:t xml:space="preserve">overall </w:t>
            </w:r>
            <w:r w:rsidR="005C495F" w:rsidRPr="00A232EE">
              <w:rPr>
                <w:rFonts w:asciiTheme="majorHAnsi" w:eastAsia="Calibri" w:hAnsiTheme="majorHAnsi" w:cs="Arial"/>
                <w:szCs w:val="22"/>
                <w:lang w:val="en-US"/>
              </w:rPr>
              <w:t>social and environmental risk of this project ha</w:t>
            </w:r>
            <w:r w:rsidR="00D07AF0" w:rsidRPr="00A232EE">
              <w:rPr>
                <w:rFonts w:asciiTheme="majorHAnsi" w:eastAsia="Calibri" w:hAnsiTheme="majorHAnsi" w:cs="Arial"/>
                <w:szCs w:val="22"/>
                <w:lang w:val="en-US"/>
              </w:rPr>
              <w:t>s</w:t>
            </w:r>
            <w:r w:rsidR="005C495F" w:rsidRPr="00A232EE">
              <w:rPr>
                <w:rFonts w:asciiTheme="majorHAnsi" w:eastAsia="Calibri" w:hAnsiTheme="majorHAnsi" w:cs="Arial"/>
                <w:szCs w:val="22"/>
                <w:lang w:val="en-US"/>
              </w:rPr>
              <w:t xml:space="preserve"> been assessed as moderate</w:t>
            </w:r>
            <w:r w:rsidR="005C495F" w:rsidRPr="00EF6E80">
              <w:rPr>
                <w:rFonts w:asciiTheme="majorHAnsi" w:eastAsia="Calibri" w:hAnsiTheme="majorHAnsi" w:cs="Arial"/>
                <w:szCs w:val="22"/>
                <w:lang w:val="en-US"/>
              </w:rPr>
              <w:t>,</w:t>
            </w:r>
            <w:r w:rsidR="00C81318" w:rsidRPr="00EF6E80">
              <w:rPr>
                <w:rFonts w:asciiTheme="majorHAnsi" w:eastAsia="Calibri" w:hAnsiTheme="majorHAnsi" w:cs="Arial"/>
                <w:szCs w:val="22"/>
                <w:lang w:val="en-US"/>
              </w:rPr>
              <w:t xml:space="preserve"> </w:t>
            </w:r>
            <w:r w:rsidR="00D07AF0" w:rsidRPr="00EF6E80">
              <w:rPr>
                <w:rFonts w:asciiTheme="majorHAnsi" w:eastAsia="Calibri" w:hAnsiTheme="majorHAnsi" w:cs="Arial"/>
                <w:szCs w:val="22"/>
                <w:lang w:val="en-US"/>
              </w:rPr>
              <w:t>due to</w:t>
            </w:r>
            <w:r w:rsidR="00E1652E" w:rsidRPr="00EF6E80">
              <w:rPr>
                <w:rFonts w:asciiTheme="majorHAnsi" w:eastAsia="Calibri" w:hAnsiTheme="majorHAnsi" w:cs="Arial"/>
                <w:szCs w:val="22"/>
                <w:lang w:val="en-US"/>
              </w:rPr>
              <w:t xml:space="preserve"> </w:t>
            </w:r>
            <w:r w:rsidR="00D07AF0" w:rsidRPr="00EF6E80">
              <w:rPr>
                <w:rFonts w:asciiTheme="majorHAnsi" w:eastAsia="Calibri" w:hAnsiTheme="majorHAnsi" w:cs="Arial"/>
                <w:szCs w:val="22"/>
                <w:lang w:val="en-US"/>
              </w:rPr>
              <w:t xml:space="preserve">(i) </w:t>
            </w:r>
            <w:r w:rsidR="00E1652E" w:rsidRPr="00EF6E80">
              <w:rPr>
                <w:rFonts w:asciiTheme="majorHAnsi" w:eastAsia="Calibri" w:hAnsiTheme="majorHAnsi" w:cs="Arial"/>
                <w:szCs w:val="22"/>
                <w:lang w:val="en-US"/>
              </w:rPr>
              <w:t xml:space="preserve">the limited scope of the impacts, </w:t>
            </w:r>
            <w:r w:rsidR="00A4793E" w:rsidRPr="00EF6E80">
              <w:rPr>
                <w:rFonts w:asciiTheme="majorHAnsi" w:eastAsia="Calibri" w:hAnsiTheme="majorHAnsi" w:cs="Arial"/>
                <w:szCs w:val="22"/>
                <w:lang w:val="en-US"/>
              </w:rPr>
              <w:t>particularly</w:t>
            </w:r>
            <w:r w:rsidR="00E1652E" w:rsidRPr="00EF6E80">
              <w:rPr>
                <w:rFonts w:asciiTheme="majorHAnsi" w:eastAsia="Calibri" w:hAnsiTheme="majorHAnsi" w:cs="Arial"/>
                <w:szCs w:val="22"/>
                <w:lang w:val="en-US"/>
              </w:rPr>
              <w:t xml:space="preserve"> the </w:t>
            </w:r>
            <w:r w:rsidR="00586149" w:rsidRPr="00EF6E80">
              <w:rPr>
                <w:rFonts w:asciiTheme="majorHAnsi" w:eastAsia="Calibri" w:hAnsiTheme="majorHAnsi" w:cs="Arial"/>
                <w:szCs w:val="22"/>
                <w:lang w:val="en-US"/>
              </w:rPr>
              <w:t xml:space="preserve">low number of </w:t>
            </w:r>
            <w:r w:rsidR="005C495F" w:rsidRPr="00EF6E80">
              <w:rPr>
                <w:rFonts w:asciiTheme="majorHAnsi" w:eastAsia="Calibri" w:hAnsiTheme="majorHAnsi" w:cs="Arial"/>
                <w:szCs w:val="22"/>
                <w:lang w:val="en-US"/>
              </w:rPr>
              <w:t>cases of physical and economic displacement, and the partial affectation of properties along the right of way</w:t>
            </w:r>
            <w:r w:rsidR="00D07AF0" w:rsidRPr="00EF6E80">
              <w:rPr>
                <w:rFonts w:asciiTheme="majorHAnsi" w:eastAsia="Calibri" w:hAnsiTheme="majorHAnsi" w:cs="Arial"/>
                <w:szCs w:val="22"/>
                <w:lang w:val="en-US"/>
              </w:rPr>
              <w:t>; and (ii) r</w:t>
            </w:r>
            <w:r w:rsidR="00D15383" w:rsidRPr="00EF6E80">
              <w:rPr>
                <w:rFonts w:asciiTheme="majorHAnsi" w:eastAsia="Calibri" w:hAnsiTheme="majorHAnsi" w:cs="Arial"/>
                <w:szCs w:val="22"/>
                <w:lang w:val="en-US"/>
              </w:rPr>
              <w:t>isks related to community health and safety, includ</w:t>
            </w:r>
            <w:r w:rsidR="00826753" w:rsidRPr="00941273">
              <w:rPr>
                <w:rFonts w:asciiTheme="majorHAnsi" w:eastAsia="Calibri" w:hAnsiTheme="majorHAnsi" w:cs="Arial"/>
                <w:szCs w:val="22"/>
                <w:lang w:val="en-US"/>
              </w:rPr>
              <w:t>ing</w:t>
            </w:r>
            <w:r w:rsidR="00D15383" w:rsidRPr="00941273">
              <w:rPr>
                <w:rFonts w:asciiTheme="majorHAnsi" w:eastAsia="Calibri" w:hAnsiTheme="majorHAnsi" w:cs="Arial"/>
                <w:szCs w:val="22"/>
                <w:lang w:val="en-US"/>
              </w:rPr>
              <w:t xml:space="preserve"> potential sexual harassment, </w:t>
            </w:r>
            <w:r w:rsidR="00D07AF0" w:rsidRPr="00557192">
              <w:rPr>
                <w:rFonts w:asciiTheme="majorHAnsi" w:eastAsia="Calibri" w:hAnsiTheme="majorHAnsi" w:cs="Arial"/>
                <w:szCs w:val="22"/>
                <w:lang w:val="en-US"/>
              </w:rPr>
              <w:t xml:space="preserve">which </w:t>
            </w:r>
            <w:r w:rsidR="00D15383" w:rsidRPr="00557192">
              <w:rPr>
                <w:rFonts w:asciiTheme="majorHAnsi" w:eastAsia="Calibri" w:hAnsiTheme="majorHAnsi" w:cs="Arial"/>
                <w:noProof/>
                <w:szCs w:val="22"/>
                <w:lang w:val="en-US"/>
              </w:rPr>
              <w:t>are</w:t>
            </w:r>
            <w:r w:rsidR="00D15383" w:rsidRPr="00557192">
              <w:rPr>
                <w:rFonts w:asciiTheme="majorHAnsi" w:eastAsia="Calibri" w:hAnsiTheme="majorHAnsi" w:cs="Arial"/>
                <w:szCs w:val="22"/>
                <w:lang w:val="en-US"/>
              </w:rPr>
              <w:t xml:space="preserve"> expected to be reduced by the appropriate implementation and monitoring of the mitigation measures. </w:t>
            </w:r>
            <w:r w:rsidR="005C495F" w:rsidRPr="00557192">
              <w:rPr>
                <w:rFonts w:asciiTheme="majorHAnsi" w:eastAsia="Calibri" w:hAnsiTheme="majorHAnsi" w:cs="Arial"/>
                <w:szCs w:val="22"/>
                <w:lang w:val="en-US"/>
              </w:rPr>
              <w:t xml:space="preserve">These issues </w:t>
            </w:r>
            <w:r w:rsidR="00C81318" w:rsidRPr="00557192">
              <w:rPr>
                <w:rFonts w:asciiTheme="majorHAnsi" w:eastAsia="Calibri" w:hAnsiTheme="majorHAnsi" w:cs="Arial"/>
                <w:szCs w:val="22"/>
                <w:lang w:val="en-US"/>
              </w:rPr>
              <w:t>were</w:t>
            </w:r>
            <w:r w:rsidR="005C495F" w:rsidRPr="00557192">
              <w:rPr>
                <w:rFonts w:asciiTheme="majorHAnsi" w:eastAsia="Calibri" w:hAnsiTheme="majorHAnsi" w:cs="Arial"/>
                <w:szCs w:val="22"/>
                <w:lang w:val="en-US"/>
              </w:rPr>
              <w:t xml:space="preserve"> </w:t>
            </w:r>
            <w:r w:rsidR="0067420F" w:rsidRPr="00A232EE">
              <w:rPr>
                <w:rFonts w:asciiTheme="majorHAnsi" w:eastAsia="Calibri" w:hAnsiTheme="majorHAnsi" w:cs="Arial"/>
                <w:szCs w:val="22"/>
                <w:lang w:val="en-US"/>
              </w:rPr>
              <w:t>analyzed</w:t>
            </w:r>
            <w:r w:rsidR="00890791" w:rsidRPr="00A232EE">
              <w:rPr>
                <w:rFonts w:asciiTheme="majorHAnsi" w:eastAsia="Calibri" w:hAnsiTheme="majorHAnsi" w:cs="Arial"/>
                <w:szCs w:val="22"/>
                <w:lang w:val="en-US"/>
              </w:rPr>
              <w:t>,</w:t>
            </w:r>
            <w:r w:rsidR="005C495F" w:rsidRPr="00A232EE">
              <w:rPr>
                <w:rFonts w:asciiTheme="majorHAnsi" w:eastAsia="Calibri" w:hAnsiTheme="majorHAnsi" w:cs="Arial"/>
                <w:szCs w:val="22"/>
                <w:lang w:val="en-US"/>
              </w:rPr>
              <w:t xml:space="preserve"> and </w:t>
            </w:r>
            <w:r w:rsidR="0067420F" w:rsidRPr="00A232EE">
              <w:rPr>
                <w:rFonts w:asciiTheme="majorHAnsi" w:eastAsia="Calibri" w:hAnsiTheme="majorHAnsi" w:cs="Arial"/>
                <w:szCs w:val="22"/>
                <w:lang w:val="en-US"/>
              </w:rPr>
              <w:t>strengthened</w:t>
            </w:r>
            <w:r w:rsidR="005C495F" w:rsidRPr="00A232EE">
              <w:rPr>
                <w:rFonts w:asciiTheme="majorHAnsi" w:eastAsia="Calibri" w:hAnsiTheme="majorHAnsi" w:cs="Arial"/>
                <w:szCs w:val="22"/>
                <w:lang w:val="en-US"/>
              </w:rPr>
              <w:t xml:space="preserve"> measures </w:t>
            </w:r>
            <w:r w:rsidR="00C81318" w:rsidRPr="00A232EE">
              <w:rPr>
                <w:rFonts w:asciiTheme="majorHAnsi" w:eastAsia="Calibri" w:hAnsiTheme="majorHAnsi" w:cs="Arial"/>
                <w:szCs w:val="22"/>
                <w:lang w:val="en-US"/>
              </w:rPr>
              <w:t>were</w:t>
            </w:r>
            <w:r w:rsidR="005C495F" w:rsidRPr="00A232EE">
              <w:rPr>
                <w:rFonts w:asciiTheme="majorHAnsi" w:eastAsia="Calibri" w:hAnsiTheme="majorHAnsi" w:cs="Arial"/>
                <w:szCs w:val="22"/>
                <w:lang w:val="en-US"/>
              </w:rPr>
              <w:t xml:space="preserve"> included in </w:t>
            </w:r>
            <w:r w:rsidR="00D07AF0" w:rsidRPr="00A232EE">
              <w:rPr>
                <w:rFonts w:asciiTheme="majorHAnsi" w:eastAsia="Calibri" w:hAnsiTheme="majorHAnsi" w:cs="Arial"/>
                <w:szCs w:val="22"/>
                <w:lang w:val="en-US"/>
              </w:rPr>
              <w:t>the</w:t>
            </w:r>
            <w:r w:rsidR="005C495F" w:rsidRPr="00A232EE">
              <w:rPr>
                <w:rFonts w:asciiTheme="majorHAnsi" w:eastAsia="Calibri" w:hAnsiTheme="majorHAnsi" w:cs="Arial"/>
                <w:szCs w:val="22"/>
                <w:lang w:val="en-US"/>
              </w:rPr>
              <w:t xml:space="preserve"> </w:t>
            </w:r>
            <w:r w:rsidR="00D07AF0" w:rsidRPr="00A232EE">
              <w:rPr>
                <w:rFonts w:asciiTheme="majorHAnsi" w:eastAsia="Calibri" w:hAnsiTheme="majorHAnsi" w:cs="Arial"/>
                <w:szCs w:val="22"/>
                <w:lang w:val="en-US"/>
              </w:rPr>
              <w:t xml:space="preserve">updated </w:t>
            </w:r>
            <w:r w:rsidR="005C495F" w:rsidRPr="00A232EE">
              <w:rPr>
                <w:rFonts w:asciiTheme="majorHAnsi" w:eastAsia="Calibri" w:hAnsiTheme="majorHAnsi" w:cs="Arial"/>
                <w:szCs w:val="22"/>
                <w:lang w:val="en-US"/>
              </w:rPr>
              <w:t>ESMP</w:t>
            </w:r>
            <w:r w:rsidR="00D15383" w:rsidRPr="00A232EE">
              <w:rPr>
                <w:rFonts w:asciiTheme="majorHAnsi" w:eastAsia="Calibri" w:hAnsiTheme="majorHAnsi" w:cs="Arial"/>
                <w:szCs w:val="22"/>
                <w:lang w:val="en-US"/>
              </w:rPr>
              <w:t xml:space="preserve">, </w:t>
            </w:r>
            <w:r w:rsidR="00D07AF0" w:rsidRPr="00A232EE">
              <w:rPr>
                <w:rFonts w:asciiTheme="majorHAnsi" w:eastAsia="Calibri" w:hAnsiTheme="majorHAnsi" w:cs="Arial"/>
                <w:szCs w:val="22"/>
                <w:lang w:val="en-US"/>
              </w:rPr>
              <w:t xml:space="preserve">and more specifically in </w:t>
            </w:r>
            <w:r w:rsidR="00D15383" w:rsidRPr="00A232EE">
              <w:rPr>
                <w:rFonts w:asciiTheme="majorHAnsi" w:eastAsia="Calibri" w:hAnsiTheme="majorHAnsi" w:cs="Arial"/>
                <w:szCs w:val="22"/>
                <w:lang w:val="en-US"/>
              </w:rPr>
              <w:t xml:space="preserve">the </w:t>
            </w:r>
            <w:r w:rsidR="00D07AF0" w:rsidRPr="00A232EE">
              <w:rPr>
                <w:rFonts w:asciiTheme="majorHAnsi" w:eastAsia="Calibri" w:hAnsiTheme="majorHAnsi" w:cs="Arial"/>
                <w:szCs w:val="22"/>
                <w:lang w:val="en-US"/>
              </w:rPr>
              <w:t>Resettlement and Livelihoods Plan and the G</w:t>
            </w:r>
            <w:r w:rsidR="00D15383" w:rsidRPr="00A232EE">
              <w:rPr>
                <w:rFonts w:asciiTheme="majorHAnsi" w:eastAsia="Calibri" w:hAnsiTheme="majorHAnsi" w:cs="Arial"/>
                <w:szCs w:val="22"/>
                <w:lang w:val="en-US"/>
              </w:rPr>
              <w:t xml:space="preserve">ender </w:t>
            </w:r>
            <w:r w:rsidR="00D07AF0" w:rsidRPr="00A232EE">
              <w:rPr>
                <w:rFonts w:asciiTheme="majorHAnsi" w:eastAsia="Calibri" w:hAnsiTheme="majorHAnsi" w:cs="Arial"/>
                <w:szCs w:val="22"/>
                <w:lang w:val="en-US"/>
              </w:rPr>
              <w:t>Action P</w:t>
            </w:r>
            <w:r w:rsidR="00D15383" w:rsidRPr="00A232EE">
              <w:rPr>
                <w:rFonts w:asciiTheme="majorHAnsi" w:eastAsia="Calibri" w:hAnsiTheme="majorHAnsi" w:cs="Arial"/>
                <w:szCs w:val="22"/>
                <w:lang w:val="en-US"/>
              </w:rPr>
              <w:t>lan</w:t>
            </w:r>
            <w:r w:rsidR="005C495F" w:rsidRPr="00A232EE">
              <w:rPr>
                <w:rFonts w:asciiTheme="majorHAnsi" w:eastAsia="Calibri" w:hAnsiTheme="majorHAnsi" w:cs="Arial"/>
                <w:szCs w:val="22"/>
                <w:lang w:val="en-US"/>
              </w:rPr>
              <w:t>.</w:t>
            </w:r>
            <w:r w:rsidR="00322AC1" w:rsidRPr="00A232EE">
              <w:rPr>
                <w:rFonts w:asciiTheme="majorHAnsi" w:eastAsia="Calibri" w:hAnsiTheme="majorHAnsi" w:cs="Arial"/>
                <w:szCs w:val="22"/>
                <w:lang w:val="en-US"/>
              </w:rPr>
              <w:t xml:space="preserve"> The contextual risk in which the project will operate </w:t>
            </w:r>
            <w:r w:rsidR="00D07AF0" w:rsidRPr="00A232EE">
              <w:rPr>
                <w:rFonts w:asciiTheme="majorHAnsi" w:eastAsia="Calibri" w:hAnsiTheme="majorHAnsi" w:cs="Arial"/>
                <w:szCs w:val="22"/>
                <w:lang w:val="en-US"/>
              </w:rPr>
              <w:t xml:space="preserve">is </w:t>
            </w:r>
            <w:r w:rsidR="00322AC1" w:rsidRPr="00A232EE">
              <w:rPr>
                <w:rFonts w:asciiTheme="majorHAnsi" w:eastAsia="Calibri" w:hAnsiTheme="majorHAnsi" w:cs="Arial"/>
                <w:szCs w:val="22"/>
                <w:lang w:val="en-US"/>
              </w:rPr>
              <w:t xml:space="preserve">low because it is a road that has been in operation since the 1930s, and where the rehabilitation works planned have the support of the local population. </w:t>
            </w:r>
            <w:r w:rsidR="00E1652E" w:rsidRPr="00A232EE">
              <w:rPr>
                <w:rFonts w:asciiTheme="majorHAnsi" w:eastAsia="Calibri" w:hAnsiTheme="majorHAnsi" w:cs="Arial"/>
                <w:szCs w:val="22"/>
                <w:lang w:val="en-US"/>
              </w:rPr>
              <w:t>In terms of institutional capacity</w:t>
            </w:r>
            <w:r w:rsidR="005C495F" w:rsidRPr="00A232EE">
              <w:rPr>
                <w:rFonts w:asciiTheme="majorHAnsi" w:eastAsia="Calibri" w:hAnsiTheme="majorHAnsi" w:cs="Arial"/>
                <w:szCs w:val="22"/>
                <w:lang w:val="en-US"/>
              </w:rPr>
              <w:t xml:space="preserve">, the executing unit does not have </w:t>
            </w:r>
            <w:r w:rsidR="00D07AF0" w:rsidRPr="00A232EE">
              <w:rPr>
                <w:rFonts w:asciiTheme="majorHAnsi" w:eastAsia="Calibri" w:hAnsiTheme="majorHAnsi" w:cs="Arial"/>
                <w:noProof/>
                <w:szCs w:val="22"/>
                <w:lang w:val="en-US"/>
              </w:rPr>
              <w:t>in</w:t>
            </w:r>
            <w:r w:rsidR="00826753" w:rsidRPr="00A232EE">
              <w:rPr>
                <w:rFonts w:asciiTheme="majorHAnsi" w:eastAsia="Calibri" w:hAnsiTheme="majorHAnsi" w:cs="Arial"/>
                <w:noProof/>
                <w:szCs w:val="22"/>
                <w:lang w:val="en-US"/>
              </w:rPr>
              <w:t>-</w:t>
            </w:r>
            <w:r w:rsidR="00D07AF0" w:rsidRPr="00A232EE">
              <w:rPr>
                <w:rFonts w:asciiTheme="majorHAnsi" w:eastAsia="Calibri" w:hAnsiTheme="majorHAnsi" w:cs="Arial"/>
                <w:noProof/>
                <w:szCs w:val="22"/>
                <w:lang w:val="en-US"/>
              </w:rPr>
              <w:t>house</w:t>
            </w:r>
            <w:r w:rsidR="005C495F" w:rsidRPr="00A232EE">
              <w:rPr>
                <w:rFonts w:asciiTheme="majorHAnsi" w:eastAsia="Calibri" w:hAnsiTheme="majorHAnsi" w:cs="Arial"/>
                <w:szCs w:val="22"/>
                <w:lang w:val="en-US"/>
              </w:rPr>
              <w:t xml:space="preserve"> social or environmental specialists (relying on the enforcement by the Belize Department of Environment</w:t>
            </w:r>
            <w:r w:rsidR="00D07AF0" w:rsidRPr="00A232EE">
              <w:rPr>
                <w:rFonts w:asciiTheme="majorHAnsi" w:eastAsia="Calibri" w:hAnsiTheme="majorHAnsi" w:cs="Arial"/>
                <w:szCs w:val="22"/>
                <w:lang w:val="en-US"/>
              </w:rPr>
              <w:t>- DOE</w:t>
            </w:r>
            <w:r w:rsidR="005C495F" w:rsidRPr="00A232EE">
              <w:rPr>
                <w:rFonts w:asciiTheme="majorHAnsi" w:eastAsia="Calibri" w:hAnsiTheme="majorHAnsi" w:cs="Arial"/>
                <w:szCs w:val="22"/>
                <w:lang w:val="en-US"/>
              </w:rPr>
              <w:t>), and the supervis</w:t>
            </w:r>
            <w:r w:rsidR="00E82B6A" w:rsidRPr="00A232EE">
              <w:rPr>
                <w:rFonts w:asciiTheme="majorHAnsi" w:eastAsia="Calibri" w:hAnsiTheme="majorHAnsi" w:cs="Arial"/>
                <w:szCs w:val="22"/>
                <w:lang w:val="en-US"/>
              </w:rPr>
              <w:t>i</w:t>
            </w:r>
            <w:r w:rsidR="005C495F" w:rsidRPr="00A232EE">
              <w:rPr>
                <w:rFonts w:asciiTheme="majorHAnsi" w:eastAsia="Calibri" w:hAnsiTheme="majorHAnsi" w:cs="Arial"/>
                <w:szCs w:val="22"/>
                <w:lang w:val="en-US"/>
              </w:rPr>
              <w:t xml:space="preserve">on </w:t>
            </w:r>
            <w:r w:rsidR="00D07AF0" w:rsidRPr="00A232EE">
              <w:rPr>
                <w:rFonts w:asciiTheme="majorHAnsi" w:eastAsia="Calibri" w:hAnsiTheme="majorHAnsi" w:cs="Arial"/>
                <w:szCs w:val="22"/>
                <w:lang w:val="en-US"/>
              </w:rPr>
              <w:t>contractor</w:t>
            </w:r>
            <w:r w:rsidR="005C495F" w:rsidRPr="00A232EE">
              <w:rPr>
                <w:rFonts w:asciiTheme="majorHAnsi" w:eastAsia="Calibri" w:hAnsiTheme="majorHAnsi" w:cs="Arial"/>
                <w:szCs w:val="22"/>
                <w:lang w:val="en-US"/>
              </w:rPr>
              <w:t xml:space="preserve"> </w:t>
            </w:r>
            <w:r w:rsidR="00D07AF0" w:rsidRPr="00A232EE">
              <w:rPr>
                <w:rFonts w:asciiTheme="majorHAnsi" w:eastAsia="Calibri" w:hAnsiTheme="majorHAnsi" w:cs="Arial"/>
                <w:szCs w:val="22"/>
                <w:lang w:val="en-US"/>
              </w:rPr>
              <w:t>for</w:t>
            </w:r>
            <w:r w:rsidR="005C495F" w:rsidRPr="00A232EE">
              <w:rPr>
                <w:rFonts w:asciiTheme="majorHAnsi" w:eastAsia="Calibri" w:hAnsiTheme="majorHAnsi" w:cs="Arial"/>
                <w:szCs w:val="22"/>
                <w:lang w:val="en-US"/>
              </w:rPr>
              <w:t xml:space="preserve"> the</w:t>
            </w:r>
            <w:r w:rsidR="00D07AF0" w:rsidRPr="00A232EE">
              <w:rPr>
                <w:rFonts w:asciiTheme="majorHAnsi" w:eastAsia="Calibri" w:hAnsiTheme="majorHAnsi" w:cs="Arial"/>
                <w:szCs w:val="22"/>
                <w:lang w:val="en-US"/>
              </w:rPr>
              <w:t xml:space="preserve"> </w:t>
            </w:r>
            <w:r w:rsidR="005C495F" w:rsidRPr="00A232EE">
              <w:rPr>
                <w:rFonts w:asciiTheme="majorHAnsi" w:eastAsia="Calibri" w:hAnsiTheme="majorHAnsi" w:cs="Arial"/>
                <w:szCs w:val="22"/>
                <w:lang w:val="en-US"/>
              </w:rPr>
              <w:t>project i</w:t>
            </w:r>
            <w:r w:rsidR="00D07AF0" w:rsidRPr="00A232EE">
              <w:rPr>
                <w:rFonts w:asciiTheme="majorHAnsi" w:eastAsia="Calibri" w:hAnsiTheme="majorHAnsi" w:cs="Arial"/>
                <w:szCs w:val="22"/>
                <w:lang w:val="en-US"/>
              </w:rPr>
              <w:t xml:space="preserve">ncludes one day a week of environmental monitoring (to date based on the requirements in the DOE Environmental Compliance Report, rather than the </w:t>
            </w:r>
            <w:r w:rsidR="00D07AF0" w:rsidRPr="00A232EE">
              <w:rPr>
                <w:rFonts w:asciiTheme="majorHAnsi" w:eastAsia="Calibri" w:hAnsiTheme="majorHAnsi" w:cs="Arial"/>
                <w:szCs w:val="22"/>
                <w:lang w:val="en-US"/>
              </w:rPr>
              <w:lastRenderedPageBreak/>
              <w:t>ESMP) and no social monitoring</w:t>
            </w:r>
            <w:r w:rsidR="005C495F" w:rsidRPr="00A232EE">
              <w:rPr>
                <w:rFonts w:asciiTheme="majorHAnsi" w:eastAsia="Calibri" w:hAnsiTheme="majorHAnsi" w:cs="Arial"/>
                <w:szCs w:val="22"/>
                <w:lang w:val="en-US"/>
              </w:rPr>
              <w:t>.</w:t>
            </w:r>
            <w:r w:rsidR="00E1652E" w:rsidRPr="00A232EE">
              <w:rPr>
                <w:rFonts w:asciiTheme="majorHAnsi" w:eastAsia="Calibri" w:hAnsiTheme="majorHAnsi" w:cs="Arial"/>
                <w:szCs w:val="22"/>
                <w:lang w:val="en-US"/>
              </w:rPr>
              <w:t xml:space="preserve"> Accordingly, th</w:t>
            </w:r>
            <w:r w:rsidR="00F1459F" w:rsidRPr="00A232EE">
              <w:rPr>
                <w:rFonts w:asciiTheme="majorHAnsi" w:eastAsia="Calibri" w:hAnsiTheme="majorHAnsi" w:cs="Arial"/>
                <w:szCs w:val="22"/>
                <w:lang w:val="en-US"/>
              </w:rPr>
              <w:t xml:space="preserve">is </w:t>
            </w:r>
            <w:r w:rsidR="00D07AF0" w:rsidRPr="00A232EE">
              <w:rPr>
                <w:rFonts w:asciiTheme="majorHAnsi" w:eastAsia="Calibri" w:hAnsiTheme="majorHAnsi" w:cs="Arial"/>
                <w:szCs w:val="22"/>
                <w:lang w:val="en-US"/>
              </w:rPr>
              <w:t xml:space="preserve">project </w:t>
            </w:r>
            <w:r w:rsidR="00F1459F" w:rsidRPr="00A232EE">
              <w:rPr>
                <w:rFonts w:asciiTheme="majorHAnsi" w:eastAsia="Calibri" w:hAnsiTheme="majorHAnsi" w:cs="Arial"/>
                <w:szCs w:val="22"/>
                <w:lang w:val="en-US"/>
              </w:rPr>
              <w:t>will include contractual provisions to ensure that the Executing Agency present</w:t>
            </w:r>
            <w:r w:rsidR="00E82B6A" w:rsidRPr="00A232EE">
              <w:rPr>
                <w:rFonts w:asciiTheme="majorHAnsi" w:eastAsia="Calibri" w:hAnsiTheme="majorHAnsi" w:cs="Arial"/>
                <w:szCs w:val="22"/>
                <w:lang w:val="en-US"/>
              </w:rPr>
              <w:t>s</w:t>
            </w:r>
            <w:r w:rsidR="00F1459F" w:rsidRPr="00A232EE">
              <w:rPr>
                <w:rFonts w:asciiTheme="majorHAnsi" w:eastAsia="Calibri" w:hAnsiTheme="majorHAnsi" w:cs="Arial"/>
                <w:szCs w:val="22"/>
                <w:lang w:val="en-US"/>
              </w:rPr>
              <w:t xml:space="preserve"> evidence that it has put in place the ESHS governance structure and has the resources to implement the ESHS requirements, including the environmental and social specialists needed to implement, oversee, and report on the implementation of the ESHS requirements, and plans, both within the MOW and the project’s supervision.</w:t>
            </w:r>
            <w:r w:rsidR="00961684" w:rsidRPr="00A232EE">
              <w:rPr>
                <w:rFonts w:asciiTheme="majorHAnsi" w:eastAsia="Calibri" w:hAnsiTheme="majorHAnsi" w:cs="Arial"/>
                <w:szCs w:val="22"/>
                <w:lang w:val="en-US"/>
              </w:rPr>
              <w:t xml:space="preserve"> The project includes </w:t>
            </w:r>
            <w:r w:rsidR="00961684" w:rsidRPr="00A232EE">
              <w:rPr>
                <w:rFonts w:asciiTheme="majorHAnsi" w:eastAsia="Calibri" w:hAnsiTheme="majorHAnsi" w:cs="Arial"/>
                <w:szCs w:val="22"/>
              </w:rPr>
              <w:t>a grievance redress mechanism</w:t>
            </w:r>
            <w:r w:rsidR="00CA24DC" w:rsidRPr="00A232EE">
              <w:rPr>
                <w:rFonts w:asciiTheme="majorHAnsi" w:eastAsia="Calibri" w:hAnsiTheme="majorHAnsi" w:cs="Arial"/>
                <w:szCs w:val="22"/>
              </w:rPr>
              <w:t xml:space="preserve"> as part of the ESMP.</w:t>
            </w:r>
          </w:p>
          <w:p w14:paraId="14C68BC7" w14:textId="77777777" w:rsidR="00A5644B" w:rsidRPr="00A232EE" w:rsidRDefault="003A3AAE" w:rsidP="00D07AF0">
            <w:pPr>
              <w:pStyle w:val="Paragraph"/>
              <w:tabs>
                <w:tab w:val="clear" w:pos="851"/>
                <w:tab w:val="num" w:pos="810"/>
              </w:tabs>
              <w:outlineLvl w:val="1"/>
              <w:rPr>
                <w:rFonts w:asciiTheme="majorHAnsi" w:eastAsia="Calibri" w:hAnsiTheme="majorHAnsi" w:cs="Arial"/>
                <w:szCs w:val="22"/>
                <w:lang w:val="en-US"/>
              </w:rPr>
            </w:pPr>
            <w:r w:rsidRPr="00A232EE">
              <w:rPr>
                <w:rFonts w:asciiTheme="majorHAnsi" w:eastAsia="Calibri" w:hAnsiTheme="majorHAnsi" w:cs="Arial"/>
                <w:szCs w:val="22"/>
                <w:lang w:val="en-US"/>
              </w:rPr>
              <w:t xml:space="preserve">The following instruments </w:t>
            </w:r>
            <w:r w:rsidR="002025DC" w:rsidRPr="00A232EE">
              <w:rPr>
                <w:rFonts w:asciiTheme="majorHAnsi" w:eastAsia="Calibri" w:hAnsiTheme="majorHAnsi" w:cs="Arial"/>
                <w:szCs w:val="22"/>
                <w:lang w:val="en-US"/>
              </w:rPr>
              <w:t>will be used</w:t>
            </w:r>
            <w:r w:rsidRPr="00A232EE">
              <w:rPr>
                <w:rFonts w:asciiTheme="majorHAnsi" w:eastAsia="Calibri" w:hAnsiTheme="majorHAnsi" w:cs="Arial"/>
                <w:szCs w:val="22"/>
                <w:lang w:val="en-US"/>
              </w:rPr>
              <w:t xml:space="preserve"> t</w:t>
            </w:r>
            <w:r w:rsidR="002E0C6C" w:rsidRPr="00A232EE">
              <w:rPr>
                <w:rFonts w:asciiTheme="majorHAnsi" w:eastAsia="Calibri" w:hAnsiTheme="majorHAnsi" w:cs="Arial"/>
                <w:szCs w:val="22"/>
                <w:lang w:val="en-US"/>
              </w:rPr>
              <w:t xml:space="preserve">o </w:t>
            </w:r>
            <w:r w:rsidRPr="00A232EE">
              <w:rPr>
                <w:rFonts w:asciiTheme="majorHAnsi" w:eastAsia="Calibri" w:hAnsiTheme="majorHAnsi" w:cs="Arial"/>
                <w:szCs w:val="22"/>
                <w:lang w:val="en-US"/>
              </w:rPr>
              <w:t>manage</w:t>
            </w:r>
            <w:r w:rsidR="002E0C6C" w:rsidRPr="00A232EE">
              <w:rPr>
                <w:rFonts w:asciiTheme="majorHAnsi" w:eastAsia="Calibri" w:hAnsiTheme="majorHAnsi" w:cs="Arial"/>
                <w:szCs w:val="22"/>
                <w:lang w:val="en-US"/>
              </w:rPr>
              <w:t xml:space="preserve"> the </w:t>
            </w:r>
            <w:r w:rsidR="002E0C6C" w:rsidRPr="00A232EE">
              <w:rPr>
                <w:rFonts w:asciiTheme="majorHAnsi" w:eastAsia="Calibri" w:hAnsiTheme="majorHAnsi" w:cs="Arial"/>
                <w:noProof/>
                <w:szCs w:val="22"/>
                <w:lang w:val="en-US"/>
              </w:rPr>
              <w:t>soci</w:t>
            </w:r>
            <w:r w:rsidR="002025DC" w:rsidRPr="00A232EE">
              <w:rPr>
                <w:rFonts w:asciiTheme="majorHAnsi" w:eastAsia="Calibri" w:hAnsiTheme="majorHAnsi" w:cs="Arial"/>
                <w:noProof/>
                <w:szCs w:val="22"/>
                <w:lang w:val="en-US"/>
              </w:rPr>
              <w:t>o</w:t>
            </w:r>
            <w:r w:rsidR="002E0C6C" w:rsidRPr="00A232EE">
              <w:rPr>
                <w:rFonts w:asciiTheme="majorHAnsi" w:eastAsia="Calibri" w:hAnsiTheme="majorHAnsi" w:cs="Arial"/>
                <w:noProof/>
                <w:szCs w:val="22"/>
                <w:lang w:val="en-US"/>
              </w:rPr>
              <w:t>environmental</w:t>
            </w:r>
            <w:r w:rsidR="002E0C6C" w:rsidRPr="00A232EE">
              <w:rPr>
                <w:rFonts w:asciiTheme="majorHAnsi" w:eastAsia="Calibri" w:hAnsiTheme="majorHAnsi" w:cs="Arial"/>
                <w:szCs w:val="22"/>
                <w:lang w:val="en-US"/>
              </w:rPr>
              <w:t xml:space="preserve"> impacts of </w:t>
            </w:r>
            <w:r w:rsidRPr="00A232EE">
              <w:rPr>
                <w:rFonts w:asciiTheme="majorHAnsi" w:eastAsia="Calibri" w:hAnsiTheme="majorHAnsi" w:cs="Arial"/>
                <w:szCs w:val="22"/>
                <w:lang w:val="en-US"/>
              </w:rPr>
              <w:t>this operation:</w:t>
            </w:r>
          </w:p>
          <w:p w14:paraId="1FED0D17" w14:textId="77777777" w:rsidR="002025DC" w:rsidRPr="00A232EE" w:rsidRDefault="00234014" w:rsidP="00D07AF0">
            <w:pPr>
              <w:pStyle w:val="ListParagraph"/>
              <w:numPr>
                <w:ilvl w:val="0"/>
                <w:numId w:val="17"/>
              </w:numPr>
              <w:spacing w:before="120" w:after="120"/>
              <w:jc w:val="both"/>
              <w:rPr>
                <w:rFonts w:asciiTheme="majorHAnsi" w:eastAsia="Calibri" w:hAnsiTheme="majorHAnsi" w:cs="Arial"/>
                <w:sz w:val="22"/>
                <w:szCs w:val="22"/>
                <w:lang w:eastAsia="it-IT"/>
              </w:rPr>
            </w:pPr>
            <w:r w:rsidRPr="00A232EE">
              <w:rPr>
                <w:rFonts w:asciiTheme="majorHAnsi" w:eastAsia="Calibri" w:hAnsiTheme="majorHAnsi" w:cs="Arial"/>
                <w:sz w:val="22"/>
                <w:szCs w:val="22"/>
                <w:lang w:eastAsia="it-IT"/>
              </w:rPr>
              <w:t>The</w:t>
            </w:r>
            <w:r w:rsidR="002025DC" w:rsidRPr="00A232EE">
              <w:rPr>
                <w:rFonts w:asciiTheme="majorHAnsi" w:eastAsia="Calibri" w:hAnsiTheme="majorHAnsi" w:cs="Arial"/>
                <w:sz w:val="22"/>
                <w:szCs w:val="22"/>
                <w:lang w:eastAsia="it-IT"/>
              </w:rPr>
              <w:t xml:space="preserve"> </w:t>
            </w:r>
            <w:r w:rsidR="002025DC" w:rsidRPr="00A232EE">
              <w:rPr>
                <w:rFonts w:asciiTheme="majorHAnsi" w:eastAsia="Calibri" w:hAnsiTheme="majorHAnsi" w:cs="Arial"/>
                <w:b/>
                <w:sz w:val="22"/>
                <w:szCs w:val="22"/>
                <w:lang w:eastAsia="it-IT"/>
              </w:rPr>
              <w:t>Environmental and Social Impact Assessment</w:t>
            </w:r>
            <w:r w:rsidR="002025DC" w:rsidRPr="00A232EE">
              <w:rPr>
                <w:rFonts w:asciiTheme="majorHAnsi" w:eastAsia="Calibri" w:hAnsiTheme="majorHAnsi" w:cs="Arial"/>
                <w:sz w:val="22"/>
                <w:szCs w:val="22"/>
                <w:lang w:eastAsia="it-IT"/>
              </w:rPr>
              <w:t xml:space="preserve"> (ESIA), prepared in 2014.</w:t>
            </w:r>
          </w:p>
          <w:p w14:paraId="641BDCE2" w14:textId="77777777" w:rsidR="003A3AAE" w:rsidRPr="00A232EE" w:rsidRDefault="00234014" w:rsidP="00D07AF0">
            <w:pPr>
              <w:pStyle w:val="ListParagraph"/>
              <w:numPr>
                <w:ilvl w:val="0"/>
                <w:numId w:val="17"/>
              </w:numPr>
              <w:spacing w:before="120" w:after="120"/>
              <w:jc w:val="both"/>
              <w:rPr>
                <w:rFonts w:asciiTheme="majorHAnsi" w:eastAsia="Calibri" w:hAnsiTheme="majorHAnsi" w:cs="Arial"/>
                <w:sz w:val="22"/>
                <w:szCs w:val="22"/>
                <w:lang w:eastAsia="it-IT"/>
              </w:rPr>
            </w:pPr>
            <w:r w:rsidRPr="00A232EE">
              <w:rPr>
                <w:rFonts w:asciiTheme="majorHAnsi" w:eastAsia="Calibri" w:hAnsiTheme="majorHAnsi" w:cs="Arial"/>
                <w:sz w:val="22"/>
                <w:szCs w:val="22"/>
                <w:lang w:eastAsia="it-IT"/>
              </w:rPr>
              <w:t>The</w:t>
            </w:r>
            <w:r w:rsidR="008F630F" w:rsidRPr="00A232EE">
              <w:rPr>
                <w:rFonts w:asciiTheme="majorHAnsi" w:eastAsia="Calibri" w:hAnsiTheme="majorHAnsi" w:cs="Arial"/>
                <w:sz w:val="22"/>
                <w:szCs w:val="22"/>
                <w:lang w:eastAsia="it-IT"/>
              </w:rPr>
              <w:t xml:space="preserve"> </w:t>
            </w:r>
            <w:r w:rsidR="003A3AAE" w:rsidRPr="00A232EE">
              <w:rPr>
                <w:rFonts w:asciiTheme="majorHAnsi" w:eastAsia="Calibri" w:hAnsiTheme="majorHAnsi" w:cs="Arial"/>
                <w:b/>
                <w:sz w:val="22"/>
                <w:szCs w:val="22"/>
                <w:lang w:eastAsia="it-IT"/>
              </w:rPr>
              <w:t>ESIA</w:t>
            </w:r>
            <w:r w:rsidR="007715FA" w:rsidRPr="00A232EE">
              <w:rPr>
                <w:rFonts w:asciiTheme="majorHAnsi" w:eastAsia="Calibri" w:hAnsiTheme="majorHAnsi" w:cs="Arial"/>
                <w:b/>
                <w:sz w:val="22"/>
                <w:szCs w:val="22"/>
                <w:lang w:eastAsia="it-IT"/>
              </w:rPr>
              <w:t xml:space="preserve"> Addendum</w:t>
            </w:r>
            <w:r w:rsidR="007715FA" w:rsidRPr="00A232EE">
              <w:rPr>
                <w:rFonts w:asciiTheme="majorHAnsi" w:eastAsia="Calibri" w:hAnsiTheme="majorHAnsi" w:cs="Arial"/>
                <w:sz w:val="22"/>
                <w:szCs w:val="22"/>
                <w:lang w:eastAsia="it-IT"/>
              </w:rPr>
              <w:t>, prepared in 2018</w:t>
            </w:r>
            <w:r w:rsidR="003A3AAE" w:rsidRPr="00A232EE">
              <w:rPr>
                <w:rFonts w:asciiTheme="majorHAnsi" w:eastAsia="Calibri" w:hAnsiTheme="majorHAnsi" w:cs="Arial"/>
                <w:sz w:val="22"/>
                <w:szCs w:val="22"/>
                <w:lang w:eastAsia="it-IT"/>
              </w:rPr>
              <w:t xml:space="preserve">: Since 2014, final designs of the road have been completed, and decisions </w:t>
            </w:r>
            <w:r w:rsidR="002025DC" w:rsidRPr="00A232EE">
              <w:rPr>
                <w:rFonts w:asciiTheme="majorHAnsi" w:eastAsia="Calibri" w:hAnsiTheme="majorHAnsi" w:cs="Arial"/>
                <w:sz w:val="22"/>
                <w:szCs w:val="22"/>
                <w:lang w:eastAsia="it-IT"/>
              </w:rPr>
              <w:t xml:space="preserve">based on those designs </w:t>
            </w:r>
            <w:r w:rsidR="003A3AAE" w:rsidRPr="00A232EE">
              <w:rPr>
                <w:rFonts w:asciiTheme="majorHAnsi" w:eastAsia="Calibri" w:hAnsiTheme="majorHAnsi" w:cs="Arial"/>
                <w:sz w:val="22"/>
                <w:szCs w:val="22"/>
                <w:lang w:eastAsia="it-IT"/>
              </w:rPr>
              <w:t xml:space="preserve">have been taken. As a result, the ESIA was complemented with </w:t>
            </w:r>
            <w:r w:rsidR="002025DC" w:rsidRPr="00A232EE">
              <w:rPr>
                <w:rFonts w:asciiTheme="majorHAnsi" w:eastAsia="Calibri" w:hAnsiTheme="majorHAnsi" w:cs="Arial"/>
                <w:sz w:val="22"/>
                <w:szCs w:val="22"/>
                <w:lang w:eastAsia="it-IT"/>
              </w:rPr>
              <w:t xml:space="preserve">the following </w:t>
            </w:r>
            <w:r w:rsidR="003A3AAE" w:rsidRPr="00A232EE">
              <w:rPr>
                <w:rFonts w:asciiTheme="majorHAnsi" w:eastAsia="Calibri" w:hAnsiTheme="majorHAnsi" w:cs="Arial"/>
                <w:sz w:val="22"/>
                <w:szCs w:val="22"/>
                <w:lang w:eastAsia="it-IT"/>
              </w:rPr>
              <w:t>additional analyses:</w:t>
            </w:r>
          </w:p>
          <w:p w14:paraId="1BF5A66A" w14:textId="77777777" w:rsidR="003A3AAE" w:rsidRPr="00A232EE" w:rsidRDefault="003A3AAE" w:rsidP="00A83F6E">
            <w:pPr>
              <w:pStyle w:val="ListParagraph"/>
              <w:numPr>
                <w:ilvl w:val="0"/>
                <w:numId w:val="53"/>
              </w:numPr>
              <w:spacing w:before="120" w:after="120"/>
              <w:ind w:left="1044"/>
              <w:jc w:val="both"/>
              <w:rPr>
                <w:rFonts w:asciiTheme="majorHAnsi" w:eastAsia="Calibri" w:hAnsiTheme="majorHAnsi" w:cs="Arial"/>
                <w:sz w:val="22"/>
                <w:szCs w:val="22"/>
                <w:lang w:eastAsia="it-IT"/>
              </w:rPr>
            </w:pPr>
            <w:r w:rsidRPr="00A232EE">
              <w:rPr>
                <w:rFonts w:asciiTheme="majorHAnsi" w:eastAsia="Calibri" w:hAnsiTheme="majorHAnsi" w:cs="Arial"/>
                <w:sz w:val="22"/>
                <w:szCs w:val="22"/>
                <w:lang w:eastAsia="it-IT"/>
              </w:rPr>
              <w:t xml:space="preserve">A sociocultural analysis (SCA) of the populations </w:t>
            </w:r>
            <w:proofErr w:type="gramStart"/>
            <w:r w:rsidRPr="00A232EE">
              <w:rPr>
                <w:rFonts w:asciiTheme="majorHAnsi" w:eastAsia="Calibri" w:hAnsiTheme="majorHAnsi" w:cs="Arial"/>
                <w:sz w:val="22"/>
                <w:szCs w:val="22"/>
                <w:lang w:eastAsia="it-IT"/>
              </w:rPr>
              <w:t>in the area of</w:t>
            </w:r>
            <w:proofErr w:type="gramEnd"/>
            <w:r w:rsidRPr="00A232EE">
              <w:rPr>
                <w:rFonts w:asciiTheme="majorHAnsi" w:eastAsia="Calibri" w:hAnsiTheme="majorHAnsi" w:cs="Arial"/>
                <w:sz w:val="22"/>
                <w:szCs w:val="22"/>
                <w:lang w:eastAsia="it-IT"/>
              </w:rPr>
              <w:t xml:space="preserve"> influence of the project</w:t>
            </w:r>
          </w:p>
          <w:p w14:paraId="39FE01F5" w14:textId="77777777" w:rsidR="003A3AAE" w:rsidRPr="00A232EE" w:rsidRDefault="003A3AAE" w:rsidP="00A83F6E">
            <w:pPr>
              <w:pStyle w:val="ListParagraph"/>
              <w:numPr>
                <w:ilvl w:val="0"/>
                <w:numId w:val="53"/>
              </w:numPr>
              <w:spacing w:before="120" w:after="120"/>
              <w:ind w:left="1044"/>
              <w:jc w:val="both"/>
              <w:rPr>
                <w:rFonts w:asciiTheme="majorHAnsi" w:eastAsia="Calibri" w:hAnsiTheme="majorHAnsi" w:cs="Arial"/>
                <w:sz w:val="22"/>
                <w:szCs w:val="22"/>
                <w:lang w:eastAsia="it-IT"/>
              </w:rPr>
            </w:pPr>
            <w:r w:rsidRPr="00A232EE">
              <w:rPr>
                <w:rFonts w:asciiTheme="majorHAnsi" w:eastAsia="Calibri" w:hAnsiTheme="majorHAnsi" w:cs="Arial"/>
                <w:sz w:val="22"/>
                <w:szCs w:val="22"/>
                <w:lang w:eastAsia="it-IT"/>
              </w:rPr>
              <w:t>A strengthened analysis of road safety</w:t>
            </w:r>
          </w:p>
          <w:p w14:paraId="609DD87D" w14:textId="77777777" w:rsidR="003A3AAE" w:rsidRPr="00A232EE" w:rsidRDefault="007715FA" w:rsidP="00D07AF0">
            <w:pPr>
              <w:pStyle w:val="ListParagraph"/>
              <w:numPr>
                <w:ilvl w:val="0"/>
                <w:numId w:val="17"/>
              </w:numPr>
              <w:spacing w:before="120" w:after="120"/>
              <w:jc w:val="both"/>
              <w:rPr>
                <w:rFonts w:asciiTheme="majorHAnsi" w:eastAsia="Calibri" w:hAnsiTheme="majorHAnsi" w:cs="Arial"/>
                <w:sz w:val="22"/>
                <w:szCs w:val="22"/>
                <w:lang w:eastAsia="it-IT"/>
              </w:rPr>
            </w:pPr>
            <w:r w:rsidRPr="00A232EE">
              <w:rPr>
                <w:rFonts w:asciiTheme="majorHAnsi" w:eastAsia="Calibri" w:hAnsiTheme="majorHAnsi" w:cs="Arial"/>
                <w:sz w:val="22"/>
                <w:szCs w:val="22"/>
                <w:lang w:eastAsia="it-IT"/>
              </w:rPr>
              <w:t>The</w:t>
            </w:r>
            <w:r w:rsidR="003A3AAE" w:rsidRPr="00A232EE">
              <w:rPr>
                <w:rFonts w:asciiTheme="majorHAnsi" w:eastAsia="Calibri" w:hAnsiTheme="majorHAnsi" w:cs="Arial"/>
                <w:sz w:val="22"/>
                <w:szCs w:val="22"/>
                <w:lang w:eastAsia="it-IT"/>
              </w:rPr>
              <w:t xml:space="preserve"> updated </w:t>
            </w:r>
            <w:r w:rsidR="003A3AAE" w:rsidRPr="00A232EE">
              <w:rPr>
                <w:rFonts w:asciiTheme="majorHAnsi" w:eastAsia="Calibri" w:hAnsiTheme="majorHAnsi" w:cs="Arial"/>
                <w:b/>
                <w:sz w:val="22"/>
                <w:szCs w:val="22"/>
                <w:lang w:eastAsia="it-IT"/>
              </w:rPr>
              <w:t>Environmental and Social Management Plan (ESMP):</w:t>
            </w:r>
            <w:r w:rsidR="003A3AAE" w:rsidRPr="00A232EE">
              <w:rPr>
                <w:rFonts w:asciiTheme="majorHAnsi" w:eastAsia="Calibri" w:hAnsiTheme="majorHAnsi" w:cs="Arial"/>
                <w:sz w:val="22"/>
                <w:szCs w:val="22"/>
                <w:lang w:eastAsia="it-IT"/>
              </w:rPr>
              <w:t xml:space="preserve"> Based on the existing and new data, the ESMP was updated, with an emphasis on these areas:</w:t>
            </w:r>
          </w:p>
          <w:p w14:paraId="22870E00" w14:textId="77777777" w:rsidR="003A3AAE" w:rsidRPr="00A232EE" w:rsidRDefault="003A3AAE" w:rsidP="00A83F6E">
            <w:pPr>
              <w:pStyle w:val="ListParagraph"/>
              <w:numPr>
                <w:ilvl w:val="0"/>
                <w:numId w:val="54"/>
              </w:numPr>
              <w:spacing w:before="120" w:after="120"/>
              <w:ind w:left="1044"/>
              <w:rPr>
                <w:rFonts w:asciiTheme="majorHAnsi" w:eastAsia="Calibri" w:hAnsiTheme="majorHAnsi" w:cs="Arial"/>
                <w:sz w:val="22"/>
                <w:szCs w:val="22"/>
                <w:lang w:eastAsia="it-IT"/>
              </w:rPr>
            </w:pPr>
            <w:r w:rsidRPr="00A232EE">
              <w:rPr>
                <w:rFonts w:asciiTheme="majorHAnsi" w:eastAsia="Calibri" w:hAnsiTheme="majorHAnsi" w:cs="Arial"/>
                <w:noProof/>
                <w:sz w:val="22"/>
                <w:szCs w:val="22"/>
                <w:lang w:eastAsia="it-IT"/>
              </w:rPr>
              <w:t>Updated</w:t>
            </w:r>
            <w:r w:rsidRPr="00A232EE">
              <w:rPr>
                <w:rFonts w:asciiTheme="majorHAnsi" w:eastAsia="Calibri" w:hAnsiTheme="majorHAnsi" w:cs="Arial"/>
                <w:sz w:val="22"/>
                <w:szCs w:val="22"/>
                <w:lang w:eastAsia="it-IT"/>
              </w:rPr>
              <w:t xml:space="preserve"> matrix of environmental and social impacts and risks</w:t>
            </w:r>
          </w:p>
          <w:p w14:paraId="3230E0A1" w14:textId="77777777" w:rsidR="003A3AAE" w:rsidRPr="00A232EE" w:rsidRDefault="003A3AAE" w:rsidP="00A83F6E">
            <w:pPr>
              <w:pStyle w:val="ListParagraph"/>
              <w:numPr>
                <w:ilvl w:val="0"/>
                <w:numId w:val="54"/>
              </w:numPr>
              <w:spacing w:before="120" w:after="120"/>
              <w:ind w:left="1044"/>
              <w:rPr>
                <w:rFonts w:asciiTheme="majorHAnsi" w:eastAsia="Calibri" w:hAnsiTheme="majorHAnsi" w:cs="Arial"/>
                <w:sz w:val="22"/>
                <w:szCs w:val="22"/>
                <w:lang w:eastAsia="it-IT"/>
              </w:rPr>
            </w:pPr>
            <w:r w:rsidRPr="00A232EE">
              <w:rPr>
                <w:rFonts w:asciiTheme="majorHAnsi" w:eastAsia="Calibri" w:hAnsiTheme="majorHAnsi" w:cs="Arial"/>
                <w:sz w:val="22"/>
                <w:szCs w:val="22"/>
                <w:lang w:eastAsia="it-IT"/>
              </w:rPr>
              <w:t>Measures intended for road safety</w:t>
            </w:r>
          </w:p>
          <w:p w14:paraId="18265709" w14:textId="77777777" w:rsidR="003A3AAE" w:rsidRPr="00A232EE" w:rsidRDefault="003A3AAE" w:rsidP="00A83F6E">
            <w:pPr>
              <w:pStyle w:val="ListParagraph"/>
              <w:numPr>
                <w:ilvl w:val="0"/>
                <w:numId w:val="54"/>
              </w:numPr>
              <w:spacing w:before="120" w:after="120"/>
              <w:ind w:left="1044"/>
              <w:rPr>
                <w:rFonts w:asciiTheme="majorHAnsi" w:eastAsia="Calibri" w:hAnsiTheme="majorHAnsi" w:cs="Arial"/>
                <w:sz w:val="22"/>
                <w:szCs w:val="22"/>
                <w:lang w:eastAsia="it-IT"/>
              </w:rPr>
            </w:pPr>
            <w:r w:rsidRPr="00A232EE">
              <w:rPr>
                <w:rFonts w:asciiTheme="majorHAnsi" w:eastAsia="Calibri" w:hAnsiTheme="majorHAnsi" w:cs="Arial"/>
                <w:sz w:val="22"/>
                <w:szCs w:val="22"/>
                <w:lang w:eastAsia="it-IT"/>
              </w:rPr>
              <w:t>Strengthened occupational and community health and safety measures</w:t>
            </w:r>
          </w:p>
          <w:p w14:paraId="11E59FE2" w14:textId="77777777" w:rsidR="003A3AAE" w:rsidRPr="00A232EE" w:rsidRDefault="003A3AAE" w:rsidP="00A83F6E">
            <w:pPr>
              <w:pStyle w:val="ListParagraph"/>
              <w:numPr>
                <w:ilvl w:val="0"/>
                <w:numId w:val="54"/>
              </w:numPr>
              <w:spacing w:before="120" w:after="120"/>
              <w:ind w:left="1044"/>
              <w:rPr>
                <w:rFonts w:asciiTheme="majorHAnsi" w:eastAsia="Calibri" w:hAnsiTheme="majorHAnsi" w:cs="Arial"/>
                <w:sz w:val="22"/>
                <w:szCs w:val="22"/>
                <w:lang w:eastAsia="it-IT"/>
              </w:rPr>
            </w:pPr>
            <w:r w:rsidRPr="00A232EE">
              <w:rPr>
                <w:rFonts w:asciiTheme="majorHAnsi" w:eastAsia="Calibri" w:hAnsiTheme="majorHAnsi" w:cs="Arial"/>
                <w:sz w:val="22"/>
                <w:szCs w:val="22"/>
                <w:lang w:eastAsia="it-IT"/>
              </w:rPr>
              <w:t>Expanded Disaster Risk Management mitigation measures</w:t>
            </w:r>
          </w:p>
          <w:p w14:paraId="313349A4" w14:textId="77777777" w:rsidR="003A3AAE" w:rsidRPr="00A232EE" w:rsidRDefault="003A3AAE" w:rsidP="00A83F6E">
            <w:pPr>
              <w:pStyle w:val="ListParagraph"/>
              <w:numPr>
                <w:ilvl w:val="0"/>
                <w:numId w:val="54"/>
              </w:numPr>
              <w:spacing w:before="120" w:after="120"/>
              <w:ind w:left="1044"/>
              <w:rPr>
                <w:rFonts w:asciiTheme="majorHAnsi" w:eastAsia="Calibri" w:hAnsiTheme="majorHAnsi" w:cs="Arial"/>
                <w:sz w:val="22"/>
                <w:szCs w:val="22"/>
                <w:lang w:eastAsia="it-IT"/>
              </w:rPr>
            </w:pPr>
            <w:r w:rsidRPr="00A232EE">
              <w:rPr>
                <w:rFonts w:asciiTheme="majorHAnsi" w:eastAsia="Calibri" w:hAnsiTheme="majorHAnsi" w:cs="Arial"/>
                <w:sz w:val="22"/>
                <w:szCs w:val="22"/>
                <w:lang w:eastAsia="it-IT"/>
              </w:rPr>
              <w:t>A gender strategy and action plan</w:t>
            </w:r>
          </w:p>
          <w:p w14:paraId="179CD652" w14:textId="77777777" w:rsidR="003A3AAE" w:rsidRPr="00A232EE" w:rsidRDefault="003A3AAE" w:rsidP="00A83F6E">
            <w:pPr>
              <w:pStyle w:val="ListParagraph"/>
              <w:numPr>
                <w:ilvl w:val="0"/>
                <w:numId w:val="54"/>
              </w:numPr>
              <w:spacing w:before="120" w:after="120"/>
              <w:ind w:left="1044"/>
              <w:rPr>
                <w:rFonts w:asciiTheme="majorHAnsi" w:eastAsia="Calibri" w:hAnsiTheme="majorHAnsi" w:cs="Arial"/>
                <w:sz w:val="22"/>
                <w:szCs w:val="22"/>
                <w:lang w:eastAsia="it-IT"/>
              </w:rPr>
            </w:pPr>
            <w:r w:rsidRPr="00A232EE">
              <w:rPr>
                <w:rFonts w:asciiTheme="majorHAnsi" w:eastAsia="Calibri" w:hAnsiTheme="majorHAnsi" w:cs="Arial"/>
                <w:sz w:val="22"/>
                <w:szCs w:val="22"/>
                <w:lang w:eastAsia="it-IT"/>
              </w:rPr>
              <w:t>Strengthened measures on labor practices (with a gender, youth, and rights perspective)</w:t>
            </w:r>
          </w:p>
          <w:p w14:paraId="76D6D50A" w14:textId="77777777" w:rsidR="003A3AAE" w:rsidRPr="00A232EE" w:rsidRDefault="003A3AAE" w:rsidP="00A83F6E">
            <w:pPr>
              <w:pStyle w:val="ListParagraph"/>
              <w:numPr>
                <w:ilvl w:val="0"/>
                <w:numId w:val="54"/>
              </w:numPr>
              <w:spacing w:before="120" w:after="120"/>
              <w:ind w:left="1044"/>
              <w:rPr>
                <w:rFonts w:asciiTheme="majorHAnsi" w:eastAsia="Calibri" w:hAnsiTheme="majorHAnsi" w:cs="Arial"/>
                <w:sz w:val="22"/>
                <w:szCs w:val="22"/>
                <w:lang w:eastAsia="it-IT"/>
              </w:rPr>
            </w:pPr>
            <w:r w:rsidRPr="00A232EE">
              <w:rPr>
                <w:rFonts w:asciiTheme="majorHAnsi" w:eastAsia="Calibri" w:hAnsiTheme="majorHAnsi" w:cs="Arial"/>
                <w:sz w:val="22"/>
                <w:szCs w:val="22"/>
                <w:lang w:eastAsia="it-IT"/>
              </w:rPr>
              <w:t>A grievance redress mechanism (strengthening the guidelines for the contractors, and identifying mechanisms to promote its practical adoption by the Executing Agency)</w:t>
            </w:r>
          </w:p>
          <w:p w14:paraId="2AB7C4E3" w14:textId="77777777" w:rsidR="003A3AAE" w:rsidRPr="00A232EE" w:rsidRDefault="003A3AAE" w:rsidP="00A83F6E">
            <w:pPr>
              <w:pStyle w:val="ListParagraph"/>
              <w:numPr>
                <w:ilvl w:val="0"/>
                <w:numId w:val="54"/>
              </w:numPr>
              <w:spacing w:before="120" w:after="120"/>
              <w:ind w:left="1044"/>
              <w:rPr>
                <w:rFonts w:asciiTheme="majorHAnsi" w:eastAsia="Calibri" w:hAnsiTheme="majorHAnsi" w:cs="Arial"/>
                <w:sz w:val="22"/>
                <w:szCs w:val="22"/>
                <w:lang w:eastAsia="it-IT"/>
              </w:rPr>
            </w:pPr>
            <w:r w:rsidRPr="00A232EE">
              <w:rPr>
                <w:rFonts w:asciiTheme="majorHAnsi" w:eastAsia="Calibri" w:hAnsiTheme="majorHAnsi" w:cs="Arial"/>
                <w:sz w:val="22"/>
                <w:szCs w:val="22"/>
                <w:lang w:eastAsia="it-IT"/>
              </w:rPr>
              <w:t>Measures to monitor potential impacts on archaeological heritage</w:t>
            </w:r>
          </w:p>
          <w:p w14:paraId="670913CD" w14:textId="77777777" w:rsidR="003A3AAE" w:rsidRPr="00A232EE" w:rsidRDefault="007715FA" w:rsidP="00E540ED">
            <w:pPr>
              <w:pStyle w:val="ListParagraph"/>
              <w:numPr>
                <w:ilvl w:val="0"/>
                <w:numId w:val="17"/>
              </w:numPr>
              <w:spacing w:before="120" w:after="120"/>
              <w:rPr>
                <w:rFonts w:asciiTheme="majorHAnsi" w:eastAsia="Calibri" w:hAnsiTheme="majorHAnsi" w:cs="Arial"/>
                <w:sz w:val="22"/>
                <w:szCs w:val="22"/>
                <w:lang w:eastAsia="it-IT"/>
              </w:rPr>
            </w:pPr>
            <w:r w:rsidRPr="00A232EE">
              <w:rPr>
                <w:rFonts w:asciiTheme="majorHAnsi" w:eastAsia="Calibri" w:hAnsiTheme="majorHAnsi" w:cs="Arial"/>
                <w:sz w:val="22"/>
                <w:szCs w:val="22"/>
                <w:lang w:eastAsia="it-IT"/>
              </w:rPr>
              <w:t>The</w:t>
            </w:r>
            <w:r w:rsidR="003A3AAE" w:rsidRPr="00A232EE">
              <w:rPr>
                <w:rFonts w:asciiTheme="majorHAnsi" w:eastAsia="Calibri" w:hAnsiTheme="majorHAnsi" w:cs="Arial"/>
                <w:sz w:val="22"/>
                <w:szCs w:val="22"/>
                <w:lang w:eastAsia="it-IT"/>
              </w:rPr>
              <w:t xml:space="preserve"> </w:t>
            </w:r>
            <w:r w:rsidR="008F630F" w:rsidRPr="00A232EE">
              <w:rPr>
                <w:rFonts w:asciiTheme="majorHAnsi" w:eastAsia="Calibri" w:hAnsiTheme="majorHAnsi" w:cs="Arial"/>
                <w:b/>
                <w:sz w:val="22"/>
                <w:szCs w:val="22"/>
                <w:lang w:eastAsia="it-IT"/>
              </w:rPr>
              <w:t>C</w:t>
            </w:r>
            <w:r w:rsidR="003A3AAE" w:rsidRPr="00A232EE">
              <w:rPr>
                <w:rFonts w:asciiTheme="majorHAnsi" w:eastAsia="Calibri" w:hAnsiTheme="majorHAnsi" w:cs="Arial"/>
                <w:b/>
                <w:sz w:val="22"/>
                <w:szCs w:val="22"/>
                <w:lang w:eastAsia="it-IT"/>
              </w:rPr>
              <w:t xml:space="preserve">onsultation </w:t>
            </w:r>
            <w:r w:rsidR="008F630F" w:rsidRPr="00A232EE">
              <w:rPr>
                <w:rFonts w:asciiTheme="majorHAnsi" w:eastAsia="Calibri" w:hAnsiTheme="majorHAnsi" w:cs="Arial"/>
                <w:b/>
                <w:sz w:val="22"/>
                <w:szCs w:val="22"/>
                <w:lang w:eastAsia="it-IT"/>
              </w:rPr>
              <w:t>and Stakeholder Engagement Plan</w:t>
            </w:r>
            <w:r w:rsidR="003A3AAE" w:rsidRPr="00A232EE">
              <w:rPr>
                <w:rFonts w:asciiTheme="majorHAnsi" w:eastAsia="Calibri" w:hAnsiTheme="majorHAnsi" w:cs="Arial"/>
                <w:sz w:val="22"/>
                <w:szCs w:val="22"/>
                <w:lang w:eastAsia="it-IT"/>
              </w:rPr>
              <w:t>. The scope and details of this plan are explained in the section on “Consultation.”</w:t>
            </w:r>
          </w:p>
          <w:p w14:paraId="6249896B" w14:textId="77777777" w:rsidR="00932FA6" w:rsidRPr="00547C7F" w:rsidRDefault="007715FA" w:rsidP="00E540ED">
            <w:pPr>
              <w:pStyle w:val="ListParagraph"/>
              <w:numPr>
                <w:ilvl w:val="0"/>
                <w:numId w:val="17"/>
              </w:numPr>
              <w:spacing w:before="120" w:after="120"/>
              <w:rPr>
                <w:rFonts w:asciiTheme="majorHAnsi" w:hAnsiTheme="majorHAnsi"/>
                <w:sz w:val="22"/>
                <w:szCs w:val="22"/>
                <w:shd w:val="clear" w:color="auto" w:fill="FFFFFF"/>
                <w:lang w:val="it-IT"/>
              </w:rPr>
            </w:pPr>
            <w:r w:rsidRPr="00A232EE">
              <w:rPr>
                <w:rFonts w:asciiTheme="majorHAnsi" w:eastAsia="Calibri" w:hAnsiTheme="majorHAnsi" w:cs="Arial"/>
                <w:sz w:val="22"/>
                <w:szCs w:val="22"/>
                <w:lang w:eastAsia="it-IT"/>
              </w:rPr>
              <w:t>The</w:t>
            </w:r>
            <w:r w:rsidR="003A3AAE" w:rsidRPr="00A232EE">
              <w:rPr>
                <w:rFonts w:asciiTheme="majorHAnsi" w:eastAsia="Calibri" w:hAnsiTheme="majorHAnsi" w:cs="Arial"/>
                <w:sz w:val="22"/>
                <w:szCs w:val="22"/>
                <w:lang w:eastAsia="it-IT"/>
              </w:rPr>
              <w:t xml:space="preserve"> </w:t>
            </w:r>
            <w:r w:rsidR="008478B1" w:rsidRPr="00A232EE">
              <w:rPr>
                <w:rFonts w:asciiTheme="majorHAnsi" w:eastAsia="Calibri" w:hAnsiTheme="majorHAnsi" w:cs="Arial"/>
                <w:b/>
                <w:sz w:val="22"/>
                <w:szCs w:val="22"/>
                <w:lang w:eastAsia="it-IT"/>
              </w:rPr>
              <w:t>R</w:t>
            </w:r>
            <w:r w:rsidR="003A3AAE" w:rsidRPr="00A232EE">
              <w:rPr>
                <w:rFonts w:asciiTheme="majorHAnsi" w:eastAsia="Calibri" w:hAnsiTheme="majorHAnsi" w:cs="Arial"/>
                <w:b/>
                <w:sz w:val="22"/>
                <w:szCs w:val="22"/>
                <w:lang w:eastAsia="it-IT"/>
              </w:rPr>
              <w:t xml:space="preserve">esettlement and </w:t>
            </w:r>
            <w:r w:rsidR="008478B1" w:rsidRPr="00A232EE">
              <w:rPr>
                <w:rFonts w:asciiTheme="majorHAnsi" w:eastAsia="Calibri" w:hAnsiTheme="majorHAnsi" w:cs="Arial"/>
                <w:b/>
                <w:sz w:val="22"/>
                <w:szCs w:val="22"/>
                <w:lang w:eastAsia="it-IT"/>
              </w:rPr>
              <w:t>L</w:t>
            </w:r>
            <w:r w:rsidR="003A3AAE" w:rsidRPr="00A232EE">
              <w:rPr>
                <w:rFonts w:asciiTheme="majorHAnsi" w:eastAsia="Calibri" w:hAnsiTheme="majorHAnsi" w:cs="Arial"/>
                <w:b/>
                <w:sz w:val="22"/>
                <w:szCs w:val="22"/>
                <w:lang w:eastAsia="it-IT"/>
              </w:rPr>
              <w:t xml:space="preserve">ivelihoods </w:t>
            </w:r>
            <w:r w:rsidR="008478B1" w:rsidRPr="00A232EE">
              <w:rPr>
                <w:rFonts w:asciiTheme="majorHAnsi" w:eastAsia="Calibri" w:hAnsiTheme="majorHAnsi" w:cs="Arial"/>
                <w:b/>
                <w:sz w:val="22"/>
                <w:szCs w:val="22"/>
                <w:lang w:eastAsia="it-IT"/>
              </w:rPr>
              <w:t>R</w:t>
            </w:r>
            <w:r w:rsidR="003A3AAE" w:rsidRPr="00A232EE">
              <w:rPr>
                <w:rFonts w:asciiTheme="majorHAnsi" w:eastAsia="Calibri" w:hAnsiTheme="majorHAnsi" w:cs="Arial"/>
                <w:b/>
                <w:sz w:val="22"/>
                <w:szCs w:val="22"/>
                <w:lang w:eastAsia="it-IT"/>
              </w:rPr>
              <w:t xml:space="preserve">estoration </w:t>
            </w:r>
            <w:r w:rsidR="008478B1" w:rsidRPr="00A232EE">
              <w:rPr>
                <w:rFonts w:asciiTheme="majorHAnsi" w:eastAsia="Calibri" w:hAnsiTheme="majorHAnsi" w:cs="Arial"/>
                <w:b/>
                <w:sz w:val="22"/>
                <w:szCs w:val="22"/>
                <w:lang w:eastAsia="it-IT"/>
              </w:rPr>
              <w:t>P</w:t>
            </w:r>
            <w:r w:rsidR="003A3AAE" w:rsidRPr="00A232EE">
              <w:rPr>
                <w:rFonts w:asciiTheme="majorHAnsi" w:eastAsia="Calibri" w:hAnsiTheme="majorHAnsi" w:cs="Arial"/>
                <w:b/>
                <w:sz w:val="22"/>
                <w:szCs w:val="22"/>
                <w:lang w:eastAsia="it-IT"/>
              </w:rPr>
              <w:t>lan</w:t>
            </w:r>
            <w:r w:rsidR="003A3AAE" w:rsidRPr="00A232EE">
              <w:rPr>
                <w:rFonts w:asciiTheme="majorHAnsi" w:eastAsia="Calibri" w:hAnsiTheme="majorHAnsi" w:cs="Arial"/>
                <w:sz w:val="22"/>
                <w:szCs w:val="22"/>
                <w:lang w:eastAsia="it-IT"/>
              </w:rPr>
              <w:t>. The scope and details of this plan are explained in the section on “Livelihoods and Resettlement.”</w:t>
            </w:r>
          </w:p>
        </w:tc>
      </w:tr>
      <w:tr w:rsidR="00D632E9" w:rsidRPr="001C38FF" w14:paraId="5134696B" w14:textId="77777777" w:rsidTr="3EFF9F7B">
        <w:trPr>
          <w:trHeight w:val="236"/>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15" w:type="dxa"/>
              <w:left w:w="105" w:type="dxa"/>
              <w:bottom w:w="15" w:type="dxa"/>
              <w:right w:w="105" w:type="dxa"/>
            </w:tcMar>
            <w:vAlign w:val="center"/>
          </w:tcPr>
          <w:p w14:paraId="6FE7CB2D" w14:textId="77777777" w:rsidR="00D632E9" w:rsidRPr="006F7063" w:rsidRDefault="00D632E9" w:rsidP="006F7063">
            <w:pPr>
              <w:ind w:right="165"/>
              <w:jc w:val="both"/>
              <w:rPr>
                <w:rFonts w:ascii="Arial" w:eastAsia="Times New Roman" w:hAnsi="Arial" w:cs="Arial"/>
                <w:b/>
                <w:sz w:val="22"/>
                <w:szCs w:val="22"/>
                <w:shd w:val="clear" w:color="auto" w:fill="FFFFFF"/>
              </w:rPr>
            </w:pPr>
            <w:r w:rsidRPr="006F7063">
              <w:rPr>
                <w:rFonts w:ascii="Arial" w:eastAsia="Times New Roman" w:hAnsi="Arial" w:cs="Arial"/>
                <w:b/>
                <w:sz w:val="22"/>
                <w:szCs w:val="22"/>
              </w:rPr>
              <w:lastRenderedPageBreak/>
              <w:t>Livelihoods and Resettlement</w:t>
            </w:r>
          </w:p>
          <w:p w14:paraId="2A6A75C2" w14:textId="77777777" w:rsidR="00D632E9" w:rsidRPr="006F7063" w:rsidRDefault="00D632E9" w:rsidP="006F7063">
            <w:pPr>
              <w:ind w:right="165"/>
              <w:jc w:val="both"/>
              <w:rPr>
                <w:rFonts w:ascii="Arial" w:eastAsia="Times New Roman" w:hAnsi="Arial" w:cs="Arial"/>
                <w:sz w:val="22"/>
                <w:szCs w:val="22"/>
                <w:shd w:val="clear" w:color="auto" w:fill="FFFFFF"/>
              </w:rPr>
            </w:pPr>
            <w:r w:rsidRPr="006F7063">
              <w:rPr>
                <w:rFonts w:ascii="Arial" w:eastAsia="Times New Roman" w:hAnsi="Arial" w:cs="Arial"/>
                <w:sz w:val="22"/>
                <w:szCs w:val="22"/>
              </w:rPr>
              <w:t>OP-710</w:t>
            </w:r>
            <w:r w:rsidR="008966A4" w:rsidRPr="006F7063">
              <w:rPr>
                <w:rFonts w:ascii="Arial" w:eastAsia="Times New Roman" w:hAnsi="Arial" w:cs="Arial"/>
                <w:sz w:val="22"/>
                <w:szCs w:val="22"/>
              </w:rPr>
              <w:t xml:space="preserve"> (Involuntary Resettlement Policy)</w:t>
            </w:r>
          </w:p>
        </w:tc>
      </w:tr>
      <w:tr w:rsidR="00D632E9" w:rsidRPr="001C38FF" w14:paraId="134A040D" w14:textId="77777777" w:rsidTr="3EFF9F7B">
        <w:trPr>
          <w:trHeight w:val="236"/>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62BD14D2" w14:textId="77777777" w:rsidR="004D48D1" w:rsidRPr="00EF6E80" w:rsidRDefault="004D48D1" w:rsidP="004D48D1">
            <w:pPr>
              <w:pStyle w:val="Paragraph"/>
              <w:tabs>
                <w:tab w:val="clear" w:pos="851"/>
                <w:tab w:val="num" w:pos="810"/>
              </w:tabs>
              <w:outlineLvl w:val="1"/>
              <w:rPr>
                <w:rFonts w:asciiTheme="majorHAnsi" w:eastAsia="Calibri" w:hAnsiTheme="majorHAnsi" w:cs="Arial"/>
                <w:szCs w:val="22"/>
                <w:lang w:val="en-US"/>
              </w:rPr>
            </w:pPr>
            <w:r w:rsidRPr="00EF6E80">
              <w:rPr>
                <w:rFonts w:asciiTheme="majorHAnsi" w:eastAsia="Calibri" w:hAnsiTheme="majorHAnsi" w:cs="Arial"/>
                <w:szCs w:val="22"/>
                <w:lang w:val="en-US"/>
              </w:rPr>
              <w:t>This project will involve: (i) the involuntary displacement of 2 residential dwellings of vulnerable people</w:t>
            </w:r>
            <w:r w:rsidR="00586149" w:rsidRPr="00EF6E80">
              <w:rPr>
                <w:rFonts w:asciiTheme="majorHAnsi" w:eastAsia="Calibri" w:hAnsiTheme="majorHAnsi" w:cs="Arial"/>
                <w:szCs w:val="22"/>
                <w:lang w:val="en-US"/>
              </w:rPr>
              <w:t xml:space="preserve"> , including one family of renters and one individual</w:t>
            </w:r>
            <w:r w:rsidRPr="00941273">
              <w:rPr>
                <w:rFonts w:asciiTheme="majorHAnsi" w:eastAsia="Calibri" w:hAnsiTheme="majorHAnsi" w:cs="Arial"/>
                <w:szCs w:val="22"/>
                <w:lang w:val="en-US"/>
              </w:rPr>
              <w:t>; (ii) the partial affectation of the land of 13 parcels located along the right of way; (iii) impacts to assets in 8 cases</w:t>
            </w:r>
            <w:r w:rsidR="00586149" w:rsidRPr="00557192">
              <w:rPr>
                <w:rFonts w:asciiTheme="majorHAnsi" w:eastAsia="Calibri" w:hAnsiTheme="majorHAnsi" w:cs="Arial"/>
                <w:szCs w:val="22"/>
                <w:lang w:val="en-US"/>
              </w:rPr>
              <w:t xml:space="preserve">, which includes </w:t>
            </w:r>
            <w:r w:rsidR="00F02F76" w:rsidRPr="00557192">
              <w:rPr>
                <w:rFonts w:asciiTheme="majorHAnsi" w:eastAsia="Calibri" w:hAnsiTheme="majorHAnsi" w:cs="Arial"/>
                <w:szCs w:val="22"/>
                <w:lang w:val="en-US"/>
              </w:rPr>
              <w:t xml:space="preserve">temporary impacts on 5 </w:t>
            </w:r>
            <w:r w:rsidR="00586149" w:rsidRPr="00557192">
              <w:rPr>
                <w:rFonts w:asciiTheme="majorHAnsi" w:eastAsia="Calibri" w:hAnsiTheme="majorHAnsi" w:cs="Arial"/>
                <w:szCs w:val="22"/>
                <w:lang w:val="en-US"/>
              </w:rPr>
              <w:t>cases of fruit and food vendors</w:t>
            </w:r>
            <w:r w:rsidRPr="00557192">
              <w:rPr>
                <w:rFonts w:asciiTheme="majorHAnsi" w:eastAsia="Calibri" w:hAnsiTheme="majorHAnsi" w:cs="Arial"/>
                <w:szCs w:val="22"/>
                <w:lang w:val="en-US"/>
              </w:rPr>
              <w:t xml:space="preserve">; (iv) </w:t>
            </w:r>
            <w:r w:rsidR="00586149" w:rsidRPr="00557192">
              <w:rPr>
                <w:rFonts w:asciiTheme="majorHAnsi" w:eastAsia="Calibri" w:hAnsiTheme="majorHAnsi" w:cs="Arial"/>
                <w:szCs w:val="22"/>
                <w:lang w:val="en-US"/>
              </w:rPr>
              <w:t xml:space="preserve">potential </w:t>
            </w:r>
            <w:r w:rsidRPr="00A232EE">
              <w:rPr>
                <w:rFonts w:asciiTheme="majorHAnsi" w:eastAsia="Calibri" w:hAnsiTheme="majorHAnsi" w:cs="Arial"/>
                <w:szCs w:val="22"/>
                <w:lang w:val="en-US"/>
              </w:rPr>
              <w:t>impacts to safety and security in 7 cases; and (v) the restrictions to accessibility imposed by the construction works on 4 establishments, which will need alternate means of access to restore their functionality and minimize the disruptions on their livelihoods.</w:t>
            </w:r>
          </w:p>
          <w:p w14:paraId="0AD4AC29" w14:textId="5F34215D" w:rsidR="00983BC9" w:rsidRPr="00557192" w:rsidRDefault="3EFF9F7B" w:rsidP="3EFF9F7B">
            <w:pPr>
              <w:pStyle w:val="Paragraph"/>
              <w:tabs>
                <w:tab w:val="clear" w:pos="851"/>
                <w:tab w:val="num" w:pos="810"/>
              </w:tabs>
              <w:outlineLvl w:val="1"/>
              <w:rPr>
                <w:rFonts w:asciiTheme="majorHAnsi" w:eastAsiaTheme="majorEastAsia" w:hAnsiTheme="majorHAnsi" w:cstheme="majorBidi"/>
                <w:lang w:val="en-US"/>
              </w:rPr>
            </w:pPr>
            <w:r w:rsidRPr="3EFF9F7B">
              <w:rPr>
                <w:rFonts w:asciiTheme="majorHAnsi" w:eastAsiaTheme="majorEastAsia" w:hAnsiTheme="majorHAnsi" w:cstheme="majorBidi"/>
                <w:lang w:val="en-US"/>
              </w:rPr>
              <w:t>A Resettlement and Livelihoods Restoration Plan (RLRP) was developed during the preparation of this additional financing operation. This plan includes measures for each of them. A preliminary version of the Resettlement and Livelihoods Restoration Plan was initially prepared and published, but some of the mitigation measures still needed further adjustments, based on final adjustments to the road designs by the MOW. Once the adjustments were completed and more information was gathered, the RLRP was updated and published before this operation was distributed to the Bank’s Operations Committee (OPC).</w:t>
            </w:r>
          </w:p>
          <w:p w14:paraId="1BDD5BA4" w14:textId="7A7512BE" w:rsidR="00BE5048" w:rsidRPr="00941273" w:rsidRDefault="00ED0C08" w:rsidP="00ED0C08">
            <w:pPr>
              <w:pStyle w:val="Paragraph"/>
              <w:tabs>
                <w:tab w:val="clear" w:pos="851"/>
                <w:tab w:val="num" w:pos="810"/>
              </w:tabs>
              <w:outlineLvl w:val="1"/>
              <w:rPr>
                <w:rFonts w:asciiTheme="majorHAnsi" w:eastAsia="Calibri" w:hAnsiTheme="majorHAnsi" w:cs="Arial"/>
                <w:szCs w:val="22"/>
                <w:lang w:val="en-US"/>
              </w:rPr>
            </w:pPr>
            <w:r w:rsidRPr="00A232EE">
              <w:rPr>
                <w:rFonts w:asciiTheme="majorHAnsi" w:eastAsia="Calibri" w:hAnsiTheme="majorHAnsi" w:cs="Arial"/>
                <w:szCs w:val="22"/>
                <w:lang w:val="en-US"/>
              </w:rPr>
              <w:t xml:space="preserve">The two cases of resettlement </w:t>
            </w:r>
            <w:r w:rsidR="003E1E80">
              <w:rPr>
                <w:rFonts w:asciiTheme="majorHAnsi" w:eastAsia="Calibri" w:hAnsiTheme="majorHAnsi" w:cs="Arial"/>
                <w:szCs w:val="22"/>
                <w:lang w:val="en-US"/>
              </w:rPr>
              <w:t>included in the RLRP</w:t>
            </w:r>
            <w:r w:rsidRPr="00A232EE">
              <w:rPr>
                <w:rFonts w:asciiTheme="majorHAnsi" w:eastAsia="Calibri" w:hAnsiTheme="majorHAnsi" w:cs="Arial"/>
                <w:szCs w:val="22"/>
                <w:lang w:val="en-US"/>
              </w:rPr>
              <w:t xml:space="preserve"> refer to </w:t>
            </w:r>
            <w:r w:rsidRPr="00EF6E80">
              <w:rPr>
                <w:rFonts w:asciiTheme="majorHAnsi" w:eastAsia="Calibri" w:hAnsiTheme="majorHAnsi" w:cs="Arial"/>
                <w:szCs w:val="22"/>
                <w:lang w:val="en-US"/>
              </w:rPr>
              <w:t xml:space="preserve">(i) a vulnerable individual living under </w:t>
            </w:r>
            <w:r w:rsidR="00602F8C">
              <w:rPr>
                <w:rFonts w:asciiTheme="majorHAnsi" w:eastAsia="Calibri" w:hAnsiTheme="majorHAnsi" w:cs="Arial"/>
                <w:szCs w:val="22"/>
                <w:lang w:val="en-US"/>
              </w:rPr>
              <w:t>a</w:t>
            </w:r>
            <w:r w:rsidRPr="00EF6E80">
              <w:rPr>
                <w:rFonts w:asciiTheme="majorHAnsi" w:eastAsia="Calibri" w:hAnsiTheme="majorHAnsi" w:cs="Arial"/>
                <w:szCs w:val="22"/>
                <w:lang w:val="en-US"/>
              </w:rPr>
              <w:t xml:space="preserve"> bridge for whom restoration measure</w:t>
            </w:r>
            <w:r w:rsidR="00700ACD" w:rsidRPr="00941273">
              <w:rPr>
                <w:rFonts w:asciiTheme="majorHAnsi" w:eastAsia="Calibri" w:hAnsiTheme="majorHAnsi" w:cs="Arial"/>
                <w:szCs w:val="22"/>
                <w:lang w:val="en-US"/>
              </w:rPr>
              <w:t>s</w:t>
            </w:r>
            <w:r w:rsidRPr="00941273">
              <w:rPr>
                <w:rFonts w:asciiTheme="majorHAnsi" w:eastAsia="Calibri" w:hAnsiTheme="majorHAnsi" w:cs="Arial"/>
                <w:szCs w:val="22"/>
                <w:lang w:val="en-US"/>
              </w:rPr>
              <w:t xml:space="preserve"> will be needed to avoid the risk of further impoverishment</w:t>
            </w:r>
            <w:r w:rsidR="00700ACD" w:rsidRPr="00557192">
              <w:rPr>
                <w:rFonts w:asciiTheme="majorHAnsi" w:eastAsia="Calibri" w:hAnsiTheme="majorHAnsi" w:cs="Arial"/>
                <w:szCs w:val="22"/>
                <w:lang w:val="en-US"/>
              </w:rPr>
              <w:t>, and where r</w:t>
            </w:r>
            <w:r w:rsidRPr="00557192">
              <w:rPr>
                <w:rFonts w:asciiTheme="majorHAnsi" w:eastAsia="Calibri" w:hAnsiTheme="majorHAnsi" w:cs="Arial"/>
                <w:szCs w:val="22"/>
                <w:lang w:val="en-US"/>
              </w:rPr>
              <w:t xml:space="preserve">elocation to a house </w:t>
            </w:r>
            <w:r w:rsidR="004F0286">
              <w:rPr>
                <w:rFonts w:asciiTheme="majorHAnsi" w:eastAsia="Calibri" w:hAnsiTheme="majorHAnsi" w:cs="Arial"/>
                <w:szCs w:val="22"/>
                <w:lang w:val="en-US"/>
              </w:rPr>
              <w:t xml:space="preserve">with a plot of land </w:t>
            </w:r>
            <w:r w:rsidR="0041460C">
              <w:rPr>
                <w:rFonts w:asciiTheme="majorHAnsi" w:eastAsia="Calibri" w:hAnsiTheme="majorHAnsi" w:cs="Arial"/>
                <w:szCs w:val="22"/>
                <w:lang w:val="en-US"/>
              </w:rPr>
              <w:t>were discussed</w:t>
            </w:r>
            <w:r w:rsidRPr="00557192">
              <w:rPr>
                <w:rFonts w:asciiTheme="majorHAnsi" w:eastAsia="Calibri" w:hAnsiTheme="majorHAnsi" w:cs="Arial"/>
                <w:szCs w:val="22"/>
                <w:lang w:val="en-US"/>
              </w:rPr>
              <w:t xml:space="preserve"> with the affected individual to find a mutually agreed solution, </w:t>
            </w:r>
            <w:r w:rsidRPr="00557192">
              <w:rPr>
                <w:rFonts w:asciiTheme="majorHAnsi" w:eastAsia="Calibri" w:hAnsiTheme="majorHAnsi" w:cs="Arial"/>
                <w:szCs w:val="22"/>
                <w:lang w:val="en-US"/>
              </w:rPr>
              <w:lastRenderedPageBreak/>
              <w:t>providing such individual with an alternative living arrangement</w:t>
            </w:r>
            <w:r w:rsidR="00700ACD" w:rsidRPr="00557192">
              <w:rPr>
                <w:rFonts w:asciiTheme="majorHAnsi" w:eastAsia="Calibri" w:hAnsiTheme="majorHAnsi" w:cs="Arial"/>
                <w:szCs w:val="22"/>
                <w:lang w:val="en-US"/>
              </w:rPr>
              <w:t xml:space="preserve">; and (ii) an economically vulnerable tenant family </w:t>
            </w:r>
            <w:r w:rsidR="004F3A41" w:rsidRPr="00557192">
              <w:rPr>
                <w:rFonts w:asciiTheme="majorHAnsi" w:eastAsia="Calibri" w:hAnsiTheme="majorHAnsi" w:cs="Arial"/>
                <w:szCs w:val="22"/>
                <w:lang w:val="en-US"/>
              </w:rPr>
              <w:t xml:space="preserve">of 7 persons </w:t>
            </w:r>
            <w:r w:rsidR="00700ACD" w:rsidRPr="00557192">
              <w:rPr>
                <w:rFonts w:asciiTheme="majorHAnsi" w:eastAsia="Calibri" w:hAnsiTheme="majorHAnsi" w:cs="Arial"/>
                <w:szCs w:val="22"/>
                <w:lang w:val="en-US"/>
              </w:rPr>
              <w:t>that will need s</w:t>
            </w:r>
            <w:r w:rsidRPr="00A232EE">
              <w:rPr>
                <w:rFonts w:asciiTheme="majorHAnsi" w:eastAsia="Calibri" w:hAnsiTheme="majorHAnsi" w:cs="Arial"/>
                <w:szCs w:val="22"/>
                <w:lang w:val="en-US"/>
              </w:rPr>
              <w:t>upport to find alternative rental properties so that they can relocate to a new home</w:t>
            </w:r>
            <w:r w:rsidR="00086C4A">
              <w:rPr>
                <w:rFonts w:asciiTheme="majorHAnsi" w:eastAsia="Calibri" w:hAnsiTheme="majorHAnsi" w:cs="Arial"/>
                <w:szCs w:val="22"/>
                <w:lang w:val="en-US"/>
              </w:rPr>
              <w:t>, for which the RLRP</w:t>
            </w:r>
            <w:r w:rsidR="00BE5048" w:rsidRPr="00A232EE">
              <w:rPr>
                <w:rFonts w:asciiTheme="majorHAnsi" w:eastAsia="Calibri" w:hAnsiTheme="majorHAnsi" w:cs="Arial"/>
                <w:szCs w:val="22"/>
                <w:lang w:val="en-US"/>
              </w:rPr>
              <w:t xml:space="preserve"> includes measures to p</w:t>
            </w:r>
            <w:r w:rsidRPr="00A232EE">
              <w:rPr>
                <w:rFonts w:asciiTheme="majorHAnsi" w:eastAsia="Calibri" w:hAnsiTheme="majorHAnsi" w:cs="Arial"/>
                <w:szCs w:val="22"/>
                <w:lang w:val="en-US"/>
              </w:rPr>
              <w:t xml:space="preserve">rovide economic support for </w:t>
            </w:r>
            <w:r w:rsidR="00700ACD" w:rsidRPr="00A232EE">
              <w:rPr>
                <w:rFonts w:asciiTheme="majorHAnsi" w:eastAsia="Calibri" w:hAnsiTheme="majorHAnsi" w:cs="Arial"/>
                <w:szCs w:val="22"/>
                <w:lang w:val="en-US"/>
              </w:rPr>
              <w:t xml:space="preserve">a period of </w:t>
            </w:r>
            <w:r w:rsidRPr="00A232EE">
              <w:rPr>
                <w:rFonts w:asciiTheme="majorHAnsi" w:eastAsia="Calibri" w:hAnsiTheme="majorHAnsi" w:cs="Arial"/>
                <w:szCs w:val="22"/>
                <w:lang w:val="en-US"/>
              </w:rPr>
              <w:t xml:space="preserve">six months </w:t>
            </w:r>
            <w:r w:rsidR="00700ACD" w:rsidRPr="00A232EE">
              <w:rPr>
                <w:rFonts w:asciiTheme="majorHAnsi" w:eastAsia="Calibri" w:hAnsiTheme="majorHAnsi" w:cs="Arial"/>
                <w:szCs w:val="22"/>
                <w:lang w:val="en-US"/>
              </w:rPr>
              <w:t xml:space="preserve">to support </w:t>
            </w:r>
            <w:r w:rsidRPr="00A232EE">
              <w:rPr>
                <w:rFonts w:asciiTheme="majorHAnsi" w:eastAsia="Calibri" w:hAnsiTheme="majorHAnsi" w:cs="Arial"/>
                <w:szCs w:val="22"/>
                <w:lang w:val="en-US"/>
              </w:rPr>
              <w:t>their adaptation process</w:t>
            </w:r>
            <w:r w:rsidR="00BE5048" w:rsidRPr="00A232EE">
              <w:rPr>
                <w:rFonts w:asciiTheme="majorHAnsi" w:eastAsia="Calibri" w:hAnsiTheme="majorHAnsi" w:cs="Arial"/>
                <w:szCs w:val="22"/>
                <w:lang w:val="en-US"/>
              </w:rPr>
              <w:t>, so that the affected family can find an alternative home</w:t>
            </w:r>
            <w:r w:rsidR="00086C4A">
              <w:rPr>
                <w:rFonts w:asciiTheme="majorHAnsi" w:eastAsia="Calibri" w:hAnsiTheme="majorHAnsi" w:cs="Arial"/>
                <w:szCs w:val="22"/>
                <w:lang w:val="en-US"/>
              </w:rPr>
              <w:t xml:space="preserve"> </w:t>
            </w:r>
            <w:r w:rsidR="00BE5048" w:rsidRPr="00547C7F">
              <w:rPr>
                <w:rFonts w:asciiTheme="majorHAnsi" w:eastAsia="Calibri" w:hAnsiTheme="majorHAnsi" w:cs="Arial"/>
                <w:szCs w:val="22"/>
                <w:lang w:val="en-US"/>
              </w:rPr>
              <w:t xml:space="preserve">in the nearby area from the current rental house with similar rental alternatives in price, acceptable quality, and distance to the tenant’s social support network (school, jobs, etc.), minimizing the potential loss of their social support network, monitoring the process with the ability to implement additional support the measures to support the restoration of their quality of life, as needed, with the support of a social specialist that will be hired to support the implementation of the </w:t>
            </w:r>
            <w:r w:rsidR="00BE5048" w:rsidRPr="00EF6E80">
              <w:rPr>
                <w:rFonts w:asciiTheme="majorHAnsi" w:eastAsia="Calibri" w:hAnsiTheme="majorHAnsi" w:cs="Arial"/>
                <w:szCs w:val="22"/>
                <w:lang w:val="en-US"/>
              </w:rPr>
              <w:t>Resettlement and Livelihood Restoration Plan.</w:t>
            </w:r>
          </w:p>
          <w:p w14:paraId="34750DDC" w14:textId="589B81D8" w:rsidR="000C7315" w:rsidRPr="00A232EE" w:rsidRDefault="00D83B9B" w:rsidP="00E540ED">
            <w:pPr>
              <w:pStyle w:val="Paragraph"/>
              <w:tabs>
                <w:tab w:val="clear" w:pos="851"/>
                <w:tab w:val="num" w:pos="810"/>
              </w:tabs>
              <w:outlineLvl w:val="1"/>
              <w:rPr>
                <w:rFonts w:asciiTheme="majorHAnsi" w:eastAsia="Calibri" w:hAnsiTheme="majorHAnsi" w:cs="Arial"/>
                <w:szCs w:val="22"/>
                <w:lang w:val="en-US"/>
              </w:rPr>
            </w:pPr>
            <w:r w:rsidRPr="00941273">
              <w:rPr>
                <w:rFonts w:asciiTheme="majorHAnsi" w:eastAsia="Calibri" w:hAnsiTheme="majorHAnsi" w:cs="Arial"/>
                <w:szCs w:val="22"/>
                <w:lang w:val="en-US"/>
              </w:rPr>
              <w:t xml:space="preserve">Other </w:t>
            </w:r>
            <w:r w:rsidR="00E220AD" w:rsidRPr="00557192">
              <w:rPr>
                <w:rFonts w:asciiTheme="majorHAnsi" w:eastAsia="Calibri" w:hAnsiTheme="majorHAnsi" w:cs="Arial"/>
                <w:szCs w:val="22"/>
                <w:lang w:val="en-US"/>
              </w:rPr>
              <w:t xml:space="preserve">8 </w:t>
            </w:r>
            <w:r w:rsidRPr="00557192">
              <w:rPr>
                <w:rFonts w:asciiTheme="majorHAnsi" w:eastAsia="Calibri" w:hAnsiTheme="majorHAnsi" w:cs="Arial"/>
                <w:szCs w:val="22"/>
                <w:lang w:val="en-US"/>
              </w:rPr>
              <w:t xml:space="preserve">cases of </w:t>
            </w:r>
            <w:r w:rsidR="00E220AD" w:rsidRPr="00557192">
              <w:rPr>
                <w:rFonts w:asciiTheme="majorHAnsi" w:eastAsia="Calibri" w:hAnsiTheme="majorHAnsi" w:cs="Arial"/>
                <w:szCs w:val="22"/>
                <w:lang w:val="en-US"/>
              </w:rPr>
              <w:t xml:space="preserve">impacts to assets </w:t>
            </w:r>
            <w:r w:rsidRPr="00557192">
              <w:rPr>
                <w:rFonts w:asciiTheme="majorHAnsi" w:eastAsia="Calibri" w:hAnsiTheme="majorHAnsi" w:cs="Arial"/>
                <w:szCs w:val="22"/>
                <w:lang w:val="en-US"/>
              </w:rPr>
              <w:t>include the displacement of a church</w:t>
            </w:r>
            <w:r w:rsidRPr="00EF6E80">
              <w:rPr>
                <w:rFonts w:asciiTheme="majorHAnsi" w:eastAsia="Calibri" w:hAnsiTheme="majorHAnsi" w:cs="Arial"/>
                <w:szCs w:val="22"/>
                <w:lang w:val="en-US"/>
              </w:rPr>
              <w:t xml:space="preserve">, </w:t>
            </w:r>
            <w:r w:rsidR="00ED2592">
              <w:rPr>
                <w:rFonts w:asciiTheme="majorHAnsi" w:eastAsia="Calibri" w:hAnsiTheme="majorHAnsi" w:cs="Arial"/>
                <w:szCs w:val="22"/>
                <w:lang w:val="en-US"/>
              </w:rPr>
              <w:t xml:space="preserve">in relation to which there has been an agreement that will provide </w:t>
            </w:r>
            <w:r w:rsidR="001B67A5">
              <w:rPr>
                <w:rFonts w:asciiTheme="majorHAnsi" w:eastAsia="Calibri" w:hAnsiTheme="majorHAnsi" w:cs="Arial"/>
                <w:szCs w:val="22"/>
                <w:lang w:val="en-US"/>
              </w:rPr>
              <w:t>a plot of land in the same village and economic compensation so that they can rebuild the</w:t>
            </w:r>
            <w:r w:rsidR="00C27124">
              <w:rPr>
                <w:rFonts w:asciiTheme="majorHAnsi" w:eastAsia="Calibri" w:hAnsiTheme="majorHAnsi" w:cs="Arial"/>
                <w:szCs w:val="22"/>
                <w:lang w:val="en-US"/>
              </w:rPr>
              <w:t xml:space="preserve"> affected structure</w:t>
            </w:r>
            <w:r w:rsidR="00297ACB">
              <w:rPr>
                <w:rFonts w:asciiTheme="majorHAnsi" w:eastAsia="Calibri" w:hAnsiTheme="majorHAnsi" w:cs="Arial"/>
                <w:szCs w:val="22"/>
                <w:lang w:val="en-US"/>
              </w:rPr>
              <w:t xml:space="preserve">; </w:t>
            </w:r>
            <w:r w:rsidR="00F02F76" w:rsidRPr="00EF6E80">
              <w:rPr>
                <w:rFonts w:asciiTheme="majorHAnsi" w:eastAsia="Calibri" w:hAnsiTheme="majorHAnsi" w:cs="Arial"/>
                <w:szCs w:val="22"/>
                <w:lang w:val="en-US"/>
              </w:rPr>
              <w:t xml:space="preserve">temporary </w:t>
            </w:r>
            <w:r w:rsidRPr="00EF6E80">
              <w:rPr>
                <w:rFonts w:asciiTheme="majorHAnsi" w:eastAsia="Calibri" w:hAnsiTheme="majorHAnsi" w:cs="Arial"/>
                <w:szCs w:val="22"/>
                <w:lang w:val="en-US"/>
              </w:rPr>
              <w:t xml:space="preserve">impacts on the economic activities of the owners of </w:t>
            </w:r>
            <w:r w:rsidR="00452630" w:rsidRPr="00941273">
              <w:rPr>
                <w:rFonts w:asciiTheme="majorHAnsi" w:eastAsia="Calibri" w:hAnsiTheme="majorHAnsi" w:cs="Arial"/>
                <w:szCs w:val="22"/>
                <w:lang w:val="en-US"/>
              </w:rPr>
              <w:t xml:space="preserve">5 </w:t>
            </w:r>
            <w:r w:rsidRPr="00941273">
              <w:rPr>
                <w:rFonts w:asciiTheme="majorHAnsi" w:eastAsia="Calibri" w:hAnsiTheme="majorHAnsi" w:cs="Arial"/>
                <w:szCs w:val="22"/>
                <w:lang w:val="en-US"/>
              </w:rPr>
              <w:t>small food and fruit stands</w:t>
            </w:r>
            <w:r w:rsidR="00ED2592">
              <w:rPr>
                <w:rFonts w:asciiTheme="majorHAnsi" w:eastAsia="Calibri" w:hAnsiTheme="majorHAnsi" w:cs="Arial"/>
                <w:szCs w:val="22"/>
                <w:lang w:val="en-US"/>
              </w:rPr>
              <w:t>;</w:t>
            </w:r>
            <w:r w:rsidR="00E220AD" w:rsidRPr="00557192">
              <w:rPr>
                <w:rFonts w:asciiTheme="majorHAnsi" w:eastAsia="Calibri" w:hAnsiTheme="majorHAnsi" w:cs="Arial"/>
                <w:szCs w:val="22"/>
                <w:lang w:val="en-US"/>
              </w:rPr>
              <w:t xml:space="preserve"> and impacts on assets such as a shed and fences. Restricted accessibility has been also identified as an impact in 4 cases, which includes the</w:t>
            </w:r>
            <w:r w:rsidR="0085637F">
              <w:rPr>
                <w:rFonts w:asciiTheme="majorHAnsi" w:eastAsia="Calibri" w:hAnsiTheme="majorHAnsi" w:cs="Arial"/>
                <w:szCs w:val="22"/>
                <w:lang w:val="en-US"/>
              </w:rPr>
              <w:t xml:space="preserve"> </w:t>
            </w:r>
            <w:r w:rsidRPr="00557192">
              <w:rPr>
                <w:rFonts w:asciiTheme="majorHAnsi" w:eastAsia="Calibri" w:hAnsiTheme="majorHAnsi" w:cs="Arial"/>
                <w:szCs w:val="22"/>
                <w:lang w:val="en-US"/>
              </w:rPr>
              <w:t xml:space="preserve">restricted access to a police station, </w:t>
            </w:r>
            <w:r w:rsidR="00E220AD" w:rsidRPr="00557192">
              <w:rPr>
                <w:rFonts w:asciiTheme="majorHAnsi" w:eastAsia="Calibri" w:hAnsiTheme="majorHAnsi" w:cs="Arial"/>
                <w:szCs w:val="22"/>
                <w:lang w:val="en-US"/>
              </w:rPr>
              <w:t xml:space="preserve">and </w:t>
            </w:r>
            <w:r w:rsidRPr="00557192">
              <w:rPr>
                <w:rFonts w:asciiTheme="majorHAnsi" w:eastAsia="Calibri" w:hAnsiTheme="majorHAnsi" w:cs="Arial"/>
                <w:szCs w:val="22"/>
                <w:lang w:val="en-US"/>
              </w:rPr>
              <w:t>restriction to the parking lots of some commercial establishments.</w:t>
            </w:r>
            <w:r w:rsidR="0085637F">
              <w:rPr>
                <w:rFonts w:asciiTheme="majorHAnsi" w:eastAsia="Calibri" w:hAnsiTheme="majorHAnsi" w:cs="Arial"/>
                <w:szCs w:val="22"/>
                <w:lang w:val="en-US"/>
              </w:rPr>
              <w:t xml:space="preserve"> </w:t>
            </w:r>
            <w:r w:rsidR="00BE3CA3" w:rsidRPr="00A232EE">
              <w:rPr>
                <w:rFonts w:asciiTheme="majorHAnsi" w:eastAsia="Calibri" w:hAnsiTheme="majorHAnsi" w:cs="Arial"/>
                <w:szCs w:val="22"/>
                <w:lang w:val="en-US"/>
              </w:rPr>
              <w:t>In th</w:t>
            </w:r>
            <w:r w:rsidR="00452630" w:rsidRPr="00A232EE">
              <w:rPr>
                <w:rFonts w:asciiTheme="majorHAnsi" w:eastAsia="Calibri" w:hAnsiTheme="majorHAnsi" w:cs="Arial"/>
                <w:szCs w:val="22"/>
                <w:lang w:val="en-US"/>
              </w:rPr>
              <w:t>e</w:t>
            </w:r>
            <w:r w:rsidR="00BE3CA3" w:rsidRPr="00A232EE">
              <w:rPr>
                <w:rFonts w:asciiTheme="majorHAnsi" w:eastAsia="Calibri" w:hAnsiTheme="majorHAnsi" w:cs="Arial"/>
                <w:szCs w:val="22"/>
                <w:lang w:val="en-US"/>
              </w:rPr>
              <w:t xml:space="preserve"> case of the church, there have been </w:t>
            </w:r>
            <w:r w:rsidR="006B521F" w:rsidRPr="00A232EE">
              <w:rPr>
                <w:rFonts w:asciiTheme="majorHAnsi" w:eastAsia="Calibri" w:hAnsiTheme="majorHAnsi" w:cs="Arial"/>
                <w:szCs w:val="22"/>
                <w:lang w:val="en-US"/>
              </w:rPr>
              <w:t>previous</w:t>
            </w:r>
            <w:r w:rsidR="00BE3CA3" w:rsidRPr="00A232EE">
              <w:rPr>
                <w:rFonts w:asciiTheme="majorHAnsi" w:eastAsia="Calibri" w:hAnsiTheme="majorHAnsi" w:cs="Arial"/>
                <w:szCs w:val="22"/>
                <w:lang w:val="en-US"/>
              </w:rPr>
              <w:t xml:space="preserve"> negotiations and </w:t>
            </w:r>
            <w:r w:rsidR="006B521F" w:rsidRPr="00A232EE">
              <w:rPr>
                <w:rFonts w:asciiTheme="majorHAnsi" w:eastAsia="Calibri" w:hAnsiTheme="majorHAnsi" w:cs="Arial"/>
                <w:szCs w:val="22"/>
                <w:lang w:val="en-US"/>
              </w:rPr>
              <w:t>a preliminary agreement, based on</w:t>
            </w:r>
            <w:r w:rsidR="00452630" w:rsidRPr="00A232EE">
              <w:rPr>
                <w:rFonts w:asciiTheme="majorHAnsi" w:eastAsia="Calibri" w:hAnsiTheme="majorHAnsi" w:cs="Arial"/>
                <w:szCs w:val="22"/>
                <w:lang w:val="en-US"/>
              </w:rPr>
              <w:t xml:space="preserve"> the assignment of a bigger piece of land in </w:t>
            </w:r>
            <w:r w:rsidR="00452630" w:rsidRPr="00547C7F">
              <w:rPr>
                <w:rFonts w:asciiTheme="majorHAnsi" w:eastAsia="Calibri" w:hAnsiTheme="majorHAnsi" w:cs="Arial"/>
                <w:szCs w:val="22"/>
                <w:lang w:val="en-US"/>
              </w:rPr>
              <w:t>a nearby area</w:t>
            </w:r>
            <w:r w:rsidR="00452630" w:rsidRPr="00EF6E80">
              <w:rPr>
                <w:rFonts w:asciiTheme="majorHAnsi" w:eastAsia="Calibri" w:hAnsiTheme="majorHAnsi" w:cs="Arial"/>
                <w:szCs w:val="22"/>
                <w:lang w:val="en-US"/>
              </w:rPr>
              <w:t xml:space="preserve"> than the one it currently has, and economic compensation that will allow the rebuilding of the affected structure.</w:t>
            </w:r>
            <w:r w:rsidR="006E2760">
              <w:rPr>
                <w:rFonts w:asciiTheme="majorHAnsi" w:eastAsia="Calibri" w:hAnsiTheme="majorHAnsi" w:cs="Arial"/>
                <w:szCs w:val="22"/>
                <w:lang w:val="en-US"/>
              </w:rPr>
              <w:t xml:space="preserve"> </w:t>
            </w:r>
            <w:r w:rsidR="000C7315" w:rsidRPr="00557192">
              <w:rPr>
                <w:rFonts w:asciiTheme="majorHAnsi" w:eastAsia="Calibri" w:hAnsiTheme="majorHAnsi" w:cs="Arial"/>
                <w:szCs w:val="22"/>
                <w:lang w:val="en-US"/>
              </w:rPr>
              <w:t xml:space="preserve">Consultations with the affected people </w:t>
            </w:r>
            <w:r w:rsidR="004B70D0">
              <w:rPr>
                <w:rFonts w:asciiTheme="majorHAnsi" w:eastAsia="Calibri" w:hAnsiTheme="majorHAnsi" w:cs="Arial"/>
                <w:szCs w:val="22"/>
                <w:lang w:val="en-US"/>
              </w:rPr>
              <w:t>were</w:t>
            </w:r>
            <w:r w:rsidR="000C7315" w:rsidRPr="00557192">
              <w:rPr>
                <w:rFonts w:asciiTheme="majorHAnsi" w:eastAsia="Calibri" w:hAnsiTheme="majorHAnsi" w:cs="Arial"/>
                <w:szCs w:val="22"/>
                <w:lang w:val="en-US"/>
              </w:rPr>
              <w:t xml:space="preserve"> carried out by the MOW in a personalized way</w:t>
            </w:r>
            <w:r w:rsidR="00BE3CA3" w:rsidRPr="00557192">
              <w:rPr>
                <w:rFonts w:asciiTheme="majorHAnsi" w:eastAsia="Calibri" w:hAnsiTheme="majorHAnsi" w:cs="Arial"/>
                <w:szCs w:val="22"/>
                <w:lang w:val="en-US"/>
              </w:rPr>
              <w:t xml:space="preserve"> with each affected party</w:t>
            </w:r>
            <w:r w:rsidR="000C7315" w:rsidRPr="00557192">
              <w:rPr>
                <w:rFonts w:asciiTheme="majorHAnsi" w:eastAsia="Calibri" w:hAnsiTheme="majorHAnsi" w:cs="Arial"/>
                <w:szCs w:val="22"/>
                <w:lang w:val="en-US"/>
              </w:rPr>
              <w:t>, exploring options and reaching agreements on the forms of compensation</w:t>
            </w:r>
            <w:r w:rsidR="00ED0C08" w:rsidRPr="00557192">
              <w:rPr>
                <w:rFonts w:asciiTheme="majorHAnsi" w:eastAsia="Calibri" w:hAnsiTheme="majorHAnsi" w:cs="Arial"/>
                <w:szCs w:val="22"/>
                <w:lang w:val="en-US"/>
              </w:rPr>
              <w:t xml:space="preserve"> according to each case</w:t>
            </w:r>
            <w:r w:rsidR="00E220AD" w:rsidRPr="00A232EE">
              <w:rPr>
                <w:rFonts w:asciiTheme="majorHAnsi" w:eastAsia="Calibri" w:hAnsiTheme="majorHAnsi" w:cs="Arial"/>
                <w:szCs w:val="22"/>
                <w:lang w:val="en-US"/>
              </w:rPr>
              <w:t>.</w:t>
            </w:r>
          </w:p>
          <w:p w14:paraId="09A17D21" w14:textId="77777777" w:rsidR="002410DE" w:rsidRPr="00547C7F" w:rsidRDefault="002410DE" w:rsidP="00C01215">
            <w:pPr>
              <w:ind w:right="165"/>
              <w:jc w:val="both"/>
              <w:rPr>
                <w:rFonts w:asciiTheme="majorHAnsi" w:eastAsia="Times New Roman" w:hAnsiTheme="majorHAnsi" w:cs="Arial"/>
                <w:sz w:val="22"/>
                <w:szCs w:val="22"/>
                <w:shd w:val="clear" w:color="auto" w:fill="FFFFFF"/>
              </w:rPr>
            </w:pPr>
          </w:p>
        </w:tc>
      </w:tr>
      <w:tr w:rsidR="00D632E9" w:rsidRPr="001C38FF" w14:paraId="4791EFBD" w14:textId="77777777" w:rsidTr="3EFF9F7B">
        <w:trPr>
          <w:trHeight w:val="236"/>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15" w:type="dxa"/>
              <w:left w:w="105" w:type="dxa"/>
              <w:bottom w:w="15" w:type="dxa"/>
              <w:right w:w="105" w:type="dxa"/>
            </w:tcMar>
            <w:vAlign w:val="center"/>
          </w:tcPr>
          <w:p w14:paraId="198A2EE2" w14:textId="77777777" w:rsidR="008966A4" w:rsidRPr="006F7063" w:rsidRDefault="00D632E9" w:rsidP="006F7063">
            <w:pPr>
              <w:ind w:right="165"/>
              <w:jc w:val="both"/>
              <w:rPr>
                <w:rFonts w:ascii="Arial" w:eastAsia="Times New Roman" w:hAnsi="Arial" w:cs="Arial"/>
                <w:b/>
                <w:sz w:val="22"/>
                <w:szCs w:val="22"/>
                <w:shd w:val="clear" w:color="auto" w:fill="FFFFFF"/>
              </w:rPr>
            </w:pPr>
            <w:r w:rsidRPr="006F7063">
              <w:rPr>
                <w:rFonts w:ascii="Arial" w:eastAsia="Times New Roman" w:hAnsi="Arial" w:cs="Arial"/>
                <w:b/>
                <w:sz w:val="22"/>
                <w:szCs w:val="22"/>
              </w:rPr>
              <w:lastRenderedPageBreak/>
              <w:t>Indigenous Peoples</w:t>
            </w:r>
            <w:r w:rsidRPr="006F7063">
              <w:rPr>
                <w:rFonts w:ascii="Arial" w:eastAsia="Times New Roman" w:hAnsi="Arial" w:cs="Arial"/>
                <w:b/>
                <w:sz w:val="22"/>
                <w:szCs w:val="22"/>
                <w:shd w:val="clear" w:color="auto" w:fill="FFFFFF"/>
              </w:rPr>
              <w:t xml:space="preserve"> </w:t>
            </w:r>
          </w:p>
          <w:p w14:paraId="65354481" w14:textId="77777777" w:rsidR="00D632E9" w:rsidRPr="006F7063" w:rsidRDefault="00D632E9" w:rsidP="006F7063">
            <w:pPr>
              <w:ind w:right="165"/>
              <w:jc w:val="both"/>
              <w:rPr>
                <w:rFonts w:ascii="Arial" w:eastAsia="Times New Roman" w:hAnsi="Arial" w:cs="Arial"/>
                <w:sz w:val="22"/>
                <w:szCs w:val="22"/>
                <w:shd w:val="clear" w:color="auto" w:fill="FFFFFF"/>
              </w:rPr>
            </w:pPr>
            <w:r w:rsidRPr="006F7063">
              <w:rPr>
                <w:rFonts w:ascii="Arial" w:eastAsia="Times New Roman" w:hAnsi="Arial" w:cs="Arial"/>
                <w:sz w:val="22"/>
                <w:szCs w:val="22"/>
              </w:rPr>
              <w:t>OP-765</w:t>
            </w:r>
            <w:r w:rsidR="008966A4" w:rsidRPr="006F7063">
              <w:rPr>
                <w:rFonts w:ascii="Arial" w:eastAsia="Times New Roman" w:hAnsi="Arial" w:cs="Arial"/>
                <w:sz w:val="22"/>
                <w:szCs w:val="22"/>
              </w:rPr>
              <w:t xml:space="preserve"> (Indigenous Peoples Policy</w:t>
            </w:r>
            <w:r w:rsidRPr="006F7063">
              <w:rPr>
                <w:rFonts w:ascii="Arial" w:eastAsia="Times New Roman" w:hAnsi="Arial" w:cs="Arial"/>
                <w:sz w:val="22"/>
                <w:szCs w:val="22"/>
              </w:rPr>
              <w:t>)</w:t>
            </w:r>
          </w:p>
        </w:tc>
      </w:tr>
      <w:tr w:rsidR="00D632E9" w:rsidRPr="001C38FF" w14:paraId="10E306B4" w14:textId="77777777" w:rsidTr="3EFF9F7B">
        <w:trPr>
          <w:trHeight w:val="236"/>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44A70E8F" w14:textId="77777777" w:rsidR="00686DDF" w:rsidRDefault="00686DDF" w:rsidP="001D2104">
            <w:pPr>
              <w:ind w:left="360" w:right="165"/>
              <w:jc w:val="both"/>
              <w:rPr>
                <w:rFonts w:ascii="Arial" w:eastAsia="Times New Roman" w:hAnsi="Arial" w:cs="Arial"/>
                <w:sz w:val="22"/>
                <w:szCs w:val="22"/>
                <w:shd w:val="clear" w:color="auto" w:fill="FFFFFF"/>
              </w:rPr>
            </w:pPr>
          </w:p>
          <w:p w14:paraId="57E6692D" w14:textId="156025B5" w:rsidR="00597754" w:rsidRPr="00547C7F" w:rsidRDefault="00597754" w:rsidP="00597754">
            <w:pPr>
              <w:ind w:right="165"/>
              <w:jc w:val="both"/>
              <w:rPr>
                <w:rFonts w:asciiTheme="majorHAnsi" w:hAnsiTheme="majorHAnsi"/>
                <w:sz w:val="22"/>
                <w:szCs w:val="22"/>
              </w:rPr>
            </w:pPr>
            <w:r w:rsidRPr="00EF6E80">
              <w:rPr>
                <w:rFonts w:asciiTheme="majorHAnsi" w:eastAsia="Calibri" w:hAnsiTheme="majorHAnsi" w:cs="Arial"/>
                <w:sz w:val="22"/>
                <w:szCs w:val="22"/>
                <w:lang w:eastAsia="it-IT"/>
              </w:rPr>
              <w:t xml:space="preserve">A sociocultural analysis was conducted to determine the presence of potential indigenous peoples and Garifuna populations </w:t>
            </w:r>
            <w:proofErr w:type="gramStart"/>
            <w:r w:rsidRPr="00EF6E80">
              <w:rPr>
                <w:rFonts w:asciiTheme="majorHAnsi" w:eastAsia="Calibri" w:hAnsiTheme="majorHAnsi" w:cs="Arial"/>
                <w:sz w:val="22"/>
                <w:szCs w:val="22"/>
                <w:lang w:eastAsia="it-IT"/>
              </w:rPr>
              <w:t>in the area of</w:t>
            </w:r>
            <w:proofErr w:type="gramEnd"/>
            <w:r w:rsidRPr="00EF6E80">
              <w:rPr>
                <w:rFonts w:asciiTheme="majorHAnsi" w:eastAsia="Calibri" w:hAnsiTheme="majorHAnsi" w:cs="Arial"/>
                <w:sz w:val="22"/>
                <w:szCs w:val="22"/>
                <w:lang w:eastAsia="it-IT"/>
              </w:rPr>
              <w:t xml:space="preserve"> influence of the project. </w:t>
            </w:r>
            <w:r w:rsidR="009B7764" w:rsidRPr="00EF6E80">
              <w:rPr>
                <w:rFonts w:asciiTheme="majorHAnsi" w:eastAsia="Calibri" w:hAnsiTheme="majorHAnsi" w:cs="Arial"/>
                <w:sz w:val="22"/>
                <w:szCs w:val="22"/>
                <w:lang w:eastAsia="it-IT"/>
              </w:rPr>
              <w:t>While this study was originally requested when the project was expe</w:t>
            </w:r>
            <w:r w:rsidR="009B7764" w:rsidRPr="00941273">
              <w:rPr>
                <w:rFonts w:asciiTheme="majorHAnsi" w:eastAsia="Calibri" w:hAnsiTheme="majorHAnsi" w:cs="Arial"/>
                <w:sz w:val="22"/>
                <w:szCs w:val="22"/>
                <w:lang w:eastAsia="it-IT"/>
              </w:rPr>
              <w:t xml:space="preserve">cted to intervene in Section 4 of the GPH, </w:t>
            </w:r>
            <w:r w:rsidR="00B905BB" w:rsidRPr="00941273">
              <w:rPr>
                <w:rFonts w:asciiTheme="majorHAnsi" w:eastAsia="Calibri" w:hAnsiTheme="majorHAnsi" w:cs="Arial"/>
                <w:sz w:val="22"/>
                <w:szCs w:val="22"/>
                <w:lang w:eastAsia="it-IT"/>
              </w:rPr>
              <w:t>where Maya and Garifuna populations are prese</w:t>
            </w:r>
            <w:r w:rsidR="00B905BB" w:rsidRPr="00557192">
              <w:rPr>
                <w:rFonts w:asciiTheme="majorHAnsi" w:eastAsia="Calibri" w:hAnsiTheme="majorHAnsi" w:cs="Arial"/>
                <w:sz w:val="22"/>
                <w:szCs w:val="22"/>
                <w:lang w:eastAsia="it-IT"/>
              </w:rPr>
              <w:t xml:space="preserve">nt. When the scope of the project changed, and Section 4 was left out of the scope of this operation, </w:t>
            </w:r>
            <w:r w:rsidR="009B7764" w:rsidRPr="00557192">
              <w:rPr>
                <w:rFonts w:asciiTheme="majorHAnsi" w:eastAsia="Calibri" w:hAnsiTheme="majorHAnsi" w:cs="Arial"/>
                <w:sz w:val="22"/>
                <w:szCs w:val="22"/>
                <w:lang w:eastAsia="it-IT"/>
              </w:rPr>
              <w:t xml:space="preserve">the </w:t>
            </w:r>
            <w:r w:rsidR="00B905BB" w:rsidRPr="00557192">
              <w:rPr>
                <w:rFonts w:asciiTheme="majorHAnsi" w:eastAsia="Calibri" w:hAnsiTheme="majorHAnsi" w:cs="Arial"/>
                <w:sz w:val="22"/>
                <w:szCs w:val="22"/>
                <w:lang w:eastAsia="it-IT"/>
              </w:rPr>
              <w:t>sociocultural analysis</w:t>
            </w:r>
            <w:r w:rsidR="009B7764" w:rsidRPr="00557192">
              <w:rPr>
                <w:rFonts w:asciiTheme="majorHAnsi" w:eastAsia="Calibri" w:hAnsiTheme="majorHAnsi" w:cs="Arial"/>
                <w:sz w:val="22"/>
                <w:szCs w:val="22"/>
                <w:lang w:eastAsia="it-IT"/>
              </w:rPr>
              <w:t xml:space="preserve"> was left in place to confirm the</w:t>
            </w:r>
            <w:r w:rsidR="00B905BB" w:rsidRPr="00557192">
              <w:rPr>
                <w:rFonts w:asciiTheme="majorHAnsi" w:eastAsia="Calibri" w:hAnsiTheme="majorHAnsi" w:cs="Arial"/>
                <w:sz w:val="22"/>
                <w:szCs w:val="22"/>
                <w:lang w:eastAsia="it-IT"/>
              </w:rPr>
              <w:t>ir</w:t>
            </w:r>
            <w:r w:rsidR="009B7764" w:rsidRPr="00557192">
              <w:rPr>
                <w:rFonts w:asciiTheme="majorHAnsi" w:eastAsia="Calibri" w:hAnsiTheme="majorHAnsi" w:cs="Arial"/>
                <w:sz w:val="22"/>
                <w:szCs w:val="22"/>
                <w:lang w:eastAsia="it-IT"/>
              </w:rPr>
              <w:t xml:space="preserve"> lack of presence </w:t>
            </w:r>
            <w:r w:rsidR="00B905BB" w:rsidRPr="00557192">
              <w:rPr>
                <w:rFonts w:asciiTheme="majorHAnsi" w:eastAsia="Calibri" w:hAnsiTheme="majorHAnsi" w:cs="Arial"/>
                <w:sz w:val="22"/>
                <w:szCs w:val="22"/>
                <w:lang w:eastAsia="it-IT"/>
              </w:rPr>
              <w:t xml:space="preserve">in Sections 1-3. The sociocultural </w:t>
            </w:r>
            <w:r w:rsidRPr="00557192">
              <w:rPr>
                <w:rFonts w:asciiTheme="majorHAnsi" w:eastAsia="Calibri" w:hAnsiTheme="majorHAnsi" w:cs="Arial"/>
                <w:sz w:val="22"/>
                <w:szCs w:val="22"/>
                <w:lang w:eastAsia="it-IT"/>
              </w:rPr>
              <w:t>analysis</w:t>
            </w:r>
            <w:r w:rsidR="00B905BB" w:rsidRPr="00557192">
              <w:rPr>
                <w:rFonts w:asciiTheme="majorHAnsi" w:eastAsia="Calibri" w:hAnsiTheme="majorHAnsi" w:cs="Arial"/>
                <w:sz w:val="22"/>
                <w:szCs w:val="22"/>
                <w:lang w:eastAsia="it-IT"/>
              </w:rPr>
              <w:t xml:space="preserve"> of sections 1-3</w:t>
            </w:r>
            <w:r w:rsidRPr="00A232EE">
              <w:rPr>
                <w:rFonts w:asciiTheme="majorHAnsi" w:eastAsia="Calibri" w:hAnsiTheme="majorHAnsi" w:cs="Arial"/>
                <w:sz w:val="22"/>
                <w:szCs w:val="22"/>
                <w:lang w:eastAsia="it-IT"/>
              </w:rPr>
              <w:t xml:space="preserve"> indicated that </w:t>
            </w:r>
            <w:r w:rsidR="00F66A5E" w:rsidRPr="00A232EE">
              <w:rPr>
                <w:rFonts w:asciiTheme="majorHAnsi" w:eastAsia="Calibri" w:hAnsiTheme="majorHAnsi" w:cs="Arial"/>
                <w:sz w:val="22"/>
                <w:szCs w:val="22"/>
                <w:lang w:eastAsia="it-IT"/>
              </w:rPr>
              <w:t xml:space="preserve">no part of the project is located or will pass </w:t>
            </w:r>
            <w:proofErr w:type="gramStart"/>
            <w:r w:rsidR="00F66A5E" w:rsidRPr="00A232EE">
              <w:rPr>
                <w:rFonts w:asciiTheme="majorHAnsi" w:eastAsia="Calibri" w:hAnsiTheme="majorHAnsi" w:cs="Arial"/>
                <w:sz w:val="22"/>
                <w:szCs w:val="22"/>
                <w:lang w:eastAsia="it-IT"/>
              </w:rPr>
              <w:t>in close proximity to</w:t>
            </w:r>
            <w:proofErr w:type="gramEnd"/>
            <w:r w:rsidR="00F66A5E" w:rsidRPr="00A232EE">
              <w:rPr>
                <w:rFonts w:asciiTheme="majorHAnsi" w:eastAsia="Calibri" w:hAnsiTheme="majorHAnsi" w:cs="Arial"/>
                <w:sz w:val="22"/>
                <w:szCs w:val="22"/>
                <w:lang w:eastAsia="it-IT"/>
              </w:rPr>
              <w:t xml:space="preserve"> any recognized indigenous lands. Likewise, </w:t>
            </w:r>
            <w:r w:rsidR="00AB5806" w:rsidRPr="00A232EE">
              <w:rPr>
                <w:rFonts w:asciiTheme="majorHAnsi" w:eastAsia="Calibri" w:hAnsiTheme="majorHAnsi" w:cs="Arial"/>
                <w:sz w:val="22"/>
                <w:szCs w:val="22"/>
                <w:lang w:eastAsia="it-IT"/>
              </w:rPr>
              <w:t xml:space="preserve">this analysis indicates that </w:t>
            </w:r>
            <w:r w:rsidR="00F66A5E" w:rsidRPr="00A232EE">
              <w:rPr>
                <w:rFonts w:asciiTheme="majorHAnsi" w:eastAsia="Calibri" w:hAnsiTheme="majorHAnsi" w:cs="Arial"/>
                <w:sz w:val="22"/>
                <w:szCs w:val="22"/>
                <w:lang w:eastAsia="it-IT"/>
              </w:rPr>
              <w:t xml:space="preserve">there </w:t>
            </w:r>
            <w:r w:rsidR="00F66A5E" w:rsidRPr="00A232EE">
              <w:rPr>
                <w:rFonts w:asciiTheme="majorHAnsi" w:eastAsia="Calibri" w:hAnsiTheme="majorHAnsi" w:cs="Arial"/>
                <w:noProof/>
                <w:sz w:val="22"/>
                <w:szCs w:val="22"/>
                <w:lang w:eastAsia="it-IT"/>
              </w:rPr>
              <w:t>are</w:t>
            </w:r>
            <w:r w:rsidR="00F66A5E" w:rsidRPr="00A232EE">
              <w:rPr>
                <w:rFonts w:asciiTheme="majorHAnsi" w:eastAsia="Calibri" w:hAnsiTheme="majorHAnsi" w:cs="Arial"/>
                <w:sz w:val="22"/>
                <w:szCs w:val="22"/>
                <w:lang w:eastAsia="it-IT"/>
              </w:rPr>
              <w:t xml:space="preserve"> no indigenous person</w:t>
            </w:r>
            <w:r w:rsidR="00826753" w:rsidRPr="00A232EE">
              <w:rPr>
                <w:rFonts w:asciiTheme="majorHAnsi" w:eastAsia="Calibri" w:hAnsiTheme="majorHAnsi" w:cs="Arial"/>
                <w:sz w:val="22"/>
                <w:szCs w:val="22"/>
                <w:lang w:eastAsia="it-IT"/>
              </w:rPr>
              <w:t>s</w:t>
            </w:r>
            <w:r w:rsidR="00F66A5E" w:rsidRPr="00A232EE">
              <w:rPr>
                <w:rFonts w:asciiTheme="majorHAnsi" w:eastAsia="Calibri" w:hAnsiTheme="majorHAnsi" w:cs="Arial"/>
                <w:sz w:val="22"/>
                <w:szCs w:val="22"/>
                <w:lang w:eastAsia="it-IT"/>
              </w:rPr>
              <w:t>’ property that will be affected by the project in segments 1-3.</w:t>
            </w:r>
          </w:p>
          <w:p w14:paraId="3D5DCC66" w14:textId="77777777" w:rsidR="00F66A5E" w:rsidRPr="00EF6E80" w:rsidRDefault="00F66A5E" w:rsidP="00597754">
            <w:pPr>
              <w:ind w:right="165"/>
              <w:jc w:val="both"/>
              <w:rPr>
                <w:rFonts w:asciiTheme="majorHAnsi" w:eastAsia="Calibri" w:hAnsiTheme="majorHAnsi" w:cs="Arial"/>
                <w:sz w:val="22"/>
                <w:szCs w:val="22"/>
                <w:lang w:eastAsia="it-IT"/>
              </w:rPr>
            </w:pPr>
          </w:p>
          <w:p w14:paraId="527731DB" w14:textId="652FEBD0" w:rsidR="00E15790" w:rsidRPr="00EF6E80" w:rsidRDefault="00F66A5E" w:rsidP="00597754">
            <w:pPr>
              <w:ind w:right="165"/>
              <w:jc w:val="both"/>
              <w:rPr>
                <w:rFonts w:asciiTheme="majorHAnsi" w:eastAsia="Calibri" w:hAnsiTheme="majorHAnsi" w:cs="Arial"/>
                <w:sz w:val="22"/>
                <w:szCs w:val="22"/>
                <w:lang w:eastAsia="it-IT"/>
              </w:rPr>
            </w:pPr>
            <w:r w:rsidRPr="00941273">
              <w:rPr>
                <w:rFonts w:asciiTheme="majorHAnsi" w:eastAsia="Calibri" w:hAnsiTheme="majorHAnsi" w:cs="Arial"/>
                <w:sz w:val="22"/>
                <w:szCs w:val="22"/>
                <w:lang w:eastAsia="it-IT"/>
              </w:rPr>
              <w:t xml:space="preserve">Outside of the direct area of influence of the project, however, are two places where indigenous peoples are present. The first one is located East of the city of Belmopan, where an indigenous community of mostly Mayan population </w:t>
            </w:r>
            <w:r w:rsidR="00826753" w:rsidRPr="00557192">
              <w:rPr>
                <w:rFonts w:asciiTheme="majorHAnsi" w:eastAsia="Calibri" w:hAnsiTheme="majorHAnsi" w:cs="Arial"/>
                <w:noProof/>
                <w:sz w:val="22"/>
                <w:szCs w:val="22"/>
                <w:lang w:eastAsia="it-IT"/>
              </w:rPr>
              <w:t>is located</w:t>
            </w:r>
            <w:r w:rsidRPr="00557192">
              <w:rPr>
                <w:rFonts w:asciiTheme="majorHAnsi" w:eastAsia="Calibri" w:hAnsiTheme="majorHAnsi" w:cs="Arial"/>
                <w:sz w:val="22"/>
                <w:szCs w:val="22"/>
                <w:lang w:eastAsia="it-IT"/>
              </w:rPr>
              <w:t xml:space="preserve">. However, this community is located more than four miles away from the </w:t>
            </w:r>
            <w:r w:rsidR="00677083" w:rsidRPr="00557192">
              <w:rPr>
                <w:rFonts w:asciiTheme="majorHAnsi" w:eastAsia="Calibri" w:hAnsiTheme="majorHAnsi" w:cs="Arial"/>
                <w:sz w:val="22"/>
                <w:szCs w:val="22"/>
                <w:lang w:eastAsia="it-IT"/>
              </w:rPr>
              <w:t xml:space="preserve">closest point where the </w:t>
            </w:r>
            <w:r w:rsidRPr="00557192">
              <w:rPr>
                <w:rFonts w:asciiTheme="majorHAnsi" w:eastAsia="Calibri" w:hAnsiTheme="majorHAnsi" w:cs="Arial"/>
                <w:sz w:val="22"/>
                <w:szCs w:val="22"/>
                <w:lang w:eastAsia="it-IT"/>
              </w:rPr>
              <w:t>project</w:t>
            </w:r>
            <w:r w:rsidR="00677083" w:rsidRPr="00557192">
              <w:rPr>
                <w:rFonts w:asciiTheme="majorHAnsi" w:eastAsia="Calibri" w:hAnsiTheme="majorHAnsi" w:cs="Arial"/>
                <w:sz w:val="22"/>
                <w:szCs w:val="22"/>
                <w:lang w:eastAsia="it-IT"/>
              </w:rPr>
              <w:t xml:space="preserve"> begins</w:t>
            </w:r>
            <w:r w:rsidRPr="00A232EE">
              <w:rPr>
                <w:rFonts w:asciiTheme="majorHAnsi" w:eastAsia="Calibri" w:hAnsiTheme="majorHAnsi" w:cs="Arial"/>
                <w:sz w:val="22"/>
                <w:szCs w:val="22"/>
                <w:lang w:eastAsia="it-IT"/>
              </w:rPr>
              <w:t xml:space="preserve">, on the </w:t>
            </w:r>
            <w:r w:rsidR="0085637F">
              <w:rPr>
                <w:rFonts w:asciiTheme="majorHAnsi" w:eastAsia="Calibri" w:hAnsiTheme="majorHAnsi" w:cs="Arial"/>
                <w:sz w:val="22"/>
                <w:szCs w:val="22"/>
                <w:lang w:eastAsia="it-IT"/>
              </w:rPr>
              <w:t>opposite</w:t>
            </w:r>
            <w:r w:rsidR="0085637F" w:rsidRPr="00A232EE">
              <w:rPr>
                <w:rFonts w:asciiTheme="majorHAnsi" w:eastAsia="Calibri" w:hAnsiTheme="majorHAnsi" w:cs="Arial"/>
                <w:sz w:val="22"/>
                <w:szCs w:val="22"/>
                <w:lang w:eastAsia="it-IT"/>
              </w:rPr>
              <w:t xml:space="preserve"> </w:t>
            </w:r>
            <w:r w:rsidRPr="00A232EE">
              <w:rPr>
                <w:rFonts w:asciiTheme="majorHAnsi" w:eastAsia="Calibri" w:hAnsiTheme="majorHAnsi" w:cs="Arial"/>
                <w:sz w:val="22"/>
                <w:szCs w:val="22"/>
                <w:lang w:eastAsia="it-IT"/>
              </w:rPr>
              <w:t>side of the city of Belmopan, the capital of Belize. The second place is in Section 4 of the GPH</w:t>
            </w:r>
            <w:r w:rsidR="00E15790" w:rsidRPr="00A232EE">
              <w:rPr>
                <w:rFonts w:asciiTheme="majorHAnsi" w:eastAsia="Calibri" w:hAnsiTheme="majorHAnsi" w:cs="Arial"/>
                <w:sz w:val="22"/>
                <w:szCs w:val="22"/>
                <w:lang w:eastAsia="it-IT"/>
              </w:rPr>
              <w:t xml:space="preserve">, particularly in the area </w:t>
            </w:r>
            <w:proofErr w:type="gramStart"/>
            <w:r w:rsidR="00E15790" w:rsidRPr="00A232EE">
              <w:rPr>
                <w:rFonts w:asciiTheme="majorHAnsi" w:eastAsia="Calibri" w:hAnsiTheme="majorHAnsi" w:cs="Arial"/>
                <w:sz w:val="22"/>
                <w:szCs w:val="22"/>
                <w:lang w:eastAsia="it-IT"/>
              </w:rPr>
              <w:t>in the area of</w:t>
            </w:r>
            <w:proofErr w:type="gramEnd"/>
            <w:r w:rsidR="00E15790" w:rsidRPr="00A232EE">
              <w:rPr>
                <w:rFonts w:asciiTheme="majorHAnsi" w:eastAsia="Calibri" w:hAnsiTheme="majorHAnsi" w:cs="Arial"/>
                <w:sz w:val="22"/>
                <w:szCs w:val="22"/>
                <w:lang w:eastAsia="it-IT"/>
              </w:rPr>
              <w:t xml:space="preserve"> an Artisanal Plaza near the entrance of the </w:t>
            </w:r>
            <w:proofErr w:type="spellStart"/>
            <w:r w:rsidR="00E15790" w:rsidRPr="00A232EE">
              <w:rPr>
                <w:rFonts w:asciiTheme="majorHAnsi" w:eastAsia="Calibri" w:hAnsiTheme="majorHAnsi" w:cs="Arial"/>
                <w:sz w:val="22"/>
                <w:szCs w:val="22"/>
                <w:lang w:eastAsia="it-IT"/>
              </w:rPr>
              <w:t>Xunantunich</w:t>
            </w:r>
            <w:proofErr w:type="spellEnd"/>
            <w:r w:rsidR="00E15790" w:rsidRPr="00A232EE">
              <w:rPr>
                <w:rFonts w:asciiTheme="majorHAnsi" w:eastAsia="Calibri" w:hAnsiTheme="majorHAnsi" w:cs="Arial"/>
                <w:sz w:val="22"/>
                <w:szCs w:val="22"/>
                <w:lang w:eastAsia="it-IT"/>
              </w:rPr>
              <w:t xml:space="preserve"> Maya Site in San Jose Succotz, which houses several Maya artisans and their art and craft ware. It is also estimated that several properties of indigenous peoples will be affected in section 4, but </w:t>
            </w:r>
            <w:r w:rsidR="00B905BB" w:rsidRPr="00A232EE">
              <w:rPr>
                <w:rFonts w:asciiTheme="majorHAnsi" w:eastAsia="Calibri" w:hAnsiTheme="majorHAnsi" w:cs="Arial"/>
                <w:sz w:val="22"/>
                <w:szCs w:val="22"/>
                <w:lang w:eastAsia="it-IT"/>
              </w:rPr>
              <w:t xml:space="preserve">that </w:t>
            </w:r>
            <w:r w:rsidR="00E15790" w:rsidRPr="00A232EE">
              <w:rPr>
                <w:rFonts w:asciiTheme="majorHAnsi" w:eastAsia="Calibri" w:hAnsiTheme="majorHAnsi" w:cs="Arial"/>
                <w:sz w:val="22"/>
                <w:szCs w:val="22"/>
                <w:lang w:eastAsia="it-IT"/>
              </w:rPr>
              <w:t xml:space="preserve">section of the road </w:t>
            </w:r>
            <w:r w:rsidR="00B905BB" w:rsidRPr="00A232EE">
              <w:rPr>
                <w:rFonts w:asciiTheme="majorHAnsi" w:eastAsia="Calibri" w:hAnsiTheme="majorHAnsi" w:cs="Arial"/>
                <w:sz w:val="22"/>
                <w:szCs w:val="22"/>
                <w:lang w:eastAsia="it-IT"/>
              </w:rPr>
              <w:t>is not part of the present operation</w:t>
            </w:r>
            <w:r w:rsidR="00E15790" w:rsidRPr="00A232EE">
              <w:rPr>
                <w:rFonts w:asciiTheme="majorHAnsi" w:eastAsia="Calibri" w:hAnsiTheme="majorHAnsi" w:cs="Arial"/>
                <w:sz w:val="22"/>
                <w:szCs w:val="22"/>
                <w:lang w:eastAsia="it-IT"/>
              </w:rPr>
              <w:t>.</w:t>
            </w:r>
          </w:p>
          <w:p w14:paraId="41C07F5E" w14:textId="77777777" w:rsidR="00A13E14" w:rsidRPr="001D2104" w:rsidRDefault="00A13E14" w:rsidP="00E115F7">
            <w:pPr>
              <w:spacing w:before="120" w:after="120"/>
              <w:ind w:left="360" w:right="158"/>
              <w:jc w:val="both"/>
              <w:rPr>
                <w:rFonts w:ascii="Arial" w:eastAsia="Times New Roman" w:hAnsi="Arial" w:cs="Arial"/>
                <w:sz w:val="22"/>
                <w:szCs w:val="22"/>
                <w:shd w:val="clear" w:color="auto" w:fill="FFFFFF"/>
              </w:rPr>
            </w:pPr>
          </w:p>
        </w:tc>
      </w:tr>
      <w:tr w:rsidR="00D632E9" w:rsidRPr="001C38FF" w14:paraId="7715E15C" w14:textId="77777777" w:rsidTr="3EFF9F7B">
        <w:trPr>
          <w:trHeight w:val="236"/>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15" w:type="dxa"/>
              <w:left w:w="105" w:type="dxa"/>
              <w:bottom w:w="15" w:type="dxa"/>
              <w:right w:w="105" w:type="dxa"/>
            </w:tcMar>
            <w:vAlign w:val="center"/>
          </w:tcPr>
          <w:p w14:paraId="7084DACA" w14:textId="77777777" w:rsidR="008966A4" w:rsidRPr="006F7063" w:rsidRDefault="00D632E9" w:rsidP="006F7063">
            <w:pPr>
              <w:ind w:right="165"/>
              <w:jc w:val="both"/>
              <w:rPr>
                <w:rFonts w:ascii="Arial" w:eastAsia="Times New Roman" w:hAnsi="Arial" w:cs="Arial"/>
                <w:b/>
                <w:sz w:val="22"/>
                <w:szCs w:val="22"/>
                <w:shd w:val="clear" w:color="auto" w:fill="FFFFFF"/>
              </w:rPr>
            </w:pPr>
            <w:r w:rsidRPr="006F7063">
              <w:rPr>
                <w:rFonts w:ascii="Arial" w:eastAsia="Times New Roman" w:hAnsi="Arial" w:cs="Arial"/>
                <w:b/>
                <w:sz w:val="22"/>
                <w:szCs w:val="22"/>
              </w:rPr>
              <w:t>Gender Equality</w:t>
            </w:r>
            <w:r w:rsidRPr="006F7063">
              <w:rPr>
                <w:rFonts w:ascii="Arial" w:eastAsia="Times New Roman" w:hAnsi="Arial" w:cs="Arial"/>
                <w:b/>
                <w:sz w:val="22"/>
                <w:szCs w:val="22"/>
                <w:shd w:val="clear" w:color="auto" w:fill="FFFFFF"/>
              </w:rPr>
              <w:t xml:space="preserve"> </w:t>
            </w:r>
          </w:p>
          <w:p w14:paraId="33CA6873" w14:textId="77777777" w:rsidR="00D632E9" w:rsidRPr="006F7063" w:rsidRDefault="00D632E9" w:rsidP="006F7063">
            <w:pPr>
              <w:ind w:right="165"/>
              <w:jc w:val="both"/>
              <w:rPr>
                <w:rFonts w:ascii="Arial" w:eastAsia="Times New Roman" w:hAnsi="Arial" w:cs="Arial"/>
                <w:sz w:val="22"/>
                <w:szCs w:val="22"/>
                <w:shd w:val="clear" w:color="auto" w:fill="FFFFFF"/>
              </w:rPr>
            </w:pPr>
            <w:r w:rsidRPr="006F7063">
              <w:rPr>
                <w:rFonts w:ascii="Arial" w:eastAsia="Times New Roman" w:hAnsi="Arial" w:cs="Arial"/>
                <w:sz w:val="22"/>
                <w:szCs w:val="22"/>
              </w:rPr>
              <w:t>OP-761</w:t>
            </w:r>
            <w:r w:rsidR="008966A4" w:rsidRPr="006F7063">
              <w:rPr>
                <w:rFonts w:ascii="Arial" w:eastAsia="Times New Roman" w:hAnsi="Arial" w:cs="Arial"/>
                <w:sz w:val="22"/>
                <w:szCs w:val="22"/>
              </w:rPr>
              <w:t xml:space="preserve"> (Gender Equality in Development</w:t>
            </w:r>
            <w:r w:rsidR="0024716F" w:rsidRPr="006F7063">
              <w:rPr>
                <w:rFonts w:ascii="Arial" w:eastAsia="Times New Roman" w:hAnsi="Arial" w:cs="Arial"/>
                <w:sz w:val="22"/>
                <w:szCs w:val="22"/>
              </w:rPr>
              <w:t xml:space="preserve"> Policy</w:t>
            </w:r>
            <w:r w:rsidR="008966A4" w:rsidRPr="006F7063">
              <w:rPr>
                <w:rFonts w:ascii="Arial" w:eastAsia="Times New Roman" w:hAnsi="Arial" w:cs="Arial"/>
                <w:sz w:val="22"/>
                <w:szCs w:val="22"/>
              </w:rPr>
              <w:t>)</w:t>
            </w:r>
          </w:p>
        </w:tc>
      </w:tr>
      <w:tr w:rsidR="00D632E9" w:rsidRPr="001C38FF" w14:paraId="4382DF4A" w14:textId="77777777" w:rsidTr="3EFF9F7B">
        <w:trPr>
          <w:trHeight w:val="236"/>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tcPr>
          <w:p w14:paraId="1D73819B" w14:textId="77777777" w:rsidR="004631AC" w:rsidRDefault="005558E6" w:rsidP="004631AC">
            <w:pPr>
              <w:spacing w:before="120" w:after="120"/>
              <w:ind w:right="158"/>
              <w:jc w:val="both"/>
              <w:rPr>
                <w:rFonts w:asciiTheme="majorHAnsi" w:eastAsia="Calibri" w:hAnsiTheme="majorHAnsi" w:cs="Arial"/>
                <w:sz w:val="22"/>
                <w:lang w:eastAsia="it-IT"/>
              </w:rPr>
            </w:pPr>
            <w:r w:rsidRPr="005263D4">
              <w:rPr>
                <w:rFonts w:asciiTheme="majorHAnsi" w:eastAsia="Calibri" w:hAnsiTheme="majorHAnsi" w:cs="Arial"/>
                <w:sz w:val="22"/>
                <w:lang w:eastAsia="it-IT"/>
              </w:rPr>
              <w:t xml:space="preserve">This project prepared a Gender Strategy and Action Plan, which identified that IDB’s gender policy and the requirement of Belizean laws are fundamentally consistent. To comply with both, the gender action plan </w:t>
            </w:r>
            <w:r w:rsidRPr="005263D4">
              <w:rPr>
                <w:rFonts w:asciiTheme="majorHAnsi" w:eastAsia="Calibri" w:hAnsiTheme="majorHAnsi" w:cs="Arial"/>
                <w:sz w:val="22"/>
                <w:lang w:eastAsia="it-IT"/>
              </w:rPr>
              <w:lastRenderedPageBreak/>
              <w:t xml:space="preserve">included </w:t>
            </w:r>
            <w:r w:rsidR="004631AC" w:rsidRPr="005263D4">
              <w:rPr>
                <w:rFonts w:asciiTheme="majorHAnsi" w:eastAsia="Calibri" w:hAnsiTheme="majorHAnsi" w:cs="Arial"/>
                <w:sz w:val="22"/>
                <w:lang w:eastAsia="it-IT"/>
              </w:rPr>
              <w:t xml:space="preserve">a series of measures based on </w:t>
            </w:r>
            <w:r w:rsidRPr="005263D4">
              <w:rPr>
                <w:rFonts w:asciiTheme="majorHAnsi" w:eastAsia="Calibri" w:hAnsiTheme="majorHAnsi" w:cs="Arial"/>
                <w:sz w:val="22"/>
                <w:lang w:eastAsia="it-IT"/>
              </w:rPr>
              <w:t>the following</w:t>
            </w:r>
            <w:r w:rsidR="004631AC" w:rsidRPr="005263D4">
              <w:rPr>
                <w:rFonts w:asciiTheme="majorHAnsi" w:eastAsia="Calibri" w:hAnsiTheme="majorHAnsi" w:cs="Arial"/>
                <w:sz w:val="22"/>
                <w:lang w:eastAsia="it-IT"/>
              </w:rPr>
              <w:t xml:space="preserve"> five pillars: empower women economically, reduce violence against women, improve sexual and reproductive health, education and skills training, and increase women’s participation in decision-making. These measures address the risk of potential sexual harassment but cover a broader range of women’s empowerment as well.</w:t>
            </w:r>
          </w:p>
          <w:p w14:paraId="733FE275" w14:textId="77777777" w:rsidR="00C84627" w:rsidRPr="005263D4" w:rsidRDefault="00C84627" w:rsidP="004631AC">
            <w:pPr>
              <w:spacing w:before="120" w:after="120"/>
              <w:ind w:right="158"/>
              <w:jc w:val="both"/>
              <w:rPr>
                <w:rFonts w:asciiTheme="majorHAnsi" w:eastAsia="Calibri" w:hAnsiTheme="majorHAnsi" w:cs="Arial"/>
                <w:sz w:val="22"/>
                <w:lang w:eastAsia="it-IT"/>
              </w:rPr>
            </w:pPr>
            <w:r>
              <w:rPr>
                <w:rFonts w:asciiTheme="majorHAnsi" w:eastAsia="Calibri" w:hAnsiTheme="majorHAnsi" w:cs="Arial"/>
                <w:sz w:val="22"/>
                <w:lang w:eastAsia="it-IT"/>
              </w:rPr>
              <w:t xml:space="preserve">In addition to the </w:t>
            </w:r>
            <w:r w:rsidRPr="00BC5FC2">
              <w:rPr>
                <w:rFonts w:asciiTheme="majorHAnsi" w:eastAsia="Calibri" w:hAnsiTheme="majorHAnsi" w:cs="Arial"/>
                <w:sz w:val="22"/>
                <w:lang w:eastAsia="it-IT"/>
              </w:rPr>
              <w:t>Gender Strategy and Action Plan</w:t>
            </w:r>
            <w:r>
              <w:rPr>
                <w:rFonts w:asciiTheme="majorHAnsi" w:eastAsia="Calibri" w:hAnsiTheme="majorHAnsi" w:cs="Arial"/>
                <w:sz w:val="22"/>
                <w:lang w:eastAsia="it-IT"/>
              </w:rPr>
              <w:t xml:space="preserve">, to prevent the risk of sexual harassment the ESMP includes </w:t>
            </w:r>
            <w:r w:rsidRPr="005263D4">
              <w:rPr>
                <w:rFonts w:asciiTheme="majorHAnsi" w:eastAsia="Calibri" w:hAnsiTheme="majorHAnsi" w:cs="Arial"/>
                <w:sz w:val="22"/>
                <w:lang w:eastAsia="it-IT"/>
              </w:rPr>
              <w:t xml:space="preserve">to implement a Workers’ Code of Conduct and monitoring measures </w:t>
            </w:r>
            <w:r w:rsidR="00826753">
              <w:rPr>
                <w:rFonts w:asciiTheme="majorHAnsi" w:eastAsia="Calibri" w:hAnsiTheme="majorHAnsi" w:cs="Arial"/>
                <w:noProof/>
                <w:sz w:val="22"/>
                <w:lang w:eastAsia="it-IT"/>
              </w:rPr>
              <w:t>t</w:t>
            </w:r>
            <w:r w:rsidRPr="005263D4">
              <w:rPr>
                <w:rFonts w:asciiTheme="majorHAnsi" w:eastAsia="Calibri" w:hAnsiTheme="majorHAnsi" w:cs="Arial"/>
                <w:noProof/>
                <w:sz w:val="22"/>
                <w:lang w:eastAsia="it-IT"/>
              </w:rPr>
              <w:t>o</w:t>
            </w:r>
            <w:r w:rsidRPr="005263D4">
              <w:rPr>
                <w:rFonts w:asciiTheme="majorHAnsi" w:eastAsia="Calibri" w:hAnsiTheme="majorHAnsi" w:cs="Arial"/>
                <w:sz w:val="22"/>
                <w:lang w:eastAsia="it-IT"/>
              </w:rPr>
              <w:t xml:space="preserve"> verify that these provisions are complied with. The local population will also </w:t>
            </w:r>
            <w:proofErr w:type="gramStart"/>
            <w:r w:rsidRPr="005263D4">
              <w:rPr>
                <w:rFonts w:asciiTheme="majorHAnsi" w:eastAsia="Calibri" w:hAnsiTheme="majorHAnsi" w:cs="Arial"/>
                <w:sz w:val="22"/>
                <w:lang w:eastAsia="it-IT"/>
              </w:rPr>
              <w:t>have the opportunity to</w:t>
            </w:r>
            <w:proofErr w:type="gramEnd"/>
            <w:r w:rsidRPr="005263D4">
              <w:rPr>
                <w:rFonts w:asciiTheme="majorHAnsi" w:eastAsia="Calibri" w:hAnsiTheme="majorHAnsi" w:cs="Arial"/>
                <w:sz w:val="22"/>
                <w:lang w:eastAsia="it-IT"/>
              </w:rPr>
              <w:t xml:space="preserve"> report their concerns regarding potential harassment via the Grievance Redress Mechanism.</w:t>
            </w:r>
          </w:p>
          <w:p w14:paraId="74DFA9D2" w14:textId="77777777" w:rsidR="00A13E14" w:rsidRPr="00A13E14" w:rsidRDefault="004631AC" w:rsidP="005263D4">
            <w:pPr>
              <w:spacing w:before="120" w:after="120"/>
              <w:ind w:right="158"/>
              <w:jc w:val="both"/>
              <w:rPr>
                <w:rFonts w:ascii="Arial" w:eastAsia="Times New Roman" w:hAnsi="Arial" w:cs="Arial"/>
                <w:sz w:val="22"/>
                <w:szCs w:val="22"/>
                <w:shd w:val="clear" w:color="auto" w:fill="FFFFFF"/>
              </w:rPr>
            </w:pPr>
            <w:r w:rsidRPr="005263D4">
              <w:rPr>
                <w:rFonts w:asciiTheme="majorHAnsi" w:eastAsia="Calibri" w:hAnsiTheme="majorHAnsi" w:cs="Arial"/>
                <w:sz w:val="22"/>
                <w:lang w:eastAsia="it-IT"/>
              </w:rPr>
              <w:t xml:space="preserve">The consultations to be carried out will also include a gender perspective to ensure that women’s voices are properly represented and </w:t>
            </w:r>
            <w:proofErr w:type="gramStart"/>
            <w:r w:rsidRPr="005263D4">
              <w:rPr>
                <w:rFonts w:asciiTheme="majorHAnsi" w:eastAsia="Calibri" w:hAnsiTheme="majorHAnsi" w:cs="Arial"/>
                <w:sz w:val="22"/>
                <w:lang w:eastAsia="it-IT"/>
              </w:rPr>
              <w:t xml:space="preserve">have </w:t>
            </w:r>
            <w:r w:rsidR="00826753">
              <w:rPr>
                <w:rFonts w:asciiTheme="majorHAnsi" w:eastAsia="Calibri" w:hAnsiTheme="majorHAnsi" w:cs="Arial"/>
                <w:sz w:val="22"/>
                <w:lang w:eastAsia="it-IT"/>
              </w:rPr>
              <w:t xml:space="preserve">the </w:t>
            </w:r>
            <w:r w:rsidRPr="005263D4">
              <w:rPr>
                <w:rFonts w:asciiTheme="majorHAnsi" w:eastAsia="Calibri" w:hAnsiTheme="majorHAnsi" w:cs="Arial"/>
                <w:noProof/>
                <w:sz w:val="22"/>
                <w:lang w:eastAsia="it-IT"/>
              </w:rPr>
              <w:t>opportunity</w:t>
            </w:r>
            <w:r w:rsidRPr="005263D4">
              <w:rPr>
                <w:rFonts w:asciiTheme="majorHAnsi" w:eastAsia="Calibri" w:hAnsiTheme="majorHAnsi" w:cs="Arial"/>
                <w:sz w:val="22"/>
                <w:lang w:eastAsia="it-IT"/>
              </w:rPr>
              <w:t xml:space="preserve"> to</w:t>
            </w:r>
            <w:proofErr w:type="gramEnd"/>
            <w:r w:rsidRPr="005263D4">
              <w:rPr>
                <w:rFonts w:asciiTheme="majorHAnsi" w:eastAsia="Calibri" w:hAnsiTheme="majorHAnsi" w:cs="Arial"/>
                <w:sz w:val="22"/>
                <w:lang w:eastAsia="it-IT"/>
              </w:rPr>
              <w:t xml:space="preserve"> participate in the process.</w:t>
            </w:r>
          </w:p>
        </w:tc>
      </w:tr>
      <w:tr w:rsidR="00D632E9" w:rsidRPr="00B505FD" w14:paraId="190DEDD2" w14:textId="77777777" w:rsidTr="3EFF9F7B">
        <w:trPr>
          <w:trHeight w:val="236"/>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15" w:type="dxa"/>
              <w:left w:w="105" w:type="dxa"/>
              <w:bottom w:w="15" w:type="dxa"/>
              <w:right w:w="105" w:type="dxa"/>
            </w:tcMar>
          </w:tcPr>
          <w:p w14:paraId="0EBCF96B" w14:textId="77777777" w:rsidR="000A20D3" w:rsidRPr="00B505FD" w:rsidRDefault="00D632E9" w:rsidP="006F7063">
            <w:pPr>
              <w:ind w:right="165"/>
              <w:jc w:val="both"/>
              <w:rPr>
                <w:rFonts w:ascii="Arial" w:eastAsia="Times New Roman" w:hAnsi="Arial" w:cs="Arial"/>
                <w:b/>
                <w:sz w:val="22"/>
                <w:szCs w:val="22"/>
              </w:rPr>
            </w:pPr>
            <w:r w:rsidRPr="006F7063">
              <w:rPr>
                <w:rFonts w:ascii="Arial" w:eastAsia="Times New Roman" w:hAnsi="Arial" w:cs="Arial"/>
                <w:b/>
                <w:sz w:val="22"/>
                <w:szCs w:val="22"/>
              </w:rPr>
              <w:lastRenderedPageBreak/>
              <w:t>Disaster Risk Management</w:t>
            </w:r>
            <w:r w:rsidRPr="00B505FD">
              <w:rPr>
                <w:rFonts w:ascii="Arial" w:eastAsia="Times New Roman" w:hAnsi="Arial" w:cs="Arial"/>
                <w:b/>
                <w:sz w:val="22"/>
                <w:szCs w:val="22"/>
              </w:rPr>
              <w:t xml:space="preserve"> </w:t>
            </w:r>
          </w:p>
          <w:p w14:paraId="02B9480E" w14:textId="77777777" w:rsidR="00D632E9" w:rsidRPr="00B505FD" w:rsidRDefault="00D632E9" w:rsidP="006F7063">
            <w:pPr>
              <w:ind w:right="165"/>
              <w:jc w:val="both"/>
              <w:rPr>
                <w:rFonts w:ascii="Arial" w:eastAsia="Times New Roman" w:hAnsi="Arial" w:cs="Arial"/>
                <w:sz w:val="22"/>
                <w:szCs w:val="22"/>
              </w:rPr>
            </w:pPr>
            <w:r w:rsidRPr="00B505FD">
              <w:rPr>
                <w:rFonts w:ascii="Arial" w:eastAsia="Times New Roman" w:hAnsi="Arial" w:cs="Arial"/>
                <w:sz w:val="22"/>
                <w:szCs w:val="22"/>
              </w:rPr>
              <w:t>OP-704</w:t>
            </w:r>
            <w:r w:rsidR="000A20D3" w:rsidRPr="00B505FD">
              <w:rPr>
                <w:rFonts w:ascii="Arial" w:eastAsia="Times New Roman" w:hAnsi="Arial" w:cs="Arial"/>
                <w:sz w:val="22"/>
                <w:szCs w:val="22"/>
              </w:rPr>
              <w:t xml:space="preserve"> (Disaster Risk Management Policy</w:t>
            </w:r>
            <w:r w:rsidRPr="00B505FD">
              <w:rPr>
                <w:rFonts w:ascii="Arial" w:eastAsia="Times New Roman" w:hAnsi="Arial" w:cs="Arial"/>
                <w:sz w:val="22"/>
                <w:szCs w:val="22"/>
              </w:rPr>
              <w:t>)</w:t>
            </w:r>
          </w:p>
        </w:tc>
      </w:tr>
      <w:tr w:rsidR="00D632E9" w:rsidRPr="001C38FF" w14:paraId="5206BEC7" w14:textId="77777777" w:rsidTr="3EFF9F7B">
        <w:trPr>
          <w:trHeight w:val="236"/>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tcPr>
          <w:p w14:paraId="466955A0" w14:textId="77777777" w:rsidR="00304761" w:rsidRPr="00547C7F" w:rsidRDefault="00675588" w:rsidP="00E115F7">
            <w:pPr>
              <w:pStyle w:val="Paragraph"/>
              <w:tabs>
                <w:tab w:val="clear" w:pos="851"/>
                <w:tab w:val="num" w:pos="810"/>
              </w:tabs>
              <w:outlineLvl w:val="1"/>
              <w:rPr>
                <w:rFonts w:asciiTheme="majorHAnsi" w:hAnsiTheme="majorHAnsi"/>
                <w:shd w:val="clear" w:color="auto" w:fill="FFFFFF"/>
              </w:rPr>
            </w:pPr>
            <w:r w:rsidRPr="003F1CA2">
              <w:rPr>
                <w:rFonts w:asciiTheme="majorHAnsi" w:eastAsia="Calibri" w:hAnsiTheme="majorHAnsi" w:cs="Arial"/>
                <w:lang w:val="en-US"/>
              </w:rPr>
              <w:t xml:space="preserve">In terms of disaster risk management (type 1, those related to the risks posed to the project by natural disasters), the existing network of roads and bridges is severely impacted by frequent flooding. In recent years, tropical storms and hurricanes have affected the country recurrently, and the project area is </w:t>
            </w:r>
            <w:r w:rsidR="00CC0F47" w:rsidRPr="003F1CA2">
              <w:rPr>
                <w:rFonts w:asciiTheme="majorHAnsi" w:eastAsia="Calibri" w:hAnsiTheme="majorHAnsi" w:cs="Arial"/>
                <w:lang w:val="en-US"/>
              </w:rPr>
              <w:t>susceptible</w:t>
            </w:r>
            <w:r w:rsidRPr="003F1CA2">
              <w:rPr>
                <w:rFonts w:asciiTheme="majorHAnsi" w:eastAsia="Calibri" w:hAnsiTheme="majorHAnsi" w:cs="Arial"/>
                <w:lang w:val="en-US"/>
              </w:rPr>
              <w:t xml:space="preserve"> to moderate inland riverine flooding. One of the most critical risks identified </w:t>
            </w:r>
            <w:proofErr w:type="gramStart"/>
            <w:r w:rsidRPr="003F1CA2">
              <w:rPr>
                <w:rFonts w:asciiTheme="majorHAnsi" w:eastAsia="Calibri" w:hAnsiTheme="majorHAnsi" w:cs="Arial"/>
                <w:lang w:val="en-US"/>
              </w:rPr>
              <w:t>in the area of</w:t>
            </w:r>
            <w:proofErr w:type="gramEnd"/>
            <w:r w:rsidRPr="003F1CA2">
              <w:rPr>
                <w:rFonts w:asciiTheme="majorHAnsi" w:eastAsia="Calibri" w:hAnsiTheme="majorHAnsi" w:cs="Arial"/>
                <w:lang w:val="en-US"/>
              </w:rPr>
              <w:t xml:space="preserve"> the project is the existing bridge at Roaring Creek, where there is frequent flooding. However, this project involves the construction of a new bridge at a higher elevation, which will reduce this risk. Additionally, the design includes improved drainage (</w:t>
            </w:r>
            <w:proofErr w:type="gramStart"/>
            <w:r w:rsidRPr="003F1CA2">
              <w:rPr>
                <w:rFonts w:asciiTheme="majorHAnsi" w:eastAsia="Calibri" w:hAnsiTheme="majorHAnsi" w:cs="Arial"/>
                <w:lang w:val="en-US"/>
              </w:rPr>
              <w:t>in particular, the</w:t>
            </w:r>
            <w:proofErr w:type="gramEnd"/>
            <w:r w:rsidRPr="003F1CA2">
              <w:rPr>
                <w:rFonts w:asciiTheme="majorHAnsi" w:eastAsia="Calibri" w:hAnsiTheme="majorHAnsi" w:cs="Arial"/>
                <w:lang w:val="en-US"/>
              </w:rPr>
              <w:t xml:space="preserve"> inclusion of several oversized box culverts) which will further reduce flooding risk. Notwithstanding this, the disaster risk level of this operation has been deemed as moderate</w:t>
            </w:r>
            <w:r w:rsidR="008C5B38" w:rsidRPr="003F1CA2">
              <w:rPr>
                <w:rFonts w:asciiTheme="majorHAnsi" w:eastAsia="Calibri" w:hAnsiTheme="majorHAnsi" w:cs="Arial"/>
                <w:lang w:val="en-US"/>
              </w:rPr>
              <w:t xml:space="preserve">, </w:t>
            </w:r>
            <w:r w:rsidRPr="003F1CA2">
              <w:rPr>
                <w:rFonts w:asciiTheme="majorHAnsi" w:eastAsia="Calibri" w:hAnsiTheme="majorHAnsi" w:cs="Arial"/>
                <w:lang w:val="en-US"/>
              </w:rPr>
              <w:t>since the area is still prone to tropical storms and hurricanes which will also impact during construction. The project itself is not expected to exacerbate these risks (type 2 disaster risk), rather reduce these, through the mitigation measures have been already included in the design of the road (i.e. bridge, drainage, and culverts), there was no need for a specialized instrument such as a separate disaster risk management plan</w:t>
            </w:r>
            <w:r w:rsidRPr="00547C7F">
              <w:rPr>
                <w:rFonts w:asciiTheme="majorHAnsi" w:hAnsiTheme="majorHAnsi"/>
                <w:lang w:val="en-US"/>
              </w:rPr>
              <w:t>.</w:t>
            </w:r>
          </w:p>
        </w:tc>
      </w:tr>
      <w:tr w:rsidR="00D632E9" w:rsidRPr="001C38FF" w:rsidDel="00A11ACD" w14:paraId="1D2CCB9E" w14:textId="77777777" w:rsidTr="3EFF9F7B">
        <w:trPr>
          <w:trHeight w:val="236"/>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15" w:type="dxa"/>
              <w:left w:w="105" w:type="dxa"/>
              <w:bottom w:w="15" w:type="dxa"/>
              <w:right w:w="105" w:type="dxa"/>
            </w:tcMar>
          </w:tcPr>
          <w:p w14:paraId="67D1C875" w14:textId="77777777" w:rsidR="000A20D3" w:rsidRPr="006F7063" w:rsidRDefault="000A20D3" w:rsidP="006F7063">
            <w:pPr>
              <w:ind w:right="165"/>
              <w:jc w:val="both"/>
              <w:rPr>
                <w:rFonts w:ascii="Arial" w:eastAsia="Times New Roman" w:hAnsi="Arial" w:cs="Arial"/>
                <w:b/>
                <w:sz w:val="22"/>
                <w:szCs w:val="22"/>
                <w:shd w:val="clear" w:color="auto" w:fill="FFFFFF"/>
              </w:rPr>
            </w:pPr>
            <w:r w:rsidRPr="006F7063">
              <w:rPr>
                <w:rFonts w:ascii="Arial" w:eastAsia="Times New Roman" w:hAnsi="Arial" w:cs="Arial"/>
                <w:b/>
                <w:sz w:val="22"/>
                <w:szCs w:val="22"/>
              </w:rPr>
              <w:t>Supervision</w:t>
            </w:r>
          </w:p>
          <w:p w14:paraId="76042D7B" w14:textId="77777777" w:rsidR="00D632E9" w:rsidRDefault="00D632E9" w:rsidP="006F7063">
            <w:pPr>
              <w:ind w:right="165"/>
              <w:jc w:val="both"/>
              <w:rPr>
                <w:rFonts w:ascii="Arial" w:eastAsia="Times New Roman" w:hAnsi="Arial" w:cs="Arial"/>
                <w:sz w:val="22"/>
                <w:szCs w:val="22"/>
              </w:rPr>
            </w:pPr>
            <w:r w:rsidRPr="006F7063">
              <w:rPr>
                <w:rFonts w:ascii="Arial" w:eastAsia="Times New Roman" w:hAnsi="Arial" w:cs="Arial"/>
                <w:sz w:val="22"/>
                <w:szCs w:val="22"/>
              </w:rPr>
              <w:t>OP-703</w:t>
            </w:r>
            <w:r w:rsidR="000A20D3" w:rsidRPr="006F7063">
              <w:rPr>
                <w:rFonts w:ascii="Arial" w:eastAsia="Times New Roman" w:hAnsi="Arial" w:cs="Arial"/>
                <w:sz w:val="22"/>
                <w:szCs w:val="22"/>
              </w:rPr>
              <w:t xml:space="preserve"> (Environment and Safeguards Compliance Policy)</w:t>
            </w:r>
            <w:r w:rsidR="003D6C2F" w:rsidRPr="006F7063">
              <w:rPr>
                <w:rFonts w:ascii="Arial" w:eastAsia="Times New Roman" w:hAnsi="Arial" w:cs="Arial"/>
                <w:sz w:val="22"/>
                <w:szCs w:val="22"/>
              </w:rPr>
              <w:t xml:space="preserve">: </w:t>
            </w:r>
            <w:r w:rsidR="0024716F" w:rsidRPr="006F7063">
              <w:rPr>
                <w:rFonts w:ascii="Arial" w:eastAsia="Times New Roman" w:hAnsi="Arial" w:cs="Arial"/>
                <w:sz w:val="22"/>
                <w:szCs w:val="22"/>
              </w:rPr>
              <w:t>B</w:t>
            </w:r>
            <w:r w:rsidR="003D6C2F" w:rsidRPr="006F7063">
              <w:rPr>
                <w:rFonts w:ascii="Arial" w:eastAsia="Times New Roman" w:hAnsi="Arial" w:cs="Arial"/>
                <w:sz w:val="22"/>
                <w:szCs w:val="22"/>
              </w:rPr>
              <w:t>.</w:t>
            </w:r>
            <w:r w:rsidR="0024716F" w:rsidRPr="006F7063">
              <w:rPr>
                <w:rFonts w:ascii="Arial" w:eastAsia="Times New Roman" w:hAnsi="Arial" w:cs="Arial"/>
                <w:sz w:val="22"/>
                <w:szCs w:val="22"/>
              </w:rPr>
              <w:t xml:space="preserve">5 (Environmental Assessment </w:t>
            </w:r>
            <w:r w:rsidR="00844A93" w:rsidRPr="006F7063">
              <w:rPr>
                <w:rFonts w:ascii="Arial" w:eastAsia="Times New Roman" w:hAnsi="Arial" w:cs="Arial"/>
                <w:sz w:val="22"/>
                <w:szCs w:val="22"/>
              </w:rPr>
              <w:t xml:space="preserve">and Plans </w:t>
            </w:r>
            <w:r w:rsidR="0024716F" w:rsidRPr="006F7063">
              <w:rPr>
                <w:rFonts w:ascii="Arial" w:eastAsia="Times New Roman" w:hAnsi="Arial" w:cs="Arial"/>
                <w:sz w:val="22"/>
                <w:szCs w:val="22"/>
              </w:rPr>
              <w:t xml:space="preserve">Requirements) and </w:t>
            </w:r>
            <w:r w:rsidR="000A20D3" w:rsidRPr="006F7063">
              <w:rPr>
                <w:rFonts w:ascii="Arial" w:eastAsia="Times New Roman" w:hAnsi="Arial" w:cs="Arial"/>
                <w:sz w:val="22"/>
                <w:szCs w:val="22"/>
              </w:rPr>
              <w:t>B</w:t>
            </w:r>
            <w:r w:rsidR="003D6C2F" w:rsidRPr="006F7063">
              <w:rPr>
                <w:rFonts w:ascii="Arial" w:eastAsia="Times New Roman" w:hAnsi="Arial" w:cs="Arial"/>
                <w:sz w:val="22"/>
                <w:szCs w:val="22"/>
              </w:rPr>
              <w:t>.</w:t>
            </w:r>
            <w:r w:rsidR="000A20D3" w:rsidRPr="006F7063">
              <w:rPr>
                <w:rFonts w:ascii="Arial" w:eastAsia="Times New Roman" w:hAnsi="Arial" w:cs="Arial"/>
                <w:sz w:val="22"/>
                <w:szCs w:val="22"/>
              </w:rPr>
              <w:t>7 (S</w:t>
            </w:r>
            <w:r w:rsidRPr="006F7063">
              <w:rPr>
                <w:rFonts w:ascii="Arial" w:eastAsia="Times New Roman" w:hAnsi="Arial" w:cs="Arial"/>
                <w:sz w:val="22"/>
                <w:szCs w:val="22"/>
              </w:rPr>
              <w:t xml:space="preserve">upervision and </w:t>
            </w:r>
            <w:r w:rsidR="00844A93" w:rsidRPr="006F7063">
              <w:rPr>
                <w:rFonts w:ascii="Arial" w:eastAsia="Times New Roman" w:hAnsi="Arial" w:cs="Arial"/>
                <w:sz w:val="22"/>
                <w:szCs w:val="22"/>
              </w:rPr>
              <w:t>C</w:t>
            </w:r>
            <w:r w:rsidRPr="006F7063">
              <w:rPr>
                <w:rFonts w:ascii="Arial" w:eastAsia="Times New Roman" w:hAnsi="Arial" w:cs="Arial"/>
                <w:sz w:val="22"/>
                <w:szCs w:val="22"/>
              </w:rPr>
              <w:t>ompliance</w:t>
            </w:r>
            <w:r w:rsidR="000A20D3" w:rsidRPr="006F7063">
              <w:rPr>
                <w:rFonts w:ascii="Arial" w:eastAsia="Times New Roman" w:hAnsi="Arial" w:cs="Arial"/>
                <w:sz w:val="22"/>
                <w:szCs w:val="22"/>
              </w:rPr>
              <w:t>)</w:t>
            </w:r>
          </w:p>
          <w:p w14:paraId="1951C6FD" w14:textId="77777777" w:rsidR="00B505FD" w:rsidRDefault="00B505FD" w:rsidP="006F7063">
            <w:pPr>
              <w:ind w:right="165"/>
              <w:jc w:val="both"/>
              <w:rPr>
                <w:rFonts w:ascii="Arial" w:eastAsia="Times New Roman" w:hAnsi="Arial" w:cs="Arial"/>
                <w:sz w:val="22"/>
                <w:szCs w:val="22"/>
              </w:rPr>
            </w:pPr>
            <w:r w:rsidRPr="006F7063">
              <w:rPr>
                <w:rFonts w:ascii="Arial" w:eastAsia="Times New Roman" w:hAnsi="Arial" w:cs="Arial"/>
                <w:sz w:val="22"/>
                <w:szCs w:val="22"/>
              </w:rPr>
              <w:t>OP-710 (Involuntary Resettlement Policy)</w:t>
            </w:r>
          </w:p>
          <w:p w14:paraId="714BA2C3" w14:textId="77777777" w:rsidR="00B505FD" w:rsidRDefault="00B505FD" w:rsidP="006F7063">
            <w:pPr>
              <w:ind w:right="165"/>
              <w:jc w:val="both"/>
              <w:rPr>
                <w:rFonts w:ascii="Arial" w:eastAsia="Times New Roman" w:hAnsi="Arial" w:cs="Arial"/>
                <w:sz w:val="22"/>
                <w:szCs w:val="22"/>
              </w:rPr>
            </w:pPr>
            <w:r w:rsidRPr="006F7063">
              <w:rPr>
                <w:rFonts w:ascii="Arial" w:eastAsia="Times New Roman" w:hAnsi="Arial" w:cs="Arial"/>
                <w:sz w:val="22"/>
                <w:szCs w:val="22"/>
              </w:rPr>
              <w:t>OP-765 (Indigenous Peoples Policy)</w:t>
            </w:r>
          </w:p>
          <w:p w14:paraId="7DAFFE49" w14:textId="77777777" w:rsidR="00B505FD" w:rsidRDefault="00B505FD" w:rsidP="006F7063">
            <w:pPr>
              <w:ind w:right="165"/>
              <w:jc w:val="both"/>
              <w:rPr>
                <w:rFonts w:ascii="Arial" w:eastAsia="Times New Roman" w:hAnsi="Arial" w:cs="Arial"/>
                <w:sz w:val="22"/>
                <w:szCs w:val="22"/>
              </w:rPr>
            </w:pPr>
            <w:r w:rsidRPr="00B505FD">
              <w:rPr>
                <w:rFonts w:ascii="Arial" w:eastAsia="Times New Roman" w:hAnsi="Arial" w:cs="Arial"/>
                <w:sz w:val="22"/>
                <w:szCs w:val="22"/>
              </w:rPr>
              <w:t>OP-704 (Disaster Risk Management Policy)</w:t>
            </w:r>
          </w:p>
          <w:p w14:paraId="63BB22A4" w14:textId="77777777" w:rsidR="00B505FD" w:rsidRPr="006F7063" w:rsidRDefault="00B505FD" w:rsidP="006F7063">
            <w:pPr>
              <w:ind w:right="165"/>
              <w:jc w:val="both"/>
              <w:rPr>
                <w:rFonts w:ascii="Arial" w:eastAsia="Times New Roman" w:hAnsi="Arial" w:cs="Arial"/>
                <w:sz w:val="22"/>
                <w:szCs w:val="22"/>
                <w:shd w:val="clear" w:color="auto" w:fill="FFFFFF"/>
              </w:rPr>
            </w:pPr>
            <w:r w:rsidRPr="006F7063">
              <w:rPr>
                <w:rFonts w:ascii="Arial" w:eastAsia="Times New Roman" w:hAnsi="Arial" w:cs="Arial"/>
                <w:sz w:val="22"/>
                <w:szCs w:val="22"/>
              </w:rPr>
              <w:t>OP-761 (Gender Equality in Development Policy)</w:t>
            </w:r>
          </w:p>
        </w:tc>
      </w:tr>
      <w:tr w:rsidR="00D632E9" w:rsidRPr="001C38FF" w:rsidDel="00A11ACD" w14:paraId="7DBB440B" w14:textId="77777777" w:rsidTr="3EFF9F7B">
        <w:trPr>
          <w:trHeight w:val="236"/>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tcPr>
          <w:p w14:paraId="5A8C1E4D" w14:textId="77777777" w:rsidR="00E115F7" w:rsidRDefault="001367F0" w:rsidP="00E115F7">
            <w:pPr>
              <w:pStyle w:val="Paragraph"/>
              <w:tabs>
                <w:tab w:val="clear" w:pos="851"/>
                <w:tab w:val="num" w:pos="810"/>
              </w:tabs>
              <w:outlineLvl w:val="1"/>
              <w:rPr>
                <w:rFonts w:asciiTheme="majorHAnsi" w:eastAsia="Calibri" w:hAnsiTheme="majorHAnsi" w:cs="Arial"/>
                <w:lang w:val="en-US"/>
              </w:rPr>
            </w:pPr>
            <w:r w:rsidRPr="00E115F7">
              <w:rPr>
                <w:rFonts w:asciiTheme="majorHAnsi" w:eastAsia="Calibri" w:hAnsiTheme="majorHAnsi" w:cs="Arial"/>
                <w:lang w:val="en-US"/>
              </w:rPr>
              <w:t xml:space="preserve">During project execution, the </w:t>
            </w:r>
            <w:r w:rsidR="00022EAA" w:rsidRPr="00E115F7">
              <w:rPr>
                <w:rFonts w:asciiTheme="majorHAnsi" w:eastAsia="Calibri" w:hAnsiTheme="majorHAnsi" w:cs="Arial"/>
                <w:lang w:val="en-US"/>
              </w:rPr>
              <w:t>B</w:t>
            </w:r>
            <w:r w:rsidRPr="00E115F7">
              <w:rPr>
                <w:rFonts w:asciiTheme="majorHAnsi" w:eastAsia="Calibri" w:hAnsiTheme="majorHAnsi" w:cs="Arial"/>
                <w:lang w:val="en-US"/>
              </w:rPr>
              <w:t xml:space="preserve">ank will carry out </w:t>
            </w:r>
            <w:r w:rsidR="00E115F7">
              <w:rPr>
                <w:rFonts w:asciiTheme="majorHAnsi" w:eastAsia="Calibri" w:hAnsiTheme="majorHAnsi" w:cs="Arial"/>
                <w:lang w:val="en-US"/>
              </w:rPr>
              <w:t>periodic</w:t>
            </w:r>
            <w:r w:rsidR="00E115F7" w:rsidRPr="00E115F7">
              <w:rPr>
                <w:rFonts w:asciiTheme="majorHAnsi" w:eastAsia="Calibri" w:hAnsiTheme="majorHAnsi" w:cs="Arial"/>
                <w:lang w:val="en-US"/>
              </w:rPr>
              <w:t xml:space="preserve"> </w:t>
            </w:r>
            <w:r w:rsidRPr="00E115F7">
              <w:rPr>
                <w:rFonts w:asciiTheme="majorHAnsi" w:eastAsia="Calibri" w:hAnsiTheme="majorHAnsi" w:cs="Arial"/>
                <w:lang w:val="en-US"/>
              </w:rPr>
              <w:t>environmental and social s</w:t>
            </w:r>
            <w:r w:rsidR="00F11E19" w:rsidRPr="00E115F7">
              <w:rPr>
                <w:rFonts w:asciiTheme="majorHAnsi" w:eastAsia="Calibri" w:hAnsiTheme="majorHAnsi" w:cs="Arial"/>
                <w:lang w:val="en-US"/>
              </w:rPr>
              <w:t>upervision</w:t>
            </w:r>
            <w:r w:rsidRPr="00E115F7">
              <w:rPr>
                <w:rFonts w:asciiTheme="majorHAnsi" w:eastAsia="Calibri" w:hAnsiTheme="majorHAnsi" w:cs="Arial"/>
                <w:lang w:val="en-US"/>
              </w:rPr>
              <w:t xml:space="preserve"> to verify the execution of </w:t>
            </w:r>
            <w:r w:rsidR="000B5F5D" w:rsidRPr="00E115F7">
              <w:rPr>
                <w:rFonts w:asciiTheme="majorHAnsi" w:eastAsia="Calibri" w:hAnsiTheme="majorHAnsi" w:cs="Arial"/>
                <w:lang w:val="en-US"/>
              </w:rPr>
              <w:t xml:space="preserve">the </w:t>
            </w:r>
            <w:r w:rsidRPr="00E115F7">
              <w:rPr>
                <w:rFonts w:asciiTheme="majorHAnsi" w:eastAsia="Calibri" w:hAnsiTheme="majorHAnsi" w:cs="Arial"/>
                <w:lang w:val="en-US"/>
              </w:rPr>
              <w:t xml:space="preserve">environmental and social management plans agreed with the borrower, and to periodically asses the project’s compliance with the IDB's safeguard policies. This supervision will include field supervision missions, the review of </w:t>
            </w:r>
            <w:r w:rsidR="000B5F5D" w:rsidRPr="00E115F7">
              <w:rPr>
                <w:rFonts w:asciiTheme="majorHAnsi" w:eastAsia="Calibri" w:hAnsiTheme="majorHAnsi" w:cs="Arial"/>
                <w:lang w:val="en-US"/>
              </w:rPr>
              <w:t xml:space="preserve">the semi-annual </w:t>
            </w:r>
            <w:r w:rsidRPr="00E115F7">
              <w:rPr>
                <w:rFonts w:asciiTheme="majorHAnsi" w:eastAsia="Calibri" w:hAnsiTheme="majorHAnsi" w:cs="Arial"/>
                <w:lang w:val="en-US"/>
              </w:rPr>
              <w:t xml:space="preserve">progress reports, and follow up activities related to </w:t>
            </w:r>
            <w:r w:rsidR="000B5F5D" w:rsidRPr="00E115F7">
              <w:rPr>
                <w:rFonts w:asciiTheme="majorHAnsi" w:eastAsia="Calibri" w:hAnsiTheme="majorHAnsi" w:cs="Arial"/>
                <w:lang w:val="en-US"/>
              </w:rPr>
              <w:t xml:space="preserve">the </w:t>
            </w:r>
            <w:r w:rsidRPr="00E115F7">
              <w:rPr>
                <w:rFonts w:asciiTheme="majorHAnsi" w:eastAsia="Calibri" w:hAnsiTheme="majorHAnsi" w:cs="Arial"/>
                <w:lang w:val="en-US"/>
              </w:rPr>
              <w:t>environmental and social action plans</w:t>
            </w:r>
            <w:r w:rsidR="000B5F5D" w:rsidRPr="00E115F7">
              <w:rPr>
                <w:rFonts w:asciiTheme="majorHAnsi" w:eastAsia="Calibri" w:hAnsiTheme="majorHAnsi" w:cs="Arial"/>
                <w:lang w:val="en-US"/>
              </w:rPr>
              <w:t xml:space="preserve"> developed as part of each mission.</w:t>
            </w:r>
            <w:r w:rsidR="009E22BF" w:rsidRPr="00E115F7">
              <w:rPr>
                <w:rFonts w:asciiTheme="majorHAnsi" w:eastAsia="Calibri" w:hAnsiTheme="majorHAnsi" w:cs="Arial"/>
                <w:lang w:val="en-US"/>
              </w:rPr>
              <w:t xml:space="preserve"> </w:t>
            </w:r>
            <w:r w:rsidR="00D4235B" w:rsidRPr="00E115F7">
              <w:rPr>
                <w:rFonts w:asciiTheme="majorHAnsi" w:eastAsia="Calibri" w:hAnsiTheme="majorHAnsi" w:cs="Arial"/>
                <w:lang w:val="en-US"/>
              </w:rPr>
              <w:t>In this respect, the Operations Manual of the project will indicate that the Executing Agency shall prepare and present to the Bank’s satisfaction, an ESHS Compliance Report (ESCR), in the form and content agreed upon with the Bank</w:t>
            </w:r>
            <w:r w:rsidR="0085101A" w:rsidRPr="00E115F7">
              <w:rPr>
                <w:rFonts w:asciiTheme="majorHAnsi" w:eastAsia="Calibri" w:hAnsiTheme="majorHAnsi" w:cs="Arial"/>
                <w:lang w:val="en-US"/>
              </w:rPr>
              <w:t>,</w:t>
            </w:r>
            <w:r w:rsidR="00D4235B" w:rsidRPr="00E115F7">
              <w:rPr>
                <w:rFonts w:asciiTheme="majorHAnsi" w:eastAsia="Calibri" w:hAnsiTheme="majorHAnsi" w:cs="Arial"/>
                <w:lang w:val="en-US"/>
              </w:rPr>
              <w:t xml:space="preserve"> as presented in </w:t>
            </w:r>
            <w:r w:rsidR="00D4235B" w:rsidRPr="005263D4">
              <w:rPr>
                <w:rFonts w:asciiTheme="majorHAnsi" w:eastAsia="Calibri" w:hAnsiTheme="majorHAnsi" w:cs="Arial"/>
                <w:lang w:val="en-US"/>
              </w:rPr>
              <w:t xml:space="preserve">Annex </w:t>
            </w:r>
            <w:r w:rsidR="001C580E" w:rsidRPr="005263D4">
              <w:rPr>
                <w:rFonts w:asciiTheme="majorHAnsi" w:eastAsia="Calibri" w:hAnsiTheme="majorHAnsi" w:cs="Arial"/>
                <w:lang w:val="en-US"/>
              </w:rPr>
              <w:t>C</w:t>
            </w:r>
            <w:r w:rsidR="00D4235B" w:rsidRPr="005263D4">
              <w:rPr>
                <w:rFonts w:asciiTheme="majorHAnsi" w:eastAsia="Calibri" w:hAnsiTheme="majorHAnsi" w:cs="Arial"/>
                <w:lang w:val="en-US"/>
              </w:rPr>
              <w:t>,</w:t>
            </w:r>
            <w:r w:rsidR="00D4235B" w:rsidRPr="00E115F7">
              <w:rPr>
                <w:rFonts w:asciiTheme="majorHAnsi" w:eastAsia="Calibri" w:hAnsiTheme="majorHAnsi" w:cs="Arial"/>
                <w:lang w:val="en-US"/>
              </w:rPr>
              <w:t xml:space="preserve"> as part of the semester progress report, until two years after construction is completed. </w:t>
            </w:r>
            <w:r w:rsidR="00022EAA" w:rsidRPr="00E115F7">
              <w:rPr>
                <w:rFonts w:asciiTheme="majorHAnsi" w:eastAsia="Calibri" w:hAnsiTheme="majorHAnsi" w:cs="Arial"/>
                <w:lang w:val="en-US"/>
              </w:rPr>
              <w:t xml:space="preserve">The Bank will determine the format and frequency of its supervision activities according to the specific needs of the project. </w:t>
            </w:r>
          </w:p>
          <w:p w14:paraId="4C7348C3" w14:textId="77777777" w:rsidR="009E22BF" w:rsidRPr="00422F32" w:rsidDel="00A11ACD" w:rsidRDefault="0085101A" w:rsidP="00947D33">
            <w:pPr>
              <w:pStyle w:val="Paragraph"/>
              <w:tabs>
                <w:tab w:val="clear" w:pos="851"/>
                <w:tab w:val="num" w:pos="810"/>
              </w:tabs>
              <w:outlineLvl w:val="1"/>
              <w:rPr>
                <w:shd w:val="clear" w:color="auto" w:fill="FFFFFF"/>
              </w:rPr>
            </w:pPr>
            <w:r w:rsidRPr="00E115F7">
              <w:rPr>
                <w:rFonts w:asciiTheme="majorHAnsi" w:eastAsia="Calibri" w:hAnsiTheme="majorHAnsi" w:cs="Arial"/>
                <w:lang w:val="en-US"/>
              </w:rPr>
              <w:t>The supervision</w:t>
            </w:r>
            <w:r w:rsidR="00857C70" w:rsidRPr="00E115F7">
              <w:rPr>
                <w:rFonts w:asciiTheme="majorHAnsi" w:eastAsia="Calibri" w:hAnsiTheme="majorHAnsi" w:cs="Arial"/>
                <w:lang w:val="en-US"/>
              </w:rPr>
              <w:t xml:space="preserve"> of the project on behalf of the MOW </w:t>
            </w:r>
            <w:r w:rsidR="00022EAA" w:rsidRPr="00E115F7">
              <w:rPr>
                <w:rFonts w:asciiTheme="majorHAnsi" w:eastAsia="Calibri" w:hAnsiTheme="majorHAnsi" w:cs="Arial"/>
                <w:lang w:val="en-US"/>
              </w:rPr>
              <w:t>will</w:t>
            </w:r>
            <w:r w:rsidR="00857C70" w:rsidRPr="00E115F7">
              <w:rPr>
                <w:rFonts w:asciiTheme="majorHAnsi" w:eastAsia="Calibri" w:hAnsiTheme="majorHAnsi" w:cs="Arial"/>
                <w:lang w:val="en-US"/>
              </w:rPr>
              <w:t xml:space="preserve"> be carried out by the firm AMC </w:t>
            </w:r>
            <w:proofErr w:type="spellStart"/>
            <w:r w:rsidR="00857C70" w:rsidRPr="00E115F7">
              <w:rPr>
                <w:rFonts w:asciiTheme="majorHAnsi" w:eastAsia="Calibri" w:hAnsiTheme="majorHAnsi" w:cs="Arial"/>
                <w:lang w:val="en-US"/>
              </w:rPr>
              <w:t>WorldWide</w:t>
            </w:r>
            <w:proofErr w:type="spellEnd"/>
            <w:r w:rsidR="00857C70" w:rsidRPr="00E115F7">
              <w:rPr>
                <w:rFonts w:asciiTheme="majorHAnsi" w:eastAsia="Calibri" w:hAnsiTheme="majorHAnsi" w:cs="Arial"/>
                <w:lang w:val="en-US"/>
              </w:rPr>
              <w:t>,</w:t>
            </w:r>
            <w:r w:rsidRPr="00E115F7">
              <w:rPr>
                <w:rFonts w:asciiTheme="majorHAnsi" w:eastAsia="Calibri" w:hAnsiTheme="majorHAnsi" w:cs="Arial"/>
                <w:lang w:val="en-US"/>
              </w:rPr>
              <w:t xml:space="preserve"> </w:t>
            </w:r>
            <w:r w:rsidR="00857C70" w:rsidRPr="00E115F7">
              <w:rPr>
                <w:rFonts w:asciiTheme="majorHAnsi" w:eastAsia="Calibri" w:hAnsiTheme="majorHAnsi" w:cs="Arial"/>
                <w:lang w:val="en-US"/>
              </w:rPr>
              <w:t>which has already been contracted</w:t>
            </w:r>
            <w:r w:rsidR="00E115F7">
              <w:rPr>
                <w:rFonts w:asciiTheme="majorHAnsi" w:eastAsia="Calibri" w:hAnsiTheme="majorHAnsi" w:cs="Arial"/>
                <w:lang w:val="en-US"/>
              </w:rPr>
              <w:t xml:space="preserve"> for sections </w:t>
            </w:r>
            <w:r w:rsidR="00D07AF0">
              <w:rPr>
                <w:rFonts w:asciiTheme="majorHAnsi" w:eastAsia="Calibri" w:hAnsiTheme="majorHAnsi" w:cs="Arial"/>
                <w:lang w:val="en-US"/>
              </w:rPr>
              <w:t>I</w:t>
            </w:r>
            <w:r w:rsidR="00E115F7">
              <w:rPr>
                <w:rFonts w:asciiTheme="majorHAnsi" w:eastAsia="Calibri" w:hAnsiTheme="majorHAnsi" w:cs="Arial"/>
                <w:lang w:val="en-US"/>
              </w:rPr>
              <w:t>-</w:t>
            </w:r>
            <w:r w:rsidR="00D07AF0">
              <w:rPr>
                <w:rFonts w:asciiTheme="majorHAnsi" w:eastAsia="Calibri" w:hAnsiTheme="majorHAnsi" w:cs="Arial"/>
                <w:lang w:val="en-US"/>
              </w:rPr>
              <w:t>III</w:t>
            </w:r>
            <w:r w:rsidR="00022EAA" w:rsidRPr="00E115F7">
              <w:rPr>
                <w:rFonts w:asciiTheme="majorHAnsi" w:eastAsia="Calibri" w:hAnsiTheme="majorHAnsi" w:cs="Arial"/>
                <w:lang w:val="en-US"/>
              </w:rPr>
              <w:t>.</w:t>
            </w:r>
            <w:r w:rsidR="00857C70" w:rsidRPr="00E115F7">
              <w:rPr>
                <w:rFonts w:asciiTheme="majorHAnsi" w:eastAsia="Calibri" w:hAnsiTheme="majorHAnsi" w:cs="Arial"/>
                <w:lang w:val="en-US"/>
              </w:rPr>
              <w:t xml:space="preserve"> </w:t>
            </w:r>
            <w:r w:rsidR="00E115F7">
              <w:rPr>
                <w:rFonts w:asciiTheme="majorHAnsi" w:eastAsia="Calibri" w:hAnsiTheme="majorHAnsi" w:cs="Arial"/>
                <w:lang w:val="en-US"/>
              </w:rPr>
              <w:t xml:space="preserve">AMC has a </w:t>
            </w:r>
            <w:r w:rsidR="00E115F7" w:rsidRPr="005263D4">
              <w:rPr>
                <w:rFonts w:asciiTheme="majorHAnsi" w:eastAsia="Calibri" w:hAnsiTheme="majorHAnsi" w:cs="Arial"/>
                <w:noProof/>
                <w:lang w:val="en-US"/>
              </w:rPr>
              <w:t>part</w:t>
            </w:r>
            <w:r w:rsidR="00826753">
              <w:rPr>
                <w:rFonts w:asciiTheme="majorHAnsi" w:eastAsia="Calibri" w:hAnsiTheme="majorHAnsi" w:cs="Arial"/>
                <w:noProof/>
                <w:lang w:val="en-US"/>
              </w:rPr>
              <w:t>-</w:t>
            </w:r>
            <w:r w:rsidR="00E115F7" w:rsidRPr="005263D4">
              <w:rPr>
                <w:rFonts w:asciiTheme="majorHAnsi" w:eastAsia="Calibri" w:hAnsiTheme="majorHAnsi" w:cs="Arial"/>
                <w:noProof/>
                <w:lang w:val="en-US"/>
              </w:rPr>
              <w:t>time</w:t>
            </w:r>
            <w:r w:rsidR="00E115F7">
              <w:rPr>
                <w:rFonts w:asciiTheme="majorHAnsi" w:eastAsia="Calibri" w:hAnsiTheme="majorHAnsi" w:cs="Arial"/>
                <w:lang w:val="en-US"/>
              </w:rPr>
              <w:t xml:space="preserve"> environmental specialist who spends approximately 1 day a week undertaking site inspections</w:t>
            </w:r>
            <w:r w:rsidR="00947D33">
              <w:rPr>
                <w:rFonts w:asciiTheme="majorHAnsi" w:eastAsia="Calibri" w:hAnsiTheme="majorHAnsi" w:cs="Arial"/>
                <w:lang w:val="en-US"/>
              </w:rPr>
              <w:t xml:space="preserve"> to</w:t>
            </w:r>
            <w:r w:rsidR="00857C70" w:rsidRPr="00E115F7">
              <w:rPr>
                <w:rFonts w:asciiTheme="majorHAnsi" w:eastAsia="Calibri" w:hAnsiTheme="majorHAnsi" w:cs="Arial"/>
                <w:lang w:val="en-US"/>
              </w:rPr>
              <w:t xml:space="preserve"> verify </w:t>
            </w:r>
            <w:r w:rsidR="00947D33">
              <w:rPr>
                <w:rFonts w:asciiTheme="majorHAnsi" w:eastAsia="Calibri" w:hAnsiTheme="majorHAnsi" w:cs="Arial"/>
                <w:lang w:val="en-US"/>
              </w:rPr>
              <w:t>the</w:t>
            </w:r>
            <w:r w:rsidR="0084432B" w:rsidRPr="00E115F7">
              <w:rPr>
                <w:rFonts w:asciiTheme="majorHAnsi" w:eastAsia="Calibri" w:hAnsiTheme="majorHAnsi" w:cs="Arial"/>
                <w:lang w:val="en-US"/>
              </w:rPr>
              <w:t xml:space="preserve"> </w:t>
            </w:r>
            <w:r w:rsidR="00857C70" w:rsidRPr="00E115F7">
              <w:rPr>
                <w:rFonts w:asciiTheme="majorHAnsi" w:eastAsia="Calibri" w:hAnsiTheme="majorHAnsi" w:cs="Arial"/>
                <w:lang w:val="en-US"/>
              </w:rPr>
              <w:t xml:space="preserve">contractors </w:t>
            </w:r>
            <w:r w:rsidR="00022EAA" w:rsidRPr="00E115F7">
              <w:rPr>
                <w:rFonts w:asciiTheme="majorHAnsi" w:eastAsia="Calibri" w:hAnsiTheme="majorHAnsi" w:cs="Arial"/>
                <w:lang w:val="en-US"/>
              </w:rPr>
              <w:t>implement</w:t>
            </w:r>
            <w:r w:rsidR="00947D33">
              <w:rPr>
                <w:rFonts w:asciiTheme="majorHAnsi" w:eastAsia="Calibri" w:hAnsiTheme="majorHAnsi" w:cs="Arial"/>
                <w:lang w:val="en-US"/>
              </w:rPr>
              <w:t>ation, and compliance with,</w:t>
            </w:r>
            <w:r w:rsidR="0084432B" w:rsidRPr="00E115F7">
              <w:rPr>
                <w:rFonts w:asciiTheme="majorHAnsi" w:eastAsia="Calibri" w:hAnsiTheme="majorHAnsi" w:cs="Arial"/>
                <w:lang w:val="en-US"/>
              </w:rPr>
              <w:t xml:space="preserve"> </w:t>
            </w:r>
            <w:r w:rsidR="00947D33">
              <w:rPr>
                <w:rFonts w:asciiTheme="majorHAnsi" w:eastAsia="Calibri" w:hAnsiTheme="majorHAnsi" w:cs="Arial"/>
                <w:lang w:val="en-US"/>
              </w:rPr>
              <w:t xml:space="preserve">both </w:t>
            </w:r>
            <w:r w:rsidR="00947D33" w:rsidRPr="008255AB">
              <w:rPr>
                <w:rFonts w:asciiTheme="majorHAnsi" w:eastAsia="Calibri" w:hAnsiTheme="majorHAnsi" w:cs="Arial"/>
                <w:lang w:val="en-US"/>
              </w:rPr>
              <w:t xml:space="preserve">the </w:t>
            </w:r>
            <w:r w:rsidR="00947D33" w:rsidRPr="00002F6C">
              <w:rPr>
                <w:rFonts w:asciiTheme="majorHAnsi" w:eastAsia="Calibri" w:hAnsiTheme="majorHAnsi" w:cs="Arial"/>
                <w:lang w:val="en-US"/>
              </w:rPr>
              <w:t xml:space="preserve">Environmental </w:t>
            </w:r>
            <w:r w:rsidR="008255AB" w:rsidRPr="00002F6C">
              <w:rPr>
                <w:rFonts w:asciiTheme="majorHAnsi" w:eastAsia="Calibri" w:hAnsiTheme="majorHAnsi" w:cs="Arial"/>
                <w:lang w:val="en-US"/>
              </w:rPr>
              <w:t>Compliance Certificate</w:t>
            </w:r>
            <w:r w:rsidR="00947D33" w:rsidRPr="00002F6C">
              <w:rPr>
                <w:rFonts w:asciiTheme="majorHAnsi" w:eastAsia="Calibri" w:hAnsiTheme="majorHAnsi" w:cs="Arial"/>
                <w:lang w:val="en-US"/>
              </w:rPr>
              <w:t xml:space="preserve"> issued by the Department of Environment</w:t>
            </w:r>
            <w:r w:rsidR="00947D33">
              <w:rPr>
                <w:rFonts w:asciiTheme="majorHAnsi" w:eastAsia="Calibri" w:hAnsiTheme="majorHAnsi" w:cs="Arial"/>
                <w:lang w:val="en-US"/>
              </w:rPr>
              <w:t xml:space="preserve">, </w:t>
            </w:r>
            <w:r w:rsidR="00947D33">
              <w:rPr>
                <w:rFonts w:asciiTheme="majorHAnsi" w:eastAsia="Calibri" w:hAnsiTheme="majorHAnsi" w:cs="Arial"/>
                <w:lang w:val="en-US"/>
              </w:rPr>
              <w:lastRenderedPageBreak/>
              <w:t xml:space="preserve">and </w:t>
            </w:r>
            <w:r w:rsidR="0084432B" w:rsidRPr="00E115F7">
              <w:rPr>
                <w:rFonts w:asciiTheme="majorHAnsi" w:eastAsia="Calibri" w:hAnsiTheme="majorHAnsi" w:cs="Arial"/>
                <w:lang w:val="en-US"/>
              </w:rPr>
              <w:t xml:space="preserve">the environmental and social management </w:t>
            </w:r>
            <w:r w:rsidR="00857C70" w:rsidRPr="00E115F7">
              <w:rPr>
                <w:rFonts w:asciiTheme="majorHAnsi" w:eastAsia="Calibri" w:hAnsiTheme="majorHAnsi" w:cs="Arial"/>
                <w:lang w:val="en-US"/>
              </w:rPr>
              <w:t>plans and mitigation measures</w:t>
            </w:r>
            <w:r w:rsidR="0084432B" w:rsidRPr="00E115F7">
              <w:rPr>
                <w:rFonts w:asciiTheme="majorHAnsi" w:eastAsia="Calibri" w:hAnsiTheme="majorHAnsi" w:cs="Arial"/>
                <w:lang w:val="en-US"/>
              </w:rPr>
              <w:t xml:space="preserve"> of the project</w:t>
            </w:r>
            <w:r w:rsidR="00022EAA" w:rsidRPr="00E115F7">
              <w:rPr>
                <w:rFonts w:asciiTheme="majorHAnsi" w:eastAsia="Calibri" w:hAnsiTheme="majorHAnsi" w:cs="Arial"/>
                <w:lang w:val="en-US"/>
              </w:rPr>
              <w:t xml:space="preserve">, including </w:t>
            </w:r>
            <w:r w:rsidRPr="00E115F7">
              <w:rPr>
                <w:rFonts w:asciiTheme="majorHAnsi" w:eastAsia="Calibri" w:hAnsiTheme="majorHAnsi" w:cs="Arial"/>
                <w:lang w:val="en-US"/>
              </w:rPr>
              <w:t>the project’s Environmental and Social Management Plan (ESMP)</w:t>
            </w:r>
            <w:r w:rsidR="00947D33">
              <w:rPr>
                <w:rFonts w:asciiTheme="majorHAnsi" w:eastAsia="Calibri" w:hAnsiTheme="majorHAnsi" w:cs="Arial"/>
                <w:lang w:val="en-US"/>
              </w:rPr>
              <w:t>, which form part of the Construction Contractor’s contract</w:t>
            </w:r>
            <w:r w:rsidRPr="00E115F7">
              <w:rPr>
                <w:rFonts w:asciiTheme="majorHAnsi" w:eastAsia="Calibri" w:hAnsiTheme="majorHAnsi" w:cs="Arial"/>
                <w:lang w:val="en-US"/>
              </w:rPr>
              <w:t>,</w:t>
            </w:r>
            <w:r w:rsidR="00947D33">
              <w:rPr>
                <w:rFonts w:asciiTheme="majorHAnsi" w:eastAsia="Calibri" w:hAnsiTheme="majorHAnsi" w:cs="Arial"/>
                <w:lang w:val="en-US"/>
              </w:rPr>
              <w:t xml:space="preserve"> as well as </w:t>
            </w:r>
            <w:r w:rsidRPr="00E115F7">
              <w:rPr>
                <w:rFonts w:asciiTheme="majorHAnsi" w:eastAsia="Calibri" w:hAnsiTheme="majorHAnsi" w:cs="Arial"/>
                <w:lang w:val="en-US"/>
              </w:rPr>
              <w:t xml:space="preserve">the activities </w:t>
            </w:r>
            <w:r w:rsidR="00022EAA" w:rsidRPr="00E115F7">
              <w:rPr>
                <w:rFonts w:asciiTheme="majorHAnsi" w:eastAsia="Calibri" w:hAnsiTheme="majorHAnsi" w:cs="Arial"/>
                <w:lang w:val="en-US"/>
              </w:rPr>
              <w:t>of</w:t>
            </w:r>
            <w:r w:rsidRPr="00E115F7">
              <w:rPr>
                <w:rFonts w:asciiTheme="majorHAnsi" w:eastAsia="Calibri" w:hAnsiTheme="majorHAnsi" w:cs="Arial"/>
                <w:lang w:val="en-US"/>
              </w:rPr>
              <w:t xml:space="preserve"> the consultation plan for the project’s execution stage</w:t>
            </w:r>
            <w:r w:rsidR="00947D33">
              <w:rPr>
                <w:rFonts w:asciiTheme="majorHAnsi" w:eastAsia="Calibri" w:hAnsiTheme="majorHAnsi" w:cs="Arial"/>
                <w:lang w:val="en-US"/>
              </w:rPr>
              <w:t>.</w:t>
            </w:r>
          </w:p>
        </w:tc>
      </w:tr>
      <w:tr w:rsidR="00B3466C" w:rsidRPr="007C0236" w14:paraId="4E5BC9E6" w14:textId="77777777" w:rsidTr="3EFF9F7B">
        <w:trPr>
          <w:trHeight w:val="402"/>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5B3D7" w:themeFill="accent1" w:themeFillTint="99"/>
            <w:tcMar>
              <w:top w:w="15" w:type="dxa"/>
              <w:left w:w="105" w:type="dxa"/>
              <w:bottom w:w="15" w:type="dxa"/>
              <w:right w:w="105" w:type="dxa"/>
            </w:tcMar>
            <w:vAlign w:val="center"/>
            <w:hideMark/>
          </w:tcPr>
          <w:p w14:paraId="142E46B8" w14:textId="77777777" w:rsidR="00B3466C" w:rsidRPr="009F0069" w:rsidRDefault="00BB311B" w:rsidP="00F356E8">
            <w:pPr>
              <w:pStyle w:val="ListParagraph"/>
              <w:numPr>
                <w:ilvl w:val="0"/>
                <w:numId w:val="13"/>
              </w:numPr>
              <w:rPr>
                <w:rFonts w:ascii="Arial" w:eastAsia="Times New Roman" w:hAnsi="Arial" w:cs="Arial"/>
                <w:b/>
                <w:bCs/>
                <w:sz w:val="27"/>
                <w:szCs w:val="27"/>
              </w:rPr>
            </w:pPr>
            <w:r w:rsidRPr="00BB311B">
              <w:rPr>
                <w:rFonts w:ascii="Arial" w:eastAsia="Times New Roman" w:hAnsi="Arial" w:cs="Arial"/>
                <w:b/>
                <w:bCs/>
                <w:sz w:val="27"/>
                <w:szCs w:val="27"/>
              </w:rPr>
              <w:lastRenderedPageBreak/>
              <w:t xml:space="preserve">Environmental and Social </w:t>
            </w:r>
            <w:r w:rsidR="00B3466C" w:rsidRPr="009F0069">
              <w:rPr>
                <w:rFonts w:ascii="Arial" w:eastAsia="Times New Roman" w:hAnsi="Arial" w:cs="Arial"/>
                <w:b/>
                <w:bCs/>
                <w:sz w:val="27"/>
                <w:szCs w:val="27"/>
              </w:rPr>
              <w:t>Requirements</w:t>
            </w:r>
            <w:r w:rsidR="008E7356" w:rsidRPr="009F0069">
              <w:rPr>
                <w:rFonts w:ascii="Arial" w:eastAsia="Times New Roman" w:hAnsi="Arial" w:cs="Arial"/>
                <w:b/>
                <w:bCs/>
                <w:sz w:val="27"/>
                <w:szCs w:val="27"/>
              </w:rPr>
              <w:t xml:space="preserve"> </w:t>
            </w:r>
          </w:p>
        </w:tc>
      </w:tr>
      <w:tr w:rsidR="00B3466C" w:rsidRPr="007C0236" w14:paraId="54DE383D" w14:textId="77777777" w:rsidTr="3EFF9F7B">
        <w:trPr>
          <w:trHeight w:val="236"/>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hideMark/>
          </w:tcPr>
          <w:p w14:paraId="325D5A37" w14:textId="77777777" w:rsidR="004770EE" w:rsidRPr="006A5C4D" w:rsidRDefault="00BB311B" w:rsidP="006A5C4D">
            <w:pPr>
              <w:pStyle w:val="NormalWeb"/>
              <w:jc w:val="both"/>
              <w:rPr>
                <w:rFonts w:asciiTheme="majorHAnsi" w:eastAsia="Calibri" w:hAnsiTheme="majorHAnsi" w:cs="Arial"/>
                <w:sz w:val="22"/>
                <w:lang w:eastAsia="it-IT"/>
              </w:rPr>
            </w:pPr>
            <w:proofErr w:type="gramStart"/>
            <w:r w:rsidRPr="00947D33">
              <w:rPr>
                <w:rFonts w:asciiTheme="majorHAnsi" w:eastAsia="Calibri" w:hAnsiTheme="majorHAnsi" w:cs="Arial"/>
                <w:sz w:val="22"/>
                <w:lang w:eastAsia="it-IT"/>
              </w:rPr>
              <w:t>In order to</w:t>
            </w:r>
            <w:proofErr w:type="gramEnd"/>
            <w:r w:rsidRPr="00947D33">
              <w:rPr>
                <w:rFonts w:asciiTheme="majorHAnsi" w:eastAsia="Calibri" w:hAnsiTheme="majorHAnsi" w:cs="Arial"/>
                <w:sz w:val="22"/>
                <w:lang w:eastAsia="it-IT"/>
              </w:rPr>
              <w:t xml:space="preserve"> meet the requirements of the Bank’s Environmental and Social Safeguard Policies, the </w:t>
            </w:r>
            <w:r w:rsidR="00422F32" w:rsidRPr="00947D33">
              <w:rPr>
                <w:rFonts w:asciiTheme="majorHAnsi" w:eastAsia="Calibri" w:hAnsiTheme="majorHAnsi" w:cs="Arial"/>
                <w:sz w:val="22"/>
                <w:lang w:eastAsia="it-IT"/>
              </w:rPr>
              <w:t>Government of Belize</w:t>
            </w:r>
            <w:r w:rsidRPr="00947D33">
              <w:rPr>
                <w:rFonts w:asciiTheme="majorHAnsi" w:eastAsia="Calibri" w:hAnsiTheme="majorHAnsi" w:cs="Arial"/>
                <w:sz w:val="22"/>
                <w:lang w:eastAsia="it-IT"/>
              </w:rPr>
              <w:t>/</w:t>
            </w:r>
            <w:r w:rsidR="00422F32" w:rsidRPr="00947D33">
              <w:rPr>
                <w:rFonts w:asciiTheme="majorHAnsi" w:eastAsia="Calibri" w:hAnsiTheme="majorHAnsi" w:cs="Arial"/>
                <w:sz w:val="22"/>
                <w:lang w:eastAsia="it-IT"/>
              </w:rPr>
              <w:t>Ministry of Works</w:t>
            </w:r>
            <w:r w:rsidRPr="00947D33">
              <w:rPr>
                <w:rFonts w:asciiTheme="majorHAnsi" w:eastAsia="Calibri" w:hAnsiTheme="majorHAnsi" w:cs="Arial"/>
                <w:sz w:val="22"/>
                <w:lang w:eastAsia="it-IT"/>
              </w:rPr>
              <w:t xml:space="preserve"> will comply to the satisfaction of the Bank with the ESHS contractual terms and conditions set forth in Annex B. These terms and conditions can only be modified with the prior written consent of the Bank, including clearance by ESG. </w:t>
            </w:r>
            <w:r w:rsidR="006A5C4D">
              <w:rPr>
                <w:rFonts w:asciiTheme="majorHAnsi" w:eastAsia="Calibri" w:hAnsiTheme="majorHAnsi" w:cs="Arial"/>
                <w:sz w:val="22"/>
                <w:lang w:eastAsia="it-IT"/>
              </w:rPr>
              <w:t>These include: (i) s</w:t>
            </w:r>
            <w:r w:rsidR="00AF725D" w:rsidRPr="006A5C4D">
              <w:rPr>
                <w:rFonts w:asciiTheme="majorHAnsi" w:eastAsia="Calibri" w:hAnsiTheme="majorHAnsi" w:cs="Arial"/>
                <w:sz w:val="22"/>
                <w:lang w:eastAsia="it-IT"/>
              </w:rPr>
              <w:t>pecial</w:t>
            </w:r>
            <w:r w:rsidRPr="006A5C4D">
              <w:rPr>
                <w:rFonts w:asciiTheme="majorHAnsi" w:eastAsia="Calibri" w:hAnsiTheme="majorHAnsi" w:cs="Arial"/>
                <w:sz w:val="22"/>
                <w:lang w:eastAsia="it-IT"/>
              </w:rPr>
              <w:t xml:space="preserve"> conditions for implementation of the ESHS Plans and measures as well as reporting and supervision requirements</w:t>
            </w:r>
            <w:r w:rsidR="004A3A59" w:rsidRPr="006A5C4D">
              <w:rPr>
                <w:rFonts w:asciiTheme="majorHAnsi" w:eastAsia="Calibri" w:hAnsiTheme="majorHAnsi" w:cs="Arial"/>
                <w:sz w:val="22"/>
                <w:lang w:eastAsia="it-IT"/>
              </w:rPr>
              <w:t xml:space="preserve"> </w:t>
            </w:r>
            <w:r w:rsidR="006A5C4D">
              <w:rPr>
                <w:rFonts w:asciiTheme="majorHAnsi" w:eastAsia="Calibri" w:hAnsiTheme="majorHAnsi" w:cs="Arial"/>
                <w:sz w:val="22"/>
                <w:lang w:eastAsia="it-IT"/>
              </w:rPr>
              <w:t>(standard in all IDB loans); (ii) s</w:t>
            </w:r>
            <w:r w:rsidR="00AF725D" w:rsidRPr="00C836D9">
              <w:rPr>
                <w:rFonts w:asciiTheme="majorHAnsi" w:eastAsia="Calibri" w:hAnsiTheme="majorHAnsi" w:cs="Arial"/>
                <w:sz w:val="22"/>
                <w:lang w:eastAsia="it-IT"/>
              </w:rPr>
              <w:t xml:space="preserve">pecial conditions addressing the specific </w:t>
            </w:r>
            <w:r w:rsidR="004A3A59" w:rsidRPr="00C836D9">
              <w:rPr>
                <w:rFonts w:asciiTheme="majorHAnsi" w:eastAsia="Calibri" w:hAnsiTheme="majorHAnsi" w:cs="Arial"/>
                <w:sz w:val="22"/>
                <w:lang w:eastAsia="it-IT"/>
              </w:rPr>
              <w:t>mitigation plans and measures to</w:t>
            </w:r>
            <w:r w:rsidRPr="00C836D9">
              <w:rPr>
                <w:rFonts w:asciiTheme="majorHAnsi" w:eastAsia="Calibri" w:hAnsiTheme="majorHAnsi" w:cs="Arial"/>
                <w:sz w:val="22"/>
                <w:lang w:eastAsia="it-IT"/>
              </w:rPr>
              <w:t xml:space="preserve"> address key </w:t>
            </w:r>
            <w:r w:rsidR="004A3A59" w:rsidRPr="00C836D9">
              <w:rPr>
                <w:rFonts w:asciiTheme="majorHAnsi" w:eastAsia="Calibri" w:hAnsiTheme="majorHAnsi" w:cs="Arial"/>
                <w:sz w:val="22"/>
                <w:lang w:eastAsia="it-IT"/>
              </w:rPr>
              <w:t xml:space="preserve">environmental and social </w:t>
            </w:r>
            <w:r w:rsidRPr="00C836D9">
              <w:rPr>
                <w:rFonts w:asciiTheme="majorHAnsi" w:eastAsia="Calibri" w:hAnsiTheme="majorHAnsi" w:cs="Arial"/>
                <w:sz w:val="22"/>
                <w:lang w:eastAsia="it-IT"/>
              </w:rPr>
              <w:t>risks and impacts</w:t>
            </w:r>
            <w:r w:rsidR="00AF725D" w:rsidRPr="00C836D9">
              <w:rPr>
                <w:rFonts w:asciiTheme="majorHAnsi" w:eastAsia="Calibri" w:hAnsiTheme="majorHAnsi" w:cs="Arial"/>
                <w:sz w:val="22"/>
                <w:lang w:eastAsia="it-IT"/>
              </w:rPr>
              <w:t xml:space="preserve"> of th</w:t>
            </w:r>
            <w:r w:rsidR="009659D9" w:rsidRPr="00C836D9">
              <w:rPr>
                <w:rFonts w:asciiTheme="majorHAnsi" w:eastAsia="Calibri" w:hAnsiTheme="majorHAnsi" w:cs="Arial"/>
                <w:sz w:val="22"/>
                <w:lang w:eastAsia="it-IT"/>
              </w:rPr>
              <w:t>is</w:t>
            </w:r>
            <w:r w:rsidR="00AF725D" w:rsidRPr="00C836D9">
              <w:rPr>
                <w:rFonts w:asciiTheme="majorHAnsi" w:eastAsia="Calibri" w:hAnsiTheme="majorHAnsi" w:cs="Arial"/>
                <w:sz w:val="22"/>
                <w:lang w:eastAsia="it-IT"/>
              </w:rPr>
              <w:t xml:space="preserve"> </w:t>
            </w:r>
            <w:r w:rsidR="009659D9" w:rsidRPr="00C836D9">
              <w:rPr>
                <w:rFonts w:asciiTheme="majorHAnsi" w:eastAsia="Calibri" w:hAnsiTheme="majorHAnsi" w:cs="Arial"/>
                <w:sz w:val="22"/>
                <w:lang w:eastAsia="it-IT"/>
              </w:rPr>
              <w:t>operation</w:t>
            </w:r>
            <w:r w:rsidR="006A5C4D">
              <w:rPr>
                <w:rFonts w:asciiTheme="majorHAnsi" w:eastAsia="Calibri" w:hAnsiTheme="majorHAnsi" w:cs="Arial"/>
                <w:sz w:val="22"/>
                <w:lang w:eastAsia="it-IT"/>
              </w:rPr>
              <w:t xml:space="preserve">, prior to </w:t>
            </w:r>
            <w:r w:rsidR="006A5C4D" w:rsidRPr="005263D4">
              <w:rPr>
                <w:rFonts w:asciiTheme="majorHAnsi" w:eastAsia="Calibri" w:hAnsiTheme="majorHAnsi" w:cs="Arial"/>
                <w:noProof/>
                <w:sz w:val="22"/>
                <w:lang w:eastAsia="it-IT"/>
              </w:rPr>
              <w:t>first</w:t>
            </w:r>
            <w:r w:rsidR="006A5C4D">
              <w:rPr>
                <w:rFonts w:asciiTheme="majorHAnsi" w:eastAsia="Calibri" w:hAnsiTheme="majorHAnsi" w:cs="Arial"/>
                <w:sz w:val="22"/>
                <w:lang w:eastAsia="it-IT"/>
              </w:rPr>
              <w:t xml:space="preserve"> disbursement and during execution; and (iii) c</w:t>
            </w:r>
            <w:r w:rsidRPr="00C836D9">
              <w:rPr>
                <w:rFonts w:asciiTheme="majorHAnsi" w:eastAsia="Calibri" w:hAnsiTheme="majorHAnsi" w:cs="Arial"/>
                <w:sz w:val="22"/>
                <w:lang w:eastAsia="it-IT"/>
              </w:rPr>
              <w:t>onditions</w:t>
            </w:r>
            <w:r w:rsidR="004770EE" w:rsidRPr="00C836D9">
              <w:rPr>
                <w:rFonts w:asciiTheme="majorHAnsi" w:eastAsia="Calibri" w:hAnsiTheme="majorHAnsi" w:cs="Arial"/>
                <w:sz w:val="22"/>
                <w:lang w:eastAsia="it-IT"/>
              </w:rPr>
              <w:t xml:space="preserve"> (and definitions)</w:t>
            </w:r>
            <w:r w:rsidRPr="00C836D9">
              <w:rPr>
                <w:rFonts w:asciiTheme="majorHAnsi" w:eastAsia="Calibri" w:hAnsiTheme="majorHAnsi" w:cs="Arial"/>
                <w:sz w:val="22"/>
                <w:lang w:eastAsia="it-IT"/>
              </w:rPr>
              <w:t xml:space="preserve"> to be included in the Operating Manual</w:t>
            </w:r>
            <w:r w:rsidR="006A5C4D">
              <w:rPr>
                <w:rFonts w:asciiTheme="majorHAnsi" w:eastAsia="Calibri" w:hAnsiTheme="majorHAnsi" w:cs="Arial"/>
                <w:sz w:val="22"/>
                <w:lang w:eastAsia="it-IT"/>
              </w:rPr>
              <w:t xml:space="preserve">. </w:t>
            </w:r>
            <w:r w:rsidR="004770EE" w:rsidRPr="006A5C4D">
              <w:rPr>
                <w:rFonts w:asciiTheme="majorHAnsi" w:eastAsia="Calibri" w:hAnsiTheme="majorHAnsi" w:cs="Arial"/>
                <w:sz w:val="22"/>
                <w:lang w:eastAsia="it-IT"/>
              </w:rPr>
              <w:t>These conditions and definitions will be incorporated into the Loan Agreement and as such the Borrower is legally bound to comply with these conditions</w:t>
            </w:r>
            <w:r w:rsidR="00C836D9" w:rsidRPr="006A5C4D">
              <w:rPr>
                <w:rFonts w:asciiTheme="majorHAnsi" w:eastAsia="Calibri" w:hAnsiTheme="majorHAnsi" w:cs="Arial"/>
                <w:sz w:val="22"/>
                <w:lang w:eastAsia="it-IT"/>
              </w:rPr>
              <w:t>.</w:t>
            </w:r>
          </w:p>
          <w:p w14:paraId="425ACBC5" w14:textId="7162EA86" w:rsidR="00DA4FA5" w:rsidRPr="006E1E3F" w:rsidRDefault="004770EE" w:rsidP="00C836D9">
            <w:pPr>
              <w:tabs>
                <w:tab w:val="num" w:pos="720"/>
              </w:tabs>
              <w:spacing w:before="120" w:after="120"/>
              <w:ind w:right="165"/>
              <w:jc w:val="both"/>
              <w:rPr>
                <w:rFonts w:ascii="Arial" w:hAnsi="Arial" w:cs="Arial"/>
                <w:bCs/>
                <w:color w:val="000000" w:themeColor="text1"/>
                <w:sz w:val="22"/>
                <w:szCs w:val="22"/>
              </w:rPr>
            </w:pPr>
            <w:r w:rsidRPr="00C836D9">
              <w:rPr>
                <w:rFonts w:asciiTheme="majorHAnsi" w:eastAsia="Calibri" w:hAnsiTheme="majorHAnsi" w:cs="Arial"/>
                <w:sz w:val="22"/>
                <w:lang w:eastAsia="it-IT"/>
              </w:rPr>
              <w:t>Additionally,</w:t>
            </w:r>
            <w:r w:rsidR="006E1E3F" w:rsidRPr="00C836D9">
              <w:rPr>
                <w:rFonts w:asciiTheme="majorHAnsi" w:eastAsia="Calibri" w:hAnsiTheme="majorHAnsi" w:cs="Arial"/>
                <w:sz w:val="22"/>
                <w:lang w:eastAsia="it-IT"/>
              </w:rPr>
              <w:t xml:space="preserve"> the following c</w:t>
            </w:r>
            <w:r w:rsidR="00BB311B" w:rsidRPr="00C836D9">
              <w:rPr>
                <w:rFonts w:asciiTheme="majorHAnsi" w:eastAsia="Calibri" w:hAnsiTheme="majorHAnsi" w:cs="Arial"/>
                <w:sz w:val="22"/>
                <w:lang w:eastAsia="it-IT"/>
              </w:rPr>
              <w:t xml:space="preserve">onditions </w:t>
            </w:r>
            <w:r w:rsidR="00FA1A10">
              <w:rPr>
                <w:rFonts w:asciiTheme="majorHAnsi" w:eastAsia="Calibri" w:hAnsiTheme="majorHAnsi" w:cs="Arial"/>
                <w:sz w:val="22"/>
                <w:lang w:eastAsia="it-IT"/>
              </w:rPr>
              <w:t>were</w:t>
            </w:r>
            <w:r w:rsidR="00020029">
              <w:rPr>
                <w:rFonts w:asciiTheme="majorHAnsi" w:eastAsia="Calibri" w:hAnsiTheme="majorHAnsi" w:cs="Arial"/>
                <w:sz w:val="22"/>
                <w:lang w:eastAsia="it-IT"/>
              </w:rPr>
              <w:t xml:space="preserve"> required, and were</w:t>
            </w:r>
            <w:r w:rsidR="00BB311B" w:rsidRPr="00C836D9">
              <w:rPr>
                <w:rFonts w:asciiTheme="majorHAnsi" w:eastAsia="Calibri" w:hAnsiTheme="majorHAnsi" w:cs="Arial"/>
                <w:sz w:val="22"/>
                <w:lang w:eastAsia="it-IT"/>
              </w:rPr>
              <w:t xml:space="preserve"> satisfied prior to </w:t>
            </w:r>
            <w:r w:rsidR="00271B38" w:rsidRPr="00C836D9">
              <w:rPr>
                <w:rFonts w:asciiTheme="majorHAnsi" w:eastAsia="Calibri" w:hAnsiTheme="majorHAnsi" w:cs="Arial"/>
                <w:sz w:val="22"/>
                <w:lang w:eastAsia="it-IT"/>
              </w:rPr>
              <w:t>OPC</w:t>
            </w:r>
            <w:r w:rsidR="00C836D9">
              <w:rPr>
                <w:rFonts w:asciiTheme="majorHAnsi" w:eastAsia="Calibri" w:hAnsiTheme="majorHAnsi" w:cs="Arial"/>
                <w:sz w:val="22"/>
                <w:lang w:eastAsia="it-IT"/>
              </w:rPr>
              <w:t>:</w:t>
            </w:r>
          </w:p>
          <w:p w14:paraId="30480B9A" w14:textId="77777777" w:rsidR="00C836D9" w:rsidRDefault="00C836D9" w:rsidP="00C836D9">
            <w:pPr>
              <w:pStyle w:val="ListParagraph"/>
              <w:numPr>
                <w:ilvl w:val="1"/>
                <w:numId w:val="50"/>
              </w:numPr>
              <w:spacing w:before="120" w:after="120"/>
              <w:ind w:left="772" w:right="165"/>
              <w:rPr>
                <w:rFonts w:asciiTheme="majorHAnsi" w:eastAsia="Calibri" w:hAnsiTheme="majorHAnsi" w:cs="Arial"/>
                <w:sz w:val="22"/>
                <w:lang w:eastAsia="it-IT"/>
              </w:rPr>
            </w:pPr>
            <w:r>
              <w:rPr>
                <w:rFonts w:asciiTheme="majorHAnsi" w:eastAsia="Calibri" w:hAnsiTheme="majorHAnsi" w:cs="Arial"/>
                <w:sz w:val="22"/>
                <w:lang w:eastAsia="it-IT"/>
              </w:rPr>
              <w:t>Conduct community consultation meetings for each section of the road;</w:t>
            </w:r>
          </w:p>
          <w:p w14:paraId="56F1CDEA" w14:textId="77777777" w:rsidR="00422F32" w:rsidRPr="00C836D9" w:rsidRDefault="006660CE" w:rsidP="00C836D9">
            <w:pPr>
              <w:pStyle w:val="ListParagraph"/>
              <w:numPr>
                <w:ilvl w:val="1"/>
                <w:numId w:val="50"/>
              </w:numPr>
              <w:spacing w:before="120" w:after="120"/>
              <w:ind w:left="772" w:right="165"/>
              <w:rPr>
                <w:rFonts w:asciiTheme="majorHAnsi" w:eastAsia="Calibri" w:hAnsiTheme="majorHAnsi" w:cs="Arial"/>
                <w:sz w:val="22"/>
                <w:lang w:eastAsia="it-IT"/>
              </w:rPr>
            </w:pPr>
            <w:r w:rsidRPr="00C836D9">
              <w:rPr>
                <w:rFonts w:asciiTheme="majorHAnsi" w:eastAsia="Calibri" w:hAnsiTheme="majorHAnsi" w:cs="Arial"/>
                <w:sz w:val="22"/>
                <w:lang w:eastAsia="it-IT"/>
              </w:rPr>
              <w:t>Publi</w:t>
            </w:r>
            <w:r w:rsidR="00C836D9">
              <w:rPr>
                <w:rFonts w:asciiTheme="majorHAnsi" w:eastAsia="Calibri" w:hAnsiTheme="majorHAnsi" w:cs="Arial"/>
                <w:sz w:val="22"/>
                <w:lang w:eastAsia="it-IT"/>
              </w:rPr>
              <w:t>sh</w:t>
            </w:r>
            <w:r w:rsidRPr="00C836D9">
              <w:rPr>
                <w:rFonts w:asciiTheme="majorHAnsi" w:eastAsia="Calibri" w:hAnsiTheme="majorHAnsi" w:cs="Arial"/>
                <w:sz w:val="22"/>
                <w:lang w:eastAsia="it-IT"/>
              </w:rPr>
              <w:t xml:space="preserve"> the following documents:</w:t>
            </w:r>
          </w:p>
          <w:p w14:paraId="533C70BC" w14:textId="3FE58737" w:rsidR="006660CE" w:rsidRPr="000763BD" w:rsidRDefault="006660CE" w:rsidP="00B93817">
            <w:pPr>
              <w:pStyle w:val="ListParagraph"/>
              <w:numPr>
                <w:ilvl w:val="2"/>
                <w:numId w:val="49"/>
              </w:numPr>
              <w:spacing w:before="120" w:after="120"/>
              <w:ind w:left="1402" w:right="165" w:hanging="360"/>
              <w:rPr>
                <w:rFonts w:asciiTheme="majorHAnsi" w:eastAsia="Calibri" w:hAnsiTheme="majorHAnsi" w:cs="Arial"/>
                <w:sz w:val="22"/>
                <w:lang w:eastAsia="it-IT"/>
              </w:rPr>
            </w:pPr>
            <w:r w:rsidRPr="000763BD">
              <w:rPr>
                <w:rFonts w:asciiTheme="majorHAnsi" w:eastAsia="Calibri" w:hAnsiTheme="majorHAnsi" w:cs="Arial"/>
                <w:sz w:val="22"/>
                <w:lang w:eastAsia="it-IT"/>
              </w:rPr>
              <w:t xml:space="preserve">Addendum to the ESIA, </w:t>
            </w:r>
            <w:r w:rsidR="000F3964" w:rsidRPr="000763BD">
              <w:rPr>
                <w:rFonts w:asciiTheme="majorHAnsi" w:eastAsia="Calibri" w:hAnsiTheme="majorHAnsi" w:cs="Arial"/>
                <w:sz w:val="22"/>
                <w:lang w:eastAsia="it-IT"/>
              </w:rPr>
              <w:t>includ</w:t>
            </w:r>
            <w:r w:rsidR="009B3B2A" w:rsidRPr="000763BD">
              <w:rPr>
                <w:rFonts w:asciiTheme="majorHAnsi" w:eastAsia="Calibri" w:hAnsiTheme="majorHAnsi" w:cs="Arial"/>
                <w:sz w:val="22"/>
                <w:lang w:eastAsia="it-IT"/>
              </w:rPr>
              <w:t>ing</w:t>
            </w:r>
            <w:r w:rsidRPr="000763BD">
              <w:rPr>
                <w:rFonts w:asciiTheme="majorHAnsi" w:eastAsia="Calibri" w:hAnsiTheme="majorHAnsi" w:cs="Arial"/>
                <w:sz w:val="22"/>
                <w:lang w:eastAsia="it-IT"/>
              </w:rPr>
              <w:t xml:space="preserve"> </w:t>
            </w:r>
            <w:r w:rsidR="006A5C4D" w:rsidRPr="000763BD">
              <w:rPr>
                <w:rFonts w:asciiTheme="majorHAnsi" w:eastAsia="Calibri" w:hAnsiTheme="majorHAnsi" w:cs="Arial"/>
                <w:sz w:val="22"/>
                <w:lang w:eastAsia="it-IT"/>
              </w:rPr>
              <w:t>the</w:t>
            </w:r>
            <w:r w:rsidRPr="000763BD">
              <w:rPr>
                <w:rFonts w:asciiTheme="majorHAnsi" w:eastAsia="Calibri" w:hAnsiTheme="majorHAnsi" w:cs="Arial"/>
                <w:sz w:val="22"/>
                <w:lang w:eastAsia="it-IT"/>
              </w:rPr>
              <w:t xml:space="preserve"> </w:t>
            </w:r>
            <w:r w:rsidR="00352510" w:rsidRPr="000763BD">
              <w:rPr>
                <w:rFonts w:asciiTheme="majorHAnsi" w:eastAsia="Calibri" w:hAnsiTheme="majorHAnsi" w:cs="Arial"/>
                <w:noProof/>
                <w:sz w:val="22"/>
                <w:lang w:eastAsia="it-IT"/>
              </w:rPr>
              <w:t>S</w:t>
            </w:r>
            <w:r w:rsidRPr="000763BD">
              <w:rPr>
                <w:rFonts w:asciiTheme="majorHAnsi" w:eastAsia="Calibri" w:hAnsiTheme="majorHAnsi" w:cs="Arial"/>
                <w:noProof/>
                <w:sz w:val="22"/>
                <w:lang w:eastAsia="it-IT"/>
              </w:rPr>
              <w:t>ocio</w:t>
            </w:r>
            <w:r w:rsidR="00352510" w:rsidRPr="000763BD">
              <w:rPr>
                <w:rFonts w:asciiTheme="majorHAnsi" w:eastAsia="Calibri" w:hAnsiTheme="majorHAnsi" w:cs="Arial"/>
                <w:noProof/>
                <w:sz w:val="22"/>
                <w:lang w:eastAsia="it-IT"/>
              </w:rPr>
              <w:t xml:space="preserve"> C</w:t>
            </w:r>
            <w:r w:rsidRPr="000763BD">
              <w:rPr>
                <w:rFonts w:asciiTheme="majorHAnsi" w:eastAsia="Calibri" w:hAnsiTheme="majorHAnsi" w:cs="Arial"/>
                <w:noProof/>
                <w:sz w:val="22"/>
                <w:lang w:eastAsia="it-IT"/>
              </w:rPr>
              <w:t>ultural</w:t>
            </w:r>
            <w:r w:rsidRPr="000763BD">
              <w:rPr>
                <w:rFonts w:asciiTheme="majorHAnsi" w:eastAsia="Calibri" w:hAnsiTheme="majorHAnsi" w:cs="Arial"/>
                <w:sz w:val="22"/>
                <w:lang w:eastAsia="it-IT"/>
              </w:rPr>
              <w:t xml:space="preserve"> </w:t>
            </w:r>
            <w:r w:rsidR="00352510" w:rsidRPr="000763BD">
              <w:rPr>
                <w:rFonts w:asciiTheme="majorHAnsi" w:eastAsia="Calibri" w:hAnsiTheme="majorHAnsi" w:cs="Arial"/>
                <w:sz w:val="22"/>
                <w:lang w:eastAsia="it-IT"/>
              </w:rPr>
              <w:t>A</w:t>
            </w:r>
            <w:r w:rsidRPr="000763BD">
              <w:rPr>
                <w:rFonts w:asciiTheme="majorHAnsi" w:eastAsia="Calibri" w:hAnsiTheme="majorHAnsi" w:cs="Arial"/>
                <w:sz w:val="22"/>
                <w:lang w:eastAsia="it-IT"/>
              </w:rPr>
              <w:t>nalysis</w:t>
            </w:r>
            <w:r w:rsidR="006E11E1" w:rsidRPr="000763BD">
              <w:rPr>
                <w:rFonts w:asciiTheme="majorHAnsi" w:eastAsia="Calibri" w:hAnsiTheme="majorHAnsi" w:cs="Arial"/>
                <w:sz w:val="22"/>
                <w:lang w:eastAsia="it-IT"/>
              </w:rPr>
              <w:t>, Gender Strategy and Action Plan, Communications Plan</w:t>
            </w:r>
            <w:r w:rsidR="000763BD">
              <w:rPr>
                <w:rFonts w:asciiTheme="majorHAnsi" w:eastAsia="Calibri" w:hAnsiTheme="majorHAnsi" w:cs="Arial"/>
                <w:sz w:val="22"/>
                <w:lang w:eastAsia="it-IT"/>
              </w:rPr>
              <w:t>, and an u</w:t>
            </w:r>
            <w:r w:rsidRPr="000763BD">
              <w:rPr>
                <w:rFonts w:asciiTheme="majorHAnsi" w:eastAsia="Calibri" w:hAnsiTheme="majorHAnsi" w:cs="Arial"/>
                <w:noProof/>
                <w:sz w:val="22"/>
                <w:lang w:eastAsia="it-IT"/>
              </w:rPr>
              <w:t>pdated</w:t>
            </w:r>
            <w:r w:rsidRPr="000763BD">
              <w:rPr>
                <w:rFonts w:asciiTheme="majorHAnsi" w:eastAsia="Calibri" w:hAnsiTheme="majorHAnsi" w:cs="Arial"/>
                <w:sz w:val="22"/>
                <w:lang w:eastAsia="it-IT"/>
              </w:rPr>
              <w:t xml:space="preserve"> version of the ESMP</w:t>
            </w:r>
            <w:r w:rsidR="006A5C4D" w:rsidRPr="000763BD">
              <w:rPr>
                <w:rFonts w:asciiTheme="majorHAnsi" w:eastAsia="Calibri" w:hAnsiTheme="majorHAnsi" w:cs="Arial"/>
                <w:sz w:val="22"/>
                <w:lang w:eastAsia="it-IT"/>
              </w:rPr>
              <w:t>;</w:t>
            </w:r>
          </w:p>
          <w:p w14:paraId="50BDCFFC" w14:textId="77777777" w:rsidR="006660CE" w:rsidRPr="00C836D9" w:rsidRDefault="006660CE" w:rsidP="00C836D9">
            <w:pPr>
              <w:pStyle w:val="ListParagraph"/>
              <w:numPr>
                <w:ilvl w:val="2"/>
                <w:numId w:val="49"/>
              </w:numPr>
              <w:spacing w:before="120" w:after="120"/>
              <w:ind w:left="1402" w:right="165" w:hanging="360"/>
              <w:rPr>
                <w:rFonts w:asciiTheme="majorHAnsi" w:eastAsia="Calibri" w:hAnsiTheme="majorHAnsi" w:cs="Arial"/>
                <w:sz w:val="22"/>
                <w:lang w:eastAsia="it-IT"/>
              </w:rPr>
            </w:pPr>
            <w:r w:rsidRPr="00C836D9">
              <w:rPr>
                <w:rFonts w:asciiTheme="majorHAnsi" w:eastAsia="Calibri" w:hAnsiTheme="majorHAnsi" w:cs="Arial"/>
                <w:sz w:val="22"/>
                <w:lang w:eastAsia="it-IT"/>
              </w:rPr>
              <w:t xml:space="preserve">Resettlement and </w:t>
            </w:r>
            <w:r w:rsidR="009B3B2A" w:rsidRPr="00C836D9">
              <w:rPr>
                <w:rFonts w:asciiTheme="majorHAnsi" w:eastAsia="Calibri" w:hAnsiTheme="majorHAnsi" w:cs="Arial"/>
                <w:sz w:val="22"/>
                <w:lang w:eastAsia="it-IT"/>
              </w:rPr>
              <w:t>L</w:t>
            </w:r>
            <w:r w:rsidRPr="00C836D9">
              <w:rPr>
                <w:rFonts w:asciiTheme="majorHAnsi" w:eastAsia="Calibri" w:hAnsiTheme="majorHAnsi" w:cs="Arial"/>
                <w:sz w:val="22"/>
                <w:lang w:eastAsia="it-IT"/>
              </w:rPr>
              <w:t xml:space="preserve">ivelihoods </w:t>
            </w:r>
            <w:r w:rsidR="009B3B2A" w:rsidRPr="00C836D9">
              <w:rPr>
                <w:rFonts w:asciiTheme="majorHAnsi" w:eastAsia="Calibri" w:hAnsiTheme="majorHAnsi" w:cs="Arial"/>
                <w:sz w:val="22"/>
                <w:lang w:eastAsia="it-IT"/>
              </w:rPr>
              <w:t>R</w:t>
            </w:r>
            <w:r w:rsidRPr="00C836D9">
              <w:rPr>
                <w:rFonts w:asciiTheme="majorHAnsi" w:eastAsia="Calibri" w:hAnsiTheme="majorHAnsi" w:cs="Arial"/>
                <w:sz w:val="22"/>
                <w:lang w:eastAsia="it-IT"/>
              </w:rPr>
              <w:t xml:space="preserve">estoration </w:t>
            </w:r>
            <w:r w:rsidR="009B3B2A" w:rsidRPr="00C836D9">
              <w:rPr>
                <w:rFonts w:asciiTheme="majorHAnsi" w:eastAsia="Calibri" w:hAnsiTheme="majorHAnsi" w:cs="Arial"/>
                <w:sz w:val="22"/>
                <w:lang w:eastAsia="it-IT"/>
              </w:rPr>
              <w:t>P</w:t>
            </w:r>
            <w:r w:rsidRPr="00C836D9">
              <w:rPr>
                <w:rFonts w:asciiTheme="majorHAnsi" w:eastAsia="Calibri" w:hAnsiTheme="majorHAnsi" w:cs="Arial"/>
                <w:sz w:val="22"/>
                <w:lang w:eastAsia="it-IT"/>
              </w:rPr>
              <w:t>lan</w:t>
            </w:r>
            <w:r w:rsidR="006A5C4D">
              <w:rPr>
                <w:rFonts w:asciiTheme="majorHAnsi" w:eastAsia="Calibri" w:hAnsiTheme="majorHAnsi" w:cs="Arial"/>
                <w:sz w:val="22"/>
                <w:lang w:eastAsia="it-IT"/>
              </w:rPr>
              <w:t>;</w:t>
            </w:r>
          </w:p>
          <w:p w14:paraId="1CE0E1C6" w14:textId="77777777" w:rsidR="00874CC0" w:rsidRPr="00A40DF4" w:rsidRDefault="006660CE" w:rsidP="00C836D9">
            <w:pPr>
              <w:pStyle w:val="ListParagraph"/>
              <w:numPr>
                <w:ilvl w:val="2"/>
                <w:numId w:val="49"/>
              </w:numPr>
              <w:spacing w:before="120" w:after="120"/>
              <w:ind w:left="1402" w:right="165" w:hanging="360"/>
              <w:rPr>
                <w:shd w:val="clear" w:color="auto" w:fill="FFFFFF"/>
              </w:rPr>
            </w:pPr>
            <w:r w:rsidRPr="00C836D9">
              <w:rPr>
                <w:rFonts w:asciiTheme="majorHAnsi" w:eastAsia="Calibri" w:hAnsiTheme="majorHAnsi" w:cs="Arial"/>
                <w:sz w:val="22"/>
                <w:lang w:eastAsia="it-IT"/>
              </w:rPr>
              <w:t xml:space="preserve">Consultations </w:t>
            </w:r>
            <w:r w:rsidR="009B3B2A" w:rsidRPr="00C836D9">
              <w:rPr>
                <w:rFonts w:asciiTheme="majorHAnsi" w:eastAsia="Calibri" w:hAnsiTheme="majorHAnsi" w:cs="Arial"/>
                <w:sz w:val="22"/>
                <w:lang w:eastAsia="it-IT"/>
              </w:rPr>
              <w:t>and Stakeholder Engagement P</w:t>
            </w:r>
            <w:r w:rsidRPr="00C836D9">
              <w:rPr>
                <w:rFonts w:asciiTheme="majorHAnsi" w:eastAsia="Calibri" w:hAnsiTheme="majorHAnsi" w:cs="Arial"/>
                <w:sz w:val="22"/>
                <w:lang w:eastAsia="it-IT"/>
              </w:rPr>
              <w:t>lan</w:t>
            </w:r>
            <w:r w:rsidR="00C836D9">
              <w:rPr>
                <w:rFonts w:asciiTheme="majorHAnsi" w:eastAsia="Calibri" w:hAnsiTheme="majorHAnsi" w:cs="Arial"/>
                <w:sz w:val="22"/>
                <w:lang w:eastAsia="it-IT"/>
              </w:rPr>
              <w:t xml:space="preserve"> and C</w:t>
            </w:r>
            <w:r w:rsidRPr="00C836D9">
              <w:rPr>
                <w:rFonts w:asciiTheme="majorHAnsi" w:eastAsia="Calibri" w:hAnsiTheme="majorHAnsi" w:cs="Arial"/>
                <w:sz w:val="22"/>
                <w:lang w:eastAsia="it-IT"/>
              </w:rPr>
              <w:t>onsultation</w:t>
            </w:r>
            <w:r w:rsidR="00C836D9">
              <w:rPr>
                <w:rFonts w:asciiTheme="majorHAnsi" w:eastAsia="Calibri" w:hAnsiTheme="majorHAnsi" w:cs="Arial"/>
                <w:sz w:val="22"/>
                <w:lang w:eastAsia="it-IT"/>
              </w:rPr>
              <w:t xml:space="preserve"> Summary Report.</w:t>
            </w:r>
          </w:p>
          <w:p w14:paraId="0251280B" w14:textId="6E076009" w:rsidR="00A40DF4" w:rsidRPr="00FF78BB" w:rsidRDefault="00AE251D" w:rsidP="00FF78BB">
            <w:pPr>
              <w:pStyle w:val="ListParagraph"/>
              <w:numPr>
                <w:ilvl w:val="1"/>
                <w:numId w:val="50"/>
              </w:numPr>
              <w:spacing w:before="120" w:after="120"/>
              <w:ind w:left="772" w:right="165"/>
              <w:rPr>
                <w:rFonts w:asciiTheme="majorHAnsi" w:eastAsia="Calibri" w:hAnsiTheme="majorHAnsi" w:cs="Arial"/>
                <w:sz w:val="22"/>
                <w:lang w:eastAsia="it-IT"/>
              </w:rPr>
            </w:pPr>
            <w:r w:rsidRPr="00FF78BB">
              <w:rPr>
                <w:rFonts w:asciiTheme="majorHAnsi" w:eastAsia="Calibri" w:hAnsiTheme="majorHAnsi" w:cs="Arial"/>
                <w:sz w:val="22"/>
                <w:lang w:eastAsia="it-IT"/>
              </w:rPr>
              <w:t>Corrective Action Plan for BL-1019</w:t>
            </w:r>
            <w:r w:rsidR="0014366D">
              <w:rPr>
                <w:rFonts w:asciiTheme="majorHAnsi" w:eastAsia="Calibri" w:hAnsiTheme="majorHAnsi" w:cs="Arial"/>
                <w:sz w:val="22"/>
                <w:lang w:eastAsia="it-IT"/>
              </w:rPr>
              <w:t xml:space="preserve">, which can be found at </w:t>
            </w:r>
            <w:hyperlink r:id="rId21" w:history="1">
              <w:r w:rsidR="0014366D" w:rsidRPr="001C4E75">
                <w:rPr>
                  <w:rStyle w:val="Hyperlink"/>
                  <w:rFonts w:asciiTheme="majorHAnsi" w:hAnsiTheme="majorHAnsi" w:cs="Arial"/>
                  <w:sz w:val="22"/>
                  <w:szCs w:val="22"/>
                </w:rPr>
                <w:t>EZSHARE-1448911133-10</w:t>
              </w:r>
            </w:hyperlink>
          </w:p>
          <w:p w14:paraId="750BAFDF" w14:textId="17B2760A" w:rsidR="002C41CC" w:rsidRDefault="002C41CC" w:rsidP="00547C7F">
            <w:pPr>
              <w:spacing w:before="120" w:after="120"/>
              <w:ind w:right="165"/>
              <w:rPr>
                <w:rFonts w:asciiTheme="majorHAnsi" w:eastAsia="Calibri" w:hAnsiTheme="majorHAnsi" w:cs="Arial"/>
                <w:sz w:val="22"/>
                <w:lang w:eastAsia="it-IT"/>
              </w:rPr>
            </w:pPr>
            <w:r>
              <w:rPr>
                <w:rFonts w:asciiTheme="majorHAnsi" w:eastAsia="Calibri" w:hAnsiTheme="majorHAnsi" w:cs="Arial"/>
                <w:sz w:val="22"/>
                <w:lang w:eastAsia="it-IT"/>
              </w:rPr>
              <w:t xml:space="preserve">The final version of the documents is available at: </w:t>
            </w:r>
            <w:hyperlink r:id="rId22" w:history="1">
              <w:r w:rsidRPr="00B47654">
                <w:rPr>
                  <w:rStyle w:val="Hyperlink"/>
                  <w:rFonts w:asciiTheme="majorHAnsi" w:eastAsia="Calibri" w:hAnsiTheme="majorHAnsi" w:cs="Arial"/>
                  <w:sz w:val="22"/>
                  <w:lang w:eastAsia="it-IT"/>
                </w:rPr>
                <w:t>https://www.iadb.org/en/project/BL-L1029</w:t>
              </w:r>
            </w:hyperlink>
          </w:p>
          <w:p w14:paraId="7A4219A1" w14:textId="08A5BE9A" w:rsidR="001A35AA" w:rsidRPr="001A35AA" w:rsidRDefault="001A35AA" w:rsidP="00547C7F">
            <w:pPr>
              <w:spacing w:before="120" w:after="120"/>
              <w:ind w:right="165"/>
              <w:rPr>
                <w:shd w:val="clear" w:color="auto" w:fill="FFFFFF"/>
              </w:rPr>
            </w:pPr>
            <w:r w:rsidRPr="00547C7F">
              <w:rPr>
                <w:rFonts w:asciiTheme="majorHAnsi" w:eastAsia="Calibri" w:hAnsiTheme="majorHAnsi" w:cs="Arial"/>
                <w:sz w:val="22"/>
                <w:lang w:eastAsia="it-IT"/>
              </w:rPr>
              <w:t xml:space="preserve">The ESMR </w:t>
            </w:r>
            <w:r w:rsidR="00020029">
              <w:rPr>
                <w:rFonts w:asciiTheme="majorHAnsi" w:eastAsia="Calibri" w:hAnsiTheme="majorHAnsi" w:cs="Arial"/>
                <w:sz w:val="22"/>
                <w:lang w:eastAsia="it-IT"/>
              </w:rPr>
              <w:t>was</w:t>
            </w:r>
            <w:r w:rsidRPr="00547C7F">
              <w:rPr>
                <w:rFonts w:asciiTheme="majorHAnsi" w:eastAsia="Calibri" w:hAnsiTheme="majorHAnsi" w:cs="Arial"/>
                <w:sz w:val="22"/>
                <w:lang w:eastAsia="it-IT"/>
              </w:rPr>
              <w:t xml:space="preserve"> updated before the distribution of the Loan Proposal to OPC, to reflect </w:t>
            </w:r>
            <w:r>
              <w:rPr>
                <w:rFonts w:asciiTheme="majorHAnsi" w:eastAsia="Calibri" w:hAnsiTheme="majorHAnsi" w:cs="Arial"/>
                <w:sz w:val="22"/>
                <w:lang w:eastAsia="it-IT"/>
              </w:rPr>
              <w:t>key pending changes</w:t>
            </w:r>
            <w:r w:rsidRPr="00547C7F">
              <w:rPr>
                <w:rFonts w:asciiTheme="majorHAnsi" w:eastAsia="Calibri" w:hAnsiTheme="majorHAnsi" w:cs="Arial"/>
                <w:sz w:val="22"/>
                <w:lang w:eastAsia="it-IT"/>
              </w:rPr>
              <w:t xml:space="preserve"> such as </w:t>
            </w:r>
            <w:r w:rsidR="00E220AD">
              <w:rPr>
                <w:rFonts w:asciiTheme="majorHAnsi" w:eastAsia="Calibri" w:hAnsiTheme="majorHAnsi" w:cs="Arial"/>
                <w:sz w:val="22"/>
                <w:lang w:eastAsia="it-IT"/>
              </w:rPr>
              <w:t>the resettlement and compensation measures,</w:t>
            </w:r>
            <w:r w:rsidRPr="00547C7F">
              <w:rPr>
                <w:rFonts w:asciiTheme="majorHAnsi" w:eastAsia="Calibri" w:hAnsiTheme="majorHAnsi" w:cs="Arial"/>
                <w:sz w:val="22"/>
                <w:lang w:eastAsia="it-IT"/>
              </w:rPr>
              <w:t xml:space="preserve"> and information on the consultations carried out.</w:t>
            </w:r>
          </w:p>
        </w:tc>
      </w:tr>
      <w:tr w:rsidR="00C55E62" w:rsidRPr="007C0236" w14:paraId="2F5C5200" w14:textId="77777777" w:rsidTr="3EFF9F7B">
        <w:trPr>
          <w:trHeight w:val="429"/>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5B3D7" w:themeFill="accent1" w:themeFillTint="99"/>
            <w:tcMar>
              <w:top w:w="15" w:type="dxa"/>
              <w:left w:w="105" w:type="dxa"/>
              <w:bottom w:w="15" w:type="dxa"/>
              <w:right w:w="105" w:type="dxa"/>
            </w:tcMar>
            <w:vAlign w:val="center"/>
            <w:hideMark/>
          </w:tcPr>
          <w:p w14:paraId="6C2054A6" w14:textId="77777777" w:rsidR="00C55E62" w:rsidRPr="009F0069" w:rsidRDefault="009444D9" w:rsidP="00F356E8">
            <w:pPr>
              <w:pStyle w:val="ListParagraph"/>
              <w:numPr>
                <w:ilvl w:val="0"/>
                <w:numId w:val="13"/>
              </w:numPr>
              <w:rPr>
                <w:rFonts w:ascii="Arial" w:eastAsia="Times New Roman" w:hAnsi="Arial" w:cs="Arial"/>
                <w:b/>
                <w:bCs/>
                <w:sz w:val="27"/>
                <w:szCs w:val="27"/>
              </w:rPr>
            </w:pPr>
            <w:r w:rsidRPr="009F0069">
              <w:rPr>
                <w:rFonts w:ascii="Arial" w:eastAsia="Times New Roman" w:hAnsi="Arial" w:cs="Arial"/>
                <w:b/>
                <w:bCs/>
                <w:sz w:val="27"/>
                <w:szCs w:val="27"/>
              </w:rPr>
              <w:t>Summary of</w:t>
            </w:r>
            <w:r w:rsidR="004B6155" w:rsidRPr="009F0069">
              <w:rPr>
                <w:rFonts w:ascii="Arial" w:eastAsia="Times New Roman" w:hAnsi="Arial" w:cs="Arial"/>
                <w:b/>
                <w:bCs/>
                <w:sz w:val="27"/>
                <w:szCs w:val="27"/>
              </w:rPr>
              <w:t xml:space="preserve"> Compliance with IDB Safeguard Policies</w:t>
            </w:r>
            <w:r w:rsidR="00C55E62" w:rsidRPr="009F0069">
              <w:rPr>
                <w:rFonts w:ascii="Arial" w:eastAsia="Times New Roman" w:hAnsi="Arial" w:cs="Arial"/>
                <w:b/>
                <w:bCs/>
                <w:sz w:val="27"/>
                <w:szCs w:val="27"/>
              </w:rPr>
              <w:t xml:space="preserve"> </w:t>
            </w:r>
          </w:p>
        </w:tc>
      </w:tr>
      <w:tr w:rsidR="00C55E62" w:rsidRPr="007C0236" w14:paraId="5CA145F3" w14:textId="77777777" w:rsidTr="3EFF9F7B">
        <w:trPr>
          <w:trHeight w:val="236"/>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hideMark/>
          </w:tcPr>
          <w:p w14:paraId="03C2A0D9" w14:textId="77777777" w:rsidR="00F5450B" w:rsidRPr="00A920D9" w:rsidRDefault="000A0028" w:rsidP="00C836D9">
            <w:pPr>
              <w:spacing w:before="120" w:after="120"/>
              <w:jc w:val="both"/>
              <w:rPr>
                <w:rFonts w:ascii="Arial" w:eastAsia="Times New Roman" w:hAnsi="Arial" w:cs="Arial"/>
                <w:sz w:val="22"/>
                <w:szCs w:val="22"/>
                <w:shd w:val="clear" w:color="auto" w:fill="FFFFFF"/>
              </w:rPr>
            </w:pPr>
            <w:r w:rsidRPr="00C836D9">
              <w:rPr>
                <w:rFonts w:asciiTheme="majorHAnsi" w:eastAsia="Calibri" w:hAnsiTheme="majorHAnsi" w:cs="Arial"/>
                <w:sz w:val="22"/>
                <w:lang w:eastAsia="it-IT"/>
              </w:rPr>
              <w:t>See Annex A</w:t>
            </w:r>
            <w:r w:rsidR="00413AFB" w:rsidRPr="00C836D9">
              <w:rPr>
                <w:rFonts w:asciiTheme="majorHAnsi" w:eastAsia="Calibri" w:hAnsiTheme="majorHAnsi" w:cs="Arial"/>
                <w:sz w:val="22"/>
                <w:lang w:eastAsia="it-IT"/>
              </w:rPr>
              <w:t xml:space="preserve"> for a summary of the safeguard policies and directives applicable to this operation.</w:t>
            </w:r>
          </w:p>
        </w:tc>
      </w:tr>
    </w:tbl>
    <w:p w14:paraId="3205600F" w14:textId="77777777" w:rsidR="004D3CD1" w:rsidRPr="007C0236" w:rsidRDefault="004D3CD1" w:rsidP="004127F6">
      <w:pPr>
        <w:rPr>
          <w:rFonts w:ascii="Arial" w:hAnsi="Arial" w:cs="Arial"/>
          <w:bCs/>
          <w:sz w:val="18"/>
          <w:szCs w:val="20"/>
        </w:rPr>
        <w:sectPr w:rsidR="004D3CD1" w:rsidRPr="007C0236" w:rsidSect="005354FC">
          <w:headerReference w:type="default" r:id="rId23"/>
          <w:footerReference w:type="default" r:id="rId24"/>
          <w:pgSz w:w="12240" w:h="15840"/>
          <w:pgMar w:top="1440" w:right="1800" w:bottom="1440" w:left="1170" w:header="720" w:footer="720" w:gutter="0"/>
          <w:cols w:space="720"/>
          <w:titlePg/>
          <w:docGrid w:linePitch="360"/>
        </w:sectPr>
      </w:pPr>
    </w:p>
    <w:p w14:paraId="1342DEB1" w14:textId="77777777" w:rsidR="004D3CD1" w:rsidRPr="007C0236" w:rsidRDefault="00874CC0" w:rsidP="004D3CD1">
      <w:pPr>
        <w:rPr>
          <w:rFonts w:ascii="Arial" w:hAnsi="Arial" w:cs="Arial"/>
          <w:b/>
          <w:sz w:val="20"/>
          <w:szCs w:val="20"/>
        </w:rPr>
      </w:pPr>
      <w:r>
        <w:rPr>
          <w:rFonts w:ascii="Arial" w:hAnsi="Arial" w:cs="Arial"/>
          <w:b/>
          <w:sz w:val="20"/>
          <w:szCs w:val="20"/>
        </w:rPr>
        <w:lastRenderedPageBreak/>
        <w:t xml:space="preserve">Annex A. </w:t>
      </w:r>
      <w:r w:rsidR="00D055D3" w:rsidRPr="007C0236">
        <w:rPr>
          <w:rFonts w:ascii="Arial" w:hAnsi="Arial" w:cs="Arial"/>
          <w:b/>
          <w:sz w:val="20"/>
          <w:szCs w:val="20"/>
        </w:rPr>
        <w:t>Summary of Compliance with IDB Safeguard Policies</w:t>
      </w:r>
      <w:r w:rsidR="00AF5C47" w:rsidRPr="007C0236">
        <w:rPr>
          <w:rStyle w:val="FootnoteReference"/>
          <w:rFonts w:ascii="Arial" w:hAnsi="Arial" w:cs="Arial"/>
          <w:b/>
          <w:sz w:val="20"/>
          <w:szCs w:val="20"/>
        </w:rPr>
        <w:footnoteReference w:id="1"/>
      </w:r>
    </w:p>
    <w:tbl>
      <w:tblPr>
        <w:tblStyle w:val="TableGrid"/>
        <w:tblW w:w="13050" w:type="dxa"/>
        <w:tblInd w:w="-5" w:type="dxa"/>
        <w:tblLayout w:type="fixed"/>
        <w:tblLook w:val="04A0" w:firstRow="1" w:lastRow="0" w:firstColumn="1" w:lastColumn="0" w:noHBand="0" w:noVBand="1"/>
      </w:tblPr>
      <w:tblGrid>
        <w:gridCol w:w="2250"/>
        <w:gridCol w:w="2813"/>
        <w:gridCol w:w="3847"/>
        <w:gridCol w:w="4140"/>
      </w:tblGrid>
      <w:tr w:rsidR="002C120B" w:rsidRPr="007C0236" w14:paraId="35EF2E99" w14:textId="77777777" w:rsidTr="0087228B">
        <w:trPr>
          <w:trHeight w:val="323"/>
        </w:trPr>
        <w:tc>
          <w:tcPr>
            <w:tcW w:w="2250" w:type="dxa"/>
            <w:shd w:val="clear" w:color="auto" w:fill="95B3D7" w:themeFill="accent1" w:themeFillTint="99"/>
            <w:vAlign w:val="center"/>
          </w:tcPr>
          <w:p w14:paraId="0765EB78" w14:textId="77777777" w:rsidR="002C120B" w:rsidRPr="009B08D4" w:rsidRDefault="002C120B">
            <w:pPr>
              <w:tabs>
                <w:tab w:val="left" w:pos="3200"/>
              </w:tabs>
              <w:jc w:val="center"/>
              <w:rPr>
                <w:rFonts w:asciiTheme="majorHAnsi" w:eastAsia="Calibri" w:hAnsiTheme="majorHAnsi" w:cs="Arial"/>
                <w:sz w:val="20"/>
                <w:szCs w:val="20"/>
                <w:lang w:eastAsia="it-IT"/>
              </w:rPr>
            </w:pPr>
            <w:r w:rsidRPr="009B08D4">
              <w:rPr>
                <w:rFonts w:asciiTheme="majorHAnsi" w:eastAsia="Calibri" w:hAnsiTheme="majorHAnsi" w:cs="Arial"/>
                <w:sz w:val="20"/>
                <w:szCs w:val="20"/>
                <w:lang w:eastAsia="it-IT"/>
              </w:rPr>
              <w:t>Policies</w:t>
            </w:r>
            <w:r w:rsidR="00A00C5A" w:rsidRPr="009B08D4">
              <w:rPr>
                <w:rFonts w:asciiTheme="majorHAnsi" w:eastAsia="Calibri" w:hAnsiTheme="majorHAnsi" w:cs="Arial"/>
                <w:sz w:val="20"/>
                <w:szCs w:val="20"/>
                <w:lang w:eastAsia="it-IT"/>
              </w:rPr>
              <w:t xml:space="preserve"> </w:t>
            </w:r>
            <w:r w:rsidRPr="009B08D4">
              <w:rPr>
                <w:rFonts w:asciiTheme="majorHAnsi" w:eastAsia="Calibri" w:hAnsiTheme="majorHAnsi" w:cs="Arial"/>
                <w:sz w:val="20"/>
                <w:szCs w:val="20"/>
                <w:lang w:eastAsia="it-IT"/>
              </w:rPr>
              <w:t>/ Directives</w:t>
            </w:r>
          </w:p>
        </w:tc>
        <w:tc>
          <w:tcPr>
            <w:tcW w:w="2813" w:type="dxa"/>
            <w:tcBorders>
              <w:bottom w:val="single" w:sz="4" w:space="0" w:color="auto"/>
            </w:tcBorders>
            <w:shd w:val="clear" w:color="auto" w:fill="95B3D7" w:themeFill="accent1" w:themeFillTint="99"/>
            <w:vAlign w:val="center"/>
          </w:tcPr>
          <w:p w14:paraId="6C0712CA" w14:textId="77777777" w:rsidR="002C120B" w:rsidRPr="009B08D4" w:rsidRDefault="002C120B">
            <w:pPr>
              <w:tabs>
                <w:tab w:val="left" w:pos="3200"/>
              </w:tabs>
              <w:jc w:val="center"/>
              <w:rPr>
                <w:rFonts w:asciiTheme="majorHAnsi" w:eastAsia="Calibri" w:hAnsiTheme="majorHAnsi" w:cs="Arial"/>
                <w:b/>
                <w:sz w:val="20"/>
                <w:szCs w:val="20"/>
                <w:lang w:eastAsia="it-IT"/>
              </w:rPr>
            </w:pPr>
            <w:r w:rsidRPr="009B08D4">
              <w:rPr>
                <w:rFonts w:asciiTheme="majorHAnsi" w:eastAsia="Calibri" w:hAnsiTheme="majorHAnsi" w:cs="Arial"/>
                <w:b/>
                <w:sz w:val="20"/>
                <w:szCs w:val="20"/>
                <w:lang w:eastAsia="it-IT"/>
              </w:rPr>
              <w:t>Applicable Policy</w:t>
            </w:r>
            <w:r w:rsidR="00A00C5A" w:rsidRPr="009B08D4">
              <w:rPr>
                <w:rFonts w:asciiTheme="majorHAnsi" w:eastAsia="Calibri" w:hAnsiTheme="majorHAnsi" w:cs="Arial"/>
                <w:b/>
                <w:sz w:val="20"/>
                <w:szCs w:val="20"/>
                <w:lang w:eastAsia="it-IT"/>
              </w:rPr>
              <w:t xml:space="preserve"> </w:t>
            </w:r>
            <w:r w:rsidRPr="009B08D4">
              <w:rPr>
                <w:rFonts w:asciiTheme="majorHAnsi" w:eastAsia="Calibri" w:hAnsiTheme="majorHAnsi" w:cs="Arial"/>
                <w:b/>
                <w:sz w:val="20"/>
                <w:szCs w:val="20"/>
                <w:lang w:eastAsia="it-IT"/>
              </w:rPr>
              <w:t>/</w:t>
            </w:r>
            <w:r w:rsidR="00A00C5A" w:rsidRPr="009B08D4">
              <w:rPr>
                <w:rFonts w:asciiTheme="majorHAnsi" w:eastAsia="Calibri" w:hAnsiTheme="majorHAnsi" w:cs="Arial"/>
                <w:b/>
                <w:sz w:val="20"/>
                <w:szCs w:val="20"/>
                <w:lang w:eastAsia="it-IT"/>
              </w:rPr>
              <w:t xml:space="preserve"> </w:t>
            </w:r>
            <w:r w:rsidRPr="009B08D4">
              <w:rPr>
                <w:rFonts w:asciiTheme="majorHAnsi" w:eastAsia="Calibri" w:hAnsiTheme="majorHAnsi" w:cs="Arial"/>
                <w:b/>
                <w:sz w:val="20"/>
                <w:szCs w:val="20"/>
                <w:lang w:eastAsia="it-IT"/>
              </w:rPr>
              <w:t>Directive Aspect</w:t>
            </w:r>
          </w:p>
        </w:tc>
        <w:tc>
          <w:tcPr>
            <w:tcW w:w="3847" w:type="dxa"/>
            <w:tcBorders>
              <w:bottom w:val="single" w:sz="4" w:space="0" w:color="auto"/>
            </w:tcBorders>
            <w:shd w:val="clear" w:color="auto" w:fill="95B3D7" w:themeFill="accent1" w:themeFillTint="99"/>
            <w:vAlign w:val="center"/>
          </w:tcPr>
          <w:p w14:paraId="6668B210" w14:textId="77777777" w:rsidR="002C120B" w:rsidRPr="009B08D4" w:rsidRDefault="002C120B" w:rsidP="00B505FD">
            <w:pPr>
              <w:tabs>
                <w:tab w:val="left" w:pos="3200"/>
              </w:tabs>
              <w:jc w:val="center"/>
              <w:rPr>
                <w:rFonts w:asciiTheme="majorHAnsi" w:eastAsia="Calibri" w:hAnsiTheme="majorHAnsi" w:cs="Arial"/>
                <w:b/>
                <w:sz w:val="20"/>
                <w:szCs w:val="20"/>
                <w:lang w:eastAsia="it-IT"/>
              </w:rPr>
            </w:pPr>
            <w:r w:rsidRPr="009B08D4">
              <w:rPr>
                <w:rFonts w:asciiTheme="majorHAnsi" w:eastAsia="Calibri" w:hAnsiTheme="majorHAnsi" w:cs="Arial"/>
                <w:b/>
                <w:sz w:val="20"/>
                <w:szCs w:val="20"/>
                <w:lang w:eastAsia="it-IT"/>
              </w:rPr>
              <w:t xml:space="preserve">Compliance Status </w:t>
            </w:r>
            <w:r w:rsidR="0057636F" w:rsidRPr="009B08D4">
              <w:rPr>
                <w:rFonts w:asciiTheme="majorHAnsi" w:eastAsia="Calibri" w:hAnsiTheme="majorHAnsi" w:cs="Arial"/>
                <w:b/>
                <w:sz w:val="20"/>
                <w:szCs w:val="20"/>
                <w:lang w:eastAsia="it-IT"/>
              </w:rPr>
              <w:t xml:space="preserve">and Rationale </w:t>
            </w:r>
            <w:r w:rsidRPr="009B08D4">
              <w:rPr>
                <w:rFonts w:asciiTheme="majorHAnsi" w:eastAsia="Calibri" w:hAnsiTheme="majorHAnsi" w:cs="Arial"/>
                <w:b/>
                <w:sz w:val="20"/>
                <w:szCs w:val="20"/>
                <w:lang w:eastAsia="it-IT"/>
              </w:rPr>
              <w:t>with Policy / Directive Requirements</w:t>
            </w:r>
          </w:p>
        </w:tc>
        <w:tc>
          <w:tcPr>
            <w:tcW w:w="4140" w:type="dxa"/>
            <w:tcBorders>
              <w:bottom w:val="single" w:sz="4" w:space="0" w:color="auto"/>
            </w:tcBorders>
            <w:shd w:val="clear" w:color="auto" w:fill="95B3D7" w:themeFill="accent1" w:themeFillTint="99"/>
            <w:vAlign w:val="center"/>
          </w:tcPr>
          <w:p w14:paraId="5983F231" w14:textId="77777777" w:rsidR="002C120B" w:rsidRPr="009B08D4" w:rsidRDefault="002C120B">
            <w:pPr>
              <w:tabs>
                <w:tab w:val="left" w:pos="3200"/>
              </w:tabs>
              <w:jc w:val="center"/>
              <w:rPr>
                <w:rFonts w:asciiTheme="majorHAnsi" w:eastAsia="Calibri" w:hAnsiTheme="majorHAnsi" w:cs="Arial"/>
                <w:b/>
                <w:sz w:val="20"/>
                <w:szCs w:val="20"/>
                <w:lang w:eastAsia="it-IT"/>
              </w:rPr>
            </w:pPr>
            <w:r w:rsidRPr="009B08D4">
              <w:rPr>
                <w:rFonts w:asciiTheme="majorHAnsi" w:eastAsia="Calibri" w:hAnsiTheme="majorHAnsi" w:cs="Arial"/>
                <w:b/>
                <w:sz w:val="20"/>
                <w:szCs w:val="20"/>
                <w:lang w:eastAsia="it-IT"/>
              </w:rPr>
              <w:t>Requirements</w:t>
            </w:r>
            <w:r w:rsidR="00A00C5A" w:rsidRPr="009B08D4">
              <w:rPr>
                <w:rFonts w:asciiTheme="majorHAnsi" w:eastAsia="Calibri" w:hAnsiTheme="majorHAnsi" w:cs="Arial"/>
                <w:b/>
                <w:sz w:val="20"/>
                <w:szCs w:val="20"/>
                <w:lang w:eastAsia="it-IT"/>
              </w:rPr>
              <w:t xml:space="preserve"> </w:t>
            </w:r>
            <w:r w:rsidRPr="009B08D4">
              <w:rPr>
                <w:rFonts w:asciiTheme="majorHAnsi" w:eastAsia="Calibri" w:hAnsiTheme="majorHAnsi" w:cs="Arial"/>
                <w:b/>
                <w:sz w:val="20"/>
                <w:szCs w:val="20"/>
                <w:lang w:eastAsia="it-IT"/>
              </w:rPr>
              <w:t>/</w:t>
            </w:r>
            <w:r w:rsidR="00A00C5A" w:rsidRPr="009B08D4">
              <w:rPr>
                <w:rFonts w:asciiTheme="majorHAnsi" w:eastAsia="Calibri" w:hAnsiTheme="majorHAnsi" w:cs="Arial"/>
                <w:b/>
                <w:sz w:val="20"/>
                <w:szCs w:val="20"/>
                <w:lang w:eastAsia="it-IT"/>
              </w:rPr>
              <w:t xml:space="preserve"> </w:t>
            </w:r>
            <w:r w:rsidRPr="009B08D4">
              <w:rPr>
                <w:rFonts w:asciiTheme="majorHAnsi" w:eastAsia="Calibri" w:hAnsiTheme="majorHAnsi" w:cs="Arial"/>
                <w:b/>
                <w:sz w:val="20"/>
                <w:szCs w:val="20"/>
                <w:lang w:eastAsia="it-IT"/>
              </w:rPr>
              <w:t>Actions</w:t>
            </w:r>
            <w:r w:rsidR="00A00C5A" w:rsidRPr="009B08D4">
              <w:rPr>
                <w:rFonts w:asciiTheme="majorHAnsi" w:eastAsia="Calibri" w:hAnsiTheme="majorHAnsi" w:cs="Arial"/>
                <w:b/>
                <w:sz w:val="20"/>
                <w:szCs w:val="20"/>
                <w:lang w:eastAsia="it-IT"/>
              </w:rPr>
              <w:t xml:space="preserve"> </w:t>
            </w:r>
            <w:r w:rsidRPr="009B08D4">
              <w:rPr>
                <w:rFonts w:asciiTheme="majorHAnsi" w:eastAsia="Calibri" w:hAnsiTheme="majorHAnsi" w:cs="Arial"/>
                <w:b/>
                <w:sz w:val="20"/>
                <w:szCs w:val="20"/>
                <w:lang w:eastAsia="it-IT"/>
              </w:rPr>
              <w:t>/</w:t>
            </w:r>
            <w:r w:rsidR="00A00C5A" w:rsidRPr="009B08D4">
              <w:rPr>
                <w:rFonts w:asciiTheme="majorHAnsi" w:eastAsia="Calibri" w:hAnsiTheme="majorHAnsi" w:cs="Arial"/>
                <w:b/>
                <w:sz w:val="20"/>
                <w:szCs w:val="20"/>
                <w:lang w:eastAsia="it-IT"/>
              </w:rPr>
              <w:t xml:space="preserve"> </w:t>
            </w:r>
            <w:r w:rsidRPr="009B08D4">
              <w:rPr>
                <w:rFonts w:asciiTheme="majorHAnsi" w:eastAsia="Calibri" w:hAnsiTheme="majorHAnsi" w:cs="Arial"/>
                <w:b/>
                <w:sz w:val="20"/>
                <w:szCs w:val="20"/>
                <w:lang w:eastAsia="it-IT"/>
              </w:rPr>
              <w:t>Plans</w:t>
            </w:r>
          </w:p>
        </w:tc>
      </w:tr>
      <w:tr w:rsidR="00EE20EB" w:rsidRPr="007C0236" w14:paraId="04EBFAFB" w14:textId="77777777" w:rsidTr="0087228B">
        <w:trPr>
          <w:trHeight w:val="323"/>
        </w:trPr>
        <w:tc>
          <w:tcPr>
            <w:tcW w:w="13050" w:type="dxa"/>
            <w:gridSpan w:val="4"/>
            <w:shd w:val="clear" w:color="auto" w:fill="D9D9D9" w:themeFill="background1" w:themeFillShade="D9"/>
            <w:vAlign w:val="center"/>
          </w:tcPr>
          <w:p w14:paraId="33DB7388" w14:textId="77777777" w:rsidR="00EE20EB" w:rsidRPr="009B08D4" w:rsidRDefault="00EE20EB" w:rsidP="006F7063">
            <w:pPr>
              <w:tabs>
                <w:tab w:val="left" w:pos="3200"/>
              </w:tabs>
              <w:jc w:val="both"/>
              <w:rPr>
                <w:rFonts w:asciiTheme="majorHAnsi" w:eastAsia="Calibri" w:hAnsiTheme="majorHAnsi" w:cs="Arial"/>
                <w:sz w:val="20"/>
                <w:szCs w:val="20"/>
                <w:lang w:eastAsia="it-IT"/>
              </w:rPr>
            </w:pPr>
            <w:r w:rsidRPr="009B08D4">
              <w:rPr>
                <w:rFonts w:asciiTheme="majorHAnsi" w:eastAsia="Calibri" w:hAnsiTheme="majorHAnsi" w:cs="Arial"/>
                <w:sz w:val="20"/>
                <w:szCs w:val="20"/>
                <w:lang w:eastAsia="it-IT"/>
              </w:rPr>
              <w:t>OP-703 Environment and Safeguards Compliance Policy</w:t>
            </w:r>
          </w:p>
        </w:tc>
      </w:tr>
      <w:tr w:rsidR="00655824" w:rsidRPr="007C0236" w14:paraId="5B8D4808" w14:textId="77777777" w:rsidTr="0087228B">
        <w:trPr>
          <w:trHeight w:val="323"/>
        </w:trPr>
        <w:tc>
          <w:tcPr>
            <w:tcW w:w="2250" w:type="dxa"/>
            <w:shd w:val="clear" w:color="auto" w:fill="D9D9D9" w:themeFill="background1" w:themeFillShade="D9"/>
            <w:vAlign w:val="center"/>
          </w:tcPr>
          <w:p w14:paraId="6C08291A" w14:textId="77777777" w:rsidR="00655824" w:rsidRPr="00A232EE" w:rsidRDefault="00655824" w:rsidP="009B08D4">
            <w:pPr>
              <w:pStyle w:val="Paragraph"/>
              <w:tabs>
                <w:tab w:val="clear" w:pos="851"/>
                <w:tab w:val="num" w:pos="810"/>
              </w:tabs>
              <w:spacing w:before="0" w:after="0"/>
              <w:jc w:val="left"/>
              <w:outlineLvl w:val="1"/>
              <w:rPr>
                <w:rFonts w:asciiTheme="majorHAnsi" w:eastAsia="Calibri" w:hAnsiTheme="majorHAnsi" w:cs="Arial"/>
                <w:szCs w:val="22"/>
                <w:lang w:val="en-US"/>
              </w:rPr>
            </w:pPr>
            <w:r w:rsidRPr="00A232EE">
              <w:rPr>
                <w:rFonts w:asciiTheme="majorHAnsi" w:eastAsia="Calibri" w:hAnsiTheme="majorHAnsi" w:cs="Arial"/>
                <w:szCs w:val="22"/>
                <w:lang w:val="en-US"/>
              </w:rPr>
              <w:t>B.2 Country Laws and Regulations</w:t>
            </w:r>
          </w:p>
        </w:tc>
        <w:tc>
          <w:tcPr>
            <w:tcW w:w="2813" w:type="dxa"/>
            <w:vAlign w:val="center"/>
          </w:tcPr>
          <w:p w14:paraId="101DB3F3" w14:textId="77777777" w:rsidR="00655824" w:rsidRPr="00A232EE" w:rsidRDefault="00655824" w:rsidP="009B08D4">
            <w:pPr>
              <w:pStyle w:val="Paragraph"/>
              <w:tabs>
                <w:tab w:val="clear" w:pos="851"/>
                <w:tab w:val="num" w:pos="810"/>
              </w:tabs>
              <w:spacing w:before="0" w:after="0"/>
              <w:jc w:val="left"/>
              <w:outlineLvl w:val="1"/>
              <w:rPr>
                <w:rFonts w:asciiTheme="majorHAnsi" w:eastAsia="Calibri" w:hAnsiTheme="majorHAnsi" w:cs="Arial"/>
                <w:szCs w:val="22"/>
                <w:lang w:val="en-US"/>
              </w:rPr>
            </w:pPr>
            <w:r w:rsidRPr="00A232EE">
              <w:rPr>
                <w:rFonts w:asciiTheme="majorHAnsi" w:eastAsia="Calibri" w:hAnsiTheme="majorHAnsi" w:cs="Arial"/>
                <w:szCs w:val="22"/>
                <w:lang w:val="en-US"/>
              </w:rPr>
              <w:t>Belize norms</w:t>
            </w:r>
          </w:p>
        </w:tc>
        <w:tc>
          <w:tcPr>
            <w:tcW w:w="3847" w:type="dxa"/>
            <w:vAlign w:val="center"/>
          </w:tcPr>
          <w:p w14:paraId="5492F367" w14:textId="46458EF5" w:rsidR="00655824" w:rsidRPr="00A232EE" w:rsidRDefault="00EF6E80" w:rsidP="009B08D4">
            <w:pPr>
              <w:pStyle w:val="Paragraph"/>
              <w:tabs>
                <w:tab w:val="clear" w:pos="851"/>
                <w:tab w:val="num" w:pos="810"/>
              </w:tabs>
              <w:spacing w:before="0" w:after="0"/>
              <w:jc w:val="left"/>
              <w:outlineLvl w:val="1"/>
              <w:rPr>
                <w:rFonts w:asciiTheme="majorHAnsi" w:eastAsia="Calibri" w:hAnsiTheme="majorHAnsi" w:cs="Arial"/>
                <w:szCs w:val="22"/>
                <w:lang w:val="en-US"/>
              </w:rPr>
            </w:pPr>
            <w:r>
              <w:rPr>
                <w:rFonts w:asciiTheme="majorHAnsi" w:eastAsia="Calibri" w:hAnsiTheme="majorHAnsi" w:cs="Arial"/>
                <w:szCs w:val="22"/>
                <w:lang w:val="en-US"/>
              </w:rPr>
              <w:t>The Department of Environment issued an Environmental Compliance</w:t>
            </w:r>
            <w:r w:rsidR="00796D2A">
              <w:rPr>
                <w:rFonts w:asciiTheme="majorHAnsi" w:eastAsia="Calibri" w:hAnsiTheme="majorHAnsi" w:cs="Arial"/>
                <w:szCs w:val="22"/>
                <w:lang w:val="en-US"/>
              </w:rPr>
              <w:t xml:space="preserve"> Plan (ECP) </w:t>
            </w:r>
            <w:r>
              <w:rPr>
                <w:rFonts w:asciiTheme="majorHAnsi" w:eastAsia="Calibri" w:hAnsiTheme="majorHAnsi" w:cs="Arial"/>
                <w:szCs w:val="22"/>
                <w:lang w:val="en-US"/>
              </w:rPr>
              <w:t>for the project in November 2016. The DOE monitors enforcement of any stipulations in the E</w:t>
            </w:r>
            <w:r w:rsidR="00796D2A">
              <w:rPr>
                <w:rFonts w:asciiTheme="majorHAnsi" w:eastAsia="Calibri" w:hAnsiTheme="majorHAnsi" w:cs="Arial"/>
                <w:szCs w:val="22"/>
                <w:lang w:val="en-US"/>
              </w:rPr>
              <w:t>CP</w:t>
            </w:r>
            <w:r w:rsidR="006A0DF2">
              <w:rPr>
                <w:rFonts w:asciiTheme="majorHAnsi" w:eastAsia="Calibri" w:hAnsiTheme="majorHAnsi" w:cs="Arial"/>
                <w:szCs w:val="22"/>
                <w:lang w:val="en-US"/>
              </w:rPr>
              <w:t>.</w:t>
            </w:r>
          </w:p>
        </w:tc>
        <w:tc>
          <w:tcPr>
            <w:tcW w:w="4140" w:type="dxa"/>
            <w:vAlign w:val="center"/>
          </w:tcPr>
          <w:p w14:paraId="0BA09130" w14:textId="77777777" w:rsidR="00655824" w:rsidRDefault="00655824" w:rsidP="009B08D4">
            <w:pPr>
              <w:pStyle w:val="Paragraph"/>
              <w:tabs>
                <w:tab w:val="clear" w:pos="851"/>
                <w:tab w:val="num" w:pos="810"/>
              </w:tabs>
              <w:spacing w:before="0" w:after="0"/>
              <w:jc w:val="left"/>
              <w:outlineLvl w:val="1"/>
              <w:rPr>
                <w:rFonts w:asciiTheme="majorHAnsi" w:eastAsia="Calibri" w:hAnsiTheme="majorHAnsi" w:cs="Arial"/>
                <w:szCs w:val="22"/>
                <w:lang w:val="en-US"/>
              </w:rPr>
            </w:pPr>
            <w:r w:rsidRPr="00A232EE">
              <w:rPr>
                <w:rFonts w:asciiTheme="majorHAnsi" w:eastAsia="Calibri" w:hAnsiTheme="majorHAnsi" w:cs="Arial"/>
                <w:szCs w:val="22"/>
                <w:lang w:val="en-US"/>
              </w:rPr>
              <w:t>Receive confirmation of legal wi</w:t>
            </w:r>
            <w:r w:rsidR="00F719F0" w:rsidRPr="00A232EE">
              <w:rPr>
                <w:rFonts w:asciiTheme="majorHAnsi" w:eastAsia="Calibri" w:hAnsiTheme="majorHAnsi" w:cs="Arial"/>
                <w:szCs w:val="22"/>
                <w:lang w:val="en-US"/>
              </w:rPr>
              <w:t>d</w:t>
            </w:r>
            <w:r w:rsidRPr="00A232EE">
              <w:rPr>
                <w:rFonts w:asciiTheme="majorHAnsi" w:eastAsia="Calibri" w:hAnsiTheme="majorHAnsi" w:cs="Arial"/>
                <w:szCs w:val="22"/>
                <w:lang w:val="en-US"/>
              </w:rPr>
              <w:t>th of right of way</w:t>
            </w:r>
          </w:p>
          <w:p w14:paraId="2490A16B" w14:textId="50177B3A" w:rsidR="002F0F53" w:rsidRPr="00A232EE" w:rsidRDefault="002F0F53" w:rsidP="009B08D4">
            <w:pPr>
              <w:pStyle w:val="Paragraph"/>
              <w:tabs>
                <w:tab w:val="clear" w:pos="851"/>
                <w:tab w:val="num" w:pos="810"/>
              </w:tabs>
              <w:spacing w:before="0" w:after="0"/>
              <w:jc w:val="left"/>
              <w:outlineLvl w:val="1"/>
              <w:rPr>
                <w:rFonts w:asciiTheme="majorHAnsi" w:eastAsia="Calibri" w:hAnsiTheme="majorHAnsi" w:cs="Arial"/>
                <w:szCs w:val="22"/>
                <w:lang w:val="en-US"/>
              </w:rPr>
            </w:pPr>
            <w:r>
              <w:rPr>
                <w:rFonts w:asciiTheme="majorHAnsi" w:eastAsia="Calibri" w:hAnsiTheme="majorHAnsi" w:cs="Arial"/>
                <w:szCs w:val="22"/>
                <w:lang w:val="en-US"/>
              </w:rPr>
              <w:t>Monitor the implementation of the Environmental Compliance Plan (ECP)</w:t>
            </w:r>
            <w:r w:rsidR="006A0DF2">
              <w:rPr>
                <w:rFonts w:asciiTheme="majorHAnsi" w:eastAsia="Calibri" w:hAnsiTheme="majorHAnsi" w:cs="Arial"/>
                <w:szCs w:val="22"/>
                <w:lang w:val="en-US"/>
              </w:rPr>
              <w:t>.</w:t>
            </w:r>
          </w:p>
        </w:tc>
      </w:tr>
      <w:tr w:rsidR="00655824" w:rsidRPr="007C0236" w14:paraId="5700A223" w14:textId="77777777" w:rsidTr="0087228B">
        <w:trPr>
          <w:trHeight w:val="323"/>
        </w:trPr>
        <w:tc>
          <w:tcPr>
            <w:tcW w:w="2250" w:type="dxa"/>
            <w:shd w:val="clear" w:color="auto" w:fill="D9D9D9" w:themeFill="background1" w:themeFillShade="D9"/>
            <w:vAlign w:val="center"/>
          </w:tcPr>
          <w:p w14:paraId="561143A8" w14:textId="77777777" w:rsidR="00655824" w:rsidRPr="00A232EE" w:rsidRDefault="00655824" w:rsidP="009B08D4">
            <w:pPr>
              <w:pStyle w:val="Paragraph"/>
              <w:tabs>
                <w:tab w:val="clear" w:pos="851"/>
                <w:tab w:val="num" w:pos="810"/>
              </w:tabs>
              <w:spacing w:before="0" w:after="0"/>
              <w:jc w:val="left"/>
              <w:outlineLvl w:val="1"/>
              <w:rPr>
                <w:rFonts w:asciiTheme="majorHAnsi" w:eastAsia="Calibri" w:hAnsiTheme="majorHAnsi" w:cs="Arial"/>
                <w:szCs w:val="22"/>
                <w:lang w:val="en-US"/>
              </w:rPr>
            </w:pPr>
            <w:r w:rsidRPr="00A232EE">
              <w:rPr>
                <w:rFonts w:asciiTheme="majorHAnsi" w:eastAsia="Calibri" w:hAnsiTheme="majorHAnsi" w:cs="Arial"/>
                <w:szCs w:val="22"/>
                <w:lang w:val="en-US"/>
              </w:rPr>
              <w:t>B.3 Screening and Classification</w:t>
            </w:r>
          </w:p>
        </w:tc>
        <w:tc>
          <w:tcPr>
            <w:tcW w:w="2813" w:type="dxa"/>
            <w:vAlign w:val="center"/>
          </w:tcPr>
          <w:p w14:paraId="6F5D5B52" w14:textId="77777777" w:rsidR="00655824" w:rsidRPr="00A232EE" w:rsidRDefault="00655824" w:rsidP="009B08D4">
            <w:pPr>
              <w:pStyle w:val="Paragraph"/>
              <w:tabs>
                <w:tab w:val="clear" w:pos="851"/>
                <w:tab w:val="num" w:pos="810"/>
              </w:tabs>
              <w:spacing w:before="0" w:after="0"/>
              <w:jc w:val="left"/>
              <w:outlineLvl w:val="1"/>
              <w:rPr>
                <w:rFonts w:asciiTheme="majorHAnsi" w:eastAsia="Calibri" w:hAnsiTheme="majorHAnsi" w:cs="Arial"/>
                <w:szCs w:val="22"/>
                <w:lang w:val="en-US"/>
              </w:rPr>
            </w:pPr>
            <w:r w:rsidRPr="00A232EE">
              <w:rPr>
                <w:rFonts w:asciiTheme="majorHAnsi" w:eastAsia="Calibri" w:hAnsiTheme="majorHAnsi" w:cs="Arial"/>
                <w:szCs w:val="22"/>
                <w:lang w:val="en-US"/>
              </w:rPr>
              <w:t>Screening (safeguard filters) and classification (impact and risk)</w:t>
            </w:r>
          </w:p>
        </w:tc>
        <w:tc>
          <w:tcPr>
            <w:tcW w:w="3847" w:type="dxa"/>
            <w:vAlign w:val="center"/>
          </w:tcPr>
          <w:p w14:paraId="6B854A14" w14:textId="608302B6" w:rsidR="00655824" w:rsidRPr="00A232EE" w:rsidRDefault="009B08D4" w:rsidP="009B08D4">
            <w:pPr>
              <w:pStyle w:val="Paragraph"/>
              <w:tabs>
                <w:tab w:val="clear" w:pos="851"/>
                <w:tab w:val="num" w:pos="810"/>
              </w:tabs>
              <w:spacing w:before="0" w:after="0"/>
              <w:jc w:val="left"/>
              <w:outlineLvl w:val="1"/>
              <w:rPr>
                <w:rFonts w:asciiTheme="majorHAnsi" w:hAnsiTheme="majorHAnsi" w:cs="Arial"/>
                <w:szCs w:val="22"/>
              </w:rPr>
            </w:pPr>
            <w:r w:rsidRPr="00A232EE">
              <w:rPr>
                <w:rFonts w:asciiTheme="majorHAnsi" w:hAnsiTheme="majorHAnsi" w:cs="Arial"/>
                <w:szCs w:val="22"/>
              </w:rPr>
              <w:t>Full compliance achieved. The program has been classified as Category “B”</w:t>
            </w:r>
            <w:r w:rsidR="006A0DF2">
              <w:rPr>
                <w:rFonts w:asciiTheme="majorHAnsi" w:hAnsiTheme="majorHAnsi" w:cs="Arial"/>
                <w:szCs w:val="22"/>
              </w:rPr>
              <w:t>.</w:t>
            </w:r>
          </w:p>
        </w:tc>
        <w:tc>
          <w:tcPr>
            <w:tcW w:w="4140" w:type="dxa"/>
            <w:vAlign w:val="center"/>
          </w:tcPr>
          <w:p w14:paraId="7377D3AE" w14:textId="048B12ED" w:rsidR="00655824" w:rsidRPr="00A232EE" w:rsidRDefault="009B08D4" w:rsidP="009B08D4">
            <w:pPr>
              <w:pStyle w:val="Paragraph"/>
              <w:tabs>
                <w:tab w:val="clear" w:pos="851"/>
                <w:tab w:val="num" w:pos="810"/>
              </w:tabs>
              <w:spacing w:before="0" w:after="0"/>
              <w:jc w:val="left"/>
              <w:outlineLvl w:val="1"/>
              <w:rPr>
                <w:rFonts w:asciiTheme="majorHAnsi" w:hAnsiTheme="majorHAnsi" w:cs="Arial"/>
                <w:szCs w:val="22"/>
              </w:rPr>
            </w:pPr>
            <w:r w:rsidRPr="00A232EE">
              <w:rPr>
                <w:rFonts w:asciiTheme="majorHAnsi" w:hAnsiTheme="majorHAnsi" w:cs="Arial"/>
                <w:szCs w:val="22"/>
              </w:rPr>
              <w:t>No Action required</w:t>
            </w:r>
            <w:r w:rsidR="006A0DF2">
              <w:rPr>
                <w:rFonts w:asciiTheme="majorHAnsi" w:hAnsiTheme="majorHAnsi" w:cs="Arial"/>
                <w:szCs w:val="22"/>
              </w:rPr>
              <w:t>.</w:t>
            </w:r>
          </w:p>
        </w:tc>
      </w:tr>
      <w:tr w:rsidR="009B08D4" w:rsidRPr="007C0236" w14:paraId="752E8AD1" w14:textId="77777777" w:rsidTr="0087228B">
        <w:trPr>
          <w:trHeight w:val="323"/>
        </w:trPr>
        <w:tc>
          <w:tcPr>
            <w:tcW w:w="2250" w:type="dxa"/>
            <w:vMerge w:val="restart"/>
            <w:shd w:val="clear" w:color="auto" w:fill="D9D9D9" w:themeFill="background1" w:themeFillShade="D9"/>
            <w:vAlign w:val="center"/>
          </w:tcPr>
          <w:p w14:paraId="4E58F028" w14:textId="77777777" w:rsidR="009B08D4" w:rsidRPr="00547C7F" w:rsidRDefault="009B08D4" w:rsidP="009B08D4">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B.4 Other Risk Factors</w:t>
            </w:r>
          </w:p>
        </w:tc>
        <w:tc>
          <w:tcPr>
            <w:tcW w:w="2813" w:type="dxa"/>
            <w:vAlign w:val="center"/>
          </w:tcPr>
          <w:p w14:paraId="45020765" w14:textId="77777777" w:rsidR="009B08D4" w:rsidRPr="00547C7F" w:rsidRDefault="009B08D4" w:rsidP="009B08D4">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noProof/>
                <w:szCs w:val="22"/>
                <w:lang w:val="en-US"/>
              </w:rPr>
              <w:t>Capacity</w:t>
            </w:r>
            <w:r w:rsidRPr="00547C7F">
              <w:rPr>
                <w:rFonts w:asciiTheme="majorHAnsi" w:eastAsia="Calibri" w:hAnsiTheme="majorHAnsi" w:cs="Arial"/>
                <w:szCs w:val="22"/>
                <w:lang w:val="en-US"/>
              </w:rPr>
              <w:t xml:space="preserve"> of Executing Agency</w:t>
            </w:r>
          </w:p>
        </w:tc>
        <w:tc>
          <w:tcPr>
            <w:tcW w:w="3847" w:type="dxa"/>
            <w:vAlign w:val="center"/>
          </w:tcPr>
          <w:p w14:paraId="79E297DD" w14:textId="43CCE94F" w:rsidR="009B08D4" w:rsidRPr="00547C7F" w:rsidRDefault="009B08D4" w:rsidP="009B08D4">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hAnsiTheme="majorHAnsi" w:cs="Arial"/>
                <w:szCs w:val="22"/>
              </w:rPr>
              <w:t xml:space="preserve">Compliance achievable through specific conditions established in </w:t>
            </w:r>
            <w:r w:rsidRPr="00547C7F">
              <w:rPr>
                <w:rFonts w:asciiTheme="majorHAnsi" w:hAnsiTheme="majorHAnsi" w:cs="Arial"/>
                <w:noProof/>
                <w:szCs w:val="22"/>
              </w:rPr>
              <w:t>legal</w:t>
            </w:r>
            <w:r w:rsidRPr="00547C7F">
              <w:rPr>
                <w:rFonts w:asciiTheme="majorHAnsi" w:hAnsiTheme="majorHAnsi" w:cs="Arial"/>
                <w:szCs w:val="22"/>
              </w:rPr>
              <w:t xml:space="preserve"> documentation for actions over a defined period of time. </w:t>
            </w:r>
            <w:r w:rsidRPr="00547C7F">
              <w:rPr>
                <w:rFonts w:asciiTheme="majorHAnsi" w:hAnsiTheme="majorHAnsi" w:cs="Arial"/>
                <w:noProof/>
                <w:szCs w:val="22"/>
              </w:rPr>
              <w:t>Currently</w:t>
            </w:r>
            <w:r w:rsidRPr="00547C7F">
              <w:rPr>
                <w:rFonts w:asciiTheme="majorHAnsi" w:hAnsiTheme="majorHAnsi" w:cs="Arial"/>
                <w:szCs w:val="22"/>
              </w:rPr>
              <w:t xml:space="preserve"> there is no dedicated environmental and social capacity</w:t>
            </w:r>
            <w:r w:rsidR="006A0DF2">
              <w:rPr>
                <w:rFonts w:asciiTheme="majorHAnsi" w:hAnsiTheme="majorHAnsi" w:cs="Arial"/>
                <w:szCs w:val="22"/>
              </w:rPr>
              <w:t>.</w:t>
            </w:r>
            <w:r w:rsidRPr="00547C7F">
              <w:rPr>
                <w:rFonts w:asciiTheme="majorHAnsi" w:hAnsiTheme="majorHAnsi" w:cs="Arial"/>
                <w:szCs w:val="22"/>
              </w:rPr>
              <w:t xml:space="preserve"> </w:t>
            </w:r>
          </w:p>
        </w:tc>
        <w:tc>
          <w:tcPr>
            <w:tcW w:w="4140" w:type="dxa"/>
            <w:vAlign w:val="center"/>
          </w:tcPr>
          <w:p w14:paraId="04E8E1E4" w14:textId="78CCF815" w:rsidR="009B08D4" w:rsidRPr="00547C7F" w:rsidRDefault="009B08D4" w:rsidP="009B08D4">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u w:val="single"/>
                <w:lang w:val="en-US"/>
              </w:rPr>
              <w:t>Prior to First Disbursement:</w:t>
            </w:r>
            <w:r w:rsidRPr="00547C7F">
              <w:rPr>
                <w:rFonts w:asciiTheme="majorHAnsi" w:eastAsia="Calibri" w:hAnsiTheme="majorHAnsi" w:cs="Arial"/>
                <w:szCs w:val="22"/>
                <w:lang w:val="en-US"/>
              </w:rPr>
              <w:t xml:space="preserve"> </w:t>
            </w:r>
            <w:r w:rsidR="006506BB" w:rsidRPr="006506BB">
              <w:rPr>
                <w:rFonts w:asciiTheme="majorHAnsi" w:hAnsiTheme="majorHAnsi" w:cs="Arial"/>
                <w:szCs w:val="22"/>
              </w:rPr>
              <w:t>As part of the execution structure, one environmental specialist, and one social specialist will be appointed to address the socio-environmental requirements of the project as a condition precedent to the first disbursement of financing resources.</w:t>
            </w:r>
          </w:p>
        </w:tc>
      </w:tr>
      <w:tr w:rsidR="009B08D4" w:rsidRPr="007C0236" w14:paraId="3F4A2534" w14:textId="77777777" w:rsidTr="0087228B">
        <w:trPr>
          <w:trHeight w:val="323"/>
        </w:trPr>
        <w:tc>
          <w:tcPr>
            <w:tcW w:w="2250" w:type="dxa"/>
            <w:vMerge/>
            <w:shd w:val="clear" w:color="auto" w:fill="D9D9D9" w:themeFill="background1" w:themeFillShade="D9"/>
            <w:vAlign w:val="center"/>
          </w:tcPr>
          <w:p w14:paraId="15906D76" w14:textId="77777777" w:rsidR="009B08D4" w:rsidRPr="00547C7F" w:rsidRDefault="009B08D4" w:rsidP="009B08D4">
            <w:pPr>
              <w:pStyle w:val="Paragraph"/>
              <w:tabs>
                <w:tab w:val="clear" w:pos="851"/>
                <w:tab w:val="num" w:pos="810"/>
              </w:tabs>
              <w:spacing w:before="0" w:after="0"/>
              <w:jc w:val="left"/>
              <w:outlineLvl w:val="1"/>
              <w:rPr>
                <w:rFonts w:asciiTheme="majorHAnsi" w:eastAsia="Calibri" w:hAnsiTheme="majorHAnsi" w:cs="Arial"/>
                <w:szCs w:val="22"/>
                <w:lang w:val="en-US"/>
              </w:rPr>
            </w:pPr>
          </w:p>
        </w:tc>
        <w:tc>
          <w:tcPr>
            <w:tcW w:w="2813" w:type="dxa"/>
            <w:vAlign w:val="center"/>
          </w:tcPr>
          <w:p w14:paraId="60C41351" w14:textId="77777777" w:rsidR="009B08D4" w:rsidRPr="00547C7F" w:rsidRDefault="00F569E5" w:rsidP="009B08D4">
            <w:pPr>
              <w:pStyle w:val="Paragraph"/>
              <w:tabs>
                <w:tab w:val="clear" w:pos="851"/>
                <w:tab w:val="num" w:pos="810"/>
              </w:tabs>
              <w:spacing w:before="0" w:after="0"/>
              <w:jc w:val="left"/>
              <w:outlineLvl w:val="1"/>
              <w:rPr>
                <w:rFonts w:asciiTheme="majorHAnsi" w:eastAsia="Calibri" w:hAnsiTheme="majorHAnsi" w:cs="Arial"/>
                <w:szCs w:val="22"/>
                <w:highlight w:val="green"/>
                <w:lang w:val="en-US"/>
              </w:rPr>
            </w:pPr>
            <w:r w:rsidRPr="00547C7F">
              <w:rPr>
                <w:rFonts w:asciiTheme="majorHAnsi" w:eastAsia="Calibri" w:hAnsiTheme="majorHAnsi" w:cs="Arial"/>
                <w:szCs w:val="22"/>
                <w:lang w:val="en-US"/>
              </w:rPr>
              <w:t>Impacts from a</w:t>
            </w:r>
            <w:r w:rsidR="009B08D4" w:rsidRPr="00547C7F">
              <w:rPr>
                <w:rFonts w:asciiTheme="majorHAnsi" w:eastAsia="Calibri" w:hAnsiTheme="majorHAnsi" w:cs="Arial"/>
                <w:szCs w:val="22"/>
                <w:lang w:val="en-US"/>
              </w:rPr>
              <w:t>ssociated facilities (</w:t>
            </w:r>
            <w:r w:rsidRPr="00547C7F">
              <w:rPr>
                <w:rFonts w:asciiTheme="majorHAnsi" w:eastAsia="Calibri" w:hAnsiTheme="majorHAnsi" w:cs="Arial"/>
                <w:szCs w:val="22"/>
                <w:lang w:val="en-US"/>
              </w:rPr>
              <w:t xml:space="preserve">particularly </w:t>
            </w:r>
            <w:r w:rsidR="009B08D4" w:rsidRPr="00547C7F">
              <w:rPr>
                <w:rFonts w:asciiTheme="majorHAnsi" w:eastAsia="Calibri" w:hAnsiTheme="majorHAnsi" w:cs="Arial"/>
                <w:szCs w:val="22"/>
                <w:lang w:val="en-US"/>
              </w:rPr>
              <w:t>quarries)</w:t>
            </w:r>
          </w:p>
        </w:tc>
        <w:tc>
          <w:tcPr>
            <w:tcW w:w="3847" w:type="dxa"/>
            <w:vAlign w:val="center"/>
          </w:tcPr>
          <w:p w14:paraId="5D260741" w14:textId="4CD14028" w:rsidR="009B08D4" w:rsidRPr="00547C7F" w:rsidRDefault="00F569E5" w:rsidP="009B08D4">
            <w:pPr>
              <w:pStyle w:val="Paragraph"/>
              <w:tabs>
                <w:tab w:val="clear" w:pos="851"/>
                <w:tab w:val="num" w:pos="810"/>
              </w:tabs>
              <w:spacing w:before="0" w:after="0"/>
              <w:jc w:val="left"/>
              <w:outlineLvl w:val="1"/>
              <w:rPr>
                <w:rFonts w:asciiTheme="majorHAnsi" w:hAnsiTheme="majorHAnsi" w:cs="Arial"/>
                <w:szCs w:val="22"/>
                <w:highlight w:val="green"/>
              </w:rPr>
            </w:pPr>
            <w:r w:rsidRPr="00547C7F">
              <w:rPr>
                <w:rFonts w:asciiTheme="majorHAnsi" w:eastAsia="Calibri" w:hAnsiTheme="majorHAnsi" w:cs="Arial"/>
                <w:szCs w:val="22"/>
                <w:lang w:val="en-US"/>
              </w:rPr>
              <w:t xml:space="preserve">Compliance achievable through specific conditions established in </w:t>
            </w:r>
            <w:r w:rsidRPr="00547C7F">
              <w:rPr>
                <w:rFonts w:asciiTheme="majorHAnsi" w:eastAsia="Calibri" w:hAnsiTheme="majorHAnsi" w:cs="Arial"/>
                <w:noProof/>
                <w:szCs w:val="22"/>
                <w:lang w:val="en-US"/>
              </w:rPr>
              <w:t>legal</w:t>
            </w:r>
            <w:r w:rsidRPr="00547C7F">
              <w:rPr>
                <w:rFonts w:asciiTheme="majorHAnsi" w:eastAsia="Calibri" w:hAnsiTheme="majorHAnsi" w:cs="Arial"/>
                <w:szCs w:val="22"/>
                <w:lang w:val="en-US"/>
              </w:rPr>
              <w:t xml:space="preserve"> documentation for actions over a defined </w:t>
            </w:r>
            <w:proofErr w:type="gramStart"/>
            <w:r w:rsidRPr="00547C7F">
              <w:rPr>
                <w:rFonts w:asciiTheme="majorHAnsi" w:eastAsia="Calibri" w:hAnsiTheme="majorHAnsi" w:cs="Arial"/>
                <w:szCs w:val="22"/>
                <w:lang w:val="en-US"/>
              </w:rPr>
              <w:t>period of time</w:t>
            </w:r>
            <w:proofErr w:type="gramEnd"/>
            <w:r w:rsidR="006A0DF2">
              <w:rPr>
                <w:rFonts w:asciiTheme="majorHAnsi" w:eastAsia="Calibri" w:hAnsiTheme="majorHAnsi" w:cs="Arial"/>
                <w:szCs w:val="22"/>
                <w:lang w:val="en-US"/>
              </w:rPr>
              <w:t>.</w:t>
            </w:r>
          </w:p>
        </w:tc>
        <w:tc>
          <w:tcPr>
            <w:tcW w:w="4140" w:type="dxa"/>
            <w:vAlign w:val="center"/>
          </w:tcPr>
          <w:p w14:paraId="16F139FC" w14:textId="3E4661C1" w:rsidR="009B08D4" w:rsidRPr="00547C7F" w:rsidRDefault="009C2DFA" w:rsidP="009B08D4">
            <w:pPr>
              <w:pStyle w:val="Paragraph"/>
              <w:tabs>
                <w:tab w:val="clear" w:pos="851"/>
                <w:tab w:val="num" w:pos="810"/>
              </w:tabs>
              <w:spacing w:before="0" w:after="0"/>
              <w:jc w:val="left"/>
              <w:outlineLvl w:val="1"/>
              <w:rPr>
                <w:rFonts w:asciiTheme="majorHAnsi" w:eastAsia="Calibri" w:hAnsiTheme="majorHAnsi" w:cs="Arial"/>
                <w:szCs w:val="22"/>
                <w:highlight w:val="green"/>
                <w:lang w:val="en-US"/>
              </w:rPr>
            </w:pPr>
            <w:r w:rsidRPr="00547C7F">
              <w:rPr>
                <w:rFonts w:asciiTheme="majorHAnsi" w:hAnsiTheme="majorHAnsi" w:cs="Arial"/>
                <w:noProof/>
                <w:szCs w:val="22"/>
                <w:u w:val="single"/>
              </w:rPr>
              <w:t>Condition</w:t>
            </w:r>
            <w:r w:rsidRPr="00547C7F">
              <w:rPr>
                <w:rFonts w:asciiTheme="majorHAnsi" w:hAnsiTheme="majorHAnsi" w:cs="Arial"/>
                <w:szCs w:val="22"/>
                <w:u w:val="single"/>
              </w:rPr>
              <w:t xml:space="preserve"> of Execution:</w:t>
            </w:r>
            <w:r w:rsidRPr="00547C7F">
              <w:rPr>
                <w:rFonts w:asciiTheme="majorHAnsi" w:hAnsiTheme="majorHAnsi" w:cs="Arial"/>
                <w:szCs w:val="22"/>
              </w:rPr>
              <w:t xml:space="preserve"> The Borrower will ensure that each Contractor implement the ESMP, which includes a set of mitigation measures for </w:t>
            </w:r>
            <w:r w:rsidR="00A83F6E" w:rsidRPr="00547C7F">
              <w:rPr>
                <w:rFonts w:asciiTheme="majorHAnsi" w:hAnsiTheme="majorHAnsi" w:cs="Arial"/>
                <w:szCs w:val="22"/>
              </w:rPr>
              <w:t>Excavation and Quarries</w:t>
            </w:r>
            <w:r w:rsidRPr="00547C7F">
              <w:rPr>
                <w:rFonts w:asciiTheme="majorHAnsi" w:hAnsiTheme="majorHAnsi" w:cs="Arial"/>
                <w:szCs w:val="22"/>
              </w:rPr>
              <w:t xml:space="preserve"> (particularly dust management)</w:t>
            </w:r>
            <w:r w:rsidR="006A0DF2">
              <w:rPr>
                <w:rFonts w:asciiTheme="majorHAnsi" w:hAnsiTheme="majorHAnsi" w:cs="Arial"/>
                <w:szCs w:val="22"/>
              </w:rPr>
              <w:t>.</w:t>
            </w:r>
          </w:p>
        </w:tc>
      </w:tr>
      <w:tr w:rsidR="00655824" w:rsidRPr="007C0236" w14:paraId="0493E6C8" w14:textId="77777777" w:rsidTr="0087228B">
        <w:trPr>
          <w:trHeight w:val="323"/>
        </w:trPr>
        <w:tc>
          <w:tcPr>
            <w:tcW w:w="2250" w:type="dxa"/>
            <w:shd w:val="clear" w:color="auto" w:fill="D9D9D9" w:themeFill="background1" w:themeFillShade="D9"/>
            <w:vAlign w:val="center"/>
          </w:tcPr>
          <w:p w14:paraId="1A821F9F" w14:textId="77777777" w:rsidR="00655824" w:rsidRPr="00547C7F" w:rsidRDefault="00655824" w:rsidP="009B08D4">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B.5 Environmental Assessment and Plans Requirements</w:t>
            </w:r>
          </w:p>
        </w:tc>
        <w:tc>
          <w:tcPr>
            <w:tcW w:w="2813" w:type="dxa"/>
            <w:vAlign w:val="center"/>
          </w:tcPr>
          <w:p w14:paraId="0D03E78A" w14:textId="77777777" w:rsidR="00655824" w:rsidRPr="00547C7F" w:rsidRDefault="00655824" w:rsidP="009B08D4">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ESIA</w:t>
            </w:r>
            <w:r w:rsidR="009B08D4" w:rsidRPr="00547C7F">
              <w:rPr>
                <w:rFonts w:asciiTheme="majorHAnsi" w:eastAsia="Calibri" w:hAnsiTheme="majorHAnsi" w:cs="Arial"/>
                <w:szCs w:val="22"/>
                <w:lang w:val="en-US"/>
              </w:rPr>
              <w:t xml:space="preserve"> and ESMP</w:t>
            </w:r>
          </w:p>
        </w:tc>
        <w:tc>
          <w:tcPr>
            <w:tcW w:w="3847" w:type="dxa"/>
            <w:vAlign w:val="center"/>
          </w:tcPr>
          <w:p w14:paraId="54CEEF61" w14:textId="2522D91E" w:rsidR="004203B3" w:rsidRDefault="009B08D4" w:rsidP="0098258A">
            <w:pPr>
              <w:pStyle w:val="Default"/>
              <w:rPr>
                <w:rFonts w:asciiTheme="majorHAnsi" w:eastAsia="Calibri" w:hAnsiTheme="majorHAnsi" w:cs="Arial"/>
                <w:sz w:val="22"/>
                <w:szCs w:val="22"/>
                <w:lang w:eastAsia="it-IT"/>
              </w:rPr>
            </w:pPr>
            <w:r w:rsidRPr="00547C7F">
              <w:rPr>
                <w:rFonts w:asciiTheme="majorHAnsi" w:hAnsiTheme="majorHAnsi"/>
                <w:sz w:val="22"/>
                <w:szCs w:val="22"/>
              </w:rPr>
              <w:t xml:space="preserve">Compliance achieved (an ESIA/ESMP was developed in </w:t>
            </w:r>
            <w:proofErr w:type="gramStart"/>
            <w:r w:rsidRPr="00547C7F">
              <w:rPr>
                <w:rFonts w:asciiTheme="majorHAnsi" w:hAnsiTheme="majorHAnsi"/>
                <w:sz w:val="22"/>
                <w:szCs w:val="22"/>
              </w:rPr>
              <w:t>2014, and</w:t>
            </w:r>
            <w:proofErr w:type="gramEnd"/>
            <w:r w:rsidRPr="00547C7F">
              <w:rPr>
                <w:rFonts w:asciiTheme="majorHAnsi" w:hAnsiTheme="majorHAnsi"/>
                <w:sz w:val="22"/>
                <w:szCs w:val="22"/>
              </w:rPr>
              <w:t xml:space="preserve"> updated in 2018)</w:t>
            </w:r>
            <w:r w:rsidR="006A0DF2">
              <w:rPr>
                <w:rFonts w:asciiTheme="majorHAnsi" w:hAnsiTheme="majorHAnsi"/>
                <w:sz w:val="22"/>
                <w:szCs w:val="22"/>
              </w:rPr>
              <w:t>.</w:t>
            </w:r>
            <w:r w:rsidR="004203B3" w:rsidRPr="004203B3">
              <w:rPr>
                <w:rFonts w:asciiTheme="majorHAnsi" w:eastAsia="Calibri" w:hAnsiTheme="majorHAnsi" w:cs="Arial"/>
                <w:sz w:val="22"/>
                <w:szCs w:val="22"/>
                <w:lang w:eastAsia="it-IT"/>
              </w:rPr>
              <w:t xml:space="preserve"> </w:t>
            </w:r>
          </w:p>
          <w:p w14:paraId="69D64543" w14:textId="0D7DE042" w:rsidR="00655824" w:rsidRPr="00547C7F" w:rsidRDefault="004203B3" w:rsidP="0098258A">
            <w:pPr>
              <w:pStyle w:val="Default"/>
              <w:rPr>
                <w:rFonts w:asciiTheme="majorHAnsi" w:hAnsiTheme="majorHAnsi"/>
                <w:sz w:val="22"/>
                <w:szCs w:val="22"/>
              </w:rPr>
            </w:pPr>
            <w:r w:rsidRPr="004203B3">
              <w:rPr>
                <w:rFonts w:asciiTheme="majorHAnsi" w:eastAsia="Calibri" w:hAnsiTheme="majorHAnsi" w:cs="Arial"/>
                <w:sz w:val="22"/>
                <w:szCs w:val="22"/>
                <w:lang w:eastAsia="it-IT"/>
              </w:rPr>
              <w:t>The mitigation of temporary economic impacts on vendors is included as part of the Resettlement and Livelihoods restoration plan</w:t>
            </w:r>
            <w:r w:rsidR="006A0DF2">
              <w:rPr>
                <w:rFonts w:asciiTheme="majorHAnsi" w:eastAsia="Calibri" w:hAnsiTheme="majorHAnsi" w:cs="Arial"/>
                <w:sz w:val="22"/>
                <w:szCs w:val="22"/>
                <w:lang w:eastAsia="it-IT"/>
              </w:rPr>
              <w:t>.</w:t>
            </w:r>
          </w:p>
        </w:tc>
        <w:tc>
          <w:tcPr>
            <w:tcW w:w="4140" w:type="dxa"/>
            <w:vAlign w:val="center"/>
          </w:tcPr>
          <w:p w14:paraId="5C2C1B04" w14:textId="668CA9A4" w:rsidR="009B08D4" w:rsidRPr="00547C7F" w:rsidRDefault="009B08D4" w:rsidP="0098258A">
            <w:pPr>
              <w:spacing w:before="120" w:after="120"/>
              <w:rPr>
                <w:rFonts w:asciiTheme="majorHAnsi" w:eastAsia="Times New Roman" w:hAnsiTheme="majorHAnsi" w:cs="Arial"/>
                <w:sz w:val="22"/>
                <w:szCs w:val="22"/>
                <w:lang w:val="it-IT" w:eastAsia="it-IT"/>
              </w:rPr>
            </w:pPr>
            <w:r w:rsidRPr="00547C7F">
              <w:rPr>
                <w:rFonts w:asciiTheme="majorHAnsi" w:eastAsia="Times New Roman" w:hAnsiTheme="majorHAnsi" w:cs="Arial"/>
                <w:sz w:val="22"/>
                <w:szCs w:val="22"/>
                <w:u w:val="single"/>
                <w:lang w:val="it-IT" w:eastAsia="it-IT"/>
              </w:rPr>
              <w:t>Special Conditions of Execution</w:t>
            </w:r>
            <w:r w:rsidRPr="00547C7F">
              <w:rPr>
                <w:rFonts w:asciiTheme="majorHAnsi" w:eastAsia="Times New Roman" w:hAnsiTheme="majorHAnsi" w:cs="Arial"/>
                <w:sz w:val="22"/>
                <w:szCs w:val="22"/>
                <w:lang w:val="it-IT" w:eastAsia="it-IT"/>
              </w:rPr>
              <w:t xml:space="preserve">: The Borrower will comply with the ESIA, ESMP and its Addendum (and </w:t>
            </w:r>
            <w:r w:rsidRPr="00BB1313">
              <w:rPr>
                <w:rFonts w:asciiTheme="majorHAnsi" w:eastAsia="Times New Roman" w:hAnsiTheme="majorHAnsi" w:cs="Arial"/>
                <w:sz w:val="22"/>
                <w:szCs w:val="22"/>
                <w:lang w:val="it-IT" w:eastAsia="it-IT"/>
              </w:rPr>
              <w:t>other plans), as well as a CAP issued under BL-L1019</w:t>
            </w:r>
            <w:r w:rsidR="00D32CC7" w:rsidRPr="00BB1313">
              <w:rPr>
                <w:rFonts w:asciiTheme="majorHAnsi" w:eastAsia="Times New Roman" w:hAnsiTheme="majorHAnsi" w:cs="Arial"/>
                <w:sz w:val="22"/>
                <w:szCs w:val="22"/>
                <w:lang w:val="it-IT" w:eastAsia="it-IT"/>
              </w:rPr>
              <w:t xml:space="preserve"> (see Annex E)</w:t>
            </w:r>
            <w:r w:rsidR="006A0DF2" w:rsidRPr="00BB1313">
              <w:rPr>
                <w:rFonts w:asciiTheme="majorHAnsi" w:eastAsia="Times New Roman" w:hAnsiTheme="majorHAnsi" w:cs="Arial"/>
                <w:sz w:val="22"/>
                <w:szCs w:val="22"/>
                <w:lang w:val="it-IT" w:eastAsia="it-IT"/>
              </w:rPr>
              <w:t>.</w:t>
            </w:r>
          </w:p>
          <w:p w14:paraId="23155613" w14:textId="11ABDBFF" w:rsidR="00655824" w:rsidRPr="004203B3" w:rsidRDefault="00655824" w:rsidP="0098258A">
            <w:pPr>
              <w:spacing w:before="120" w:after="120"/>
              <w:rPr>
                <w:rFonts w:asciiTheme="majorHAnsi" w:eastAsia="Calibri" w:hAnsiTheme="majorHAnsi" w:cs="Arial"/>
                <w:sz w:val="22"/>
                <w:szCs w:val="22"/>
              </w:rPr>
            </w:pPr>
          </w:p>
        </w:tc>
      </w:tr>
      <w:tr w:rsidR="00655824" w:rsidRPr="007C0236" w14:paraId="780D6E38" w14:textId="77777777" w:rsidTr="0087228B">
        <w:trPr>
          <w:trHeight w:val="323"/>
        </w:trPr>
        <w:tc>
          <w:tcPr>
            <w:tcW w:w="2250" w:type="dxa"/>
            <w:shd w:val="clear" w:color="auto" w:fill="D9D9D9" w:themeFill="background1" w:themeFillShade="D9"/>
            <w:vAlign w:val="center"/>
          </w:tcPr>
          <w:p w14:paraId="39092BE5" w14:textId="77777777" w:rsidR="00655824" w:rsidRPr="00547C7F" w:rsidRDefault="00655824" w:rsidP="009B08D4">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lastRenderedPageBreak/>
              <w:t>B.5 Social</w:t>
            </w:r>
          </w:p>
          <w:p w14:paraId="2FE5D499" w14:textId="77777777" w:rsidR="00655824" w:rsidRPr="00547C7F" w:rsidRDefault="00655824" w:rsidP="009B08D4">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Assessment and Plans Requirements</w:t>
            </w:r>
          </w:p>
        </w:tc>
        <w:tc>
          <w:tcPr>
            <w:tcW w:w="2813" w:type="dxa"/>
            <w:vAlign w:val="center"/>
          </w:tcPr>
          <w:p w14:paraId="1F19B458" w14:textId="77777777" w:rsidR="00655824" w:rsidRPr="00547C7F" w:rsidRDefault="00EA7741" w:rsidP="009B08D4">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noProof/>
                <w:szCs w:val="22"/>
                <w:lang w:val="en-US"/>
              </w:rPr>
              <w:t>Socio Cultural Analysis</w:t>
            </w:r>
          </w:p>
        </w:tc>
        <w:tc>
          <w:tcPr>
            <w:tcW w:w="3847" w:type="dxa"/>
            <w:vAlign w:val="center"/>
          </w:tcPr>
          <w:p w14:paraId="382867BD" w14:textId="0210033D" w:rsidR="00E67428" w:rsidRPr="00547C7F" w:rsidRDefault="00655824" w:rsidP="009B08D4">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Need</w:t>
            </w:r>
            <w:r w:rsidR="00E67428" w:rsidRPr="00547C7F">
              <w:rPr>
                <w:rFonts w:asciiTheme="majorHAnsi" w:eastAsia="Calibri" w:hAnsiTheme="majorHAnsi" w:cs="Arial"/>
                <w:szCs w:val="22"/>
                <w:lang w:val="en-US"/>
              </w:rPr>
              <w:t>ed</w:t>
            </w:r>
            <w:r w:rsidRPr="00547C7F">
              <w:rPr>
                <w:rFonts w:asciiTheme="majorHAnsi" w:eastAsia="Calibri" w:hAnsiTheme="majorHAnsi" w:cs="Arial"/>
                <w:szCs w:val="22"/>
                <w:lang w:val="en-US"/>
              </w:rPr>
              <w:t xml:space="preserve"> to assess the </w:t>
            </w:r>
            <w:r w:rsidR="00E67428" w:rsidRPr="00547C7F">
              <w:rPr>
                <w:rFonts w:asciiTheme="majorHAnsi" w:eastAsia="Calibri" w:hAnsiTheme="majorHAnsi" w:cs="Arial"/>
                <w:szCs w:val="22"/>
                <w:lang w:val="en-US"/>
              </w:rPr>
              <w:t xml:space="preserve">potential presence </w:t>
            </w:r>
            <w:r w:rsidRPr="00547C7F">
              <w:rPr>
                <w:rFonts w:asciiTheme="majorHAnsi" w:eastAsia="Calibri" w:hAnsiTheme="majorHAnsi" w:cs="Arial"/>
                <w:szCs w:val="22"/>
                <w:lang w:val="en-US"/>
              </w:rPr>
              <w:t xml:space="preserve">of Mayas and </w:t>
            </w:r>
            <w:r w:rsidR="00E67428" w:rsidRPr="00547C7F">
              <w:rPr>
                <w:rFonts w:asciiTheme="majorHAnsi" w:eastAsia="Calibri" w:hAnsiTheme="majorHAnsi" w:cs="Arial"/>
                <w:szCs w:val="22"/>
                <w:lang w:val="en-US"/>
              </w:rPr>
              <w:t>G</w:t>
            </w:r>
            <w:r w:rsidRPr="00547C7F">
              <w:rPr>
                <w:rFonts w:asciiTheme="majorHAnsi" w:eastAsia="Calibri" w:hAnsiTheme="majorHAnsi" w:cs="Arial"/>
                <w:szCs w:val="22"/>
                <w:lang w:val="en-US"/>
              </w:rPr>
              <w:t>arifuna populations</w:t>
            </w:r>
            <w:r w:rsidR="006A0DF2">
              <w:rPr>
                <w:rFonts w:asciiTheme="majorHAnsi" w:eastAsia="Calibri" w:hAnsiTheme="majorHAnsi" w:cs="Arial"/>
                <w:szCs w:val="22"/>
                <w:lang w:val="en-US"/>
              </w:rPr>
              <w:t>.</w:t>
            </w:r>
          </w:p>
          <w:p w14:paraId="01209A5A" w14:textId="77777777" w:rsidR="00E67428" w:rsidRPr="00547C7F" w:rsidRDefault="00E67428" w:rsidP="009B08D4">
            <w:pPr>
              <w:pStyle w:val="Paragraph"/>
              <w:tabs>
                <w:tab w:val="clear" w:pos="851"/>
                <w:tab w:val="num" w:pos="810"/>
              </w:tabs>
              <w:spacing w:before="0" w:after="0"/>
              <w:jc w:val="left"/>
              <w:outlineLvl w:val="1"/>
              <w:rPr>
                <w:rFonts w:asciiTheme="majorHAnsi" w:eastAsia="Calibri" w:hAnsiTheme="majorHAnsi" w:cs="Arial"/>
                <w:szCs w:val="22"/>
                <w:lang w:val="en-US"/>
              </w:rPr>
            </w:pPr>
          </w:p>
          <w:p w14:paraId="5ACE1642" w14:textId="5F5073A8" w:rsidR="00655824" w:rsidRPr="00547C7F" w:rsidRDefault="00E114ED" w:rsidP="009B08D4">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 xml:space="preserve">A </w:t>
            </w:r>
            <w:r w:rsidR="00EA7741" w:rsidRPr="00547C7F">
              <w:rPr>
                <w:rFonts w:asciiTheme="majorHAnsi" w:eastAsia="Calibri" w:hAnsiTheme="majorHAnsi" w:cs="Arial"/>
                <w:noProof/>
                <w:szCs w:val="22"/>
                <w:lang w:val="en-US"/>
              </w:rPr>
              <w:t>Socio Cultural Analysis</w:t>
            </w:r>
            <w:r w:rsidR="00E67428" w:rsidRPr="00547C7F">
              <w:rPr>
                <w:rFonts w:asciiTheme="majorHAnsi" w:eastAsia="Calibri" w:hAnsiTheme="majorHAnsi" w:cs="Arial"/>
                <w:szCs w:val="22"/>
                <w:lang w:val="en-US"/>
              </w:rPr>
              <w:t xml:space="preserve"> was prepared and included as part of the Addendum to ESIA, indicating that no indigenous peoples or Garifuna populations are present </w:t>
            </w:r>
            <w:proofErr w:type="gramStart"/>
            <w:r w:rsidR="00E67428" w:rsidRPr="00547C7F">
              <w:rPr>
                <w:rFonts w:asciiTheme="majorHAnsi" w:eastAsia="Calibri" w:hAnsiTheme="majorHAnsi" w:cs="Arial"/>
                <w:szCs w:val="22"/>
                <w:lang w:val="en-US"/>
              </w:rPr>
              <w:t>in the area of</w:t>
            </w:r>
            <w:proofErr w:type="gramEnd"/>
            <w:r w:rsidR="00E67428" w:rsidRPr="00547C7F">
              <w:rPr>
                <w:rFonts w:asciiTheme="majorHAnsi" w:eastAsia="Calibri" w:hAnsiTheme="majorHAnsi" w:cs="Arial"/>
                <w:szCs w:val="22"/>
                <w:lang w:val="en-US"/>
              </w:rPr>
              <w:t xml:space="preserve"> the project</w:t>
            </w:r>
            <w:r w:rsidR="006A0DF2">
              <w:rPr>
                <w:rFonts w:asciiTheme="majorHAnsi" w:eastAsia="Calibri" w:hAnsiTheme="majorHAnsi" w:cs="Arial"/>
                <w:szCs w:val="22"/>
                <w:lang w:val="en-US"/>
              </w:rPr>
              <w:t>.</w:t>
            </w:r>
          </w:p>
          <w:p w14:paraId="2F38B839" w14:textId="77777777" w:rsidR="00881A47" w:rsidRPr="00547C7F" w:rsidRDefault="00881A47" w:rsidP="009B08D4">
            <w:pPr>
              <w:pStyle w:val="Paragraph"/>
              <w:tabs>
                <w:tab w:val="clear" w:pos="851"/>
                <w:tab w:val="num" w:pos="810"/>
              </w:tabs>
              <w:spacing w:before="0" w:after="0"/>
              <w:jc w:val="left"/>
              <w:outlineLvl w:val="1"/>
              <w:rPr>
                <w:rFonts w:asciiTheme="majorHAnsi" w:eastAsia="Calibri" w:hAnsiTheme="majorHAnsi" w:cs="Arial"/>
                <w:szCs w:val="22"/>
                <w:lang w:val="en-US"/>
              </w:rPr>
            </w:pPr>
          </w:p>
          <w:p w14:paraId="2E002445" w14:textId="7FF6B491" w:rsidR="00881A47" w:rsidRPr="00547C7F" w:rsidRDefault="00881A47" w:rsidP="009B08D4">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The sociocultural analysis was prepared because there were Maya and Garifuna populations in Section 4 of the GPH, but that section is no longer part of the project</w:t>
            </w:r>
            <w:r w:rsidR="006A0DF2">
              <w:rPr>
                <w:rFonts w:asciiTheme="majorHAnsi" w:eastAsia="Calibri" w:hAnsiTheme="majorHAnsi" w:cs="Arial"/>
                <w:szCs w:val="22"/>
                <w:lang w:val="en-US"/>
              </w:rPr>
              <w:t>.</w:t>
            </w:r>
          </w:p>
        </w:tc>
        <w:tc>
          <w:tcPr>
            <w:tcW w:w="4140" w:type="dxa"/>
            <w:vAlign w:val="center"/>
          </w:tcPr>
          <w:p w14:paraId="567C426F" w14:textId="3FF0189D" w:rsidR="00655824" w:rsidRPr="00547C7F" w:rsidRDefault="00E67428" w:rsidP="009B08D4">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No additional actions needed</w:t>
            </w:r>
            <w:r w:rsidR="006A0DF2">
              <w:rPr>
                <w:rFonts w:asciiTheme="majorHAnsi" w:eastAsia="Calibri" w:hAnsiTheme="majorHAnsi" w:cs="Arial"/>
                <w:szCs w:val="22"/>
                <w:lang w:val="en-US"/>
              </w:rPr>
              <w:t>.</w:t>
            </w:r>
          </w:p>
        </w:tc>
      </w:tr>
      <w:tr w:rsidR="00481CF8" w:rsidRPr="007C0236" w14:paraId="64CD7DCE" w14:textId="77777777" w:rsidTr="0087228B">
        <w:trPr>
          <w:trHeight w:val="323"/>
        </w:trPr>
        <w:tc>
          <w:tcPr>
            <w:tcW w:w="2250" w:type="dxa"/>
            <w:shd w:val="clear" w:color="auto" w:fill="D9D9D9" w:themeFill="background1" w:themeFillShade="D9"/>
            <w:vAlign w:val="center"/>
          </w:tcPr>
          <w:p w14:paraId="364A48A4" w14:textId="77777777"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B.6 Consultation (including consultation with affected women, indigenous persons, and/or minority groups)</w:t>
            </w:r>
          </w:p>
        </w:tc>
        <w:tc>
          <w:tcPr>
            <w:tcW w:w="2813" w:type="dxa"/>
            <w:vAlign w:val="center"/>
          </w:tcPr>
          <w:p w14:paraId="5AD17D70" w14:textId="77777777"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One round of consultations</w:t>
            </w:r>
          </w:p>
        </w:tc>
        <w:tc>
          <w:tcPr>
            <w:tcW w:w="3847" w:type="dxa"/>
            <w:vAlign w:val="center"/>
          </w:tcPr>
          <w:p w14:paraId="1937CEE4" w14:textId="69A11C1D" w:rsidR="00481CF8"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 xml:space="preserve">Compliance </w:t>
            </w:r>
            <w:r>
              <w:rPr>
                <w:rFonts w:asciiTheme="majorHAnsi" w:eastAsia="Calibri" w:hAnsiTheme="majorHAnsi" w:cs="Arial"/>
                <w:szCs w:val="22"/>
                <w:lang w:val="en-US"/>
              </w:rPr>
              <w:t>achieved</w:t>
            </w:r>
            <w:r w:rsidRPr="00547C7F">
              <w:rPr>
                <w:rFonts w:asciiTheme="majorHAnsi" w:eastAsia="Calibri" w:hAnsiTheme="majorHAnsi" w:cs="Arial"/>
                <w:szCs w:val="22"/>
                <w:lang w:val="en-US"/>
              </w:rPr>
              <w:t xml:space="preserve"> prior to OPC: Consultations were undertaken in 2014, and a new round of meaningful consultations </w:t>
            </w:r>
            <w:r>
              <w:rPr>
                <w:rFonts w:asciiTheme="majorHAnsi" w:eastAsia="Calibri" w:hAnsiTheme="majorHAnsi" w:cs="Arial"/>
                <w:szCs w:val="22"/>
                <w:lang w:val="en-US"/>
              </w:rPr>
              <w:t xml:space="preserve">took </w:t>
            </w:r>
            <w:r w:rsidRPr="00547C7F">
              <w:rPr>
                <w:rFonts w:asciiTheme="majorHAnsi" w:eastAsia="Calibri" w:hAnsiTheme="majorHAnsi" w:cs="Arial"/>
                <w:szCs w:val="22"/>
                <w:lang w:val="en-US"/>
              </w:rPr>
              <w:t xml:space="preserve">place </w:t>
            </w:r>
            <w:r>
              <w:rPr>
                <w:rFonts w:asciiTheme="majorHAnsi" w:eastAsia="Calibri" w:hAnsiTheme="majorHAnsi" w:cs="Arial"/>
                <w:szCs w:val="22"/>
                <w:lang w:val="en-US"/>
              </w:rPr>
              <w:t xml:space="preserve">in the second half of </w:t>
            </w:r>
            <w:r w:rsidRPr="00547C7F">
              <w:rPr>
                <w:rFonts w:asciiTheme="majorHAnsi" w:eastAsia="Calibri" w:hAnsiTheme="majorHAnsi" w:cs="Arial"/>
                <w:szCs w:val="22"/>
                <w:lang w:val="en-US"/>
              </w:rPr>
              <w:t>June</w:t>
            </w:r>
            <w:r>
              <w:rPr>
                <w:rFonts w:asciiTheme="majorHAnsi" w:eastAsia="Calibri" w:hAnsiTheme="majorHAnsi" w:cs="Arial"/>
                <w:szCs w:val="22"/>
                <w:lang w:val="en-US"/>
              </w:rPr>
              <w:t xml:space="preserve"> 2018</w:t>
            </w:r>
            <w:r w:rsidRPr="00547C7F">
              <w:rPr>
                <w:rFonts w:asciiTheme="majorHAnsi" w:eastAsia="Calibri" w:hAnsiTheme="majorHAnsi" w:cs="Arial"/>
                <w:szCs w:val="22"/>
                <w:lang w:val="en-US"/>
              </w:rPr>
              <w:t>, in accordance with the Consultations and Stakeholder Engagement Plan</w:t>
            </w:r>
            <w:r w:rsidR="006A0DF2">
              <w:rPr>
                <w:rFonts w:asciiTheme="majorHAnsi" w:eastAsia="Calibri" w:hAnsiTheme="majorHAnsi" w:cs="Arial"/>
                <w:szCs w:val="22"/>
                <w:lang w:val="en-US"/>
              </w:rPr>
              <w:t>.</w:t>
            </w:r>
          </w:p>
          <w:p w14:paraId="236415B7" w14:textId="77777777" w:rsidR="00481CF8"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p>
          <w:p w14:paraId="31C624EE" w14:textId="0A4EFB5D"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Pr>
                <w:rFonts w:asciiTheme="majorHAnsi" w:eastAsia="Calibri" w:hAnsiTheme="majorHAnsi" w:cs="Arial"/>
                <w:szCs w:val="22"/>
              </w:rPr>
              <w:t xml:space="preserve">The final version of the Consultation and </w:t>
            </w:r>
            <w:r w:rsidRPr="00547C7F">
              <w:rPr>
                <w:rFonts w:asciiTheme="majorHAnsi" w:eastAsia="Calibri" w:hAnsiTheme="majorHAnsi" w:cs="Arial"/>
                <w:szCs w:val="22"/>
                <w:lang w:val="en-US"/>
              </w:rPr>
              <w:t>and Stakeholder Engagement Plan</w:t>
            </w:r>
            <w:r>
              <w:rPr>
                <w:rFonts w:asciiTheme="majorHAnsi" w:eastAsia="Calibri" w:hAnsiTheme="majorHAnsi" w:cs="Arial"/>
                <w:szCs w:val="22"/>
                <w:lang w:val="en-US"/>
              </w:rPr>
              <w:t>, including a report of the consultations carried out, was published before OPC</w:t>
            </w:r>
            <w:r w:rsidR="006A0DF2">
              <w:rPr>
                <w:rFonts w:asciiTheme="majorHAnsi" w:eastAsia="Calibri" w:hAnsiTheme="majorHAnsi" w:cs="Arial"/>
                <w:szCs w:val="22"/>
                <w:lang w:val="en-US"/>
              </w:rPr>
              <w:t>.</w:t>
            </w:r>
          </w:p>
        </w:tc>
        <w:tc>
          <w:tcPr>
            <w:tcW w:w="4140" w:type="dxa"/>
          </w:tcPr>
          <w:p w14:paraId="19837FE0" w14:textId="492F30A5" w:rsidR="00481CF8" w:rsidRPr="00547C7F" w:rsidRDefault="00481CF8" w:rsidP="00481CF8">
            <w:pPr>
              <w:rPr>
                <w:rFonts w:asciiTheme="majorHAnsi" w:eastAsia="Calibri" w:hAnsiTheme="majorHAnsi" w:cs="Arial"/>
                <w:sz w:val="22"/>
                <w:szCs w:val="22"/>
              </w:rPr>
            </w:pPr>
            <w:r w:rsidRPr="00481CF8">
              <w:rPr>
                <w:rFonts w:asciiTheme="majorHAnsi" w:eastAsia="Calibri" w:hAnsiTheme="majorHAnsi" w:cs="Arial"/>
                <w:sz w:val="22"/>
                <w:szCs w:val="22"/>
                <w:lang w:eastAsia="it-IT"/>
              </w:rPr>
              <w:t>No additional actions needed</w:t>
            </w:r>
            <w:r w:rsidR="006A0DF2">
              <w:rPr>
                <w:rFonts w:asciiTheme="majorHAnsi" w:eastAsia="Calibri" w:hAnsiTheme="majorHAnsi" w:cs="Arial"/>
                <w:sz w:val="22"/>
                <w:szCs w:val="22"/>
                <w:lang w:eastAsia="it-IT"/>
              </w:rPr>
              <w:t>.</w:t>
            </w:r>
          </w:p>
        </w:tc>
      </w:tr>
      <w:tr w:rsidR="00481CF8" w:rsidRPr="007C0236" w14:paraId="54FFC569" w14:textId="77777777" w:rsidTr="0087228B">
        <w:trPr>
          <w:trHeight w:val="323"/>
        </w:trPr>
        <w:tc>
          <w:tcPr>
            <w:tcW w:w="2250" w:type="dxa"/>
            <w:shd w:val="clear" w:color="auto" w:fill="D9D9D9" w:themeFill="background1" w:themeFillShade="D9"/>
            <w:vAlign w:val="center"/>
          </w:tcPr>
          <w:p w14:paraId="3A6021FA" w14:textId="77777777"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B.7 Supervision and Compliance</w:t>
            </w:r>
          </w:p>
        </w:tc>
        <w:tc>
          <w:tcPr>
            <w:tcW w:w="2813" w:type="dxa"/>
            <w:vAlign w:val="center"/>
          </w:tcPr>
          <w:p w14:paraId="15043B01" w14:textId="77777777"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Supervision provisions</w:t>
            </w:r>
          </w:p>
        </w:tc>
        <w:tc>
          <w:tcPr>
            <w:tcW w:w="3847" w:type="dxa"/>
            <w:vAlign w:val="center"/>
          </w:tcPr>
          <w:p w14:paraId="5E585E44" w14:textId="6FF1DF10"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 xml:space="preserve">Compliance achievable through specific conditions established in </w:t>
            </w:r>
            <w:r w:rsidRPr="00547C7F">
              <w:rPr>
                <w:rFonts w:asciiTheme="majorHAnsi" w:eastAsia="Calibri" w:hAnsiTheme="majorHAnsi" w:cs="Arial"/>
                <w:noProof/>
                <w:szCs w:val="22"/>
                <w:lang w:val="en-US"/>
              </w:rPr>
              <w:t>legal</w:t>
            </w:r>
            <w:r w:rsidRPr="00547C7F">
              <w:rPr>
                <w:rFonts w:asciiTheme="majorHAnsi" w:eastAsia="Calibri" w:hAnsiTheme="majorHAnsi" w:cs="Arial"/>
                <w:szCs w:val="22"/>
                <w:lang w:val="en-US"/>
              </w:rPr>
              <w:t xml:space="preserve"> documentation for actions over a defined </w:t>
            </w:r>
            <w:proofErr w:type="gramStart"/>
            <w:r w:rsidRPr="00547C7F">
              <w:rPr>
                <w:rFonts w:asciiTheme="majorHAnsi" w:eastAsia="Calibri" w:hAnsiTheme="majorHAnsi" w:cs="Arial"/>
                <w:szCs w:val="22"/>
                <w:lang w:val="en-US"/>
              </w:rPr>
              <w:t>period of time</w:t>
            </w:r>
            <w:proofErr w:type="gramEnd"/>
            <w:r w:rsidR="006A0DF2">
              <w:rPr>
                <w:rFonts w:asciiTheme="majorHAnsi" w:eastAsia="Calibri" w:hAnsiTheme="majorHAnsi" w:cs="Arial"/>
                <w:szCs w:val="22"/>
                <w:lang w:val="en-US"/>
              </w:rPr>
              <w:t>.</w:t>
            </w:r>
          </w:p>
        </w:tc>
        <w:tc>
          <w:tcPr>
            <w:tcW w:w="4140" w:type="dxa"/>
            <w:vAlign w:val="center"/>
          </w:tcPr>
          <w:p w14:paraId="7F254CC9" w14:textId="57A54586"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The Borrower will be required to submit a summary on the environmental and social performance of the Program (including of the individual works), in form and substance satisfactory to the IDB, in its semi-annual reports to the IDB</w:t>
            </w:r>
            <w:r w:rsidR="006A0DF2">
              <w:rPr>
                <w:rFonts w:asciiTheme="majorHAnsi" w:eastAsia="Calibri" w:hAnsiTheme="majorHAnsi" w:cs="Arial"/>
                <w:szCs w:val="22"/>
                <w:lang w:val="en-US"/>
              </w:rPr>
              <w:t>.</w:t>
            </w:r>
          </w:p>
        </w:tc>
      </w:tr>
      <w:tr w:rsidR="00481CF8" w:rsidRPr="007C0236" w14:paraId="6ED95B59" w14:textId="77777777" w:rsidTr="0087228B">
        <w:trPr>
          <w:trHeight w:val="323"/>
        </w:trPr>
        <w:tc>
          <w:tcPr>
            <w:tcW w:w="2250" w:type="dxa"/>
            <w:shd w:val="clear" w:color="auto" w:fill="D9D9D9" w:themeFill="background1" w:themeFillShade="D9"/>
            <w:vAlign w:val="center"/>
          </w:tcPr>
          <w:p w14:paraId="734539DD" w14:textId="77777777" w:rsidR="00481CF8" w:rsidRPr="00547C7F" w:rsidDel="00641735"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lastRenderedPageBreak/>
              <w:t>B.8 Transboundary Impacts</w:t>
            </w:r>
          </w:p>
        </w:tc>
        <w:tc>
          <w:tcPr>
            <w:tcW w:w="2813" w:type="dxa"/>
            <w:vAlign w:val="center"/>
          </w:tcPr>
          <w:p w14:paraId="41C9C2A1" w14:textId="77777777"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Potential transboundary socioeconomic impacts</w:t>
            </w:r>
          </w:p>
        </w:tc>
        <w:tc>
          <w:tcPr>
            <w:tcW w:w="3847" w:type="dxa"/>
          </w:tcPr>
          <w:p w14:paraId="743C7154" w14:textId="4B10D43D"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 xml:space="preserve">No transboundary impacts were identified as part of the </w:t>
            </w:r>
            <w:r w:rsidRPr="00547C7F">
              <w:rPr>
                <w:rFonts w:asciiTheme="majorHAnsi" w:eastAsia="Calibri" w:hAnsiTheme="majorHAnsi" w:cs="Arial"/>
                <w:noProof/>
                <w:szCs w:val="22"/>
                <w:lang w:val="en-US"/>
              </w:rPr>
              <w:t>socioenvironmental</w:t>
            </w:r>
            <w:r w:rsidRPr="00547C7F">
              <w:rPr>
                <w:rFonts w:asciiTheme="majorHAnsi" w:eastAsia="Calibri" w:hAnsiTheme="majorHAnsi" w:cs="Arial"/>
                <w:szCs w:val="22"/>
                <w:lang w:val="en-US"/>
              </w:rPr>
              <w:t xml:space="preserve"> studies</w:t>
            </w:r>
            <w:r w:rsidR="006A0DF2">
              <w:rPr>
                <w:rFonts w:asciiTheme="majorHAnsi" w:eastAsia="Calibri" w:hAnsiTheme="majorHAnsi" w:cs="Arial"/>
                <w:szCs w:val="22"/>
                <w:lang w:val="en-US"/>
              </w:rPr>
              <w:t>.</w:t>
            </w:r>
          </w:p>
        </w:tc>
        <w:tc>
          <w:tcPr>
            <w:tcW w:w="4140" w:type="dxa"/>
          </w:tcPr>
          <w:p w14:paraId="4DD4915C" w14:textId="7F88C06A"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No additional actions needed</w:t>
            </w:r>
            <w:r w:rsidR="006A0DF2">
              <w:rPr>
                <w:rFonts w:asciiTheme="majorHAnsi" w:eastAsia="Calibri" w:hAnsiTheme="majorHAnsi" w:cs="Arial"/>
                <w:szCs w:val="22"/>
                <w:lang w:val="en-US"/>
              </w:rPr>
              <w:t>.</w:t>
            </w:r>
          </w:p>
        </w:tc>
      </w:tr>
      <w:tr w:rsidR="00481CF8" w:rsidRPr="007C0236" w14:paraId="05BDC5AB" w14:textId="77777777" w:rsidTr="0087228B">
        <w:trPr>
          <w:trHeight w:val="323"/>
        </w:trPr>
        <w:tc>
          <w:tcPr>
            <w:tcW w:w="2250" w:type="dxa"/>
            <w:shd w:val="clear" w:color="auto" w:fill="D9D9D9" w:themeFill="background1" w:themeFillShade="D9"/>
            <w:vAlign w:val="center"/>
          </w:tcPr>
          <w:p w14:paraId="239258E0" w14:textId="77777777" w:rsidR="00481CF8" w:rsidRPr="00547C7F" w:rsidDel="00641735"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B.9 Natural Habitats</w:t>
            </w:r>
          </w:p>
        </w:tc>
        <w:tc>
          <w:tcPr>
            <w:tcW w:w="2813" w:type="dxa"/>
            <w:vAlign w:val="center"/>
          </w:tcPr>
          <w:p w14:paraId="40684073" w14:textId="77777777"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Habitat fragmentation/ barrier effect of road</w:t>
            </w:r>
          </w:p>
        </w:tc>
        <w:tc>
          <w:tcPr>
            <w:tcW w:w="3847" w:type="dxa"/>
            <w:vAlign w:val="center"/>
          </w:tcPr>
          <w:p w14:paraId="7A7D42A8" w14:textId="249DDF37"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 xml:space="preserve">Compliance achievable through specific conditions established in </w:t>
            </w:r>
            <w:r w:rsidRPr="00547C7F">
              <w:rPr>
                <w:rFonts w:asciiTheme="majorHAnsi" w:eastAsia="Calibri" w:hAnsiTheme="majorHAnsi" w:cs="Arial"/>
                <w:noProof/>
                <w:szCs w:val="22"/>
                <w:lang w:val="en-US"/>
              </w:rPr>
              <w:t>legal</w:t>
            </w:r>
            <w:r w:rsidR="006A0DF2">
              <w:rPr>
                <w:rFonts w:asciiTheme="majorHAnsi" w:eastAsia="Calibri" w:hAnsiTheme="majorHAnsi" w:cs="Arial"/>
                <w:szCs w:val="22"/>
                <w:lang w:val="en-US"/>
              </w:rPr>
              <w:t xml:space="preserve"> </w:t>
            </w:r>
            <w:r w:rsidRPr="00547C7F">
              <w:rPr>
                <w:rFonts w:asciiTheme="majorHAnsi" w:eastAsia="Calibri" w:hAnsiTheme="majorHAnsi" w:cs="Arial"/>
                <w:szCs w:val="22"/>
                <w:lang w:val="en-US"/>
              </w:rPr>
              <w:t xml:space="preserve">documentation for actions over a defined </w:t>
            </w:r>
            <w:proofErr w:type="gramStart"/>
            <w:r w:rsidRPr="00547C7F">
              <w:rPr>
                <w:rFonts w:asciiTheme="majorHAnsi" w:eastAsia="Calibri" w:hAnsiTheme="majorHAnsi" w:cs="Arial"/>
                <w:szCs w:val="22"/>
                <w:lang w:val="en-US"/>
              </w:rPr>
              <w:t>period of time</w:t>
            </w:r>
            <w:proofErr w:type="gramEnd"/>
            <w:r w:rsidR="006A0DF2">
              <w:rPr>
                <w:rFonts w:asciiTheme="majorHAnsi" w:eastAsia="Calibri" w:hAnsiTheme="majorHAnsi" w:cs="Arial"/>
                <w:szCs w:val="22"/>
                <w:lang w:val="en-US"/>
              </w:rPr>
              <w:t>.</w:t>
            </w:r>
          </w:p>
        </w:tc>
        <w:tc>
          <w:tcPr>
            <w:tcW w:w="4140" w:type="dxa"/>
            <w:vAlign w:val="center"/>
          </w:tcPr>
          <w:p w14:paraId="327320CA" w14:textId="06C00020"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hAnsiTheme="majorHAnsi" w:cs="Arial"/>
                <w:noProof/>
                <w:szCs w:val="22"/>
                <w:u w:val="single"/>
              </w:rPr>
              <w:t>Condition</w:t>
            </w:r>
            <w:r w:rsidRPr="00547C7F">
              <w:rPr>
                <w:rFonts w:asciiTheme="majorHAnsi" w:hAnsiTheme="majorHAnsi" w:cs="Arial"/>
                <w:szCs w:val="22"/>
                <w:u w:val="single"/>
              </w:rPr>
              <w:t xml:space="preserve"> of Execution:</w:t>
            </w:r>
            <w:r w:rsidRPr="00547C7F">
              <w:rPr>
                <w:rFonts w:asciiTheme="majorHAnsi" w:hAnsiTheme="majorHAnsi" w:cs="Arial"/>
                <w:szCs w:val="22"/>
              </w:rPr>
              <w:t xml:space="preserve"> The Borrower will ensure that each Contractor implement the ESMP, which includes a set of mitigation measures for Ecological and Biological Resources, and Vegetation Removal and Re-vegetation</w:t>
            </w:r>
            <w:r w:rsidR="006A0DF2">
              <w:rPr>
                <w:rFonts w:asciiTheme="majorHAnsi" w:hAnsiTheme="majorHAnsi" w:cs="Arial"/>
                <w:szCs w:val="22"/>
              </w:rPr>
              <w:t>.</w:t>
            </w:r>
          </w:p>
        </w:tc>
      </w:tr>
      <w:tr w:rsidR="00481CF8" w:rsidRPr="007C0236" w14:paraId="4A8C52BA" w14:textId="77777777" w:rsidTr="0087228B">
        <w:trPr>
          <w:trHeight w:val="323"/>
        </w:trPr>
        <w:tc>
          <w:tcPr>
            <w:tcW w:w="2250" w:type="dxa"/>
            <w:shd w:val="clear" w:color="auto" w:fill="D9D9D9" w:themeFill="background1" w:themeFillShade="D9"/>
            <w:vAlign w:val="center"/>
          </w:tcPr>
          <w:p w14:paraId="5C54F441" w14:textId="77777777" w:rsidR="00481CF8" w:rsidRPr="00547C7F" w:rsidDel="00641735"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B.9 Invasive Species</w:t>
            </w:r>
          </w:p>
        </w:tc>
        <w:tc>
          <w:tcPr>
            <w:tcW w:w="2813" w:type="dxa"/>
            <w:vAlign w:val="center"/>
          </w:tcPr>
          <w:p w14:paraId="422B583A" w14:textId="77777777"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N/A</w:t>
            </w:r>
          </w:p>
        </w:tc>
        <w:tc>
          <w:tcPr>
            <w:tcW w:w="3847" w:type="dxa"/>
            <w:vAlign w:val="center"/>
          </w:tcPr>
          <w:p w14:paraId="13E47128" w14:textId="77777777"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N/A</w:t>
            </w:r>
          </w:p>
        </w:tc>
        <w:tc>
          <w:tcPr>
            <w:tcW w:w="4140" w:type="dxa"/>
            <w:vAlign w:val="center"/>
          </w:tcPr>
          <w:p w14:paraId="3DD5B4F8" w14:textId="77777777"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N/A</w:t>
            </w:r>
          </w:p>
        </w:tc>
      </w:tr>
      <w:tr w:rsidR="00481CF8" w:rsidRPr="007C0236" w14:paraId="4811BABE" w14:textId="77777777" w:rsidTr="0087228B">
        <w:trPr>
          <w:trHeight w:val="323"/>
        </w:trPr>
        <w:tc>
          <w:tcPr>
            <w:tcW w:w="2250" w:type="dxa"/>
            <w:shd w:val="clear" w:color="auto" w:fill="D9D9D9" w:themeFill="background1" w:themeFillShade="D9"/>
            <w:vAlign w:val="center"/>
          </w:tcPr>
          <w:p w14:paraId="044E9219" w14:textId="77777777" w:rsidR="00481CF8" w:rsidRPr="00547C7F" w:rsidDel="00641735"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B.9 Cultural Sites</w:t>
            </w:r>
          </w:p>
        </w:tc>
        <w:tc>
          <w:tcPr>
            <w:tcW w:w="2813" w:type="dxa"/>
            <w:vAlign w:val="center"/>
          </w:tcPr>
          <w:p w14:paraId="55478B78" w14:textId="77777777"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 xml:space="preserve">Risks related to </w:t>
            </w:r>
            <w:r w:rsidRPr="00547C7F">
              <w:rPr>
                <w:rFonts w:asciiTheme="majorHAnsi" w:eastAsia="Calibri" w:hAnsiTheme="majorHAnsi" w:cs="Arial"/>
                <w:noProof/>
                <w:szCs w:val="22"/>
                <w:lang w:val="en-US"/>
              </w:rPr>
              <w:t>unearthed</w:t>
            </w:r>
            <w:r w:rsidRPr="00547C7F">
              <w:rPr>
                <w:rFonts w:asciiTheme="majorHAnsi" w:eastAsia="Calibri" w:hAnsiTheme="majorHAnsi" w:cs="Arial"/>
                <w:szCs w:val="22"/>
                <w:lang w:val="en-US"/>
              </w:rPr>
              <w:t xml:space="preserve"> cultural </w:t>
            </w:r>
            <w:r w:rsidRPr="00547C7F">
              <w:rPr>
                <w:rFonts w:asciiTheme="majorHAnsi" w:eastAsia="Calibri" w:hAnsiTheme="majorHAnsi" w:cs="Arial"/>
                <w:noProof/>
                <w:szCs w:val="22"/>
                <w:lang w:val="en-US"/>
              </w:rPr>
              <w:t>artifact</w:t>
            </w:r>
            <w:r w:rsidRPr="00547C7F">
              <w:rPr>
                <w:rFonts w:asciiTheme="majorHAnsi" w:eastAsia="Calibri" w:hAnsiTheme="majorHAnsi" w:cs="Arial"/>
                <w:szCs w:val="22"/>
                <w:lang w:val="en-US"/>
              </w:rPr>
              <w:t xml:space="preserve"> in points of archaeological interest in the Succotz bypass</w:t>
            </w:r>
          </w:p>
        </w:tc>
        <w:tc>
          <w:tcPr>
            <w:tcW w:w="3847" w:type="dxa"/>
            <w:vAlign w:val="center"/>
          </w:tcPr>
          <w:p w14:paraId="34BE51E3" w14:textId="0377E282"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 xml:space="preserve">Risks minimized by moving the alignment of the road (following a </w:t>
            </w:r>
            <w:r w:rsidRPr="00547C7F">
              <w:rPr>
                <w:rFonts w:asciiTheme="majorHAnsi" w:eastAsia="Calibri" w:hAnsiTheme="majorHAnsi" w:cs="Arial"/>
                <w:noProof/>
                <w:szCs w:val="22"/>
                <w:lang w:val="en-US"/>
              </w:rPr>
              <w:t>recommendation</w:t>
            </w:r>
            <w:r w:rsidRPr="00547C7F">
              <w:rPr>
                <w:rFonts w:asciiTheme="majorHAnsi" w:eastAsia="Calibri" w:hAnsiTheme="majorHAnsi" w:cs="Arial"/>
                <w:szCs w:val="22"/>
                <w:lang w:val="en-US"/>
              </w:rPr>
              <w:t xml:space="preserve"> from the Department of Archaeology of Belize)</w:t>
            </w:r>
            <w:r w:rsidR="006A0DF2">
              <w:rPr>
                <w:rFonts w:asciiTheme="majorHAnsi" w:eastAsia="Calibri" w:hAnsiTheme="majorHAnsi" w:cs="Arial"/>
                <w:szCs w:val="22"/>
                <w:lang w:val="en-US"/>
              </w:rPr>
              <w:t>.</w:t>
            </w:r>
          </w:p>
        </w:tc>
        <w:tc>
          <w:tcPr>
            <w:tcW w:w="4140" w:type="dxa"/>
            <w:vAlign w:val="center"/>
          </w:tcPr>
          <w:p w14:paraId="04583C66" w14:textId="35881FBB"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hAnsiTheme="majorHAnsi" w:cs="Arial"/>
                <w:noProof/>
                <w:szCs w:val="22"/>
                <w:u w:val="single"/>
              </w:rPr>
              <w:t>Condition</w:t>
            </w:r>
            <w:r w:rsidRPr="00547C7F">
              <w:rPr>
                <w:rFonts w:asciiTheme="majorHAnsi" w:hAnsiTheme="majorHAnsi" w:cs="Arial"/>
                <w:szCs w:val="22"/>
                <w:u w:val="single"/>
              </w:rPr>
              <w:t xml:space="preserve"> of Execution:</w:t>
            </w:r>
            <w:r w:rsidRPr="00547C7F">
              <w:rPr>
                <w:rFonts w:asciiTheme="majorHAnsi" w:hAnsiTheme="majorHAnsi" w:cs="Arial"/>
                <w:szCs w:val="22"/>
              </w:rPr>
              <w:t xml:space="preserve"> The Borrower will ensure that each Contractor implement the ESMP, which includes a set of mitigation measures for Archeological Resources</w:t>
            </w:r>
            <w:r w:rsidR="006A0DF2">
              <w:rPr>
                <w:rFonts w:asciiTheme="majorHAnsi" w:hAnsiTheme="majorHAnsi" w:cs="Arial"/>
                <w:szCs w:val="22"/>
              </w:rPr>
              <w:t>.</w:t>
            </w:r>
          </w:p>
        </w:tc>
      </w:tr>
      <w:tr w:rsidR="00481CF8" w:rsidRPr="007C0236" w14:paraId="5E4CCE04" w14:textId="77777777" w:rsidTr="0087228B">
        <w:trPr>
          <w:trHeight w:val="323"/>
        </w:trPr>
        <w:tc>
          <w:tcPr>
            <w:tcW w:w="2250" w:type="dxa"/>
            <w:shd w:val="clear" w:color="auto" w:fill="D9D9D9" w:themeFill="background1" w:themeFillShade="D9"/>
            <w:vAlign w:val="center"/>
          </w:tcPr>
          <w:p w14:paraId="6B35F2DF" w14:textId="77777777" w:rsidR="00481CF8" w:rsidRPr="00547C7F" w:rsidDel="00641735"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B.10 Hazardous Materials</w:t>
            </w:r>
          </w:p>
        </w:tc>
        <w:tc>
          <w:tcPr>
            <w:tcW w:w="2813" w:type="dxa"/>
            <w:vAlign w:val="center"/>
          </w:tcPr>
          <w:p w14:paraId="0FB34BC7" w14:textId="77777777"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Potentially hazardous materials used in road construction</w:t>
            </w:r>
          </w:p>
        </w:tc>
        <w:tc>
          <w:tcPr>
            <w:tcW w:w="3847" w:type="dxa"/>
            <w:vAlign w:val="center"/>
          </w:tcPr>
          <w:p w14:paraId="6C6EC105" w14:textId="2216FBF2"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 xml:space="preserve">Compliance achievable through specific conditions established in </w:t>
            </w:r>
            <w:r w:rsidRPr="00547C7F">
              <w:rPr>
                <w:rFonts w:asciiTheme="majorHAnsi" w:eastAsia="Calibri" w:hAnsiTheme="majorHAnsi" w:cs="Arial"/>
                <w:noProof/>
                <w:szCs w:val="22"/>
                <w:lang w:val="en-US"/>
              </w:rPr>
              <w:t>legal</w:t>
            </w:r>
            <w:r w:rsidRPr="00547C7F">
              <w:rPr>
                <w:rFonts w:asciiTheme="majorHAnsi" w:eastAsia="Calibri" w:hAnsiTheme="majorHAnsi" w:cs="Arial"/>
                <w:szCs w:val="22"/>
                <w:lang w:val="en-US"/>
              </w:rPr>
              <w:t xml:space="preserve"> documentation for actions over a defined </w:t>
            </w:r>
            <w:proofErr w:type="gramStart"/>
            <w:r w:rsidRPr="00547C7F">
              <w:rPr>
                <w:rFonts w:asciiTheme="majorHAnsi" w:eastAsia="Calibri" w:hAnsiTheme="majorHAnsi" w:cs="Arial"/>
                <w:szCs w:val="22"/>
                <w:lang w:val="en-US"/>
              </w:rPr>
              <w:t>period of time</w:t>
            </w:r>
            <w:proofErr w:type="gramEnd"/>
            <w:r w:rsidR="006A0DF2">
              <w:rPr>
                <w:rFonts w:asciiTheme="majorHAnsi" w:eastAsia="Calibri" w:hAnsiTheme="majorHAnsi" w:cs="Arial"/>
                <w:szCs w:val="22"/>
                <w:lang w:val="en-US"/>
              </w:rPr>
              <w:t>.</w:t>
            </w:r>
          </w:p>
        </w:tc>
        <w:tc>
          <w:tcPr>
            <w:tcW w:w="4140" w:type="dxa"/>
            <w:vAlign w:val="center"/>
          </w:tcPr>
          <w:p w14:paraId="6FEFD1B4" w14:textId="1E344FC9"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highlight w:val="green"/>
                <w:lang w:val="en-US"/>
              </w:rPr>
            </w:pPr>
            <w:r w:rsidRPr="00547C7F">
              <w:rPr>
                <w:rFonts w:asciiTheme="majorHAnsi" w:hAnsiTheme="majorHAnsi" w:cs="Arial"/>
                <w:noProof/>
                <w:szCs w:val="22"/>
                <w:u w:val="single"/>
              </w:rPr>
              <w:t>Condition</w:t>
            </w:r>
            <w:r w:rsidRPr="00547C7F">
              <w:rPr>
                <w:rFonts w:asciiTheme="majorHAnsi" w:hAnsiTheme="majorHAnsi" w:cs="Arial"/>
                <w:szCs w:val="22"/>
                <w:u w:val="single"/>
              </w:rPr>
              <w:t xml:space="preserve"> of Execution:</w:t>
            </w:r>
            <w:r w:rsidRPr="00547C7F">
              <w:rPr>
                <w:rFonts w:asciiTheme="majorHAnsi" w:hAnsiTheme="majorHAnsi" w:cs="Arial"/>
                <w:szCs w:val="22"/>
              </w:rPr>
              <w:t xml:space="preserve"> The Borrower will ensure that each Contractor implement the ESMP, which includes a set of mitigation measures for General Construction Practices and  Materials Storage and Handling</w:t>
            </w:r>
            <w:r w:rsidR="006A0DF2">
              <w:rPr>
                <w:rFonts w:asciiTheme="majorHAnsi" w:hAnsiTheme="majorHAnsi" w:cs="Arial"/>
                <w:szCs w:val="22"/>
              </w:rPr>
              <w:t>.</w:t>
            </w:r>
          </w:p>
        </w:tc>
      </w:tr>
      <w:tr w:rsidR="00481CF8" w:rsidRPr="007C0236" w14:paraId="3AD02DC8" w14:textId="77777777" w:rsidTr="0087228B">
        <w:trPr>
          <w:trHeight w:val="323"/>
        </w:trPr>
        <w:tc>
          <w:tcPr>
            <w:tcW w:w="2250" w:type="dxa"/>
            <w:shd w:val="clear" w:color="auto" w:fill="D9D9D9" w:themeFill="background1" w:themeFillShade="D9"/>
            <w:vAlign w:val="center"/>
          </w:tcPr>
          <w:p w14:paraId="43885162" w14:textId="77777777" w:rsidR="00481CF8" w:rsidRPr="00547C7F" w:rsidDel="00641735"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B.11 Pollution Prevention &amp; Abatement</w:t>
            </w:r>
          </w:p>
        </w:tc>
        <w:tc>
          <w:tcPr>
            <w:tcW w:w="2813" w:type="dxa"/>
            <w:vAlign w:val="center"/>
          </w:tcPr>
          <w:p w14:paraId="5FA705F3" w14:textId="77777777"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Pollution prevention</w:t>
            </w:r>
          </w:p>
        </w:tc>
        <w:tc>
          <w:tcPr>
            <w:tcW w:w="3847" w:type="dxa"/>
            <w:vAlign w:val="center"/>
          </w:tcPr>
          <w:p w14:paraId="259C23F4" w14:textId="5A86E37C"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 xml:space="preserve">Minor GHG emissions and other construction waste/effluent. Compliance achievable through specific conditions established in </w:t>
            </w:r>
            <w:r w:rsidRPr="00547C7F">
              <w:rPr>
                <w:rFonts w:asciiTheme="majorHAnsi" w:eastAsia="Calibri" w:hAnsiTheme="majorHAnsi" w:cs="Arial"/>
                <w:noProof/>
                <w:szCs w:val="22"/>
                <w:lang w:val="en-US"/>
              </w:rPr>
              <w:t>legal</w:t>
            </w:r>
            <w:r w:rsidRPr="00547C7F">
              <w:rPr>
                <w:rFonts w:asciiTheme="majorHAnsi" w:eastAsia="Calibri" w:hAnsiTheme="majorHAnsi" w:cs="Arial"/>
                <w:szCs w:val="22"/>
                <w:lang w:val="en-US"/>
              </w:rPr>
              <w:t xml:space="preserve"> documentation for actions over a defined </w:t>
            </w:r>
            <w:proofErr w:type="gramStart"/>
            <w:r w:rsidRPr="00547C7F">
              <w:rPr>
                <w:rFonts w:asciiTheme="majorHAnsi" w:eastAsia="Calibri" w:hAnsiTheme="majorHAnsi" w:cs="Arial"/>
                <w:szCs w:val="22"/>
                <w:lang w:val="en-US"/>
              </w:rPr>
              <w:t>period of time</w:t>
            </w:r>
            <w:proofErr w:type="gramEnd"/>
            <w:r w:rsidR="006A0DF2">
              <w:rPr>
                <w:rFonts w:asciiTheme="majorHAnsi" w:eastAsia="Calibri" w:hAnsiTheme="majorHAnsi" w:cs="Arial"/>
                <w:szCs w:val="22"/>
                <w:lang w:val="en-US"/>
              </w:rPr>
              <w:t>.</w:t>
            </w:r>
          </w:p>
        </w:tc>
        <w:tc>
          <w:tcPr>
            <w:tcW w:w="4140" w:type="dxa"/>
            <w:vAlign w:val="center"/>
          </w:tcPr>
          <w:p w14:paraId="721C17F6" w14:textId="6559EA3F"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highlight w:val="green"/>
                <w:lang w:val="en-US"/>
              </w:rPr>
            </w:pPr>
            <w:r w:rsidRPr="00547C7F">
              <w:rPr>
                <w:rFonts w:asciiTheme="majorHAnsi" w:hAnsiTheme="majorHAnsi" w:cs="Arial"/>
                <w:noProof/>
                <w:szCs w:val="22"/>
                <w:u w:val="single"/>
              </w:rPr>
              <w:t>Condition</w:t>
            </w:r>
            <w:r w:rsidRPr="00547C7F">
              <w:rPr>
                <w:rFonts w:asciiTheme="majorHAnsi" w:hAnsiTheme="majorHAnsi" w:cs="Arial"/>
                <w:szCs w:val="22"/>
                <w:u w:val="single"/>
              </w:rPr>
              <w:t xml:space="preserve"> of Execution:</w:t>
            </w:r>
            <w:r w:rsidRPr="00547C7F">
              <w:rPr>
                <w:rFonts w:asciiTheme="majorHAnsi" w:hAnsiTheme="majorHAnsi" w:cs="Arial"/>
                <w:szCs w:val="22"/>
              </w:rPr>
              <w:t xml:space="preserve"> The Borrower will ensure that each Contractor implement the ESMP, which includes a set of mitigation measures for General Construction Practices</w:t>
            </w:r>
            <w:r w:rsidR="006A0DF2">
              <w:rPr>
                <w:rFonts w:asciiTheme="majorHAnsi" w:hAnsiTheme="majorHAnsi" w:cs="Arial"/>
                <w:szCs w:val="22"/>
              </w:rPr>
              <w:t>.</w:t>
            </w:r>
            <w:r w:rsidRPr="00547C7F">
              <w:rPr>
                <w:rFonts w:asciiTheme="majorHAnsi" w:hAnsiTheme="majorHAnsi" w:cs="Arial"/>
                <w:szCs w:val="22"/>
              </w:rPr>
              <w:t xml:space="preserve"> </w:t>
            </w:r>
          </w:p>
        </w:tc>
      </w:tr>
      <w:tr w:rsidR="00481CF8" w:rsidRPr="007C0236" w14:paraId="0C02C104" w14:textId="77777777" w:rsidTr="0087228B">
        <w:trPr>
          <w:trHeight w:val="323"/>
        </w:trPr>
        <w:tc>
          <w:tcPr>
            <w:tcW w:w="2250" w:type="dxa"/>
            <w:shd w:val="clear" w:color="auto" w:fill="D9D9D9" w:themeFill="background1" w:themeFillShade="D9"/>
            <w:vAlign w:val="center"/>
          </w:tcPr>
          <w:p w14:paraId="5F791D68" w14:textId="77777777" w:rsidR="00481CF8" w:rsidRPr="00547C7F" w:rsidDel="00641735"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B.12 Projects under Construction</w:t>
            </w:r>
          </w:p>
        </w:tc>
        <w:tc>
          <w:tcPr>
            <w:tcW w:w="2813" w:type="dxa"/>
            <w:vAlign w:val="center"/>
          </w:tcPr>
          <w:p w14:paraId="446A111F" w14:textId="77777777"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highlight w:val="green"/>
                <w:lang w:val="en-US"/>
              </w:rPr>
            </w:pPr>
            <w:r w:rsidRPr="00547C7F">
              <w:rPr>
                <w:rFonts w:asciiTheme="majorHAnsi" w:eastAsia="Calibri" w:hAnsiTheme="majorHAnsi" w:cs="Arial"/>
                <w:szCs w:val="22"/>
                <w:lang w:val="en-US"/>
              </w:rPr>
              <w:t>Construction activities have begun on Section I and II under Loan BL-L1019.</w:t>
            </w:r>
            <w:r w:rsidRPr="00547C7F">
              <w:rPr>
                <w:rFonts w:asciiTheme="majorHAnsi" w:eastAsia="Calibri" w:hAnsiTheme="majorHAnsi" w:cs="Arial"/>
                <w:szCs w:val="22"/>
                <w:highlight w:val="green"/>
                <w:lang w:val="en-US"/>
              </w:rPr>
              <w:t xml:space="preserve"> </w:t>
            </w:r>
          </w:p>
        </w:tc>
        <w:tc>
          <w:tcPr>
            <w:tcW w:w="3847" w:type="dxa"/>
            <w:vAlign w:val="center"/>
          </w:tcPr>
          <w:p w14:paraId="4A1FBE05" w14:textId="6D714CFD" w:rsidR="00481CF8"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 xml:space="preserve">Compliance achievable through specific conditions established in </w:t>
            </w:r>
            <w:r w:rsidRPr="00547C7F">
              <w:rPr>
                <w:rFonts w:asciiTheme="majorHAnsi" w:eastAsia="Calibri" w:hAnsiTheme="majorHAnsi" w:cs="Arial"/>
                <w:noProof/>
                <w:szCs w:val="22"/>
                <w:lang w:val="en-US"/>
              </w:rPr>
              <w:t>legal</w:t>
            </w:r>
            <w:r w:rsidRPr="00547C7F">
              <w:rPr>
                <w:rFonts w:asciiTheme="majorHAnsi" w:eastAsia="Calibri" w:hAnsiTheme="majorHAnsi" w:cs="Arial"/>
                <w:szCs w:val="22"/>
                <w:lang w:val="en-US"/>
              </w:rPr>
              <w:t xml:space="preserve"> documentation for actions over a defined </w:t>
            </w:r>
            <w:proofErr w:type="gramStart"/>
            <w:r w:rsidRPr="00547C7F">
              <w:rPr>
                <w:rFonts w:asciiTheme="majorHAnsi" w:eastAsia="Calibri" w:hAnsiTheme="majorHAnsi" w:cs="Arial"/>
                <w:szCs w:val="22"/>
                <w:lang w:val="en-US"/>
              </w:rPr>
              <w:t>period of time</w:t>
            </w:r>
            <w:proofErr w:type="gramEnd"/>
            <w:r w:rsidR="006A0DF2">
              <w:rPr>
                <w:rFonts w:asciiTheme="majorHAnsi" w:eastAsia="Calibri" w:hAnsiTheme="majorHAnsi" w:cs="Arial"/>
                <w:szCs w:val="22"/>
                <w:lang w:val="en-US"/>
              </w:rPr>
              <w:t>.</w:t>
            </w:r>
          </w:p>
          <w:p w14:paraId="55ABBC79" w14:textId="77777777" w:rsidR="00903D77" w:rsidRDefault="00903D77" w:rsidP="00481CF8">
            <w:pPr>
              <w:pStyle w:val="Paragraph"/>
              <w:tabs>
                <w:tab w:val="clear" w:pos="851"/>
                <w:tab w:val="num" w:pos="810"/>
              </w:tabs>
              <w:spacing w:before="0" w:after="0"/>
              <w:jc w:val="left"/>
              <w:outlineLvl w:val="1"/>
              <w:rPr>
                <w:rFonts w:asciiTheme="majorHAnsi" w:eastAsia="Calibri" w:hAnsiTheme="majorHAnsi" w:cs="Arial"/>
                <w:szCs w:val="22"/>
                <w:highlight w:val="green"/>
                <w:lang w:val="en-US"/>
              </w:rPr>
            </w:pPr>
          </w:p>
          <w:p w14:paraId="341FB325" w14:textId="39C57A3C" w:rsidR="00903D77" w:rsidRPr="00903D77" w:rsidRDefault="006A0DF2" w:rsidP="00481CF8">
            <w:pPr>
              <w:pStyle w:val="Paragraph"/>
              <w:tabs>
                <w:tab w:val="clear" w:pos="851"/>
                <w:tab w:val="num" w:pos="810"/>
              </w:tabs>
              <w:spacing w:before="0" w:after="0"/>
              <w:jc w:val="left"/>
              <w:outlineLvl w:val="1"/>
              <w:rPr>
                <w:rFonts w:asciiTheme="majorHAnsi" w:hAnsiTheme="majorHAnsi" w:cs="Arial"/>
                <w:noProof/>
                <w:szCs w:val="22"/>
                <w:u w:val="single"/>
              </w:rPr>
            </w:pPr>
            <w:r w:rsidRPr="00BB1313">
              <w:rPr>
                <w:rFonts w:asciiTheme="majorHAnsi" w:eastAsia="Calibri" w:hAnsiTheme="majorHAnsi" w:cs="Arial"/>
                <w:szCs w:val="22"/>
              </w:rPr>
              <w:t>The</w:t>
            </w:r>
            <w:r w:rsidR="00903D77" w:rsidRPr="00BB1313">
              <w:rPr>
                <w:rFonts w:asciiTheme="majorHAnsi" w:eastAsia="Calibri" w:hAnsiTheme="majorHAnsi" w:cs="Arial"/>
                <w:szCs w:val="22"/>
              </w:rPr>
              <w:t xml:space="preserve"> Corrective Action Plan for BL-L1019</w:t>
            </w:r>
            <w:r w:rsidR="00903D77" w:rsidRPr="00BB1313">
              <w:rPr>
                <w:rFonts w:asciiTheme="majorHAnsi" w:eastAsia="Calibri" w:hAnsiTheme="majorHAnsi" w:cs="Arial"/>
                <w:szCs w:val="22"/>
                <w:lang w:val="en-US"/>
              </w:rPr>
              <w:t xml:space="preserve">, was </w:t>
            </w:r>
            <w:r w:rsidRPr="00BB1313">
              <w:rPr>
                <w:rFonts w:asciiTheme="majorHAnsi" w:eastAsia="Calibri" w:hAnsiTheme="majorHAnsi" w:cs="Arial"/>
                <w:szCs w:val="22"/>
                <w:lang w:val="en-US"/>
              </w:rPr>
              <w:t>signed by MOW prior to distribution to</w:t>
            </w:r>
            <w:r w:rsidR="00903D77" w:rsidRPr="00BB1313">
              <w:rPr>
                <w:rFonts w:asciiTheme="majorHAnsi" w:eastAsia="Calibri" w:hAnsiTheme="majorHAnsi" w:cs="Arial"/>
                <w:szCs w:val="22"/>
                <w:lang w:val="en-US"/>
              </w:rPr>
              <w:t xml:space="preserve"> OPC</w:t>
            </w:r>
            <w:r w:rsidRPr="00BB1313">
              <w:rPr>
                <w:rFonts w:asciiTheme="majorHAnsi" w:eastAsia="Calibri" w:hAnsiTheme="majorHAnsi" w:cs="Arial"/>
                <w:szCs w:val="22"/>
                <w:lang w:val="en-US"/>
              </w:rPr>
              <w:t>.</w:t>
            </w:r>
          </w:p>
        </w:tc>
        <w:tc>
          <w:tcPr>
            <w:tcW w:w="4140" w:type="dxa"/>
            <w:vAlign w:val="center"/>
          </w:tcPr>
          <w:p w14:paraId="3F2866F6" w14:textId="7D96054E"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highlight w:val="green"/>
                <w:lang w:val="en-US"/>
              </w:rPr>
            </w:pPr>
            <w:r w:rsidRPr="00547C7F">
              <w:rPr>
                <w:rFonts w:asciiTheme="majorHAnsi" w:hAnsiTheme="majorHAnsi" w:cs="Arial"/>
                <w:noProof/>
                <w:szCs w:val="22"/>
                <w:u w:val="single"/>
              </w:rPr>
              <w:t>Condition</w:t>
            </w:r>
            <w:r w:rsidRPr="00547C7F">
              <w:rPr>
                <w:rFonts w:asciiTheme="majorHAnsi" w:hAnsiTheme="majorHAnsi" w:cs="Arial"/>
                <w:szCs w:val="22"/>
                <w:u w:val="single"/>
              </w:rPr>
              <w:t xml:space="preserve"> of Execution:</w:t>
            </w:r>
            <w:r w:rsidRPr="00547C7F">
              <w:rPr>
                <w:rFonts w:asciiTheme="majorHAnsi" w:hAnsiTheme="majorHAnsi" w:cs="Arial"/>
                <w:szCs w:val="22"/>
              </w:rPr>
              <w:t xml:space="preserve"> The Borrower will comply with the Corrective Action Plan issued for BL-L1019</w:t>
            </w:r>
            <w:r w:rsidR="006A0DF2">
              <w:rPr>
                <w:rFonts w:asciiTheme="majorHAnsi" w:hAnsiTheme="majorHAnsi" w:cs="Arial"/>
                <w:szCs w:val="22"/>
              </w:rPr>
              <w:t>.</w:t>
            </w:r>
          </w:p>
        </w:tc>
      </w:tr>
      <w:tr w:rsidR="00481CF8" w:rsidRPr="007C0236" w14:paraId="2D66D050" w14:textId="77777777" w:rsidTr="0087228B">
        <w:trPr>
          <w:trHeight w:val="323"/>
        </w:trPr>
        <w:tc>
          <w:tcPr>
            <w:tcW w:w="2250" w:type="dxa"/>
            <w:shd w:val="clear" w:color="auto" w:fill="D9D9D9" w:themeFill="background1" w:themeFillShade="D9"/>
            <w:vAlign w:val="center"/>
          </w:tcPr>
          <w:p w14:paraId="60B35B2B" w14:textId="77777777" w:rsidR="00481CF8" w:rsidRPr="00547C7F" w:rsidDel="00641735"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lastRenderedPageBreak/>
              <w:t>B.13 Noninvestment Lending and Flexible Lending Instruments</w:t>
            </w:r>
          </w:p>
        </w:tc>
        <w:tc>
          <w:tcPr>
            <w:tcW w:w="2813" w:type="dxa"/>
            <w:vAlign w:val="center"/>
          </w:tcPr>
          <w:p w14:paraId="5BBD5A9C" w14:textId="77777777"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N/A</w:t>
            </w:r>
          </w:p>
        </w:tc>
        <w:tc>
          <w:tcPr>
            <w:tcW w:w="3847" w:type="dxa"/>
            <w:vAlign w:val="center"/>
          </w:tcPr>
          <w:p w14:paraId="0A49F249" w14:textId="77777777"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N/A</w:t>
            </w:r>
          </w:p>
        </w:tc>
        <w:tc>
          <w:tcPr>
            <w:tcW w:w="4140" w:type="dxa"/>
            <w:vAlign w:val="center"/>
          </w:tcPr>
          <w:p w14:paraId="51E0854E" w14:textId="77777777"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N/A</w:t>
            </w:r>
          </w:p>
        </w:tc>
      </w:tr>
      <w:tr w:rsidR="00481CF8" w:rsidRPr="007C0236" w14:paraId="52340461" w14:textId="77777777" w:rsidTr="0087228B">
        <w:trPr>
          <w:trHeight w:val="323"/>
        </w:trPr>
        <w:tc>
          <w:tcPr>
            <w:tcW w:w="2250" w:type="dxa"/>
            <w:shd w:val="clear" w:color="auto" w:fill="D9D9D9" w:themeFill="background1" w:themeFillShade="D9"/>
            <w:vAlign w:val="center"/>
          </w:tcPr>
          <w:p w14:paraId="5C5251C5" w14:textId="77777777" w:rsidR="00481CF8" w:rsidRPr="00547C7F" w:rsidDel="00641735"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B.14 Multiple Phase and Repeat Loans</w:t>
            </w:r>
          </w:p>
        </w:tc>
        <w:tc>
          <w:tcPr>
            <w:tcW w:w="2813" w:type="dxa"/>
            <w:vAlign w:val="center"/>
          </w:tcPr>
          <w:p w14:paraId="5D17E20F" w14:textId="77777777"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N/A</w:t>
            </w:r>
          </w:p>
        </w:tc>
        <w:tc>
          <w:tcPr>
            <w:tcW w:w="3847" w:type="dxa"/>
            <w:vAlign w:val="center"/>
          </w:tcPr>
          <w:p w14:paraId="78483E13" w14:textId="77777777"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N/A</w:t>
            </w:r>
          </w:p>
        </w:tc>
        <w:tc>
          <w:tcPr>
            <w:tcW w:w="4140" w:type="dxa"/>
            <w:vAlign w:val="center"/>
          </w:tcPr>
          <w:p w14:paraId="06825CF0" w14:textId="77777777"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N/A</w:t>
            </w:r>
          </w:p>
        </w:tc>
      </w:tr>
      <w:tr w:rsidR="00481CF8" w:rsidRPr="007C0236" w14:paraId="484E0337" w14:textId="77777777" w:rsidTr="0087228B">
        <w:trPr>
          <w:trHeight w:val="323"/>
        </w:trPr>
        <w:tc>
          <w:tcPr>
            <w:tcW w:w="2250" w:type="dxa"/>
            <w:shd w:val="clear" w:color="auto" w:fill="D9D9D9" w:themeFill="background1" w:themeFillShade="D9"/>
            <w:vAlign w:val="center"/>
          </w:tcPr>
          <w:p w14:paraId="3098E8FD" w14:textId="77777777" w:rsidR="00481CF8" w:rsidRPr="00547C7F" w:rsidDel="00641735"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B.15 Co-financing Operations</w:t>
            </w:r>
          </w:p>
        </w:tc>
        <w:tc>
          <w:tcPr>
            <w:tcW w:w="2813" w:type="dxa"/>
            <w:vAlign w:val="center"/>
          </w:tcPr>
          <w:p w14:paraId="752EED07" w14:textId="77777777"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N/A</w:t>
            </w:r>
          </w:p>
        </w:tc>
        <w:tc>
          <w:tcPr>
            <w:tcW w:w="3847" w:type="dxa"/>
            <w:vAlign w:val="center"/>
          </w:tcPr>
          <w:p w14:paraId="24480B73" w14:textId="77777777"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N/A</w:t>
            </w:r>
          </w:p>
        </w:tc>
        <w:tc>
          <w:tcPr>
            <w:tcW w:w="4140" w:type="dxa"/>
            <w:vAlign w:val="center"/>
          </w:tcPr>
          <w:p w14:paraId="7AEBEF73" w14:textId="77777777"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N/A</w:t>
            </w:r>
          </w:p>
        </w:tc>
      </w:tr>
      <w:tr w:rsidR="00481CF8" w:rsidRPr="007C0236" w14:paraId="0D51A196" w14:textId="77777777" w:rsidTr="0087228B">
        <w:trPr>
          <w:trHeight w:val="323"/>
        </w:trPr>
        <w:tc>
          <w:tcPr>
            <w:tcW w:w="2250" w:type="dxa"/>
            <w:shd w:val="clear" w:color="auto" w:fill="D9D9D9" w:themeFill="background1" w:themeFillShade="D9"/>
            <w:vAlign w:val="center"/>
          </w:tcPr>
          <w:p w14:paraId="73DE394E" w14:textId="77777777" w:rsidR="00481CF8" w:rsidRPr="00547C7F" w:rsidDel="00641735"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B.16 In-Country Systems</w:t>
            </w:r>
          </w:p>
        </w:tc>
        <w:tc>
          <w:tcPr>
            <w:tcW w:w="2813" w:type="dxa"/>
            <w:vAlign w:val="center"/>
          </w:tcPr>
          <w:p w14:paraId="2F496DDB" w14:textId="77777777"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N/A</w:t>
            </w:r>
          </w:p>
        </w:tc>
        <w:tc>
          <w:tcPr>
            <w:tcW w:w="3847" w:type="dxa"/>
            <w:vAlign w:val="center"/>
          </w:tcPr>
          <w:p w14:paraId="2F08429A" w14:textId="77777777"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N/A</w:t>
            </w:r>
          </w:p>
        </w:tc>
        <w:tc>
          <w:tcPr>
            <w:tcW w:w="4140" w:type="dxa"/>
            <w:vAlign w:val="center"/>
          </w:tcPr>
          <w:p w14:paraId="6AEFD1D4" w14:textId="77777777"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N/A</w:t>
            </w:r>
          </w:p>
        </w:tc>
      </w:tr>
      <w:tr w:rsidR="00481CF8" w:rsidRPr="007C0236" w14:paraId="48E1E4FD" w14:textId="77777777" w:rsidTr="0087228B">
        <w:trPr>
          <w:trHeight w:val="323"/>
        </w:trPr>
        <w:tc>
          <w:tcPr>
            <w:tcW w:w="2250" w:type="dxa"/>
            <w:shd w:val="clear" w:color="auto" w:fill="D9D9D9" w:themeFill="background1" w:themeFillShade="D9"/>
            <w:vAlign w:val="center"/>
          </w:tcPr>
          <w:p w14:paraId="0FB0BCCE" w14:textId="77777777" w:rsidR="00481CF8" w:rsidRPr="00547C7F" w:rsidDel="00641735" w:rsidRDefault="00481CF8" w:rsidP="00481CF8">
            <w:pPr>
              <w:tabs>
                <w:tab w:val="left" w:pos="3200"/>
              </w:tabs>
              <w:rPr>
                <w:rFonts w:asciiTheme="majorHAnsi" w:hAnsiTheme="majorHAnsi" w:cs="Arial"/>
                <w:b/>
                <w:sz w:val="22"/>
                <w:szCs w:val="22"/>
              </w:rPr>
            </w:pPr>
            <w:r w:rsidRPr="00547C7F">
              <w:rPr>
                <w:rFonts w:asciiTheme="majorHAnsi" w:eastAsia="Calibri" w:hAnsiTheme="majorHAnsi" w:cs="Arial"/>
                <w:sz w:val="22"/>
                <w:szCs w:val="22"/>
                <w:lang w:eastAsia="it-IT"/>
              </w:rPr>
              <w:t>B.17 Procurement</w:t>
            </w:r>
          </w:p>
        </w:tc>
        <w:tc>
          <w:tcPr>
            <w:tcW w:w="2813" w:type="dxa"/>
            <w:vAlign w:val="center"/>
          </w:tcPr>
          <w:p w14:paraId="0A47DEFD" w14:textId="77777777"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 xml:space="preserve">Contractors Management </w:t>
            </w:r>
          </w:p>
        </w:tc>
        <w:tc>
          <w:tcPr>
            <w:tcW w:w="3847" w:type="dxa"/>
            <w:vAlign w:val="center"/>
          </w:tcPr>
          <w:p w14:paraId="02425393" w14:textId="0A231913"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 xml:space="preserve">Compliance achievable through specific conditions established in </w:t>
            </w:r>
            <w:r w:rsidRPr="00547C7F">
              <w:rPr>
                <w:rFonts w:asciiTheme="majorHAnsi" w:eastAsia="Calibri" w:hAnsiTheme="majorHAnsi" w:cs="Arial"/>
                <w:noProof/>
                <w:szCs w:val="22"/>
                <w:lang w:val="en-US"/>
              </w:rPr>
              <w:t>legal</w:t>
            </w:r>
            <w:r w:rsidRPr="00547C7F">
              <w:rPr>
                <w:rFonts w:asciiTheme="majorHAnsi" w:eastAsia="Calibri" w:hAnsiTheme="majorHAnsi" w:cs="Arial"/>
                <w:szCs w:val="22"/>
                <w:lang w:val="en-US"/>
              </w:rPr>
              <w:t xml:space="preserve"> documentation for actions over a defined </w:t>
            </w:r>
            <w:proofErr w:type="gramStart"/>
            <w:r w:rsidRPr="00547C7F">
              <w:rPr>
                <w:rFonts w:asciiTheme="majorHAnsi" w:eastAsia="Calibri" w:hAnsiTheme="majorHAnsi" w:cs="Arial"/>
                <w:szCs w:val="22"/>
                <w:lang w:val="en-US"/>
              </w:rPr>
              <w:t>period of time</w:t>
            </w:r>
            <w:proofErr w:type="gramEnd"/>
            <w:r w:rsidR="006A0DF2">
              <w:rPr>
                <w:rFonts w:asciiTheme="majorHAnsi" w:eastAsia="Calibri" w:hAnsiTheme="majorHAnsi" w:cs="Arial"/>
                <w:szCs w:val="22"/>
                <w:lang w:val="en-US"/>
              </w:rPr>
              <w:t>.</w:t>
            </w:r>
            <w:r w:rsidRPr="00547C7F" w:rsidDel="004F6368">
              <w:rPr>
                <w:rFonts w:asciiTheme="majorHAnsi" w:eastAsia="Calibri" w:hAnsiTheme="majorHAnsi" w:cs="Arial"/>
                <w:szCs w:val="22"/>
                <w:lang w:val="en-US"/>
              </w:rPr>
              <w:t xml:space="preserve"> </w:t>
            </w:r>
          </w:p>
        </w:tc>
        <w:tc>
          <w:tcPr>
            <w:tcW w:w="4140" w:type="dxa"/>
            <w:vAlign w:val="center"/>
          </w:tcPr>
          <w:p w14:paraId="458CE2B4" w14:textId="7B3F3DF5"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hAnsiTheme="majorHAnsi" w:cs="Arial"/>
                <w:noProof/>
                <w:szCs w:val="22"/>
                <w:u w:val="single"/>
              </w:rPr>
              <w:t>Condition</w:t>
            </w:r>
            <w:r w:rsidRPr="00547C7F">
              <w:rPr>
                <w:rFonts w:asciiTheme="majorHAnsi" w:hAnsiTheme="majorHAnsi" w:cs="Arial"/>
                <w:szCs w:val="22"/>
                <w:u w:val="single"/>
              </w:rPr>
              <w:t xml:space="preserve"> of Execution:</w:t>
            </w:r>
            <w:r w:rsidRPr="00547C7F">
              <w:rPr>
                <w:rFonts w:asciiTheme="majorHAnsi" w:hAnsiTheme="majorHAnsi" w:cs="Arial"/>
                <w:szCs w:val="22"/>
              </w:rPr>
              <w:t xml:space="preserve"> The Borrower will ensure that each Contractor implement the ESMP (condition of Construction contract)</w:t>
            </w:r>
            <w:r w:rsidR="006A0DF2">
              <w:rPr>
                <w:rFonts w:asciiTheme="majorHAnsi" w:hAnsiTheme="majorHAnsi" w:cs="Arial"/>
                <w:szCs w:val="22"/>
              </w:rPr>
              <w:t>.</w:t>
            </w:r>
          </w:p>
        </w:tc>
      </w:tr>
      <w:tr w:rsidR="00481CF8" w:rsidRPr="007C0236" w14:paraId="22925786" w14:textId="77777777" w:rsidTr="0087228B">
        <w:trPr>
          <w:trHeight w:val="323"/>
        </w:trPr>
        <w:tc>
          <w:tcPr>
            <w:tcW w:w="13050" w:type="dxa"/>
            <w:gridSpan w:val="4"/>
            <w:shd w:val="clear" w:color="auto" w:fill="D9D9D9" w:themeFill="background1" w:themeFillShade="D9"/>
            <w:vAlign w:val="center"/>
          </w:tcPr>
          <w:p w14:paraId="1D1AA756" w14:textId="77777777" w:rsidR="00481CF8" w:rsidRPr="00547C7F" w:rsidRDefault="00481CF8" w:rsidP="00481CF8">
            <w:pPr>
              <w:tabs>
                <w:tab w:val="left" w:pos="3200"/>
              </w:tabs>
              <w:jc w:val="both"/>
              <w:rPr>
                <w:rFonts w:asciiTheme="majorHAnsi" w:hAnsiTheme="majorHAnsi" w:cs="Arial"/>
                <w:sz w:val="22"/>
                <w:szCs w:val="22"/>
              </w:rPr>
            </w:pPr>
            <w:r w:rsidRPr="00547C7F">
              <w:rPr>
                <w:rFonts w:asciiTheme="majorHAnsi" w:hAnsiTheme="majorHAnsi" w:cs="Arial"/>
                <w:b/>
                <w:sz w:val="22"/>
                <w:szCs w:val="22"/>
              </w:rPr>
              <w:t>OP-704 Natural Disaster Risk Management Policy</w:t>
            </w:r>
          </w:p>
        </w:tc>
      </w:tr>
      <w:tr w:rsidR="00481CF8" w:rsidRPr="007C0236" w14:paraId="7656D9FE" w14:textId="77777777" w:rsidTr="0087228B">
        <w:trPr>
          <w:trHeight w:val="323"/>
        </w:trPr>
        <w:tc>
          <w:tcPr>
            <w:tcW w:w="2250" w:type="dxa"/>
            <w:shd w:val="clear" w:color="auto" w:fill="D9D9D9" w:themeFill="background1" w:themeFillShade="D9"/>
            <w:vAlign w:val="center"/>
          </w:tcPr>
          <w:p w14:paraId="63347BE1" w14:textId="77777777" w:rsidR="00481CF8" w:rsidRPr="00547C7F" w:rsidDel="00641735"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A.2 Analysis and management of Type 2 risk scenario</w:t>
            </w:r>
          </w:p>
        </w:tc>
        <w:tc>
          <w:tcPr>
            <w:tcW w:w="2813" w:type="dxa"/>
            <w:vAlign w:val="center"/>
          </w:tcPr>
          <w:p w14:paraId="6F815C86" w14:textId="77777777"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N/A</w:t>
            </w:r>
          </w:p>
        </w:tc>
        <w:tc>
          <w:tcPr>
            <w:tcW w:w="3847" w:type="dxa"/>
            <w:vAlign w:val="center"/>
          </w:tcPr>
          <w:p w14:paraId="50C76F33" w14:textId="77777777"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N/A</w:t>
            </w:r>
          </w:p>
        </w:tc>
        <w:tc>
          <w:tcPr>
            <w:tcW w:w="4140" w:type="dxa"/>
            <w:vAlign w:val="center"/>
          </w:tcPr>
          <w:p w14:paraId="0E01CE5F" w14:textId="77777777"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N/A</w:t>
            </w:r>
          </w:p>
        </w:tc>
      </w:tr>
      <w:tr w:rsidR="00481CF8" w:rsidRPr="007C0236" w14:paraId="639D8CDE" w14:textId="77777777" w:rsidTr="0087228B">
        <w:trPr>
          <w:trHeight w:val="323"/>
        </w:trPr>
        <w:tc>
          <w:tcPr>
            <w:tcW w:w="2250" w:type="dxa"/>
            <w:shd w:val="clear" w:color="auto" w:fill="D9D9D9" w:themeFill="background1" w:themeFillShade="D9"/>
            <w:vAlign w:val="center"/>
          </w:tcPr>
          <w:p w14:paraId="7CF5CA0C" w14:textId="77777777" w:rsidR="00481CF8" w:rsidRPr="00547C7F" w:rsidDel="00641735"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 xml:space="preserve">A.2 Contingency planning (Emergency response plan, Community health </w:t>
            </w:r>
            <w:r w:rsidRPr="00547C7F">
              <w:rPr>
                <w:rFonts w:asciiTheme="majorHAnsi" w:eastAsia="Calibri" w:hAnsiTheme="majorHAnsi" w:cs="Arial"/>
                <w:noProof/>
                <w:sz w:val="22"/>
                <w:szCs w:val="22"/>
                <w:lang w:eastAsia="it-IT"/>
              </w:rPr>
              <w:t>and</w:t>
            </w:r>
            <w:r w:rsidRPr="00547C7F">
              <w:rPr>
                <w:rFonts w:asciiTheme="majorHAnsi" w:eastAsia="Calibri" w:hAnsiTheme="majorHAnsi" w:cs="Arial"/>
                <w:sz w:val="22"/>
                <w:szCs w:val="22"/>
                <w:lang w:eastAsia="it-IT"/>
              </w:rPr>
              <w:t xml:space="preserve"> safety plan, Occupational health and safety plan)</w:t>
            </w:r>
          </w:p>
        </w:tc>
        <w:tc>
          <w:tcPr>
            <w:tcW w:w="2813" w:type="dxa"/>
            <w:vAlign w:val="center"/>
          </w:tcPr>
          <w:p w14:paraId="7C553A66" w14:textId="77777777"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lang w:val="en-US"/>
              </w:rPr>
            </w:pPr>
            <w:r w:rsidRPr="00547C7F">
              <w:rPr>
                <w:rFonts w:asciiTheme="majorHAnsi" w:eastAsia="Calibri" w:hAnsiTheme="majorHAnsi" w:cs="Arial"/>
                <w:szCs w:val="22"/>
                <w:lang w:val="en-US"/>
              </w:rPr>
              <w:t>Contingency plans</w:t>
            </w:r>
          </w:p>
        </w:tc>
        <w:tc>
          <w:tcPr>
            <w:tcW w:w="3847" w:type="dxa"/>
            <w:vAlign w:val="center"/>
          </w:tcPr>
          <w:p w14:paraId="6CAE47A0" w14:textId="5003029C"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highlight w:val="green"/>
                <w:lang w:val="en-US"/>
              </w:rPr>
            </w:pPr>
            <w:r w:rsidRPr="00547C7F">
              <w:rPr>
                <w:rFonts w:asciiTheme="majorHAnsi" w:eastAsia="Calibri" w:hAnsiTheme="majorHAnsi" w:cs="Arial"/>
                <w:szCs w:val="22"/>
                <w:lang w:val="en-US"/>
              </w:rPr>
              <w:t xml:space="preserve">Compliance achievable through specific conditions established in </w:t>
            </w:r>
            <w:r w:rsidRPr="00547C7F">
              <w:rPr>
                <w:rFonts w:asciiTheme="majorHAnsi" w:eastAsia="Calibri" w:hAnsiTheme="majorHAnsi" w:cs="Arial"/>
                <w:noProof/>
                <w:szCs w:val="22"/>
                <w:lang w:val="en-US"/>
              </w:rPr>
              <w:t>legal</w:t>
            </w:r>
            <w:r w:rsidRPr="00547C7F">
              <w:rPr>
                <w:rFonts w:asciiTheme="majorHAnsi" w:eastAsia="Calibri" w:hAnsiTheme="majorHAnsi" w:cs="Arial"/>
                <w:szCs w:val="22"/>
                <w:lang w:val="en-US"/>
              </w:rPr>
              <w:t xml:space="preserve"> documentation for actions over a defined </w:t>
            </w:r>
            <w:proofErr w:type="gramStart"/>
            <w:r w:rsidRPr="00547C7F">
              <w:rPr>
                <w:rFonts w:asciiTheme="majorHAnsi" w:eastAsia="Calibri" w:hAnsiTheme="majorHAnsi" w:cs="Arial"/>
                <w:szCs w:val="22"/>
                <w:lang w:val="en-US"/>
              </w:rPr>
              <w:t>period of time</w:t>
            </w:r>
            <w:proofErr w:type="gramEnd"/>
            <w:r w:rsidR="006A0DF2">
              <w:rPr>
                <w:rFonts w:asciiTheme="majorHAnsi" w:eastAsia="Calibri" w:hAnsiTheme="majorHAnsi" w:cs="Arial"/>
                <w:szCs w:val="22"/>
                <w:lang w:val="en-US"/>
              </w:rPr>
              <w:t>.</w:t>
            </w:r>
          </w:p>
        </w:tc>
        <w:tc>
          <w:tcPr>
            <w:tcW w:w="4140" w:type="dxa"/>
            <w:vAlign w:val="center"/>
          </w:tcPr>
          <w:p w14:paraId="74FEA69B" w14:textId="03E8B376" w:rsidR="00481CF8" w:rsidRPr="00547C7F" w:rsidRDefault="00481CF8" w:rsidP="00481CF8">
            <w:pPr>
              <w:pStyle w:val="Paragraph"/>
              <w:tabs>
                <w:tab w:val="clear" w:pos="851"/>
                <w:tab w:val="num" w:pos="810"/>
              </w:tabs>
              <w:spacing w:before="0" w:after="0"/>
              <w:jc w:val="left"/>
              <w:outlineLvl w:val="1"/>
              <w:rPr>
                <w:rFonts w:asciiTheme="majorHAnsi" w:hAnsiTheme="majorHAnsi" w:cs="Arial"/>
                <w:szCs w:val="22"/>
              </w:rPr>
            </w:pPr>
            <w:r w:rsidRPr="00547C7F">
              <w:rPr>
                <w:rFonts w:asciiTheme="majorHAnsi" w:hAnsiTheme="majorHAnsi" w:cs="Arial"/>
                <w:noProof/>
                <w:szCs w:val="22"/>
                <w:u w:val="single"/>
              </w:rPr>
              <w:t>Condition</w:t>
            </w:r>
            <w:r w:rsidRPr="00547C7F">
              <w:rPr>
                <w:rFonts w:asciiTheme="majorHAnsi" w:hAnsiTheme="majorHAnsi" w:cs="Arial"/>
                <w:szCs w:val="22"/>
                <w:u w:val="single"/>
              </w:rPr>
              <w:t xml:space="preserve"> of Execution:</w:t>
            </w:r>
            <w:r w:rsidRPr="00547C7F">
              <w:rPr>
                <w:rFonts w:asciiTheme="majorHAnsi" w:hAnsiTheme="majorHAnsi" w:cs="Arial"/>
                <w:szCs w:val="22"/>
              </w:rPr>
              <w:t xml:space="preserve"> The Borrower will ensure that each Contractor implement the ESMP, which includes a set of mitigation measures for Community Health and Safety</w:t>
            </w:r>
            <w:r w:rsidR="006A0DF2">
              <w:rPr>
                <w:rFonts w:asciiTheme="majorHAnsi" w:hAnsiTheme="majorHAnsi" w:cs="Arial"/>
                <w:szCs w:val="22"/>
              </w:rPr>
              <w:t>.</w:t>
            </w:r>
          </w:p>
          <w:p w14:paraId="684A6E49" w14:textId="77777777"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highlight w:val="green"/>
                <w:lang w:val="en-US"/>
              </w:rPr>
            </w:pPr>
          </w:p>
          <w:p w14:paraId="0A75C89B" w14:textId="77777777" w:rsidR="00481CF8" w:rsidRPr="00547C7F" w:rsidRDefault="00481CF8" w:rsidP="00481CF8">
            <w:pPr>
              <w:pStyle w:val="Paragraph"/>
              <w:tabs>
                <w:tab w:val="clear" w:pos="851"/>
                <w:tab w:val="num" w:pos="810"/>
              </w:tabs>
              <w:spacing w:before="0" w:after="0"/>
              <w:jc w:val="left"/>
              <w:outlineLvl w:val="1"/>
              <w:rPr>
                <w:rFonts w:asciiTheme="majorHAnsi" w:eastAsia="Calibri" w:hAnsiTheme="majorHAnsi" w:cs="Arial"/>
                <w:szCs w:val="22"/>
                <w:highlight w:val="green"/>
                <w:lang w:val="en-US"/>
              </w:rPr>
            </w:pPr>
          </w:p>
        </w:tc>
      </w:tr>
      <w:tr w:rsidR="00481CF8" w:rsidRPr="007C0236" w14:paraId="4F6053B3" w14:textId="77777777" w:rsidTr="0087228B">
        <w:trPr>
          <w:trHeight w:val="323"/>
        </w:trPr>
        <w:tc>
          <w:tcPr>
            <w:tcW w:w="13050" w:type="dxa"/>
            <w:gridSpan w:val="4"/>
            <w:shd w:val="clear" w:color="auto" w:fill="D9D9D9" w:themeFill="background1" w:themeFillShade="D9"/>
            <w:vAlign w:val="center"/>
          </w:tcPr>
          <w:p w14:paraId="2E320115" w14:textId="77777777" w:rsidR="00481CF8" w:rsidRPr="00547C7F" w:rsidRDefault="00481CF8" w:rsidP="00481CF8">
            <w:pPr>
              <w:tabs>
                <w:tab w:val="left" w:pos="3200"/>
              </w:tabs>
              <w:jc w:val="both"/>
              <w:rPr>
                <w:rFonts w:asciiTheme="majorHAnsi" w:hAnsiTheme="majorHAnsi" w:cs="Arial"/>
                <w:sz w:val="22"/>
                <w:szCs w:val="22"/>
              </w:rPr>
            </w:pPr>
            <w:r w:rsidRPr="00547C7F">
              <w:rPr>
                <w:rFonts w:asciiTheme="majorHAnsi" w:hAnsiTheme="majorHAnsi" w:cs="Arial"/>
                <w:b/>
                <w:sz w:val="22"/>
                <w:szCs w:val="22"/>
              </w:rPr>
              <w:t>OP-710 Operational Policy on Involuntary Resettlement</w:t>
            </w:r>
          </w:p>
        </w:tc>
      </w:tr>
      <w:tr w:rsidR="00481CF8" w:rsidRPr="007C0236" w14:paraId="584D1C0C" w14:textId="77777777" w:rsidTr="0087228B">
        <w:trPr>
          <w:trHeight w:val="323"/>
        </w:trPr>
        <w:tc>
          <w:tcPr>
            <w:tcW w:w="2250" w:type="dxa"/>
            <w:shd w:val="clear" w:color="auto" w:fill="D9D9D9" w:themeFill="background1" w:themeFillShade="D9"/>
            <w:vAlign w:val="center"/>
          </w:tcPr>
          <w:p w14:paraId="3D77E866" w14:textId="77777777" w:rsidR="00481CF8" w:rsidRPr="00547C7F" w:rsidDel="00641735"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Resettlement Minimization</w:t>
            </w:r>
          </w:p>
        </w:tc>
        <w:tc>
          <w:tcPr>
            <w:tcW w:w="2813" w:type="dxa"/>
            <w:vAlign w:val="center"/>
          </w:tcPr>
          <w:p w14:paraId="3C1B59E3" w14:textId="77777777" w:rsidR="00481CF8" w:rsidRPr="00547C7F"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Analysis of alternatives</w:t>
            </w:r>
          </w:p>
        </w:tc>
        <w:tc>
          <w:tcPr>
            <w:tcW w:w="3847" w:type="dxa"/>
            <w:vAlign w:val="center"/>
          </w:tcPr>
          <w:p w14:paraId="00542239" w14:textId="31119512" w:rsidR="00481CF8" w:rsidRPr="00547C7F"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The project performed adjustment to the road alignment to minimize the need for involuntary resettlement</w:t>
            </w:r>
            <w:r w:rsidR="006A0DF2">
              <w:rPr>
                <w:rFonts w:asciiTheme="majorHAnsi" w:eastAsia="Calibri" w:hAnsiTheme="majorHAnsi" w:cs="Arial"/>
                <w:sz w:val="22"/>
                <w:szCs w:val="22"/>
                <w:lang w:eastAsia="it-IT"/>
              </w:rPr>
              <w:t>.</w:t>
            </w:r>
          </w:p>
        </w:tc>
        <w:tc>
          <w:tcPr>
            <w:tcW w:w="4140" w:type="dxa"/>
            <w:vAlign w:val="center"/>
          </w:tcPr>
          <w:p w14:paraId="36B1A67F" w14:textId="77777777" w:rsidR="00481CF8" w:rsidRPr="00547C7F"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N/A</w:t>
            </w:r>
          </w:p>
        </w:tc>
      </w:tr>
      <w:tr w:rsidR="00481CF8" w:rsidRPr="007C0236" w14:paraId="2058F930" w14:textId="77777777" w:rsidTr="0087228B">
        <w:trPr>
          <w:trHeight w:val="323"/>
        </w:trPr>
        <w:tc>
          <w:tcPr>
            <w:tcW w:w="2250" w:type="dxa"/>
            <w:shd w:val="clear" w:color="auto" w:fill="D9D9D9" w:themeFill="background1" w:themeFillShade="D9"/>
            <w:vAlign w:val="center"/>
          </w:tcPr>
          <w:p w14:paraId="2139CC48" w14:textId="77777777" w:rsidR="00481CF8" w:rsidRPr="00547C7F"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 xml:space="preserve">Resettlement Plan Consultations </w:t>
            </w:r>
          </w:p>
        </w:tc>
        <w:tc>
          <w:tcPr>
            <w:tcW w:w="2813" w:type="dxa"/>
            <w:vAlign w:val="center"/>
          </w:tcPr>
          <w:p w14:paraId="415EAA6B" w14:textId="77777777" w:rsidR="00481CF8" w:rsidRPr="00547C7F"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Resettlement consultations</w:t>
            </w:r>
          </w:p>
        </w:tc>
        <w:tc>
          <w:tcPr>
            <w:tcW w:w="3847" w:type="dxa"/>
            <w:vAlign w:val="center"/>
          </w:tcPr>
          <w:p w14:paraId="3B3CD2EB" w14:textId="603CB2AE" w:rsidR="00D914D2"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Consultations with project affected persons currently undergoing and expected to be completed before OPC</w:t>
            </w:r>
            <w:r w:rsidR="006A0DF2">
              <w:rPr>
                <w:rFonts w:asciiTheme="majorHAnsi" w:eastAsia="Calibri" w:hAnsiTheme="majorHAnsi" w:cs="Arial"/>
                <w:sz w:val="22"/>
                <w:szCs w:val="22"/>
                <w:lang w:eastAsia="it-IT"/>
              </w:rPr>
              <w:t>.</w:t>
            </w:r>
          </w:p>
          <w:p w14:paraId="32CB3B99" w14:textId="77777777" w:rsidR="00D914D2" w:rsidRDefault="00D914D2" w:rsidP="00481CF8">
            <w:pPr>
              <w:tabs>
                <w:tab w:val="left" w:pos="3200"/>
              </w:tabs>
              <w:rPr>
                <w:rFonts w:asciiTheme="majorHAnsi" w:eastAsia="Calibri" w:hAnsiTheme="majorHAnsi" w:cs="Arial"/>
                <w:sz w:val="22"/>
                <w:szCs w:val="22"/>
                <w:lang w:eastAsia="it-IT"/>
              </w:rPr>
            </w:pPr>
          </w:p>
          <w:p w14:paraId="67BC908D" w14:textId="1BE5BD85" w:rsidR="00481CF8" w:rsidRPr="00547C7F" w:rsidRDefault="00D914D2"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lastRenderedPageBreak/>
              <w:t xml:space="preserve">Personalized consultations for compensation options </w:t>
            </w:r>
            <w:r>
              <w:rPr>
                <w:rFonts w:asciiTheme="majorHAnsi" w:eastAsia="Calibri" w:hAnsiTheme="majorHAnsi" w:cs="Arial"/>
                <w:sz w:val="22"/>
                <w:szCs w:val="22"/>
                <w:lang w:eastAsia="it-IT"/>
              </w:rPr>
              <w:t>were</w:t>
            </w:r>
            <w:r w:rsidRPr="00547C7F">
              <w:rPr>
                <w:rFonts w:asciiTheme="majorHAnsi" w:eastAsia="Calibri" w:hAnsiTheme="majorHAnsi" w:cs="Arial"/>
                <w:sz w:val="22"/>
                <w:szCs w:val="22"/>
                <w:lang w:eastAsia="it-IT"/>
              </w:rPr>
              <w:t xml:space="preserve"> carried with the affected parties to be resettled on the resettlement compensation measures that each affected party may receive according to their specific circumstances; results </w:t>
            </w:r>
            <w:r>
              <w:rPr>
                <w:rFonts w:asciiTheme="majorHAnsi" w:eastAsia="Calibri" w:hAnsiTheme="majorHAnsi" w:cs="Arial"/>
                <w:sz w:val="22"/>
                <w:szCs w:val="22"/>
                <w:lang w:eastAsia="it-IT"/>
              </w:rPr>
              <w:t>are</w:t>
            </w:r>
            <w:r w:rsidRPr="00547C7F">
              <w:rPr>
                <w:rFonts w:asciiTheme="majorHAnsi" w:eastAsia="Calibri" w:hAnsiTheme="majorHAnsi" w:cs="Arial"/>
                <w:sz w:val="22"/>
                <w:szCs w:val="22"/>
                <w:lang w:eastAsia="it-IT"/>
              </w:rPr>
              <w:t xml:space="preserve"> included in the final version of the Resettlement and Livelihoods Restoration Plan</w:t>
            </w:r>
            <w:r w:rsidR="006A0DF2">
              <w:rPr>
                <w:rFonts w:asciiTheme="majorHAnsi" w:eastAsia="Calibri" w:hAnsiTheme="majorHAnsi" w:cs="Arial"/>
                <w:sz w:val="22"/>
                <w:szCs w:val="22"/>
                <w:lang w:eastAsia="it-IT"/>
              </w:rPr>
              <w:t>.</w:t>
            </w:r>
          </w:p>
        </w:tc>
        <w:tc>
          <w:tcPr>
            <w:tcW w:w="4140" w:type="dxa"/>
            <w:vAlign w:val="center"/>
          </w:tcPr>
          <w:p w14:paraId="48026E94" w14:textId="07B21379" w:rsidR="00481CF8" w:rsidRPr="00547C7F" w:rsidRDefault="00D914D2" w:rsidP="00481CF8">
            <w:pPr>
              <w:tabs>
                <w:tab w:val="left" w:pos="3200"/>
              </w:tabs>
              <w:rPr>
                <w:rFonts w:asciiTheme="majorHAnsi" w:eastAsia="Calibri" w:hAnsiTheme="majorHAnsi" w:cs="Arial"/>
                <w:sz w:val="22"/>
                <w:szCs w:val="22"/>
                <w:lang w:eastAsia="it-IT"/>
              </w:rPr>
            </w:pPr>
            <w:r>
              <w:rPr>
                <w:rFonts w:asciiTheme="majorHAnsi" w:eastAsia="Calibri" w:hAnsiTheme="majorHAnsi" w:cs="Arial"/>
                <w:sz w:val="22"/>
                <w:szCs w:val="22"/>
                <w:lang w:eastAsia="it-IT"/>
              </w:rPr>
              <w:lastRenderedPageBreak/>
              <w:t>Additional dialog with the affected parties on the implementation of the resettlement and compensation measures, as needed</w:t>
            </w:r>
            <w:r w:rsidR="006A0DF2">
              <w:rPr>
                <w:rFonts w:asciiTheme="majorHAnsi" w:eastAsia="Calibri" w:hAnsiTheme="majorHAnsi" w:cs="Arial"/>
                <w:sz w:val="22"/>
                <w:szCs w:val="22"/>
                <w:lang w:eastAsia="it-IT"/>
              </w:rPr>
              <w:t>.</w:t>
            </w:r>
          </w:p>
        </w:tc>
      </w:tr>
      <w:tr w:rsidR="00481CF8" w:rsidRPr="007C0236" w14:paraId="34C52606" w14:textId="77777777" w:rsidTr="0087228B">
        <w:trPr>
          <w:trHeight w:val="323"/>
        </w:trPr>
        <w:tc>
          <w:tcPr>
            <w:tcW w:w="2250" w:type="dxa"/>
            <w:shd w:val="clear" w:color="auto" w:fill="D9D9D9" w:themeFill="background1" w:themeFillShade="D9"/>
            <w:vAlign w:val="center"/>
          </w:tcPr>
          <w:p w14:paraId="105C5C9D" w14:textId="77777777" w:rsidR="00481CF8" w:rsidRPr="00547C7F" w:rsidDel="00641735"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 xml:space="preserve">Impoverishment Risk Analysis </w:t>
            </w:r>
          </w:p>
        </w:tc>
        <w:tc>
          <w:tcPr>
            <w:tcW w:w="2813" w:type="dxa"/>
            <w:vAlign w:val="center"/>
          </w:tcPr>
          <w:p w14:paraId="4259B306" w14:textId="77777777" w:rsidR="00481CF8" w:rsidRPr="00547C7F"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Risk of impoverishment</w:t>
            </w:r>
          </w:p>
        </w:tc>
        <w:tc>
          <w:tcPr>
            <w:tcW w:w="3847" w:type="dxa"/>
            <w:vAlign w:val="center"/>
          </w:tcPr>
          <w:p w14:paraId="0635CBAB" w14:textId="77777777" w:rsidR="00481CF8" w:rsidRPr="00547C7F"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 xml:space="preserve">Requirement of OP-710 </w:t>
            </w:r>
          </w:p>
        </w:tc>
        <w:tc>
          <w:tcPr>
            <w:tcW w:w="4140" w:type="dxa"/>
            <w:vAlign w:val="center"/>
          </w:tcPr>
          <w:p w14:paraId="58D31478" w14:textId="58557272" w:rsidR="00481CF8" w:rsidRPr="00547C7F"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Included as part of the Resettlement and Livelihoods Restoration Plan</w:t>
            </w:r>
            <w:r w:rsidR="006A0DF2">
              <w:rPr>
                <w:rFonts w:asciiTheme="majorHAnsi" w:eastAsia="Calibri" w:hAnsiTheme="majorHAnsi" w:cs="Arial"/>
                <w:sz w:val="22"/>
                <w:szCs w:val="22"/>
                <w:lang w:eastAsia="it-IT"/>
              </w:rPr>
              <w:t>.</w:t>
            </w:r>
          </w:p>
        </w:tc>
      </w:tr>
      <w:tr w:rsidR="00481CF8" w:rsidRPr="007C0236" w14:paraId="720FED0C" w14:textId="77777777" w:rsidTr="0087228B">
        <w:trPr>
          <w:trHeight w:val="323"/>
        </w:trPr>
        <w:tc>
          <w:tcPr>
            <w:tcW w:w="2250" w:type="dxa"/>
            <w:shd w:val="clear" w:color="auto" w:fill="D9D9D9" w:themeFill="background1" w:themeFillShade="D9"/>
            <w:vAlign w:val="center"/>
          </w:tcPr>
          <w:p w14:paraId="0A507346" w14:textId="77777777" w:rsidR="00481CF8" w:rsidRPr="00547C7F" w:rsidDel="00641735"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Resettlement Plan and/or Resettlement Framework Requirement</w:t>
            </w:r>
          </w:p>
        </w:tc>
        <w:tc>
          <w:tcPr>
            <w:tcW w:w="2813" w:type="dxa"/>
            <w:vAlign w:val="center"/>
          </w:tcPr>
          <w:p w14:paraId="4B62F5A8" w14:textId="77777777" w:rsidR="00481CF8" w:rsidRPr="00547C7F"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Resettlement plan</w:t>
            </w:r>
          </w:p>
        </w:tc>
        <w:tc>
          <w:tcPr>
            <w:tcW w:w="3847" w:type="dxa"/>
            <w:vAlign w:val="center"/>
          </w:tcPr>
          <w:p w14:paraId="2E7714D6" w14:textId="77777777" w:rsidR="00481CF8" w:rsidRPr="00547C7F"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Requirement of OP-710</w:t>
            </w:r>
          </w:p>
        </w:tc>
        <w:tc>
          <w:tcPr>
            <w:tcW w:w="4140" w:type="dxa"/>
            <w:vAlign w:val="center"/>
          </w:tcPr>
          <w:p w14:paraId="29671150" w14:textId="638E75A6" w:rsidR="00481CF8" w:rsidRPr="00547C7F"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Included as part of the Resettlement and Livelihoods Restoration Plan</w:t>
            </w:r>
            <w:r w:rsidR="006A0DF2">
              <w:rPr>
                <w:rFonts w:asciiTheme="majorHAnsi" w:eastAsia="Calibri" w:hAnsiTheme="majorHAnsi" w:cs="Arial"/>
                <w:sz w:val="22"/>
                <w:szCs w:val="22"/>
                <w:lang w:eastAsia="it-IT"/>
              </w:rPr>
              <w:t>.</w:t>
            </w:r>
          </w:p>
        </w:tc>
      </w:tr>
      <w:tr w:rsidR="00481CF8" w:rsidRPr="007C0236" w14:paraId="4885CF99" w14:textId="77777777" w:rsidTr="0087228B">
        <w:trPr>
          <w:trHeight w:val="323"/>
        </w:trPr>
        <w:tc>
          <w:tcPr>
            <w:tcW w:w="2250" w:type="dxa"/>
            <w:shd w:val="clear" w:color="auto" w:fill="D9D9D9" w:themeFill="background1" w:themeFillShade="D9"/>
            <w:vAlign w:val="center"/>
          </w:tcPr>
          <w:p w14:paraId="6805CE08" w14:textId="77777777" w:rsidR="00481CF8" w:rsidRPr="00547C7F" w:rsidDel="00641735"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 xml:space="preserve">Livelihood Restoration Program Requirement </w:t>
            </w:r>
          </w:p>
        </w:tc>
        <w:tc>
          <w:tcPr>
            <w:tcW w:w="2813" w:type="dxa"/>
            <w:vAlign w:val="center"/>
          </w:tcPr>
          <w:p w14:paraId="41BDFFAB" w14:textId="77777777" w:rsidR="00481CF8" w:rsidRPr="00547C7F"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Livelihood Restoration plan</w:t>
            </w:r>
          </w:p>
        </w:tc>
        <w:tc>
          <w:tcPr>
            <w:tcW w:w="3847" w:type="dxa"/>
            <w:vAlign w:val="center"/>
          </w:tcPr>
          <w:p w14:paraId="31061924" w14:textId="77777777" w:rsidR="00481CF8" w:rsidRPr="00547C7F"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Requirement of OP-703</w:t>
            </w:r>
          </w:p>
        </w:tc>
        <w:tc>
          <w:tcPr>
            <w:tcW w:w="4140" w:type="dxa"/>
            <w:vAlign w:val="center"/>
          </w:tcPr>
          <w:p w14:paraId="51FF41A2" w14:textId="7AA175EF" w:rsidR="00481CF8" w:rsidRPr="00547C7F"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Included as part of the Resettlement and Livelihoods Restoration Plan</w:t>
            </w:r>
            <w:r w:rsidR="006A0DF2">
              <w:rPr>
                <w:rFonts w:asciiTheme="majorHAnsi" w:eastAsia="Calibri" w:hAnsiTheme="majorHAnsi" w:cs="Arial"/>
                <w:sz w:val="22"/>
                <w:szCs w:val="22"/>
                <w:lang w:eastAsia="it-IT"/>
              </w:rPr>
              <w:t>.</w:t>
            </w:r>
          </w:p>
        </w:tc>
      </w:tr>
      <w:tr w:rsidR="00481CF8" w:rsidRPr="007C0236" w14:paraId="2F43E474" w14:textId="77777777" w:rsidTr="0087228B">
        <w:trPr>
          <w:trHeight w:val="323"/>
        </w:trPr>
        <w:tc>
          <w:tcPr>
            <w:tcW w:w="2250" w:type="dxa"/>
            <w:shd w:val="clear" w:color="auto" w:fill="D9D9D9" w:themeFill="background1" w:themeFillShade="D9"/>
            <w:vAlign w:val="center"/>
          </w:tcPr>
          <w:p w14:paraId="507A0210" w14:textId="77777777" w:rsidR="00481CF8" w:rsidRPr="00547C7F" w:rsidDel="00641735"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Consent (Indigenous Peoples and other Rural Ethnic Minorities)</w:t>
            </w:r>
          </w:p>
        </w:tc>
        <w:tc>
          <w:tcPr>
            <w:tcW w:w="2813" w:type="dxa"/>
            <w:vAlign w:val="center"/>
          </w:tcPr>
          <w:p w14:paraId="73AE05B6" w14:textId="77777777" w:rsidR="00481CF8" w:rsidRPr="00547C7F"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 xml:space="preserve">Indigenous </w:t>
            </w:r>
            <w:proofErr w:type="gramStart"/>
            <w:r w:rsidRPr="00547C7F">
              <w:rPr>
                <w:rFonts w:asciiTheme="majorHAnsi" w:eastAsia="Calibri" w:hAnsiTheme="majorHAnsi" w:cs="Arial"/>
                <w:sz w:val="22"/>
                <w:szCs w:val="22"/>
                <w:lang w:eastAsia="it-IT"/>
              </w:rPr>
              <w:t>peoples</w:t>
            </w:r>
            <w:proofErr w:type="gramEnd"/>
            <w:r w:rsidRPr="00547C7F">
              <w:rPr>
                <w:rFonts w:asciiTheme="majorHAnsi" w:eastAsia="Calibri" w:hAnsiTheme="majorHAnsi" w:cs="Arial"/>
                <w:sz w:val="22"/>
                <w:szCs w:val="22"/>
                <w:lang w:eastAsia="it-IT"/>
              </w:rPr>
              <w:t xml:space="preserve"> consent</w:t>
            </w:r>
          </w:p>
        </w:tc>
        <w:tc>
          <w:tcPr>
            <w:tcW w:w="3847" w:type="dxa"/>
            <w:vAlign w:val="center"/>
          </w:tcPr>
          <w:p w14:paraId="761E1884" w14:textId="54FBC6B5" w:rsidR="00481CF8" w:rsidRPr="00547C7F"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 xml:space="preserve">No indigenous peoples identified among the resettled population, as confirmed by the </w:t>
            </w:r>
            <w:r w:rsidRPr="00547C7F">
              <w:rPr>
                <w:rFonts w:asciiTheme="majorHAnsi" w:eastAsia="Calibri" w:hAnsiTheme="majorHAnsi" w:cs="Arial"/>
                <w:noProof/>
                <w:sz w:val="22"/>
                <w:szCs w:val="22"/>
                <w:lang w:eastAsia="it-IT"/>
              </w:rPr>
              <w:t>Socio Cultural Analysis</w:t>
            </w:r>
            <w:r w:rsidR="006A0DF2">
              <w:rPr>
                <w:rFonts w:asciiTheme="majorHAnsi" w:eastAsia="Calibri" w:hAnsiTheme="majorHAnsi" w:cs="Arial"/>
                <w:noProof/>
                <w:sz w:val="22"/>
                <w:szCs w:val="22"/>
                <w:lang w:eastAsia="it-IT"/>
              </w:rPr>
              <w:t>.</w:t>
            </w:r>
          </w:p>
        </w:tc>
        <w:tc>
          <w:tcPr>
            <w:tcW w:w="4140" w:type="dxa"/>
            <w:vAlign w:val="center"/>
          </w:tcPr>
          <w:p w14:paraId="7B9F7477" w14:textId="77777777" w:rsidR="00481CF8" w:rsidRPr="00547C7F"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N/A</w:t>
            </w:r>
          </w:p>
        </w:tc>
      </w:tr>
      <w:tr w:rsidR="00481CF8" w:rsidRPr="007C0236" w14:paraId="492A6683" w14:textId="77777777" w:rsidTr="0087228B">
        <w:trPr>
          <w:trHeight w:val="323"/>
        </w:trPr>
        <w:tc>
          <w:tcPr>
            <w:tcW w:w="13050" w:type="dxa"/>
            <w:gridSpan w:val="4"/>
            <w:shd w:val="clear" w:color="auto" w:fill="D9D9D9" w:themeFill="background1" w:themeFillShade="D9"/>
            <w:vAlign w:val="center"/>
          </w:tcPr>
          <w:p w14:paraId="5AA00D48" w14:textId="77777777" w:rsidR="00481CF8" w:rsidRPr="00547C7F" w:rsidRDefault="00481CF8" w:rsidP="00481CF8">
            <w:pPr>
              <w:tabs>
                <w:tab w:val="left" w:pos="3200"/>
              </w:tabs>
              <w:jc w:val="both"/>
              <w:rPr>
                <w:rFonts w:asciiTheme="majorHAnsi" w:hAnsiTheme="majorHAnsi" w:cs="Arial"/>
                <w:sz w:val="22"/>
                <w:szCs w:val="22"/>
              </w:rPr>
            </w:pPr>
            <w:r w:rsidRPr="00547C7F">
              <w:rPr>
                <w:rFonts w:asciiTheme="majorHAnsi" w:hAnsiTheme="majorHAnsi" w:cs="Arial"/>
                <w:b/>
                <w:sz w:val="22"/>
                <w:szCs w:val="22"/>
              </w:rPr>
              <w:t>OP-765 Operational Policy on Indigenous Peoples</w:t>
            </w:r>
          </w:p>
        </w:tc>
      </w:tr>
      <w:tr w:rsidR="00481CF8" w:rsidRPr="007C0236" w14:paraId="00634890" w14:textId="77777777" w:rsidTr="0087228B">
        <w:trPr>
          <w:trHeight w:val="323"/>
        </w:trPr>
        <w:tc>
          <w:tcPr>
            <w:tcW w:w="2250" w:type="dxa"/>
            <w:shd w:val="clear" w:color="auto" w:fill="D9D9D9" w:themeFill="background1" w:themeFillShade="D9"/>
            <w:vAlign w:val="center"/>
          </w:tcPr>
          <w:p w14:paraId="7AAB83E2" w14:textId="77777777" w:rsidR="00481CF8" w:rsidRPr="00547C7F" w:rsidDel="00641735"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 xml:space="preserve">Sociocultural Evaluation Requirement  </w:t>
            </w:r>
          </w:p>
        </w:tc>
        <w:tc>
          <w:tcPr>
            <w:tcW w:w="2813" w:type="dxa"/>
            <w:vAlign w:val="center"/>
          </w:tcPr>
          <w:p w14:paraId="20EF5C35" w14:textId="77777777" w:rsidR="00481CF8" w:rsidRPr="00547C7F"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noProof/>
                <w:sz w:val="22"/>
                <w:szCs w:val="22"/>
                <w:lang w:eastAsia="it-IT"/>
              </w:rPr>
              <w:t>Sociocultural</w:t>
            </w:r>
            <w:r w:rsidRPr="00547C7F">
              <w:rPr>
                <w:rFonts w:asciiTheme="majorHAnsi" w:eastAsia="Calibri" w:hAnsiTheme="majorHAnsi" w:cs="Arial"/>
                <w:sz w:val="22"/>
                <w:szCs w:val="22"/>
                <w:lang w:eastAsia="it-IT"/>
              </w:rPr>
              <w:t xml:space="preserve"> analysis of Maya and Garifuna population potentially present in the area</w:t>
            </w:r>
          </w:p>
        </w:tc>
        <w:tc>
          <w:tcPr>
            <w:tcW w:w="3847" w:type="dxa"/>
            <w:vAlign w:val="center"/>
          </w:tcPr>
          <w:p w14:paraId="14EC8233" w14:textId="1A71D24C" w:rsidR="00481CF8" w:rsidRPr="00547C7F"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rPr>
              <w:t xml:space="preserve">A </w:t>
            </w:r>
            <w:r w:rsidRPr="00547C7F">
              <w:rPr>
                <w:rFonts w:asciiTheme="majorHAnsi" w:eastAsia="Calibri" w:hAnsiTheme="majorHAnsi" w:cs="Arial"/>
                <w:noProof/>
                <w:sz w:val="22"/>
                <w:szCs w:val="22"/>
              </w:rPr>
              <w:t>Socio Cultural Analysis</w:t>
            </w:r>
            <w:r w:rsidRPr="00547C7F">
              <w:rPr>
                <w:rFonts w:asciiTheme="majorHAnsi" w:eastAsia="Calibri" w:hAnsiTheme="majorHAnsi" w:cs="Arial"/>
                <w:sz w:val="22"/>
                <w:szCs w:val="22"/>
              </w:rPr>
              <w:t xml:space="preserve"> was prepared and included as part of the Addendum to ESIA, indicating that no indigenous peoples or Garifuna populations are present </w:t>
            </w:r>
            <w:proofErr w:type="gramStart"/>
            <w:r w:rsidRPr="00547C7F">
              <w:rPr>
                <w:rFonts w:asciiTheme="majorHAnsi" w:eastAsia="Calibri" w:hAnsiTheme="majorHAnsi" w:cs="Arial"/>
                <w:sz w:val="22"/>
                <w:szCs w:val="22"/>
              </w:rPr>
              <w:t>in the area of</w:t>
            </w:r>
            <w:proofErr w:type="gramEnd"/>
            <w:r w:rsidRPr="00547C7F">
              <w:rPr>
                <w:rFonts w:asciiTheme="majorHAnsi" w:eastAsia="Calibri" w:hAnsiTheme="majorHAnsi" w:cs="Arial"/>
                <w:sz w:val="22"/>
                <w:szCs w:val="22"/>
              </w:rPr>
              <w:t xml:space="preserve"> the project</w:t>
            </w:r>
            <w:r w:rsidR="006A0DF2">
              <w:rPr>
                <w:rFonts w:asciiTheme="majorHAnsi" w:eastAsia="Calibri" w:hAnsiTheme="majorHAnsi" w:cs="Arial"/>
                <w:sz w:val="22"/>
                <w:szCs w:val="22"/>
              </w:rPr>
              <w:t>.</w:t>
            </w:r>
          </w:p>
        </w:tc>
        <w:tc>
          <w:tcPr>
            <w:tcW w:w="4140" w:type="dxa"/>
            <w:vAlign w:val="center"/>
          </w:tcPr>
          <w:p w14:paraId="504BA0C3" w14:textId="77777777" w:rsidR="00481CF8" w:rsidRPr="00547C7F"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N/A</w:t>
            </w:r>
          </w:p>
        </w:tc>
      </w:tr>
      <w:tr w:rsidR="00481CF8" w:rsidRPr="007C0236" w14:paraId="6A67CDAB" w14:textId="77777777" w:rsidTr="0087228B">
        <w:trPr>
          <w:trHeight w:val="323"/>
        </w:trPr>
        <w:tc>
          <w:tcPr>
            <w:tcW w:w="2250" w:type="dxa"/>
            <w:shd w:val="clear" w:color="auto" w:fill="D9D9D9" w:themeFill="background1" w:themeFillShade="D9"/>
            <w:vAlign w:val="center"/>
          </w:tcPr>
          <w:p w14:paraId="7BE3691E" w14:textId="77777777" w:rsidR="00481CF8" w:rsidRPr="00547C7F" w:rsidDel="00641735"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Good-faith Negotiations and proper documentation</w:t>
            </w:r>
          </w:p>
        </w:tc>
        <w:tc>
          <w:tcPr>
            <w:tcW w:w="2813" w:type="dxa"/>
            <w:vAlign w:val="center"/>
          </w:tcPr>
          <w:p w14:paraId="5E449591" w14:textId="77777777" w:rsidR="00481CF8" w:rsidRPr="00547C7F"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N/A</w:t>
            </w:r>
          </w:p>
        </w:tc>
        <w:tc>
          <w:tcPr>
            <w:tcW w:w="3847" w:type="dxa"/>
            <w:vAlign w:val="center"/>
          </w:tcPr>
          <w:p w14:paraId="082AB2AC" w14:textId="1C4F04FA" w:rsidR="00481CF8" w:rsidRPr="00547C7F"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 xml:space="preserve">No adverse impacts on indigenous peoples were identified in the </w:t>
            </w:r>
            <w:r w:rsidRPr="00547C7F">
              <w:rPr>
                <w:rFonts w:asciiTheme="majorHAnsi" w:eastAsia="Calibri" w:hAnsiTheme="majorHAnsi" w:cs="Arial"/>
                <w:noProof/>
                <w:sz w:val="22"/>
                <w:szCs w:val="22"/>
                <w:lang w:eastAsia="it-IT"/>
              </w:rPr>
              <w:t>Socio Cultural Analysis</w:t>
            </w:r>
            <w:r w:rsidR="006A0DF2">
              <w:rPr>
                <w:rFonts w:asciiTheme="majorHAnsi" w:eastAsia="Calibri" w:hAnsiTheme="majorHAnsi" w:cs="Arial"/>
                <w:noProof/>
                <w:sz w:val="22"/>
                <w:szCs w:val="22"/>
                <w:lang w:eastAsia="it-IT"/>
              </w:rPr>
              <w:t>.</w:t>
            </w:r>
          </w:p>
        </w:tc>
        <w:tc>
          <w:tcPr>
            <w:tcW w:w="4140" w:type="dxa"/>
            <w:vAlign w:val="center"/>
          </w:tcPr>
          <w:p w14:paraId="69151F8A" w14:textId="77777777" w:rsidR="00481CF8" w:rsidRPr="00547C7F"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N/A</w:t>
            </w:r>
          </w:p>
        </w:tc>
      </w:tr>
      <w:tr w:rsidR="00481CF8" w:rsidRPr="007C0236" w14:paraId="7521223A" w14:textId="77777777" w:rsidTr="0087228B">
        <w:trPr>
          <w:trHeight w:val="323"/>
        </w:trPr>
        <w:tc>
          <w:tcPr>
            <w:tcW w:w="2250" w:type="dxa"/>
            <w:shd w:val="clear" w:color="auto" w:fill="D9D9D9" w:themeFill="background1" w:themeFillShade="D9"/>
            <w:vAlign w:val="center"/>
          </w:tcPr>
          <w:p w14:paraId="2B49FF7A" w14:textId="77777777" w:rsidR="00481CF8" w:rsidRPr="00547C7F" w:rsidDel="00641735"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lastRenderedPageBreak/>
              <w:t>Agreement with Affected Indigenous Peoples</w:t>
            </w:r>
          </w:p>
        </w:tc>
        <w:tc>
          <w:tcPr>
            <w:tcW w:w="2813" w:type="dxa"/>
            <w:vAlign w:val="center"/>
          </w:tcPr>
          <w:p w14:paraId="50DAA371" w14:textId="77777777" w:rsidR="00481CF8" w:rsidRPr="00547C7F"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N/A</w:t>
            </w:r>
          </w:p>
        </w:tc>
        <w:tc>
          <w:tcPr>
            <w:tcW w:w="3847" w:type="dxa"/>
            <w:vAlign w:val="center"/>
          </w:tcPr>
          <w:p w14:paraId="6EBD01C3" w14:textId="12C7A268" w:rsidR="00481CF8" w:rsidRPr="00547C7F"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 xml:space="preserve">No adverse impacts on indigenous peoples were identified in the </w:t>
            </w:r>
            <w:r w:rsidRPr="00547C7F">
              <w:rPr>
                <w:rFonts w:asciiTheme="majorHAnsi" w:eastAsia="Calibri" w:hAnsiTheme="majorHAnsi" w:cs="Arial"/>
                <w:noProof/>
                <w:sz w:val="22"/>
                <w:szCs w:val="22"/>
                <w:lang w:eastAsia="it-IT"/>
              </w:rPr>
              <w:t>Socio Cultural Analysis</w:t>
            </w:r>
            <w:r w:rsidR="006A0DF2">
              <w:rPr>
                <w:rFonts w:asciiTheme="majorHAnsi" w:eastAsia="Calibri" w:hAnsiTheme="majorHAnsi" w:cs="Arial"/>
                <w:noProof/>
                <w:sz w:val="22"/>
                <w:szCs w:val="22"/>
                <w:lang w:eastAsia="it-IT"/>
              </w:rPr>
              <w:t>.</w:t>
            </w:r>
          </w:p>
        </w:tc>
        <w:tc>
          <w:tcPr>
            <w:tcW w:w="4140" w:type="dxa"/>
            <w:vAlign w:val="center"/>
          </w:tcPr>
          <w:p w14:paraId="63F97C44" w14:textId="77777777" w:rsidR="00481CF8" w:rsidRPr="00547C7F" w:rsidRDefault="00481CF8" w:rsidP="00481CF8">
            <w:pPr>
              <w:tabs>
                <w:tab w:val="left" w:pos="3200"/>
              </w:tabs>
              <w:rPr>
                <w:rFonts w:asciiTheme="majorHAnsi" w:eastAsia="Calibri" w:hAnsiTheme="majorHAnsi" w:cs="Arial"/>
                <w:sz w:val="22"/>
                <w:szCs w:val="22"/>
                <w:lang w:eastAsia="it-IT"/>
              </w:rPr>
            </w:pPr>
          </w:p>
        </w:tc>
      </w:tr>
      <w:tr w:rsidR="00481CF8" w:rsidRPr="007C0236" w14:paraId="5BF50D3D" w14:textId="77777777" w:rsidTr="0087228B">
        <w:trPr>
          <w:trHeight w:val="323"/>
        </w:trPr>
        <w:tc>
          <w:tcPr>
            <w:tcW w:w="2250" w:type="dxa"/>
            <w:shd w:val="clear" w:color="auto" w:fill="D9D9D9" w:themeFill="background1" w:themeFillShade="D9"/>
            <w:vAlign w:val="center"/>
          </w:tcPr>
          <w:p w14:paraId="132B0FFF" w14:textId="77777777" w:rsidR="00481CF8" w:rsidRPr="00547C7F" w:rsidDel="00641735"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Indigenous Peoples Compensation, and Development Plan or Framework requirement</w:t>
            </w:r>
          </w:p>
        </w:tc>
        <w:tc>
          <w:tcPr>
            <w:tcW w:w="2813" w:type="dxa"/>
            <w:vAlign w:val="center"/>
          </w:tcPr>
          <w:p w14:paraId="7611661A" w14:textId="77777777" w:rsidR="00481CF8" w:rsidRPr="00547C7F"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 xml:space="preserve">Mitigation measures as part of the </w:t>
            </w:r>
            <w:r w:rsidRPr="00547C7F">
              <w:rPr>
                <w:rFonts w:asciiTheme="majorHAnsi" w:eastAsia="Calibri" w:hAnsiTheme="majorHAnsi" w:cs="Arial"/>
                <w:noProof/>
                <w:sz w:val="22"/>
                <w:szCs w:val="22"/>
                <w:lang w:eastAsia="it-IT"/>
              </w:rPr>
              <w:t>Socio Cultural Analysis</w:t>
            </w:r>
          </w:p>
        </w:tc>
        <w:tc>
          <w:tcPr>
            <w:tcW w:w="3847" w:type="dxa"/>
            <w:vAlign w:val="center"/>
          </w:tcPr>
          <w:p w14:paraId="1486E3B1" w14:textId="3CBFC578" w:rsidR="00481CF8" w:rsidRPr="00547C7F"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 xml:space="preserve">No adverse impacts on indigenous peoples were identified in the </w:t>
            </w:r>
            <w:r w:rsidRPr="00547C7F">
              <w:rPr>
                <w:rFonts w:asciiTheme="majorHAnsi" w:eastAsia="Calibri" w:hAnsiTheme="majorHAnsi" w:cs="Arial"/>
                <w:noProof/>
                <w:sz w:val="22"/>
                <w:szCs w:val="22"/>
                <w:lang w:eastAsia="it-IT"/>
              </w:rPr>
              <w:t>Socio Cultural Analysis</w:t>
            </w:r>
            <w:r w:rsidR="006A0DF2">
              <w:rPr>
                <w:rFonts w:asciiTheme="majorHAnsi" w:eastAsia="Calibri" w:hAnsiTheme="majorHAnsi" w:cs="Arial"/>
                <w:noProof/>
                <w:sz w:val="22"/>
                <w:szCs w:val="22"/>
                <w:lang w:eastAsia="it-IT"/>
              </w:rPr>
              <w:t>.</w:t>
            </w:r>
          </w:p>
        </w:tc>
        <w:tc>
          <w:tcPr>
            <w:tcW w:w="4140" w:type="dxa"/>
            <w:vAlign w:val="center"/>
          </w:tcPr>
          <w:p w14:paraId="15D9B4AD" w14:textId="77777777" w:rsidR="00481CF8" w:rsidRPr="00547C7F"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N/A</w:t>
            </w:r>
          </w:p>
        </w:tc>
      </w:tr>
      <w:tr w:rsidR="00481CF8" w:rsidRPr="007C0236" w14:paraId="195103B7" w14:textId="77777777" w:rsidTr="0087228B">
        <w:trPr>
          <w:trHeight w:val="323"/>
        </w:trPr>
        <w:tc>
          <w:tcPr>
            <w:tcW w:w="2250" w:type="dxa"/>
            <w:shd w:val="clear" w:color="auto" w:fill="D9D9D9" w:themeFill="background1" w:themeFillShade="D9"/>
            <w:vAlign w:val="center"/>
          </w:tcPr>
          <w:p w14:paraId="6309C66F" w14:textId="77777777" w:rsidR="00481CF8" w:rsidRPr="00547C7F"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 xml:space="preserve">Discrimination Issues </w:t>
            </w:r>
          </w:p>
        </w:tc>
        <w:tc>
          <w:tcPr>
            <w:tcW w:w="2813" w:type="dxa"/>
            <w:vAlign w:val="center"/>
          </w:tcPr>
          <w:p w14:paraId="090E7209" w14:textId="77777777" w:rsidR="00481CF8" w:rsidRPr="00547C7F"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Discrimination of Maya or Garifuna population</w:t>
            </w:r>
          </w:p>
        </w:tc>
        <w:tc>
          <w:tcPr>
            <w:tcW w:w="3847" w:type="dxa"/>
            <w:vAlign w:val="center"/>
          </w:tcPr>
          <w:p w14:paraId="0A39715B" w14:textId="2D9FAF36" w:rsidR="00481CF8" w:rsidRPr="00547C7F"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Not identified as part of the social studies</w:t>
            </w:r>
            <w:r w:rsidR="006A0DF2">
              <w:rPr>
                <w:rFonts w:asciiTheme="majorHAnsi" w:eastAsia="Calibri" w:hAnsiTheme="majorHAnsi" w:cs="Arial"/>
                <w:sz w:val="22"/>
                <w:szCs w:val="22"/>
                <w:lang w:eastAsia="it-IT"/>
              </w:rPr>
              <w:t>.</w:t>
            </w:r>
          </w:p>
        </w:tc>
        <w:tc>
          <w:tcPr>
            <w:tcW w:w="4140" w:type="dxa"/>
            <w:vAlign w:val="center"/>
          </w:tcPr>
          <w:p w14:paraId="58BE585E" w14:textId="77777777" w:rsidR="00481CF8" w:rsidRPr="00547C7F"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N/A</w:t>
            </w:r>
          </w:p>
        </w:tc>
      </w:tr>
      <w:tr w:rsidR="00481CF8" w:rsidRPr="007C0236" w14:paraId="4663399C" w14:textId="77777777" w:rsidTr="0087228B">
        <w:trPr>
          <w:trHeight w:val="323"/>
        </w:trPr>
        <w:tc>
          <w:tcPr>
            <w:tcW w:w="2250" w:type="dxa"/>
            <w:shd w:val="clear" w:color="auto" w:fill="D9D9D9" w:themeFill="background1" w:themeFillShade="D9"/>
            <w:vAlign w:val="center"/>
          </w:tcPr>
          <w:p w14:paraId="540836BB" w14:textId="77777777" w:rsidR="00481CF8" w:rsidRPr="00547C7F"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 xml:space="preserve">Transborder Impacts </w:t>
            </w:r>
          </w:p>
        </w:tc>
        <w:tc>
          <w:tcPr>
            <w:tcW w:w="2813" w:type="dxa"/>
            <w:vAlign w:val="center"/>
          </w:tcPr>
          <w:p w14:paraId="5A288710" w14:textId="77777777" w:rsidR="00481CF8" w:rsidRPr="00547C7F"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Potential transborder socioeconomic impacts</w:t>
            </w:r>
          </w:p>
        </w:tc>
        <w:tc>
          <w:tcPr>
            <w:tcW w:w="3847" w:type="dxa"/>
            <w:vAlign w:val="center"/>
          </w:tcPr>
          <w:p w14:paraId="5FD25690" w14:textId="394814E8" w:rsidR="00481CF8" w:rsidRPr="00547C7F"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 xml:space="preserve">Not identified as part of the </w:t>
            </w:r>
            <w:r w:rsidRPr="00547C7F">
              <w:rPr>
                <w:rFonts w:asciiTheme="majorHAnsi" w:eastAsia="Calibri" w:hAnsiTheme="majorHAnsi" w:cs="Arial"/>
                <w:noProof/>
                <w:sz w:val="22"/>
                <w:szCs w:val="22"/>
                <w:lang w:eastAsia="it-IT"/>
              </w:rPr>
              <w:t>socioenvironmental</w:t>
            </w:r>
            <w:r w:rsidRPr="00547C7F">
              <w:rPr>
                <w:rFonts w:asciiTheme="majorHAnsi" w:eastAsia="Calibri" w:hAnsiTheme="majorHAnsi" w:cs="Arial"/>
                <w:sz w:val="22"/>
                <w:szCs w:val="22"/>
                <w:lang w:eastAsia="it-IT"/>
              </w:rPr>
              <w:t xml:space="preserve"> studies</w:t>
            </w:r>
            <w:r w:rsidR="006A0DF2">
              <w:rPr>
                <w:rFonts w:asciiTheme="majorHAnsi" w:eastAsia="Calibri" w:hAnsiTheme="majorHAnsi" w:cs="Arial"/>
                <w:sz w:val="22"/>
                <w:szCs w:val="22"/>
                <w:lang w:eastAsia="it-IT"/>
              </w:rPr>
              <w:t>.</w:t>
            </w:r>
          </w:p>
        </w:tc>
        <w:tc>
          <w:tcPr>
            <w:tcW w:w="4140" w:type="dxa"/>
            <w:vAlign w:val="center"/>
          </w:tcPr>
          <w:p w14:paraId="234FC5C7" w14:textId="77777777" w:rsidR="00481CF8" w:rsidRPr="00547C7F"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N/A</w:t>
            </w:r>
          </w:p>
        </w:tc>
      </w:tr>
      <w:tr w:rsidR="00481CF8" w:rsidRPr="007C0236" w14:paraId="4C763CE1" w14:textId="77777777" w:rsidTr="0087228B">
        <w:trPr>
          <w:trHeight w:val="323"/>
        </w:trPr>
        <w:tc>
          <w:tcPr>
            <w:tcW w:w="2250" w:type="dxa"/>
            <w:shd w:val="clear" w:color="auto" w:fill="D9D9D9" w:themeFill="background1" w:themeFillShade="D9"/>
            <w:vAlign w:val="center"/>
          </w:tcPr>
          <w:p w14:paraId="67A5F91A" w14:textId="77777777" w:rsidR="00481CF8" w:rsidRPr="00547C7F"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 xml:space="preserve">Impacts on Isolated Indigenous Peoples </w:t>
            </w:r>
          </w:p>
        </w:tc>
        <w:tc>
          <w:tcPr>
            <w:tcW w:w="2813" w:type="dxa"/>
            <w:vAlign w:val="center"/>
          </w:tcPr>
          <w:p w14:paraId="655235B5" w14:textId="77777777" w:rsidR="00481CF8" w:rsidRPr="00547C7F"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N/A</w:t>
            </w:r>
          </w:p>
        </w:tc>
        <w:tc>
          <w:tcPr>
            <w:tcW w:w="3847" w:type="dxa"/>
            <w:vAlign w:val="center"/>
          </w:tcPr>
          <w:p w14:paraId="1DE343BD" w14:textId="77777777" w:rsidR="00481CF8" w:rsidRPr="00547C7F"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N/A</w:t>
            </w:r>
          </w:p>
        </w:tc>
        <w:tc>
          <w:tcPr>
            <w:tcW w:w="4140" w:type="dxa"/>
            <w:vAlign w:val="center"/>
          </w:tcPr>
          <w:p w14:paraId="32AA5B1D" w14:textId="77777777" w:rsidR="00481CF8" w:rsidRPr="00547C7F"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N/A</w:t>
            </w:r>
          </w:p>
        </w:tc>
      </w:tr>
      <w:tr w:rsidR="00481CF8" w:rsidRPr="007C0236" w14:paraId="7B10EFCE" w14:textId="77777777" w:rsidTr="0087228B">
        <w:trPr>
          <w:trHeight w:val="323"/>
        </w:trPr>
        <w:tc>
          <w:tcPr>
            <w:tcW w:w="13050" w:type="dxa"/>
            <w:gridSpan w:val="4"/>
            <w:shd w:val="clear" w:color="auto" w:fill="D9D9D9" w:themeFill="background1" w:themeFillShade="D9"/>
            <w:vAlign w:val="center"/>
          </w:tcPr>
          <w:p w14:paraId="6F0A594E" w14:textId="77777777" w:rsidR="00481CF8" w:rsidRPr="00547C7F" w:rsidRDefault="00481CF8" w:rsidP="00481CF8">
            <w:pPr>
              <w:tabs>
                <w:tab w:val="left" w:pos="3200"/>
              </w:tabs>
              <w:jc w:val="both"/>
              <w:rPr>
                <w:rFonts w:asciiTheme="majorHAnsi" w:hAnsiTheme="majorHAnsi" w:cs="Arial"/>
                <w:sz w:val="22"/>
                <w:szCs w:val="22"/>
              </w:rPr>
            </w:pPr>
            <w:r w:rsidRPr="00547C7F">
              <w:rPr>
                <w:rFonts w:asciiTheme="majorHAnsi" w:hAnsiTheme="majorHAnsi" w:cs="Arial"/>
                <w:b/>
                <w:sz w:val="22"/>
                <w:szCs w:val="22"/>
              </w:rPr>
              <w:t>OP-761 Operational Policy on Gender Equality in Development</w:t>
            </w:r>
          </w:p>
        </w:tc>
      </w:tr>
      <w:tr w:rsidR="00481CF8" w:rsidRPr="007C0236" w14:paraId="2010CA78" w14:textId="77777777" w:rsidTr="0087228B">
        <w:trPr>
          <w:trHeight w:val="323"/>
        </w:trPr>
        <w:tc>
          <w:tcPr>
            <w:tcW w:w="2250" w:type="dxa"/>
            <w:shd w:val="clear" w:color="auto" w:fill="D9D9D9" w:themeFill="background1" w:themeFillShade="D9"/>
            <w:vAlign w:val="center"/>
          </w:tcPr>
          <w:p w14:paraId="53CCB662" w14:textId="77777777" w:rsidR="00481CF8" w:rsidRPr="00547C7F" w:rsidDel="00641735"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Consultation and effective participation of women and men</w:t>
            </w:r>
          </w:p>
        </w:tc>
        <w:tc>
          <w:tcPr>
            <w:tcW w:w="2813" w:type="dxa"/>
            <w:vAlign w:val="center"/>
          </w:tcPr>
          <w:p w14:paraId="6F7DB3E0" w14:textId="77777777" w:rsidR="00481CF8" w:rsidRPr="00547C7F"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 xml:space="preserve">Consultations </w:t>
            </w:r>
          </w:p>
        </w:tc>
        <w:tc>
          <w:tcPr>
            <w:tcW w:w="3847" w:type="dxa"/>
          </w:tcPr>
          <w:p w14:paraId="45B810BC" w14:textId="29E3046B" w:rsidR="00481CF8"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Ensure women are properly represented in consultations, stipulated in the Consultation and Stakeholder Engagement Plan</w:t>
            </w:r>
            <w:r w:rsidR="006A0DF2">
              <w:rPr>
                <w:rFonts w:asciiTheme="majorHAnsi" w:eastAsia="Calibri" w:hAnsiTheme="majorHAnsi" w:cs="Arial"/>
                <w:sz w:val="22"/>
                <w:szCs w:val="22"/>
                <w:lang w:eastAsia="it-IT"/>
              </w:rPr>
              <w:t>.</w:t>
            </w:r>
          </w:p>
          <w:p w14:paraId="21FDE535" w14:textId="77777777" w:rsidR="002F6D28" w:rsidRDefault="002F6D28" w:rsidP="00481CF8">
            <w:pPr>
              <w:tabs>
                <w:tab w:val="left" w:pos="3200"/>
              </w:tabs>
              <w:rPr>
                <w:rFonts w:asciiTheme="majorHAnsi" w:eastAsia="Calibri" w:hAnsiTheme="majorHAnsi" w:cs="Arial"/>
                <w:sz w:val="22"/>
                <w:szCs w:val="22"/>
                <w:lang w:eastAsia="it-IT"/>
              </w:rPr>
            </w:pPr>
          </w:p>
          <w:p w14:paraId="446A9641" w14:textId="0532275C" w:rsidR="002F6D28" w:rsidRPr="00547C7F" w:rsidRDefault="002F6D28" w:rsidP="00481CF8">
            <w:pPr>
              <w:tabs>
                <w:tab w:val="left" w:pos="3200"/>
              </w:tabs>
              <w:rPr>
                <w:rFonts w:asciiTheme="majorHAnsi" w:eastAsia="Calibri" w:hAnsiTheme="majorHAnsi" w:cs="Arial"/>
                <w:sz w:val="22"/>
                <w:szCs w:val="22"/>
                <w:lang w:eastAsia="it-IT"/>
              </w:rPr>
            </w:pPr>
            <w:r>
              <w:rPr>
                <w:rFonts w:asciiTheme="majorHAnsi" w:eastAsia="Calibri" w:hAnsiTheme="majorHAnsi" w:cs="Arial"/>
                <w:noProof/>
                <w:sz w:val="22"/>
                <w:szCs w:val="22"/>
                <w:lang w:eastAsia="it-IT"/>
              </w:rPr>
              <w:t>The f</w:t>
            </w:r>
            <w:r w:rsidRPr="00547C7F">
              <w:rPr>
                <w:rFonts w:asciiTheme="majorHAnsi" w:eastAsia="Calibri" w:hAnsiTheme="majorHAnsi" w:cs="Arial"/>
                <w:noProof/>
                <w:sz w:val="22"/>
                <w:szCs w:val="22"/>
                <w:lang w:eastAsia="it-IT"/>
              </w:rPr>
              <w:t>inal</w:t>
            </w:r>
            <w:r w:rsidRPr="00547C7F">
              <w:rPr>
                <w:rFonts w:asciiTheme="majorHAnsi" w:eastAsia="Calibri" w:hAnsiTheme="majorHAnsi" w:cs="Arial"/>
                <w:sz w:val="22"/>
                <w:szCs w:val="22"/>
                <w:lang w:eastAsia="it-IT"/>
              </w:rPr>
              <w:t xml:space="preserve"> version of the Consultation and Stakeholder Engagement Plan </w:t>
            </w:r>
            <w:r>
              <w:rPr>
                <w:rFonts w:asciiTheme="majorHAnsi" w:eastAsia="Calibri" w:hAnsiTheme="majorHAnsi" w:cs="Arial"/>
                <w:sz w:val="22"/>
                <w:szCs w:val="22"/>
                <w:lang w:eastAsia="it-IT"/>
              </w:rPr>
              <w:t xml:space="preserve">was published </w:t>
            </w:r>
            <w:r w:rsidRPr="00547C7F">
              <w:rPr>
                <w:rFonts w:asciiTheme="majorHAnsi" w:eastAsia="Calibri" w:hAnsiTheme="majorHAnsi" w:cs="Arial"/>
                <w:sz w:val="22"/>
                <w:szCs w:val="22"/>
                <w:lang w:eastAsia="it-IT"/>
              </w:rPr>
              <w:t>before OPC</w:t>
            </w:r>
            <w:r w:rsidR="006A0DF2">
              <w:rPr>
                <w:rFonts w:asciiTheme="majorHAnsi" w:eastAsia="Calibri" w:hAnsiTheme="majorHAnsi" w:cs="Arial"/>
                <w:sz w:val="22"/>
                <w:szCs w:val="22"/>
                <w:lang w:eastAsia="it-IT"/>
              </w:rPr>
              <w:t>.</w:t>
            </w:r>
            <w:r w:rsidRPr="00547C7F">
              <w:rPr>
                <w:rFonts w:asciiTheme="majorHAnsi" w:eastAsia="Calibri" w:hAnsiTheme="majorHAnsi" w:cs="Arial"/>
                <w:sz w:val="22"/>
                <w:szCs w:val="22"/>
                <w:lang w:eastAsia="it-IT"/>
              </w:rPr>
              <w:t xml:space="preserve"> </w:t>
            </w:r>
          </w:p>
        </w:tc>
        <w:tc>
          <w:tcPr>
            <w:tcW w:w="4140" w:type="dxa"/>
          </w:tcPr>
          <w:p w14:paraId="48131B72" w14:textId="6CECCFD8" w:rsidR="00481CF8" w:rsidRPr="00547C7F" w:rsidRDefault="00505ACB" w:rsidP="00481CF8">
            <w:pPr>
              <w:tabs>
                <w:tab w:val="left" w:pos="3200"/>
              </w:tabs>
              <w:rPr>
                <w:rFonts w:asciiTheme="majorHAnsi" w:eastAsia="Calibri" w:hAnsiTheme="majorHAnsi" w:cs="Arial"/>
                <w:sz w:val="22"/>
                <w:szCs w:val="22"/>
                <w:lang w:eastAsia="it-IT"/>
              </w:rPr>
            </w:pPr>
            <w:r w:rsidRPr="00505ACB">
              <w:rPr>
                <w:rFonts w:asciiTheme="majorHAnsi" w:eastAsia="Calibri" w:hAnsiTheme="majorHAnsi" w:cs="Arial"/>
                <w:sz w:val="22"/>
                <w:szCs w:val="22"/>
                <w:lang w:eastAsia="it-IT"/>
              </w:rPr>
              <w:t xml:space="preserve">Condition of Execution: The Borrower will ensure that </w:t>
            </w:r>
            <w:r w:rsidR="00D82F51">
              <w:rPr>
                <w:rFonts w:asciiTheme="majorHAnsi" w:eastAsia="Calibri" w:hAnsiTheme="majorHAnsi" w:cs="Arial"/>
                <w:sz w:val="22"/>
                <w:szCs w:val="22"/>
                <w:lang w:eastAsia="it-IT"/>
              </w:rPr>
              <w:t>the</w:t>
            </w:r>
            <w:r w:rsidRPr="00505ACB">
              <w:rPr>
                <w:rFonts w:asciiTheme="majorHAnsi" w:eastAsia="Calibri" w:hAnsiTheme="majorHAnsi" w:cs="Arial"/>
                <w:sz w:val="22"/>
                <w:szCs w:val="22"/>
                <w:lang w:eastAsia="it-IT"/>
              </w:rPr>
              <w:t xml:space="preserve"> ESMP</w:t>
            </w:r>
            <w:r w:rsidR="00D82F51">
              <w:rPr>
                <w:rFonts w:asciiTheme="majorHAnsi" w:eastAsia="Calibri" w:hAnsiTheme="majorHAnsi" w:cs="Arial"/>
                <w:sz w:val="22"/>
                <w:szCs w:val="22"/>
                <w:lang w:eastAsia="it-IT"/>
              </w:rPr>
              <w:t xml:space="preserve"> is implemented</w:t>
            </w:r>
            <w:r w:rsidR="006A0DF2">
              <w:rPr>
                <w:rFonts w:asciiTheme="majorHAnsi" w:eastAsia="Calibri" w:hAnsiTheme="majorHAnsi" w:cs="Arial"/>
                <w:sz w:val="22"/>
                <w:szCs w:val="22"/>
                <w:lang w:eastAsia="it-IT"/>
              </w:rPr>
              <w:t>.</w:t>
            </w:r>
          </w:p>
        </w:tc>
      </w:tr>
      <w:tr w:rsidR="00481CF8" w:rsidRPr="007C0236" w14:paraId="42DE6CEF" w14:textId="77777777" w:rsidTr="0087228B">
        <w:trPr>
          <w:trHeight w:val="323"/>
        </w:trPr>
        <w:tc>
          <w:tcPr>
            <w:tcW w:w="2250" w:type="dxa"/>
            <w:shd w:val="clear" w:color="auto" w:fill="D9D9D9" w:themeFill="background1" w:themeFillShade="D9"/>
            <w:vAlign w:val="center"/>
          </w:tcPr>
          <w:p w14:paraId="3F342035" w14:textId="77777777" w:rsidR="00481CF8" w:rsidRPr="00547C7F" w:rsidDel="00641735"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Application of safeguard and risk analysis</w:t>
            </w:r>
          </w:p>
        </w:tc>
        <w:tc>
          <w:tcPr>
            <w:tcW w:w="2813" w:type="dxa"/>
            <w:vAlign w:val="center"/>
          </w:tcPr>
          <w:p w14:paraId="4DC45716" w14:textId="77777777" w:rsidR="00481CF8" w:rsidRPr="00547C7F"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Gender strategy and action plan</w:t>
            </w:r>
          </w:p>
        </w:tc>
        <w:tc>
          <w:tcPr>
            <w:tcW w:w="3847" w:type="dxa"/>
          </w:tcPr>
          <w:p w14:paraId="028F19B7" w14:textId="5526D469" w:rsidR="00481CF8"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A Gender strategy and action plan was prepared to address the gender risks, as stipulated on OP-761</w:t>
            </w:r>
            <w:r w:rsidR="006A0DF2">
              <w:rPr>
                <w:rFonts w:asciiTheme="majorHAnsi" w:eastAsia="Calibri" w:hAnsiTheme="majorHAnsi" w:cs="Arial"/>
                <w:sz w:val="22"/>
                <w:szCs w:val="22"/>
                <w:lang w:eastAsia="it-IT"/>
              </w:rPr>
              <w:t>.</w:t>
            </w:r>
          </w:p>
          <w:p w14:paraId="3E05D778" w14:textId="77777777" w:rsidR="00CA29CA" w:rsidRDefault="00CA29CA" w:rsidP="00481CF8">
            <w:pPr>
              <w:tabs>
                <w:tab w:val="left" w:pos="3200"/>
              </w:tabs>
              <w:rPr>
                <w:rFonts w:asciiTheme="majorHAnsi" w:eastAsia="Calibri" w:hAnsiTheme="majorHAnsi" w:cs="Arial"/>
                <w:sz w:val="22"/>
                <w:szCs w:val="22"/>
                <w:lang w:eastAsia="it-IT"/>
              </w:rPr>
            </w:pPr>
          </w:p>
          <w:p w14:paraId="004DCBED" w14:textId="3B48876C" w:rsidR="00CA29CA" w:rsidRPr="00547C7F" w:rsidRDefault="00CA29CA" w:rsidP="00481CF8">
            <w:pPr>
              <w:tabs>
                <w:tab w:val="left" w:pos="3200"/>
              </w:tabs>
              <w:rPr>
                <w:rFonts w:asciiTheme="majorHAnsi" w:eastAsia="Calibri" w:hAnsiTheme="majorHAnsi" w:cs="Arial"/>
                <w:sz w:val="22"/>
                <w:szCs w:val="22"/>
                <w:lang w:eastAsia="it-IT"/>
              </w:rPr>
            </w:pPr>
            <w:r>
              <w:rPr>
                <w:rFonts w:asciiTheme="majorHAnsi" w:eastAsia="Calibri" w:hAnsiTheme="majorHAnsi" w:cs="Arial"/>
                <w:noProof/>
                <w:sz w:val="22"/>
                <w:szCs w:val="22"/>
                <w:lang w:eastAsia="it-IT"/>
              </w:rPr>
              <w:t>The f</w:t>
            </w:r>
            <w:r w:rsidRPr="00547C7F">
              <w:rPr>
                <w:rFonts w:asciiTheme="majorHAnsi" w:eastAsia="Calibri" w:hAnsiTheme="majorHAnsi" w:cs="Arial"/>
                <w:noProof/>
                <w:sz w:val="22"/>
                <w:szCs w:val="22"/>
                <w:lang w:eastAsia="it-IT"/>
              </w:rPr>
              <w:t>inal</w:t>
            </w:r>
            <w:r w:rsidRPr="00547C7F">
              <w:rPr>
                <w:rFonts w:asciiTheme="majorHAnsi" w:eastAsia="Calibri" w:hAnsiTheme="majorHAnsi" w:cs="Arial"/>
                <w:sz w:val="22"/>
                <w:szCs w:val="22"/>
                <w:lang w:eastAsia="it-IT"/>
              </w:rPr>
              <w:t xml:space="preserve"> version of the Gender Strategy and Action Plan</w:t>
            </w:r>
            <w:r>
              <w:rPr>
                <w:rFonts w:asciiTheme="majorHAnsi" w:eastAsia="Calibri" w:hAnsiTheme="majorHAnsi" w:cs="Arial"/>
                <w:sz w:val="22"/>
                <w:szCs w:val="22"/>
                <w:lang w:eastAsia="it-IT"/>
              </w:rPr>
              <w:t xml:space="preserve"> was published </w:t>
            </w:r>
            <w:r w:rsidRPr="00547C7F">
              <w:rPr>
                <w:rFonts w:asciiTheme="majorHAnsi" w:eastAsia="Calibri" w:hAnsiTheme="majorHAnsi" w:cs="Arial"/>
                <w:sz w:val="22"/>
                <w:szCs w:val="22"/>
                <w:lang w:eastAsia="it-IT"/>
              </w:rPr>
              <w:t>before OPC</w:t>
            </w:r>
            <w:r>
              <w:rPr>
                <w:rFonts w:asciiTheme="majorHAnsi" w:eastAsia="Calibri" w:hAnsiTheme="majorHAnsi" w:cs="Arial"/>
                <w:sz w:val="22"/>
                <w:szCs w:val="22"/>
                <w:lang w:eastAsia="it-IT"/>
              </w:rPr>
              <w:t xml:space="preserve">, as part of the </w:t>
            </w:r>
            <w:r w:rsidR="006A0DF2">
              <w:rPr>
                <w:rFonts w:asciiTheme="majorHAnsi" w:eastAsia="Calibri" w:hAnsiTheme="majorHAnsi" w:cs="Arial"/>
                <w:sz w:val="22"/>
                <w:szCs w:val="22"/>
                <w:lang w:eastAsia="it-IT"/>
              </w:rPr>
              <w:t>addenda</w:t>
            </w:r>
            <w:r w:rsidR="00727A81">
              <w:rPr>
                <w:rFonts w:asciiTheme="majorHAnsi" w:eastAsia="Calibri" w:hAnsiTheme="majorHAnsi" w:cs="Arial"/>
                <w:sz w:val="22"/>
                <w:szCs w:val="22"/>
                <w:lang w:eastAsia="it-IT"/>
              </w:rPr>
              <w:t xml:space="preserve"> to the ESIA/</w:t>
            </w:r>
            <w:r w:rsidR="000C0A27">
              <w:rPr>
                <w:rFonts w:asciiTheme="majorHAnsi" w:eastAsia="Calibri" w:hAnsiTheme="majorHAnsi" w:cs="Arial"/>
                <w:sz w:val="22"/>
                <w:szCs w:val="22"/>
                <w:lang w:eastAsia="it-IT"/>
              </w:rPr>
              <w:t>updated ESMP</w:t>
            </w:r>
            <w:r w:rsidR="006A0DF2">
              <w:rPr>
                <w:rFonts w:asciiTheme="majorHAnsi" w:eastAsia="Calibri" w:hAnsiTheme="majorHAnsi" w:cs="Arial"/>
                <w:sz w:val="22"/>
                <w:szCs w:val="22"/>
                <w:lang w:eastAsia="it-IT"/>
              </w:rPr>
              <w:t>.</w:t>
            </w:r>
          </w:p>
        </w:tc>
        <w:tc>
          <w:tcPr>
            <w:tcW w:w="4140" w:type="dxa"/>
          </w:tcPr>
          <w:p w14:paraId="4394E9E9" w14:textId="08BD3B25" w:rsidR="00481CF8" w:rsidRPr="00547C7F" w:rsidRDefault="00D82F51" w:rsidP="00481CF8">
            <w:pPr>
              <w:tabs>
                <w:tab w:val="left" w:pos="3200"/>
              </w:tabs>
              <w:rPr>
                <w:rFonts w:asciiTheme="majorHAnsi" w:eastAsia="Calibri" w:hAnsiTheme="majorHAnsi" w:cs="Arial"/>
                <w:sz w:val="22"/>
                <w:szCs w:val="22"/>
                <w:lang w:eastAsia="it-IT"/>
              </w:rPr>
            </w:pPr>
            <w:r w:rsidRPr="00505ACB">
              <w:rPr>
                <w:rFonts w:asciiTheme="majorHAnsi" w:eastAsia="Calibri" w:hAnsiTheme="majorHAnsi" w:cs="Arial"/>
                <w:sz w:val="22"/>
                <w:szCs w:val="22"/>
                <w:lang w:eastAsia="it-IT"/>
              </w:rPr>
              <w:t xml:space="preserve">Condition of Execution: The Borrower will ensure that </w:t>
            </w:r>
            <w:r>
              <w:rPr>
                <w:rFonts w:asciiTheme="majorHAnsi" w:eastAsia="Calibri" w:hAnsiTheme="majorHAnsi" w:cs="Arial"/>
                <w:sz w:val="22"/>
                <w:szCs w:val="22"/>
                <w:lang w:eastAsia="it-IT"/>
              </w:rPr>
              <w:t>the</w:t>
            </w:r>
            <w:r w:rsidRPr="00505ACB">
              <w:rPr>
                <w:rFonts w:asciiTheme="majorHAnsi" w:eastAsia="Calibri" w:hAnsiTheme="majorHAnsi" w:cs="Arial"/>
                <w:sz w:val="22"/>
                <w:szCs w:val="22"/>
                <w:lang w:eastAsia="it-IT"/>
              </w:rPr>
              <w:t xml:space="preserve"> ESMP</w:t>
            </w:r>
            <w:r>
              <w:rPr>
                <w:rFonts w:asciiTheme="majorHAnsi" w:eastAsia="Calibri" w:hAnsiTheme="majorHAnsi" w:cs="Arial"/>
                <w:sz w:val="22"/>
                <w:szCs w:val="22"/>
                <w:lang w:eastAsia="it-IT"/>
              </w:rPr>
              <w:t xml:space="preserve"> is implemented</w:t>
            </w:r>
            <w:r w:rsidR="006A0DF2">
              <w:rPr>
                <w:rFonts w:asciiTheme="majorHAnsi" w:eastAsia="Calibri" w:hAnsiTheme="majorHAnsi" w:cs="Arial"/>
                <w:sz w:val="22"/>
                <w:szCs w:val="22"/>
                <w:lang w:eastAsia="it-IT"/>
              </w:rPr>
              <w:t>.</w:t>
            </w:r>
          </w:p>
        </w:tc>
      </w:tr>
      <w:tr w:rsidR="00481CF8" w:rsidRPr="007C0236" w14:paraId="7CA8D95F" w14:textId="77777777" w:rsidTr="0087228B">
        <w:trPr>
          <w:trHeight w:val="323"/>
        </w:trPr>
        <w:tc>
          <w:tcPr>
            <w:tcW w:w="13050" w:type="dxa"/>
            <w:gridSpan w:val="4"/>
            <w:shd w:val="clear" w:color="auto" w:fill="D9D9D9" w:themeFill="background1" w:themeFillShade="D9"/>
            <w:vAlign w:val="center"/>
          </w:tcPr>
          <w:p w14:paraId="6A05D427" w14:textId="77777777" w:rsidR="00481CF8" w:rsidRPr="00547C7F" w:rsidRDefault="00481CF8" w:rsidP="00481CF8">
            <w:pPr>
              <w:tabs>
                <w:tab w:val="left" w:pos="3200"/>
              </w:tabs>
              <w:jc w:val="both"/>
              <w:rPr>
                <w:rFonts w:asciiTheme="majorHAnsi" w:hAnsiTheme="majorHAnsi" w:cs="Arial"/>
                <w:sz w:val="22"/>
                <w:szCs w:val="22"/>
              </w:rPr>
            </w:pPr>
            <w:r w:rsidRPr="00547C7F">
              <w:rPr>
                <w:rFonts w:asciiTheme="majorHAnsi" w:hAnsiTheme="majorHAnsi" w:cs="Arial"/>
                <w:b/>
                <w:sz w:val="22"/>
                <w:szCs w:val="22"/>
              </w:rPr>
              <w:t>OP-102 Access to Information Policy</w:t>
            </w:r>
          </w:p>
        </w:tc>
      </w:tr>
      <w:tr w:rsidR="00481CF8" w:rsidRPr="007C0236" w14:paraId="76923AA8" w14:textId="77777777" w:rsidTr="0087228B">
        <w:trPr>
          <w:trHeight w:val="323"/>
        </w:trPr>
        <w:tc>
          <w:tcPr>
            <w:tcW w:w="2250" w:type="dxa"/>
            <w:shd w:val="clear" w:color="auto" w:fill="D9D9D9" w:themeFill="background1" w:themeFillShade="D9"/>
            <w:vAlign w:val="center"/>
          </w:tcPr>
          <w:p w14:paraId="74A7FF5B" w14:textId="77777777" w:rsidR="00481CF8" w:rsidRPr="00547C7F" w:rsidDel="00641735"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lastRenderedPageBreak/>
              <w:t>Disclosure of relevant Environmental and Social Assessments Prior to Analysis Mission, QRR, OPC and submission of the operation for Board consideration</w:t>
            </w:r>
          </w:p>
        </w:tc>
        <w:tc>
          <w:tcPr>
            <w:tcW w:w="2813" w:type="dxa"/>
            <w:vAlign w:val="center"/>
          </w:tcPr>
          <w:p w14:paraId="27A75ED6" w14:textId="70E8BA6E" w:rsidR="004A2D74" w:rsidRDefault="00481CF8" w:rsidP="00481CF8">
            <w:pPr>
              <w:tabs>
                <w:tab w:val="left" w:pos="3200"/>
              </w:tabs>
              <w:rPr>
                <w:rFonts w:asciiTheme="majorHAnsi" w:hAnsiTheme="majorHAnsi" w:cs="Arial"/>
                <w:sz w:val="22"/>
                <w:szCs w:val="22"/>
              </w:rPr>
            </w:pPr>
            <w:r w:rsidRPr="00547C7F">
              <w:rPr>
                <w:rFonts w:asciiTheme="majorHAnsi" w:hAnsiTheme="majorHAnsi" w:cs="Arial"/>
                <w:sz w:val="22"/>
                <w:szCs w:val="22"/>
              </w:rPr>
              <w:t>Project</w:t>
            </w:r>
            <w:r w:rsidR="004A2D74">
              <w:rPr>
                <w:rFonts w:asciiTheme="majorHAnsi" w:hAnsiTheme="majorHAnsi" w:cs="Arial"/>
                <w:sz w:val="22"/>
                <w:szCs w:val="22"/>
              </w:rPr>
              <w:t>’s ESHS documents</w:t>
            </w:r>
          </w:p>
          <w:p w14:paraId="6BFC2AFC" w14:textId="5AEDF8DB" w:rsidR="00481CF8" w:rsidRPr="00547C7F" w:rsidRDefault="004A2D74" w:rsidP="00481CF8">
            <w:pPr>
              <w:tabs>
                <w:tab w:val="left" w:pos="3200"/>
              </w:tabs>
              <w:rPr>
                <w:rFonts w:asciiTheme="majorHAnsi" w:hAnsiTheme="majorHAnsi" w:cs="Arial"/>
                <w:sz w:val="22"/>
                <w:szCs w:val="22"/>
              </w:rPr>
            </w:pPr>
            <w:r>
              <w:rPr>
                <w:rFonts w:asciiTheme="majorHAnsi" w:hAnsiTheme="majorHAnsi" w:cs="Arial"/>
                <w:sz w:val="22"/>
                <w:szCs w:val="22"/>
              </w:rPr>
              <w:t>(</w:t>
            </w:r>
            <w:r w:rsidR="00481CF8" w:rsidRPr="00547C7F">
              <w:rPr>
                <w:rFonts w:asciiTheme="majorHAnsi" w:hAnsiTheme="majorHAnsi" w:cs="Arial"/>
                <w:sz w:val="22"/>
                <w:szCs w:val="22"/>
              </w:rPr>
              <w:t>ESIA</w:t>
            </w:r>
            <w:r w:rsidR="0069148B">
              <w:rPr>
                <w:rFonts w:asciiTheme="majorHAnsi" w:hAnsiTheme="majorHAnsi" w:cs="Arial"/>
                <w:sz w:val="22"/>
                <w:szCs w:val="22"/>
              </w:rPr>
              <w:t xml:space="preserve"> </w:t>
            </w:r>
            <w:r w:rsidR="0069148B" w:rsidRPr="00547C7F">
              <w:rPr>
                <w:rFonts w:asciiTheme="majorHAnsi" w:hAnsiTheme="majorHAnsi" w:cs="Arial"/>
                <w:sz w:val="22"/>
                <w:szCs w:val="22"/>
              </w:rPr>
              <w:t xml:space="preserve">Addendum </w:t>
            </w:r>
            <w:r w:rsidR="00481CF8" w:rsidRPr="00547C7F">
              <w:rPr>
                <w:rFonts w:asciiTheme="majorHAnsi" w:hAnsiTheme="majorHAnsi" w:cs="Arial"/>
                <w:sz w:val="22"/>
                <w:szCs w:val="22"/>
              </w:rPr>
              <w:t>/</w:t>
            </w:r>
            <w:r w:rsidR="0069148B">
              <w:rPr>
                <w:rFonts w:asciiTheme="majorHAnsi" w:hAnsiTheme="majorHAnsi" w:cs="Arial"/>
                <w:sz w:val="22"/>
                <w:szCs w:val="22"/>
              </w:rPr>
              <w:t xml:space="preserve">updated </w:t>
            </w:r>
            <w:r w:rsidR="00481CF8" w:rsidRPr="00547C7F">
              <w:rPr>
                <w:rFonts w:asciiTheme="majorHAnsi" w:hAnsiTheme="majorHAnsi" w:cs="Arial"/>
                <w:sz w:val="22"/>
                <w:szCs w:val="22"/>
              </w:rPr>
              <w:t>ESMP</w:t>
            </w:r>
            <w:r w:rsidR="0069148B">
              <w:rPr>
                <w:rFonts w:asciiTheme="majorHAnsi" w:hAnsiTheme="majorHAnsi" w:cs="Arial"/>
                <w:sz w:val="22"/>
                <w:szCs w:val="22"/>
              </w:rPr>
              <w:t xml:space="preserve">, </w:t>
            </w:r>
            <w:r w:rsidR="00481CF8" w:rsidRPr="00547C7F">
              <w:rPr>
                <w:rFonts w:asciiTheme="majorHAnsi" w:hAnsiTheme="majorHAnsi" w:cs="Arial"/>
                <w:sz w:val="22"/>
                <w:szCs w:val="22"/>
              </w:rPr>
              <w:t>Resettlement and Livelihoods Restoration Plan</w:t>
            </w:r>
            <w:r w:rsidR="0069148B">
              <w:rPr>
                <w:rFonts w:asciiTheme="majorHAnsi" w:hAnsiTheme="majorHAnsi" w:cs="Arial"/>
                <w:sz w:val="22"/>
                <w:szCs w:val="22"/>
              </w:rPr>
              <w:t>, and Consultation and Stakeholder Engagement Plan</w:t>
            </w:r>
            <w:r>
              <w:rPr>
                <w:rFonts w:asciiTheme="majorHAnsi" w:hAnsiTheme="majorHAnsi" w:cs="Arial"/>
                <w:sz w:val="22"/>
                <w:szCs w:val="22"/>
              </w:rPr>
              <w:t xml:space="preserve"> and report of consultations carried out</w:t>
            </w:r>
          </w:p>
        </w:tc>
        <w:tc>
          <w:tcPr>
            <w:tcW w:w="3847" w:type="dxa"/>
            <w:vAlign w:val="center"/>
          </w:tcPr>
          <w:p w14:paraId="4409F929" w14:textId="77777777" w:rsidR="00481CF8" w:rsidRPr="00547C7F" w:rsidRDefault="00481CF8" w:rsidP="00481CF8">
            <w:pPr>
              <w:tabs>
                <w:tab w:val="left" w:pos="3200"/>
              </w:tabs>
              <w:rPr>
                <w:rFonts w:asciiTheme="majorHAnsi" w:hAnsiTheme="majorHAnsi" w:cs="Arial"/>
                <w:sz w:val="22"/>
                <w:szCs w:val="22"/>
              </w:rPr>
            </w:pPr>
            <w:r w:rsidRPr="00547C7F">
              <w:rPr>
                <w:rFonts w:asciiTheme="majorHAnsi" w:hAnsiTheme="majorHAnsi" w:cs="Arial"/>
                <w:sz w:val="22"/>
                <w:szCs w:val="22"/>
              </w:rPr>
              <w:t>Full compliance achieved prior to analysis mission (Fit for disclosure ESIA/ESMP and RLP was disclosed on the IDB website on May 23 and 25, 2018).</w:t>
            </w:r>
          </w:p>
          <w:p w14:paraId="4DA87E39" w14:textId="77777777" w:rsidR="00481CF8" w:rsidRPr="00547C7F" w:rsidRDefault="00481CF8" w:rsidP="00481CF8">
            <w:pPr>
              <w:tabs>
                <w:tab w:val="left" w:pos="3200"/>
              </w:tabs>
              <w:rPr>
                <w:rFonts w:asciiTheme="majorHAnsi" w:hAnsiTheme="majorHAnsi" w:cs="Arial"/>
                <w:sz w:val="22"/>
                <w:szCs w:val="22"/>
              </w:rPr>
            </w:pPr>
          </w:p>
          <w:p w14:paraId="53FF32DD" w14:textId="05981DE1" w:rsidR="00481CF8" w:rsidRPr="00547C7F" w:rsidRDefault="00215B66" w:rsidP="00481CF8">
            <w:pPr>
              <w:tabs>
                <w:tab w:val="left" w:pos="3200"/>
              </w:tabs>
              <w:rPr>
                <w:rFonts w:asciiTheme="majorHAnsi" w:hAnsiTheme="majorHAnsi" w:cs="Arial"/>
                <w:sz w:val="22"/>
                <w:szCs w:val="22"/>
              </w:rPr>
            </w:pPr>
            <w:r>
              <w:rPr>
                <w:rFonts w:asciiTheme="majorHAnsi" w:hAnsiTheme="majorHAnsi" w:cs="Arial"/>
                <w:sz w:val="22"/>
                <w:szCs w:val="22"/>
              </w:rPr>
              <w:t>Full c</w:t>
            </w:r>
            <w:r w:rsidR="00481CF8" w:rsidRPr="00547C7F">
              <w:rPr>
                <w:rFonts w:asciiTheme="majorHAnsi" w:hAnsiTheme="majorHAnsi" w:cs="Arial"/>
                <w:sz w:val="22"/>
                <w:szCs w:val="22"/>
              </w:rPr>
              <w:t xml:space="preserve">ompliance </w:t>
            </w:r>
            <w:r>
              <w:rPr>
                <w:rFonts w:asciiTheme="majorHAnsi" w:hAnsiTheme="majorHAnsi" w:cs="Arial"/>
                <w:sz w:val="22"/>
                <w:szCs w:val="22"/>
              </w:rPr>
              <w:t xml:space="preserve">also </w:t>
            </w:r>
            <w:r w:rsidR="00D82F51">
              <w:rPr>
                <w:rFonts w:asciiTheme="majorHAnsi" w:hAnsiTheme="majorHAnsi" w:cs="Arial"/>
                <w:sz w:val="22"/>
                <w:szCs w:val="22"/>
              </w:rPr>
              <w:t>achieved</w:t>
            </w:r>
            <w:r w:rsidR="00481CF8" w:rsidRPr="00547C7F">
              <w:rPr>
                <w:rFonts w:asciiTheme="majorHAnsi" w:hAnsiTheme="majorHAnsi" w:cs="Arial"/>
                <w:sz w:val="22"/>
                <w:szCs w:val="22"/>
              </w:rPr>
              <w:t xml:space="preserve"> prior to OPC (Final </w:t>
            </w:r>
            <w:r w:rsidR="004A2D74">
              <w:rPr>
                <w:rFonts w:asciiTheme="majorHAnsi" w:hAnsiTheme="majorHAnsi" w:cs="Arial"/>
                <w:sz w:val="22"/>
                <w:szCs w:val="22"/>
              </w:rPr>
              <w:t>versions of ESHS documents</w:t>
            </w:r>
            <w:r>
              <w:rPr>
                <w:rFonts w:asciiTheme="majorHAnsi" w:hAnsiTheme="majorHAnsi" w:cs="Arial"/>
                <w:sz w:val="22"/>
                <w:szCs w:val="22"/>
              </w:rPr>
              <w:t xml:space="preserve"> </w:t>
            </w:r>
            <w:r w:rsidR="00D82F51">
              <w:rPr>
                <w:rFonts w:asciiTheme="majorHAnsi" w:hAnsiTheme="majorHAnsi" w:cs="Arial"/>
                <w:sz w:val="22"/>
                <w:szCs w:val="22"/>
              </w:rPr>
              <w:t>were</w:t>
            </w:r>
            <w:r w:rsidR="00481CF8" w:rsidRPr="00547C7F">
              <w:rPr>
                <w:rFonts w:asciiTheme="majorHAnsi" w:hAnsiTheme="majorHAnsi" w:cs="Arial"/>
                <w:sz w:val="22"/>
                <w:szCs w:val="22"/>
              </w:rPr>
              <w:t xml:space="preserve"> disclosed prior to OPC)</w:t>
            </w:r>
            <w:r w:rsidR="0087228B">
              <w:rPr>
                <w:rFonts w:asciiTheme="majorHAnsi" w:hAnsiTheme="majorHAnsi" w:cs="Arial"/>
                <w:sz w:val="22"/>
                <w:szCs w:val="22"/>
              </w:rPr>
              <w:t>.</w:t>
            </w:r>
          </w:p>
        </w:tc>
        <w:tc>
          <w:tcPr>
            <w:tcW w:w="4140" w:type="dxa"/>
            <w:vAlign w:val="center"/>
          </w:tcPr>
          <w:p w14:paraId="004F202E" w14:textId="7BEB55D6" w:rsidR="00481CF8" w:rsidRPr="00547C7F" w:rsidRDefault="00D82F51" w:rsidP="00481CF8">
            <w:pPr>
              <w:tabs>
                <w:tab w:val="left" w:pos="3200"/>
              </w:tabs>
              <w:jc w:val="both"/>
              <w:rPr>
                <w:rFonts w:asciiTheme="majorHAnsi" w:hAnsiTheme="majorHAnsi" w:cs="Arial"/>
                <w:sz w:val="22"/>
                <w:szCs w:val="22"/>
              </w:rPr>
            </w:pPr>
            <w:r w:rsidRPr="00505ACB">
              <w:rPr>
                <w:rFonts w:asciiTheme="majorHAnsi" w:eastAsia="Calibri" w:hAnsiTheme="majorHAnsi" w:cs="Arial"/>
                <w:sz w:val="22"/>
                <w:szCs w:val="22"/>
                <w:lang w:eastAsia="it-IT"/>
              </w:rPr>
              <w:t xml:space="preserve">Condition of Execution: The Borrower will ensure that </w:t>
            </w:r>
            <w:r>
              <w:rPr>
                <w:rFonts w:asciiTheme="majorHAnsi" w:eastAsia="Calibri" w:hAnsiTheme="majorHAnsi" w:cs="Arial"/>
                <w:sz w:val="22"/>
                <w:szCs w:val="22"/>
                <w:lang w:eastAsia="it-IT"/>
              </w:rPr>
              <w:t>the</w:t>
            </w:r>
            <w:r w:rsidRPr="00505ACB">
              <w:rPr>
                <w:rFonts w:asciiTheme="majorHAnsi" w:eastAsia="Calibri" w:hAnsiTheme="majorHAnsi" w:cs="Arial"/>
                <w:sz w:val="22"/>
                <w:szCs w:val="22"/>
                <w:lang w:eastAsia="it-IT"/>
              </w:rPr>
              <w:t xml:space="preserve"> </w:t>
            </w:r>
            <w:r w:rsidR="00DE0D81">
              <w:rPr>
                <w:rFonts w:asciiTheme="majorHAnsi" w:hAnsiTheme="majorHAnsi" w:cs="Arial"/>
                <w:sz w:val="22"/>
                <w:szCs w:val="22"/>
              </w:rPr>
              <w:t>ESHS plans</w:t>
            </w:r>
            <w:r w:rsidR="00DE0D81">
              <w:rPr>
                <w:rFonts w:asciiTheme="majorHAnsi" w:eastAsia="Calibri" w:hAnsiTheme="majorHAnsi" w:cs="Arial"/>
                <w:sz w:val="22"/>
                <w:szCs w:val="22"/>
                <w:lang w:eastAsia="it-IT"/>
              </w:rPr>
              <w:t xml:space="preserve"> are</w:t>
            </w:r>
            <w:r>
              <w:rPr>
                <w:rFonts w:asciiTheme="majorHAnsi" w:eastAsia="Calibri" w:hAnsiTheme="majorHAnsi" w:cs="Arial"/>
                <w:sz w:val="22"/>
                <w:szCs w:val="22"/>
                <w:lang w:eastAsia="it-IT"/>
              </w:rPr>
              <w:t xml:space="preserve"> implemented</w:t>
            </w:r>
            <w:r w:rsidR="0087228B">
              <w:rPr>
                <w:rFonts w:asciiTheme="majorHAnsi" w:eastAsia="Calibri" w:hAnsiTheme="majorHAnsi" w:cs="Arial"/>
                <w:sz w:val="22"/>
                <w:szCs w:val="22"/>
                <w:lang w:eastAsia="it-IT"/>
              </w:rPr>
              <w:t>.</w:t>
            </w:r>
          </w:p>
        </w:tc>
      </w:tr>
      <w:tr w:rsidR="00481CF8" w:rsidRPr="007C0236" w14:paraId="365A103B" w14:textId="77777777" w:rsidTr="0087228B">
        <w:trPr>
          <w:trHeight w:val="323"/>
        </w:trPr>
        <w:tc>
          <w:tcPr>
            <w:tcW w:w="2250" w:type="dxa"/>
            <w:shd w:val="clear" w:color="auto" w:fill="D9D9D9" w:themeFill="background1" w:themeFillShade="D9"/>
            <w:vAlign w:val="center"/>
          </w:tcPr>
          <w:p w14:paraId="62E136D7" w14:textId="77777777" w:rsidR="00481CF8" w:rsidRPr="00547C7F" w:rsidDel="00641735" w:rsidRDefault="00481CF8" w:rsidP="00481CF8">
            <w:pPr>
              <w:tabs>
                <w:tab w:val="left" w:pos="3200"/>
              </w:tabs>
              <w:rPr>
                <w:rFonts w:asciiTheme="majorHAnsi" w:eastAsia="Calibri" w:hAnsiTheme="majorHAnsi" w:cs="Arial"/>
                <w:sz w:val="22"/>
                <w:szCs w:val="22"/>
                <w:lang w:eastAsia="it-IT"/>
              </w:rPr>
            </w:pPr>
            <w:r w:rsidRPr="00547C7F">
              <w:rPr>
                <w:rFonts w:asciiTheme="majorHAnsi" w:eastAsia="Calibri" w:hAnsiTheme="majorHAnsi" w:cs="Arial"/>
                <w:sz w:val="22"/>
                <w:szCs w:val="22"/>
                <w:lang w:eastAsia="it-IT"/>
              </w:rPr>
              <w:t>Provisions for Disclosure of Environmental and Social Documents during Project Implementation</w:t>
            </w:r>
          </w:p>
        </w:tc>
        <w:tc>
          <w:tcPr>
            <w:tcW w:w="2813" w:type="dxa"/>
            <w:vAlign w:val="center"/>
          </w:tcPr>
          <w:p w14:paraId="7501CF69" w14:textId="7670BD7A" w:rsidR="00481CF8" w:rsidRPr="00547C7F" w:rsidRDefault="00481CF8" w:rsidP="00481CF8">
            <w:pPr>
              <w:tabs>
                <w:tab w:val="left" w:pos="3200"/>
              </w:tabs>
              <w:rPr>
                <w:rFonts w:asciiTheme="majorHAnsi" w:hAnsiTheme="majorHAnsi" w:cs="Arial"/>
                <w:sz w:val="22"/>
                <w:szCs w:val="22"/>
              </w:rPr>
            </w:pPr>
            <w:r w:rsidRPr="00547C7F">
              <w:rPr>
                <w:rFonts w:asciiTheme="majorHAnsi" w:hAnsiTheme="majorHAnsi" w:cs="Arial"/>
                <w:sz w:val="22"/>
                <w:szCs w:val="22"/>
              </w:rPr>
              <w:t>Ongoing disclosure and communications</w:t>
            </w:r>
            <w:r w:rsidR="004A2D74">
              <w:rPr>
                <w:rFonts w:asciiTheme="majorHAnsi" w:hAnsiTheme="majorHAnsi" w:cs="Arial"/>
                <w:sz w:val="22"/>
                <w:szCs w:val="22"/>
              </w:rPr>
              <w:t>)</w:t>
            </w:r>
          </w:p>
        </w:tc>
        <w:tc>
          <w:tcPr>
            <w:tcW w:w="3847" w:type="dxa"/>
            <w:vAlign w:val="center"/>
          </w:tcPr>
          <w:p w14:paraId="617EF244" w14:textId="119E0E2B" w:rsidR="00481CF8" w:rsidRPr="00547C7F" w:rsidRDefault="00481CF8" w:rsidP="00481CF8">
            <w:pPr>
              <w:tabs>
                <w:tab w:val="left" w:pos="3200"/>
              </w:tabs>
              <w:rPr>
                <w:rFonts w:asciiTheme="majorHAnsi" w:hAnsiTheme="majorHAnsi" w:cs="Arial"/>
                <w:sz w:val="22"/>
                <w:szCs w:val="22"/>
              </w:rPr>
            </w:pPr>
            <w:r w:rsidRPr="00547C7F">
              <w:rPr>
                <w:rFonts w:asciiTheme="majorHAnsi" w:hAnsiTheme="majorHAnsi" w:cs="Arial"/>
                <w:sz w:val="22"/>
                <w:szCs w:val="22"/>
              </w:rPr>
              <w:t xml:space="preserve">Compliance achievable through specific conditions established in </w:t>
            </w:r>
            <w:r w:rsidRPr="00547C7F">
              <w:rPr>
                <w:rFonts w:asciiTheme="majorHAnsi" w:hAnsiTheme="majorHAnsi" w:cs="Arial"/>
                <w:noProof/>
                <w:sz w:val="22"/>
                <w:szCs w:val="22"/>
              </w:rPr>
              <w:t>legal</w:t>
            </w:r>
            <w:r w:rsidRPr="00547C7F">
              <w:rPr>
                <w:rFonts w:asciiTheme="majorHAnsi" w:hAnsiTheme="majorHAnsi" w:cs="Arial"/>
                <w:sz w:val="22"/>
                <w:szCs w:val="22"/>
              </w:rPr>
              <w:t xml:space="preserve"> documentation for actions over a defined </w:t>
            </w:r>
            <w:proofErr w:type="gramStart"/>
            <w:r w:rsidRPr="00547C7F">
              <w:rPr>
                <w:rFonts w:asciiTheme="majorHAnsi" w:hAnsiTheme="majorHAnsi" w:cs="Arial"/>
                <w:sz w:val="22"/>
                <w:szCs w:val="22"/>
              </w:rPr>
              <w:t>period of time</w:t>
            </w:r>
            <w:proofErr w:type="gramEnd"/>
            <w:r w:rsidR="0087228B">
              <w:rPr>
                <w:rFonts w:asciiTheme="majorHAnsi" w:hAnsiTheme="majorHAnsi" w:cs="Arial"/>
                <w:sz w:val="22"/>
                <w:szCs w:val="22"/>
              </w:rPr>
              <w:t>.</w:t>
            </w:r>
          </w:p>
        </w:tc>
        <w:tc>
          <w:tcPr>
            <w:tcW w:w="4140" w:type="dxa"/>
            <w:vAlign w:val="center"/>
          </w:tcPr>
          <w:p w14:paraId="01C25063" w14:textId="77777777" w:rsidR="00481CF8" w:rsidRDefault="00481CF8" w:rsidP="00481CF8">
            <w:pPr>
              <w:tabs>
                <w:tab w:val="left" w:pos="3200"/>
              </w:tabs>
              <w:rPr>
                <w:rFonts w:asciiTheme="majorHAnsi" w:hAnsiTheme="majorHAnsi" w:cs="Arial"/>
                <w:sz w:val="22"/>
                <w:szCs w:val="22"/>
              </w:rPr>
            </w:pPr>
            <w:r w:rsidRPr="00547C7F">
              <w:rPr>
                <w:rFonts w:asciiTheme="majorHAnsi" w:hAnsiTheme="majorHAnsi" w:cs="Arial"/>
                <w:noProof/>
                <w:sz w:val="22"/>
                <w:szCs w:val="22"/>
                <w:u w:val="single"/>
              </w:rPr>
              <w:t>Condition</w:t>
            </w:r>
            <w:r w:rsidRPr="00547C7F">
              <w:rPr>
                <w:rFonts w:asciiTheme="majorHAnsi" w:hAnsiTheme="majorHAnsi" w:cs="Arial"/>
                <w:sz w:val="22"/>
                <w:szCs w:val="22"/>
                <w:u w:val="single"/>
              </w:rPr>
              <w:t xml:space="preserve"> of execution</w:t>
            </w:r>
            <w:r w:rsidRPr="00547C7F">
              <w:rPr>
                <w:rFonts w:asciiTheme="majorHAnsi" w:hAnsiTheme="majorHAnsi" w:cs="Arial"/>
                <w:sz w:val="22"/>
                <w:szCs w:val="22"/>
              </w:rPr>
              <w:t xml:space="preserve">: </w:t>
            </w:r>
          </w:p>
          <w:p w14:paraId="5E21161C" w14:textId="0BDA8714" w:rsidR="00481CF8" w:rsidRPr="00547C7F" w:rsidRDefault="00481CF8" w:rsidP="00481CF8">
            <w:pPr>
              <w:tabs>
                <w:tab w:val="left" w:pos="3200"/>
              </w:tabs>
              <w:rPr>
                <w:rFonts w:asciiTheme="majorHAnsi" w:hAnsiTheme="majorHAnsi" w:cs="Arial"/>
                <w:sz w:val="22"/>
                <w:szCs w:val="22"/>
              </w:rPr>
            </w:pPr>
            <w:r w:rsidRPr="00547C7F">
              <w:rPr>
                <w:rFonts w:asciiTheme="majorHAnsi" w:hAnsiTheme="majorHAnsi" w:cs="Arial"/>
                <w:sz w:val="22"/>
                <w:szCs w:val="22"/>
              </w:rPr>
              <w:t>Implementation of the ESIA/ESMP Addendum which includes the Communications Plan</w:t>
            </w:r>
            <w:r w:rsidR="0087228B">
              <w:rPr>
                <w:rFonts w:asciiTheme="majorHAnsi" w:hAnsiTheme="majorHAnsi" w:cs="Arial"/>
                <w:sz w:val="22"/>
                <w:szCs w:val="22"/>
              </w:rPr>
              <w:t>.</w:t>
            </w:r>
          </w:p>
        </w:tc>
      </w:tr>
    </w:tbl>
    <w:p w14:paraId="382D7C07" w14:textId="77777777" w:rsidR="00B01F04" w:rsidRDefault="00B01F04" w:rsidP="004B6155">
      <w:pPr>
        <w:widowControl w:val="0"/>
        <w:autoSpaceDE w:val="0"/>
        <w:autoSpaceDN w:val="0"/>
        <w:adjustRightInd w:val="0"/>
        <w:ind w:right="-720"/>
        <w:jc w:val="both"/>
        <w:rPr>
          <w:rFonts w:ascii="Arial" w:hAnsi="Arial" w:cs="Arial"/>
          <w:bCs/>
          <w:sz w:val="20"/>
          <w:szCs w:val="20"/>
        </w:rPr>
      </w:pPr>
    </w:p>
    <w:p w14:paraId="43FBF528" w14:textId="77777777" w:rsidR="00874CC0" w:rsidRDefault="00874CC0" w:rsidP="004B6155">
      <w:pPr>
        <w:widowControl w:val="0"/>
        <w:autoSpaceDE w:val="0"/>
        <w:autoSpaceDN w:val="0"/>
        <w:adjustRightInd w:val="0"/>
        <w:ind w:right="-720"/>
        <w:jc w:val="both"/>
        <w:rPr>
          <w:rFonts w:ascii="Arial" w:hAnsi="Arial" w:cs="Arial"/>
          <w:bCs/>
          <w:sz w:val="20"/>
          <w:szCs w:val="20"/>
        </w:rPr>
      </w:pPr>
    </w:p>
    <w:p w14:paraId="33F8C67D" w14:textId="77777777" w:rsidR="00874CC0" w:rsidRDefault="00874CC0" w:rsidP="004B6155">
      <w:pPr>
        <w:widowControl w:val="0"/>
        <w:autoSpaceDE w:val="0"/>
        <w:autoSpaceDN w:val="0"/>
        <w:adjustRightInd w:val="0"/>
        <w:ind w:right="-720"/>
        <w:jc w:val="both"/>
        <w:rPr>
          <w:rFonts w:ascii="Arial" w:hAnsi="Arial" w:cs="Arial"/>
          <w:bCs/>
          <w:sz w:val="20"/>
          <w:szCs w:val="20"/>
        </w:rPr>
      </w:pPr>
    </w:p>
    <w:p w14:paraId="69E383C5" w14:textId="77777777" w:rsidR="00BE1ADE" w:rsidRDefault="00874CC0" w:rsidP="00BE1ADE">
      <w:pPr>
        <w:rPr>
          <w:rFonts w:ascii="Arial" w:hAnsi="Arial" w:cs="Arial"/>
          <w:bCs/>
          <w:sz w:val="22"/>
          <w:szCs w:val="22"/>
        </w:rPr>
        <w:sectPr w:rsidR="00BE1ADE" w:rsidSect="00883BA1">
          <w:pgSz w:w="15840" w:h="12240" w:orient="landscape"/>
          <w:pgMar w:top="1166" w:right="1440" w:bottom="1800" w:left="1440" w:header="720" w:footer="720" w:gutter="0"/>
          <w:cols w:space="720"/>
          <w:docGrid w:linePitch="360"/>
        </w:sectPr>
      </w:pPr>
      <w:r>
        <w:rPr>
          <w:rFonts w:ascii="Arial" w:hAnsi="Arial" w:cs="Arial"/>
          <w:bCs/>
          <w:sz w:val="22"/>
          <w:szCs w:val="22"/>
        </w:rPr>
        <w:br w:type="page"/>
      </w:r>
    </w:p>
    <w:tbl>
      <w:tblPr>
        <w:tblW w:w="9270" w:type="dxa"/>
        <w:tblInd w:w="-8"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9270"/>
      </w:tblGrid>
      <w:tr w:rsidR="009F0069" w:rsidRPr="007C0236" w14:paraId="2209BF5C" w14:textId="77777777" w:rsidTr="00782434">
        <w:trPr>
          <w:trHeight w:val="429"/>
        </w:trPr>
        <w:tc>
          <w:tcPr>
            <w:tcW w:w="9270"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14:paraId="58431F04" w14:textId="77777777" w:rsidR="006500FF" w:rsidRPr="00CB6CEA" w:rsidRDefault="006500FF" w:rsidP="00CB6CEA">
            <w:pPr>
              <w:rPr>
                <w:rFonts w:ascii="Arial" w:hAnsi="Arial" w:cs="Arial"/>
                <w:b/>
              </w:rPr>
            </w:pPr>
            <w:r w:rsidRPr="00CB6CEA">
              <w:rPr>
                <w:rFonts w:ascii="Arial" w:hAnsi="Arial" w:cs="Arial"/>
                <w:b/>
                <w:bCs/>
              </w:rPr>
              <w:lastRenderedPageBreak/>
              <w:t>Annex B. ESHS Legal Requirements</w:t>
            </w:r>
            <w:r w:rsidRPr="00CB6CEA">
              <w:rPr>
                <w:rFonts w:ascii="Arial" w:hAnsi="Arial" w:cs="Arial"/>
                <w:b/>
              </w:rPr>
              <w:t xml:space="preserve"> </w:t>
            </w:r>
          </w:p>
        </w:tc>
      </w:tr>
      <w:tr w:rsidR="003E4D3C" w:rsidRPr="00300337" w14:paraId="69AB4BBF" w14:textId="77777777" w:rsidTr="00782434">
        <w:tblPrEx>
          <w:tblCellMar>
            <w:top w:w="0" w:type="dxa"/>
            <w:left w:w="108" w:type="dxa"/>
            <w:bottom w:w="0" w:type="dxa"/>
            <w:right w:w="108" w:type="dxa"/>
          </w:tblCellMar>
        </w:tblPrEx>
        <w:trPr>
          <w:trHeight w:val="236"/>
        </w:trPr>
        <w:tc>
          <w:tcPr>
            <w:tcW w:w="92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05" w:type="dxa"/>
              <w:bottom w:w="15" w:type="dxa"/>
              <w:right w:w="105" w:type="dxa"/>
            </w:tcMar>
          </w:tcPr>
          <w:p w14:paraId="6AFEFD44" w14:textId="77777777" w:rsidR="00A07665" w:rsidRPr="00300337" w:rsidRDefault="00A07665" w:rsidP="000D3786">
            <w:pPr>
              <w:spacing w:before="120" w:after="120"/>
              <w:rPr>
                <w:rFonts w:asciiTheme="majorHAnsi" w:eastAsia="Times New Roman" w:hAnsiTheme="majorHAnsi" w:cs="Arial"/>
                <w:b/>
                <w:sz w:val="22"/>
                <w:szCs w:val="22"/>
              </w:rPr>
            </w:pPr>
            <w:r w:rsidRPr="00300337">
              <w:rPr>
                <w:rFonts w:asciiTheme="majorHAnsi" w:eastAsia="Times New Roman" w:hAnsiTheme="majorHAnsi" w:cs="Arial"/>
                <w:b/>
                <w:sz w:val="22"/>
                <w:szCs w:val="22"/>
              </w:rPr>
              <w:t>ESHS Conditions of the Loan Agreement</w:t>
            </w:r>
          </w:p>
          <w:p w14:paraId="53471988" w14:textId="77777777" w:rsidR="003E4D3C" w:rsidRPr="00300337" w:rsidRDefault="00A07665" w:rsidP="000D3786">
            <w:pPr>
              <w:spacing w:before="120" w:after="120"/>
              <w:rPr>
                <w:rFonts w:asciiTheme="majorHAnsi" w:eastAsia="Times New Roman" w:hAnsiTheme="majorHAnsi" w:cs="Arial"/>
                <w:b/>
                <w:sz w:val="22"/>
                <w:szCs w:val="22"/>
              </w:rPr>
            </w:pPr>
            <w:r w:rsidRPr="00300337">
              <w:rPr>
                <w:rFonts w:asciiTheme="majorHAnsi" w:eastAsia="Times New Roman" w:hAnsiTheme="majorHAnsi" w:cs="Arial"/>
                <w:sz w:val="22"/>
                <w:szCs w:val="22"/>
              </w:rPr>
              <w:t xml:space="preserve">The following ESHS conditions are required to be fulfilled to the satisfaction of the Bank and will be included in the Loan Agreement </w:t>
            </w:r>
            <w:proofErr w:type="gramStart"/>
            <w:r w:rsidRPr="00300337">
              <w:rPr>
                <w:rFonts w:asciiTheme="majorHAnsi" w:eastAsia="Times New Roman" w:hAnsiTheme="majorHAnsi" w:cs="Arial"/>
                <w:sz w:val="22"/>
                <w:szCs w:val="22"/>
              </w:rPr>
              <w:t>in order to</w:t>
            </w:r>
            <w:proofErr w:type="gramEnd"/>
            <w:r w:rsidRPr="00300337">
              <w:rPr>
                <w:rFonts w:asciiTheme="majorHAnsi" w:eastAsia="Times New Roman" w:hAnsiTheme="majorHAnsi" w:cs="Arial"/>
                <w:sz w:val="22"/>
                <w:szCs w:val="22"/>
              </w:rPr>
              <w:t xml:space="preserve"> comply with the Bank’s ESHS Safeguard Policies:</w:t>
            </w:r>
          </w:p>
        </w:tc>
      </w:tr>
      <w:tr w:rsidR="00A07665" w:rsidRPr="00300337" w14:paraId="09153FE7" w14:textId="77777777" w:rsidTr="001F64F0">
        <w:tblPrEx>
          <w:tblCellMar>
            <w:top w:w="0" w:type="dxa"/>
            <w:left w:w="108" w:type="dxa"/>
            <w:bottom w:w="0" w:type="dxa"/>
            <w:right w:w="108" w:type="dxa"/>
          </w:tblCellMar>
        </w:tblPrEx>
        <w:trPr>
          <w:trHeight w:val="236"/>
        </w:trPr>
        <w:tc>
          <w:tcPr>
            <w:tcW w:w="92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05" w:type="dxa"/>
              <w:bottom w:w="15" w:type="dxa"/>
              <w:right w:w="105" w:type="dxa"/>
            </w:tcMar>
          </w:tcPr>
          <w:p w14:paraId="6B85DA51" w14:textId="77777777" w:rsidR="00A07665" w:rsidRPr="00300337" w:rsidRDefault="00A07665" w:rsidP="000D3786">
            <w:pPr>
              <w:spacing w:before="120" w:after="120"/>
              <w:rPr>
                <w:rFonts w:asciiTheme="majorHAnsi" w:eastAsia="Times New Roman" w:hAnsiTheme="majorHAnsi" w:cs="Arial"/>
                <w:b/>
                <w:sz w:val="22"/>
                <w:szCs w:val="22"/>
              </w:rPr>
            </w:pPr>
            <w:r>
              <w:rPr>
                <w:rFonts w:asciiTheme="majorHAnsi" w:eastAsia="Times New Roman" w:hAnsiTheme="majorHAnsi" w:cs="Arial"/>
                <w:b/>
                <w:sz w:val="22"/>
                <w:szCs w:val="22"/>
              </w:rPr>
              <w:t xml:space="preserve">A. </w:t>
            </w:r>
            <w:r w:rsidRPr="00B628CA">
              <w:rPr>
                <w:rFonts w:asciiTheme="majorHAnsi" w:eastAsia="Times New Roman" w:hAnsiTheme="majorHAnsi" w:cs="Arial"/>
                <w:b/>
                <w:sz w:val="22"/>
                <w:szCs w:val="22"/>
              </w:rPr>
              <w:t>Clause</w:t>
            </w:r>
            <w:r w:rsidR="00217625">
              <w:rPr>
                <w:rFonts w:asciiTheme="majorHAnsi" w:eastAsia="Times New Roman" w:hAnsiTheme="majorHAnsi" w:cs="Arial"/>
                <w:b/>
                <w:sz w:val="22"/>
                <w:szCs w:val="22"/>
              </w:rPr>
              <w:t>s to be Incorporated in the Special Conditions</w:t>
            </w:r>
          </w:p>
        </w:tc>
      </w:tr>
      <w:tr w:rsidR="002A65A1" w:rsidRPr="007C0236" w14:paraId="0804D8F3" w14:textId="77777777" w:rsidTr="00A34D6A">
        <w:trPr>
          <w:trHeight w:val="236"/>
        </w:trPr>
        <w:tc>
          <w:tcPr>
            <w:tcW w:w="92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0F4138BE" w14:textId="77777777" w:rsidR="00217625" w:rsidRDefault="00217625" w:rsidP="00217625">
            <w:pPr>
              <w:spacing w:before="120" w:after="120"/>
              <w:rPr>
                <w:rFonts w:asciiTheme="majorHAnsi" w:eastAsia="Times New Roman" w:hAnsiTheme="majorHAnsi" w:cs="Arial"/>
                <w:b/>
                <w:sz w:val="22"/>
                <w:szCs w:val="22"/>
              </w:rPr>
            </w:pPr>
            <w:r w:rsidRPr="000D3786">
              <w:rPr>
                <w:rFonts w:asciiTheme="majorHAnsi" w:eastAsia="Times New Roman" w:hAnsiTheme="majorHAnsi" w:cs="Arial"/>
                <w:b/>
                <w:sz w:val="22"/>
                <w:szCs w:val="22"/>
              </w:rPr>
              <w:t xml:space="preserve">(1)  Conditions for </w:t>
            </w:r>
            <w:r w:rsidRPr="005263D4">
              <w:rPr>
                <w:rFonts w:asciiTheme="majorHAnsi" w:eastAsia="Times New Roman" w:hAnsiTheme="majorHAnsi" w:cs="Arial"/>
                <w:b/>
                <w:noProof/>
                <w:sz w:val="22"/>
                <w:szCs w:val="22"/>
              </w:rPr>
              <w:t>First</w:t>
            </w:r>
            <w:r w:rsidRPr="000D3786">
              <w:rPr>
                <w:rFonts w:asciiTheme="majorHAnsi" w:eastAsia="Times New Roman" w:hAnsiTheme="majorHAnsi" w:cs="Arial"/>
                <w:b/>
                <w:sz w:val="22"/>
                <w:szCs w:val="22"/>
              </w:rPr>
              <w:t xml:space="preserve"> Disbursement of the Loan</w:t>
            </w:r>
          </w:p>
          <w:p w14:paraId="542A90DD" w14:textId="16A9778B" w:rsidR="00217625" w:rsidRPr="00974F4D" w:rsidRDefault="00217625" w:rsidP="00217625">
            <w:pPr>
              <w:spacing w:before="120" w:after="120"/>
              <w:jc w:val="both"/>
              <w:rPr>
                <w:rFonts w:asciiTheme="majorHAnsi" w:eastAsia="Times New Roman" w:hAnsiTheme="majorHAnsi" w:cs="Arial"/>
                <w:sz w:val="22"/>
                <w:szCs w:val="22"/>
              </w:rPr>
            </w:pPr>
            <w:r>
              <w:rPr>
                <w:rFonts w:asciiTheme="majorHAnsi" w:eastAsia="Times New Roman" w:hAnsiTheme="majorHAnsi" w:cs="Arial"/>
                <w:sz w:val="22"/>
                <w:szCs w:val="22"/>
              </w:rPr>
              <w:t xml:space="preserve">(a) </w:t>
            </w:r>
            <w:r w:rsidR="00974F4D" w:rsidRPr="00974F4D">
              <w:rPr>
                <w:rFonts w:asciiTheme="majorHAnsi" w:eastAsia="Times New Roman" w:hAnsiTheme="majorHAnsi" w:cs="Arial"/>
                <w:sz w:val="22"/>
                <w:szCs w:val="22"/>
              </w:rPr>
              <w:t>As part of the execution structure, one environmental specialist, and one social specialist will be appointed to address the socio-environmental requirements of the project as a condition precedent to the first disbursement of financing resources</w:t>
            </w:r>
            <w:r w:rsidRPr="00217625">
              <w:rPr>
                <w:rFonts w:asciiTheme="majorHAnsi" w:eastAsia="Times New Roman" w:hAnsiTheme="majorHAnsi" w:cs="Arial"/>
                <w:sz w:val="22"/>
                <w:szCs w:val="22"/>
              </w:rPr>
              <w:t>.</w:t>
            </w:r>
          </w:p>
          <w:p w14:paraId="00043ED6" w14:textId="77777777" w:rsidR="00217625" w:rsidRPr="005B7072" w:rsidRDefault="00217625" w:rsidP="00217625">
            <w:pPr>
              <w:spacing w:before="120" w:after="120"/>
              <w:jc w:val="both"/>
              <w:rPr>
                <w:rFonts w:asciiTheme="majorHAnsi" w:eastAsia="Times New Roman" w:hAnsiTheme="majorHAnsi" w:cs="Arial"/>
                <w:sz w:val="22"/>
                <w:szCs w:val="22"/>
              </w:rPr>
            </w:pPr>
            <w:r w:rsidRPr="000D3786">
              <w:rPr>
                <w:rFonts w:asciiTheme="majorHAnsi" w:eastAsia="Times New Roman" w:hAnsiTheme="majorHAnsi" w:cs="Arial"/>
                <w:i/>
                <w:sz w:val="22"/>
                <w:szCs w:val="22"/>
              </w:rPr>
              <w:t>Justification: The executing agency does not have a governance structure nor adequate staff in place to ensure the adequate implementation of the ESHS requirements of the Bank</w:t>
            </w:r>
          </w:p>
          <w:p w14:paraId="3DEB5555" w14:textId="22BFF243" w:rsidR="00217625" w:rsidRPr="00217625" w:rsidRDefault="00217625" w:rsidP="00217625">
            <w:pPr>
              <w:spacing w:before="120" w:after="120"/>
              <w:jc w:val="both"/>
              <w:rPr>
                <w:rFonts w:asciiTheme="majorHAnsi" w:eastAsia="Times New Roman" w:hAnsiTheme="majorHAnsi" w:cs="Arial"/>
                <w:sz w:val="22"/>
                <w:szCs w:val="22"/>
              </w:rPr>
            </w:pPr>
            <w:r>
              <w:rPr>
                <w:rFonts w:asciiTheme="majorHAnsi" w:eastAsia="Times New Roman" w:hAnsiTheme="majorHAnsi" w:cs="Arial"/>
                <w:sz w:val="22"/>
                <w:szCs w:val="22"/>
              </w:rPr>
              <w:t xml:space="preserve">(b) </w:t>
            </w:r>
            <w:r w:rsidRPr="00217625">
              <w:rPr>
                <w:rFonts w:asciiTheme="majorHAnsi" w:eastAsia="Times New Roman" w:hAnsiTheme="majorHAnsi" w:cs="Arial"/>
                <w:sz w:val="22"/>
                <w:szCs w:val="22"/>
              </w:rPr>
              <w:t xml:space="preserve">The Executing Agency shall present evidence that it has (i) adopted the grievance redress mechanism; (ii) implemented the </w:t>
            </w:r>
            <w:r w:rsidR="009763F7">
              <w:rPr>
                <w:rFonts w:asciiTheme="majorHAnsi" w:eastAsia="Times New Roman" w:hAnsiTheme="majorHAnsi" w:cs="Arial"/>
                <w:sz w:val="22"/>
                <w:szCs w:val="22"/>
              </w:rPr>
              <w:t xml:space="preserve">measures of the </w:t>
            </w:r>
            <w:r w:rsidRPr="00217625">
              <w:rPr>
                <w:rFonts w:asciiTheme="majorHAnsi" w:eastAsia="Times New Roman" w:hAnsiTheme="majorHAnsi" w:cs="Arial"/>
                <w:sz w:val="22"/>
                <w:szCs w:val="22"/>
              </w:rPr>
              <w:t>Resettlement and Livelihoods Restoration Plan, for Sections I (Roaring Creek Bridge) and Section II (Roaring Creek to Iguana Creek Junction) of the Project.</w:t>
            </w:r>
          </w:p>
          <w:p w14:paraId="08358390" w14:textId="5FC7ACBA" w:rsidR="002A65A1" w:rsidRPr="00A34D6A" w:rsidRDefault="00217625" w:rsidP="000D3786">
            <w:pPr>
              <w:spacing w:before="120" w:after="120"/>
              <w:jc w:val="both"/>
              <w:rPr>
                <w:rFonts w:ascii="Arial" w:eastAsia="Times New Roman" w:hAnsi="Arial" w:cs="Arial"/>
                <w:sz w:val="20"/>
                <w:szCs w:val="20"/>
                <w:lang w:val="en"/>
              </w:rPr>
            </w:pPr>
            <w:r>
              <w:rPr>
                <w:rFonts w:asciiTheme="majorHAnsi" w:eastAsia="Times New Roman" w:hAnsiTheme="majorHAnsi" w:cs="Arial"/>
                <w:i/>
                <w:sz w:val="22"/>
                <w:szCs w:val="22"/>
              </w:rPr>
              <w:t>Justification:</w:t>
            </w:r>
            <w:r w:rsidRPr="000D3786">
              <w:rPr>
                <w:rFonts w:asciiTheme="majorHAnsi" w:eastAsia="Times New Roman" w:hAnsiTheme="majorHAnsi" w:cs="Arial"/>
                <w:i/>
                <w:sz w:val="22"/>
                <w:szCs w:val="22"/>
              </w:rPr>
              <w:t xml:space="preserve"> (i) </w:t>
            </w:r>
            <w:r w:rsidRPr="006D53F7">
              <w:rPr>
                <w:rFonts w:asciiTheme="majorHAnsi" w:eastAsia="Times New Roman" w:hAnsiTheme="majorHAnsi" w:cs="Arial"/>
                <w:i/>
                <w:sz w:val="22"/>
                <w:szCs w:val="22"/>
              </w:rPr>
              <w:t>A functioning grievance redress mechanism is necessary to ensure that people have the means to express their concerns or complaints against any area of the project</w:t>
            </w:r>
            <w:r>
              <w:rPr>
                <w:rFonts w:asciiTheme="majorHAnsi" w:eastAsia="Times New Roman" w:hAnsiTheme="majorHAnsi" w:cs="Arial"/>
                <w:i/>
                <w:sz w:val="22"/>
                <w:szCs w:val="22"/>
              </w:rPr>
              <w:t xml:space="preserve">; (ii) since Sections I and II of the </w:t>
            </w:r>
            <w:proofErr w:type="gramStart"/>
            <w:r>
              <w:rPr>
                <w:rFonts w:asciiTheme="majorHAnsi" w:eastAsia="Times New Roman" w:hAnsiTheme="majorHAnsi" w:cs="Arial"/>
                <w:i/>
                <w:sz w:val="22"/>
                <w:szCs w:val="22"/>
              </w:rPr>
              <w:t>road</w:t>
            </w:r>
            <w:proofErr w:type="gramEnd"/>
            <w:r>
              <w:rPr>
                <w:rFonts w:asciiTheme="majorHAnsi" w:eastAsia="Times New Roman" w:hAnsiTheme="majorHAnsi" w:cs="Arial"/>
                <w:i/>
                <w:sz w:val="22"/>
                <w:szCs w:val="22"/>
              </w:rPr>
              <w:t xml:space="preserve"> are already in construction, the resettlement and compensation </w:t>
            </w:r>
            <w:r w:rsidR="00C5533B">
              <w:rPr>
                <w:rFonts w:asciiTheme="majorHAnsi" w:eastAsia="Times New Roman" w:hAnsiTheme="majorHAnsi" w:cs="Arial"/>
                <w:i/>
                <w:sz w:val="22"/>
                <w:szCs w:val="22"/>
              </w:rPr>
              <w:t xml:space="preserve">measures </w:t>
            </w:r>
            <w:r>
              <w:rPr>
                <w:rFonts w:asciiTheme="majorHAnsi" w:eastAsia="Times New Roman" w:hAnsiTheme="majorHAnsi" w:cs="Arial"/>
                <w:i/>
                <w:sz w:val="22"/>
                <w:szCs w:val="22"/>
              </w:rPr>
              <w:t xml:space="preserve">must be </w:t>
            </w:r>
            <w:r w:rsidR="00C5533B">
              <w:rPr>
                <w:rFonts w:asciiTheme="majorHAnsi" w:eastAsia="Times New Roman" w:hAnsiTheme="majorHAnsi" w:cs="Arial"/>
                <w:i/>
                <w:sz w:val="22"/>
                <w:szCs w:val="22"/>
              </w:rPr>
              <w:t xml:space="preserve">implemented </w:t>
            </w:r>
            <w:r>
              <w:rPr>
                <w:rFonts w:asciiTheme="majorHAnsi" w:eastAsia="Times New Roman" w:hAnsiTheme="majorHAnsi" w:cs="Arial"/>
                <w:i/>
                <w:sz w:val="22"/>
                <w:szCs w:val="22"/>
              </w:rPr>
              <w:t xml:space="preserve">before the construction </w:t>
            </w:r>
            <w:r w:rsidR="00C5533B">
              <w:rPr>
                <w:rFonts w:asciiTheme="majorHAnsi" w:eastAsia="Times New Roman" w:hAnsiTheme="majorHAnsi" w:cs="Arial"/>
                <w:i/>
                <w:sz w:val="22"/>
                <w:szCs w:val="22"/>
              </w:rPr>
              <w:t>works</w:t>
            </w:r>
            <w:r w:rsidRPr="006D53F7">
              <w:rPr>
                <w:rFonts w:asciiTheme="majorHAnsi" w:eastAsia="Times New Roman" w:hAnsiTheme="majorHAnsi" w:cs="Arial"/>
                <w:i/>
                <w:sz w:val="22"/>
                <w:szCs w:val="22"/>
              </w:rPr>
              <w:t>.</w:t>
            </w:r>
          </w:p>
        </w:tc>
      </w:tr>
      <w:tr w:rsidR="00782434" w:rsidRPr="007C0236" w14:paraId="1FF05DED" w14:textId="77777777" w:rsidTr="00A07665">
        <w:trPr>
          <w:trHeight w:val="236"/>
        </w:trPr>
        <w:tc>
          <w:tcPr>
            <w:tcW w:w="92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3D038724" w14:textId="77777777" w:rsidR="005B7072" w:rsidRPr="00217625" w:rsidRDefault="00217625" w:rsidP="00217625">
            <w:pPr>
              <w:spacing w:before="120" w:after="120"/>
              <w:rPr>
                <w:rFonts w:asciiTheme="majorHAnsi" w:eastAsia="Times New Roman" w:hAnsiTheme="majorHAnsi" w:cs="Arial"/>
                <w:b/>
                <w:sz w:val="22"/>
                <w:szCs w:val="22"/>
              </w:rPr>
            </w:pPr>
            <w:r>
              <w:rPr>
                <w:rFonts w:asciiTheme="majorHAnsi" w:eastAsia="Times New Roman" w:hAnsiTheme="majorHAnsi" w:cs="Arial"/>
                <w:b/>
                <w:sz w:val="22"/>
                <w:szCs w:val="22"/>
              </w:rPr>
              <w:t xml:space="preserve">(2) </w:t>
            </w:r>
            <w:r w:rsidRPr="00217625" w:rsidDel="00217625">
              <w:rPr>
                <w:rFonts w:asciiTheme="majorHAnsi" w:eastAsia="Times New Roman" w:hAnsiTheme="majorHAnsi" w:cs="Arial"/>
                <w:b/>
                <w:sz w:val="22"/>
                <w:szCs w:val="22"/>
              </w:rPr>
              <w:t xml:space="preserve"> </w:t>
            </w:r>
            <w:r w:rsidR="0057377A" w:rsidRPr="00217625">
              <w:rPr>
                <w:rFonts w:asciiTheme="majorHAnsi" w:eastAsia="Times New Roman" w:hAnsiTheme="majorHAnsi" w:cs="Arial"/>
                <w:b/>
                <w:sz w:val="22"/>
                <w:szCs w:val="22"/>
              </w:rPr>
              <w:t>Special Conditions of Execution</w:t>
            </w:r>
          </w:p>
          <w:p w14:paraId="4B645801" w14:textId="77777777" w:rsidR="00217625" w:rsidRPr="0085554C" w:rsidRDefault="00217625" w:rsidP="00217625">
            <w:pPr>
              <w:jc w:val="both"/>
              <w:rPr>
                <w:rFonts w:asciiTheme="majorHAnsi" w:eastAsia="Times New Roman" w:hAnsiTheme="majorHAnsi" w:cs="Arial"/>
                <w:b/>
                <w:sz w:val="22"/>
                <w:szCs w:val="22"/>
              </w:rPr>
            </w:pPr>
            <w:r w:rsidRPr="0085554C">
              <w:rPr>
                <w:rFonts w:asciiTheme="majorHAnsi" w:eastAsia="Times New Roman" w:hAnsiTheme="majorHAnsi" w:cs="Arial"/>
                <w:sz w:val="22"/>
                <w:szCs w:val="22"/>
              </w:rPr>
              <w:t>(a) The Borrower agrees to design, build, operate, maintain, and monitor the Project and manage the ESHS risks of the Project’s Associated Facilities directly or through the Executing Agency or</w:t>
            </w:r>
            <w:r>
              <w:rPr>
                <w:rFonts w:asciiTheme="majorHAnsi" w:eastAsia="Times New Roman" w:hAnsiTheme="majorHAnsi" w:cs="Arial"/>
                <w:sz w:val="22"/>
                <w:szCs w:val="22"/>
              </w:rPr>
              <w:t xml:space="preserve"> </w:t>
            </w:r>
            <w:r w:rsidRPr="0085554C">
              <w:rPr>
                <w:rFonts w:asciiTheme="majorHAnsi" w:eastAsia="Times New Roman" w:hAnsiTheme="majorHAnsi" w:cs="Arial"/>
                <w:sz w:val="22"/>
                <w:szCs w:val="22"/>
              </w:rPr>
              <w:t>through every other contractor, operator or any other person performing Project related activities in</w:t>
            </w:r>
            <w:r>
              <w:rPr>
                <w:rFonts w:asciiTheme="majorHAnsi" w:eastAsia="Times New Roman" w:hAnsiTheme="majorHAnsi" w:cs="Arial"/>
                <w:sz w:val="22"/>
                <w:szCs w:val="22"/>
              </w:rPr>
              <w:t xml:space="preserve"> </w:t>
            </w:r>
            <w:r w:rsidRPr="0085554C">
              <w:rPr>
                <w:rFonts w:asciiTheme="majorHAnsi" w:eastAsia="Times New Roman" w:hAnsiTheme="majorHAnsi" w:cs="Arial"/>
                <w:sz w:val="22"/>
                <w:szCs w:val="22"/>
              </w:rPr>
              <w:t>accordance with the environmental, social, occupational health provisions provided for in the</w:t>
            </w:r>
            <w:r>
              <w:rPr>
                <w:rFonts w:asciiTheme="majorHAnsi" w:eastAsia="Times New Roman" w:hAnsiTheme="majorHAnsi" w:cs="Arial"/>
                <w:sz w:val="22"/>
                <w:szCs w:val="22"/>
              </w:rPr>
              <w:t xml:space="preserve"> </w:t>
            </w:r>
            <w:r w:rsidRPr="0085554C">
              <w:rPr>
                <w:rFonts w:asciiTheme="majorHAnsi" w:eastAsia="Times New Roman" w:hAnsiTheme="majorHAnsi" w:cs="Arial"/>
                <w:sz w:val="22"/>
                <w:szCs w:val="22"/>
              </w:rPr>
              <w:t xml:space="preserve">Operation </w:t>
            </w:r>
            <w:r>
              <w:rPr>
                <w:rFonts w:asciiTheme="majorHAnsi" w:eastAsia="Times New Roman" w:hAnsiTheme="majorHAnsi" w:cs="Arial"/>
                <w:sz w:val="22"/>
                <w:szCs w:val="22"/>
              </w:rPr>
              <w:t>Manual,</w:t>
            </w:r>
            <w:r w:rsidRPr="0085554C">
              <w:rPr>
                <w:rFonts w:asciiTheme="majorHAnsi" w:eastAsia="Times New Roman" w:hAnsiTheme="majorHAnsi" w:cs="Arial"/>
                <w:sz w:val="22"/>
                <w:szCs w:val="22"/>
              </w:rPr>
              <w:t xml:space="preserve"> </w:t>
            </w:r>
            <w:r>
              <w:rPr>
                <w:rFonts w:asciiTheme="majorHAnsi" w:eastAsia="Times New Roman" w:hAnsiTheme="majorHAnsi" w:cs="Arial"/>
                <w:sz w:val="22"/>
                <w:szCs w:val="22"/>
              </w:rPr>
              <w:t xml:space="preserve">the </w:t>
            </w:r>
            <w:r w:rsidRPr="0085554C">
              <w:rPr>
                <w:rFonts w:asciiTheme="majorHAnsi" w:eastAsia="Times New Roman" w:hAnsiTheme="majorHAnsi" w:cs="Arial"/>
                <w:sz w:val="22"/>
                <w:szCs w:val="22"/>
              </w:rPr>
              <w:t>Environmental</w:t>
            </w:r>
            <w:r>
              <w:rPr>
                <w:rFonts w:asciiTheme="majorHAnsi" w:eastAsia="Times New Roman" w:hAnsiTheme="majorHAnsi" w:cs="Arial"/>
                <w:sz w:val="22"/>
                <w:szCs w:val="22"/>
              </w:rPr>
              <w:t xml:space="preserve"> and Social</w:t>
            </w:r>
            <w:r w:rsidRPr="0085554C">
              <w:rPr>
                <w:rFonts w:asciiTheme="majorHAnsi" w:eastAsia="Times New Roman" w:hAnsiTheme="majorHAnsi" w:cs="Arial"/>
                <w:sz w:val="22"/>
                <w:szCs w:val="22"/>
              </w:rPr>
              <w:t xml:space="preserve"> Impact Assessment</w:t>
            </w:r>
            <w:r>
              <w:rPr>
                <w:rFonts w:asciiTheme="majorHAnsi" w:eastAsia="Times New Roman" w:hAnsiTheme="majorHAnsi" w:cs="Arial"/>
                <w:sz w:val="22"/>
                <w:szCs w:val="22"/>
              </w:rPr>
              <w:t xml:space="preserve"> and the </w:t>
            </w:r>
            <w:r w:rsidRPr="0085554C">
              <w:rPr>
                <w:rFonts w:asciiTheme="majorHAnsi" w:eastAsia="Times New Roman" w:hAnsiTheme="majorHAnsi" w:cs="Arial"/>
                <w:sz w:val="22"/>
                <w:szCs w:val="22"/>
              </w:rPr>
              <w:t>Environmental and Social</w:t>
            </w:r>
            <w:r>
              <w:rPr>
                <w:rFonts w:asciiTheme="majorHAnsi" w:eastAsia="Times New Roman" w:hAnsiTheme="majorHAnsi" w:cs="Arial"/>
                <w:sz w:val="22"/>
                <w:szCs w:val="22"/>
              </w:rPr>
              <w:t xml:space="preserve"> M</w:t>
            </w:r>
            <w:r w:rsidRPr="0085554C">
              <w:rPr>
                <w:rFonts w:asciiTheme="majorHAnsi" w:eastAsia="Times New Roman" w:hAnsiTheme="majorHAnsi" w:cs="Arial"/>
                <w:sz w:val="22"/>
                <w:szCs w:val="22"/>
              </w:rPr>
              <w:t xml:space="preserve">anagement </w:t>
            </w:r>
            <w:r>
              <w:rPr>
                <w:rFonts w:asciiTheme="majorHAnsi" w:eastAsia="Times New Roman" w:hAnsiTheme="majorHAnsi" w:cs="Arial"/>
                <w:sz w:val="22"/>
                <w:szCs w:val="22"/>
              </w:rPr>
              <w:t>P</w:t>
            </w:r>
            <w:r w:rsidRPr="0085554C">
              <w:rPr>
                <w:rFonts w:asciiTheme="majorHAnsi" w:eastAsia="Times New Roman" w:hAnsiTheme="majorHAnsi" w:cs="Arial"/>
                <w:sz w:val="22"/>
                <w:szCs w:val="22"/>
              </w:rPr>
              <w:t>lan</w:t>
            </w:r>
            <w:r>
              <w:rPr>
                <w:rFonts w:asciiTheme="majorHAnsi" w:eastAsia="Times New Roman" w:hAnsiTheme="majorHAnsi" w:cs="Arial"/>
                <w:sz w:val="22"/>
                <w:szCs w:val="22"/>
              </w:rPr>
              <w:t xml:space="preserve"> and its Addendum, the</w:t>
            </w:r>
            <w:r w:rsidRPr="0085554C">
              <w:rPr>
                <w:rFonts w:asciiTheme="majorHAnsi" w:eastAsia="Times New Roman" w:hAnsiTheme="majorHAnsi" w:cs="Arial"/>
                <w:sz w:val="22"/>
                <w:szCs w:val="22"/>
              </w:rPr>
              <w:t xml:space="preserve"> Resettlement</w:t>
            </w:r>
            <w:r>
              <w:rPr>
                <w:rFonts w:asciiTheme="majorHAnsi" w:eastAsia="Times New Roman" w:hAnsiTheme="majorHAnsi" w:cs="Arial"/>
                <w:sz w:val="22"/>
                <w:szCs w:val="22"/>
              </w:rPr>
              <w:t xml:space="preserve"> and Livelihoods Restoration</w:t>
            </w:r>
            <w:r w:rsidRPr="0085554C">
              <w:rPr>
                <w:rFonts w:asciiTheme="majorHAnsi" w:eastAsia="Times New Roman" w:hAnsiTheme="majorHAnsi" w:cs="Arial"/>
                <w:sz w:val="22"/>
                <w:szCs w:val="22"/>
              </w:rPr>
              <w:t xml:space="preserve"> Plan and other</w:t>
            </w:r>
            <w:r>
              <w:rPr>
                <w:rFonts w:asciiTheme="majorHAnsi" w:eastAsia="Times New Roman" w:hAnsiTheme="majorHAnsi" w:cs="Arial"/>
                <w:sz w:val="22"/>
                <w:szCs w:val="22"/>
              </w:rPr>
              <w:t xml:space="preserve"> </w:t>
            </w:r>
            <w:r w:rsidRPr="0085554C">
              <w:rPr>
                <w:rFonts w:asciiTheme="majorHAnsi" w:eastAsia="Times New Roman" w:hAnsiTheme="majorHAnsi" w:cs="Arial"/>
                <w:sz w:val="22"/>
                <w:szCs w:val="22"/>
              </w:rPr>
              <w:t>environmental, social and occupational health plans and requirements included in the Corrective</w:t>
            </w:r>
            <w:r>
              <w:rPr>
                <w:rFonts w:asciiTheme="majorHAnsi" w:eastAsia="Times New Roman" w:hAnsiTheme="majorHAnsi" w:cs="Arial"/>
                <w:sz w:val="22"/>
                <w:szCs w:val="22"/>
              </w:rPr>
              <w:t xml:space="preserve"> </w:t>
            </w:r>
            <w:r w:rsidRPr="0085554C">
              <w:rPr>
                <w:rFonts w:asciiTheme="majorHAnsi" w:eastAsia="Times New Roman" w:hAnsiTheme="majorHAnsi" w:cs="Arial"/>
                <w:sz w:val="22"/>
                <w:szCs w:val="22"/>
              </w:rPr>
              <w:t>Action Plan</w:t>
            </w:r>
            <w:r w:rsidR="00642ADD">
              <w:rPr>
                <w:rFonts w:asciiTheme="majorHAnsi" w:eastAsia="Times New Roman" w:hAnsiTheme="majorHAnsi" w:cs="Arial"/>
                <w:sz w:val="22"/>
                <w:szCs w:val="22"/>
              </w:rPr>
              <w:t xml:space="preserve">. </w:t>
            </w:r>
          </w:p>
          <w:p w14:paraId="6390F5BA" w14:textId="77777777" w:rsidR="00217625" w:rsidRPr="00217625" w:rsidRDefault="00217625" w:rsidP="00217625">
            <w:pPr>
              <w:spacing w:before="120" w:after="120"/>
              <w:jc w:val="both"/>
              <w:rPr>
                <w:rFonts w:asciiTheme="majorHAnsi" w:eastAsia="Times New Roman" w:hAnsiTheme="majorHAnsi" w:cs="Arial"/>
                <w:i/>
                <w:sz w:val="22"/>
                <w:szCs w:val="22"/>
              </w:rPr>
            </w:pPr>
            <w:r w:rsidRPr="00217625">
              <w:rPr>
                <w:rFonts w:asciiTheme="majorHAnsi" w:eastAsia="Times New Roman" w:hAnsiTheme="majorHAnsi" w:cs="Arial"/>
                <w:b/>
                <w:i/>
                <w:sz w:val="22"/>
                <w:szCs w:val="22"/>
              </w:rPr>
              <w:t>Justification:</w:t>
            </w:r>
            <w:r w:rsidRPr="00217625">
              <w:rPr>
                <w:rFonts w:asciiTheme="majorHAnsi" w:eastAsia="Times New Roman" w:hAnsiTheme="majorHAnsi" w:cs="Arial"/>
                <w:i/>
                <w:sz w:val="22"/>
                <w:szCs w:val="22"/>
              </w:rPr>
              <w:t xml:space="preserve"> This obligation is required based on the ESG classification of the Project as Category B </w:t>
            </w:r>
            <w:proofErr w:type="gramStart"/>
            <w:r w:rsidRPr="00217625">
              <w:rPr>
                <w:rFonts w:asciiTheme="majorHAnsi" w:eastAsia="Times New Roman" w:hAnsiTheme="majorHAnsi" w:cs="Arial"/>
                <w:i/>
                <w:sz w:val="22"/>
                <w:szCs w:val="22"/>
              </w:rPr>
              <w:t>in order to</w:t>
            </w:r>
            <w:proofErr w:type="gramEnd"/>
            <w:r w:rsidRPr="00217625">
              <w:rPr>
                <w:rFonts w:asciiTheme="majorHAnsi" w:eastAsia="Times New Roman" w:hAnsiTheme="majorHAnsi" w:cs="Arial"/>
                <w:i/>
                <w:sz w:val="22"/>
                <w:szCs w:val="22"/>
              </w:rPr>
              <w:t xml:space="preserve"> ensure fulfillment of the requirements included in all the analysis, plans and documents related to the management of the socio-environmental issues in the Project by the Executing Agency and also by any contractor, operator, or any person who implements project activities. More specifically this clause enforces and operationalizes Article 6.06, paragraph a) of the General Conditions.</w:t>
            </w:r>
          </w:p>
          <w:p w14:paraId="4B2FD8D4" w14:textId="77777777" w:rsidR="0057377A" w:rsidRDefault="0057377A" w:rsidP="0085554C">
            <w:pPr>
              <w:jc w:val="both"/>
              <w:rPr>
                <w:rFonts w:cs="Arial"/>
                <w:color w:val="0070C0"/>
                <w:sz w:val="22"/>
                <w:szCs w:val="22"/>
                <w:lang w:val="en"/>
              </w:rPr>
            </w:pPr>
            <w:r>
              <w:rPr>
                <w:rFonts w:asciiTheme="majorHAnsi" w:eastAsia="Times New Roman" w:hAnsiTheme="majorHAnsi" w:cs="Arial"/>
                <w:sz w:val="22"/>
                <w:szCs w:val="22"/>
              </w:rPr>
              <w:t xml:space="preserve">(b) </w:t>
            </w:r>
            <w:r w:rsidRPr="00DD569A">
              <w:rPr>
                <w:rFonts w:asciiTheme="majorHAnsi" w:eastAsia="Times New Roman" w:hAnsiTheme="majorHAnsi" w:cs="Arial"/>
                <w:sz w:val="22"/>
                <w:szCs w:val="22"/>
              </w:rPr>
              <w:t xml:space="preserve">Prior to the start of construction for </w:t>
            </w:r>
            <w:r>
              <w:rPr>
                <w:rFonts w:asciiTheme="majorHAnsi" w:eastAsia="Times New Roman" w:hAnsiTheme="majorHAnsi" w:cs="Arial"/>
                <w:sz w:val="22"/>
                <w:szCs w:val="22"/>
              </w:rPr>
              <w:t>Section III of the Project, the</w:t>
            </w:r>
            <w:r w:rsidRPr="00DD569A">
              <w:rPr>
                <w:rFonts w:asciiTheme="majorHAnsi" w:eastAsia="Times New Roman" w:hAnsiTheme="majorHAnsi" w:cs="Arial"/>
                <w:sz w:val="22"/>
                <w:szCs w:val="22"/>
              </w:rPr>
              <w:t xml:space="preserve"> Executing Agency shall present evidence </w:t>
            </w:r>
            <w:r>
              <w:rPr>
                <w:rFonts w:asciiTheme="majorHAnsi" w:eastAsia="Times New Roman" w:hAnsiTheme="majorHAnsi" w:cs="Arial"/>
                <w:sz w:val="22"/>
                <w:szCs w:val="22"/>
              </w:rPr>
              <w:t xml:space="preserve">to the satisfaction of the Bank that it has </w:t>
            </w:r>
            <w:r w:rsidRPr="005A263D">
              <w:rPr>
                <w:rFonts w:asciiTheme="majorHAnsi" w:eastAsia="Times New Roman" w:hAnsiTheme="majorHAnsi" w:cs="Arial"/>
                <w:sz w:val="22"/>
                <w:szCs w:val="22"/>
              </w:rPr>
              <w:t xml:space="preserve">fully implemented the Resettlement and Livelihoods Restoration Plan for Section </w:t>
            </w:r>
            <w:r>
              <w:rPr>
                <w:rFonts w:asciiTheme="majorHAnsi" w:eastAsia="Times New Roman" w:hAnsiTheme="majorHAnsi" w:cs="Arial"/>
                <w:sz w:val="22"/>
                <w:szCs w:val="22"/>
              </w:rPr>
              <w:t>III</w:t>
            </w:r>
            <w:r w:rsidRPr="005A263D">
              <w:rPr>
                <w:rFonts w:asciiTheme="majorHAnsi" w:eastAsia="Times New Roman" w:hAnsiTheme="majorHAnsi" w:cs="Arial"/>
                <w:sz w:val="22"/>
                <w:szCs w:val="22"/>
              </w:rPr>
              <w:t>.</w:t>
            </w:r>
          </w:p>
          <w:p w14:paraId="059E2B50" w14:textId="77777777" w:rsidR="000D3786" w:rsidRPr="000E21EA" w:rsidRDefault="0057377A" w:rsidP="0057377A">
            <w:pPr>
              <w:spacing w:before="120" w:after="120"/>
              <w:jc w:val="both"/>
              <w:rPr>
                <w:rFonts w:cs="Arial"/>
                <w:i/>
                <w:sz w:val="22"/>
                <w:szCs w:val="22"/>
                <w:lang w:val="en"/>
              </w:rPr>
            </w:pPr>
            <w:r w:rsidRPr="00DD569A">
              <w:rPr>
                <w:rFonts w:ascii="Arial" w:eastAsia="Times New Roman" w:hAnsi="Arial" w:cs="Arial"/>
                <w:i/>
                <w:sz w:val="20"/>
                <w:szCs w:val="20"/>
                <w:lang w:val="en"/>
              </w:rPr>
              <w:t xml:space="preserve">Justification: </w:t>
            </w:r>
            <w:r>
              <w:rPr>
                <w:rFonts w:ascii="Arial" w:eastAsia="Times New Roman" w:hAnsi="Arial" w:cs="Arial"/>
                <w:i/>
                <w:sz w:val="20"/>
                <w:szCs w:val="20"/>
                <w:lang w:val="en"/>
              </w:rPr>
              <w:t>T</w:t>
            </w:r>
            <w:r w:rsidRPr="00DD569A">
              <w:rPr>
                <w:rFonts w:ascii="Arial" w:eastAsia="Times New Roman" w:hAnsi="Arial" w:cs="Arial"/>
                <w:i/>
                <w:sz w:val="20"/>
                <w:szCs w:val="20"/>
                <w:lang w:val="en"/>
              </w:rPr>
              <w:t>he physical resettlement needs to happen before construction works start to avoid risks to the physical integrity, accessibility and livelihoods of the affected parties.</w:t>
            </w:r>
          </w:p>
        </w:tc>
      </w:tr>
      <w:tr w:rsidR="00B54BDA" w:rsidRPr="00300337" w14:paraId="13014D3C" w14:textId="77777777" w:rsidTr="001F64F0">
        <w:tblPrEx>
          <w:tblCellMar>
            <w:top w:w="0" w:type="dxa"/>
            <w:left w:w="108" w:type="dxa"/>
            <w:bottom w:w="0" w:type="dxa"/>
            <w:right w:w="108" w:type="dxa"/>
          </w:tblCellMar>
        </w:tblPrEx>
        <w:trPr>
          <w:trHeight w:val="236"/>
        </w:trPr>
        <w:tc>
          <w:tcPr>
            <w:tcW w:w="927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5" w:type="dxa"/>
              <w:left w:w="105" w:type="dxa"/>
              <w:bottom w:w="15" w:type="dxa"/>
              <w:right w:w="105" w:type="dxa"/>
            </w:tcMar>
          </w:tcPr>
          <w:p w14:paraId="635019F9" w14:textId="77777777" w:rsidR="00B54BDA" w:rsidRDefault="00217625" w:rsidP="001F64F0">
            <w:pPr>
              <w:spacing w:before="120" w:after="120"/>
              <w:rPr>
                <w:rFonts w:asciiTheme="majorHAnsi" w:eastAsia="Times New Roman" w:hAnsiTheme="majorHAnsi" w:cs="Arial"/>
                <w:b/>
                <w:sz w:val="22"/>
                <w:szCs w:val="22"/>
              </w:rPr>
            </w:pPr>
            <w:r>
              <w:rPr>
                <w:rFonts w:asciiTheme="majorHAnsi" w:eastAsia="Times New Roman" w:hAnsiTheme="majorHAnsi" w:cs="Arial"/>
                <w:b/>
                <w:sz w:val="22"/>
                <w:szCs w:val="22"/>
              </w:rPr>
              <w:t>B</w:t>
            </w:r>
            <w:r w:rsidR="00B54BDA">
              <w:rPr>
                <w:rFonts w:asciiTheme="majorHAnsi" w:eastAsia="Times New Roman" w:hAnsiTheme="majorHAnsi" w:cs="Arial"/>
                <w:b/>
                <w:sz w:val="22"/>
                <w:szCs w:val="22"/>
              </w:rPr>
              <w:t xml:space="preserve">. </w:t>
            </w:r>
            <w:r w:rsidR="00B54BDA" w:rsidRPr="00300337">
              <w:rPr>
                <w:rFonts w:asciiTheme="majorHAnsi" w:eastAsia="Times New Roman" w:hAnsiTheme="majorHAnsi" w:cs="Arial"/>
                <w:b/>
                <w:sz w:val="22"/>
                <w:szCs w:val="22"/>
              </w:rPr>
              <w:t>Provisions to be included in the Operational Manual (“ROP”)</w:t>
            </w:r>
          </w:p>
        </w:tc>
      </w:tr>
      <w:tr w:rsidR="001B6D5A" w:rsidRPr="007C0236" w14:paraId="6D953DE0" w14:textId="77777777" w:rsidTr="00DD569A">
        <w:trPr>
          <w:trHeight w:val="236"/>
        </w:trPr>
        <w:tc>
          <w:tcPr>
            <w:tcW w:w="92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33FCC03A" w14:textId="77777777" w:rsidR="003B0622" w:rsidRPr="00814EE0" w:rsidRDefault="00071C11" w:rsidP="0085554C">
            <w:pPr>
              <w:spacing w:before="120" w:after="120"/>
              <w:jc w:val="both"/>
              <w:rPr>
                <w:rFonts w:asciiTheme="majorHAnsi" w:eastAsia="Times New Roman" w:hAnsiTheme="majorHAnsi" w:cs="Arial"/>
                <w:sz w:val="22"/>
                <w:szCs w:val="22"/>
              </w:rPr>
            </w:pPr>
            <w:r w:rsidRPr="00DD569A">
              <w:rPr>
                <w:rFonts w:asciiTheme="majorHAnsi" w:eastAsia="Times New Roman" w:hAnsiTheme="majorHAnsi" w:cs="Arial"/>
                <w:sz w:val="22"/>
                <w:szCs w:val="22"/>
              </w:rPr>
              <w:lastRenderedPageBreak/>
              <w:t>(</w:t>
            </w:r>
            <w:r w:rsidR="0057377A">
              <w:rPr>
                <w:rFonts w:asciiTheme="majorHAnsi" w:eastAsia="Times New Roman" w:hAnsiTheme="majorHAnsi" w:cs="Arial"/>
                <w:sz w:val="22"/>
                <w:szCs w:val="22"/>
              </w:rPr>
              <w:t>1</w:t>
            </w:r>
            <w:r w:rsidRPr="00DD569A">
              <w:rPr>
                <w:rFonts w:asciiTheme="majorHAnsi" w:eastAsia="Times New Roman" w:hAnsiTheme="majorHAnsi" w:cs="Arial"/>
                <w:sz w:val="22"/>
                <w:szCs w:val="22"/>
              </w:rPr>
              <w:t>)</w:t>
            </w:r>
            <w:r w:rsidR="00814EE0">
              <w:rPr>
                <w:rFonts w:asciiTheme="majorHAnsi" w:eastAsia="Times New Roman" w:hAnsiTheme="majorHAnsi" w:cs="Arial"/>
                <w:sz w:val="22"/>
                <w:szCs w:val="22"/>
              </w:rPr>
              <w:t xml:space="preserve"> </w:t>
            </w:r>
            <w:r w:rsidR="00685777" w:rsidRPr="00DD569A">
              <w:rPr>
                <w:rFonts w:asciiTheme="majorHAnsi" w:eastAsia="Times New Roman" w:hAnsiTheme="majorHAnsi" w:cs="Arial"/>
                <w:sz w:val="22"/>
                <w:szCs w:val="22"/>
              </w:rPr>
              <w:t xml:space="preserve">The </w:t>
            </w:r>
            <w:r w:rsidR="00C05B49" w:rsidRPr="00DD569A">
              <w:rPr>
                <w:rFonts w:asciiTheme="majorHAnsi" w:eastAsia="Times New Roman" w:hAnsiTheme="majorHAnsi" w:cs="Arial"/>
                <w:sz w:val="22"/>
                <w:szCs w:val="22"/>
              </w:rPr>
              <w:t>MOW</w:t>
            </w:r>
            <w:r w:rsidR="00685777" w:rsidRPr="00DD569A">
              <w:rPr>
                <w:rFonts w:asciiTheme="majorHAnsi" w:eastAsia="Times New Roman" w:hAnsiTheme="majorHAnsi" w:cs="Arial"/>
                <w:sz w:val="22"/>
                <w:szCs w:val="22"/>
              </w:rPr>
              <w:t xml:space="preserve"> will </w:t>
            </w:r>
            <w:r w:rsidR="0057377A">
              <w:rPr>
                <w:rFonts w:asciiTheme="majorHAnsi" w:eastAsia="Times New Roman" w:hAnsiTheme="majorHAnsi" w:cs="Arial"/>
                <w:sz w:val="22"/>
                <w:szCs w:val="22"/>
              </w:rPr>
              <w:t>present</w:t>
            </w:r>
            <w:r w:rsidR="00685777" w:rsidRPr="00DD569A">
              <w:rPr>
                <w:rFonts w:asciiTheme="majorHAnsi" w:eastAsia="Times New Roman" w:hAnsiTheme="majorHAnsi" w:cs="Arial"/>
                <w:sz w:val="22"/>
                <w:szCs w:val="22"/>
              </w:rPr>
              <w:t xml:space="preserve"> evidence to the Bank</w:t>
            </w:r>
            <w:r w:rsidR="0057377A">
              <w:rPr>
                <w:rFonts w:asciiTheme="majorHAnsi" w:eastAsia="Times New Roman" w:hAnsiTheme="majorHAnsi" w:cs="Arial"/>
                <w:sz w:val="22"/>
                <w:szCs w:val="22"/>
              </w:rPr>
              <w:t xml:space="preserve">’s satisfaction </w:t>
            </w:r>
            <w:r w:rsidR="00685777" w:rsidRPr="00DD569A">
              <w:rPr>
                <w:rFonts w:asciiTheme="majorHAnsi" w:eastAsia="Times New Roman" w:hAnsiTheme="majorHAnsi" w:cs="Arial"/>
                <w:sz w:val="22"/>
                <w:szCs w:val="22"/>
              </w:rPr>
              <w:t xml:space="preserve">that it has secured the necessary ESHS permits, releases and authorizations required by the </w:t>
            </w:r>
            <w:r w:rsidR="0057377A">
              <w:rPr>
                <w:rFonts w:asciiTheme="majorHAnsi" w:eastAsia="Times New Roman" w:hAnsiTheme="majorHAnsi" w:cs="Arial"/>
                <w:sz w:val="22"/>
                <w:szCs w:val="22"/>
              </w:rPr>
              <w:t>P</w:t>
            </w:r>
            <w:r w:rsidR="00685777" w:rsidRPr="00DD569A">
              <w:rPr>
                <w:rFonts w:asciiTheme="majorHAnsi" w:eastAsia="Times New Roman" w:hAnsiTheme="majorHAnsi" w:cs="Arial"/>
                <w:sz w:val="22"/>
                <w:szCs w:val="22"/>
              </w:rPr>
              <w:t>roject prior to beginning construction works applicable to that road</w:t>
            </w:r>
            <w:r w:rsidR="005124AF" w:rsidRPr="00DD569A">
              <w:rPr>
                <w:rFonts w:asciiTheme="majorHAnsi" w:eastAsia="Times New Roman" w:hAnsiTheme="majorHAnsi" w:cs="Arial"/>
                <w:sz w:val="22"/>
                <w:szCs w:val="22"/>
              </w:rPr>
              <w:t xml:space="preserve"> segment</w:t>
            </w:r>
            <w:r w:rsidR="00681059" w:rsidRPr="00DD569A">
              <w:rPr>
                <w:rFonts w:asciiTheme="majorHAnsi" w:eastAsia="Times New Roman" w:hAnsiTheme="majorHAnsi" w:cs="Arial"/>
                <w:sz w:val="22"/>
                <w:szCs w:val="22"/>
              </w:rPr>
              <w:t>, includ</w:t>
            </w:r>
            <w:r w:rsidR="00C05B49" w:rsidRPr="00DD569A">
              <w:rPr>
                <w:rFonts w:asciiTheme="majorHAnsi" w:eastAsia="Times New Roman" w:hAnsiTheme="majorHAnsi" w:cs="Arial"/>
                <w:sz w:val="22"/>
                <w:szCs w:val="22"/>
              </w:rPr>
              <w:t>ing but not limited to the ones issued by the</w:t>
            </w:r>
            <w:r w:rsidR="00BD04E7" w:rsidRPr="00DD569A">
              <w:rPr>
                <w:rFonts w:asciiTheme="majorHAnsi" w:eastAsia="Times New Roman" w:hAnsiTheme="majorHAnsi" w:cs="Arial"/>
                <w:sz w:val="22"/>
                <w:szCs w:val="22"/>
              </w:rPr>
              <w:t xml:space="preserve"> </w:t>
            </w:r>
            <w:r w:rsidR="00C05B49" w:rsidRPr="00DD569A">
              <w:rPr>
                <w:rFonts w:asciiTheme="majorHAnsi" w:eastAsia="Times New Roman" w:hAnsiTheme="majorHAnsi" w:cs="Arial"/>
                <w:sz w:val="22"/>
                <w:szCs w:val="22"/>
              </w:rPr>
              <w:t>Department of Environment</w:t>
            </w:r>
            <w:r w:rsidR="00BD04E7" w:rsidRPr="00DD569A">
              <w:rPr>
                <w:rFonts w:asciiTheme="majorHAnsi" w:eastAsia="Times New Roman" w:hAnsiTheme="majorHAnsi" w:cs="Arial"/>
                <w:sz w:val="22"/>
                <w:szCs w:val="22"/>
              </w:rPr>
              <w:t xml:space="preserve"> and the </w:t>
            </w:r>
            <w:r w:rsidR="00C05B49" w:rsidRPr="00DD569A">
              <w:rPr>
                <w:rFonts w:asciiTheme="majorHAnsi" w:eastAsia="Times New Roman" w:hAnsiTheme="majorHAnsi" w:cs="Arial"/>
                <w:sz w:val="22"/>
                <w:szCs w:val="22"/>
              </w:rPr>
              <w:t>Institute of Archaeology</w:t>
            </w:r>
            <w:r w:rsidR="001D54CC" w:rsidRPr="00DD569A">
              <w:rPr>
                <w:rFonts w:asciiTheme="majorHAnsi" w:eastAsia="Times New Roman" w:hAnsiTheme="majorHAnsi" w:cs="Arial"/>
                <w:sz w:val="22"/>
                <w:szCs w:val="22"/>
              </w:rPr>
              <w:t>.</w:t>
            </w:r>
          </w:p>
          <w:p w14:paraId="02674B37" w14:textId="77777777" w:rsidR="00F65607" w:rsidRPr="00814EE0" w:rsidRDefault="00DD569A" w:rsidP="0085554C">
            <w:pPr>
              <w:spacing w:before="120" w:after="120"/>
              <w:jc w:val="both"/>
              <w:rPr>
                <w:rFonts w:ascii="Arial" w:hAnsi="Arial" w:cs="Arial"/>
                <w:sz w:val="20"/>
                <w:szCs w:val="20"/>
              </w:rPr>
            </w:pPr>
            <w:r>
              <w:rPr>
                <w:rFonts w:asciiTheme="majorHAnsi" w:eastAsia="Times New Roman" w:hAnsiTheme="majorHAnsi" w:cs="Arial"/>
                <w:sz w:val="22"/>
                <w:szCs w:val="22"/>
              </w:rPr>
              <w:t>(</w:t>
            </w:r>
            <w:r w:rsidR="0057377A">
              <w:rPr>
                <w:rFonts w:asciiTheme="majorHAnsi" w:eastAsia="Times New Roman" w:hAnsiTheme="majorHAnsi" w:cs="Arial"/>
                <w:sz w:val="22"/>
                <w:szCs w:val="22"/>
              </w:rPr>
              <w:t>2</w:t>
            </w:r>
            <w:r>
              <w:rPr>
                <w:rFonts w:asciiTheme="majorHAnsi" w:eastAsia="Times New Roman" w:hAnsiTheme="majorHAnsi" w:cs="Arial"/>
                <w:sz w:val="22"/>
                <w:szCs w:val="22"/>
              </w:rPr>
              <w:t xml:space="preserve">) </w:t>
            </w:r>
            <w:r w:rsidR="00F65607" w:rsidRPr="00814EE0">
              <w:rPr>
                <w:rFonts w:asciiTheme="majorHAnsi" w:eastAsia="Times New Roman" w:hAnsiTheme="majorHAnsi" w:cs="Arial"/>
                <w:sz w:val="22"/>
                <w:szCs w:val="22"/>
              </w:rPr>
              <w:t>Any substantive changes to the ESHS Plans shall be in writing and approved by the Bank in a manner consistent with the Bank's environmental and social safeguards policies.</w:t>
            </w:r>
          </w:p>
          <w:p w14:paraId="4FBD1DCC" w14:textId="77777777" w:rsidR="005E6607" w:rsidRPr="00702693" w:rsidRDefault="00814EE0" w:rsidP="00814EE0">
            <w:pPr>
              <w:spacing w:before="120" w:after="120"/>
              <w:jc w:val="both"/>
              <w:rPr>
                <w:rFonts w:asciiTheme="majorHAnsi" w:eastAsia="Times New Roman" w:hAnsiTheme="majorHAnsi" w:cs="Arial"/>
                <w:sz w:val="22"/>
                <w:szCs w:val="22"/>
              </w:rPr>
            </w:pPr>
            <w:r>
              <w:rPr>
                <w:rFonts w:asciiTheme="majorHAnsi" w:eastAsia="Times New Roman" w:hAnsiTheme="majorHAnsi" w:cs="Arial"/>
                <w:sz w:val="22"/>
                <w:szCs w:val="22"/>
              </w:rPr>
              <w:t>(</w:t>
            </w:r>
            <w:r w:rsidR="0057377A">
              <w:rPr>
                <w:rFonts w:asciiTheme="majorHAnsi" w:eastAsia="Times New Roman" w:hAnsiTheme="majorHAnsi" w:cs="Arial"/>
                <w:sz w:val="22"/>
                <w:szCs w:val="22"/>
              </w:rPr>
              <w:t>3</w:t>
            </w:r>
            <w:r>
              <w:rPr>
                <w:rFonts w:asciiTheme="majorHAnsi" w:eastAsia="Times New Roman" w:hAnsiTheme="majorHAnsi" w:cs="Arial"/>
                <w:sz w:val="22"/>
                <w:szCs w:val="22"/>
              </w:rPr>
              <w:t xml:space="preserve">) </w:t>
            </w:r>
            <w:r w:rsidR="00F65607" w:rsidRPr="00814EE0">
              <w:rPr>
                <w:rFonts w:asciiTheme="majorHAnsi" w:eastAsia="Times New Roman" w:hAnsiTheme="majorHAnsi" w:cs="Arial"/>
                <w:sz w:val="22"/>
                <w:szCs w:val="22"/>
              </w:rPr>
              <w:t xml:space="preserve">With respect to the Project and </w:t>
            </w:r>
            <w:r w:rsidR="005E6607" w:rsidRPr="00814EE0">
              <w:rPr>
                <w:rFonts w:asciiTheme="majorHAnsi" w:eastAsia="Times New Roman" w:hAnsiTheme="majorHAnsi" w:cs="Arial"/>
                <w:sz w:val="22"/>
                <w:szCs w:val="22"/>
              </w:rPr>
              <w:t xml:space="preserve">its </w:t>
            </w:r>
            <w:r w:rsidR="00F65607" w:rsidRPr="00814EE0">
              <w:rPr>
                <w:rFonts w:asciiTheme="majorHAnsi" w:eastAsia="Times New Roman" w:hAnsiTheme="majorHAnsi" w:cs="Arial"/>
                <w:sz w:val="22"/>
                <w:szCs w:val="22"/>
              </w:rPr>
              <w:t>Associated Facilities, the Executing Agency shall notify the Bank in writing within ten (10) days of any (</w:t>
            </w:r>
            <w:r w:rsidR="0057377A">
              <w:rPr>
                <w:rFonts w:asciiTheme="majorHAnsi" w:eastAsia="Times New Roman" w:hAnsiTheme="majorHAnsi" w:cs="Arial"/>
                <w:sz w:val="22"/>
                <w:szCs w:val="22"/>
              </w:rPr>
              <w:t>i</w:t>
            </w:r>
            <w:r w:rsidR="00F65607" w:rsidRPr="00814EE0">
              <w:rPr>
                <w:rFonts w:asciiTheme="majorHAnsi" w:eastAsia="Times New Roman" w:hAnsiTheme="majorHAnsi" w:cs="Arial"/>
                <w:sz w:val="22"/>
                <w:szCs w:val="22"/>
              </w:rPr>
              <w:t xml:space="preserve">) potential or actual material noncompliance with the environmental and social requirements; </w:t>
            </w:r>
            <w:r w:rsidR="0057377A">
              <w:rPr>
                <w:rFonts w:asciiTheme="majorHAnsi" w:eastAsia="Times New Roman" w:hAnsiTheme="majorHAnsi" w:cs="Arial"/>
                <w:sz w:val="22"/>
                <w:szCs w:val="22"/>
              </w:rPr>
              <w:t>(ii</w:t>
            </w:r>
            <w:r w:rsidR="00F65607" w:rsidRPr="00814EE0">
              <w:rPr>
                <w:rFonts w:asciiTheme="majorHAnsi" w:eastAsia="Times New Roman" w:hAnsiTheme="majorHAnsi" w:cs="Arial"/>
                <w:sz w:val="22"/>
                <w:szCs w:val="22"/>
              </w:rPr>
              <w:t xml:space="preserve">) accidents, incidents or other significant events </w:t>
            </w:r>
            <w:r w:rsidR="005E6607" w:rsidRPr="00814EE0">
              <w:rPr>
                <w:rFonts w:asciiTheme="majorHAnsi" w:eastAsia="Times New Roman" w:hAnsiTheme="majorHAnsi" w:cs="Arial"/>
                <w:sz w:val="22"/>
                <w:szCs w:val="22"/>
              </w:rPr>
              <w:t xml:space="preserve">(such as </w:t>
            </w:r>
            <w:r w:rsidR="00F65607" w:rsidRPr="00814EE0">
              <w:rPr>
                <w:rFonts w:asciiTheme="majorHAnsi" w:eastAsia="Times New Roman" w:hAnsiTheme="majorHAnsi" w:cs="Arial"/>
                <w:sz w:val="22"/>
                <w:szCs w:val="22"/>
              </w:rPr>
              <w:t>spills, fires, discharges of hazardous substances</w:t>
            </w:r>
            <w:r w:rsidR="005E6607" w:rsidRPr="00702693">
              <w:rPr>
                <w:rFonts w:asciiTheme="majorHAnsi" w:eastAsia="Times New Roman" w:hAnsiTheme="majorHAnsi" w:cs="Arial"/>
                <w:sz w:val="22"/>
                <w:szCs w:val="22"/>
              </w:rPr>
              <w:t>)</w:t>
            </w:r>
            <w:r w:rsidR="00F65607" w:rsidRPr="00702693">
              <w:rPr>
                <w:rFonts w:asciiTheme="majorHAnsi" w:eastAsia="Times New Roman" w:hAnsiTheme="majorHAnsi" w:cs="Arial"/>
                <w:sz w:val="22"/>
                <w:szCs w:val="22"/>
              </w:rPr>
              <w:t>; (</w:t>
            </w:r>
            <w:r w:rsidR="0057377A">
              <w:rPr>
                <w:rFonts w:asciiTheme="majorHAnsi" w:eastAsia="Times New Roman" w:hAnsiTheme="majorHAnsi" w:cs="Arial"/>
                <w:sz w:val="22"/>
                <w:szCs w:val="22"/>
              </w:rPr>
              <w:t>iii</w:t>
            </w:r>
            <w:r w:rsidR="00F65607" w:rsidRPr="00702693">
              <w:rPr>
                <w:rFonts w:asciiTheme="majorHAnsi" w:eastAsia="Times New Roman" w:hAnsiTheme="majorHAnsi" w:cs="Arial"/>
                <w:sz w:val="22"/>
                <w:szCs w:val="22"/>
              </w:rPr>
              <w:t>) significant actual or imminent social conflicts; (</w:t>
            </w:r>
            <w:r w:rsidR="0057377A">
              <w:rPr>
                <w:rFonts w:asciiTheme="majorHAnsi" w:eastAsia="Times New Roman" w:hAnsiTheme="majorHAnsi" w:cs="Arial"/>
                <w:sz w:val="22"/>
                <w:szCs w:val="22"/>
              </w:rPr>
              <w:t>iv</w:t>
            </w:r>
            <w:r w:rsidR="00F65607" w:rsidRPr="00702693">
              <w:rPr>
                <w:rFonts w:asciiTheme="majorHAnsi" w:eastAsia="Times New Roman" w:hAnsiTheme="majorHAnsi" w:cs="Arial"/>
                <w:sz w:val="22"/>
                <w:szCs w:val="22"/>
              </w:rPr>
              <w:t xml:space="preserve">) ESHS regulatory action </w:t>
            </w:r>
            <w:r w:rsidR="005E6607" w:rsidRPr="00702693">
              <w:rPr>
                <w:rFonts w:asciiTheme="majorHAnsi" w:eastAsia="Times New Roman" w:hAnsiTheme="majorHAnsi" w:cs="Arial"/>
                <w:sz w:val="22"/>
                <w:szCs w:val="22"/>
              </w:rPr>
              <w:t xml:space="preserve">(such as </w:t>
            </w:r>
            <w:r w:rsidR="00F65607" w:rsidRPr="00702693">
              <w:rPr>
                <w:rFonts w:asciiTheme="majorHAnsi" w:eastAsia="Times New Roman" w:hAnsiTheme="majorHAnsi" w:cs="Arial"/>
                <w:sz w:val="22"/>
                <w:szCs w:val="22"/>
              </w:rPr>
              <w:t>government inspections</w:t>
            </w:r>
            <w:r w:rsidR="005E6607" w:rsidRPr="00702693">
              <w:rPr>
                <w:rFonts w:asciiTheme="majorHAnsi" w:eastAsia="Times New Roman" w:hAnsiTheme="majorHAnsi" w:cs="Arial"/>
                <w:sz w:val="22"/>
                <w:szCs w:val="22"/>
              </w:rPr>
              <w:t xml:space="preserve">, </w:t>
            </w:r>
            <w:r w:rsidR="00F65607" w:rsidRPr="00702693">
              <w:rPr>
                <w:rFonts w:asciiTheme="majorHAnsi" w:eastAsia="Times New Roman" w:hAnsiTheme="majorHAnsi" w:cs="Arial"/>
                <w:sz w:val="22"/>
                <w:szCs w:val="22"/>
              </w:rPr>
              <w:t>reports</w:t>
            </w:r>
            <w:r w:rsidR="005E6607" w:rsidRPr="00702693">
              <w:rPr>
                <w:rFonts w:asciiTheme="majorHAnsi" w:eastAsia="Times New Roman" w:hAnsiTheme="majorHAnsi" w:cs="Arial"/>
                <w:sz w:val="22"/>
                <w:szCs w:val="22"/>
              </w:rPr>
              <w:t>,</w:t>
            </w:r>
            <w:r w:rsidR="00F65607" w:rsidRPr="00702693">
              <w:rPr>
                <w:rFonts w:asciiTheme="majorHAnsi" w:eastAsia="Times New Roman" w:hAnsiTheme="majorHAnsi" w:cs="Arial"/>
                <w:sz w:val="22"/>
                <w:szCs w:val="22"/>
              </w:rPr>
              <w:t xml:space="preserve"> and</w:t>
            </w:r>
            <w:r w:rsidR="005E6607" w:rsidRPr="00702693">
              <w:rPr>
                <w:rFonts w:asciiTheme="majorHAnsi" w:eastAsia="Times New Roman" w:hAnsiTheme="majorHAnsi" w:cs="Arial"/>
                <w:sz w:val="22"/>
                <w:szCs w:val="22"/>
              </w:rPr>
              <w:t xml:space="preserve"> </w:t>
            </w:r>
            <w:r w:rsidR="00F65607" w:rsidRPr="00702693">
              <w:rPr>
                <w:rFonts w:asciiTheme="majorHAnsi" w:eastAsia="Times New Roman" w:hAnsiTheme="majorHAnsi" w:cs="Arial"/>
                <w:sz w:val="22"/>
                <w:szCs w:val="22"/>
              </w:rPr>
              <w:t>action</w:t>
            </w:r>
            <w:r w:rsidR="005E6607" w:rsidRPr="00702693">
              <w:rPr>
                <w:rFonts w:asciiTheme="majorHAnsi" w:eastAsia="Times New Roman" w:hAnsiTheme="majorHAnsi" w:cs="Arial"/>
                <w:sz w:val="22"/>
                <w:szCs w:val="22"/>
              </w:rPr>
              <w:t>s</w:t>
            </w:r>
            <w:r w:rsidR="00F65607" w:rsidRPr="00702693">
              <w:rPr>
                <w:rFonts w:asciiTheme="majorHAnsi" w:eastAsia="Times New Roman" w:hAnsiTheme="majorHAnsi" w:cs="Arial"/>
                <w:sz w:val="22"/>
                <w:szCs w:val="22"/>
              </w:rPr>
              <w:t>, significant changes, judicial and arbitral claims, etc</w:t>
            </w:r>
            <w:r w:rsidR="005E6607" w:rsidRPr="00702693">
              <w:rPr>
                <w:rFonts w:asciiTheme="majorHAnsi" w:eastAsia="Times New Roman" w:hAnsiTheme="majorHAnsi" w:cs="Arial"/>
                <w:sz w:val="22"/>
                <w:szCs w:val="22"/>
              </w:rPr>
              <w:t>.)</w:t>
            </w:r>
            <w:r w:rsidR="00F65607" w:rsidRPr="00702693">
              <w:rPr>
                <w:rFonts w:asciiTheme="majorHAnsi" w:eastAsia="Times New Roman" w:hAnsiTheme="majorHAnsi" w:cs="Arial"/>
                <w:sz w:val="22"/>
                <w:szCs w:val="22"/>
              </w:rPr>
              <w:t>; or (</w:t>
            </w:r>
            <w:r w:rsidR="0057377A">
              <w:rPr>
                <w:rFonts w:asciiTheme="majorHAnsi" w:eastAsia="Times New Roman" w:hAnsiTheme="majorHAnsi" w:cs="Arial"/>
                <w:sz w:val="22"/>
                <w:szCs w:val="22"/>
              </w:rPr>
              <w:t>v</w:t>
            </w:r>
            <w:r w:rsidR="00F65607" w:rsidRPr="00702693">
              <w:rPr>
                <w:rFonts w:asciiTheme="majorHAnsi" w:eastAsia="Times New Roman" w:hAnsiTheme="majorHAnsi" w:cs="Arial"/>
                <w:sz w:val="22"/>
                <w:szCs w:val="22"/>
              </w:rPr>
              <w:t>) any newly identified environmental and social risks and impacts, that may affect the environmental and social aspects of the Project and of its Associated Facilities</w:t>
            </w:r>
            <w:r w:rsidR="005E6607" w:rsidRPr="00702693">
              <w:rPr>
                <w:rFonts w:asciiTheme="majorHAnsi" w:eastAsia="Times New Roman" w:hAnsiTheme="majorHAnsi" w:cs="Arial"/>
                <w:sz w:val="22"/>
                <w:szCs w:val="22"/>
              </w:rPr>
              <w:t>.</w:t>
            </w:r>
            <w:r w:rsidR="00F65607" w:rsidRPr="00702693">
              <w:rPr>
                <w:rFonts w:asciiTheme="majorHAnsi" w:eastAsia="Times New Roman" w:hAnsiTheme="majorHAnsi" w:cs="Arial"/>
                <w:sz w:val="22"/>
                <w:szCs w:val="22"/>
              </w:rPr>
              <w:t xml:space="preserve"> </w:t>
            </w:r>
            <w:r w:rsidR="005E6607" w:rsidRPr="00702693">
              <w:rPr>
                <w:rFonts w:asciiTheme="majorHAnsi" w:eastAsia="Times New Roman" w:hAnsiTheme="majorHAnsi" w:cs="Arial"/>
                <w:sz w:val="22"/>
                <w:szCs w:val="22"/>
              </w:rPr>
              <w:t>I</w:t>
            </w:r>
            <w:r w:rsidR="00F65607" w:rsidRPr="00702693">
              <w:rPr>
                <w:rFonts w:asciiTheme="majorHAnsi" w:eastAsia="Times New Roman" w:hAnsiTheme="majorHAnsi" w:cs="Arial"/>
                <w:sz w:val="22"/>
                <w:szCs w:val="22"/>
              </w:rPr>
              <w:t xml:space="preserve">n each case such notice shall include </w:t>
            </w:r>
            <w:r w:rsidR="005E6607" w:rsidRPr="00702693">
              <w:rPr>
                <w:rFonts w:asciiTheme="majorHAnsi" w:eastAsia="Times New Roman" w:hAnsiTheme="majorHAnsi" w:cs="Arial"/>
                <w:sz w:val="22"/>
                <w:szCs w:val="22"/>
              </w:rPr>
              <w:t xml:space="preserve">reports and </w:t>
            </w:r>
            <w:r w:rsidR="00F65607" w:rsidRPr="00702693">
              <w:rPr>
                <w:rFonts w:asciiTheme="majorHAnsi" w:eastAsia="Times New Roman" w:hAnsiTheme="majorHAnsi" w:cs="Arial"/>
                <w:sz w:val="22"/>
                <w:szCs w:val="22"/>
              </w:rPr>
              <w:t>actions taken</w:t>
            </w:r>
            <w:r w:rsidR="005E6607" w:rsidRPr="00702693">
              <w:rPr>
                <w:rFonts w:asciiTheme="majorHAnsi" w:eastAsia="Times New Roman" w:hAnsiTheme="majorHAnsi" w:cs="Arial"/>
                <w:sz w:val="22"/>
                <w:szCs w:val="22"/>
              </w:rPr>
              <w:t>,</w:t>
            </w:r>
            <w:r w:rsidR="00F65607" w:rsidRPr="00702693">
              <w:rPr>
                <w:rFonts w:asciiTheme="majorHAnsi" w:eastAsia="Times New Roman" w:hAnsiTheme="majorHAnsi" w:cs="Arial"/>
                <w:sz w:val="22"/>
                <w:szCs w:val="22"/>
              </w:rPr>
              <w:t xml:space="preserve"> or proposed</w:t>
            </w:r>
            <w:r w:rsidR="005E6607" w:rsidRPr="00702693">
              <w:rPr>
                <w:rFonts w:asciiTheme="majorHAnsi" w:eastAsia="Times New Roman" w:hAnsiTheme="majorHAnsi" w:cs="Arial"/>
                <w:sz w:val="22"/>
                <w:szCs w:val="22"/>
              </w:rPr>
              <w:t>,</w:t>
            </w:r>
            <w:r w:rsidR="00F65607" w:rsidRPr="00702693">
              <w:rPr>
                <w:rFonts w:asciiTheme="majorHAnsi" w:eastAsia="Times New Roman" w:hAnsiTheme="majorHAnsi" w:cs="Arial"/>
                <w:sz w:val="22"/>
                <w:szCs w:val="22"/>
              </w:rPr>
              <w:t xml:space="preserve"> with respect to such events.  </w:t>
            </w:r>
          </w:p>
          <w:p w14:paraId="252D0A62" w14:textId="77777777" w:rsidR="00F67A7E" w:rsidRPr="00702693" w:rsidRDefault="00814EE0" w:rsidP="00702693">
            <w:pPr>
              <w:spacing w:before="120" w:after="120"/>
              <w:jc w:val="both"/>
              <w:rPr>
                <w:rFonts w:asciiTheme="majorHAnsi" w:eastAsia="Times New Roman" w:hAnsiTheme="majorHAnsi" w:cs="Arial"/>
                <w:sz w:val="22"/>
                <w:szCs w:val="22"/>
              </w:rPr>
            </w:pPr>
            <w:r w:rsidRPr="00702693">
              <w:rPr>
                <w:rFonts w:asciiTheme="majorHAnsi" w:eastAsia="Times New Roman" w:hAnsiTheme="majorHAnsi" w:cs="Arial"/>
                <w:sz w:val="22"/>
                <w:szCs w:val="22"/>
              </w:rPr>
              <w:t>(</w:t>
            </w:r>
            <w:r w:rsidR="0057377A">
              <w:rPr>
                <w:rFonts w:asciiTheme="majorHAnsi" w:eastAsia="Times New Roman" w:hAnsiTheme="majorHAnsi" w:cs="Arial"/>
                <w:sz w:val="22"/>
                <w:szCs w:val="22"/>
              </w:rPr>
              <w:t>4</w:t>
            </w:r>
            <w:r w:rsidRPr="00702693">
              <w:rPr>
                <w:rFonts w:asciiTheme="majorHAnsi" w:eastAsia="Times New Roman" w:hAnsiTheme="majorHAnsi" w:cs="Arial"/>
                <w:sz w:val="22"/>
                <w:szCs w:val="22"/>
              </w:rPr>
              <w:t>)</w:t>
            </w:r>
            <w:r w:rsidR="00702693">
              <w:rPr>
                <w:rFonts w:asciiTheme="majorHAnsi" w:eastAsia="Times New Roman" w:hAnsiTheme="majorHAnsi" w:cs="Arial"/>
                <w:sz w:val="22"/>
                <w:szCs w:val="22"/>
              </w:rPr>
              <w:t xml:space="preserve"> </w:t>
            </w:r>
            <w:r w:rsidR="00F65607" w:rsidRPr="00702693">
              <w:rPr>
                <w:rFonts w:asciiTheme="majorHAnsi" w:eastAsia="Times New Roman" w:hAnsiTheme="majorHAnsi" w:cs="Arial"/>
                <w:sz w:val="22"/>
                <w:szCs w:val="22"/>
              </w:rPr>
              <w:t xml:space="preserve">The Executing Agency shall prepare and present to the Bank’s satisfaction, an ESHS Compliance Report (ESCR), in the form and content agreed upon with the Bank as presented in Annex </w:t>
            </w:r>
            <w:r w:rsidR="00DB2633" w:rsidRPr="00702693">
              <w:rPr>
                <w:rFonts w:asciiTheme="majorHAnsi" w:eastAsia="Times New Roman" w:hAnsiTheme="majorHAnsi" w:cs="Arial"/>
                <w:sz w:val="22"/>
                <w:szCs w:val="22"/>
              </w:rPr>
              <w:t>C</w:t>
            </w:r>
            <w:r w:rsidR="00F67A7E" w:rsidRPr="00702693">
              <w:rPr>
                <w:rFonts w:asciiTheme="majorHAnsi" w:eastAsia="Times New Roman" w:hAnsiTheme="majorHAnsi" w:cs="Arial"/>
                <w:sz w:val="22"/>
                <w:szCs w:val="22"/>
              </w:rPr>
              <w:t>,</w:t>
            </w:r>
            <w:r w:rsidR="00F65607" w:rsidRPr="00702693">
              <w:rPr>
                <w:rFonts w:asciiTheme="majorHAnsi" w:eastAsia="Times New Roman" w:hAnsiTheme="majorHAnsi" w:cs="Arial"/>
                <w:sz w:val="22"/>
                <w:szCs w:val="22"/>
              </w:rPr>
              <w:t xml:space="preserve"> as part of the semester progress report</w:t>
            </w:r>
            <w:r w:rsidR="00F67A7E" w:rsidRPr="00702693">
              <w:rPr>
                <w:rFonts w:asciiTheme="majorHAnsi" w:eastAsia="Times New Roman" w:hAnsiTheme="majorHAnsi" w:cs="Arial"/>
                <w:sz w:val="22"/>
                <w:szCs w:val="22"/>
              </w:rPr>
              <w:t>,</w:t>
            </w:r>
            <w:r w:rsidR="00F65607" w:rsidRPr="00702693">
              <w:rPr>
                <w:rFonts w:asciiTheme="majorHAnsi" w:eastAsia="Times New Roman" w:hAnsiTheme="majorHAnsi" w:cs="Arial"/>
                <w:sz w:val="22"/>
                <w:szCs w:val="22"/>
              </w:rPr>
              <w:t xml:space="preserve"> and until two years after construction is completed.”</w:t>
            </w:r>
          </w:p>
          <w:p w14:paraId="4BF411F7" w14:textId="77777777" w:rsidR="00A8514B" w:rsidRPr="00702693" w:rsidRDefault="00702693" w:rsidP="00702693">
            <w:pPr>
              <w:spacing w:before="120" w:after="120"/>
              <w:jc w:val="both"/>
              <w:rPr>
                <w:rFonts w:asciiTheme="majorHAnsi" w:eastAsia="Times New Roman" w:hAnsiTheme="majorHAnsi" w:cs="Arial"/>
                <w:sz w:val="22"/>
                <w:szCs w:val="22"/>
              </w:rPr>
            </w:pPr>
            <w:r w:rsidRPr="00702693">
              <w:rPr>
                <w:rFonts w:asciiTheme="majorHAnsi" w:eastAsia="Times New Roman" w:hAnsiTheme="majorHAnsi" w:cs="Arial"/>
                <w:sz w:val="22"/>
                <w:szCs w:val="22"/>
              </w:rPr>
              <w:t>(</w:t>
            </w:r>
            <w:r w:rsidR="0057377A">
              <w:rPr>
                <w:rFonts w:asciiTheme="majorHAnsi" w:eastAsia="Times New Roman" w:hAnsiTheme="majorHAnsi" w:cs="Arial"/>
                <w:sz w:val="22"/>
                <w:szCs w:val="22"/>
              </w:rPr>
              <w:t>5</w:t>
            </w:r>
            <w:r w:rsidRPr="00702693">
              <w:rPr>
                <w:rFonts w:asciiTheme="majorHAnsi" w:eastAsia="Times New Roman" w:hAnsiTheme="majorHAnsi" w:cs="Arial"/>
                <w:sz w:val="22"/>
                <w:szCs w:val="22"/>
              </w:rPr>
              <w:t xml:space="preserve">) </w:t>
            </w:r>
            <w:r w:rsidR="00A8514B" w:rsidRPr="00702693">
              <w:rPr>
                <w:rFonts w:asciiTheme="majorHAnsi" w:eastAsia="Times New Roman" w:hAnsiTheme="majorHAnsi" w:cs="Arial"/>
                <w:sz w:val="22"/>
                <w:szCs w:val="22"/>
              </w:rPr>
              <w:t>The Executing Agency shall implement participatory processes with the projects stakeholders regarding the project works and its environmental and social aspects</w:t>
            </w:r>
            <w:r w:rsidR="003B48C1" w:rsidRPr="00702693">
              <w:rPr>
                <w:rFonts w:asciiTheme="majorHAnsi" w:eastAsia="Times New Roman" w:hAnsiTheme="majorHAnsi" w:cs="Arial"/>
                <w:sz w:val="22"/>
                <w:szCs w:val="22"/>
              </w:rPr>
              <w:t xml:space="preserve"> before and during the construction works</w:t>
            </w:r>
            <w:r w:rsidR="00A8514B" w:rsidRPr="00702693">
              <w:rPr>
                <w:rFonts w:asciiTheme="majorHAnsi" w:eastAsia="Times New Roman" w:hAnsiTheme="majorHAnsi" w:cs="Arial"/>
                <w:sz w:val="22"/>
                <w:szCs w:val="22"/>
              </w:rPr>
              <w:t xml:space="preserve">, to ensure that the people and communities involved be informed </w:t>
            </w:r>
            <w:r w:rsidR="003B48C1" w:rsidRPr="00702693">
              <w:rPr>
                <w:rFonts w:asciiTheme="majorHAnsi" w:eastAsia="Times New Roman" w:hAnsiTheme="majorHAnsi" w:cs="Arial"/>
                <w:sz w:val="22"/>
                <w:szCs w:val="22"/>
              </w:rPr>
              <w:t>about the project actual or planned developments, and</w:t>
            </w:r>
            <w:r w:rsidR="00A8514B" w:rsidRPr="00702693">
              <w:rPr>
                <w:rFonts w:asciiTheme="majorHAnsi" w:eastAsia="Times New Roman" w:hAnsiTheme="majorHAnsi" w:cs="Arial"/>
                <w:sz w:val="22"/>
                <w:szCs w:val="22"/>
              </w:rPr>
              <w:t xml:space="preserve"> </w:t>
            </w:r>
            <w:r w:rsidR="003B48C1" w:rsidRPr="00702693">
              <w:rPr>
                <w:rFonts w:asciiTheme="majorHAnsi" w:eastAsia="Times New Roman" w:hAnsiTheme="majorHAnsi" w:cs="Arial"/>
                <w:sz w:val="22"/>
                <w:szCs w:val="22"/>
              </w:rPr>
              <w:t xml:space="preserve">to </w:t>
            </w:r>
            <w:r w:rsidR="00A8514B" w:rsidRPr="00702693">
              <w:rPr>
                <w:rFonts w:asciiTheme="majorHAnsi" w:eastAsia="Times New Roman" w:hAnsiTheme="majorHAnsi" w:cs="Arial"/>
                <w:sz w:val="22"/>
                <w:szCs w:val="22"/>
              </w:rPr>
              <w:t xml:space="preserve">have the opportunity to have their </w:t>
            </w:r>
            <w:r w:rsidR="00A8514B" w:rsidRPr="005263D4">
              <w:rPr>
                <w:rFonts w:asciiTheme="majorHAnsi" w:eastAsia="Times New Roman" w:hAnsiTheme="majorHAnsi" w:cs="Arial"/>
                <w:noProof/>
                <w:sz w:val="22"/>
                <w:szCs w:val="22"/>
              </w:rPr>
              <w:t>socioenvironmental</w:t>
            </w:r>
            <w:r w:rsidR="00A8514B" w:rsidRPr="00702693">
              <w:rPr>
                <w:rFonts w:asciiTheme="majorHAnsi" w:eastAsia="Times New Roman" w:hAnsiTheme="majorHAnsi" w:cs="Arial"/>
                <w:sz w:val="22"/>
                <w:szCs w:val="22"/>
              </w:rPr>
              <w:t xml:space="preserve"> concerns addressed.</w:t>
            </w:r>
          </w:p>
          <w:p w14:paraId="6D620BB1" w14:textId="77777777" w:rsidR="00F67A7E" w:rsidRPr="00702693" w:rsidRDefault="00702693" w:rsidP="00702693">
            <w:pPr>
              <w:spacing w:before="120" w:after="120"/>
              <w:jc w:val="both"/>
              <w:rPr>
                <w:rFonts w:asciiTheme="majorHAnsi" w:eastAsia="Times New Roman" w:hAnsiTheme="majorHAnsi" w:cs="Arial"/>
                <w:sz w:val="22"/>
                <w:szCs w:val="22"/>
              </w:rPr>
            </w:pPr>
            <w:r>
              <w:rPr>
                <w:rFonts w:asciiTheme="majorHAnsi" w:eastAsia="Times New Roman" w:hAnsiTheme="majorHAnsi" w:cs="Arial"/>
                <w:sz w:val="22"/>
                <w:szCs w:val="22"/>
              </w:rPr>
              <w:t>(</w:t>
            </w:r>
            <w:r w:rsidR="0057377A">
              <w:rPr>
                <w:rFonts w:asciiTheme="majorHAnsi" w:eastAsia="Times New Roman" w:hAnsiTheme="majorHAnsi" w:cs="Arial"/>
                <w:sz w:val="22"/>
                <w:szCs w:val="22"/>
              </w:rPr>
              <w:t>6</w:t>
            </w:r>
            <w:r>
              <w:rPr>
                <w:rFonts w:asciiTheme="majorHAnsi" w:eastAsia="Times New Roman" w:hAnsiTheme="majorHAnsi" w:cs="Arial"/>
                <w:sz w:val="22"/>
                <w:szCs w:val="22"/>
              </w:rPr>
              <w:t xml:space="preserve">) </w:t>
            </w:r>
            <w:r w:rsidR="00F67A7E" w:rsidRPr="00702693">
              <w:rPr>
                <w:rFonts w:asciiTheme="majorHAnsi" w:eastAsia="Times New Roman" w:hAnsiTheme="majorHAnsi" w:cs="Arial"/>
                <w:sz w:val="22"/>
                <w:szCs w:val="22"/>
              </w:rPr>
              <w:t>The Executing Agency shall publicly disseminate the ESHS documents, including studies, management plans, and other documents prepared both during the construction and operation of the project, including the documentation that the contractor will prepare to manage environmental and social aspects.</w:t>
            </w:r>
          </w:p>
          <w:p w14:paraId="656772C5" w14:textId="77777777" w:rsidR="005C61B7" w:rsidRPr="00300337" w:rsidRDefault="005C61B7" w:rsidP="005C61B7">
            <w:pPr>
              <w:spacing w:before="120" w:after="120"/>
              <w:jc w:val="both"/>
              <w:rPr>
                <w:rFonts w:asciiTheme="majorHAnsi" w:eastAsia="Times New Roman" w:hAnsiTheme="majorHAnsi" w:cs="Arial"/>
                <w:sz w:val="22"/>
                <w:szCs w:val="22"/>
              </w:rPr>
            </w:pPr>
            <w:r w:rsidRPr="00300337">
              <w:rPr>
                <w:rFonts w:asciiTheme="majorHAnsi" w:eastAsia="Times New Roman" w:hAnsiTheme="majorHAnsi" w:cs="Arial"/>
                <w:sz w:val="22"/>
                <w:szCs w:val="22"/>
              </w:rPr>
              <w:t>(</w:t>
            </w:r>
            <w:r w:rsidR="00CA59CA">
              <w:rPr>
                <w:rFonts w:asciiTheme="majorHAnsi" w:eastAsia="Times New Roman" w:hAnsiTheme="majorHAnsi" w:cs="Arial"/>
                <w:sz w:val="22"/>
                <w:szCs w:val="22"/>
              </w:rPr>
              <w:t>7</w:t>
            </w:r>
            <w:r w:rsidRPr="00300337">
              <w:rPr>
                <w:rFonts w:asciiTheme="majorHAnsi" w:eastAsia="Times New Roman" w:hAnsiTheme="majorHAnsi" w:cs="Arial"/>
                <w:sz w:val="22"/>
                <w:szCs w:val="22"/>
              </w:rPr>
              <w:t xml:space="preserve">) Definitions. In relation to the Project and its environmental and social management, the following definitions shall apply: </w:t>
            </w:r>
          </w:p>
          <w:p w14:paraId="4CAAD7F1" w14:textId="77777777" w:rsidR="005C61B7" w:rsidRDefault="005C61B7" w:rsidP="005C61B7">
            <w:pPr>
              <w:pStyle w:val="ListParagraph"/>
              <w:numPr>
                <w:ilvl w:val="0"/>
                <w:numId w:val="42"/>
              </w:numPr>
              <w:spacing w:before="120" w:after="120" w:line="259" w:lineRule="auto"/>
              <w:jc w:val="both"/>
              <w:rPr>
                <w:rFonts w:asciiTheme="majorHAnsi" w:eastAsia="Times New Roman" w:hAnsiTheme="majorHAnsi" w:cs="Arial"/>
                <w:sz w:val="22"/>
                <w:szCs w:val="22"/>
              </w:rPr>
            </w:pPr>
            <w:r w:rsidRPr="00300337">
              <w:rPr>
                <w:rFonts w:asciiTheme="majorHAnsi" w:eastAsia="Times New Roman" w:hAnsiTheme="majorHAnsi" w:cs="Arial"/>
                <w:b/>
                <w:sz w:val="22"/>
                <w:szCs w:val="22"/>
              </w:rPr>
              <w:t>E</w:t>
            </w:r>
            <w:r w:rsidR="006B47B1">
              <w:rPr>
                <w:rFonts w:asciiTheme="majorHAnsi" w:eastAsia="Times New Roman" w:hAnsiTheme="majorHAnsi" w:cs="Arial"/>
                <w:b/>
                <w:sz w:val="22"/>
                <w:szCs w:val="22"/>
              </w:rPr>
              <w:t>nvironmental</w:t>
            </w:r>
            <w:r w:rsidRPr="00300337">
              <w:rPr>
                <w:rFonts w:asciiTheme="majorHAnsi" w:eastAsia="Times New Roman" w:hAnsiTheme="majorHAnsi" w:cs="Arial"/>
                <w:b/>
                <w:sz w:val="22"/>
                <w:szCs w:val="22"/>
              </w:rPr>
              <w:t xml:space="preserve"> Officer.</w:t>
            </w:r>
            <w:r w:rsidRPr="00300337">
              <w:rPr>
                <w:rFonts w:asciiTheme="majorHAnsi" w:eastAsia="Times New Roman" w:hAnsiTheme="majorHAnsi" w:cs="Arial"/>
                <w:sz w:val="22"/>
                <w:szCs w:val="22"/>
              </w:rPr>
              <w:t xml:space="preserve"> The Environmental, Health and Safety Officer’s role will be to (i) review tender documents and contracts to ensure inclusion of environmental and social requirements; (ii) meet with contractors to discuss requirements; (iii) develop inspection schedules and reporting and corrective action mechanisms; (iv) supervise compliance in the field;</w:t>
            </w:r>
            <w:r>
              <w:rPr>
                <w:rFonts w:asciiTheme="majorHAnsi" w:eastAsia="Times New Roman" w:hAnsiTheme="majorHAnsi" w:cs="Arial"/>
                <w:sz w:val="22"/>
                <w:szCs w:val="22"/>
              </w:rPr>
              <w:t xml:space="preserve"> (v) liaise with Ministry of </w:t>
            </w:r>
            <w:r w:rsidR="006B47B1">
              <w:rPr>
                <w:rFonts w:asciiTheme="majorHAnsi" w:eastAsia="Times New Roman" w:hAnsiTheme="majorHAnsi" w:cs="Arial"/>
                <w:sz w:val="22"/>
                <w:szCs w:val="22"/>
              </w:rPr>
              <w:t>Environment</w:t>
            </w:r>
            <w:r>
              <w:rPr>
                <w:rFonts w:asciiTheme="majorHAnsi" w:eastAsia="Times New Roman" w:hAnsiTheme="majorHAnsi" w:cs="Arial"/>
                <w:sz w:val="22"/>
                <w:szCs w:val="22"/>
              </w:rPr>
              <w:t xml:space="preserve"> </w:t>
            </w:r>
            <w:r w:rsidR="006B47B1">
              <w:rPr>
                <w:rFonts w:asciiTheme="majorHAnsi" w:eastAsia="Times New Roman" w:hAnsiTheme="majorHAnsi" w:cs="Arial"/>
                <w:sz w:val="22"/>
                <w:szCs w:val="22"/>
              </w:rPr>
              <w:t xml:space="preserve">and facilitate inspections and monitoring, </w:t>
            </w:r>
            <w:r w:rsidRPr="00300337">
              <w:rPr>
                <w:rFonts w:asciiTheme="majorHAnsi" w:eastAsia="Times New Roman" w:hAnsiTheme="majorHAnsi" w:cs="Arial"/>
                <w:sz w:val="22"/>
                <w:szCs w:val="22"/>
              </w:rPr>
              <w:t xml:space="preserve"> (v</w:t>
            </w:r>
            <w:r w:rsidR="006B47B1">
              <w:rPr>
                <w:rFonts w:asciiTheme="majorHAnsi" w:eastAsia="Times New Roman" w:hAnsiTheme="majorHAnsi" w:cs="Arial"/>
                <w:sz w:val="22"/>
                <w:szCs w:val="22"/>
              </w:rPr>
              <w:t>i</w:t>
            </w:r>
            <w:r w:rsidRPr="00300337">
              <w:rPr>
                <w:rFonts w:asciiTheme="majorHAnsi" w:eastAsia="Times New Roman" w:hAnsiTheme="majorHAnsi" w:cs="Arial"/>
                <w:sz w:val="22"/>
                <w:szCs w:val="22"/>
              </w:rPr>
              <w:t>) report to the PEU on environmental and social compliance; (vi</w:t>
            </w:r>
            <w:r w:rsidR="006B47B1">
              <w:rPr>
                <w:rFonts w:asciiTheme="majorHAnsi" w:eastAsia="Times New Roman" w:hAnsiTheme="majorHAnsi" w:cs="Arial"/>
                <w:sz w:val="22"/>
                <w:szCs w:val="22"/>
              </w:rPr>
              <w:t>i</w:t>
            </w:r>
            <w:r w:rsidRPr="00300337">
              <w:rPr>
                <w:rFonts w:asciiTheme="majorHAnsi" w:eastAsia="Times New Roman" w:hAnsiTheme="majorHAnsi" w:cs="Arial"/>
                <w:sz w:val="22"/>
                <w:szCs w:val="22"/>
              </w:rPr>
              <w:t xml:space="preserve">) prepare a semi-annual environmental and social compliance report to be submitted to the IDB. </w:t>
            </w:r>
          </w:p>
          <w:p w14:paraId="512B135D" w14:textId="77777777" w:rsidR="00AB43F8" w:rsidRDefault="006B47B1" w:rsidP="00AB43F8">
            <w:pPr>
              <w:pStyle w:val="ListParagraph"/>
              <w:numPr>
                <w:ilvl w:val="0"/>
                <w:numId w:val="42"/>
              </w:numPr>
              <w:spacing w:before="120" w:after="120" w:line="259" w:lineRule="auto"/>
              <w:jc w:val="both"/>
              <w:rPr>
                <w:rFonts w:asciiTheme="majorHAnsi" w:eastAsia="Times New Roman" w:hAnsiTheme="majorHAnsi" w:cs="Arial"/>
                <w:sz w:val="22"/>
                <w:szCs w:val="22"/>
              </w:rPr>
            </w:pPr>
            <w:r>
              <w:rPr>
                <w:rFonts w:asciiTheme="majorHAnsi" w:eastAsia="Times New Roman" w:hAnsiTheme="majorHAnsi" w:cs="Arial"/>
                <w:b/>
                <w:sz w:val="22"/>
                <w:szCs w:val="22"/>
              </w:rPr>
              <w:t>Social Specialist</w:t>
            </w:r>
            <w:r w:rsidR="00AB43F8">
              <w:rPr>
                <w:rFonts w:asciiTheme="majorHAnsi" w:eastAsia="Times New Roman" w:hAnsiTheme="majorHAnsi" w:cs="Arial"/>
                <w:b/>
                <w:sz w:val="22"/>
                <w:szCs w:val="22"/>
              </w:rPr>
              <w:t>.</w:t>
            </w:r>
            <w:r w:rsidR="00CA59CA">
              <w:rPr>
                <w:rFonts w:asciiTheme="majorHAnsi" w:eastAsia="Times New Roman" w:hAnsiTheme="majorHAnsi" w:cs="Arial"/>
                <w:b/>
                <w:sz w:val="22"/>
                <w:szCs w:val="22"/>
              </w:rPr>
              <w:t xml:space="preserve"> </w:t>
            </w:r>
            <w:r w:rsidR="00AB43F8">
              <w:rPr>
                <w:rFonts w:asciiTheme="majorHAnsi" w:eastAsia="Times New Roman" w:hAnsiTheme="majorHAnsi" w:cs="Arial"/>
                <w:sz w:val="22"/>
                <w:szCs w:val="22"/>
              </w:rPr>
              <w:t>The main tasks of this professional will be to</w:t>
            </w:r>
            <w:r w:rsidR="00AB43F8" w:rsidRPr="00300337">
              <w:rPr>
                <w:rFonts w:asciiTheme="majorHAnsi" w:eastAsia="Times New Roman" w:hAnsiTheme="majorHAnsi" w:cs="Arial"/>
                <w:sz w:val="22"/>
                <w:szCs w:val="22"/>
              </w:rPr>
              <w:t xml:space="preserve"> (i) review </w:t>
            </w:r>
            <w:r w:rsidR="00AB43F8">
              <w:rPr>
                <w:rFonts w:asciiTheme="majorHAnsi" w:eastAsia="Times New Roman" w:hAnsiTheme="majorHAnsi" w:cs="Arial"/>
                <w:sz w:val="22"/>
                <w:szCs w:val="22"/>
              </w:rPr>
              <w:t>project</w:t>
            </w:r>
            <w:r w:rsidR="00AB43F8" w:rsidRPr="00300337">
              <w:rPr>
                <w:rFonts w:asciiTheme="majorHAnsi" w:eastAsia="Times New Roman" w:hAnsiTheme="majorHAnsi" w:cs="Arial"/>
                <w:sz w:val="22"/>
                <w:szCs w:val="22"/>
              </w:rPr>
              <w:t xml:space="preserve"> documents and contracts to ensure inclusion of </w:t>
            </w:r>
            <w:r w:rsidR="00AB43F8">
              <w:rPr>
                <w:rFonts w:asciiTheme="majorHAnsi" w:eastAsia="Times New Roman" w:hAnsiTheme="majorHAnsi" w:cs="Arial"/>
                <w:sz w:val="22"/>
                <w:szCs w:val="22"/>
              </w:rPr>
              <w:t xml:space="preserve">the </w:t>
            </w:r>
            <w:r w:rsidR="00AB43F8" w:rsidRPr="00300337">
              <w:rPr>
                <w:rFonts w:asciiTheme="majorHAnsi" w:eastAsia="Times New Roman" w:hAnsiTheme="majorHAnsi" w:cs="Arial"/>
                <w:sz w:val="22"/>
                <w:szCs w:val="22"/>
              </w:rPr>
              <w:t>social requirements</w:t>
            </w:r>
            <w:r w:rsidR="00AB43F8">
              <w:rPr>
                <w:rFonts w:asciiTheme="majorHAnsi" w:eastAsia="Times New Roman" w:hAnsiTheme="majorHAnsi" w:cs="Arial"/>
                <w:sz w:val="22"/>
                <w:szCs w:val="22"/>
              </w:rPr>
              <w:t xml:space="preserve"> established in the ESMP and other social management plans</w:t>
            </w:r>
            <w:r w:rsidR="00AB43F8" w:rsidRPr="00300337">
              <w:rPr>
                <w:rFonts w:asciiTheme="majorHAnsi" w:eastAsia="Times New Roman" w:hAnsiTheme="majorHAnsi" w:cs="Arial"/>
                <w:sz w:val="22"/>
                <w:szCs w:val="22"/>
              </w:rPr>
              <w:t xml:space="preserve">; (ii) </w:t>
            </w:r>
            <w:r w:rsidR="00AB43F8">
              <w:rPr>
                <w:rFonts w:asciiTheme="majorHAnsi" w:eastAsia="Times New Roman" w:hAnsiTheme="majorHAnsi" w:cs="Arial"/>
                <w:sz w:val="22"/>
                <w:szCs w:val="22"/>
              </w:rPr>
              <w:t>conduct</w:t>
            </w:r>
            <w:r w:rsidR="00AB43F8" w:rsidRPr="00300337">
              <w:rPr>
                <w:rFonts w:asciiTheme="majorHAnsi" w:eastAsia="Times New Roman" w:hAnsiTheme="majorHAnsi" w:cs="Arial"/>
                <w:sz w:val="22"/>
                <w:szCs w:val="22"/>
              </w:rPr>
              <w:t xml:space="preserve"> inspection</w:t>
            </w:r>
            <w:r w:rsidR="00AB43F8">
              <w:rPr>
                <w:rFonts w:asciiTheme="majorHAnsi" w:eastAsia="Times New Roman" w:hAnsiTheme="majorHAnsi" w:cs="Arial"/>
                <w:sz w:val="22"/>
                <w:szCs w:val="22"/>
              </w:rPr>
              <w:t>s</w:t>
            </w:r>
            <w:r w:rsidR="00AB43F8" w:rsidRPr="00300337">
              <w:rPr>
                <w:rFonts w:asciiTheme="majorHAnsi" w:eastAsia="Times New Roman" w:hAnsiTheme="majorHAnsi" w:cs="Arial"/>
                <w:sz w:val="22"/>
                <w:szCs w:val="22"/>
              </w:rPr>
              <w:t xml:space="preserve"> </w:t>
            </w:r>
            <w:r w:rsidR="00AB43F8">
              <w:rPr>
                <w:rFonts w:asciiTheme="majorHAnsi" w:eastAsia="Times New Roman" w:hAnsiTheme="majorHAnsi" w:cs="Arial"/>
                <w:sz w:val="22"/>
                <w:szCs w:val="22"/>
              </w:rPr>
              <w:t xml:space="preserve">to </w:t>
            </w:r>
            <w:r w:rsidR="00AB43F8" w:rsidRPr="00300337">
              <w:rPr>
                <w:rFonts w:asciiTheme="majorHAnsi" w:eastAsia="Times New Roman" w:hAnsiTheme="majorHAnsi" w:cs="Arial"/>
                <w:sz w:val="22"/>
                <w:szCs w:val="22"/>
              </w:rPr>
              <w:t xml:space="preserve">supervise compliance in the field and </w:t>
            </w:r>
            <w:r w:rsidR="00AB43F8">
              <w:rPr>
                <w:rFonts w:asciiTheme="majorHAnsi" w:eastAsia="Times New Roman" w:hAnsiTheme="majorHAnsi" w:cs="Arial"/>
                <w:sz w:val="22"/>
                <w:szCs w:val="22"/>
              </w:rPr>
              <w:t>request</w:t>
            </w:r>
            <w:r w:rsidR="00AB43F8" w:rsidRPr="00300337">
              <w:rPr>
                <w:rFonts w:asciiTheme="majorHAnsi" w:eastAsia="Times New Roman" w:hAnsiTheme="majorHAnsi" w:cs="Arial"/>
                <w:sz w:val="22"/>
                <w:szCs w:val="22"/>
              </w:rPr>
              <w:t xml:space="preserve"> corrective action</w:t>
            </w:r>
            <w:r w:rsidR="00AB43F8">
              <w:rPr>
                <w:rFonts w:asciiTheme="majorHAnsi" w:eastAsia="Times New Roman" w:hAnsiTheme="majorHAnsi" w:cs="Arial"/>
                <w:sz w:val="22"/>
                <w:szCs w:val="22"/>
              </w:rPr>
              <w:t>s</w:t>
            </w:r>
            <w:r w:rsidR="00725445">
              <w:rPr>
                <w:rFonts w:asciiTheme="majorHAnsi" w:eastAsia="Times New Roman" w:hAnsiTheme="majorHAnsi" w:cs="Arial"/>
                <w:sz w:val="22"/>
                <w:szCs w:val="22"/>
              </w:rPr>
              <w:t xml:space="preserve"> as needed</w:t>
            </w:r>
            <w:r w:rsidR="00AB43F8" w:rsidRPr="00300337">
              <w:rPr>
                <w:rFonts w:asciiTheme="majorHAnsi" w:eastAsia="Times New Roman" w:hAnsiTheme="majorHAnsi" w:cs="Arial"/>
                <w:sz w:val="22"/>
                <w:szCs w:val="22"/>
              </w:rPr>
              <w:t>; (iv)</w:t>
            </w:r>
            <w:r w:rsidR="00AB43F8">
              <w:rPr>
                <w:rFonts w:asciiTheme="majorHAnsi" w:eastAsia="Times New Roman" w:hAnsiTheme="majorHAnsi" w:cs="Arial"/>
                <w:sz w:val="22"/>
                <w:szCs w:val="22"/>
              </w:rPr>
              <w:t xml:space="preserve"> ensure that the Grievance Redress Mechanism is fully operational</w:t>
            </w:r>
            <w:r w:rsidR="00AB43F8" w:rsidRPr="00300337">
              <w:rPr>
                <w:rFonts w:asciiTheme="majorHAnsi" w:eastAsia="Times New Roman" w:hAnsiTheme="majorHAnsi" w:cs="Arial"/>
                <w:sz w:val="22"/>
                <w:szCs w:val="22"/>
              </w:rPr>
              <w:t>;</w:t>
            </w:r>
            <w:r w:rsidR="00AB43F8">
              <w:rPr>
                <w:rFonts w:asciiTheme="majorHAnsi" w:eastAsia="Times New Roman" w:hAnsiTheme="majorHAnsi" w:cs="Arial"/>
                <w:sz w:val="22"/>
                <w:szCs w:val="22"/>
              </w:rPr>
              <w:t xml:space="preserve"> (v) liaise with other government agencies to ensure the implementation of the social management plans</w:t>
            </w:r>
            <w:r w:rsidR="003A20FB">
              <w:rPr>
                <w:rFonts w:asciiTheme="majorHAnsi" w:eastAsia="Times New Roman" w:hAnsiTheme="majorHAnsi" w:cs="Arial"/>
                <w:sz w:val="22"/>
                <w:szCs w:val="22"/>
              </w:rPr>
              <w:t>;</w:t>
            </w:r>
            <w:r w:rsidR="00AB43F8">
              <w:rPr>
                <w:rFonts w:asciiTheme="majorHAnsi" w:eastAsia="Times New Roman" w:hAnsiTheme="majorHAnsi" w:cs="Arial"/>
                <w:sz w:val="22"/>
                <w:szCs w:val="22"/>
              </w:rPr>
              <w:t xml:space="preserve"> </w:t>
            </w:r>
            <w:r w:rsidR="00AB43F8" w:rsidRPr="00300337">
              <w:rPr>
                <w:rFonts w:asciiTheme="majorHAnsi" w:eastAsia="Times New Roman" w:hAnsiTheme="majorHAnsi" w:cs="Arial"/>
                <w:sz w:val="22"/>
                <w:szCs w:val="22"/>
              </w:rPr>
              <w:t xml:space="preserve"> (v</w:t>
            </w:r>
            <w:r w:rsidR="00AB43F8">
              <w:rPr>
                <w:rFonts w:asciiTheme="majorHAnsi" w:eastAsia="Times New Roman" w:hAnsiTheme="majorHAnsi" w:cs="Arial"/>
                <w:sz w:val="22"/>
                <w:szCs w:val="22"/>
              </w:rPr>
              <w:t>i</w:t>
            </w:r>
            <w:r w:rsidR="00AB43F8" w:rsidRPr="00300337">
              <w:rPr>
                <w:rFonts w:asciiTheme="majorHAnsi" w:eastAsia="Times New Roman" w:hAnsiTheme="majorHAnsi" w:cs="Arial"/>
                <w:sz w:val="22"/>
                <w:szCs w:val="22"/>
              </w:rPr>
              <w:t xml:space="preserve">) report to the PEU on social compliance; </w:t>
            </w:r>
            <w:r w:rsidR="003A20FB">
              <w:rPr>
                <w:rFonts w:asciiTheme="majorHAnsi" w:eastAsia="Times New Roman" w:hAnsiTheme="majorHAnsi" w:cs="Arial"/>
                <w:sz w:val="22"/>
                <w:szCs w:val="22"/>
              </w:rPr>
              <w:t xml:space="preserve">and </w:t>
            </w:r>
            <w:r w:rsidR="00AB43F8" w:rsidRPr="00300337">
              <w:rPr>
                <w:rFonts w:asciiTheme="majorHAnsi" w:eastAsia="Times New Roman" w:hAnsiTheme="majorHAnsi" w:cs="Arial"/>
                <w:sz w:val="22"/>
                <w:szCs w:val="22"/>
              </w:rPr>
              <w:t>(vi</w:t>
            </w:r>
            <w:r w:rsidR="00AB43F8">
              <w:rPr>
                <w:rFonts w:asciiTheme="majorHAnsi" w:eastAsia="Times New Roman" w:hAnsiTheme="majorHAnsi" w:cs="Arial"/>
                <w:sz w:val="22"/>
                <w:szCs w:val="22"/>
              </w:rPr>
              <w:t>i</w:t>
            </w:r>
            <w:r w:rsidR="00AB43F8" w:rsidRPr="00300337">
              <w:rPr>
                <w:rFonts w:asciiTheme="majorHAnsi" w:eastAsia="Times New Roman" w:hAnsiTheme="majorHAnsi" w:cs="Arial"/>
                <w:sz w:val="22"/>
                <w:szCs w:val="22"/>
              </w:rPr>
              <w:t>) prepare</w:t>
            </w:r>
            <w:r w:rsidR="00AB43F8">
              <w:rPr>
                <w:rFonts w:asciiTheme="majorHAnsi" w:eastAsia="Times New Roman" w:hAnsiTheme="majorHAnsi" w:cs="Arial"/>
                <w:sz w:val="22"/>
                <w:szCs w:val="22"/>
              </w:rPr>
              <w:t xml:space="preserve"> the social section of the </w:t>
            </w:r>
            <w:r w:rsidR="00AB43F8" w:rsidRPr="00300337">
              <w:rPr>
                <w:rFonts w:asciiTheme="majorHAnsi" w:eastAsia="Times New Roman" w:hAnsiTheme="majorHAnsi" w:cs="Arial"/>
                <w:sz w:val="22"/>
                <w:szCs w:val="22"/>
              </w:rPr>
              <w:t xml:space="preserve">semi-annual compliance report to be submitted to the IDB. </w:t>
            </w:r>
          </w:p>
          <w:p w14:paraId="7C92B651" w14:textId="77777777" w:rsidR="005C61B7" w:rsidRPr="005263D4" w:rsidRDefault="005C61B7" w:rsidP="005263D4">
            <w:pPr>
              <w:pStyle w:val="ListParagraph"/>
              <w:numPr>
                <w:ilvl w:val="0"/>
                <w:numId w:val="42"/>
              </w:numPr>
              <w:spacing w:before="120" w:after="120" w:line="259" w:lineRule="auto"/>
              <w:jc w:val="both"/>
              <w:rPr>
                <w:rFonts w:asciiTheme="majorHAnsi" w:eastAsia="Times New Roman" w:hAnsiTheme="majorHAnsi" w:cs="Arial"/>
                <w:b/>
                <w:sz w:val="22"/>
                <w:szCs w:val="22"/>
              </w:rPr>
            </w:pPr>
            <w:r w:rsidRPr="005263D4">
              <w:rPr>
                <w:rFonts w:asciiTheme="majorHAnsi" w:eastAsia="Times New Roman" w:hAnsiTheme="majorHAnsi" w:cs="Arial"/>
                <w:b/>
                <w:sz w:val="22"/>
                <w:szCs w:val="22"/>
              </w:rPr>
              <w:lastRenderedPageBreak/>
              <w:t xml:space="preserve">The Environmental and Social </w:t>
            </w:r>
            <w:r w:rsidR="006B47B1" w:rsidRPr="005263D4">
              <w:rPr>
                <w:rFonts w:asciiTheme="majorHAnsi" w:eastAsia="Times New Roman" w:hAnsiTheme="majorHAnsi" w:cs="Arial"/>
                <w:b/>
                <w:sz w:val="22"/>
                <w:szCs w:val="22"/>
              </w:rPr>
              <w:t xml:space="preserve">Impact Assessment </w:t>
            </w:r>
            <w:r w:rsidRPr="005263D4">
              <w:rPr>
                <w:rFonts w:asciiTheme="majorHAnsi" w:eastAsia="Times New Roman" w:hAnsiTheme="majorHAnsi" w:cs="Arial"/>
                <w:b/>
                <w:sz w:val="22"/>
                <w:szCs w:val="22"/>
              </w:rPr>
              <w:t>(ES</w:t>
            </w:r>
            <w:r w:rsidR="006B47B1" w:rsidRPr="005263D4">
              <w:rPr>
                <w:rFonts w:asciiTheme="majorHAnsi" w:eastAsia="Times New Roman" w:hAnsiTheme="majorHAnsi" w:cs="Arial"/>
                <w:b/>
                <w:sz w:val="22"/>
                <w:szCs w:val="22"/>
              </w:rPr>
              <w:t>I</w:t>
            </w:r>
            <w:r w:rsidRPr="005263D4">
              <w:rPr>
                <w:rFonts w:asciiTheme="majorHAnsi" w:eastAsia="Times New Roman" w:hAnsiTheme="majorHAnsi" w:cs="Arial"/>
                <w:b/>
                <w:sz w:val="22"/>
                <w:szCs w:val="22"/>
              </w:rPr>
              <w:t>A)</w:t>
            </w:r>
            <w:r w:rsidR="00217625" w:rsidRPr="005263D4">
              <w:rPr>
                <w:rFonts w:asciiTheme="majorHAnsi" w:eastAsia="Times New Roman" w:hAnsiTheme="majorHAnsi" w:cs="Arial"/>
                <w:b/>
                <w:sz w:val="22"/>
                <w:szCs w:val="22"/>
              </w:rPr>
              <w:t>, Environmental and Social Management Plan (ESMP)</w:t>
            </w:r>
            <w:r w:rsidR="006B47B1" w:rsidRPr="005263D4">
              <w:rPr>
                <w:rFonts w:asciiTheme="majorHAnsi" w:eastAsia="Times New Roman" w:hAnsiTheme="majorHAnsi" w:cs="Arial"/>
                <w:b/>
                <w:sz w:val="22"/>
                <w:szCs w:val="22"/>
              </w:rPr>
              <w:t xml:space="preserve"> and Addendum</w:t>
            </w:r>
            <w:r w:rsidRPr="005263D4">
              <w:rPr>
                <w:rFonts w:asciiTheme="majorHAnsi" w:eastAsia="Times New Roman" w:hAnsiTheme="majorHAnsi" w:cs="Arial"/>
                <w:b/>
                <w:sz w:val="22"/>
                <w:szCs w:val="22"/>
              </w:rPr>
              <w:t xml:space="preserve"> </w:t>
            </w:r>
            <w:r w:rsidR="00702B67" w:rsidRPr="005263D4">
              <w:rPr>
                <w:rFonts w:asciiTheme="majorHAnsi" w:eastAsia="Times New Roman" w:hAnsiTheme="majorHAnsi" w:cs="Arial"/>
                <w:noProof/>
                <w:sz w:val="22"/>
                <w:szCs w:val="22"/>
              </w:rPr>
              <w:t>r</w:t>
            </w:r>
            <w:r w:rsidRPr="005263D4">
              <w:rPr>
                <w:rFonts w:asciiTheme="majorHAnsi" w:eastAsia="Times New Roman" w:hAnsiTheme="majorHAnsi" w:cs="Arial"/>
                <w:noProof/>
                <w:sz w:val="22"/>
                <w:szCs w:val="22"/>
              </w:rPr>
              <w:t>efers</w:t>
            </w:r>
            <w:r w:rsidRPr="005263D4">
              <w:rPr>
                <w:rFonts w:asciiTheme="majorHAnsi" w:eastAsia="Times New Roman" w:hAnsiTheme="majorHAnsi" w:cs="Arial"/>
                <w:sz w:val="22"/>
                <w:szCs w:val="22"/>
              </w:rPr>
              <w:t xml:space="preserve"> to the </w:t>
            </w:r>
            <w:hyperlink r:id="rId25" w:history="1">
              <w:r w:rsidRPr="005263D4">
                <w:rPr>
                  <w:rStyle w:val="Hyperlink"/>
                  <w:rFonts w:asciiTheme="majorHAnsi" w:eastAsia="Times New Roman" w:hAnsiTheme="majorHAnsi" w:cs="Arial"/>
                  <w:sz w:val="22"/>
                  <w:szCs w:val="22"/>
                </w:rPr>
                <w:t>ES</w:t>
              </w:r>
              <w:r w:rsidR="00217625" w:rsidRPr="005263D4">
                <w:rPr>
                  <w:rStyle w:val="Hyperlink"/>
                  <w:rFonts w:asciiTheme="majorHAnsi" w:eastAsia="Times New Roman" w:hAnsiTheme="majorHAnsi" w:cs="Arial"/>
                  <w:sz w:val="22"/>
                  <w:szCs w:val="22"/>
                </w:rPr>
                <w:t>IA and ESMP</w:t>
              </w:r>
            </w:hyperlink>
            <w:r w:rsidRPr="005263D4">
              <w:rPr>
                <w:rFonts w:asciiTheme="majorHAnsi" w:eastAsia="Times New Roman" w:hAnsiTheme="majorHAnsi" w:cs="Arial"/>
                <w:sz w:val="22"/>
                <w:szCs w:val="22"/>
              </w:rPr>
              <w:t xml:space="preserve"> published on the Bank’s website dated</w:t>
            </w:r>
            <w:r w:rsidR="00217625" w:rsidRPr="005263D4">
              <w:rPr>
                <w:rFonts w:asciiTheme="majorHAnsi" w:eastAsia="Times New Roman" w:hAnsiTheme="majorHAnsi" w:cs="Arial"/>
                <w:sz w:val="22"/>
                <w:szCs w:val="22"/>
              </w:rPr>
              <w:t xml:space="preserve"> </w:t>
            </w:r>
            <w:r w:rsidR="00217625" w:rsidRPr="005263D4">
              <w:rPr>
                <w:rFonts w:asciiTheme="majorHAnsi" w:eastAsia="Times New Roman" w:hAnsiTheme="majorHAnsi" w:cs="Arial"/>
                <w:noProof/>
                <w:sz w:val="22"/>
                <w:szCs w:val="22"/>
              </w:rPr>
              <w:t>July,</w:t>
            </w:r>
            <w:r w:rsidR="00217625" w:rsidRPr="005263D4">
              <w:rPr>
                <w:rFonts w:asciiTheme="majorHAnsi" w:eastAsia="Times New Roman" w:hAnsiTheme="majorHAnsi" w:cs="Arial"/>
                <w:sz w:val="22"/>
                <w:szCs w:val="22"/>
              </w:rPr>
              <w:t xml:space="preserve"> 2014, and its </w:t>
            </w:r>
            <w:hyperlink r:id="rId26" w:history="1">
              <w:r w:rsidR="00217625" w:rsidRPr="005263D4">
                <w:rPr>
                  <w:rStyle w:val="Hyperlink"/>
                  <w:rFonts w:asciiTheme="majorHAnsi" w:eastAsia="Times New Roman" w:hAnsiTheme="majorHAnsi" w:cs="Arial"/>
                  <w:sz w:val="22"/>
                  <w:szCs w:val="22"/>
                </w:rPr>
                <w:t>Addendum</w:t>
              </w:r>
            </w:hyperlink>
            <w:r w:rsidR="00217625" w:rsidRPr="005263D4">
              <w:rPr>
                <w:rFonts w:asciiTheme="majorHAnsi" w:eastAsia="Times New Roman" w:hAnsiTheme="majorHAnsi" w:cs="Arial"/>
                <w:sz w:val="22"/>
                <w:szCs w:val="22"/>
              </w:rPr>
              <w:t xml:space="preserve">, published on the Banks website dated </w:t>
            </w:r>
            <w:r w:rsidR="00217625" w:rsidRPr="005263D4">
              <w:rPr>
                <w:rFonts w:asciiTheme="majorHAnsi" w:eastAsia="Times New Roman" w:hAnsiTheme="majorHAnsi" w:cs="Arial"/>
                <w:noProof/>
                <w:sz w:val="22"/>
                <w:szCs w:val="22"/>
              </w:rPr>
              <w:t>June,</w:t>
            </w:r>
            <w:r w:rsidR="00217625" w:rsidRPr="005263D4">
              <w:rPr>
                <w:rFonts w:asciiTheme="majorHAnsi" w:eastAsia="Times New Roman" w:hAnsiTheme="majorHAnsi" w:cs="Arial"/>
                <w:sz w:val="22"/>
                <w:szCs w:val="22"/>
              </w:rPr>
              <w:t xml:space="preserve"> 2018. </w:t>
            </w:r>
          </w:p>
          <w:p w14:paraId="236931F8" w14:textId="77777777" w:rsidR="00A06CD3" w:rsidRPr="008C5B38" w:rsidRDefault="00A06CD3" w:rsidP="005C61B7">
            <w:pPr>
              <w:pStyle w:val="ListParagraph"/>
              <w:numPr>
                <w:ilvl w:val="0"/>
                <w:numId w:val="42"/>
              </w:numPr>
              <w:spacing w:before="120" w:after="120" w:line="259" w:lineRule="auto"/>
              <w:jc w:val="both"/>
              <w:rPr>
                <w:rFonts w:asciiTheme="majorHAnsi" w:eastAsia="Times New Roman" w:hAnsiTheme="majorHAnsi" w:cs="Arial"/>
                <w:sz w:val="22"/>
                <w:szCs w:val="22"/>
              </w:rPr>
            </w:pPr>
            <w:r w:rsidRPr="00702B67">
              <w:rPr>
                <w:rFonts w:asciiTheme="majorHAnsi" w:eastAsia="Times New Roman" w:hAnsiTheme="majorHAnsi" w:cs="Arial"/>
                <w:b/>
                <w:sz w:val="22"/>
                <w:szCs w:val="22"/>
              </w:rPr>
              <w:t>Resettlement and Livelihoods Plan</w:t>
            </w:r>
            <w:r w:rsidR="00CA59CA" w:rsidRPr="00702B67">
              <w:rPr>
                <w:rFonts w:asciiTheme="majorHAnsi" w:eastAsia="Times New Roman" w:hAnsiTheme="majorHAnsi" w:cs="Arial"/>
                <w:b/>
                <w:sz w:val="22"/>
                <w:szCs w:val="22"/>
              </w:rPr>
              <w:t xml:space="preserve"> </w:t>
            </w:r>
            <w:r w:rsidR="00702B67" w:rsidRPr="008C5B38">
              <w:rPr>
                <w:rFonts w:asciiTheme="majorHAnsi" w:eastAsia="Times New Roman" w:hAnsiTheme="majorHAnsi" w:cs="Arial"/>
                <w:sz w:val="22"/>
                <w:szCs w:val="22"/>
              </w:rPr>
              <w:t xml:space="preserve">refers to the Plan published on the Banks website dated </w:t>
            </w:r>
            <w:r w:rsidR="00702B67" w:rsidRPr="008C5B38">
              <w:rPr>
                <w:rFonts w:asciiTheme="majorHAnsi" w:eastAsia="Times New Roman" w:hAnsiTheme="majorHAnsi" w:cs="Arial"/>
                <w:noProof/>
                <w:sz w:val="22"/>
                <w:szCs w:val="22"/>
              </w:rPr>
              <w:t>June,</w:t>
            </w:r>
            <w:r w:rsidR="00702B67" w:rsidRPr="008C5B38">
              <w:rPr>
                <w:rFonts w:asciiTheme="majorHAnsi" w:eastAsia="Times New Roman" w:hAnsiTheme="majorHAnsi" w:cs="Arial"/>
                <w:sz w:val="22"/>
                <w:szCs w:val="22"/>
              </w:rPr>
              <w:t xml:space="preserve"> 2018. </w:t>
            </w:r>
          </w:p>
          <w:p w14:paraId="15AECA58" w14:textId="77777777" w:rsidR="005C61B7" w:rsidRPr="00D3775E" w:rsidRDefault="005C61B7" w:rsidP="00D3775E">
            <w:pPr>
              <w:pStyle w:val="ListParagraph"/>
              <w:numPr>
                <w:ilvl w:val="0"/>
                <w:numId w:val="42"/>
              </w:numPr>
              <w:spacing w:before="120" w:after="120" w:line="259" w:lineRule="auto"/>
              <w:jc w:val="both"/>
              <w:rPr>
                <w:rFonts w:asciiTheme="majorHAnsi" w:eastAsia="Times New Roman" w:hAnsiTheme="majorHAnsi" w:cs="Arial"/>
                <w:b/>
                <w:sz w:val="22"/>
                <w:szCs w:val="22"/>
              </w:rPr>
            </w:pPr>
            <w:r w:rsidRPr="006B47B1">
              <w:rPr>
                <w:rFonts w:asciiTheme="majorHAnsi" w:eastAsia="Times New Roman" w:hAnsiTheme="majorHAnsi" w:cs="Arial"/>
                <w:b/>
                <w:sz w:val="22"/>
                <w:szCs w:val="22"/>
              </w:rPr>
              <w:t>Grievance Redress Mechanism (GRM).</w:t>
            </w:r>
            <w:r w:rsidRPr="006B47B1">
              <w:rPr>
                <w:rFonts w:asciiTheme="majorHAnsi" w:eastAsia="Times New Roman" w:hAnsiTheme="majorHAnsi" w:cs="Arial"/>
                <w:sz w:val="22"/>
                <w:szCs w:val="22"/>
              </w:rPr>
              <w:t xml:space="preserve"> The GRM is a mechanism to receive and act on complaints and grievances reported by customers of a private organization or public citizens accessing a government service. Grievance Redressal may be handled directly by organizations through their own websites or through call centers.</w:t>
            </w:r>
          </w:p>
        </w:tc>
      </w:tr>
    </w:tbl>
    <w:p w14:paraId="1173A527" w14:textId="77777777" w:rsidR="009F0069" w:rsidRDefault="009F0069" w:rsidP="009F0069">
      <w:pPr>
        <w:rPr>
          <w:rFonts w:ascii="Arial" w:eastAsia="Times New Roman" w:hAnsi="Arial" w:cs="Arial"/>
          <w:b/>
          <w:i/>
          <w:lang w:val="en"/>
        </w:rPr>
      </w:pPr>
    </w:p>
    <w:p w14:paraId="1C937681" w14:textId="77777777" w:rsidR="0020629B" w:rsidRDefault="0020629B">
      <w:pPr>
        <w:rPr>
          <w:rFonts w:ascii="Arial" w:hAnsi="Arial" w:cs="Arial"/>
          <w:b/>
          <w:lang w:val="en"/>
        </w:rPr>
      </w:pPr>
      <w:r>
        <w:rPr>
          <w:rFonts w:ascii="Arial" w:hAnsi="Arial" w:cs="Arial"/>
          <w:b/>
          <w:lang w:val="en"/>
        </w:rPr>
        <w:br w:type="page"/>
      </w:r>
    </w:p>
    <w:p w14:paraId="0E345065" w14:textId="77777777" w:rsidR="006500FF" w:rsidRDefault="006500FF" w:rsidP="006500FF">
      <w:pPr>
        <w:rPr>
          <w:rFonts w:ascii="Arial" w:hAnsi="Arial" w:cs="Arial"/>
          <w:b/>
          <w:sz w:val="20"/>
          <w:szCs w:val="20"/>
        </w:rPr>
      </w:pPr>
    </w:p>
    <w:tbl>
      <w:tblPr>
        <w:tblStyle w:val="TableGrid"/>
        <w:tblW w:w="9473" w:type="dxa"/>
        <w:tblInd w:w="-5" w:type="dxa"/>
        <w:tblLayout w:type="fixed"/>
        <w:tblLook w:val="04A0" w:firstRow="1" w:lastRow="0" w:firstColumn="1" w:lastColumn="0" w:noHBand="0" w:noVBand="1"/>
      </w:tblPr>
      <w:tblGrid>
        <w:gridCol w:w="9473"/>
      </w:tblGrid>
      <w:tr w:rsidR="006500FF" w:rsidRPr="00E56776" w:rsidDel="00017014" w14:paraId="0B7E7827" w14:textId="77777777" w:rsidTr="0087228B">
        <w:trPr>
          <w:trHeight w:val="422"/>
        </w:trPr>
        <w:tc>
          <w:tcPr>
            <w:tcW w:w="9473" w:type="dxa"/>
            <w:tcBorders>
              <w:bottom w:val="single" w:sz="4" w:space="0" w:color="auto"/>
            </w:tcBorders>
            <w:shd w:val="clear" w:color="auto" w:fill="95B3D7" w:themeFill="accent1" w:themeFillTint="99"/>
            <w:vAlign w:val="center"/>
          </w:tcPr>
          <w:p w14:paraId="07FCE233" w14:textId="77777777" w:rsidR="006500FF" w:rsidRPr="00CB6CEA" w:rsidDel="00017014" w:rsidRDefault="006500FF" w:rsidP="00015768">
            <w:pPr>
              <w:rPr>
                <w:rFonts w:ascii="Arial" w:eastAsia="Times New Roman" w:hAnsi="Arial" w:cs="Arial"/>
                <w:b/>
                <w:bCs/>
                <w:szCs w:val="27"/>
              </w:rPr>
            </w:pPr>
            <w:r w:rsidRPr="00CB6CEA">
              <w:rPr>
                <w:rFonts w:ascii="Arial" w:eastAsia="Times New Roman" w:hAnsi="Arial" w:cs="Arial"/>
                <w:b/>
                <w:bCs/>
                <w:szCs w:val="27"/>
              </w:rPr>
              <w:t>Annex C: Content of the ESHS Compliance Report (ESCR)</w:t>
            </w:r>
          </w:p>
        </w:tc>
      </w:tr>
      <w:tr w:rsidR="006500FF" w:rsidRPr="005B7E51" w14:paraId="713E4EFD" w14:textId="77777777" w:rsidTr="0087228B">
        <w:trPr>
          <w:trHeight w:val="530"/>
        </w:trPr>
        <w:tc>
          <w:tcPr>
            <w:tcW w:w="9473" w:type="dxa"/>
          </w:tcPr>
          <w:p w14:paraId="1C93B7B2" w14:textId="77777777" w:rsidR="006500FF" w:rsidRDefault="006500FF" w:rsidP="00CB6CEA">
            <w:pPr>
              <w:jc w:val="both"/>
              <w:rPr>
                <w:rFonts w:ascii="Arial" w:hAnsi="Arial" w:cs="Arial"/>
                <w:sz w:val="22"/>
                <w:szCs w:val="22"/>
              </w:rPr>
            </w:pPr>
            <w:r w:rsidRPr="00CB6CEA">
              <w:rPr>
                <w:rFonts w:ascii="Arial" w:hAnsi="Arial" w:cs="Arial"/>
                <w:sz w:val="20"/>
                <w:szCs w:val="20"/>
              </w:rPr>
              <w:t xml:space="preserve">The Executing Agency shall prepare and present to the Bank’s satisfaction, an ESHS Compliance Report (ESCR), including the topics presented in this annex, as part of the semester progress report. This report must be presented during the execution stage of the </w:t>
            </w:r>
            <w:r w:rsidRPr="005263D4">
              <w:rPr>
                <w:rFonts w:ascii="Arial" w:hAnsi="Arial" w:cs="Arial"/>
                <w:noProof/>
                <w:sz w:val="20"/>
                <w:szCs w:val="20"/>
              </w:rPr>
              <w:t>project,</w:t>
            </w:r>
            <w:r w:rsidRPr="00CB6CEA">
              <w:rPr>
                <w:rFonts w:ascii="Arial" w:hAnsi="Arial" w:cs="Arial"/>
                <w:sz w:val="20"/>
                <w:szCs w:val="20"/>
              </w:rPr>
              <w:t xml:space="preserve"> until two years after construction is completed</w:t>
            </w:r>
            <w:r>
              <w:rPr>
                <w:rFonts w:ascii="Arial" w:hAnsi="Arial" w:cs="Arial"/>
                <w:sz w:val="20"/>
                <w:szCs w:val="20"/>
              </w:rPr>
              <w:t>.</w:t>
            </w:r>
          </w:p>
          <w:p w14:paraId="7AC4D5E3" w14:textId="77777777" w:rsidR="0087656B" w:rsidRPr="00547C7F" w:rsidRDefault="0087656B" w:rsidP="0087656B">
            <w:pPr>
              <w:jc w:val="center"/>
              <w:rPr>
                <w:rFonts w:ascii="Arial" w:hAnsi="Arial" w:cs="Arial"/>
                <w:b/>
                <w:sz w:val="20"/>
                <w:szCs w:val="20"/>
              </w:rPr>
            </w:pPr>
            <w:r w:rsidRPr="00547C7F">
              <w:rPr>
                <w:rFonts w:ascii="Arial" w:hAnsi="Arial" w:cs="Arial"/>
                <w:b/>
                <w:sz w:val="20"/>
                <w:szCs w:val="20"/>
              </w:rPr>
              <w:t>TABLE OF CONTENTS</w:t>
            </w:r>
          </w:p>
          <w:p w14:paraId="6C4E5687" w14:textId="77777777" w:rsidR="0087656B" w:rsidRPr="00547C7F" w:rsidRDefault="0087656B" w:rsidP="0087656B">
            <w:pPr>
              <w:spacing w:before="200"/>
              <w:jc w:val="center"/>
              <w:rPr>
                <w:rFonts w:ascii="Arial" w:hAnsi="Arial" w:cs="Arial"/>
                <w:sz w:val="20"/>
                <w:szCs w:val="20"/>
              </w:rPr>
            </w:pPr>
          </w:p>
          <w:p w14:paraId="145A7CFF" w14:textId="76A15F85" w:rsidR="0087656B" w:rsidRPr="00547C7F" w:rsidRDefault="0087656B" w:rsidP="0087656B">
            <w:pPr>
              <w:pStyle w:val="ListParagraph"/>
              <w:spacing w:after="200" w:line="276" w:lineRule="auto"/>
              <w:ind w:left="0"/>
              <w:rPr>
                <w:rFonts w:ascii="Arial" w:hAnsi="Arial" w:cs="Arial"/>
                <w:sz w:val="20"/>
                <w:szCs w:val="20"/>
              </w:rPr>
            </w:pPr>
            <w:r w:rsidRPr="00547C7F">
              <w:rPr>
                <w:rFonts w:ascii="Arial" w:hAnsi="Arial" w:cs="Arial"/>
                <w:sz w:val="20"/>
                <w:szCs w:val="20"/>
              </w:rPr>
              <w:t>1.</w:t>
            </w:r>
            <w:r w:rsidR="00D11953">
              <w:rPr>
                <w:rFonts w:ascii="Arial" w:hAnsi="Arial" w:cs="Arial"/>
                <w:sz w:val="20"/>
                <w:szCs w:val="20"/>
              </w:rPr>
              <w:t xml:space="preserve"> </w:t>
            </w:r>
            <w:r w:rsidRPr="00547C7F">
              <w:rPr>
                <w:rFonts w:ascii="Arial" w:hAnsi="Arial" w:cs="Arial"/>
                <w:sz w:val="20"/>
                <w:szCs w:val="20"/>
              </w:rPr>
              <w:t>EXECUTIVE SUMMARY</w:t>
            </w:r>
          </w:p>
          <w:p w14:paraId="6E79F12A" w14:textId="77777777" w:rsidR="0087656B" w:rsidRPr="00547C7F" w:rsidRDefault="0087656B" w:rsidP="0087656B">
            <w:pPr>
              <w:pStyle w:val="ListParagraph"/>
              <w:spacing w:after="200" w:line="276" w:lineRule="auto"/>
              <w:rPr>
                <w:rFonts w:ascii="Arial" w:hAnsi="Arial" w:cs="Arial"/>
                <w:sz w:val="20"/>
                <w:szCs w:val="20"/>
              </w:rPr>
            </w:pPr>
            <w:r w:rsidRPr="00547C7F">
              <w:rPr>
                <w:rFonts w:ascii="Arial" w:hAnsi="Arial" w:cs="Arial"/>
                <w:sz w:val="20"/>
                <w:szCs w:val="20"/>
              </w:rPr>
              <w:t>[Brief summary of the Environmental, Social, Health and Safety (ESHS) status of the project]</w:t>
            </w:r>
          </w:p>
          <w:p w14:paraId="5725D0BE" w14:textId="77777777" w:rsidR="0087656B" w:rsidRPr="00547C7F" w:rsidRDefault="0087656B" w:rsidP="0087656B">
            <w:pPr>
              <w:pStyle w:val="ListParagraph"/>
              <w:spacing w:after="200" w:line="276" w:lineRule="auto"/>
              <w:ind w:left="360"/>
              <w:rPr>
                <w:rFonts w:ascii="Arial" w:hAnsi="Arial" w:cs="Arial"/>
                <w:sz w:val="20"/>
                <w:szCs w:val="20"/>
              </w:rPr>
            </w:pPr>
          </w:p>
          <w:p w14:paraId="60C5E5DC" w14:textId="77777777" w:rsidR="0087656B" w:rsidRPr="00547C7F" w:rsidRDefault="0087656B" w:rsidP="0087656B">
            <w:pPr>
              <w:pStyle w:val="ListParagraph"/>
              <w:ind w:left="0"/>
              <w:rPr>
                <w:rFonts w:ascii="Arial" w:hAnsi="Arial" w:cs="Arial"/>
                <w:sz w:val="20"/>
                <w:szCs w:val="20"/>
              </w:rPr>
            </w:pPr>
            <w:r w:rsidRPr="00547C7F">
              <w:rPr>
                <w:rFonts w:ascii="Arial" w:hAnsi="Arial" w:cs="Arial"/>
                <w:sz w:val="20"/>
                <w:szCs w:val="20"/>
              </w:rPr>
              <w:t>2. INTRODUCTION</w:t>
            </w:r>
          </w:p>
          <w:p w14:paraId="231004C9" w14:textId="77777777" w:rsidR="0087656B" w:rsidRPr="00547C7F" w:rsidRDefault="0087656B" w:rsidP="0087656B">
            <w:pPr>
              <w:pStyle w:val="ListParagraph"/>
              <w:ind w:left="0" w:firstLine="720"/>
              <w:rPr>
                <w:rFonts w:ascii="Arial" w:hAnsi="Arial" w:cs="Arial"/>
                <w:sz w:val="20"/>
                <w:szCs w:val="20"/>
              </w:rPr>
            </w:pPr>
            <w:r w:rsidRPr="00547C7F">
              <w:rPr>
                <w:rFonts w:ascii="Arial" w:hAnsi="Arial" w:cs="Arial"/>
                <w:sz w:val="20"/>
                <w:szCs w:val="20"/>
              </w:rPr>
              <w:t>[Objective and Purpose of Report]</w:t>
            </w:r>
          </w:p>
          <w:p w14:paraId="38946105" w14:textId="77777777" w:rsidR="0087656B" w:rsidRPr="00547C7F" w:rsidRDefault="0087656B" w:rsidP="0087656B">
            <w:pPr>
              <w:pStyle w:val="ListParagraph"/>
              <w:ind w:left="0" w:firstLine="360"/>
              <w:rPr>
                <w:rFonts w:ascii="Arial" w:hAnsi="Arial" w:cs="Arial"/>
                <w:sz w:val="20"/>
                <w:szCs w:val="20"/>
              </w:rPr>
            </w:pPr>
          </w:p>
          <w:p w14:paraId="2F5ADA07" w14:textId="77777777" w:rsidR="0087656B" w:rsidRPr="00547C7F" w:rsidRDefault="0087656B" w:rsidP="0087656B">
            <w:pPr>
              <w:pStyle w:val="ListParagraph"/>
              <w:spacing w:after="200" w:line="276" w:lineRule="auto"/>
              <w:ind w:left="0"/>
              <w:rPr>
                <w:rFonts w:ascii="Arial" w:hAnsi="Arial" w:cs="Arial"/>
                <w:sz w:val="20"/>
                <w:szCs w:val="20"/>
              </w:rPr>
            </w:pPr>
            <w:r w:rsidRPr="00547C7F">
              <w:rPr>
                <w:rFonts w:ascii="Arial" w:hAnsi="Arial" w:cs="Arial"/>
                <w:sz w:val="20"/>
                <w:szCs w:val="20"/>
              </w:rPr>
              <w:t>3. STATUS OF PROJECT CONSTRUCTION ACTIVITIES</w:t>
            </w:r>
          </w:p>
          <w:p w14:paraId="4B6B16E2" w14:textId="77777777" w:rsidR="0087656B" w:rsidRPr="00547C7F" w:rsidRDefault="0087656B" w:rsidP="0087656B">
            <w:pPr>
              <w:pStyle w:val="ListParagraph"/>
              <w:spacing w:after="200" w:line="276" w:lineRule="auto"/>
              <w:rPr>
                <w:rFonts w:ascii="Arial" w:hAnsi="Arial" w:cs="Arial"/>
                <w:sz w:val="20"/>
                <w:szCs w:val="20"/>
              </w:rPr>
            </w:pPr>
            <w:r w:rsidRPr="00547C7F">
              <w:rPr>
                <w:rFonts w:ascii="Arial" w:hAnsi="Arial" w:cs="Arial"/>
                <w:sz w:val="20"/>
                <w:szCs w:val="20"/>
              </w:rPr>
              <w:t>[Areas cleared and readied, quantities of earth and gravel moved and installed, culverts and bridges prepared or in progress, etc.  Describe any changes to project design or implementation schedule]</w:t>
            </w:r>
          </w:p>
          <w:p w14:paraId="6659BBDC" w14:textId="77777777" w:rsidR="0087656B" w:rsidRPr="00547C7F" w:rsidRDefault="0087656B" w:rsidP="0087656B">
            <w:pPr>
              <w:pStyle w:val="ListParagraph"/>
              <w:spacing w:after="200" w:line="276" w:lineRule="auto"/>
              <w:ind w:left="360"/>
              <w:rPr>
                <w:rFonts w:ascii="Arial" w:hAnsi="Arial" w:cs="Arial"/>
                <w:sz w:val="20"/>
                <w:szCs w:val="20"/>
              </w:rPr>
            </w:pPr>
          </w:p>
          <w:p w14:paraId="1B88C602" w14:textId="77777777" w:rsidR="0087656B" w:rsidRPr="00547C7F" w:rsidRDefault="0087656B" w:rsidP="0087656B">
            <w:pPr>
              <w:pStyle w:val="ListParagraph"/>
              <w:spacing w:after="200" w:line="276" w:lineRule="auto"/>
              <w:ind w:left="0"/>
              <w:rPr>
                <w:rFonts w:ascii="Arial" w:hAnsi="Arial" w:cs="Arial"/>
                <w:sz w:val="20"/>
                <w:szCs w:val="20"/>
              </w:rPr>
            </w:pPr>
            <w:r w:rsidRPr="00547C7F">
              <w:rPr>
                <w:rFonts w:ascii="Arial" w:hAnsi="Arial" w:cs="Arial"/>
                <w:sz w:val="20"/>
                <w:szCs w:val="20"/>
              </w:rPr>
              <w:t xml:space="preserve">4. Permitting status </w:t>
            </w:r>
          </w:p>
          <w:p w14:paraId="69210175" w14:textId="77777777" w:rsidR="0087656B" w:rsidRPr="00547C7F" w:rsidRDefault="0087656B" w:rsidP="0087656B">
            <w:pPr>
              <w:pStyle w:val="ListParagraph"/>
              <w:spacing w:after="200" w:line="276" w:lineRule="auto"/>
              <w:rPr>
                <w:rFonts w:ascii="Arial" w:hAnsi="Arial" w:cs="Arial"/>
                <w:sz w:val="20"/>
                <w:szCs w:val="20"/>
              </w:rPr>
            </w:pPr>
            <w:r w:rsidRPr="00547C7F">
              <w:rPr>
                <w:rFonts w:ascii="Arial" w:hAnsi="Arial" w:cs="Arial"/>
                <w:sz w:val="20"/>
                <w:szCs w:val="20"/>
              </w:rPr>
              <w:t>[Notifications, communication with any relevant ESHS Authorities, inspections, submittals, renewals of permits, fees or fines; follow-up on past notifications or close-out; summary of Supervision Consultant report on the ECP]</w:t>
            </w:r>
          </w:p>
          <w:p w14:paraId="3241D154" w14:textId="77777777" w:rsidR="0087656B" w:rsidRPr="00547C7F" w:rsidRDefault="0087656B" w:rsidP="0087656B">
            <w:pPr>
              <w:pStyle w:val="ListParagraph"/>
              <w:spacing w:after="200" w:line="276" w:lineRule="auto"/>
              <w:ind w:left="360"/>
              <w:rPr>
                <w:rFonts w:ascii="Arial" w:hAnsi="Arial" w:cs="Arial"/>
                <w:sz w:val="20"/>
                <w:szCs w:val="20"/>
              </w:rPr>
            </w:pPr>
          </w:p>
          <w:p w14:paraId="2208459B" w14:textId="77777777" w:rsidR="0087656B" w:rsidRPr="00547C7F" w:rsidRDefault="0087656B" w:rsidP="0087656B">
            <w:pPr>
              <w:pStyle w:val="ListParagraph"/>
              <w:spacing w:after="200" w:line="276" w:lineRule="auto"/>
              <w:ind w:left="0"/>
              <w:rPr>
                <w:rFonts w:ascii="Arial" w:hAnsi="Arial" w:cs="Arial"/>
                <w:sz w:val="20"/>
                <w:szCs w:val="20"/>
              </w:rPr>
            </w:pPr>
            <w:r w:rsidRPr="00547C7F">
              <w:rPr>
                <w:rFonts w:ascii="Arial" w:hAnsi="Arial" w:cs="Arial"/>
                <w:sz w:val="20"/>
                <w:szCs w:val="20"/>
              </w:rPr>
              <w:t>5. STATUS OF THE ENVIRONMENTAL AND SOCIAL MANAGEMENT PLAN (ESMP)</w:t>
            </w:r>
          </w:p>
          <w:p w14:paraId="326306BA" w14:textId="77777777" w:rsidR="0087656B" w:rsidRPr="00547C7F" w:rsidRDefault="0087656B" w:rsidP="0087656B">
            <w:pPr>
              <w:pStyle w:val="ListParagraph"/>
              <w:spacing w:after="200" w:line="276" w:lineRule="auto"/>
              <w:rPr>
                <w:rFonts w:ascii="Arial" w:hAnsi="Arial" w:cs="Arial"/>
                <w:sz w:val="20"/>
                <w:szCs w:val="20"/>
              </w:rPr>
            </w:pPr>
            <w:r w:rsidRPr="00547C7F">
              <w:rPr>
                <w:rFonts w:ascii="Arial" w:hAnsi="Arial" w:cs="Arial"/>
                <w:sz w:val="20"/>
                <w:szCs w:val="20"/>
              </w:rPr>
              <w:t>[Listing of individual Mitigation Measures 1-17 and actions to implement them; results of monitoring according to each ESMP]</w:t>
            </w:r>
          </w:p>
          <w:p w14:paraId="1C05E8FC" w14:textId="77777777" w:rsidR="0087656B" w:rsidRPr="00547C7F" w:rsidRDefault="0087656B" w:rsidP="0087656B">
            <w:pPr>
              <w:pStyle w:val="ListParagraph"/>
              <w:spacing w:after="200" w:line="276" w:lineRule="auto"/>
              <w:rPr>
                <w:rFonts w:ascii="Arial" w:hAnsi="Arial" w:cs="Arial"/>
                <w:sz w:val="20"/>
                <w:szCs w:val="20"/>
              </w:rPr>
            </w:pPr>
          </w:p>
          <w:p w14:paraId="29C7D61A" w14:textId="77777777" w:rsidR="0087656B" w:rsidRPr="00547C7F" w:rsidRDefault="0087656B" w:rsidP="0087656B">
            <w:pPr>
              <w:pStyle w:val="ListParagraph"/>
              <w:spacing w:after="200" w:line="276" w:lineRule="auto"/>
              <w:ind w:left="0"/>
              <w:rPr>
                <w:rFonts w:ascii="Arial" w:hAnsi="Arial" w:cs="Arial"/>
                <w:sz w:val="20"/>
                <w:szCs w:val="20"/>
              </w:rPr>
            </w:pPr>
            <w:r w:rsidRPr="00547C7F">
              <w:rPr>
                <w:rFonts w:ascii="Arial" w:hAnsi="Arial" w:cs="Arial"/>
                <w:sz w:val="20"/>
                <w:szCs w:val="20"/>
              </w:rPr>
              <w:t xml:space="preserve">6. STATUS OF </w:t>
            </w:r>
            <w:proofErr w:type="spellStart"/>
            <w:r w:rsidR="003E5E98" w:rsidRPr="00547C7F">
              <w:rPr>
                <w:rFonts w:ascii="Arial" w:hAnsi="Arial" w:cs="Arial"/>
                <w:sz w:val="20"/>
                <w:szCs w:val="20"/>
              </w:rPr>
              <w:t>ReSETTLEMENT</w:t>
            </w:r>
            <w:proofErr w:type="spellEnd"/>
            <w:r w:rsidR="003E5E98" w:rsidRPr="00547C7F">
              <w:rPr>
                <w:rFonts w:ascii="Arial" w:hAnsi="Arial" w:cs="Arial"/>
                <w:sz w:val="20"/>
                <w:szCs w:val="20"/>
              </w:rPr>
              <w:t xml:space="preserve"> AND </w:t>
            </w:r>
            <w:r w:rsidRPr="00547C7F">
              <w:rPr>
                <w:rFonts w:ascii="Arial" w:hAnsi="Arial" w:cs="Arial"/>
                <w:sz w:val="20"/>
                <w:szCs w:val="20"/>
              </w:rPr>
              <w:t>Livelihood Restoration Plan</w:t>
            </w:r>
          </w:p>
          <w:p w14:paraId="726D7304" w14:textId="77777777" w:rsidR="0087656B" w:rsidRPr="00547C7F" w:rsidRDefault="0087656B" w:rsidP="0087656B">
            <w:pPr>
              <w:pStyle w:val="ListParagraph"/>
              <w:spacing w:after="200" w:line="276" w:lineRule="auto"/>
              <w:rPr>
                <w:rFonts w:ascii="Arial" w:hAnsi="Arial" w:cs="Arial"/>
                <w:sz w:val="20"/>
                <w:szCs w:val="20"/>
              </w:rPr>
            </w:pPr>
            <w:r w:rsidRPr="00547C7F">
              <w:rPr>
                <w:rFonts w:ascii="Arial" w:hAnsi="Arial" w:cs="Arial"/>
                <w:sz w:val="20"/>
                <w:szCs w:val="20"/>
              </w:rPr>
              <w:t>[Parcels acquired, leased, or affected by design changes; valuation and payment actions]</w:t>
            </w:r>
          </w:p>
          <w:p w14:paraId="6BE25CE8" w14:textId="77777777" w:rsidR="0087656B" w:rsidRPr="00547C7F" w:rsidRDefault="0087656B" w:rsidP="0087656B">
            <w:pPr>
              <w:pStyle w:val="ListParagraph"/>
              <w:spacing w:after="200" w:line="276" w:lineRule="auto"/>
              <w:ind w:left="0"/>
              <w:rPr>
                <w:rFonts w:ascii="Arial" w:hAnsi="Arial" w:cs="Arial"/>
                <w:sz w:val="20"/>
                <w:szCs w:val="20"/>
              </w:rPr>
            </w:pPr>
          </w:p>
          <w:p w14:paraId="6613253E" w14:textId="77777777" w:rsidR="0087656B" w:rsidRPr="00547C7F" w:rsidRDefault="0087656B" w:rsidP="0087656B">
            <w:pPr>
              <w:pStyle w:val="ListParagraph"/>
              <w:spacing w:after="200" w:line="276" w:lineRule="auto"/>
              <w:ind w:left="0"/>
              <w:rPr>
                <w:rFonts w:ascii="Arial" w:hAnsi="Arial" w:cs="Arial"/>
                <w:sz w:val="20"/>
                <w:szCs w:val="20"/>
              </w:rPr>
            </w:pPr>
            <w:r w:rsidRPr="00547C7F">
              <w:rPr>
                <w:rFonts w:ascii="Arial" w:hAnsi="Arial" w:cs="Arial"/>
                <w:sz w:val="20"/>
                <w:szCs w:val="20"/>
              </w:rPr>
              <w:t>7. STATUS OF THE ESHS LOAN AGREEMENT REQUIREMENTS</w:t>
            </w:r>
          </w:p>
          <w:p w14:paraId="0788AA32" w14:textId="77777777" w:rsidR="0087656B" w:rsidRPr="00547C7F" w:rsidRDefault="0087656B" w:rsidP="0087656B">
            <w:pPr>
              <w:pStyle w:val="ListParagraph"/>
              <w:spacing w:after="200" w:line="276" w:lineRule="auto"/>
              <w:rPr>
                <w:rFonts w:ascii="Arial" w:hAnsi="Arial" w:cs="Arial"/>
                <w:sz w:val="20"/>
                <w:szCs w:val="20"/>
              </w:rPr>
            </w:pPr>
            <w:r w:rsidRPr="00547C7F">
              <w:rPr>
                <w:rFonts w:ascii="Arial" w:hAnsi="Arial" w:cs="Arial"/>
                <w:sz w:val="20"/>
                <w:szCs w:val="20"/>
              </w:rPr>
              <w:t>[Overall Status of all the requirements; Compliance (previous, current); Compliance Action Plan (CAP) item status, completion or close-out; notifications of accidents or other Loan Conditions]</w:t>
            </w:r>
          </w:p>
          <w:p w14:paraId="20F5FE82" w14:textId="77777777" w:rsidR="0087656B" w:rsidRPr="00547C7F" w:rsidRDefault="0087656B" w:rsidP="0087656B">
            <w:pPr>
              <w:pStyle w:val="ListParagraph"/>
              <w:spacing w:after="200" w:line="276" w:lineRule="auto"/>
              <w:rPr>
                <w:rFonts w:ascii="Arial" w:hAnsi="Arial" w:cs="Arial"/>
                <w:sz w:val="20"/>
                <w:szCs w:val="20"/>
              </w:rPr>
            </w:pPr>
          </w:p>
          <w:p w14:paraId="18317980" w14:textId="77777777" w:rsidR="0087656B" w:rsidRPr="00547C7F" w:rsidRDefault="0087656B" w:rsidP="0087656B">
            <w:pPr>
              <w:pStyle w:val="ListParagraph"/>
              <w:spacing w:after="200" w:line="276" w:lineRule="auto"/>
              <w:ind w:left="0"/>
              <w:rPr>
                <w:rFonts w:ascii="Arial" w:hAnsi="Arial" w:cs="Arial"/>
                <w:sz w:val="20"/>
                <w:szCs w:val="20"/>
              </w:rPr>
            </w:pPr>
            <w:r w:rsidRPr="00547C7F">
              <w:rPr>
                <w:rFonts w:ascii="Arial" w:hAnsi="Arial" w:cs="Arial"/>
                <w:sz w:val="20"/>
                <w:szCs w:val="20"/>
              </w:rPr>
              <w:t>8. ROAD SAFETY PROGRAM</w:t>
            </w:r>
          </w:p>
          <w:p w14:paraId="3D0EE6C9" w14:textId="77777777" w:rsidR="0087656B" w:rsidRPr="00547C7F" w:rsidRDefault="0087656B" w:rsidP="0087656B">
            <w:pPr>
              <w:pStyle w:val="ListParagraph"/>
              <w:spacing w:after="200" w:line="276" w:lineRule="auto"/>
              <w:rPr>
                <w:rFonts w:ascii="Arial" w:hAnsi="Arial" w:cs="Arial"/>
                <w:sz w:val="20"/>
                <w:szCs w:val="20"/>
              </w:rPr>
            </w:pPr>
            <w:r w:rsidRPr="00547C7F">
              <w:rPr>
                <w:rFonts w:ascii="Arial" w:hAnsi="Arial" w:cs="Arial"/>
                <w:sz w:val="20"/>
                <w:szCs w:val="20"/>
              </w:rPr>
              <w:t>[Accident monitoring data; “critical zones” added or removed; actions taken to improve safety at “critical zones” and elsewhere; links to other Programs]</w:t>
            </w:r>
          </w:p>
          <w:p w14:paraId="7FB88B33" w14:textId="77777777" w:rsidR="0087656B" w:rsidRPr="00547C7F" w:rsidRDefault="0087656B" w:rsidP="0087656B">
            <w:pPr>
              <w:pStyle w:val="ListParagraph"/>
              <w:spacing w:after="200" w:line="276" w:lineRule="auto"/>
              <w:ind w:left="0"/>
              <w:rPr>
                <w:rFonts w:ascii="Arial" w:hAnsi="Arial" w:cs="Arial"/>
                <w:sz w:val="20"/>
                <w:szCs w:val="20"/>
              </w:rPr>
            </w:pPr>
          </w:p>
          <w:p w14:paraId="65C13017" w14:textId="77777777" w:rsidR="0087656B" w:rsidRPr="00547C7F" w:rsidRDefault="0087656B" w:rsidP="0087656B">
            <w:pPr>
              <w:pStyle w:val="ListParagraph"/>
              <w:spacing w:after="200" w:line="276" w:lineRule="auto"/>
              <w:ind w:left="0"/>
              <w:rPr>
                <w:rFonts w:ascii="Arial" w:hAnsi="Arial" w:cs="Arial"/>
                <w:sz w:val="20"/>
                <w:szCs w:val="20"/>
              </w:rPr>
            </w:pPr>
            <w:r w:rsidRPr="00547C7F">
              <w:rPr>
                <w:rFonts w:ascii="Arial" w:hAnsi="Arial" w:cs="Arial"/>
                <w:sz w:val="20"/>
                <w:szCs w:val="20"/>
              </w:rPr>
              <w:t>9. NEW ISSUES, RISKS, OR ADVANCES</w:t>
            </w:r>
          </w:p>
          <w:p w14:paraId="3F5ED944" w14:textId="77777777" w:rsidR="0087656B" w:rsidRPr="00547C7F" w:rsidRDefault="0087656B" w:rsidP="0087656B">
            <w:pPr>
              <w:pStyle w:val="ListParagraph"/>
              <w:spacing w:after="200" w:line="276" w:lineRule="auto"/>
              <w:rPr>
                <w:rFonts w:ascii="Arial" w:hAnsi="Arial" w:cs="Arial"/>
                <w:sz w:val="20"/>
                <w:szCs w:val="20"/>
              </w:rPr>
            </w:pPr>
            <w:r w:rsidRPr="00547C7F">
              <w:rPr>
                <w:rFonts w:ascii="Arial" w:hAnsi="Arial" w:cs="Arial"/>
                <w:sz w:val="20"/>
                <w:szCs w:val="20"/>
              </w:rPr>
              <w:t>[Describe any new problems or situations requiring focus and effort; any achievements, advances, or significant progress]</w:t>
            </w:r>
          </w:p>
          <w:p w14:paraId="34C1E9A9" w14:textId="77777777" w:rsidR="0087656B" w:rsidRPr="00547C7F" w:rsidRDefault="0087656B" w:rsidP="0087656B">
            <w:pPr>
              <w:pStyle w:val="ListParagraph"/>
              <w:spacing w:after="200" w:line="276" w:lineRule="auto"/>
              <w:ind w:left="0"/>
              <w:rPr>
                <w:rFonts w:ascii="Arial" w:hAnsi="Arial" w:cs="Arial"/>
                <w:sz w:val="20"/>
                <w:szCs w:val="20"/>
              </w:rPr>
            </w:pPr>
          </w:p>
          <w:p w14:paraId="0E2DB7B6" w14:textId="14C6B18A" w:rsidR="0087656B" w:rsidRPr="00547C7F" w:rsidRDefault="0087656B" w:rsidP="0087656B">
            <w:pPr>
              <w:pStyle w:val="ListParagraph"/>
              <w:spacing w:after="200" w:line="276" w:lineRule="auto"/>
              <w:ind w:left="0"/>
              <w:rPr>
                <w:rFonts w:ascii="Arial" w:hAnsi="Arial" w:cs="Arial"/>
                <w:sz w:val="20"/>
                <w:szCs w:val="20"/>
              </w:rPr>
            </w:pPr>
            <w:r w:rsidRPr="00547C7F">
              <w:rPr>
                <w:rFonts w:ascii="Arial" w:hAnsi="Arial" w:cs="Arial"/>
                <w:sz w:val="20"/>
                <w:szCs w:val="20"/>
              </w:rPr>
              <w:t xml:space="preserve">10. </w:t>
            </w:r>
            <w:r w:rsidR="00D11953">
              <w:rPr>
                <w:rFonts w:ascii="Arial" w:hAnsi="Arial" w:cs="Arial"/>
                <w:sz w:val="20"/>
                <w:szCs w:val="20"/>
              </w:rPr>
              <w:t>A</w:t>
            </w:r>
            <w:r w:rsidRPr="00547C7F">
              <w:rPr>
                <w:rFonts w:ascii="Arial" w:hAnsi="Arial" w:cs="Arial"/>
                <w:sz w:val="20"/>
                <w:szCs w:val="20"/>
              </w:rPr>
              <w:t>nnexes</w:t>
            </w:r>
          </w:p>
          <w:p w14:paraId="556A7CB0" w14:textId="50CC2479" w:rsidR="00490A2D" w:rsidRPr="00547C7F" w:rsidRDefault="0087656B" w:rsidP="00547C7F">
            <w:pPr>
              <w:pStyle w:val="ListParagraph"/>
              <w:spacing w:after="200" w:line="276" w:lineRule="auto"/>
              <w:ind w:firstLine="360"/>
              <w:rPr>
                <w:rFonts w:ascii="Arial" w:hAnsi="Arial" w:cs="Arial"/>
                <w:sz w:val="20"/>
                <w:szCs w:val="20"/>
              </w:rPr>
            </w:pPr>
            <w:r w:rsidRPr="00547C7F">
              <w:rPr>
                <w:rFonts w:ascii="Arial" w:hAnsi="Arial" w:cs="Arial"/>
                <w:sz w:val="20"/>
                <w:szCs w:val="20"/>
              </w:rPr>
              <w:t xml:space="preserve">[Include copy of any relevant documentation; </w:t>
            </w:r>
            <w:r w:rsidR="003E5E98" w:rsidRPr="00547C7F">
              <w:rPr>
                <w:rFonts w:ascii="Arial" w:hAnsi="Arial" w:cs="Arial"/>
                <w:sz w:val="20"/>
                <w:szCs w:val="20"/>
              </w:rPr>
              <w:t xml:space="preserve">record of grievances, </w:t>
            </w:r>
            <w:r w:rsidRPr="00547C7F">
              <w:rPr>
                <w:rFonts w:ascii="Arial" w:hAnsi="Arial" w:cs="Arial"/>
                <w:sz w:val="20"/>
                <w:szCs w:val="20"/>
              </w:rPr>
              <w:t>photographs</w:t>
            </w:r>
            <w:r w:rsidR="003E5E98" w:rsidRPr="00547C7F">
              <w:rPr>
                <w:rFonts w:ascii="Arial" w:hAnsi="Arial" w:cs="Arial"/>
                <w:sz w:val="20"/>
                <w:szCs w:val="20"/>
              </w:rPr>
              <w:t>, etc.</w:t>
            </w:r>
            <w:r w:rsidRPr="00547C7F">
              <w:rPr>
                <w:rFonts w:ascii="Arial" w:hAnsi="Arial" w:cs="Arial"/>
                <w:sz w:val="20"/>
                <w:szCs w:val="20"/>
              </w:rPr>
              <w:t>]</w:t>
            </w:r>
          </w:p>
        </w:tc>
      </w:tr>
    </w:tbl>
    <w:p w14:paraId="7E69450E" w14:textId="77777777" w:rsidR="006500FF" w:rsidRDefault="006500FF">
      <w:pPr>
        <w:rPr>
          <w:rFonts w:ascii="Arial" w:hAnsi="Arial" w:cs="Arial"/>
          <w:b/>
          <w:lang w:val="en"/>
        </w:rPr>
      </w:pPr>
      <w:r>
        <w:rPr>
          <w:rFonts w:ascii="Arial" w:hAnsi="Arial" w:cs="Arial"/>
          <w:b/>
          <w:lang w:val="en"/>
        </w:rPr>
        <w:br w:type="page"/>
      </w:r>
    </w:p>
    <w:tbl>
      <w:tblPr>
        <w:tblStyle w:val="TableGrid"/>
        <w:tblW w:w="9270" w:type="dxa"/>
        <w:tblInd w:w="-5" w:type="dxa"/>
        <w:tblLayout w:type="fixed"/>
        <w:tblLook w:val="04A0" w:firstRow="1" w:lastRow="0" w:firstColumn="1" w:lastColumn="0" w:noHBand="0" w:noVBand="1"/>
      </w:tblPr>
      <w:tblGrid>
        <w:gridCol w:w="9270"/>
      </w:tblGrid>
      <w:tr w:rsidR="002D2C27" w:rsidRPr="00E56776" w:rsidDel="00017014" w14:paraId="1F9A7960" w14:textId="77777777" w:rsidTr="0087228B">
        <w:trPr>
          <w:trHeight w:val="422"/>
        </w:trPr>
        <w:tc>
          <w:tcPr>
            <w:tcW w:w="9270" w:type="dxa"/>
            <w:tcBorders>
              <w:bottom w:val="single" w:sz="4" w:space="0" w:color="auto"/>
            </w:tcBorders>
            <w:shd w:val="clear" w:color="auto" w:fill="95B3D7" w:themeFill="accent1" w:themeFillTint="99"/>
            <w:vAlign w:val="center"/>
          </w:tcPr>
          <w:p w14:paraId="278B21C0" w14:textId="77777777" w:rsidR="002D2C27" w:rsidRPr="00CB6CEA" w:rsidDel="00017014" w:rsidRDefault="006500FF" w:rsidP="00932FA6">
            <w:pPr>
              <w:rPr>
                <w:rFonts w:ascii="Arial" w:eastAsia="Times New Roman" w:hAnsi="Arial" w:cs="Arial"/>
                <w:b/>
                <w:bCs/>
                <w:szCs w:val="27"/>
              </w:rPr>
            </w:pPr>
            <w:r w:rsidRPr="00CB6CEA">
              <w:rPr>
                <w:rFonts w:ascii="Arial" w:eastAsia="Times New Roman" w:hAnsi="Arial" w:cs="Arial"/>
                <w:b/>
                <w:bCs/>
                <w:szCs w:val="27"/>
              </w:rPr>
              <w:lastRenderedPageBreak/>
              <w:t xml:space="preserve">Annex D: </w:t>
            </w:r>
            <w:r w:rsidR="002D2C27" w:rsidRPr="00CB6CEA">
              <w:rPr>
                <w:rFonts w:ascii="Arial" w:eastAsia="Times New Roman" w:hAnsi="Arial" w:cs="Arial"/>
                <w:b/>
                <w:bCs/>
                <w:szCs w:val="27"/>
              </w:rPr>
              <w:t>Map</w:t>
            </w:r>
            <w:r w:rsidR="001E544B" w:rsidRPr="00CB6CEA">
              <w:rPr>
                <w:rFonts w:ascii="Arial" w:eastAsia="Times New Roman" w:hAnsi="Arial" w:cs="Arial"/>
                <w:b/>
                <w:bCs/>
                <w:szCs w:val="27"/>
              </w:rPr>
              <w:t>s</w:t>
            </w:r>
            <w:r w:rsidR="002D2C27" w:rsidRPr="00CB6CEA">
              <w:rPr>
                <w:rFonts w:ascii="Arial" w:eastAsia="Times New Roman" w:hAnsi="Arial" w:cs="Arial"/>
                <w:b/>
                <w:bCs/>
                <w:szCs w:val="27"/>
              </w:rPr>
              <w:t xml:space="preserve"> of the Area</w:t>
            </w:r>
          </w:p>
        </w:tc>
      </w:tr>
      <w:tr w:rsidR="002D2C27" w:rsidRPr="005B7E51" w14:paraId="4157C269" w14:textId="77777777" w:rsidTr="0087228B">
        <w:trPr>
          <w:trHeight w:val="530"/>
        </w:trPr>
        <w:tc>
          <w:tcPr>
            <w:tcW w:w="9270" w:type="dxa"/>
          </w:tcPr>
          <w:p w14:paraId="042F1B50" w14:textId="77777777" w:rsidR="002D2C27" w:rsidRDefault="002D2C27" w:rsidP="00932FA6">
            <w:pPr>
              <w:jc w:val="center"/>
              <w:rPr>
                <w:rFonts w:ascii="Arial" w:hAnsi="Arial" w:cs="Arial"/>
                <w:sz w:val="22"/>
                <w:szCs w:val="22"/>
              </w:rPr>
            </w:pPr>
          </w:p>
          <w:p w14:paraId="1E3791D3" w14:textId="77777777" w:rsidR="002D2C27" w:rsidRDefault="002D2C27" w:rsidP="00932FA6">
            <w:pPr>
              <w:jc w:val="center"/>
              <w:rPr>
                <w:rFonts w:ascii="Arial" w:hAnsi="Arial" w:cs="Arial"/>
                <w:sz w:val="22"/>
                <w:szCs w:val="22"/>
              </w:rPr>
            </w:pPr>
            <w:r>
              <w:rPr>
                <w:noProof/>
              </w:rPr>
              <w:drawing>
                <wp:inline distT="0" distB="0" distL="0" distR="0" wp14:anchorId="10370E7D" wp14:editId="2B338201">
                  <wp:extent cx="5303520" cy="3262744"/>
                  <wp:effectExtent l="19050" t="19050" r="11430" b="139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screen">
                            <a:extLst>
                              <a:ext uri="{28A0092B-C50C-407E-A947-70E740481C1C}">
                                <a14:useLocalDpi xmlns:a14="http://schemas.microsoft.com/office/drawing/2010/main"/>
                              </a:ext>
                            </a:extLst>
                          </a:blip>
                          <a:stretch>
                            <a:fillRect/>
                          </a:stretch>
                        </pic:blipFill>
                        <pic:spPr>
                          <a:xfrm>
                            <a:off x="0" y="0"/>
                            <a:ext cx="5322511" cy="3274427"/>
                          </a:xfrm>
                          <a:prstGeom prst="rect">
                            <a:avLst/>
                          </a:prstGeom>
                          <a:ln>
                            <a:solidFill>
                              <a:schemeClr val="tx1"/>
                            </a:solidFill>
                          </a:ln>
                        </pic:spPr>
                      </pic:pic>
                    </a:graphicData>
                  </a:graphic>
                </wp:inline>
              </w:drawing>
            </w:r>
          </w:p>
          <w:p w14:paraId="54E20340" w14:textId="77777777" w:rsidR="002D2C27" w:rsidRDefault="002D2C27" w:rsidP="00932FA6">
            <w:pPr>
              <w:jc w:val="center"/>
              <w:rPr>
                <w:rFonts w:ascii="Arial" w:hAnsi="Arial" w:cs="Arial"/>
                <w:sz w:val="20"/>
                <w:szCs w:val="20"/>
              </w:rPr>
            </w:pPr>
            <w:r w:rsidRPr="0076082F">
              <w:rPr>
                <w:rFonts w:ascii="Arial" w:hAnsi="Arial" w:cs="Arial"/>
                <w:sz w:val="20"/>
                <w:szCs w:val="20"/>
              </w:rPr>
              <w:t xml:space="preserve">The project </w:t>
            </w:r>
            <w:proofErr w:type="gramStart"/>
            <w:r w:rsidRPr="0076082F">
              <w:rPr>
                <w:rFonts w:ascii="Arial" w:hAnsi="Arial" w:cs="Arial"/>
                <w:sz w:val="20"/>
                <w:szCs w:val="20"/>
              </w:rPr>
              <w:t>is located in</w:t>
            </w:r>
            <w:proofErr w:type="gramEnd"/>
            <w:r w:rsidRPr="0076082F">
              <w:rPr>
                <w:rFonts w:ascii="Arial" w:hAnsi="Arial" w:cs="Arial"/>
                <w:sz w:val="20"/>
                <w:szCs w:val="20"/>
              </w:rPr>
              <w:t xml:space="preserve"> </w:t>
            </w:r>
            <w:r w:rsidR="001E544B">
              <w:rPr>
                <w:rFonts w:ascii="Arial" w:hAnsi="Arial" w:cs="Arial"/>
                <w:sz w:val="20"/>
                <w:szCs w:val="20"/>
              </w:rPr>
              <w:t>sections</w:t>
            </w:r>
            <w:r w:rsidR="001E544B" w:rsidRPr="0076082F">
              <w:rPr>
                <w:rFonts w:ascii="Arial" w:hAnsi="Arial" w:cs="Arial"/>
                <w:sz w:val="20"/>
                <w:szCs w:val="20"/>
              </w:rPr>
              <w:t xml:space="preserve"> </w:t>
            </w:r>
            <w:r w:rsidR="001E544B">
              <w:rPr>
                <w:rFonts w:ascii="Arial" w:hAnsi="Arial" w:cs="Arial"/>
                <w:sz w:val="20"/>
                <w:szCs w:val="20"/>
              </w:rPr>
              <w:t xml:space="preserve">I and </w:t>
            </w:r>
            <w:r w:rsidRPr="0076082F">
              <w:rPr>
                <w:rFonts w:ascii="Arial" w:hAnsi="Arial" w:cs="Arial"/>
                <w:sz w:val="20"/>
                <w:szCs w:val="20"/>
              </w:rPr>
              <w:t>II (now reclassified as section</w:t>
            </w:r>
            <w:r w:rsidR="001E544B">
              <w:rPr>
                <w:rFonts w:ascii="Arial" w:hAnsi="Arial" w:cs="Arial"/>
                <w:sz w:val="20"/>
                <w:szCs w:val="20"/>
              </w:rPr>
              <w:t>s</w:t>
            </w:r>
            <w:r w:rsidRPr="0076082F">
              <w:rPr>
                <w:rFonts w:ascii="Arial" w:hAnsi="Arial" w:cs="Arial"/>
                <w:sz w:val="20"/>
                <w:szCs w:val="20"/>
              </w:rPr>
              <w:t xml:space="preserve"> </w:t>
            </w:r>
            <w:r w:rsidR="001E544B">
              <w:rPr>
                <w:rFonts w:ascii="Arial" w:hAnsi="Arial" w:cs="Arial"/>
                <w:sz w:val="20"/>
                <w:szCs w:val="20"/>
              </w:rPr>
              <w:t>I, II and III</w:t>
            </w:r>
            <w:r w:rsidRPr="0076082F">
              <w:rPr>
                <w:rFonts w:ascii="Arial" w:hAnsi="Arial" w:cs="Arial"/>
                <w:sz w:val="20"/>
                <w:szCs w:val="20"/>
              </w:rPr>
              <w:t>) of the road</w:t>
            </w:r>
          </w:p>
          <w:p w14:paraId="7DA37F8B" w14:textId="77777777" w:rsidR="002D2C27" w:rsidRDefault="002D2C27" w:rsidP="00932FA6">
            <w:pPr>
              <w:jc w:val="center"/>
              <w:rPr>
                <w:rFonts w:ascii="Arial" w:hAnsi="Arial" w:cs="Arial"/>
                <w:sz w:val="20"/>
                <w:szCs w:val="20"/>
              </w:rPr>
            </w:pPr>
          </w:p>
          <w:p w14:paraId="0460FAC6" w14:textId="77777777" w:rsidR="002D2C27" w:rsidRPr="00CB6CEA" w:rsidRDefault="002D2C27" w:rsidP="00932FA6">
            <w:pPr>
              <w:jc w:val="center"/>
              <w:rPr>
                <w:rFonts w:ascii="Arial" w:hAnsi="Arial" w:cs="Arial"/>
                <w:sz w:val="14"/>
                <w:szCs w:val="20"/>
              </w:rPr>
            </w:pPr>
          </w:p>
          <w:p w14:paraId="17813A66" w14:textId="77777777" w:rsidR="003D71E3" w:rsidRDefault="003D71E3" w:rsidP="00932FA6">
            <w:pPr>
              <w:jc w:val="center"/>
              <w:rPr>
                <w:rFonts w:ascii="Arial" w:hAnsi="Arial" w:cs="Arial"/>
                <w:sz w:val="22"/>
                <w:szCs w:val="22"/>
              </w:rPr>
            </w:pPr>
            <w:r w:rsidRPr="001B5C98">
              <w:rPr>
                <w:rFonts w:ascii="Arial" w:hAnsi="Arial" w:cs="Arial"/>
                <w:noProof/>
                <w:sz w:val="20"/>
                <w:szCs w:val="20"/>
              </w:rPr>
              <w:drawing>
                <wp:inline distT="0" distB="0" distL="0" distR="0" wp14:anchorId="720F1F1D" wp14:editId="49298D50">
                  <wp:extent cx="5311140" cy="3628206"/>
                  <wp:effectExtent l="0" t="0" r="3810" b="0"/>
                  <wp:docPr id="4" name="Picture 4" descr="C:\RODOLFO\PROJECTS\Belize\BL-L1029\Protected Areas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DOLFO\PROJECTS\Belize\BL-L1029\Protected Areas Map.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27869" cy="3639634"/>
                          </a:xfrm>
                          <a:prstGeom prst="rect">
                            <a:avLst/>
                          </a:prstGeom>
                          <a:noFill/>
                          <a:ln>
                            <a:noFill/>
                          </a:ln>
                        </pic:spPr>
                      </pic:pic>
                    </a:graphicData>
                  </a:graphic>
                </wp:inline>
              </w:drawing>
            </w:r>
          </w:p>
          <w:p w14:paraId="53AA24EF" w14:textId="77777777" w:rsidR="00E96A60" w:rsidRPr="005B7E51" w:rsidRDefault="003D71E3" w:rsidP="00CB6CEA">
            <w:pPr>
              <w:jc w:val="center"/>
              <w:rPr>
                <w:rFonts w:ascii="Arial" w:hAnsi="Arial" w:cs="Arial"/>
                <w:sz w:val="22"/>
                <w:szCs w:val="22"/>
              </w:rPr>
            </w:pPr>
            <w:r>
              <w:rPr>
                <w:rFonts w:ascii="Arial" w:hAnsi="Arial" w:cs="Arial"/>
                <w:sz w:val="20"/>
                <w:szCs w:val="20"/>
              </w:rPr>
              <w:t>Protected areas in the region where the project is located</w:t>
            </w:r>
          </w:p>
        </w:tc>
      </w:tr>
    </w:tbl>
    <w:p w14:paraId="5ECA0AF6" w14:textId="77777777" w:rsidR="00874CC0" w:rsidRDefault="00874CC0" w:rsidP="004B6155">
      <w:pPr>
        <w:widowControl w:val="0"/>
        <w:autoSpaceDE w:val="0"/>
        <w:autoSpaceDN w:val="0"/>
        <w:adjustRightInd w:val="0"/>
        <w:ind w:right="-720"/>
        <w:jc w:val="both"/>
        <w:rPr>
          <w:rFonts w:ascii="Arial" w:hAnsi="Arial" w:cs="Arial"/>
          <w:bCs/>
          <w:sz w:val="2"/>
          <w:szCs w:val="2"/>
        </w:rPr>
      </w:pPr>
    </w:p>
    <w:p w14:paraId="081370E3" w14:textId="77777777" w:rsidR="00A83F6E" w:rsidRDefault="00A83F6E" w:rsidP="004B6155">
      <w:pPr>
        <w:widowControl w:val="0"/>
        <w:autoSpaceDE w:val="0"/>
        <w:autoSpaceDN w:val="0"/>
        <w:adjustRightInd w:val="0"/>
        <w:ind w:right="-720"/>
        <w:jc w:val="both"/>
        <w:rPr>
          <w:rFonts w:ascii="Arial" w:hAnsi="Arial" w:cs="Arial"/>
          <w:bCs/>
          <w:sz w:val="2"/>
          <w:szCs w:val="2"/>
        </w:rPr>
      </w:pPr>
    </w:p>
    <w:p w14:paraId="6CDE6F0E" w14:textId="77777777" w:rsidR="00A83F6E" w:rsidRDefault="00A83F6E" w:rsidP="004B6155">
      <w:pPr>
        <w:widowControl w:val="0"/>
        <w:autoSpaceDE w:val="0"/>
        <w:autoSpaceDN w:val="0"/>
        <w:adjustRightInd w:val="0"/>
        <w:ind w:right="-720"/>
        <w:jc w:val="both"/>
        <w:rPr>
          <w:rFonts w:ascii="Arial" w:hAnsi="Arial" w:cs="Arial"/>
          <w:bCs/>
          <w:sz w:val="2"/>
          <w:szCs w:val="2"/>
        </w:rPr>
      </w:pPr>
    </w:p>
    <w:p w14:paraId="2C576DF0" w14:textId="77777777" w:rsidR="00A83F6E" w:rsidRDefault="00A83F6E" w:rsidP="004B6155">
      <w:pPr>
        <w:widowControl w:val="0"/>
        <w:autoSpaceDE w:val="0"/>
        <w:autoSpaceDN w:val="0"/>
        <w:adjustRightInd w:val="0"/>
        <w:ind w:right="-720"/>
        <w:jc w:val="both"/>
        <w:rPr>
          <w:rFonts w:ascii="Arial" w:hAnsi="Arial" w:cs="Arial"/>
          <w:bCs/>
          <w:sz w:val="2"/>
          <w:szCs w:val="2"/>
        </w:rPr>
      </w:pPr>
    </w:p>
    <w:p w14:paraId="312161C9" w14:textId="77777777" w:rsidR="00A83F6E" w:rsidRDefault="00A83F6E" w:rsidP="004B6155">
      <w:pPr>
        <w:widowControl w:val="0"/>
        <w:autoSpaceDE w:val="0"/>
        <w:autoSpaceDN w:val="0"/>
        <w:adjustRightInd w:val="0"/>
        <w:ind w:right="-720"/>
        <w:jc w:val="both"/>
        <w:rPr>
          <w:rFonts w:ascii="Arial" w:hAnsi="Arial" w:cs="Arial"/>
          <w:bCs/>
          <w:sz w:val="2"/>
          <w:szCs w:val="2"/>
        </w:rPr>
      </w:pPr>
    </w:p>
    <w:p w14:paraId="68B12E70" w14:textId="77777777" w:rsidR="00A83F6E" w:rsidRDefault="00A83F6E" w:rsidP="004B6155">
      <w:pPr>
        <w:widowControl w:val="0"/>
        <w:autoSpaceDE w:val="0"/>
        <w:autoSpaceDN w:val="0"/>
        <w:adjustRightInd w:val="0"/>
        <w:ind w:right="-720"/>
        <w:jc w:val="both"/>
        <w:rPr>
          <w:rFonts w:ascii="Arial" w:hAnsi="Arial" w:cs="Arial"/>
          <w:bCs/>
          <w:sz w:val="2"/>
          <w:szCs w:val="2"/>
        </w:rPr>
      </w:pPr>
    </w:p>
    <w:p w14:paraId="704F7765" w14:textId="77777777" w:rsidR="00A83F6E" w:rsidRDefault="00A83F6E" w:rsidP="004B6155">
      <w:pPr>
        <w:widowControl w:val="0"/>
        <w:autoSpaceDE w:val="0"/>
        <w:autoSpaceDN w:val="0"/>
        <w:adjustRightInd w:val="0"/>
        <w:ind w:right="-720"/>
        <w:jc w:val="both"/>
        <w:rPr>
          <w:rFonts w:ascii="Arial" w:hAnsi="Arial" w:cs="Arial"/>
          <w:bCs/>
          <w:sz w:val="2"/>
          <w:szCs w:val="2"/>
        </w:rPr>
      </w:pPr>
    </w:p>
    <w:p w14:paraId="33A44F6F" w14:textId="77777777" w:rsidR="00A83F6E" w:rsidRDefault="00A83F6E" w:rsidP="004B6155">
      <w:pPr>
        <w:widowControl w:val="0"/>
        <w:autoSpaceDE w:val="0"/>
        <w:autoSpaceDN w:val="0"/>
        <w:adjustRightInd w:val="0"/>
        <w:ind w:right="-720"/>
        <w:jc w:val="both"/>
        <w:rPr>
          <w:rFonts w:ascii="Arial" w:hAnsi="Arial" w:cs="Arial"/>
          <w:bCs/>
          <w:sz w:val="2"/>
          <w:szCs w:val="2"/>
        </w:rPr>
      </w:pPr>
    </w:p>
    <w:p w14:paraId="418824F9" w14:textId="77777777" w:rsidR="00A83F6E" w:rsidRDefault="00A83F6E" w:rsidP="004B6155">
      <w:pPr>
        <w:widowControl w:val="0"/>
        <w:autoSpaceDE w:val="0"/>
        <w:autoSpaceDN w:val="0"/>
        <w:adjustRightInd w:val="0"/>
        <w:ind w:right="-720"/>
        <w:jc w:val="both"/>
        <w:rPr>
          <w:rFonts w:ascii="Arial" w:hAnsi="Arial" w:cs="Arial"/>
          <w:bCs/>
          <w:sz w:val="2"/>
          <w:szCs w:val="2"/>
        </w:rPr>
      </w:pPr>
    </w:p>
    <w:p w14:paraId="1EFF4185" w14:textId="77777777" w:rsidR="00A83F6E" w:rsidRDefault="00A83F6E" w:rsidP="004B6155">
      <w:pPr>
        <w:widowControl w:val="0"/>
        <w:autoSpaceDE w:val="0"/>
        <w:autoSpaceDN w:val="0"/>
        <w:adjustRightInd w:val="0"/>
        <w:ind w:right="-720"/>
        <w:jc w:val="both"/>
        <w:rPr>
          <w:rFonts w:ascii="Arial" w:hAnsi="Arial" w:cs="Arial"/>
          <w:bCs/>
          <w:sz w:val="2"/>
          <w:szCs w:val="2"/>
        </w:rPr>
      </w:pPr>
    </w:p>
    <w:p w14:paraId="418155B8" w14:textId="77777777" w:rsidR="00A83F6E" w:rsidRDefault="00A83F6E" w:rsidP="007D7DE0">
      <w:pPr>
        <w:rPr>
          <w:rFonts w:ascii="Arial" w:hAnsi="Arial" w:cs="Arial"/>
          <w:b/>
          <w:bCs/>
        </w:rPr>
        <w:sectPr w:rsidR="00A83F6E" w:rsidSect="009F0069">
          <w:pgSz w:w="12240" w:h="15840"/>
          <w:pgMar w:top="1440" w:right="1166" w:bottom="1440" w:left="1800" w:header="720" w:footer="720" w:gutter="0"/>
          <w:cols w:space="720"/>
          <w:docGrid w:linePitch="360"/>
        </w:sectPr>
      </w:pPr>
    </w:p>
    <w:tbl>
      <w:tblPr>
        <w:tblW w:w="12960" w:type="dxa"/>
        <w:tblInd w:w="-8"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2960"/>
      </w:tblGrid>
      <w:tr w:rsidR="00A83F6E" w:rsidRPr="00CB6CEA" w14:paraId="504A4BCE" w14:textId="77777777" w:rsidTr="00B76BEE">
        <w:trPr>
          <w:trHeight w:val="429"/>
        </w:trPr>
        <w:tc>
          <w:tcPr>
            <w:tcW w:w="12960"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14:paraId="19C25BD9" w14:textId="72DF4311" w:rsidR="00A83F6E" w:rsidRPr="00BB1313" w:rsidRDefault="00A83F6E" w:rsidP="007D7DE0">
            <w:pPr>
              <w:rPr>
                <w:rFonts w:ascii="Arial" w:hAnsi="Arial" w:cs="Arial"/>
                <w:b/>
              </w:rPr>
            </w:pPr>
            <w:r w:rsidRPr="00BB1313">
              <w:rPr>
                <w:rFonts w:ascii="Arial" w:hAnsi="Arial" w:cs="Arial"/>
                <w:b/>
                <w:bCs/>
              </w:rPr>
              <w:lastRenderedPageBreak/>
              <w:t>Annex E. Corrective Action Plan BL-L1019</w:t>
            </w:r>
            <w:r w:rsidRPr="00BB1313">
              <w:rPr>
                <w:rFonts w:ascii="Arial" w:hAnsi="Arial" w:cs="Arial"/>
                <w:b/>
              </w:rPr>
              <w:t xml:space="preserve"> </w:t>
            </w:r>
          </w:p>
        </w:tc>
      </w:tr>
      <w:tr w:rsidR="00A83F6E" w:rsidRPr="00300337" w14:paraId="4E3DAE57" w14:textId="17B2A32A" w:rsidTr="00B76BEE">
        <w:tblPrEx>
          <w:tblCellMar>
            <w:top w:w="0" w:type="dxa"/>
            <w:left w:w="108" w:type="dxa"/>
            <w:bottom w:w="0" w:type="dxa"/>
            <w:right w:w="108" w:type="dxa"/>
          </w:tblCellMar>
        </w:tblPrEx>
        <w:trPr>
          <w:trHeight w:val="236"/>
        </w:trPr>
        <w:tc>
          <w:tcPr>
            <w:tcW w:w="129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05" w:type="dxa"/>
              <w:bottom w:w="15" w:type="dxa"/>
              <w:right w:w="105" w:type="dxa"/>
            </w:tcMar>
          </w:tcPr>
          <w:p w14:paraId="4D4AEB9C" w14:textId="1D5145A8" w:rsidR="00A83F6E" w:rsidRPr="00BB1313" w:rsidRDefault="00D32CC7" w:rsidP="00A83F6E">
            <w:pPr>
              <w:jc w:val="both"/>
              <w:rPr>
                <w:rFonts w:asciiTheme="majorHAnsi" w:eastAsia="Times New Roman" w:hAnsiTheme="majorHAnsi" w:cs="Arial"/>
                <w:sz w:val="22"/>
                <w:szCs w:val="22"/>
              </w:rPr>
            </w:pPr>
            <w:r w:rsidRPr="00BB1313">
              <w:rPr>
                <w:rFonts w:asciiTheme="majorHAnsi" w:eastAsia="Times New Roman" w:hAnsiTheme="majorHAnsi" w:cs="Arial"/>
                <w:sz w:val="22"/>
                <w:szCs w:val="22"/>
              </w:rPr>
              <w:t xml:space="preserve">The following actions will be implemented in the short-term to ensure that construction activities underway in Sections 1 and 2 of the GPHR Project comply with the IDB’s environmental and social requirements, and those detailed in the Environmental and Social Management Plan (ESMP) prepared for BL-L1019, and included in the Special Conditions of Contract (GCC 2.3 – ref Annex XI) of the contracts with M&amp;M Engineering Limited (Construction Contractor Section 1) and </w:t>
            </w:r>
            <w:proofErr w:type="spellStart"/>
            <w:r w:rsidRPr="00BB1313">
              <w:rPr>
                <w:rFonts w:asciiTheme="majorHAnsi" w:eastAsia="Times New Roman" w:hAnsiTheme="majorHAnsi" w:cs="Arial"/>
                <w:sz w:val="22"/>
                <w:szCs w:val="22"/>
              </w:rPr>
              <w:t>Teichroeb</w:t>
            </w:r>
            <w:proofErr w:type="spellEnd"/>
            <w:r w:rsidRPr="00BB1313">
              <w:rPr>
                <w:rFonts w:asciiTheme="majorHAnsi" w:eastAsia="Times New Roman" w:hAnsiTheme="majorHAnsi" w:cs="Arial"/>
                <w:sz w:val="22"/>
                <w:szCs w:val="22"/>
              </w:rPr>
              <w:t xml:space="preserve"> &amp; Sons Limited (Construction Contractor Section 2), supervised by IMC Worldwide (the Supervision Engineer). This is an update of the CAP signed </w:t>
            </w:r>
            <w:r w:rsidR="00BB1313">
              <w:rPr>
                <w:rFonts w:asciiTheme="majorHAnsi" w:eastAsia="Times New Roman" w:hAnsiTheme="majorHAnsi" w:cs="Arial"/>
                <w:sz w:val="22"/>
                <w:szCs w:val="22"/>
              </w:rPr>
              <w:t>i</w:t>
            </w:r>
            <w:r w:rsidRPr="00BB1313">
              <w:rPr>
                <w:rFonts w:asciiTheme="majorHAnsi" w:eastAsia="Times New Roman" w:hAnsiTheme="majorHAnsi" w:cs="Arial"/>
                <w:sz w:val="22"/>
                <w:szCs w:val="22"/>
              </w:rPr>
              <w:t xml:space="preserve">n July 18, 2018 which contained an additional 12 items that have subsequently been closed out. </w:t>
            </w:r>
          </w:p>
        </w:tc>
      </w:tr>
    </w:tbl>
    <w:p w14:paraId="2F56244F" w14:textId="3B2A3AD4" w:rsidR="00A83F6E" w:rsidRDefault="00A83F6E" w:rsidP="004B6155">
      <w:pPr>
        <w:widowControl w:val="0"/>
        <w:autoSpaceDE w:val="0"/>
        <w:autoSpaceDN w:val="0"/>
        <w:adjustRightInd w:val="0"/>
        <w:ind w:right="-720"/>
        <w:jc w:val="both"/>
        <w:rPr>
          <w:rFonts w:ascii="Arial" w:hAnsi="Arial" w:cs="Arial"/>
          <w:bCs/>
          <w:sz w:val="2"/>
          <w:szCs w:val="2"/>
        </w:rPr>
      </w:pPr>
    </w:p>
    <w:tbl>
      <w:tblPr>
        <w:tblStyle w:val="TableGrid"/>
        <w:tblW w:w="12960" w:type="dxa"/>
        <w:jc w:val="center"/>
        <w:tblLayout w:type="fixed"/>
        <w:tblLook w:val="04A0" w:firstRow="1" w:lastRow="0" w:firstColumn="1" w:lastColumn="0" w:noHBand="0" w:noVBand="1"/>
      </w:tblPr>
      <w:tblGrid>
        <w:gridCol w:w="360"/>
        <w:gridCol w:w="5395"/>
        <w:gridCol w:w="2160"/>
        <w:gridCol w:w="2085"/>
        <w:gridCol w:w="1533"/>
        <w:gridCol w:w="1427"/>
      </w:tblGrid>
      <w:tr w:rsidR="00D32CC7" w:rsidRPr="003F005E" w14:paraId="5E89B3C5" w14:textId="77777777" w:rsidTr="00D32CC7">
        <w:trPr>
          <w:jc w:val="center"/>
        </w:trPr>
        <w:tc>
          <w:tcPr>
            <w:tcW w:w="360" w:type="dxa"/>
            <w:vAlign w:val="center"/>
          </w:tcPr>
          <w:p w14:paraId="478ED68D" w14:textId="77777777" w:rsidR="00D32CC7" w:rsidRPr="00D32CC7" w:rsidRDefault="00D32CC7" w:rsidP="00012234">
            <w:pPr>
              <w:rPr>
                <w:rFonts w:asciiTheme="majorHAnsi" w:eastAsia="Times New Roman" w:hAnsiTheme="majorHAnsi" w:cs="Arial"/>
                <w:sz w:val="22"/>
                <w:szCs w:val="22"/>
              </w:rPr>
            </w:pPr>
            <w:bookmarkStart w:id="3" w:name="_Hlk515984114"/>
          </w:p>
        </w:tc>
        <w:tc>
          <w:tcPr>
            <w:tcW w:w="5395" w:type="dxa"/>
            <w:vAlign w:val="center"/>
          </w:tcPr>
          <w:p w14:paraId="4DC9C7E6" w14:textId="77777777" w:rsidR="00D32CC7" w:rsidRPr="00D32CC7" w:rsidRDefault="00D32CC7" w:rsidP="00012234">
            <w:pPr>
              <w:rPr>
                <w:rFonts w:asciiTheme="majorHAnsi" w:eastAsia="Times New Roman" w:hAnsiTheme="majorHAnsi" w:cs="Arial"/>
                <w:sz w:val="22"/>
                <w:szCs w:val="22"/>
              </w:rPr>
            </w:pPr>
            <w:r w:rsidRPr="00D32CC7">
              <w:rPr>
                <w:rFonts w:asciiTheme="majorHAnsi" w:eastAsia="Times New Roman" w:hAnsiTheme="majorHAnsi" w:cs="Arial"/>
                <w:sz w:val="22"/>
                <w:szCs w:val="22"/>
              </w:rPr>
              <w:t>Action</w:t>
            </w:r>
          </w:p>
        </w:tc>
        <w:tc>
          <w:tcPr>
            <w:tcW w:w="2160" w:type="dxa"/>
            <w:vAlign w:val="center"/>
          </w:tcPr>
          <w:p w14:paraId="510692E1" w14:textId="77777777" w:rsidR="00D32CC7" w:rsidRPr="00D32CC7" w:rsidRDefault="00D32CC7" w:rsidP="00012234">
            <w:pPr>
              <w:rPr>
                <w:rFonts w:asciiTheme="majorHAnsi" w:eastAsia="Times New Roman" w:hAnsiTheme="majorHAnsi" w:cs="Arial"/>
                <w:sz w:val="22"/>
                <w:szCs w:val="22"/>
              </w:rPr>
            </w:pPr>
            <w:r w:rsidRPr="00D32CC7">
              <w:rPr>
                <w:rFonts w:asciiTheme="majorHAnsi" w:eastAsia="Times New Roman" w:hAnsiTheme="majorHAnsi" w:cs="Arial"/>
                <w:sz w:val="22"/>
                <w:szCs w:val="22"/>
              </w:rPr>
              <w:t>Risk/ Impact</w:t>
            </w:r>
          </w:p>
        </w:tc>
        <w:tc>
          <w:tcPr>
            <w:tcW w:w="2085" w:type="dxa"/>
            <w:vAlign w:val="center"/>
          </w:tcPr>
          <w:p w14:paraId="043D90CB" w14:textId="77777777" w:rsidR="00D32CC7" w:rsidRPr="00D32CC7" w:rsidRDefault="00D32CC7" w:rsidP="00012234">
            <w:pPr>
              <w:rPr>
                <w:rFonts w:asciiTheme="majorHAnsi" w:eastAsia="Times New Roman" w:hAnsiTheme="majorHAnsi" w:cs="Arial"/>
                <w:sz w:val="22"/>
                <w:szCs w:val="22"/>
              </w:rPr>
            </w:pPr>
            <w:r w:rsidRPr="00D32CC7">
              <w:rPr>
                <w:rFonts w:asciiTheme="majorHAnsi" w:eastAsia="Times New Roman" w:hAnsiTheme="majorHAnsi" w:cs="Arial"/>
                <w:sz w:val="22"/>
                <w:szCs w:val="22"/>
              </w:rPr>
              <w:t>Evidence</w:t>
            </w:r>
          </w:p>
        </w:tc>
        <w:tc>
          <w:tcPr>
            <w:tcW w:w="1533" w:type="dxa"/>
            <w:vAlign w:val="center"/>
          </w:tcPr>
          <w:p w14:paraId="48E8610F" w14:textId="77777777" w:rsidR="00D32CC7" w:rsidRPr="00D32CC7" w:rsidRDefault="00D32CC7" w:rsidP="00012234">
            <w:pPr>
              <w:rPr>
                <w:rFonts w:asciiTheme="majorHAnsi" w:eastAsia="Times New Roman" w:hAnsiTheme="majorHAnsi" w:cs="Arial"/>
                <w:sz w:val="22"/>
                <w:szCs w:val="22"/>
              </w:rPr>
            </w:pPr>
            <w:r w:rsidRPr="00D32CC7">
              <w:rPr>
                <w:rFonts w:asciiTheme="majorHAnsi" w:eastAsia="Times New Roman" w:hAnsiTheme="majorHAnsi" w:cs="Arial"/>
                <w:sz w:val="22"/>
                <w:szCs w:val="22"/>
              </w:rPr>
              <w:t>Responsible</w:t>
            </w:r>
          </w:p>
        </w:tc>
        <w:tc>
          <w:tcPr>
            <w:tcW w:w="1427" w:type="dxa"/>
          </w:tcPr>
          <w:p w14:paraId="15E067D3" w14:textId="77777777" w:rsidR="00D32CC7" w:rsidRPr="00D32CC7" w:rsidRDefault="00D32CC7" w:rsidP="00012234">
            <w:pPr>
              <w:jc w:val="center"/>
              <w:rPr>
                <w:rFonts w:asciiTheme="majorHAnsi" w:eastAsia="Times New Roman" w:hAnsiTheme="majorHAnsi" w:cs="Arial"/>
                <w:sz w:val="22"/>
                <w:szCs w:val="22"/>
              </w:rPr>
            </w:pPr>
            <w:r w:rsidRPr="00D32CC7">
              <w:rPr>
                <w:rFonts w:asciiTheme="majorHAnsi" w:eastAsia="Times New Roman" w:hAnsiTheme="majorHAnsi" w:cs="Arial"/>
                <w:sz w:val="22"/>
                <w:szCs w:val="22"/>
              </w:rPr>
              <w:t>New Date</w:t>
            </w:r>
          </w:p>
        </w:tc>
      </w:tr>
      <w:tr w:rsidR="00D32CC7" w:rsidRPr="003F005E" w14:paraId="4E65C173" w14:textId="77777777" w:rsidTr="00D32CC7">
        <w:trPr>
          <w:jc w:val="center"/>
        </w:trPr>
        <w:tc>
          <w:tcPr>
            <w:tcW w:w="360" w:type="dxa"/>
            <w:vAlign w:val="center"/>
          </w:tcPr>
          <w:p w14:paraId="423FB964" w14:textId="77777777" w:rsidR="00D32CC7" w:rsidRPr="00D32CC7" w:rsidRDefault="00D32CC7" w:rsidP="00012234">
            <w:pPr>
              <w:rPr>
                <w:rFonts w:asciiTheme="majorHAnsi" w:eastAsia="Times New Roman" w:hAnsiTheme="majorHAnsi" w:cs="Arial"/>
                <w:sz w:val="22"/>
                <w:szCs w:val="22"/>
              </w:rPr>
            </w:pPr>
            <w:r w:rsidRPr="00D32CC7">
              <w:rPr>
                <w:rFonts w:asciiTheme="majorHAnsi" w:eastAsia="Times New Roman" w:hAnsiTheme="majorHAnsi" w:cs="Arial"/>
                <w:sz w:val="22"/>
                <w:szCs w:val="22"/>
              </w:rPr>
              <w:t>1</w:t>
            </w:r>
          </w:p>
        </w:tc>
        <w:tc>
          <w:tcPr>
            <w:tcW w:w="5395" w:type="dxa"/>
            <w:vAlign w:val="center"/>
          </w:tcPr>
          <w:p w14:paraId="21B80A7F" w14:textId="77777777" w:rsidR="00D32CC7" w:rsidRPr="00D32CC7" w:rsidRDefault="00D32CC7" w:rsidP="00012234">
            <w:pPr>
              <w:spacing w:before="100" w:beforeAutospacing="1" w:after="100" w:afterAutospacing="1"/>
              <w:rPr>
                <w:rFonts w:asciiTheme="majorHAnsi" w:eastAsia="Times New Roman" w:hAnsiTheme="majorHAnsi" w:cs="Arial"/>
                <w:sz w:val="22"/>
                <w:szCs w:val="22"/>
              </w:rPr>
            </w:pPr>
            <w:r w:rsidRPr="00D32CC7">
              <w:rPr>
                <w:rFonts w:asciiTheme="majorHAnsi" w:eastAsia="Times New Roman" w:hAnsiTheme="majorHAnsi" w:cs="Arial"/>
                <w:sz w:val="22"/>
                <w:szCs w:val="22"/>
              </w:rPr>
              <w:t>Commence daily monitoring of dust and noise at Roaring Creek Bridge (Section 1) and at key points in Section 2 (near communities or receptors)</w:t>
            </w:r>
          </w:p>
        </w:tc>
        <w:tc>
          <w:tcPr>
            <w:tcW w:w="2160" w:type="dxa"/>
            <w:vAlign w:val="center"/>
          </w:tcPr>
          <w:p w14:paraId="2C776375" w14:textId="77777777" w:rsidR="00D32CC7" w:rsidRPr="00D32CC7" w:rsidRDefault="00D32CC7" w:rsidP="00012234">
            <w:pPr>
              <w:rPr>
                <w:rFonts w:asciiTheme="majorHAnsi" w:eastAsia="Times New Roman" w:hAnsiTheme="majorHAnsi" w:cs="Arial"/>
                <w:sz w:val="22"/>
                <w:szCs w:val="22"/>
              </w:rPr>
            </w:pPr>
            <w:r w:rsidRPr="00D32CC7">
              <w:rPr>
                <w:rFonts w:asciiTheme="majorHAnsi" w:eastAsia="Times New Roman" w:hAnsiTheme="majorHAnsi" w:cs="Arial"/>
                <w:sz w:val="22"/>
                <w:szCs w:val="22"/>
              </w:rPr>
              <w:t>Community health and safety</w:t>
            </w:r>
          </w:p>
        </w:tc>
        <w:tc>
          <w:tcPr>
            <w:tcW w:w="2085" w:type="dxa"/>
            <w:vAlign w:val="center"/>
          </w:tcPr>
          <w:p w14:paraId="7B2F579E" w14:textId="77777777" w:rsidR="00D32CC7" w:rsidRPr="00D32CC7" w:rsidRDefault="00D32CC7" w:rsidP="00012234">
            <w:pPr>
              <w:rPr>
                <w:rFonts w:asciiTheme="majorHAnsi" w:eastAsia="Times New Roman" w:hAnsiTheme="majorHAnsi" w:cs="Arial"/>
                <w:sz w:val="22"/>
                <w:szCs w:val="22"/>
              </w:rPr>
            </w:pPr>
            <w:r w:rsidRPr="00D32CC7">
              <w:rPr>
                <w:rFonts w:asciiTheme="majorHAnsi" w:eastAsia="Times New Roman" w:hAnsiTheme="majorHAnsi" w:cs="Arial"/>
                <w:sz w:val="22"/>
                <w:szCs w:val="22"/>
              </w:rPr>
              <w:t>Equipment purchase, weekly reports</w:t>
            </w:r>
          </w:p>
        </w:tc>
        <w:tc>
          <w:tcPr>
            <w:tcW w:w="1533" w:type="dxa"/>
            <w:vAlign w:val="center"/>
          </w:tcPr>
          <w:p w14:paraId="6241399D" w14:textId="77777777" w:rsidR="00D32CC7" w:rsidRPr="00D32CC7" w:rsidRDefault="00D32CC7" w:rsidP="00012234">
            <w:pPr>
              <w:rPr>
                <w:rFonts w:asciiTheme="majorHAnsi" w:eastAsia="Times New Roman" w:hAnsiTheme="majorHAnsi" w:cs="Arial"/>
                <w:sz w:val="22"/>
                <w:szCs w:val="22"/>
              </w:rPr>
            </w:pPr>
            <w:r w:rsidRPr="00D32CC7">
              <w:rPr>
                <w:rFonts w:asciiTheme="majorHAnsi" w:eastAsia="Times New Roman" w:hAnsiTheme="majorHAnsi" w:cs="Arial"/>
                <w:sz w:val="22"/>
                <w:szCs w:val="22"/>
              </w:rPr>
              <w:t>M&amp;M Engineering Limited and IMC Worldwide</w:t>
            </w:r>
          </w:p>
        </w:tc>
        <w:tc>
          <w:tcPr>
            <w:tcW w:w="1427" w:type="dxa"/>
            <w:vAlign w:val="center"/>
          </w:tcPr>
          <w:p w14:paraId="7B4C278E" w14:textId="77777777" w:rsidR="00D32CC7" w:rsidRPr="00D32CC7" w:rsidRDefault="00D32CC7" w:rsidP="00012234">
            <w:pPr>
              <w:rPr>
                <w:rFonts w:asciiTheme="majorHAnsi" w:eastAsia="Times New Roman" w:hAnsiTheme="majorHAnsi" w:cs="Arial"/>
                <w:sz w:val="22"/>
                <w:szCs w:val="22"/>
              </w:rPr>
            </w:pPr>
            <w:r w:rsidRPr="00D32CC7">
              <w:rPr>
                <w:rFonts w:asciiTheme="majorHAnsi" w:eastAsia="Times New Roman" w:hAnsiTheme="majorHAnsi" w:cs="Arial"/>
                <w:sz w:val="22"/>
                <w:szCs w:val="22"/>
              </w:rPr>
              <w:t>Nov 30, 2018</w:t>
            </w:r>
          </w:p>
        </w:tc>
      </w:tr>
      <w:tr w:rsidR="00D32CC7" w:rsidRPr="003F005E" w14:paraId="64A85CB7" w14:textId="77777777" w:rsidTr="00D32CC7">
        <w:trPr>
          <w:jc w:val="center"/>
        </w:trPr>
        <w:tc>
          <w:tcPr>
            <w:tcW w:w="360" w:type="dxa"/>
            <w:vAlign w:val="center"/>
          </w:tcPr>
          <w:p w14:paraId="2BC1B819" w14:textId="77777777" w:rsidR="00D32CC7" w:rsidRPr="00D32CC7" w:rsidRDefault="00D32CC7" w:rsidP="00012234">
            <w:pPr>
              <w:rPr>
                <w:rFonts w:asciiTheme="majorHAnsi" w:eastAsia="Times New Roman" w:hAnsiTheme="majorHAnsi" w:cs="Arial"/>
                <w:sz w:val="22"/>
                <w:szCs w:val="22"/>
              </w:rPr>
            </w:pPr>
            <w:r w:rsidRPr="00D32CC7">
              <w:rPr>
                <w:rFonts w:asciiTheme="majorHAnsi" w:eastAsia="Times New Roman" w:hAnsiTheme="majorHAnsi" w:cs="Arial"/>
                <w:sz w:val="22"/>
                <w:szCs w:val="22"/>
              </w:rPr>
              <w:t>2</w:t>
            </w:r>
          </w:p>
        </w:tc>
        <w:tc>
          <w:tcPr>
            <w:tcW w:w="5395" w:type="dxa"/>
            <w:vAlign w:val="center"/>
          </w:tcPr>
          <w:p w14:paraId="41C05892" w14:textId="77777777" w:rsidR="00D32CC7" w:rsidRPr="00D32CC7" w:rsidRDefault="00D32CC7" w:rsidP="00012234">
            <w:pPr>
              <w:spacing w:before="100" w:beforeAutospacing="1" w:after="100" w:afterAutospacing="1"/>
              <w:rPr>
                <w:rFonts w:asciiTheme="majorHAnsi" w:eastAsia="Times New Roman" w:hAnsiTheme="majorHAnsi" w:cs="Arial"/>
                <w:sz w:val="22"/>
                <w:szCs w:val="22"/>
              </w:rPr>
            </w:pPr>
            <w:r w:rsidRPr="00D32CC7">
              <w:rPr>
                <w:rFonts w:asciiTheme="majorHAnsi" w:eastAsia="Times New Roman" w:hAnsiTheme="majorHAnsi" w:cs="Arial"/>
                <w:sz w:val="22"/>
                <w:szCs w:val="22"/>
              </w:rPr>
              <w:t xml:space="preserve">Commence daily monitoring of turbidity at Roaring Creek up- and down-stream of bridge </w:t>
            </w:r>
          </w:p>
        </w:tc>
        <w:tc>
          <w:tcPr>
            <w:tcW w:w="2160" w:type="dxa"/>
            <w:vAlign w:val="center"/>
          </w:tcPr>
          <w:p w14:paraId="0B12A971" w14:textId="77777777" w:rsidR="00D32CC7" w:rsidRPr="00D32CC7" w:rsidRDefault="00D32CC7" w:rsidP="00012234">
            <w:pPr>
              <w:rPr>
                <w:rFonts w:asciiTheme="majorHAnsi" w:eastAsia="Times New Roman" w:hAnsiTheme="majorHAnsi" w:cs="Arial"/>
                <w:sz w:val="22"/>
                <w:szCs w:val="22"/>
              </w:rPr>
            </w:pPr>
            <w:r w:rsidRPr="00D32CC7">
              <w:rPr>
                <w:rFonts w:asciiTheme="majorHAnsi" w:eastAsia="Times New Roman" w:hAnsiTheme="majorHAnsi" w:cs="Arial"/>
                <w:sz w:val="22"/>
                <w:szCs w:val="22"/>
              </w:rPr>
              <w:t>Water quality degradation</w:t>
            </w:r>
          </w:p>
        </w:tc>
        <w:tc>
          <w:tcPr>
            <w:tcW w:w="2085" w:type="dxa"/>
            <w:vAlign w:val="center"/>
          </w:tcPr>
          <w:p w14:paraId="65FB03B4" w14:textId="77777777" w:rsidR="00D32CC7" w:rsidRPr="00D32CC7" w:rsidRDefault="00D32CC7" w:rsidP="00012234">
            <w:pPr>
              <w:rPr>
                <w:rFonts w:asciiTheme="majorHAnsi" w:eastAsia="Times New Roman" w:hAnsiTheme="majorHAnsi" w:cs="Arial"/>
                <w:sz w:val="22"/>
                <w:szCs w:val="22"/>
              </w:rPr>
            </w:pPr>
            <w:r w:rsidRPr="00D32CC7">
              <w:rPr>
                <w:rFonts w:asciiTheme="majorHAnsi" w:eastAsia="Times New Roman" w:hAnsiTheme="majorHAnsi" w:cs="Arial"/>
                <w:sz w:val="22"/>
                <w:szCs w:val="22"/>
              </w:rPr>
              <w:t>Equipment purchase, weekly reports</w:t>
            </w:r>
          </w:p>
        </w:tc>
        <w:tc>
          <w:tcPr>
            <w:tcW w:w="1533" w:type="dxa"/>
            <w:vAlign w:val="center"/>
          </w:tcPr>
          <w:p w14:paraId="69C9FE4F" w14:textId="77777777" w:rsidR="00D32CC7" w:rsidRPr="00D32CC7" w:rsidRDefault="00D32CC7" w:rsidP="00012234">
            <w:pPr>
              <w:rPr>
                <w:rFonts w:asciiTheme="majorHAnsi" w:eastAsia="Times New Roman" w:hAnsiTheme="majorHAnsi" w:cs="Arial"/>
                <w:sz w:val="22"/>
                <w:szCs w:val="22"/>
              </w:rPr>
            </w:pPr>
            <w:r w:rsidRPr="00D32CC7">
              <w:rPr>
                <w:rFonts w:asciiTheme="majorHAnsi" w:eastAsia="Times New Roman" w:hAnsiTheme="majorHAnsi" w:cs="Arial"/>
                <w:sz w:val="22"/>
                <w:szCs w:val="22"/>
              </w:rPr>
              <w:t>M&amp;M Engineering and IMC Worldwide</w:t>
            </w:r>
          </w:p>
        </w:tc>
        <w:tc>
          <w:tcPr>
            <w:tcW w:w="1427" w:type="dxa"/>
            <w:vAlign w:val="center"/>
          </w:tcPr>
          <w:p w14:paraId="052E0873" w14:textId="77777777" w:rsidR="00D32CC7" w:rsidRPr="00D32CC7" w:rsidRDefault="00D32CC7" w:rsidP="00012234">
            <w:pPr>
              <w:rPr>
                <w:rFonts w:asciiTheme="majorHAnsi" w:eastAsia="Times New Roman" w:hAnsiTheme="majorHAnsi" w:cs="Arial"/>
                <w:sz w:val="22"/>
                <w:szCs w:val="22"/>
              </w:rPr>
            </w:pPr>
            <w:r w:rsidRPr="00D32CC7">
              <w:rPr>
                <w:rFonts w:asciiTheme="majorHAnsi" w:eastAsia="Times New Roman" w:hAnsiTheme="majorHAnsi" w:cs="Arial"/>
                <w:sz w:val="22"/>
                <w:szCs w:val="22"/>
              </w:rPr>
              <w:t>Visual monitoring: immediately.</w:t>
            </w:r>
          </w:p>
          <w:p w14:paraId="6CA1DD17" w14:textId="74D7B014" w:rsidR="00D32CC7" w:rsidRPr="00D32CC7" w:rsidRDefault="00D32CC7" w:rsidP="00012234">
            <w:pPr>
              <w:rPr>
                <w:rFonts w:asciiTheme="majorHAnsi" w:eastAsia="Times New Roman" w:hAnsiTheme="majorHAnsi" w:cs="Arial"/>
                <w:sz w:val="22"/>
                <w:szCs w:val="22"/>
              </w:rPr>
            </w:pPr>
            <w:r w:rsidRPr="00D32CC7">
              <w:rPr>
                <w:rFonts w:asciiTheme="majorHAnsi" w:eastAsia="Times New Roman" w:hAnsiTheme="majorHAnsi" w:cs="Arial"/>
                <w:sz w:val="22"/>
                <w:szCs w:val="22"/>
              </w:rPr>
              <w:t>Equipment by</w:t>
            </w:r>
            <w:r>
              <w:rPr>
                <w:rFonts w:asciiTheme="majorHAnsi" w:eastAsia="Times New Roman" w:hAnsiTheme="majorHAnsi" w:cs="Arial"/>
                <w:sz w:val="22"/>
                <w:szCs w:val="22"/>
              </w:rPr>
              <w:t xml:space="preserve"> </w:t>
            </w:r>
            <w:r w:rsidRPr="00D32CC7">
              <w:rPr>
                <w:rFonts w:asciiTheme="majorHAnsi" w:eastAsia="Times New Roman" w:hAnsiTheme="majorHAnsi" w:cs="Arial"/>
                <w:sz w:val="22"/>
                <w:szCs w:val="22"/>
              </w:rPr>
              <w:t>Nov 30, 2018</w:t>
            </w:r>
          </w:p>
        </w:tc>
      </w:tr>
      <w:tr w:rsidR="00D32CC7" w:rsidRPr="003F005E" w14:paraId="43B8E990" w14:textId="77777777" w:rsidTr="00D32CC7">
        <w:trPr>
          <w:jc w:val="center"/>
        </w:trPr>
        <w:tc>
          <w:tcPr>
            <w:tcW w:w="360" w:type="dxa"/>
            <w:vAlign w:val="center"/>
          </w:tcPr>
          <w:p w14:paraId="0F752CA1" w14:textId="77777777" w:rsidR="00D32CC7" w:rsidRPr="00D32CC7" w:rsidRDefault="00D32CC7" w:rsidP="00012234">
            <w:pPr>
              <w:rPr>
                <w:rFonts w:asciiTheme="majorHAnsi" w:eastAsia="Times New Roman" w:hAnsiTheme="majorHAnsi" w:cs="Arial"/>
                <w:sz w:val="22"/>
                <w:szCs w:val="22"/>
              </w:rPr>
            </w:pPr>
            <w:bookmarkStart w:id="4" w:name="_Hlk515551696"/>
            <w:r w:rsidRPr="00D32CC7">
              <w:rPr>
                <w:rFonts w:asciiTheme="majorHAnsi" w:eastAsia="Times New Roman" w:hAnsiTheme="majorHAnsi" w:cs="Arial"/>
                <w:sz w:val="22"/>
                <w:szCs w:val="22"/>
              </w:rPr>
              <w:t>3</w:t>
            </w:r>
          </w:p>
        </w:tc>
        <w:tc>
          <w:tcPr>
            <w:tcW w:w="5395" w:type="dxa"/>
            <w:vAlign w:val="center"/>
          </w:tcPr>
          <w:p w14:paraId="1D3DE146" w14:textId="1A5D9491" w:rsidR="00D32CC7" w:rsidRPr="00D32CC7" w:rsidRDefault="0095460D" w:rsidP="00012234">
            <w:pPr>
              <w:spacing w:before="100" w:beforeAutospacing="1" w:after="100" w:afterAutospacing="1"/>
              <w:rPr>
                <w:rFonts w:asciiTheme="majorHAnsi" w:eastAsia="Times New Roman" w:hAnsiTheme="majorHAnsi" w:cs="Arial"/>
                <w:sz w:val="22"/>
                <w:szCs w:val="22"/>
              </w:rPr>
            </w:pPr>
            <w:r w:rsidRPr="0095460D">
              <w:rPr>
                <w:rFonts w:asciiTheme="majorHAnsi" w:eastAsia="Times New Roman" w:hAnsiTheme="majorHAnsi" w:cs="Arial"/>
                <w:sz w:val="22"/>
                <w:szCs w:val="22"/>
              </w:rPr>
              <w:t>Conclude pending negotiations with affected parties in Section 1, as per the Resettlement and Livelihoods Rehabilitation Plan, or agree with the IDB</w:t>
            </w:r>
            <w:r w:rsidR="00784292">
              <w:rPr>
                <w:rFonts w:asciiTheme="majorHAnsi" w:eastAsia="Times New Roman" w:hAnsiTheme="majorHAnsi" w:cs="Arial"/>
                <w:sz w:val="22"/>
                <w:szCs w:val="22"/>
              </w:rPr>
              <w:t>, and implement</w:t>
            </w:r>
            <w:r w:rsidRPr="0095460D">
              <w:rPr>
                <w:rFonts w:asciiTheme="majorHAnsi" w:eastAsia="Times New Roman" w:hAnsiTheme="majorHAnsi" w:cs="Arial"/>
                <w:sz w:val="22"/>
                <w:szCs w:val="22"/>
              </w:rPr>
              <w:t xml:space="preserve"> alternative solutions for particular cases (update to the Resettlement Plan) (section 1)</w:t>
            </w:r>
          </w:p>
        </w:tc>
        <w:tc>
          <w:tcPr>
            <w:tcW w:w="2160" w:type="dxa"/>
            <w:vAlign w:val="center"/>
          </w:tcPr>
          <w:p w14:paraId="69F80A87" w14:textId="77777777" w:rsidR="00D32CC7" w:rsidRPr="00D32CC7" w:rsidRDefault="00D32CC7" w:rsidP="00012234">
            <w:pPr>
              <w:rPr>
                <w:rFonts w:asciiTheme="majorHAnsi" w:eastAsia="Times New Roman" w:hAnsiTheme="majorHAnsi" w:cs="Arial"/>
                <w:sz w:val="22"/>
                <w:szCs w:val="22"/>
              </w:rPr>
            </w:pPr>
            <w:r w:rsidRPr="00D32CC7">
              <w:rPr>
                <w:rFonts w:asciiTheme="majorHAnsi" w:eastAsia="Times New Roman" w:hAnsiTheme="majorHAnsi" w:cs="Arial"/>
                <w:sz w:val="22"/>
                <w:szCs w:val="22"/>
              </w:rPr>
              <w:t>Involuntary resettlement and impacts on livelihoods</w:t>
            </w:r>
          </w:p>
        </w:tc>
        <w:tc>
          <w:tcPr>
            <w:tcW w:w="2085" w:type="dxa"/>
            <w:vAlign w:val="center"/>
          </w:tcPr>
          <w:p w14:paraId="6BB8BD8C" w14:textId="77777777" w:rsidR="00D32CC7" w:rsidRPr="00D32CC7" w:rsidRDefault="00D32CC7" w:rsidP="00012234">
            <w:pPr>
              <w:rPr>
                <w:rFonts w:asciiTheme="majorHAnsi" w:eastAsia="Times New Roman" w:hAnsiTheme="majorHAnsi" w:cs="Arial"/>
                <w:sz w:val="22"/>
                <w:szCs w:val="22"/>
              </w:rPr>
            </w:pPr>
            <w:r w:rsidRPr="00D32CC7">
              <w:rPr>
                <w:rFonts w:asciiTheme="majorHAnsi" w:eastAsia="Times New Roman" w:hAnsiTheme="majorHAnsi" w:cs="Arial"/>
                <w:sz w:val="22"/>
                <w:szCs w:val="22"/>
              </w:rPr>
              <w:t>Signed agreements with each party</w:t>
            </w:r>
          </w:p>
        </w:tc>
        <w:tc>
          <w:tcPr>
            <w:tcW w:w="1533" w:type="dxa"/>
            <w:vAlign w:val="center"/>
          </w:tcPr>
          <w:p w14:paraId="294CA244" w14:textId="77777777" w:rsidR="00D32CC7" w:rsidRPr="00D32CC7" w:rsidRDefault="00D32CC7" w:rsidP="00012234">
            <w:pPr>
              <w:rPr>
                <w:rFonts w:asciiTheme="majorHAnsi" w:eastAsia="Times New Roman" w:hAnsiTheme="majorHAnsi" w:cs="Arial"/>
                <w:sz w:val="22"/>
                <w:szCs w:val="22"/>
              </w:rPr>
            </w:pPr>
            <w:r w:rsidRPr="00D32CC7">
              <w:rPr>
                <w:rFonts w:asciiTheme="majorHAnsi" w:eastAsia="Times New Roman" w:hAnsiTheme="majorHAnsi" w:cs="Arial"/>
                <w:sz w:val="22"/>
                <w:szCs w:val="22"/>
              </w:rPr>
              <w:t>PEU</w:t>
            </w:r>
          </w:p>
        </w:tc>
        <w:tc>
          <w:tcPr>
            <w:tcW w:w="1427" w:type="dxa"/>
            <w:vAlign w:val="center"/>
          </w:tcPr>
          <w:p w14:paraId="7BF9CEA9" w14:textId="77777777" w:rsidR="00D32CC7" w:rsidRPr="00D32CC7" w:rsidRDefault="00D32CC7" w:rsidP="00012234">
            <w:pPr>
              <w:spacing w:before="100" w:beforeAutospacing="1" w:after="100" w:afterAutospacing="1"/>
              <w:rPr>
                <w:rFonts w:asciiTheme="majorHAnsi" w:eastAsia="Times New Roman" w:hAnsiTheme="majorHAnsi" w:cs="Arial"/>
                <w:sz w:val="22"/>
                <w:szCs w:val="22"/>
              </w:rPr>
            </w:pPr>
            <w:r w:rsidRPr="00D32CC7">
              <w:rPr>
                <w:rFonts w:asciiTheme="majorHAnsi" w:eastAsia="Times New Roman" w:hAnsiTheme="majorHAnsi" w:cs="Arial"/>
                <w:sz w:val="22"/>
                <w:szCs w:val="22"/>
              </w:rPr>
              <w:t>Nov 30, 2018</w:t>
            </w:r>
          </w:p>
        </w:tc>
      </w:tr>
      <w:tr w:rsidR="00D32CC7" w:rsidRPr="003F005E" w14:paraId="19C35BD1" w14:textId="77777777" w:rsidTr="00D32CC7">
        <w:trPr>
          <w:jc w:val="center"/>
        </w:trPr>
        <w:tc>
          <w:tcPr>
            <w:tcW w:w="360" w:type="dxa"/>
            <w:vAlign w:val="center"/>
          </w:tcPr>
          <w:p w14:paraId="1D27D517" w14:textId="77777777" w:rsidR="00D32CC7" w:rsidRPr="00D32CC7" w:rsidRDefault="00D32CC7" w:rsidP="00012234">
            <w:pPr>
              <w:rPr>
                <w:rFonts w:asciiTheme="majorHAnsi" w:eastAsia="Times New Roman" w:hAnsiTheme="majorHAnsi" w:cs="Arial"/>
                <w:sz w:val="22"/>
                <w:szCs w:val="22"/>
              </w:rPr>
            </w:pPr>
            <w:r w:rsidRPr="00D32CC7">
              <w:rPr>
                <w:rFonts w:asciiTheme="majorHAnsi" w:eastAsia="Times New Roman" w:hAnsiTheme="majorHAnsi" w:cs="Arial"/>
                <w:sz w:val="22"/>
                <w:szCs w:val="22"/>
              </w:rPr>
              <w:t>4</w:t>
            </w:r>
          </w:p>
        </w:tc>
        <w:tc>
          <w:tcPr>
            <w:tcW w:w="5395" w:type="dxa"/>
            <w:vAlign w:val="center"/>
          </w:tcPr>
          <w:p w14:paraId="1C268EDA" w14:textId="77777777" w:rsidR="00D32CC7" w:rsidRPr="00D32CC7" w:rsidRDefault="00D32CC7" w:rsidP="00012234">
            <w:pPr>
              <w:spacing w:before="100" w:beforeAutospacing="1" w:after="100" w:afterAutospacing="1"/>
              <w:rPr>
                <w:rFonts w:asciiTheme="majorHAnsi" w:eastAsia="Times New Roman" w:hAnsiTheme="majorHAnsi" w:cs="Arial"/>
                <w:sz w:val="22"/>
                <w:szCs w:val="22"/>
              </w:rPr>
            </w:pPr>
            <w:r w:rsidRPr="00D32CC7">
              <w:rPr>
                <w:rFonts w:asciiTheme="majorHAnsi" w:eastAsia="Times New Roman" w:hAnsiTheme="majorHAnsi" w:cs="Arial"/>
                <w:sz w:val="22"/>
                <w:szCs w:val="22"/>
              </w:rPr>
              <w:t>Conclude pending negotiations with affected parties in Section 2, as per the Resettlement and Livelihoods Rehabilitation Plan (section 2)</w:t>
            </w:r>
          </w:p>
        </w:tc>
        <w:tc>
          <w:tcPr>
            <w:tcW w:w="2160" w:type="dxa"/>
            <w:vAlign w:val="center"/>
          </w:tcPr>
          <w:p w14:paraId="0E42FD37" w14:textId="77777777" w:rsidR="00D32CC7" w:rsidRPr="00D32CC7" w:rsidRDefault="00D32CC7" w:rsidP="00012234">
            <w:pPr>
              <w:rPr>
                <w:rFonts w:asciiTheme="majorHAnsi" w:eastAsia="Times New Roman" w:hAnsiTheme="majorHAnsi" w:cs="Arial"/>
                <w:sz w:val="22"/>
                <w:szCs w:val="22"/>
              </w:rPr>
            </w:pPr>
            <w:r w:rsidRPr="00D32CC7">
              <w:rPr>
                <w:rFonts w:asciiTheme="majorHAnsi" w:eastAsia="Times New Roman" w:hAnsiTheme="majorHAnsi" w:cs="Arial"/>
                <w:sz w:val="22"/>
                <w:szCs w:val="22"/>
              </w:rPr>
              <w:t>Involuntary resettlement and impacts on livelihoods</w:t>
            </w:r>
          </w:p>
        </w:tc>
        <w:tc>
          <w:tcPr>
            <w:tcW w:w="2085" w:type="dxa"/>
            <w:vAlign w:val="center"/>
          </w:tcPr>
          <w:p w14:paraId="3AF8ED6A" w14:textId="77777777" w:rsidR="00D32CC7" w:rsidRPr="00D32CC7" w:rsidRDefault="00D32CC7" w:rsidP="00012234">
            <w:pPr>
              <w:rPr>
                <w:rFonts w:asciiTheme="majorHAnsi" w:eastAsia="Times New Roman" w:hAnsiTheme="majorHAnsi" w:cs="Arial"/>
                <w:sz w:val="22"/>
                <w:szCs w:val="22"/>
              </w:rPr>
            </w:pPr>
            <w:r w:rsidRPr="00D32CC7">
              <w:rPr>
                <w:rFonts w:asciiTheme="majorHAnsi" w:eastAsia="Times New Roman" w:hAnsiTheme="majorHAnsi" w:cs="Arial"/>
                <w:sz w:val="22"/>
                <w:szCs w:val="22"/>
              </w:rPr>
              <w:t>Signed agreements with each party</w:t>
            </w:r>
          </w:p>
        </w:tc>
        <w:tc>
          <w:tcPr>
            <w:tcW w:w="1533" w:type="dxa"/>
            <w:vAlign w:val="center"/>
          </w:tcPr>
          <w:p w14:paraId="7AB8CB74" w14:textId="77777777" w:rsidR="00D32CC7" w:rsidRPr="00D32CC7" w:rsidRDefault="00D32CC7" w:rsidP="00012234">
            <w:pPr>
              <w:rPr>
                <w:rFonts w:asciiTheme="majorHAnsi" w:eastAsia="Times New Roman" w:hAnsiTheme="majorHAnsi" w:cs="Arial"/>
                <w:sz w:val="22"/>
                <w:szCs w:val="22"/>
              </w:rPr>
            </w:pPr>
            <w:r w:rsidRPr="00D32CC7">
              <w:rPr>
                <w:rFonts w:asciiTheme="majorHAnsi" w:eastAsia="Times New Roman" w:hAnsiTheme="majorHAnsi" w:cs="Arial"/>
                <w:sz w:val="22"/>
                <w:szCs w:val="22"/>
              </w:rPr>
              <w:t>PEU</w:t>
            </w:r>
          </w:p>
        </w:tc>
        <w:tc>
          <w:tcPr>
            <w:tcW w:w="1427" w:type="dxa"/>
            <w:vAlign w:val="center"/>
          </w:tcPr>
          <w:p w14:paraId="1E621A14" w14:textId="77777777" w:rsidR="00D32CC7" w:rsidRPr="00D32CC7" w:rsidRDefault="00D32CC7" w:rsidP="00012234">
            <w:pPr>
              <w:spacing w:before="100" w:beforeAutospacing="1" w:after="100" w:afterAutospacing="1"/>
              <w:rPr>
                <w:rFonts w:asciiTheme="majorHAnsi" w:eastAsia="Times New Roman" w:hAnsiTheme="majorHAnsi" w:cs="Arial"/>
                <w:sz w:val="22"/>
                <w:szCs w:val="22"/>
              </w:rPr>
            </w:pPr>
            <w:r w:rsidRPr="00D32CC7">
              <w:rPr>
                <w:rFonts w:asciiTheme="majorHAnsi" w:eastAsia="Times New Roman" w:hAnsiTheme="majorHAnsi" w:cs="Arial"/>
                <w:sz w:val="22"/>
                <w:szCs w:val="22"/>
              </w:rPr>
              <w:t>Nov 30, 2018</w:t>
            </w:r>
          </w:p>
        </w:tc>
      </w:tr>
      <w:tr w:rsidR="00D32CC7" w:rsidRPr="003F005E" w14:paraId="5982065C" w14:textId="77777777" w:rsidTr="00D32CC7">
        <w:trPr>
          <w:jc w:val="center"/>
        </w:trPr>
        <w:tc>
          <w:tcPr>
            <w:tcW w:w="360" w:type="dxa"/>
            <w:vAlign w:val="center"/>
          </w:tcPr>
          <w:p w14:paraId="737E5350" w14:textId="77777777" w:rsidR="00D32CC7" w:rsidRPr="00D32CC7" w:rsidRDefault="00D32CC7" w:rsidP="00012234">
            <w:pPr>
              <w:rPr>
                <w:rFonts w:asciiTheme="majorHAnsi" w:eastAsia="Times New Roman" w:hAnsiTheme="majorHAnsi" w:cs="Arial"/>
                <w:sz w:val="22"/>
                <w:szCs w:val="22"/>
              </w:rPr>
            </w:pPr>
            <w:r w:rsidRPr="00D32CC7">
              <w:rPr>
                <w:rFonts w:asciiTheme="majorHAnsi" w:eastAsia="Times New Roman" w:hAnsiTheme="majorHAnsi" w:cs="Arial"/>
                <w:sz w:val="22"/>
                <w:szCs w:val="22"/>
              </w:rPr>
              <w:t>5</w:t>
            </w:r>
          </w:p>
        </w:tc>
        <w:tc>
          <w:tcPr>
            <w:tcW w:w="5395" w:type="dxa"/>
            <w:vAlign w:val="center"/>
          </w:tcPr>
          <w:p w14:paraId="504F126E" w14:textId="77777777" w:rsidR="00D32CC7" w:rsidRPr="00D32CC7" w:rsidRDefault="00D32CC7" w:rsidP="00012234">
            <w:pPr>
              <w:spacing w:before="100" w:beforeAutospacing="1" w:after="100" w:afterAutospacing="1"/>
              <w:rPr>
                <w:rFonts w:asciiTheme="majorHAnsi" w:eastAsia="Times New Roman" w:hAnsiTheme="majorHAnsi" w:cs="Arial"/>
                <w:sz w:val="22"/>
                <w:szCs w:val="22"/>
              </w:rPr>
            </w:pPr>
            <w:r w:rsidRPr="00D32CC7">
              <w:rPr>
                <w:rFonts w:asciiTheme="majorHAnsi" w:eastAsia="Times New Roman" w:hAnsiTheme="majorHAnsi" w:cs="Arial"/>
                <w:sz w:val="22"/>
                <w:szCs w:val="22"/>
              </w:rPr>
              <w:t>Hire a Social Specialist at MOW</w:t>
            </w:r>
          </w:p>
        </w:tc>
        <w:tc>
          <w:tcPr>
            <w:tcW w:w="2160" w:type="dxa"/>
            <w:vAlign w:val="center"/>
          </w:tcPr>
          <w:p w14:paraId="0482F53C" w14:textId="77777777" w:rsidR="00D32CC7" w:rsidRPr="00D32CC7" w:rsidRDefault="00D32CC7" w:rsidP="00012234">
            <w:pPr>
              <w:rPr>
                <w:rFonts w:asciiTheme="majorHAnsi" w:eastAsia="Times New Roman" w:hAnsiTheme="majorHAnsi" w:cs="Arial"/>
                <w:sz w:val="22"/>
                <w:szCs w:val="22"/>
              </w:rPr>
            </w:pPr>
            <w:r w:rsidRPr="00D32CC7">
              <w:rPr>
                <w:rFonts w:asciiTheme="majorHAnsi" w:eastAsia="Times New Roman" w:hAnsiTheme="majorHAnsi" w:cs="Arial"/>
                <w:sz w:val="22"/>
                <w:szCs w:val="22"/>
              </w:rPr>
              <w:t>Managing the social impacts of project</w:t>
            </w:r>
          </w:p>
        </w:tc>
        <w:tc>
          <w:tcPr>
            <w:tcW w:w="2085" w:type="dxa"/>
            <w:vAlign w:val="center"/>
          </w:tcPr>
          <w:p w14:paraId="2F06A829" w14:textId="77777777" w:rsidR="00D32CC7" w:rsidRPr="00D32CC7" w:rsidRDefault="00D32CC7" w:rsidP="00012234">
            <w:pPr>
              <w:rPr>
                <w:rFonts w:asciiTheme="majorHAnsi" w:eastAsia="Times New Roman" w:hAnsiTheme="majorHAnsi" w:cs="Arial"/>
                <w:sz w:val="22"/>
                <w:szCs w:val="22"/>
              </w:rPr>
            </w:pPr>
            <w:r w:rsidRPr="00D32CC7">
              <w:rPr>
                <w:rFonts w:asciiTheme="majorHAnsi" w:eastAsia="Times New Roman" w:hAnsiTheme="majorHAnsi" w:cs="Arial"/>
                <w:sz w:val="22"/>
                <w:szCs w:val="22"/>
              </w:rPr>
              <w:t>CV</w:t>
            </w:r>
          </w:p>
        </w:tc>
        <w:tc>
          <w:tcPr>
            <w:tcW w:w="1533" w:type="dxa"/>
            <w:vAlign w:val="center"/>
          </w:tcPr>
          <w:p w14:paraId="2D6DEA90" w14:textId="77777777" w:rsidR="00D32CC7" w:rsidRPr="00D32CC7" w:rsidRDefault="00D32CC7" w:rsidP="00012234">
            <w:pPr>
              <w:rPr>
                <w:rFonts w:asciiTheme="majorHAnsi" w:eastAsia="Times New Roman" w:hAnsiTheme="majorHAnsi" w:cs="Arial"/>
                <w:sz w:val="22"/>
                <w:szCs w:val="22"/>
              </w:rPr>
            </w:pPr>
            <w:r w:rsidRPr="00D32CC7">
              <w:rPr>
                <w:rFonts w:asciiTheme="majorHAnsi" w:eastAsia="Times New Roman" w:hAnsiTheme="majorHAnsi" w:cs="Arial"/>
                <w:sz w:val="22"/>
                <w:szCs w:val="22"/>
              </w:rPr>
              <w:t>PEU</w:t>
            </w:r>
          </w:p>
        </w:tc>
        <w:tc>
          <w:tcPr>
            <w:tcW w:w="1427" w:type="dxa"/>
            <w:vAlign w:val="center"/>
          </w:tcPr>
          <w:p w14:paraId="6CCC5C98" w14:textId="77777777" w:rsidR="00D32CC7" w:rsidRPr="00D32CC7" w:rsidRDefault="00D32CC7" w:rsidP="00012234">
            <w:pPr>
              <w:rPr>
                <w:rFonts w:asciiTheme="majorHAnsi" w:eastAsia="Times New Roman" w:hAnsiTheme="majorHAnsi" w:cs="Arial"/>
                <w:sz w:val="22"/>
                <w:szCs w:val="22"/>
              </w:rPr>
            </w:pPr>
            <w:r w:rsidRPr="00D32CC7">
              <w:rPr>
                <w:rFonts w:asciiTheme="majorHAnsi" w:eastAsia="Times New Roman" w:hAnsiTheme="majorHAnsi" w:cs="Arial"/>
                <w:sz w:val="22"/>
                <w:szCs w:val="22"/>
              </w:rPr>
              <w:t>Oct 31, 2018</w:t>
            </w:r>
          </w:p>
        </w:tc>
      </w:tr>
      <w:bookmarkEnd w:id="3"/>
      <w:bookmarkEnd w:id="4"/>
    </w:tbl>
    <w:p w14:paraId="08FA8175" w14:textId="77777777" w:rsidR="001731DF" w:rsidRDefault="001731DF" w:rsidP="001731DF">
      <w:pPr>
        <w:tabs>
          <w:tab w:val="left" w:pos="2700"/>
        </w:tabs>
        <w:rPr>
          <w:rFonts w:ascii="Arial" w:hAnsi="Arial" w:cs="Arial"/>
          <w:sz w:val="2"/>
          <w:szCs w:val="2"/>
        </w:rPr>
      </w:pPr>
    </w:p>
    <w:sectPr w:rsidR="001731DF" w:rsidSect="005263D4">
      <w:pgSz w:w="15840" w:h="12240" w:orient="landscape"/>
      <w:pgMar w:top="1166"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36B04" w14:textId="77777777" w:rsidR="00DA1F89" w:rsidRDefault="00DA1F89" w:rsidP="00953C33">
      <w:r>
        <w:separator/>
      </w:r>
    </w:p>
  </w:endnote>
  <w:endnote w:type="continuationSeparator" w:id="0">
    <w:p w14:paraId="5CFD4B23" w14:textId="77777777" w:rsidR="00DA1F89" w:rsidRDefault="00DA1F89" w:rsidP="0095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0DFE" w14:textId="77777777" w:rsidR="00450C13" w:rsidRDefault="00450C13" w:rsidP="00837A8F">
    <w:pPr>
      <w:pStyle w:val="Footer"/>
      <w:pBdr>
        <w:bottom w:val="single" w:sz="6" w:space="1" w:color="auto"/>
      </w:pBdr>
      <w:ind w:right="-630"/>
    </w:pPr>
  </w:p>
  <w:p w14:paraId="04E96D18" w14:textId="77777777" w:rsidR="00450C13" w:rsidRPr="00B01F04" w:rsidRDefault="00450C13" w:rsidP="00B757F7">
    <w:pPr>
      <w:pStyle w:val="Footer"/>
      <w:jc w:val="center"/>
      <w:rPr>
        <w:sz w:val="18"/>
        <w:szCs w:val="18"/>
      </w:rPr>
    </w:pPr>
    <w:r>
      <w:rPr>
        <w:sz w:val="18"/>
        <w:szCs w:val="18"/>
      </w:rPr>
      <w:t xml:space="preserve">IDB </w:t>
    </w:r>
    <w:r w:rsidRPr="00B01F04">
      <w:rPr>
        <w:sz w:val="18"/>
        <w:szCs w:val="18"/>
      </w:rPr>
      <w:t>Environmental and</w:t>
    </w:r>
    <w:r>
      <w:rPr>
        <w:sz w:val="18"/>
        <w:szCs w:val="18"/>
      </w:rPr>
      <w:t xml:space="preserve"> Social Management Report (ESMR)</w:t>
    </w:r>
    <w:r>
      <w:rPr>
        <w:sz w:val="18"/>
        <w:szCs w:val="18"/>
      </w:rPr>
      <w:tab/>
    </w:r>
    <w:r w:rsidRPr="00D64FD1">
      <w:rPr>
        <w:sz w:val="18"/>
        <w:szCs w:val="18"/>
      </w:rPr>
      <w:fldChar w:fldCharType="begin"/>
    </w:r>
    <w:r w:rsidRPr="00D64FD1">
      <w:rPr>
        <w:sz w:val="18"/>
        <w:szCs w:val="18"/>
      </w:rPr>
      <w:instrText xml:space="preserve"> PAGE   \* MERGEFORMAT </w:instrText>
    </w:r>
    <w:r w:rsidRPr="00D64FD1">
      <w:rPr>
        <w:sz w:val="18"/>
        <w:szCs w:val="18"/>
      </w:rPr>
      <w:fldChar w:fldCharType="separate"/>
    </w:r>
    <w:r>
      <w:rPr>
        <w:noProof/>
        <w:sz w:val="18"/>
        <w:szCs w:val="18"/>
      </w:rPr>
      <w:t>21</w:t>
    </w:r>
    <w:r w:rsidRPr="00D64FD1">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81858" w14:textId="77777777" w:rsidR="00DA1F89" w:rsidRDefault="00DA1F89" w:rsidP="00953C33">
      <w:r>
        <w:separator/>
      </w:r>
    </w:p>
  </w:footnote>
  <w:footnote w:type="continuationSeparator" w:id="0">
    <w:p w14:paraId="51797DA5" w14:textId="77777777" w:rsidR="00DA1F89" w:rsidRDefault="00DA1F89" w:rsidP="00953C33">
      <w:r>
        <w:continuationSeparator/>
      </w:r>
    </w:p>
  </w:footnote>
  <w:footnote w:id="1">
    <w:p w14:paraId="7C974D48" w14:textId="77777777" w:rsidR="00450C13" w:rsidRPr="00AF5C47" w:rsidRDefault="00450C13">
      <w:pPr>
        <w:pStyle w:val="FootnoteText"/>
        <w:rPr>
          <w:sz w:val="18"/>
          <w:szCs w:val="18"/>
        </w:rPr>
      </w:pPr>
      <w:r w:rsidRPr="00AF5C47">
        <w:rPr>
          <w:rStyle w:val="FootnoteReference"/>
          <w:sz w:val="18"/>
          <w:szCs w:val="18"/>
        </w:rPr>
        <w:footnoteRef/>
      </w:r>
      <w:r w:rsidRPr="00AF5C47">
        <w:rPr>
          <w:sz w:val="18"/>
          <w:szCs w:val="18"/>
        </w:rPr>
        <w:t xml:space="preserve"> </w:t>
      </w:r>
      <w:r>
        <w:rPr>
          <w:sz w:val="18"/>
          <w:szCs w:val="18"/>
        </w:rPr>
        <w:t>Please note that ESG is working on preparing a compliance checklist.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909E5" w14:textId="0B94A061" w:rsidR="00450C13" w:rsidRDefault="0087228B" w:rsidP="0087228B">
    <w:pPr>
      <w:pStyle w:val="Header"/>
      <w:pBdr>
        <w:bottom w:val="single" w:sz="6" w:space="2" w:color="auto"/>
      </w:pBdr>
      <w:tabs>
        <w:tab w:val="clear" w:pos="4320"/>
        <w:tab w:val="clear" w:pos="8640"/>
        <w:tab w:val="left" w:pos="4019"/>
      </w:tabs>
      <w:ind w:right="-90"/>
    </w:pPr>
    <w:r>
      <w:t>ESMR BL-L1029</w:t>
    </w:r>
    <w:r w:rsidR="00450C1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1FEAD2F6"/>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0"/>
        </w:tabs>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4395"/>
        </w:tabs>
        <w:ind w:left="4395" w:firstLine="0"/>
      </w:pPr>
      <w:rPr>
        <w:lang w:val="en-GB"/>
      </w:rPr>
    </w:lvl>
    <w:lvl w:ilvl="4">
      <w:start w:val="1"/>
      <w:numFmt w:val="decimal"/>
      <w:pStyle w:val="Heading5"/>
      <w:lvlText w:val="%1.%2.%3.%4.%5"/>
      <w:lvlJc w:val="left"/>
      <w:pPr>
        <w:tabs>
          <w:tab w:val="num" w:pos="0"/>
        </w:tabs>
        <w:ind w:left="0" w:firstLine="0"/>
      </w:pPr>
      <w:rPr>
        <w:i w:val="0"/>
        <w:u w:val="none"/>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942703"/>
    <w:multiLevelType w:val="hybridMultilevel"/>
    <w:tmpl w:val="F8461816"/>
    <w:lvl w:ilvl="0" w:tplc="A7DE97EE">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A720FF"/>
    <w:multiLevelType w:val="hybridMultilevel"/>
    <w:tmpl w:val="E1089D94"/>
    <w:lvl w:ilvl="0" w:tplc="C91E24B0">
      <w:start w:val="1"/>
      <w:numFmt w:val="lowerLetter"/>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A1669"/>
    <w:multiLevelType w:val="hybridMultilevel"/>
    <w:tmpl w:val="E1D2CF10"/>
    <w:lvl w:ilvl="0" w:tplc="04090001">
      <w:start w:val="1"/>
      <w:numFmt w:val="bullet"/>
      <w:lvlText w:val=""/>
      <w:lvlJc w:val="left"/>
      <w:pPr>
        <w:ind w:left="720" w:hanging="360"/>
      </w:pPr>
      <w:rPr>
        <w:rFonts w:ascii="Symbol" w:hAnsi="Symbol" w:hint="default"/>
      </w:rPr>
    </w:lvl>
    <w:lvl w:ilvl="1" w:tplc="E160ADBA">
      <w:start w:val="1"/>
      <w:numFmt w:val="lowerRoman"/>
      <w:lvlText w:val="(%2)"/>
      <w:lvlJc w:val="left"/>
      <w:pPr>
        <w:ind w:left="1440" w:hanging="360"/>
      </w:pPr>
      <w:rPr>
        <w:rFonts w:ascii="Arial" w:hAnsi="Arial" w:cs="Arial" w:hint="default"/>
        <w:sz w:val="20"/>
      </w:rPr>
    </w:lvl>
    <w:lvl w:ilvl="2" w:tplc="2F7C09AA">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A2B35"/>
    <w:multiLevelType w:val="multilevel"/>
    <w:tmpl w:val="A7FA9766"/>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rFonts w:ascii="Arial" w:hAnsi="Arial" w:cs="Arial" w:hint="default"/>
        <w:sz w:val="22"/>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5" w15:restartNumberingAfterBreak="0">
    <w:nsid w:val="0DCE5566"/>
    <w:multiLevelType w:val="hybridMultilevel"/>
    <w:tmpl w:val="C5C6B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83203"/>
    <w:multiLevelType w:val="hybridMultilevel"/>
    <w:tmpl w:val="B9AC71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0664D"/>
    <w:multiLevelType w:val="hybridMultilevel"/>
    <w:tmpl w:val="C72A0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ED7F79"/>
    <w:multiLevelType w:val="hybridMultilevel"/>
    <w:tmpl w:val="ECBEF7E2"/>
    <w:lvl w:ilvl="0" w:tplc="A7DE97EE">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6229A5"/>
    <w:multiLevelType w:val="hybridMultilevel"/>
    <w:tmpl w:val="9E188D9A"/>
    <w:lvl w:ilvl="0" w:tplc="04090001">
      <w:start w:val="1"/>
      <w:numFmt w:val="bullet"/>
      <w:lvlText w:val=""/>
      <w:lvlJc w:val="left"/>
      <w:pPr>
        <w:ind w:left="720" w:hanging="360"/>
      </w:pPr>
      <w:rPr>
        <w:rFonts w:ascii="Symbol" w:hAnsi="Symbol" w:hint="default"/>
      </w:rPr>
    </w:lvl>
    <w:lvl w:ilvl="1" w:tplc="17768700">
      <w:start w:val="1"/>
      <w:numFmt w:val="lowerRoman"/>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7637D2"/>
    <w:multiLevelType w:val="hybridMultilevel"/>
    <w:tmpl w:val="5EB01C0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2044C5"/>
    <w:multiLevelType w:val="hybridMultilevel"/>
    <w:tmpl w:val="DEAE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3A2963"/>
    <w:multiLevelType w:val="hybridMultilevel"/>
    <w:tmpl w:val="6B2E4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A2B18"/>
    <w:multiLevelType w:val="hybridMultilevel"/>
    <w:tmpl w:val="C8421D9C"/>
    <w:lvl w:ilvl="0" w:tplc="6FCA2D8A">
      <w:start w:val="1"/>
      <w:numFmt w:val="bullet"/>
      <w:lvlText w:val="•"/>
      <w:lvlJc w:val="left"/>
      <w:pPr>
        <w:tabs>
          <w:tab w:val="num" w:pos="720"/>
        </w:tabs>
        <w:ind w:left="720" w:hanging="360"/>
      </w:pPr>
      <w:rPr>
        <w:rFonts w:ascii="Arial" w:hAnsi="Arial" w:hint="default"/>
      </w:rPr>
    </w:lvl>
    <w:lvl w:ilvl="1" w:tplc="602E18DC">
      <w:start w:val="28"/>
      <w:numFmt w:val="bullet"/>
      <w:lvlText w:val="–"/>
      <w:lvlJc w:val="left"/>
      <w:pPr>
        <w:tabs>
          <w:tab w:val="num" w:pos="1440"/>
        </w:tabs>
        <w:ind w:left="1440" w:hanging="360"/>
      </w:pPr>
      <w:rPr>
        <w:rFonts w:ascii="Arial" w:hAnsi="Arial" w:hint="default"/>
      </w:rPr>
    </w:lvl>
    <w:lvl w:ilvl="2" w:tplc="2DBE20CA" w:tentative="1">
      <w:start w:val="1"/>
      <w:numFmt w:val="bullet"/>
      <w:lvlText w:val="•"/>
      <w:lvlJc w:val="left"/>
      <w:pPr>
        <w:tabs>
          <w:tab w:val="num" w:pos="2160"/>
        </w:tabs>
        <w:ind w:left="2160" w:hanging="360"/>
      </w:pPr>
      <w:rPr>
        <w:rFonts w:ascii="Arial" w:hAnsi="Arial" w:hint="default"/>
      </w:rPr>
    </w:lvl>
    <w:lvl w:ilvl="3" w:tplc="455EA664" w:tentative="1">
      <w:start w:val="1"/>
      <w:numFmt w:val="bullet"/>
      <w:lvlText w:val="•"/>
      <w:lvlJc w:val="left"/>
      <w:pPr>
        <w:tabs>
          <w:tab w:val="num" w:pos="2880"/>
        </w:tabs>
        <w:ind w:left="2880" w:hanging="360"/>
      </w:pPr>
      <w:rPr>
        <w:rFonts w:ascii="Arial" w:hAnsi="Arial" w:hint="default"/>
      </w:rPr>
    </w:lvl>
    <w:lvl w:ilvl="4" w:tplc="BC62A476" w:tentative="1">
      <w:start w:val="1"/>
      <w:numFmt w:val="bullet"/>
      <w:lvlText w:val="•"/>
      <w:lvlJc w:val="left"/>
      <w:pPr>
        <w:tabs>
          <w:tab w:val="num" w:pos="3600"/>
        </w:tabs>
        <w:ind w:left="3600" w:hanging="360"/>
      </w:pPr>
      <w:rPr>
        <w:rFonts w:ascii="Arial" w:hAnsi="Arial" w:hint="default"/>
      </w:rPr>
    </w:lvl>
    <w:lvl w:ilvl="5" w:tplc="E1ECDF42" w:tentative="1">
      <w:start w:val="1"/>
      <w:numFmt w:val="bullet"/>
      <w:lvlText w:val="•"/>
      <w:lvlJc w:val="left"/>
      <w:pPr>
        <w:tabs>
          <w:tab w:val="num" w:pos="4320"/>
        </w:tabs>
        <w:ind w:left="4320" w:hanging="360"/>
      </w:pPr>
      <w:rPr>
        <w:rFonts w:ascii="Arial" w:hAnsi="Arial" w:hint="default"/>
      </w:rPr>
    </w:lvl>
    <w:lvl w:ilvl="6" w:tplc="A4502168" w:tentative="1">
      <w:start w:val="1"/>
      <w:numFmt w:val="bullet"/>
      <w:lvlText w:val="•"/>
      <w:lvlJc w:val="left"/>
      <w:pPr>
        <w:tabs>
          <w:tab w:val="num" w:pos="5040"/>
        </w:tabs>
        <w:ind w:left="5040" w:hanging="360"/>
      </w:pPr>
      <w:rPr>
        <w:rFonts w:ascii="Arial" w:hAnsi="Arial" w:hint="default"/>
      </w:rPr>
    </w:lvl>
    <w:lvl w:ilvl="7" w:tplc="F73AF66E" w:tentative="1">
      <w:start w:val="1"/>
      <w:numFmt w:val="bullet"/>
      <w:lvlText w:val="•"/>
      <w:lvlJc w:val="left"/>
      <w:pPr>
        <w:tabs>
          <w:tab w:val="num" w:pos="5760"/>
        </w:tabs>
        <w:ind w:left="5760" w:hanging="360"/>
      </w:pPr>
      <w:rPr>
        <w:rFonts w:ascii="Arial" w:hAnsi="Arial" w:hint="default"/>
      </w:rPr>
    </w:lvl>
    <w:lvl w:ilvl="8" w:tplc="6F0C97F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EFB4AD8"/>
    <w:multiLevelType w:val="hybridMultilevel"/>
    <w:tmpl w:val="26AE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255F5A"/>
    <w:multiLevelType w:val="hybridMultilevel"/>
    <w:tmpl w:val="957C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926F4A"/>
    <w:multiLevelType w:val="hybridMultilevel"/>
    <w:tmpl w:val="7AE2A38C"/>
    <w:lvl w:ilvl="0" w:tplc="E160ADBA">
      <w:start w:val="1"/>
      <w:numFmt w:val="lowerRoman"/>
      <w:lvlText w:val="(%1)"/>
      <w:lvlJc w:val="left"/>
      <w:pPr>
        <w:ind w:left="1080" w:hanging="360"/>
      </w:pPr>
      <w:rPr>
        <w:rFonts w:ascii="Arial" w:hAnsi="Arial" w:cs="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910A35"/>
    <w:multiLevelType w:val="hybridMultilevel"/>
    <w:tmpl w:val="21807D18"/>
    <w:lvl w:ilvl="0" w:tplc="4914D8F4">
      <w:start w:val="1"/>
      <w:numFmt w:val="lowerRoman"/>
      <w:lvlText w:val="%1."/>
      <w:lvlJc w:val="left"/>
      <w:pPr>
        <w:ind w:left="1062" w:hanging="360"/>
      </w:pPr>
      <w:rPr>
        <w:rFonts w:hint="default"/>
      </w:rPr>
    </w:lvl>
    <w:lvl w:ilvl="1" w:tplc="0409000F">
      <w:start w:val="1"/>
      <w:numFmt w:val="decimal"/>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8" w15:restartNumberingAfterBreak="0">
    <w:nsid w:val="2AB8169D"/>
    <w:multiLevelType w:val="hybridMultilevel"/>
    <w:tmpl w:val="585AEE2C"/>
    <w:lvl w:ilvl="0" w:tplc="BEC8B40A">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2818C3"/>
    <w:multiLevelType w:val="hybridMultilevel"/>
    <w:tmpl w:val="49721C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2E0B253F"/>
    <w:multiLevelType w:val="hybridMultilevel"/>
    <w:tmpl w:val="4C409C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B20D0F"/>
    <w:multiLevelType w:val="hybridMultilevel"/>
    <w:tmpl w:val="45927588"/>
    <w:lvl w:ilvl="0" w:tplc="1FDEC752">
      <w:start w:val="1"/>
      <w:numFmt w:val="lowerRoman"/>
      <w:lvlText w:val="(%1)"/>
      <w:lvlJc w:val="left"/>
      <w:pPr>
        <w:ind w:left="780" w:hanging="720"/>
      </w:pPr>
      <w:rPr>
        <w:rFonts w:eastAsia="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33783207"/>
    <w:multiLevelType w:val="hybridMultilevel"/>
    <w:tmpl w:val="03447F9E"/>
    <w:lvl w:ilvl="0" w:tplc="06623440">
      <w:start w:val="1"/>
      <w:numFmt w:val="decimal"/>
      <w:lvlText w:val="%1."/>
      <w:lvlJc w:val="left"/>
      <w:pPr>
        <w:ind w:left="720" w:hanging="360"/>
      </w:pPr>
      <w:rPr>
        <w:rFonts w:hint="default"/>
        <w:b/>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BD0DA5"/>
    <w:multiLevelType w:val="hybridMultilevel"/>
    <w:tmpl w:val="60B4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57265F"/>
    <w:multiLevelType w:val="hybridMultilevel"/>
    <w:tmpl w:val="1C7417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EB59F1"/>
    <w:multiLevelType w:val="hybridMultilevel"/>
    <w:tmpl w:val="D49848B2"/>
    <w:lvl w:ilvl="0" w:tplc="4914D8F4">
      <w:start w:val="1"/>
      <w:numFmt w:val="lowerRoman"/>
      <w:lvlText w:val="%1."/>
      <w:lvlJc w:val="left"/>
      <w:pPr>
        <w:ind w:left="360" w:hanging="360"/>
      </w:pPr>
      <w:rPr>
        <w:rFonts w:hint="default"/>
      </w:rPr>
    </w:lvl>
    <w:lvl w:ilvl="1" w:tplc="0409001B">
      <w:start w:val="1"/>
      <w:numFmt w:val="lowerRoman"/>
      <w:lvlText w:val="%2."/>
      <w:lvlJc w:val="right"/>
      <w:pPr>
        <w:ind w:left="1080" w:hanging="360"/>
      </w:pPr>
    </w:lvl>
    <w:lvl w:ilvl="2" w:tplc="2F7C09AA">
      <w:start w:val="1"/>
      <w:numFmt w:val="lowerLetter"/>
      <w:lvlText w:val="%3)"/>
      <w:lvlJc w:val="lef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99B41B4"/>
    <w:multiLevelType w:val="hybridMultilevel"/>
    <w:tmpl w:val="9438B5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866BAE"/>
    <w:multiLevelType w:val="hybridMultilevel"/>
    <w:tmpl w:val="A0DED470"/>
    <w:lvl w:ilvl="0" w:tplc="33081B96">
      <w:start w:val="1"/>
      <w:numFmt w:val="low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B613C5"/>
    <w:multiLevelType w:val="hybridMultilevel"/>
    <w:tmpl w:val="29482800"/>
    <w:lvl w:ilvl="0" w:tplc="A7DE97EE">
      <w:start w:val="1"/>
      <w:numFmt w:val="lowerLetter"/>
      <w:lvlText w:val="%1)"/>
      <w:lvlJc w:val="left"/>
      <w:pPr>
        <w:ind w:left="720" w:hanging="360"/>
      </w:pPr>
      <w:rPr>
        <w:rFonts w:eastAsiaTheme="minorEastAs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2D574D"/>
    <w:multiLevelType w:val="hybridMultilevel"/>
    <w:tmpl w:val="1C9E58C0"/>
    <w:lvl w:ilvl="0" w:tplc="33885F9A">
      <w:start w:val="1"/>
      <w:numFmt w:val="lowerRoman"/>
      <w:lvlText w:val="%1)"/>
      <w:lvlJc w:val="left"/>
      <w:pPr>
        <w:ind w:left="2160" w:hanging="72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14773EA"/>
    <w:multiLevelType w:val="hybridMultilevel"/>
    <w:tmpl w:val="6F66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AA7F30"/>
    <w:multiLevelType w:val="hybridMultilevel"/>
    <w:tmpl w:val="994EEA38"/>
    <w:lvl w:ilvl="0" w:tplc="1C2C1A5E">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70B41C7"/>
    <w:multiLevelType w:val="hybridMultilevel"/>
    <w:tmpl w:val="65DC2988"/>
    <w:lvl w:ilvl="0" w:tplc="04090001">
      <w:start w:val="1"/>
      <w:numFmt w:val="bullet"/>
      <w:lvlText w:val=""/>
      <w:lvlJc w:val="left"/>
      <w:pPr>
        <w:ind w:left="720" w:hanging="360"/>
      </w:pPr>
      <w:rPr>
        <w:rFonts w:ascii="Symbol" w:hAnsi="Symbol" w:hint="default"/>
      </w:rPr>
    </w:lvl>
    <w:lvl w:ilvl="1" w:tplc="17768700">
      <w:start w:val="1"/>
      <w:numFmt w:val="lowerRoman"/>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E3342E"/>
    <w:multiLevelType w:val="hybridMultilevel"/>
    <w:tmpl w:val="09D6CD0A"/>
    <w:lvl w:ilvl="0" w:tplc="17768700">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1407A6"/>
    <w:multiLevelType w:val="hybridMultilevel"/>
    <w:tmpl w:val="4D6EFA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B2F028B"/>
    <w:multiLevelType w:val="hybridMultilevel"/>
    <w:tmpl w:val="94D4053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E803973"/>
    <w:multiLevelType w:val="hybridMultilevel"/>
    <w:tmpl w:val="4CCA6976"/>
    <w:lvl w:ilvl="0" w:tplc="4914D8F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E31944"/>
    <w:multiLevelType w:val="hybridMultilevel"/>
    <w:tmpl w:val="F01AB572"/>
    <w:lvl w:ilvl="0" w:tplc="04090015">
      <w:start w:val="1"/>
      <w:numFmt w:val="upperLetter"/>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15:restartNumberingAfterBreak="0">
    <w:nsid w:val="55916AA2"/>
    <w:multiLevelType w:val="multilevel"/>
    <w:tmpl w:val="DDD492C8"/>
    <w:lvl w:ilvl="0">
      <w:start w:val="3"/>
      <w:numFmt w:val="upperRoman"/>
      <w:lvlText w:val="%1."/>
      <w:lvlJc w:val="center"/>
      <w:pPr>
        <w:tabs>
          <w:tab w:val="num" w:pos="0"/>
        </w:tabs>
        <w:ind w:left="720" w:hanging="720"/>
      </w:pPr>
      <w:rPr>
        <w:rFonts w:ascii="Times New Roman" w:hAnsi="Times New Roman" w:cs="Times New Roman" w:hint="default"/>
        <w:b/>
        <w:sz w:val="24"/>
      </w:rPr>
    </w:lvl>
    <w:lvl w:ilvl="1">
      <w:start w:val="1"/>
      <w:numFmt w:val="upperLetter"/>
      <w:lvlText w:val="%2."/>
      <w:lvlJc w:val="left"/>
      <w:pPr>
        <w:tabs>
          <w:tab w:val="num" w:pos="0"/>
        </w:tabs>
        <w:ind w:left="720" w:hanging="720"/>
      </w:pPr>
      <w:rPr>
        <w:rFonts w:ascii="Arial" w:hAnsi="Arial" w:cs="Arial" w:hint="default"/>
        <w:b/>
        <w:i w:val="0"/>
        <w:sz w:val="24"/>
      </w:rPr>
    </w:lvl>
    <w:lvl w:ilvl="2">
      <w:start w:val="1"/>
      <w:numFmt w:val="decimal"/>
      <w:lvlRestart w:val="0"/>
      <w:isLgl/>
      <w:lvlText w:val="%1.%3"/>
      <w:lvlJc w:val="left"/>
      <w:pPr>
        <w:tabs>
          <w:tab w:val="num" w:pos="720"/>
        </w:tabs>
        <w:ind w:left="720" w:hanging="720"/>
      </w:pPr>
      <w:rPr>
        <w:rFonts w:ascii="Arial" w:hAnsi="Arial" w:cs="Arial" w:hint="default"/>
        <w:b w:val="0"/>
        <w:i w:val="0"/>
        <w:sz w:val="22"/>
        <w:szCs w:val="22"/>
      </w:rPr>
    </w:lvl>
    <w:lvl w:ilvl="3">
      <w:start w:val="1"/>
      <w:numFmt w:val="lowerRoman"/>
      <w:lvlText w:val="%4."/>
      <w:lvlJc w:val="left"/>
      <w:pPr>
        <w:tabs>
          <w:tab w:val="num" w:pos="1080"/>
        </w:tabs>
        <w:ind w:left="1080" w:hanging="360"/>
      </w:pPr>
      <w:rPr>
        <w:rFonts w:cs="Times New Roman" w:hint="default"/>
      </w:rPr>
    </w:lvl>
    <w:lvl w:ilvl="4">
      <w:start w:val="1"/>
      <w:numFmt w:val="none"/>
      <w:lvlText w:val=""/>
      <w:lvlJc w:val="left"/>
      <w:pPr>
        <w:tabs>
          <w:tab w:val="num" w:pos="0"/>
        </w:tabs>
        <w:ind w:left="720" w:hanging="720"/>
      </w:pPr>
      <w:rPr>
        <w:rFonts w:cs="Times New Roman" w:hint="default"/>
      </w:rPr>
    </w:lvl>
    <w:lvl w:ilvl="5">
      <w:start w:val="1"/>
      <w:numFmt w:val="none"/>
      <w:lvlText w:val=""/>
      <w:lvlJc w:val="left"/>
      <w:pPr>
        <w:tabs>
          <w:tab w:val="num" w:pos="0"/>
        </w:tabs>
        <w:ind w:left="720" w:hanging="720"/>
      </w:pPr>
      <w:rPr>
        <w:rFonts w:cs="Times New Roman" w:hint="default"/>
      </w:rPr>
    </w:lvl>
    <w:lvl w:ilvl="6">
      <w:start w:val="1"/>
      <w:numFmt w:val="none"/>
      <w:lvlText w:val=""/>
      <w:lvlJc w:val="left"/>
      <w:pPr>
        <w:tabs>
          <w:tab w:val="num" w:pos="0"/>
        </w:tabs>
        <w:ind w:left="720" w:hanging="720"/>
      </w:pPr>
      <w:rPr>
        <w:rFonts w:cs="Times New Roman" w:hint="default"/>
      </w:rPr>
    </w:lvl>
    <w:lvl w:ilvl="7">
      <w:start w:val="1"/>
      <w:numFmt w:val="none"/>
      <w:lvlText w:val=""/>
      <w:lvlJc w:val="left"/>
      <w:pPr>
        <w:tabs>
          <w:tab w:val="num" w:pos="0"/>
        </w:tabs>
        <w:ind w:left="720" w:hanging="720"/>
      </w:pPr>
      <w:rPr>
        <w:rFonts w:cs="Times New Roman" w:hint="default"/>
      </w:rPr>
    </w:lvl>
    <w:lvl w:ilvl="8">
      <w:start w:val="1"/>
      <w:numFmt w:val="none"/>
      <w:lvlText w:val=""/>
      <w:lvlJc w:val="left"/>
      <w:pPr>
        <w:tabs>
          <w:tab w:val="num" w:pos="0"/>
        </w:tabs>
        <w:ind w:left="720" w:hanging="720"/>
      </w:pPr>
      <w:rPr>
        <w:rFonts w:cs="Times New Roman" w:hint="default"/>
      </w:rPr>
    </w:lvl>
  </w:abstractNum>
  <w:abstractNum w:abstractNumId="39" w15:restartNumberingAfterBreak="0">
    <w:nsid w:val="55AC78CB"/>
    <w:multiLevelType w:val="hybridMultilevel"/>
    <w:tmpl w:val="F8461816"/>
    <w:lvl w:ilvl="0" w:tplc="A7DE97EE">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6386403"/>
    <w:multiLevelType w:val="hybridMultilevel"/>
    <w:tmpl w:val="04220E26"/>
    <w:lvl w:ilvl="0" w:tplc="2F7C09AA">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476564"/>
    <w:multiLevelType w:val="hybridMultilevel"/>
    <w:tmpl w:val="6B8C599E"/>
    <w:lvl w:ilvl="0" w:tplc="4914D8F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0992BCD"/>
    <w:multiLevelType w:val="hybridMultilevel"/>
    <w:tmpl w:val="0C72F510"/>
    <w:lvl w:ilvl="0" w:tplc="FCB8CB2C">
      <w:start w:val="1"/>
      <w:numFmt w:val="lowerLetter"/>
      <w:lvlText w:val="%1."/>
      <w:lvlJc w:val="left"/>
      <w:pPr>
        <w:ind w:left="1062" w:hanging="360"/>
      </w:pPr>
      <w:rPr>
        <w:rFonts w:hint="default"/>
      </w:rPr>
    </w:lvl>
    <w:lvl w:ilvl="1" w:tplc="0409000F">
      <w:start w:val="1"/>
      <w:numFmt w:val="decimal"/>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3" w15:restartNumberingAfterBreak="0">
    <w:nsid w:val="6175020C"/>
    <w:multiLevelType w:val="hybridMultilevel"/>
    <w:tmpl w:val="64D245D2"/>
    <w:lvl w:ilvl="0" w:tplc="07744AD4">
      <w:start w:val="1"/>
      <w:numFmt w:val="bullet"/>
      <w:lvlText w:val="•"/>
      <w:lvlJc w:val="left"/>
      <w:pPr>
        <w:tabs>
          <w:tab w:val="num" w:pos="720"/>
        </w:tabs>
        <w:ind w:left="720" w:hanging="360"/>
      </w:pPr>
      <w:rPr>
        <w:rFonts w:ascii="Arial" w:hAnsi="Arial" w:hint="default"/>
      </w:rPr>
    </w:lvl>
    <w:lvl w:ilvl="1" w:tplc="2182EE14">
      <w:start w:val="42"/>
      <w:numFmt w:val="bullet"/>
      <w:lvlText w:val="–"/>
      <w:lvlJc w:val="left"/>
      <w:pPr>
        <w:tabs>
          <w:tab w:val="num" w:pos="1440"/>
        </w:tabs>
        <w:ind w:left="1440" w:hanging="360"/>
      </w:pPr>
      <w:rPr>
        <w:rFonts w:ascii="Arial" w:hAnsi="Arial" w:hint="default"/>
      </w:rPr>
    </w:lvl>
    <w:lvl w:ilvl="2" w:tplc="104ED0EE" w:tentative="1">
      <w:start w:val="1"/>
      <w:numFmt w:val="bullet"/>
      <w:lvlText w:val="•"/>
      <w:lvlJc w:val="left"/>
      <w:pPr>
        <w:tabs>
          <w:tab w:val="num" w:pos="2160"/>
        </w:tabs>
        <w:ind w:left="2160" w:hanging="360"/>
      </w:pPr>
      <w:rPr>
        <w:rFonts w:ascii="Arial" w:hAnsi="Arial" w:hint="default"/>
      </w:rPr>
    </w:lvl>
    <w:lvl w:ilvl="3" w:tplc="DC8C7014" w:tentative="1">
      <w:start w:val="1"/>
      <w:numFmt w:val="bullet"/>
      <w:lvlText w:val="•"/>
      <w:lvlJc w:val="left"/>
      <w:pPr>
        <w:tabs>
          <w:tab w:val="num" w:pos="2880"/>
        </w:tabs>
        <w:ind w:left="2880" w:hanging="360"/>
      </w:pPr>
      <w:rPr>
        <w:rFonts w:ascii="Arial" w:hAnsi="Arial" w:hint="default"/>
      </w:rPr>
    </w:lvl>
    <w:lvl w:ilvl="4" w:tplc="5198A8CA" w:tentative="1">
      <w:start w:val="1"/>
      <w:numFmt w:val="bullet"/>
      <w:lvlText w:val="•"/>
      <w:lvlJc w:val="left"/>
      <w:pPr>
        <w:tabs>
          <w:tab w:val="num" w:pos="3600"/>
        </w:tabs>
        <w:ind w:left="3600" w:hanging="360"/>
      </w:pPr>
      <w:rPr>
        <w:rFonts w:ascii="Arial" w:hAnsi="Arial" w:hint="default"/>
      </w:rPr>
    </w:lvl>
    <w:lvl w:ilvl="5" w:tplc="CFC4388E" w:tentative="1">
      <w:start w:val="1"/>
      <w:numFmt w:val="bullet"/>
      <w:lvlText w:val="•"/>
      <w:lvlJc w:val="left"/>
      <w:pPr>
        <w:tabs>
          <w:tab w:val="num" w:pos="4320"/>
        </w:tabs>
        <w:ind w:left="4320" w:hanging="360"/>
      </w:pPr>
      <w:rPr>
        <w:rFonts w:ascii="Arial" w:hAnsi="Arial" w:hint="default"/>
      </w:rPr>
    </w:lvl>
    <w:lvl w:ilvl="6" w:tplc="333CF6F0" w:tentative="1">
      <w:start w:val="1"/>
      <w:numFmt w:val="bullet"/>
      <w:lvlText w:val="•"/>
      <w:lvlJc w:val="left"/>
      <w:pPr>
        <w:tabs>
          <w:tab w:val="num" w:pos="5040"/>
        </w:tabs>
        <w:ind w:left="5040" w:hanging="360"/>
      </w:pPr>
      <w:rPr>
        <w:rFonts w:ascii="Arial" w:hAnsi="Arial" w:hint="default"/>
      </w:rPr>
    </w:lvl>
    <w:lvl w:ilvl="7" w:tplc="0D44493A" w:tentative="1">
      <w:start w:val="1"/>
      <w:numFmt w:val="bullet"/>
      <w:lvlText w:val="•"/>
      <w:lvlJc w:val="left"/>
      <w:pPr>
        <w:tabs>
          <w:tab w:val="num" w:pos="5760"/>
        </w:tabs>
        <w:ind w:left="5760" w:hanging="360"/>
      </w:pPr>
      <w:rPr>
        <w:rFonts w:ascii="Arial" w:hAnsi="Arial" w:hint="default"/>
      </w:rPr>
    </w:lvl>
    <w:lvl w:ilvl="8" w:tplc="9626C14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4B5322C"/>
    <w:multiLevelType w:val="hybridMultilevel"/>
    <w:tmpl w:val="24342CB0"/>
    <w:lvl w:ilvl="0" w:tplc="131681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392AF0"/>
    <w:multiLevelType w:val="hybridMultilevel"/>
    <w:tmpl w:val="F196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59483E"/>
    <w:multiLevelType w:val="hybridMultilevel"/>
    <w:tmpl w:val="6B8C599E"/>
    <w:lvl w:ilvl="0" w:tplc="4914D8F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EA6246B"/>
    <w:multiLevelType w:val="hybridMultilevel"/>
    <w:tmpl w:val="183CF81E"/>
    <w:lvl w:ilvl="0" w:tplc="4914D8F4">
      <w:start w:val="1"/>
      <w:numFmt w:val="lowerRoman"/>
      <w:lvlText w:val="%1."/>
      <w:lvlJc w:val="left"/>
      <w:pPr>
        <w:ind w:left="360" w:hanging="360"/>
      </w:pPr>
      <w:rPr>
        <w:rFonts w:hint="default"/>
      </w:rPr>
    </w:lvl>
    <w:lvl w:ilvl="1" w:tplc="17768700">
      <w:start w:val="1"/>
      <w:numFmt w:val="lowerRoman"/>
      <w:lvlText w:val="(%2)"/>
      <w:lvlJc w:val="left"/>
      <w:pPr>
        <w:ind w:left="1080" w:hanging="360"/>
      </w:pPr>
      <w:rPr>
        <w:rFonts w:hint="default"/>
      </w:rPr>
    </w:lvl>
    <w:lvl w:ilvl="2" w:tplc="2F7C09AA">
      <w:start w:val="1"/>
      <w:numFmt w:val="lowerLetter"/>
      <w:lvlText w:val="%3)"/>
      <w:lvlJc w:val="left"/>
      <w:pPr>
        <w:ind w:left="1800" w:hanging="180"/>
      </w:pPr>
      <w:rPr>
        <w:rFonts w:hint="default"/>
      </w:rPr>
    </w:lvl>
    <w:lvl w:ilvl="3" w:tplc="0409000F">
      <w:start w:val="1"/>
      <w:numFmt w:val="decimal"/>
      <w:lvlText w:val="%4."/>
      <w:lvlJc w:val="left"/>
      <w:pPr>
        <w:ind w:left="2520" w:hanging="360"/>
      </w:pPr>
    </w:lvl>
    <w:lvl w:ilvl="4" w:tplc="37FABB1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1EC3FA7"/>
    <w:multiLevelType w:val="hybridMultilevel"/>
    <w:tmpl w:val="3808079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2AA3837"/>
    <w:multiLevelType w:val="hybridMultilevel"/>
    <w:tmpl w:val="2410EA3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4997474"/>
    <w:multiLevelType w:val="hybridMultilevel"/>
    <w:tmpl w:val="C2306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C3360C"/>
    <w:multiLevelType w:val="hybridMultilevel"/>
    <w:tmpl w:val="715AF22C"/>
    <w:lvl w:ilvl="0" w:tplc="12DA8B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78736C"/>
    <w:multiLevelType w:val="hybridMultilevel"/>
    <w:tmpl w:val="85E644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7F330F"/>
    <w:multiLevelType w:val="hybridMultilevel"/>
    <w:tmpl w:val="D49AB884"/>
    <w:lvl w:ilvl="0" w:tplc="4914D8F4">
      <w:start w:val="1"/>
      <w:numFmt w:val="lowerRoman"/>
      <w:lvlText w:val="%1."/>
      <w:lvlJc w:val="left"/>
      <w:pPr>
        <w:ind w:left="360" w:hanging="360"/>
      </w:pPr>
      <w:rPr>
        <w:rFonts w:hint="default"/>
      </w:rPr>
    </w:lvl>
    <w:lvl w:ilvl="1" w:tplc="0409001B">
      <w:start w:val="1"/>
      <w:numFmt w:val="lowerRoman"/>
      <w:lvlText w:val="%2."/>
      <w:lvlJc w:val="right"/>
      <w:pPr>
        <w:ind w:left="1080" w:hanging="360"/>
      </w:pPr>
    </w:lvl>
    <w:lvl w:ilvl="2" w:tplc="04090017">
      <w:start w:val="1"/>
      <w:numFmt w:val="lowerLetter"/>
      <w:lvlText w:val="%3)"/>
      <w:lvlJc w:val="left"/>
      <w:pPr>
        <w:ind w:left="1800" w:hanging="180"/>
      </w:pPr>
      <w:rPr>
        <w:rFonts w:hint="default"/>
      </w:rPr>
    </w:lvl>
    <w:lvl w:ilvl="3" w:tplc="0409000F">
      <w:start w:val="1"/>
      <w:numFmt w:val="decimal"/>
      <w:lvlText w:val="%4."/>
      <w:lvlJc w:val="left"/>
      <w:pPr>
        <w:ind w:left="2520" w:hanging="360"/>
      </w:pPr>
    </w:lvl>
    <w:lvl w:ilvl="4" w:tplc="33081B96">
      <w:start w:val="1"/>
      <w:numFmt w:val="lowerLetter"/>
      <w:lvlText w:val="(%5)"/>
      <w:lvlJc w:val="left"/>
      <w:pPr>
        <w:ind w:left="3240" w:hanging="360"/>
      </w:pPr>
      <w:rPr>
        <w:rFonts w:hint="default"/>
      </w:rPr>
    </w:lvl>
    <w:lvl w:ilvl="5" w:tplc="3E7466BC">
      <w:start w:val="1"/>
      <w:numFmt w:val="decimal"/>
      <w:lvlText w:val="(%6)"/>
      <w:lvlJc w:val="left"/>
      <w:pPr>
        <w:ind w:left="4140" w:hanging="360"/>
      </w:pPr>
      <w:rPr>
        <w:rFonts w:asciiTheme="majorHAnsi" w:eastAsia="Times New Roman" w:hAnsiTheme="majorHAnsi" w:cs="Arial" w:hint="default"/>
        <w:sz w:val="22"/>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E0B4494"/>
    <w:multiLevelType w:val="hybridMultilevel"/>
    <w:tmpl w:val="36385416"/>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19"/>
  </w:num>
  <w:num w:numId="4">
    <w:abstractNumId w:val="45"/>
  </w:num>
  <w:num w:numId="5">
    <w:abstractNumId w:val="15"/>
  </w:num>
  <w:num w:numId="6">
    <w:abstractNumId w:val="23"/>
  </w:num>
  <w:num w:numId="7">
    <w:abstractNumId w:val="12"/>
  </w:num>
  <w:num w:numId="8">
    <w:abstractNumId w:val="9"/>
  </w:num>
  <w:num w:numId="9">
    <w:abstractNumId w:val="14"/>
  </w:num>
  <w:num w:numId="10">
    <w:abstractNumId w:val="3"/>
  </w:num>
  <w:num w:numId="11">
    <w:abstractNumId w:val="31"/>
  </w:num>
  <w:num w:numId="12">
    <w:abstractNumId w:val="16"/>
  </w:num>
  <w:num w:numId="13">
    <w:abstractNumId w:val="22"/>
  </w:num>
  <w:num w:numId="14">
    <w:abstractNumId w:val="29"/>
  </w:num>
  <w:num w:numId="15">
    <w:abstractNumId w:val="32"/>
  </w:num>
  <w:num w:numId="16">
    <w:abstractNumId w:val="26"/>
  </w:num>
  <w:num w:numId="17">
    <w:abstractNumId w:val="49"/>
  </w:num>
  <w:num w:numId="18">
    <w:abstractNumId w:val="18"/>
  </w:num>
  <w:num w:numId="19">
    <w:abstractNumId w:val="51"/>
  </w:num>
  <w:num w:numId="20">
    <w:abstractNumId w:val="50"/>
  </w:num>
  <w:num w:numId="21">
    <w:abstractNumId w:val="24"/>
  </w:num>
  <w:num w:numId="22">
    <w:abstractNumId w:val="2"/>
  </w:num>
  <w:num w:numId="23">
    <w:abstractNumId w:val="54"/>
  </w:num>
  <w:num w:numId="24">
    <w:abstractNumId w:val="8"/>
  </w:num>
  <w:num w:numId="25">
    <w:abstractNumId w:val="1"/>
  </w:num>
  <w:num w:numId="26">
    <w:abstractNumId w:val="42"/>
  </w:num>
  <w:num w:numId="27">
    <w:abstractNumId w:val="17"/>
  </w:num>
  <w:num w:numId="28">
    <w:abstractNumId w:val="46"/>
  </w:num>
  <w:num w:numId="29">
    <w:abstractNumId w:val="38"/>
  </w:num>
  <w:num w:numId="30">
    <w:abstractNumId w:val="28"/>
  </w:num>
  <w:num w:numId="31">
    <w:abstractNumId w:val="40"/>
  </w:num>
  <w:num w:numId="32">
    <w:abstractNumId w:val="36"/>
  </w:num>
  <w:num w:numId="33">
    <w:abstractNumId w:val="41"/>
  </w:num>
  <w:num w:numId="34">
    <w:abstractNumId w:val="21"/>
  </w:num>
  <w:num w:numId="35">
    <w:abstractNumId w:val="39"/>
  </w:num>
  <w:num w:numId="36">
    <w:abstractNumId w:val="37"/>
  </w:num>
  <w:num w:numId="37">
    <w:abstractNumId w:val="25"/>
  </w:num>
  <w:num w:numId="38">
    <w:abstractNumId w:val="7"/>
  </w:num>
  <w:num w:numId="39">
    <w:abstractNumId w:val="5"/>
  </w:num>
  <w:num w:numId="40">
    <w:abstractNumId w:val="34"/>
  </w:num>
  <w:num w:numId="41">
    <w:abstractNumId w:val="4"/>
  </w:num>
  <w:num w:numId="42">
    <w:abstractNumId w:val="52"/>
  </w:num>
  <w:num w:numId="43">
    <w:abstractNumId w:val="10"/>
  </w:num>
  <w:num w:numId="44">
    <w:abstractNumId w:val="48"/>
  </w:num>
  <w:num w:numId="45">
    <w:abstractNumId w:val="35"/>
  </w:num>
  <w:num w:numId="46">
    <w:abstractNumId w:val="13"/>
  </w:num>
  <w:num w:numId="47">
    <w:abstractNumId w:val="43"/>
  </w:num>
  <w:num w:numId="48">
    <w:abstractNumId w:val="44"/>
  </w:num>
  <w:num w:numId="49">
    <w:abstractNumId w:val="53"/>
  </w:num>
  <w:num w:numId="50">
    <w:abstractNumId w:val="47"/>
  </w:num>
  <w:num w:numId="51">
    <w:abstractNumId w:val="27"/>
  </w:num>
  <w:num w:numId="52">
    <w:abstractNumId w:val="33"/>
  </w:num>
  <w:num w:numId="53">
    <w:abstractNumId w:val="20"/>
  </w:num>
  <w:num w:numId="54">
    <w:abstractNumId w:val="6"/>
  </w:num>
  <w:num w:numId="55">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3MjGyNLE0NDSzMLFU0lEKTi0uzszPAykwrgUAEPmZtSwAAAA="/>
  </w:docVars>
  <w:rsids>
    <w:rsidRoot w:val="00C34D0E"/>
    <w:rsid w:val="00001FB3"/>
    <w:rsid w:val="00002F6C"/>
    <w:rsid w:val="0000561B"/>
    <w:rsid w:val="00006FB5"/>
    <w:rsid w:val="00013F31"/>
    <w:rsid w:val="00015768"/>
    <w:rsid w:val="000163AA"/>
    <w:rsid w:val="00016CE0"/>
    <w:rsid w:val="00016F8B"/>
    <w:rsid w:val="00020029"/>
    <w:rsid w:val="00022EAA"/>
    <w:rsid w:val="0002506E"/>
    <w:rsid w:val="000260B4"/>
    <w:rsid w:val="000306C1"/>
    <w:rsid w:val="00035911"/>
    <w:rsid w:val="000361A6"/>
    <w:rsid w:val="00036A44"/>
    <w:rsid w:val="000406C7"/>
    <w:rsid w:val="00042A09"/>
    <w:rsid w:val="00050038"/>
    <w:rsid w:val="000503E7"/>
    <w:rsid w:val="00050D01"/>
    <w:rsid w:val="000519F3"/>
    <w:rsid w:val="00056EE2"/>
    <w:rsid w:val="00057AD6"/>
    <w:rsid w:val="00060B71"/>
    <w:rsid w:val="0006109E"/>
    <w:rsid w:val="00063EBE"/>
    <w:rsid w:val="00066214"/>
    <w:rsid w:val="00067751"/>
    <w:rsid w:val="00067EED"/>
    <w:rsid w:val="00067FFA"/>
    <w:rsid w:val="00070421"/>
    <w:rsid w:val="000709EE"/>
    <w:rsid w:val="00071C11"/>
    <w:rsid w:val="000752AF"/>
    <w:rsid w:val="000763BD"/>
    <w:rsid w:val="00076E4F"/>
    <w:rsid w:val="00077127"/>
    <w:rsid w:val="00080F09"/>
    <w:rsid w:val="000827C1"/>
    <w:rsid w:val="00083006"/>
    <w:rsid w:val="000840FB"/>
    <w:rsid w:val="00086C4A"/>
    <w:rsid w:val="000904E1"/>
    <w:rsid w:val="000907E3"/>
    <w:rsid w:val="00091A20"/>
    <w:rsid w:val="00091C16"/>
    <w:rsid w:val="00092E26"/>
    <w:rsid w:val="000A0028"/>
    <w:rsid w:val="000A20D3"/>
    <w:rsid w:val="000A2564"/>
    <w:rsid w:val="000A7368"/>
    <w:rsid w:val="000B0E83"/>
    <w:rsid w:val="000B5B2B"/>
    <w:rsid w:val="000B5F5D"/>
    <w:rsid w:val="000B6A22"/>
    <w:rsid w:val="000B6D94"/>
    <w:rsid w:val="000B7756"/>
    <w:rsid w:val="000C0A27"/>
    <w:rsid w:val="000C15CB"/>
    <w:rsid w:val="000C4B62"/>
    <w:rsid w:val="000C66D6"/>
    <w:rsid w:val="000C7315"/>
    <w:rsid w:val="000C7392"/>
    <w:rsid w:val="000D3786"/>
    <w:rsid w:val="000D3F33"/>
    <w:rsid w:val="000D6598"/>
    <w:rsid w:val="000D75C2"/>
    <w:rsid w:val="000E180C"/>
    <w:rsid w:val="000E21EA"/>
    <w:rsid w:val="000F2A9E"/>
    <w:rsid w:val="000F3843"/>
    <w:rsid w:val="000F3964"/>
    <w:rsid w:val="000F54F8"/>
    <w:rsid w:val="00100F3D"/>
    <w:rsid w:val="00107430"/>
    <w:rsid w:val="00110939"/>
    <w:rsid w:val="001109DA"/>
    <w:rsid w:val="00110ABE"/>
    <w:rsid w:val="001110C6"/>
    <w:rsid w:val="0011347D"/>
    <w:rsid w:val="001172CC"/>
    <w:rsid w:val="001204D9"/>
    <w:rsid w:val="00121C84"/>
    <w:rsid w:val="00122626"/>
    <w:rsid w:val="00122A70"/>
    <w:rsid w:val="001230EA"/>
    <w:rsid w:val="00124346"/>
    <w:rsid w:val="0012670D"/>
    <w:rsid w:val="001275D0"/>
    <w:rsid w:val="001327F2"/>
    <w:rsid w:val="00132D6F"/>
    <w:rsid w:val="00135DB8"/>
    <w:rsid w:val="001367F0"/>
    <w:rsid w:val="0013691E"/>
    <w:rsid w:val="00137815"/>
    <w:rsid w:val="0014014E"/>
    <w:rsid w:val="001409FA"/>
    <w:rsid w:val="0014366D"/>
    <w:rsid w:val="00143BF9"/>
    <w:rsid w:val="00144839"/>
    <w:rsid w:val="00147412"/>
    <w:rsid w:val="00147E5C"/>
    <w:rsid w:val="00150692"/>
    <w:rsid w:val="00152334"/>
    <w:rsid w:val="00153E03"/>
    <w:rsid w:val="0016196F"/>
    <w:rsid w:val="00161ABD"/>
    <w:rsid w:val="0016218F"/>
    <w:rsid w:val="00163990"/>
    <w:rsid w:val="00164BCD"/>
    <w:rsid w:val="00165F63"/>
    <w:rsid w:val="001661A8"/>
    <w:rsid w:val="00170727"/>
    <w:rsid w:val="001725C6"/>
    <w:rsid w:val="001731DF"/>
    <w:rsid w:val="00174010"/>
    <w:rsid w:val="00175AD2"/>
    <w:rsid w:val="00182417"/>
    <w:rsid w:val="00183162"/>
    <w:rsid w:val="00184DF3"/>
    <w:rsid w:val="00186BF5"/>
    <w:rsid w:val="00187477"/>
    <w:rsid w:val="001914B5"/>
    <w:rsid w:val="00193945"/>
    <w:rsid w:val="00196EF4"/>
    <w:rsid w:val="001A2C1E"/>
    <w:rsid w:val="001A33FA"/>
    <w:rsid w:val="001A35AA"/>
    <w:rsid w:val="001A3B61"/>
    <w:rsid w:val="001B0819"/>
    <w:rsid w:val="001B11C3"/>
    <w:rsid w:val="001B210B"/>
    <w:rsid w:val="001B3D0D"/>
    <w:rsid w:val="001B67A5"/>
    <w:rsid w:val="001B6A4F"/>
    <w:rsid w:val="001B6D5A"/>
    <w:rsid w:val="001B70D3"/>
    <w:rsid w:val="001C0C00"/>
    <w:rsid w:val="001C38FF"/>
    <w:rsid w:val="001C47EA"/>
    <w:rsid w:val="001C4E75"/>
    <w:rsid w:val="001C57BE"/>
    <w:rsid w:val="001C580E"/>
    <w:rsid w:val="001C5972"/>
    <w:rsid w:val="001C7445"/>
    <w:rsid w:val="001D0317"/>
    <w:rsid w:val="001D2104"/>
    <w:rsid w:val="001D350E"/>
    <w:rsid w:val="001D3EBF"/>
    <w:rsid w:val="001D4A67"/>
    <w:rsid w:val="001D5036"/>
    <w:rsid w:val="001D54CC"/>
    <w:rsid w:val="001D60D3"/>
    <w:rsid w:val="001D7E4F"/>
    <w:rsid w:val="001E0539"/>
    <w:rsid w:val="001E157A"/>
    <w:rsid w:val="001E1F51"/>
    <w:rsid w:val="001E40BC"/>
    <w:rsid w:val="001E544B"/>
    <w:rsid w:val="001F5571"/>
    <w:rsid w:val="001F64F0"/>
    <w:rsid w:val="0020183C"/>
    <w:rsid w:val="002025DC"/>
    <w:rsid w:val="00203143"/>
    <w:rsid w:val="00205D6D"/>
    <w:rsid w:val="0020629B"/>
    <w:rsid w:val="00206D50"/>
    <w:rsid w:val="0020769D"/>
    <w:rsid w:val="00210EBA"/>
    <w:rsid w:val="00215B66"/>
    <w:rsid w:val="00217625"/>
    <w:rsid w:val="00221A3B"/>
    <w:rsid w:val="00224C01"/>
    <w:rsid w:val="002279B4"/>
    <w:rsid w:val="00230E2E"/>
    <w:rsid w:val="00231844"/>
    <w:rsid w:val="00232DCD"/>
    <w:rsid w:val="00233E8C"/>
    <w:rsid w:val="00234014"/>
    <w:rsid w:val="00234C67"/>
    <w:rsid w:val="0023659E"/>
    <w:rsid w:val="00237B06"/>
    <w:rsid w:val="002410DE"/>
    <w:rsid w:val="0024298E"/>
    <w:rsid w:val="00243F29"/>
    <w:rsid w:val="00245EEB"/>
    <w:rsid w:val="00246CDA"/>
    <w:rsid w:val="00247161"/>
    <w:rsid w:val="0024716F"/>
    <w:rsid w:val="00247A75"/>
    <w:rsid w:val="00253FC3"/>
    <w:rsid w:val="00257FC4"/>
    <w:rsid w:val="00264D40"/>
    <w:rsid w:val="002650E8"/>
    <w:rsid w:val="00267C2D"/>
    <w:rsid w:val="00267CCE"/>
    <w:rsid w:val="00271B38"/>
    <w:rsid w:val="00272B50"/>
    <w:rsid w:val="00272BDD"/>
    <w:rsid w:val="00273181"/>
    <w:rsid w:val="00277A61"/>
    <w:rsid w:val="002830F8"/>
    <w:rsid w:val="002848C6"/>
    <w:rsid w:val="00285296"/>
    <w:rsid w:val="00287F9F"/>
    <w:rsid w:val="00291788"/>
    <w:rsid w:val="0029360C"/>
    <w:rsid w:val="0029521C"/>
    <w:rsid w:val="0029664C"/>
    <w:rsid w:val="00296B9E"/>
    <w:rsid w:val="0029788C"/>
    <w:rsid w:val="00297ACB"/>
    <w:rsid w:val="002A0934"/>
    <w:rsid w:val="002A0CE5"/>
    <w:rsid w:val="002A104C"/>
    <w:rsid w:val="002A17AA"/>
    <w:rsid w:val="002A1AFE"/>
    <w:rsid w:val="002A37BB"/>
    <w:rsid w:val="002A65A1"/>
    <w:rsid w:val="002A6773"/>
    <w:rsid w:val="002A684C"/>
    <w:rsid w:val="002B009D"/>
    <w:rsid w:val="002B0D79"/>
    <w:rsid w:val="002B7107"/>
    <w:rsid w:val="002B71A2"/>
    <w:rsid w:val="002C120B"/>
    <w:rsid w:val="002C41CC"/>
    <w:rsid w:val="002C4ED0"/>
    <w:rsid w:val="002C6BD7"/>
    <w:rsid w:val="002D1353"/>
    <w:rsid w:val="002D2C27"/>
    <w:rsid w:val="002D4575"/>
    <w:rsid w:val="002D4829"/>
    <w:rsid w:val="002D69A9"/>
    <w:rsid w:val="002D75C9"/>
    <w:rsid w:val="002D7EF2"/>
    <w:rsid w:val="002E0C6C"/>
    <w:rsid w:val="002E1E0C"/>
    <w:rsid w:val="002E3A02"/>
    <w:rsid w:val="002E4F95"/>
    <w:rsid w:val="002E6217"/>
    <w:rsid w:val="002F0F53"/>
    <w:rsid w:val="002F13A5"/>
    <w:rsid w:val="002F23A4"/>
    <w:rsid w:val="002F2CFD"/>
    <w:rsid w:val="002F3DCA"/>
    <w:rsid w:val="002F43B3"/>
    <w:rsid w:val="002F4868"/>
    <w:rsid w:val="002F6D28"/>
    <w:rsid w:val="003037CE"/>
    <w:rsid w:val="00304761"/>
    <w:rsid w:val="00304FF2"/>
    <w:rsid w:val="003068FA"/>
    <w:rsid w:val="00307385"/>
    <w:rsid w:val="00307D0B"/>
    <w:rsid w:val="00314064"/>
    <w:rsid w:val="00314AF9"/>
    <w:rsid w:val="00315D7B"/>
    <w:rsid w:val="00315E3A"/>
    <w:rsid w:val="00320544"/>
    <w:rsid w:val="00320703"/>
    <w:rsid w:val="00322AC1"/>
    <w:rsid w:val="00325E28"/>
    <w:rsid w:val="003305DE"/>
    <w:rsid w:val="003317A6"/>
    <w:rsid w:val="0033584F"/>
    <w:rsid w:val="0034022D"/>
    <w:rsid w:val="0034087F"/>
    <w:rsid w:val="00343ABE"/>
    <w:rsid w:val="0034627F"/>
    <w:rsid w:val="003506DF"/>
    <w:rsid w:val="00351FB6"/>
    <w:rsid w:val="00352510"/>
    <w:rsid w:val="00354D0B"/>
    <w:rsid w:val="00356737"/>
    <w:rsid w:val="00356C72"/>
    <w:rsid w:val="00357027"/>
    <w:rsid w:val="003622F1"/>
    <w:rsid w:val="00362716"/>
    <w:rsid w:val="00362BFE"/>
    <w:rsid w:val="00363860"/>
    <w:rsid w:val="003641A9"/>
    <w:rsid w:val="0036498B"/>
    <w:rsid w:val="00371712"/>
    <w:rsid w:val="003727AA"/>
    <w:rsid w:val="0037455E"/>
    <w:rsid w:val="00380077"/>
    <w:rsid w:val="0038271D"/>
    <w:rsid w:val="003827AA"/>
    <w:rsid w:val="003852CB"/>
    <w:rsid w:val="003919AE"/>
    <w:rsid w:val="00392F95"/>
    <w:rsid w:val="00394B4A"/>
    <w:rsid w:val="00397CDF"/>
    <w:rsid w:val="003A20FB"/>
    <w:rsid w:val="003A2F88"/>
    <w:rsid w:val="003A37AF"/>
    <w:rsid w:val="003A3AAE"/>
    <w:rsid w:val="003A4B89"/>
    <w:rsid w:val="003A5214"/>
    <w:rsid w:val="003A68A1"/>
    <w:rsid w:val="003A7358"/>
    <w:rsid w:val="003B0622"/>
    <w:rsid w:val="003B1EE4"/>
    <w:rsid w:val="003B48C1"/>
    <w:rsid w:val="003B569D"/>
    <w:rsid w:val="003C2881"/>
    <w:rsid w:val="003C3F9B"/>
    <w:rsid w:val="003C4EAE"/>
    <w:rsid w:val="003C6503"/>
    <w:rsid w:val="003D0294"/>
    <w:rsid w:val="003D1838"/>
    <w:rsid w:val="003D6ABA"/>
    <w:rsid w:val="003D6C2F"/>
    <w:rsid w:val="003D6FD7"/>
    <w:rsid w:val="003D713D"/>
    <w:rsid w:val="003D71E3"/>
    <w:rsid w:val="003D7210"/>
    <w:rsid w:val="003E1E80"/>
    <w:rsid w:val="003E307D"/>
    <w:rsid w:val="003E4AA5"/>
    <w:rsid w:val="003E4D3C"/>
    <w:rsid w:val="003E5E98"/>
    <w:rsid w:val="003E6297"/>
    <w:rsid w:val="003E659E"/>
    <w:rsid w:val="003E703E"/>
    <w:rsid w:val="003F0291"/>
    <w:rsid w:val="003F1821"/>
    <w:rsid w:val="003F1CA2"/>
    <w:rsid w:val="003F20C4"/>
    <w:rsid w:val="003F281E"/>
    <w:rsid w:val="003F333C"/>
    <w:rsid w:val="003F6879"/>
    <w:rsid w:val="003F76B5"/>
    <w:rsid w:val="00400171"/>
    <w:rsid w:val="00400BAA"/>
    <w:rsid w:val="00402C31"/>
    <w:rsid w:val="00404F27"/>
    <w:rsid w:val="00406ACE"/>
    <w:rsid w:val="00411365"/>
    <w:rsid w:val="004127F6"/>
    <w:rsid w:val="00412AA8"/>
    <w:rsid w:val="00413AFB"/>
    <w:rsid w:val="00413E8A"/>
    <w:rsid w:val="0041460C"/>
    <w:rsid w:val="00414AD4"/>
    <w:rsid w:val="0041502F"/>
    <w:rsid w:val="00415BF6"/>
    <w:rsid w:val="00416E08"/>
    <w:rsid w:val="004203B3"/>
    <w:rsid w:val="004229C8"/>
    <w:rsid w:val="00422F32"/>
    <w:rsid w:val="004230CD"/>
    <w:rsid w:val="00423E9E"/>
    <w:rsid w:val="00424398"/>
    <w:rsid w:val="00424483"/>
    <w:rsid w:val="00425A6B"/>
    <w:rsid w:val="00427307"/>
    <w:rsid w:val="004333E9"/>
    <w:rsid w:val="0043617D"/>
    <w:rsid w:val="004367DC"/>
    <w:rsid w:val="0044281B"/>
    <w:rsid w:val="004434A8"/>
    <w:rsid w:val="00443912"/>
    <w:rsid w:val="00443B0C"/>
    <w:rsid w:val="004445B1"/>
    <w:rsid w:val="0044550B"/>
    <w:rsid w:val="00450C13"/>
    <w:rsid w:val="00450DDA"/>
    <w:rsid w:val="00452630"/>
    <w:rsid w:val="00452918"/>
    <w:rsid w:val="0045431E"/>
    <w:rsid w:val="004553C2"/>
    <w:rsid w:val="00455552"/>
    <w:rsid w:val="0045636E"/>
    <w:rsid w:val="004631AC"/>
    <w:rsid w:val="00465336"/>
    <w:rsid w:val="0047221F"/>
    <w:rsid w:val="00472AA5"/>
    <w:rsid w:val="00473129"/>
    <w:rsid w:val="00473838"/>
    <w:rsid w:val="00474BD8"/>
    <w:rsid w:val="0047598C"/>
    <w:rsid w:val="00475A9D"/>
    <w:rsid w:val="0047677D"/>
    <w:rsid w:val="004770EE"/>
    <w:rsid w:val="00481287"/>
    <w:rsid w:val="00481CF8"/>
    <w:rsid w:val="00482877"/>
    <w:rsid w:val="00482A14"/>
    <w:rsid w:val="00483437"/>
    <w:rsid w:val="00484A18"/>
    <w:rsid w:val="00486F24"/>
    <w:rsid w:val="00490A2D"/>
    <w:rsid w:val="00491D06"/>
    <w:rsid w:val="00496F4B"/>
    <w:rsid w:val="004A09B4"/>
    <w:rsid w:val="004A2D74"/>
    <w:rsid w:val="004A3A59"/>
    <w:rsid w:val="004A4CB1"/>
    <w:rsid w:val="004A57FF"/>
    <w:rsid w:val="004A5B07"/>
    <w:rsid w:val="004A5D54"/>
    <w:rsid w:val="004A5EFE"/>
    <w:rsid w:val="004B0934"/>
    <w:rsid w:val="004B47DA"/>
    <w:rsid w:val="004B6155"/>
    <w:rsid w:val="004B70D0"/>
    <w:rsid w:val="004C2CEB"/>
    <w:rsid w:val="004C2EF6"/>
    <w:rsid w:val="004C345C"/>
    <w:rsid w:val="004C79D5"/>
    <w:rsid w:val="004D2888"/>
    <w:rsid w:val="004D3CD1"/>
    <w:rsid w:val="004D48D1"/>
    <w:rsid w:val="004D569A"/>
    <w:rsid w:val="004E1A57"/>
    <w:rsid w:val="004E347E"/>
    <w:rsid w:val="004E3646"/>
    <w:rsid w:val="004E369C"/>
    <w:rsid w:val="004F0286"/>
    <w:rsid w:val="004F2699"/>
    <w:rsid w:val="004F2744"/>
    <w:rsid w:val="004F2E5B"/>
    <w:rsid w:val="004F3A41"/>
    <w:rsid w:val="004F5D03"/>
    <w:rsid w:val="004F6368"/>
    <w:rsid w:val="004F752B"/>
    <w:rsid w:val="004F79A9"/>
    <w:rsid w:val="005027EA"/>
    <w:rsid w:val="00502AAE"/>
    <w:rsid w:val="00505ACB"/>
    <w:rsid w:val="00505F46"/>
    <w:rsid w:val="0051060D"/>
    <w:rsid w:val="00510812"/>
    <w:rsid w:val="00510A37"/>
    <w:rsid w:val="00511FBA"/>
    <w:rsid w:val="005124AF"/>
    <w:rsid w:val="00513A75"/>
    <w:rsid w:val="00515008"/>
    <w:rsid w:val="00516EF5"/>
    <w:rsid w:val="005231D2"/>
    <w:rsid w:val="0052387F"/>
    <w:rsid w:val="00525149"/>
    <w:rsid w:val="005263D4"/>
    <w:rsid w:val="0053035D"/>
    <w:rsid w:val="00530768"/>
    <w:rsid w:val="0053111C"/>
    <w:rsid w:val="00531F36"/>
    <w:rsid w:val="005323B8"/>
    <w:rsid w:val="00533CC2"/>
    <w:rsid w:val="005342E8"/>
    <w:rsid w:val="005345E6"/>
    <w:rsid w:val="005354FC"/>
    <w:rsid w:val="00546E2F"/>
    <w:rsid w:val="005477EB"/>
    <w:rsid w:val="00547C7F"/>
    <w:rsid w:val="005508EF"/>
    <w:rsid w:val="00551027"/>
    <w:rsid w:val="00552BBA"/>
    <w:rsid w:val="005543F5"/>
    <w:rsid w:val="005558E6"/>
    <w:rsid w:val="00556782"/>
    <w:rsid w:val="00557192"/>
    <w:rsid w:val="005571DC"/>
    <w:rsid w:val="0055737C"/>
    <w:rsid w:val="00560227"/>
    <w:rsid w:val="00563673"/>
    <w:rsid w:val="00564306"/>
    <w:rsid w:val="00564310"/>
    <w:rsid w:val="0056596F"/>
    <w:rsid w:val="0057146C"/>
    <w:rsid w:val="005732ED"/>
    <w:rsid w:val="0057341E"/>
    <w:rsid w:val="0057377A"/>
    <w:rsid w:val="0057400B"/>
    <w:rsid w:val="0057636F"/>
    <w:rsid w:val="00576A46"/>
    <w:rsid w:val="00580E87"/>
    <w:rsid w:val="005813FE"/>
    <w:rsid w:val="005859B3"/>
    <w:rsid w:val="00586149"/>
    <w:rsid w:val="005874DE"/>
    <w:rsid w:val="00597754"/>
    <w:rsid w:val="005A19C7"/>
    <w:rsid w:val="005A1BB7"/>
    <w:rsid w:val="005B5337"/>
    <w:rsid w:val="005B5997"/>
    <w:rsid w:val="005B7072"/>
    <w:rsid w:val="005C0D06"/>
    <w:rsid w:val="005C1EA8"/>
    <w:rsid w:val="005C21EA"/>
    <w:rsid w:val="005C2470"/>
    <w:rsid w:val="005C32AE"/>
    <w:rsid w:val="005C495F"/>
    <w:rsid w:val="005C4C54"/>
    <w:rsid w:val="005C61B7"/>
    <w:rsid w:val="005C6976"/>
    <w:rsid w:val="005C6A5C"/>
    <w:rsid w:val="005D09FF"/>
    <w:rsid w:val="005D32DE"/>
    <w:rsid w:val="005D32F6"/>
    <w:rsid w:val="005D3587"/>
    <w:rsid w:val="005E413E"/>
    <w:rsid w:val="005E586D"/>
    <w:rsid w:val="005E5895"/>
    <w:rsid w:val="005E5A41"/>
    <w:rsid w:val="005E6607"/>
    <w:rsid w:val="00602F8C"/>
    <w:rsid w:val="00604757"/>
    <w:rsid w:val="0060725A"/>
    <w:rsid w:val="00611432"/>
    <w:rsid w:val="0061350B"/>
    <w:rsid w:val="00614067"/>
    <w:rsid w:val="006164DA"/>
    <w:rsid w:val="0061724F"/>
    <w:rsid w:val="0061757D"/>
    <w:rsid w:val="006206ED"/>
    <w:rsid w:val="00620F9D"/>
    <w:rsid w:val="006227AB"/>
    <w:rsid w:val="00622BC4"/>
    <w:rsid w:val="00624E0A"/>
    <w:rsid w:val="00625449"/>
    <w:rsid w:val="0062613F"/>
    <w:rsid w:val="00627A8D"/>
    <w:rsid w:val="00637CEB"/>
    <w:rsid w:val="006411DE"/>
    <w:rsid w:val="00641735"/>
    <w:rsid w:val="00642740"/>
    <w:rsid w:val="00642ADD"/>
    <w:rsid w:val="006431F4"/>
    <w:rsid w:val="006468F4"/>
    <w:rsid w:val="006500FF"/>
    <w:rsid w:val="006506BB"/>
    <w:rsid w:val="00651662"/>
    <w:rsid w:val="00654440"/>
    <w:rsid w:val="00655824"/>
    <w:rsid w:val="006559BF"/>
    <w:rsid w:val="00655C81"/>
    <w:rsid w:val="00655E63"/>
    <w:rsid w:val="0065784A"/>
    <w:rsid w:val="006606C8"/>
    <w:rsid w:val="00663A28"/>
    <w:rsid w:val="00663C92"/>
    <w:rsid w:val="0066489A"/>
    <w:rsid w:val="006660CE"/>
    <w:rsid w:val="0067420F"/>
    <w:rsid w:val="00675588"/>
    <w:rsid w:val="00675C6C"/>
    <w:rsid w:val="00677083"/>
    <w:rsid w:val="006775D3"/>
    <w:rsid w:val="00681059"/>
    <w:rsid w:val="00683C8C"/>
    <w:rsid w:val="00684340"/>
    <w:rsid w:val="006846E9"/>
    <w:rsid w:val="006847F7"/>
    <w:rsid w:val="00685777"/>
    <w:rsid w:val="00686DDF"/>
    <w:rsid w:val="0069148B"/>
    <w:rsid w:val="0069253A"/>
    <w:rsid w:val="00694DEC"/>
    <w:rsid w:val="00697D66"/>
    <w:rsid w:val="006A0DF2"/>
    <w:rsid w:val="006A1488"/>
    <w:rsid w:val="006A158F"/>
    <w:rsid w:val="006A2D12"/>
    <w:rsid w:val="006A40F6"/>
    <w:rsid w:val="006A5328"/>
    <w:rsid w:val="006A5C27"/>
    <w:rsid w:val="006A5C4D"/>
    <w:rsid w:val="006A5CBA"/>
    <w:rsid w:val="006A6D73"/>
    <w:rsid w:val="006B0FA7"/>
    <w:rsid w:val="006B2D82"/>
    <w:rsid w:val="006B47B1"/>
    <w:rsid w:val="006B521F"/>
    <w:rsid w:val="006C0287"/>
    <w:rsid w:val="006C1A12"/>
    <w:rsid w:val="006C30E9"/>
    <w:rsid w:val="006C34A5"/>
    <w:rsid w:val="006C3699"/>
    <w:rsid w:val="006C4344"/>
    <w:rsid w:val="006D1E7C"/>
    <w:rsid w:val="006D53F7"/>
    <w:rsid w:val="006D5C11"/>
    <w:rsid w:val="006D637E"/>
    <w:rsid w:val="006D6EA5"/>
    <w:rsid w:val="006E11E1"/>
    <w:rsid w:val="006E1E3F"/>
    <w:rsid w:val="006E1FA1"/>
    <w:rsid w:val="006E2760"/>
    <w:rsid w:val="006E5B68"/>
    <w:rsid w:val="006E5D9E"/>
    <w:rsid w:val="006F2D51"/>
    <w:rsid w:val="006F315E"/>
    <w:rsid w:val="006F4332"/>
    <w:rsid w:val="006F641A"/>
    <w:rsid w:val="006F7063"/>
    <w:rsid w:val="00700ACD"/>
    <w:rsid w:val="00702185"/>
    <w:rsid w:val="00702693"/>
    <w:rsid w:val="00702B67"/>
    <w:rsid w:val="00703651"/>
    <w:rsid w:val="00703748"/>
    <w:rsid w:val="00703EBE"/>
    <w:rsid w:val="007046A7"/>
    <w:rsid w:val="007056FA"/>
    <w:rsid w:val="007108C3"/>
    <w:rsid w:val="00722751"/>
    <w:rsid w:val="007234C4"/>
    <w:rsid w:val="00724EC9"/>
    <w:rsid w:val="00725445"/>
    <w:rsid w:val="007268B7"/>
    <w:rsid w:val="007270EE"/>
    <w:rsid w:val="00727A81"/>
    <w:rsid w:val="00732508"/>
    <w:rsid w:val="00740EB7"/>
    <w:rsid w:val="007412B0"/>
    <w:rsid w:val="00742DB3"/>
    <w:rsid w:val="007448DE"/>
    <w:rsid w:val="00745C13"/>
    <w:rsid w:val="007525C0"/>
    <w:rsid w:val="00752E1A"/>
    <w:rsid w:val="007541F9"/>
    <w:rsid w:val="0075612D"/>
    <w:rsid w:val="007567F2"/>
    <w:rsid w:val="00761155"/>
    <w:rsid w:val="007623E9"/>
    <w:rsid w:val="00763D8F"/>
    <w:rsid w:val="007647C0"/>
    <w:rsid w:val="00765479"/>
    <w:rsid w:val="00767B41"/>
    <w:rsid w:val="007715FA"/>
    <w:rsid w:val="00775A98"/>
    <w:rsid w:val="00775A9B"/>
    <w:rsid w:val="007762E2"/>
    <w:rsid w:val="0077704B"/>
    <w:rsid w:val="00781AF5"/>
    <w:rsid w:val="00781E10"/>
    <w:rsid w:val="00782434"/>
    <w:rsid w:val="00782D79"/>
    <w:rsid w:val="00784292"/>
    <w:rsid w:val="007870E3"/>
    <w:rsid w:val="00790993"/>
    <w:rsid w:val="007925FD"/>
    <w:rsid w:val="00794850"/>
    <w:rsid w:val="00796D2A"/>
    <w:rsid w:val="007A6841"/>
    <w:rsid w:val="007B019C"/>
    <w:rsid w:val="007B07F2"/>
    <w:rsid w:val="007B1272"/>
    <w:rsid w:val="007B4A03"/>
    <w:rsid w:val="007B64DB"/>
    <w:rsid w:val="007C0236"/>
    <w:rsid w:val="007C0BB2"/>
    <w:rsid w:val="007C0FE8"/>
    <w:rsid w:val="007C2BE1"/>
    <w:rsid w:val="007C2FAF"/>
    <w:rsid w:val="007C340B"/>
    <w:rsid w:val="007C7B8D"/>
    <w:rsid w:val="007D36C8"/>
    <w:rsid w:val="007D59D6"/>
    <w:rsid w:val="007D7DE0"/>
    <w:rsid w:val="007E0492"/>
    <w:rsid w:val="007E1F8E"/>
    <w:rsid w:val="007E3950"/>
    <w:rsid w:val="007E4E21"/>
    <w:rsid w:val="007E6FCD"/>
    <w:rsid w:val="007E714F"/>
    <w:rsid w:val="007E78E5"/>
    <w:rsid w:val="007F7531"/>
    <w:rsid w:val="007F7E96"/>
    <w:rsid w:val="008005B7"/>
    <w:rsid w:val="008035AA"/>
    <w:rsid w:val="00805382"/>
    <w:rsid w:val="008075B3"/>
    <w:rsid w:val="008132F4"/>
    <w:rsid w:val="00814EE0"/>
    <w:rsid w:val="008165AD"/>
    <w:rsid w:val="00816E77"/>
    <w:rsid w:val="00816F29"/>
    <w:rsid w:val="00823E79"/>
    <w:rsid w:val="008255AB"/>
    <w:rsid w:val="00826753"/>
    <w:rsid w:val="00826BCF"/>
    <w:rsid w:val="0083234D"/>
    <w:rsid w:val="00837A8F"/>
    <w:rsid w:val="0084091F"/>
    <w:rsid w:val="0084119B"/>
    <w:rsid w:val="00841D04"/>
    <w:rsid w:val="00843931"/>
    <w:rsid w:val="0084432B"/>
    <w:rsid w:val="00844A93"/>
    <w:rsid w:val="008478B1"/>
    <w:rsid w:val="0085077A"/>
    <w:rsid w:val="008509C2"/>
    <w:rsid w:val="00850E52"/>
    <w:rsid w:val="0085101A"/>
    <w:rsid w:val="008515E8"/>
    <w:rsid w:val="00853E32"/>
    <w:rsid w:val="0085554C"/>
    <w:rsid w:val="0085637F"/>
    <w:rsid w:val="00856E47"/>
    <w:rsid w:val="00857C70"/>
    <w:rsid w:val="00860787"/>
    <w:rsid w:val="00867337"/>
    <w:rsid w:val="0087228B"/>
    <w:rsid w:val="00872D47"/>
    <w:rsid w:val="00874CC0"/>
    <w:rsid w:val="0087656B"/>
    <w:rsid w:val="00877857"/>
    <w:rsid w:val="008819D1"/>
    <w:rsid w:val="00881A47"/>
    <w:rsid w:val="00882C25"/>
    <w:rsid w:val="008830F3"/>
    <w:rsid w:val="00883BA1"/>
    <w:rsid w:val="00886044"/>
    <w:rsid w:val="008874FC"/>
    <w:rsid w:val="00890791"/>
    <w:rsid w:val="008913A1"/>
    <w:rsid w:val="00891D1A"/>
    <w:rsid w:val="00891FBA"/>
    <w:rsid w:val="0089212B"/>
    <w:rsid w:val="00892296"/>
    <w:rsid w:val="00892C06"/>
    <w:rsid w:val="00895C70"/>
    <w:rsid w:val="008966A4"/>
    <w:rsid w:val="008A2166"/>
    <w:rsid w:val="008A763A"/>
    <w:rsid w:val="008A7B50"/>
    <w:rsid w:val="008B3EC6"/>
    <w:rsid w:val="008B5022"/>
    <w:rsid w:val="008B6AB3"/>
    <w:rsid w:val="008C2E0F"/>
    <w:rsid w:val="008C3A6B"/>
    <w:rsid w:val="008C4206"/>
    <w:rsid w:val="008C5336"/>
    <w:rsid w:val="008C5B38"/>
    <w:rsid w:val="008C5E1F"/>
    <w:rsid w:val="008D01BF"/>
    <w:rsid w:val="008D6AD5"/>
    <w:rsid w:val="008D7525"/>
    <w:rsid w:val="008E0C2F"/>
    <w:rsid w:val="008E2AB9"/>
    <w:rsid w:val="008E3485"/>
    <w:rsid w:val="008E669B"/>
    <w:rsid w:val="008E713D"/>
    <w:rsid w:val="008E7356"/>
    <w:rsid w:val="008E78B9"/>
    <w:rsid w:val="008F0E52"/>
    <w:rsid w:val="008F11AC"/>
    <w:rsid w:val="008F18C4"/>
    <w:rsid w:val="008F1F71"/>
    <w:rsid w:val="008F3A1B"/>
    <w:rsid w:val="008F630F"/>
    <w:rsid w:val="008F7EFA"/>
    <w:rsid w:val="00903D77"/>
    <w:rsid w:val="00903DCF"/>
    <w:rsid w:val="00904F75"/>
    <w:rsid w:val="00905F9F"/>
    <w:rsid w:val="00912273"/>
    <w:rsid w:val="00915133"/>
    <w:rsid w:val="0092001B"/>
    <w:rsid w:val="00921754"/>
    <w:rsid w:val="00921ED2"/>
    <w:rsid w:val="009249B0"/>
    <w:rsid w:val="009271D8"/>
    <w:rsid w:val="00932FA6"/>
    <w:rsid w:val="00933A61"/>
    <w:rsid w:val="009404B3"/>
    <w:rsid w:val="00941273"/>
    <w:rsid w:val="00941C08"/>
    <w:rsid w:val="00942AE4"/>
    <w:rsid w:val="009430B3"/>
    <w:rsid w:val="009444D9"/>
    <w:rsid w:val="009450BA"/>
    <w:rsid w:val="009474DC"/>
    <w:rsid w:val="00947D33"/>
    <w:rsid w:val="0095239D"/>
    <w:rsid w:val="00953C33"/>
    <w:rsid w:val="0095460D"/>
    <w:rsid w:val="00955845"/>
    <w:rsid w:val="00956118"/>
    <w:rsid w:val="0095710C"/>
    <w:rsid w:val="00957524"/>
    <w:rsid w:val="00961684"/>
    <w:rsid w:val="0096384B"/>
    <w:rsid w:val="009659D9"/>
    <w:rsid w:val="009665B5"/>
    <w:rsid w:val="00966D25"/>
    <w:rsid w:val="009677F2"/>
    <w:rsid w:val="0097208F"/>
    <w:rsid w:val="00972AB1"/>
    <w:rsid w:val="009747CE"/>
    <w:rsid w:val="00974F4D"/>
    <w:rsid w:val="00975E32"/>
    <w:rsid w:val="009763F7"/>
    <w:rsid w:val="00977587"/>
    <w:rsid w:val="00980D55"/>
    <w:rsid w:val="0098258A"/>
    <w:rsid w:val="00983BC9"/>
    <w:rsid w:val="00984F53"/>
    <w:rsid w:val="00986979"/>
    <w:rsid w:val="00986CB3"/>
    <w:rsid w:val="00987DE9"/>
    <w:rsid w:val="009912DD"/>
    <w:rsid w:val="009916C4"/>
    <w:rsid w:val="0099177C"/>
    <w:rsid w:val="009A1DBA"/>
    <w:rsid w:val="009A3774"/>
    <w:rsid w:val="009A73BD"/>
    <w:rsid w:val="009A77A6"/>
    <w:rsid w:val="009A7F7E"/>
    <w:rsid w:val="009B08D4"/>
    <w:rsid w:val="009B152C"/>
    <w:rsid w:val="009B23A5"/>
    <w:rsid w:val="009B3B2A"/>
    <w:rsid w:val="009B6AB9"/>
    <w:rsid w:val="009B6F44"/>
    <w:rsid w:val="009B7764"/>
    <w:rsid w:val="009B7DB2"/>
    <w:rsid w:val="009C1887"/>
    <w:rsid w:val="009C2DFA"/>
    <w:rsid w:val="009C48D5"/>
    <w:rsid w:val="009C4ADE"/>
    <w:rsid w:val="009D317C"/>
    <w:rsid w:val="009D3648"/>
    <w:rsid w:val="009D3ADF"/>
    <w:rsid w:val="009D61BD"/>
    <w:rsid w:val="009D79E4"/>
    <w:rsid w:val="009E08DB"/>
    <w:rsid w:val="009E22BF"/>
    <w:rsid w:val="009E4AFD"/>
    <w:rsid w:val="009F0069"/>
    <w:rsid w:val="009F12D1"/>
    <w:rsid w:val="009F2B68"/>
    <w:rsid w:val="009F339F"/>
    <w:rsid w:val="009F4436"/>
    <w:rsid w:val="00A00C5A"/>
    <w:rsid w:val="00A01804"/>
    <w:rsid w:val="00A02369"/>
    <w:rsid w:val="00A042D5"/>
    <w:rsid w:val="00A0616F"/>
    <w:rsid w:val="00A06CD3"/>
    <w:rsid w:val="00A07665"/>
    <w:rsid w:val="00A07E88"/>
    <w:rsid w:val="00A1045F"/>
    <w:rsid w:val="00A11ACD"/>
    <w:rsid w:val="00A12A3B"/>
    <w:rsid w:val="00A12F82"/>
    <w:rsid w:val="00A13A76"/>
    <w:rsid w:val="00A13E14"/>
    <w:rsid w:val="00A13E4F"/>
    <w:rsid w:val="00A15318"/>
    <w:rsid w:val="00A174BF"/>
    <w:rsid w:val="00A2278E"/>
    <w:rsid w:val="00A232EE"/>
    <w:rsid w:val="00A24873"/>
    <w:rsid w:val="00A25146"/>
    <w:rsid w:val="00A27733"/>
    <w:rsid w:val="00A27A68"/>
    <w:rsid w:val="00A27A7B"/>
    <w:rsid w:val="00A27E96"/>
    <w:rsid w:val="00A322C4"/>
    <w:rsid w:val="00A33A1C"/>
    <w:rsid w:val="00A34D6A"/>
    <w:rsid w:val="00A36735"/>
    <w:rsid w:val="00A36833"/>
    <w:rsid w:val="00A40DF4"/>
    <w:rsid w:val="00A41E00"/>
    <w:rsid w:val="00A43A11"/>
    <w:rsid w:val="00A464C6"/>
    <w:rsid w:val="00A4793E"/>
    <w:rsid w:val="00A51E08"/>
    <w:rsid w:val="00A538C0"/>
    <w:rsid w:val="00A54326"/>
    <w:rsid w:val="00A56210"/>
    <w:rsid w:val="00A5644B"/>
    <w:rsid w:val="00A5664A"/>
    <w:rsid w:val="00A60FA4"/>
    <w:rsid w:val="00A61BAB"/>
    <w:rsid w:val="00A6461B"/>
    <w:rsid w:val="00A6562C"/>
    <w:rsid w:val="00A67AB5"/>
    <w:rsid w:val="00A67FD2"/>
    <w:rsid w:val="00A76103"/>
    <w:rsid w:val="00A8060C"/>
    <w:rsid w:val="00A81618"/>
    <w:rsid w:val="00A82031"/>
    <w:rsid w:val="00A82048"/>
    <w:rsid w:val="00A83F6E"/>
    <w:rsid w:val="00A842F4"/>
    <w:rsid w:val="00A8514B"/>
    <w:rsid w:val="00A856A1"/>
    <w:rsid w:val="00A8744A"/>
    <w:rsid w:val="00A920D9"/>
    <w:rsid w:val="00A93F07"/>
    <w:rsid w:val="00A94C46"/>
    <w:rsid w:val="00A9591D"/>
    <w:rsid w:val="00A96765"/>
    <w:rsid w:val="00A973B8"/>
    <w:rsid w:val="00A97D37"/>
    <w:rsid w:val="00AA1CCD"/>
    <w:rsid w:val="00AA1CE9"/>
    <w:rsid w:val="00AA1D22"/>
    <w:rsid w:val="00AA2215"/>
    <w:rsid w:val="00AA33E7"/>
    <w:rsid w:val="00AA42FE"/>
    <w:rsid w:val="00AA4B2D"/>
    <w:rsid w:val="00AA6F76"/>
    <w:rsid w:val="00AA715B"/>
    <w:rsid w:val="00AB0BDB"/>
    <w:rsid w:val="00AB1AFD"/>
    <w:rsid w:val="00AB43F6"/>
    <w:rsid w:val="00AB43F8"/>
    <w:rsid w:val="00AB569A"/>
    <w:rsid w:val="00AB5806"/>
    <w:rsid w:val="00AB6150"/>
    <w:rsid w:val="00AB6DC0"/>
    <w:rsid w:val="00AC047D"/>
    <w:rsid w:val="00AC1769"/>
    <w:rsid w:val="00AC1B4C"/>
    <w:rsid w:val="00AC3AB3"/>
    <w:rsid w:val="00AC692F"/>
    <w:rsid w:val="00AD1056"/>
    <w:rsid w:val="00AD16BE"/>
    <w:rsid w:val="00AD2428"/>
    <w:rsid w:val="00AD481D"/>
    <w:rsid w:val="00AD5164"/>
    <w:rsid w:val="00AD645D"/>
    <w:rsid w:val="00AD657E"/>
    <w:rsid w:val="00AD70DF"/>
    <w:rsid w:val="00AD7EC6"/>
    <w:rsid w:val="00AE251D"/>
    <w:rsid w:val="00AE2E86"/>
    <w:rsid w:val="00AE4F90"/>
    <w:rsid w:val="00AE60E4"/>
    <w:rsid w:val="00AE6499"/>
    <w:rsid w:val="00AF0DA7"/>
    <w:rsid w:val="00AF372A"/>
    <w:rsid w:val="00AF5C47"/>
    <w:rsid w:val="00AF725D"/>
    <w:rsid w:val="00B0100F"/>
    <w:rsid w:val="00B019FF"/>
    <w:rsid w:val="00B01F04"/>
    <w:rsid w:val="00B03414"/>
    <w:rsid w:val="00B0426B"/>
    <w:rsid w:val="00B07A2B"/>
    <w:rsid w:val="00B114A3"/>
    <w:rsid w:val="00B13DDA"/>
    <w:rsid w:val="00B15CEB"/>
    <w:rsid w:val="00B16655"/>
    <w:rsid w:val="00B1794A"/>
    <w:rsid w:val="00B20556"/>
    <w:rsid w:val="00B22255"/>
    <w:rsid w:val="00B33A00"/>
    <w:rsid w:val="00B3466C"/>
    <w:rsid w:val="00B34B43"/>
    <w:rsid w:val="00B37FBB"/>
    <w:rsid w:val="00B40D0A"/>
    <w:rsid w:val="00B43073"/>
    <w:rsid w:val="00B44DDA"/>
    <w:rsid w:val="00B45EE2"/>
    <w:rsid w:val="00B505FD"/>
    <w:rsid w:val="00B518E8"/>
    <w:rsid w:val="00B51A3B"/>
    <w:rsid w:val="00B53599"/>
    <w:rsid w:val="00B53B5E"/>
    <w:rsid w:val="00B546C1"/>
    <w:rsid w:val="00B54BDA"/>
    <w:rsid w:val="00B5615E"/>
    <w:rsid w:val="00B60AA8"/>
    <w:rsid w:val="00B64185"/>
    <w:rsid w:val="00B645F8"/>
    <w:rsid w:val="00B649BE"/>
    <w:rsid w:val="00B672B1"/>
    <w:rsid w:val="00B703F5"/>
    <w:rsid w:val="00B72AEB"/>
    <w:rsid w:val="00B748A5"/>
    <w:rsid w:val="00B757F7"/>
    <w:rsid w:val="00B76BEE"/>
    <w:rsid w:val="00B77FC5"/>
    <w:rsid w:val="00B81ABB"/>
    <w:rsid w:val="00B8792D"/>
    <w:rsid w:val="00B905BB"/>
    <w:rsid w:val="00B93BDF"/>
    <w:rsid w:val="00B946B0"/>
    <w:rsid w:val="00B95FCB"/>
    <w:rsid w:val="00BA3152"/>
    <w:rsid w:val="00BB032B"/>
    <w:rsid w:val="00BB0493"/>
    <w:rsid w:val="00BB0A2C"/>
    <w:rsid w:val="00BB1313"/>
    <w:rsid w:val="00BB3082"/>
    <w:rsid w:val="00BB311B"/>
    <w:rsid w:val="00BB3979"/>
    <w:rsid w:val="00BB409E"/>
    <w:rsid w:val="00BC0D6F"/>
    <w:rsid w:val="00BC1DF2"/>
    <w:rsid w:val="00BC41F1"/>
    <w:rsid w:val="00BC7021"/>
    <w:rsid w:val="00BD04E7"/>
    <w:rsid w:val="00BD26E4"/>
    <w:rsid w:val="00BD27E0"/>
    <w:rsid w:val="00BD78C0"/>
    <w:rsid w:val="00BD7F21"/>
    <w:rsid w:val="00BE1842"/>
    <w:rsid w:val="00BE1ADE"/>
    <w:rsid w:val="00BE3CA3"/>
    <w:rsid w:val="00BE5048"/>
    <w:rsid w:val="00BE5439"/>
    <w:rsid w:val="00BE78EC"/>
    <w:rsid w:val="00BF056C"/>
    <w:rsid w:val="00BF1D91"/>
    <w:rsid w:val="00BF3B9F"/>
    <w:rsid w:val="00BF59CB"/>
    <w:rsid w:val="00BF5F87"/>
    <w:rsid w:val="00C01215"/>
    <w:rsid w:val="00C04A6D"/>
    <w:rsid w:val="00C04F56"/>
    <w:rsid w:val="00C05B49"/>
    <w:rsid w:val="00C17277"/>
    <w:rsid w:val="00C24CE2"/>
    <w:rsid w:val="00C27124"/>
    <w:rsid w:val="00C32872"/>
    <w:rsid w:val="00C3293E"/>
    <w:rsid w:val="00C33F71"/>
    <w:rsid w:val="00C34D0E"/>
    <w:rsid w:val="00C356AC"/>
    <w:rsid w:val="00C4031A"/>
    <w:rsid w:val="00C40EC5"/>
    <w:rsid w:val="00C4195C"/>
    <w:rsid w:val="00C41EF8"/>
    <w:rsid w:val="00C44286"/>
    <w:rsid w:val="00C50C99"/>
    <w:rsid w:val="00C513B6"/>
    <w:rsid w:val="00C51F87"/>
    <w:rsid w:val="00C53ABB"/>
    <w:rsid w:val="00C5418F"/>
    <w:rsid w:val="00C5533B"/>
    <w:rsid w:val="00C55E62"/>
    <w:rsid w:val="00C566AF"/>
    <w:rsid w:val="00C7006C"/>
    <w:rsid w:val="00C745D1"/>
    <w:rsid w:val="00C74E98"/>
    <w:rsid w:val="00C77AA8"/>
    <w:rsid w:val="00C81318"/>
    <w:rsid w:val="00C836D9"/>
    <w:rsid w:val="00C84627"/>
    <w:rsid w:val="00C84ACB"/>
    <w:rsid w:val="00C96227"/>
    <w:rsid w:val="00C9776D"/>
    <w:rsid w:val="00C97C3C"/>
    <w:rsid w:val="00CA04D4"/>
    <w:rsid w:val="00CA062A"/>
    <w:rsid w:val="00CA0A6B"/>
    <w:rsid w:val="00CA24DC"/>
    <w:rsid w:val="00CA29CA"/>
    <w:rsid w:val="00CA4D2B"/>
    <w:rsid w:val="00CA59CA"/>
    <w:rsid w:val="00CA5A1C"/>
    <w:rsid w:val="00CA6488"/>
    <w:rsid w:val="00CB0B2E"/>
    <w:rsid w:val="00CB6CEA"/>
    <w:rsid w:val="00CB7113"/>
    <w:rsid w:val="00CB7D48"/>
    <w:rsid w:val="00CC0A83"/>
    <w:rsid w:val="00CC0CA3"/>
    <w:rsid w:val="00CC0E02"/>
    <w:rsid w:val="00CC0F47"/>
    <w:rsid w:val="00CC1D50"/>
    <w:rsid w:val="00CC4E77"/>
    <w:rsid w:val="00CC52B0"/>
    <w:rsid w:val="00CD1B33"/>
    <w:rsid w:val="00CD3FA8"/>
    <w:rsid w:val="00CD44F6"/>
    <w:rsid w:val="00CD5F6F"/>
    <w:rsid w:val="00CD6B47"/>
    <w:rsid w:val="00CD70DC"/>
    <w:rsid w:val="00CD72F7"/>
    <w:rsid w:val="00CE3105"/>
    <w:rsid w:val="00CE366D"/>
    <w:rsid w:val="00CE6FA0"/>
    <w:rsid w:val="00CF2220"/>
    <w:rsid w:val="00CF7039"/>
    <w:rsid w:val="00CF7FFC"/>
    <w:rsid w:val="00D035AC"/>
    <w:rsid w:val="00D055D3"/>
    <w:rsid w:val="00D05824"/>
    <w:rsid w:val="00D05EB3"/>
    <w:rsid w:val="00D0694A"/>
    <w:rsid w:val="00D07AF0"/>
    <w:rsid w:val="00D11953"/>
    <w:rsid w:val="00D133E9"/>
    <w:rsid w:val="00D15383"/>
    <w:rsid w:val="00D20A94"/>
    <w:rsid w:val="00D22380"/>
    <w:rsid w:val="00D22AF7"/>
    <w:rsid w:val="00D27A47"/>
    <w:rsid w:val="00D30C6C"/>
    <w:rsid w:val="00D32CC7"/>
    <w:rsid w:val="00D32DAD"/>
    <w:rsid w:val="00D3374D"/>
    <w:rsid w:val="00D3647E"/>
    <w:rsid w:val="00D3775E"/>
    <w:rsid w:val="00D37C98"/>
    <w:rsid w:val="00D4235B"/>
    <w:rsid w:val="00D43273"/>
    <w:rsid w:val="00D4457C"/>
    <w:rsid w:val="00D4654B"/>
    <w:rsid w:val="00D50B80"/>
    <w:rsid w:val="00D512E5"/>
    <w:rsid w:val="00D53267"/>
    <w:rsid w:val="00D53493"/>
    <w:rsid w:val="00D543DC"/>
    <w:rsid w:val="00D56917"/>
    <w:rsid w:val="00D61804"/>
    <w:rsid w:val="00D63039"/>
    <w:rsid w:val="00D632E9"/>
    <w:rsid w:val="00D64FD1"/>
    <w:rsid w:val="00D651BB"/>
    <w:rsid w:val="00D66FD7"/>
    <w:rsid w:val="00D710A3"/>
    <w:rsid w:val="00D7115A"/>
    <w:rsid w:val="00D7516C"/>
    <w:rsid w:val="00D82F51"/>
    <w:rsid w:val="00D83B9B"/>
    <w:rsid w:val="00D862C2"/>
    <w:rsid w:val="00D87DDD"/>
    <w:rsid w:val="00D9059D"/>
    <w:rsid w:val="00D914D2"/>
    <w:rsid w:val="00D91F6E"/>
    <w:rsid w:val="00DA0A4C"/>
    <w:rsid w:val="00DA1F89"/>
    <w:rsid w:val="00DA2315"/>
    <w:rsid w:val="00DA4FA5"/>
    <w:rsid w:val="00DA5D40"/>
    <w:rsid w:val="00DA77C4"/>
    <w:rsid w:val="00DB0CB0"/>
    <w:rsid w:val="00DB2143"/>
    <w:rsid w:val="00DB2633"/>
    <w:rsid w:val="00DB270D"/>
    <w:rsid w:val="00DB27B7"/>
    <w:rsid w:val="00DB2E39"/>
    <w:rsid w:val="00DB4848"/>
    <w:rsid w:val="00DB4E6C"/>
    <w:rsid w:val="00DB7366"/>
    <w:rsid w:val="00DB7B2E"/>
    <w:rsid w:val="00DC1058"/>
    <w:rsid w:val="00DC2E5F"/>
    <w:rsid w:val="00DD0AF3"/>
    <w:rsid w:val="00DD3FB1"/>
    <w:rsid w:val="00DD50C4"/>
    <w:rsid w:val="00DD569A"/>
    <w:rsid w:val="00DD5E20"/>
    <w:rsid w:val="00DD72A9"/>
    <w:rsid w:val="00DE0D81"/>
    <w:rsid w:val="00DE1376"/>
    <w:rsid w:val="00DF2FF7"/>
    <w:rsid w:val="00DF6DA7"/>
    <w:rsid w:val="00DF76BC"/>
    <w:rsid w:val="00DF7A04"/>
    <w:rsid w:val="00E00869"/>
    <w:rsid w:val="00E05E0B"/>
    <w:rsid w:val="00E114ED"/>
    <w:rsid w:val="00E115F7"/>
    <w:rsid w:val="00E13A93"/>
    <w:rsid w:val="00E15790"/>
    <w:rsid w:val="00E15822"/>
    <w:rsid w:val="00E1652E"/>
    <w:rsid w:val="00E220AD"/>
    <w:rsid w:val="00E2270E"/>
    <w:rsid w:val="00E236F9"/>
    <w:rsid w:val="00E2602E"/>
    <w:rsid w:val="00E319F8"/>
    <w:rsid w:val="00E32C43"/>
    <w:rsid w:val="00E3395A"/>
    <w:rsid w:val="00E347E3"/>
    <w:rsid w:val="00E35C31"/>
    <w:rsid w:val="00E36A10"/>
    <w:rsid w:val="00E425EB"/>
    <w:rsid w:val="00E4419F"/>
    <w:rsid w:val="00E4630C"/>
    <w:rsid w:val="00E51AF1"/>
    <w:rsid w:val="00E51CCA"/>
    <w:rsid w:val="00E528CA"/>
    <w:rsid w:val="00E534D8"/>
    <w:rsid w:val="00E540ED"/>
    <w:rsid w:val="00E559E2"/>
    <w:rsid w:val="00E649DB"/>
    <w:rsid w:val="00E65933"/>
    <w:rsid w:val="00E659A2"/>
    <w:rsid w:val="00E67428"/>
    <w:rsid w:val="00E70FE3"/>
    <w:rsid w:val="00E71410"/>
    <w:rsid w:val="00E8034C"/>
    <w:rsid w:val="00E80455"/>
    <w:rsid w:val="00E813AD"/>
    <w:rsid w:val="00E81E75"/>
    <w:rsid w:val="00E81EEE"/>
    <w:rsid w:val="00E82B6A"/>
    <w:rsid w:val="00E86DA3"/>
    <w:rsid w:val="00E9041C"/>
    <w:rsid w:val="00E94898"/>
    <w:rsid w:val="00E94A0E"/>
    <w:rsid w:val="00E96A60"/>
    <w:rsid w:val="00EA2834"/>
    <w:rsid w:val="00EA45C9"/>
    <w:rsid w:val="00EA6F04"/>
    <w:rsid w:val="00EA7741"/>
    <w:rsid w:val="00EB20B8"/>
    <w:rsid w:val="00EB364C"/>
    <w:rsid w:val="00EB489C"/>
    <w:rsid w:val="00EB5B1A"/>
    <w:rsid w:val="00EC7B70"/>
    <w:rsid w:val="00ED0C08"/>
    <w:rsid w:val="00ED0D39"/>
    <w:rsid w:val="00ED1C0F"/>
    <w:rsid w:val="00ED2592"/>
    <w:rsid w:val="00ED2779"/>
    <w:rsid w:val="00ED475D"/>
    <w:rsid w:val="00ED4E72"/>
    <w:rsid w:val="00EE20EB"/>
    <w:rsid w:val="00EE224D"/>
    <w:rsid w:val="00EE36FD"/>
    <w:rsid w:val="00EE794C"/>
    <w:rsid w:val="00EE7DAC"/>
    <w:rsid w:val="00EF071D"/>
    <w:rsid w:val="00EF0758"/>
    <w:rsid w:val="00EF07CD"/>
    <w:rsid w:val="00EF09E7"/>
    <w:rsid w:val="00EF155A"/>
    <w:rsid w:val="00EF1D6B"/>
    <w:rsid w:val="00EF5255"/>
    <w:rsid w:val="00EF5A23"/>
    <w:rsid w:val="00EF64FB"/>
    <w:rsid w:val="00EF69F8"/>
    <w:rsid w:val="00EF6E80"/>
    <w:rsid w:val="00F00582"/>
    <w:rsid w:val="00F018B3"/>
    <w:rsid w:val="00F01D96"/>
    <w:rsid w:val="00F02238"/>
    <w:rsid w:val="00F02513"/>
    <w:rsid w:val="00F02F76"/>
    <w:rsid w:val="00F0416E"/>
    <w:rsid w:val="00F04AFD"/>
    <w:rsid w:val="00F11E19"/>
    <w:rsid w:val="00F1459F"/>
    <w:rsid w:val="00F14FB5"/>
    <w:rsid w:val="00F20276"/>
    <w:rsid w:val="00F205B1"/>
    <w:rsid w:val="00F20FC0"/>
    <w:rsid w:val="00F21296"/>
    <w:rsid w:val="00F21A2D"/>
    <w:rsid w:val="00F22DD8"/>
    <w:rsid w:val="00F25B70"/>
    <w:rsid w:val="00F30E67"/>
    <w:rsid w:val="00F31645"/>
    <w:rsid w:val="00F318E2"/>
    <w:rsid w:val="00F34002"/>
    <w:rsid w:val="00F356E8"/>
    <w:rsid w:val="00F35EC1"/>
    <w:rsid w:val="00F36DBD"/>
    <w:rsid w:val="00F4021E"/>
    <w:rsid w:val="00F40B45"/>
    <w:rsid w:val="00F41598"/>
    <w:rsid w:val="00F427CC"/>
    <w:rsid w:val="00F45CA4"/>
    <w:rsid w:val="00F46383"/>
    <w:rsid w:val="00F515CD"/>
    <w:rsid w:val="00F51A18"/>
    <w:rsid w:val="00F532BC"/>
    <w:rsid w:val="00F53759"/>
    <w:rsid w:val="00F54393"/>
    <w:rsid w:val="00F5450B"/>
    <w:rsid w:val="00F55055"/>
    <w:rsid w:val="00F56832"/>
    <w:rsid w:val="00F569E5"/>
    <w:rsid w:val="00F61052"/>
    <w:rsid w:val="00F6129A"/>
    <w:rsid w:val="00F65607"/>
    <w:rsid w:val="00F66A5E"/>
    <w:rsid w:val="00F67A7E"/>
    <w:rsid w:val="00F719F0"/>
    <w:rsid w:val="00F74D27"/>
    <w:rsid w:val="00F824B4"/>
    <w:rsid w:val="00F84B8B"/>
    <w:rsid w:val="00F8648F"/>
    <w:rsid w:val="00F8663A"/>
    <w:rsid w:val="00F87542"/>
    <w:rsid w:val="00F87BC3"/>
    <w:rsid w:val="00F904C8"/>
    <w:rsid w:val="00FA1A10"/>
    <w:rsid w:val="00FA1C53"/>
    <w:rsid w:val="00FA27DF"/>
    <w:rsid w:val="00FA2EEC"/>
    <w:rsid w:val="00FA466E"/>
    <w:rsid w:val="00FA6C35"/>
    <w:rsid w:val="00FB0AC6"/>
    <w:rsid w:val="00FB0D4A"/>
    <w:rsid w:val="00FB1C88"/>
    <w:rsid w:val="00FB2087"/>
    <w:rsid w:val="00FB3DE6"/>
    <w:rsid w:val="00FB3F4C"/>
    <w:rsid w:val="00FB6202"/>
    <w:rsid w:val="00FB656D"/>
    <w:rsid w:val="00FC0D31"/>
    <w:rsid w:val="00FC2962"/>
    <w:rsid w:val="00FC67D5"/>
    <w:rsid w:val="00FD0281"/>
    <w:rsid w:val="00FD06B0"/>
    <w:rsid w:val="00FD295A"/>
    <w:rsid w:val="00FD3A15"/>
    <w:rsid w:val="00FD3D47"/>
    <w:rsid w:val="00FD4242"/>
    <w:rsid w:val="00FD4BB2"/>
    <w:rsid w:val="00FD5C7B"/>
    <w:rsid w:val="00FD7C49"/>
    <w:rsid w:val="00FE0773"/>
    <w:rsid w:val="00FE0E21"/>
    <w:rsid w:val="00FE1EC5"/>
    <w:rsid w:val="00FE279A"/>
    <w:rsid w:val="00FE2DD2"/>
    <w:rsid w:val="00FE4587"/>
    <w:rsid w:val="00FE7555"/>
    <w:rsid w:val="00FF0438"/>
    <w:rsid w:val="00FF48F6"/>
    <w:rsid w:val="00FF60BC"/>
    <w:rsid w:val="00FF78BB"/>
    <w:rsid w:val="3EFF9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0454FD"/>
  <w15:docId w15:val="{26CB7730-F814-467A-9204-E6BD8210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CCD"/>
  </w:style>
  <w:style w:type="paragraph" w:styleId="Heading1">
    <w:name w:val="heading 1"/>
    <w:basedOn w:val="Normal"/>
    <w:next w:val="Paragraph"/>
    <w:link w:val="Heading1Char"/>
    <w:qFormat/>
    <w:rsid w:val="00C34D0E"/>
    <w:pPr>
      <w:keepNext/>
      <w:keepLines/>
      <w:widowControl w:val="0"/>
      <w:numPr>
        <w:numId w:val="1"/>
      </w:numPr>
      <w:tabs>
        <w:tab w:val="left" w:pos="851"/>
      </w:tabs>
      <w:spacing w:before="240" w:after="120"/>
      <w:jc w:val="both"/>
      <w:outlineLvl w:val="0"/>
    </w:pPr>
    <w:rPr>
      <w:rFonts w:ascii="Arial" w:eastAsia="Times New Roman" w:hAnsi="Arial" w:cs="Times New Roman"/>
      <w:b/>
      <w:caps/>
      <w:color w:val="000000"/>
      <w:sz w:val="28"/>
      <w:szCs w:val="28"/>
      <w:lang w:eastAsia="it-IT"/>
    </w:rPr>
  </w:style>
  <w:style w:type="paragraph" w:styleId="Heading2">
    <w:name w:val="heading 2"/>
    <w:basedOn w:val="Normal"/>
    <w:next w:val="Paragraph"/>
    <w:link w:val="Heading2Char"/>
    <w:qFormat/>
    <w:rsid w:val="00C34D0E"/>
    <w:pPr>
      <w:keepNext/>
      <w:keepLines/>
      <w:numPr>
        <w:ilvl w:val="1"/>
        <w:numId w:val="1"/>
      </w:numPr>
      <w:tabs>
        <w:tab w:val="left" w:pos="851"/>
      </w:tabs>
      <w:spacing w:before="240" w:after="120"/>
      <w:jc w:val="both"/>
      <w:outlineLvl w:val="1"/>
    </w:pPr>
    <w:rPr>
      <w:rFonts w:ascii="Arial" w:eastAsia="Times New Roman" w:hAnsi="Arial" w:cs="Times New Roman"/>
      <w:b/>
      <w:caps/>
      <w:color w:val="000000"/>
      <w:lang w:val="it-IT" w:eastAsia="it-IT"/>
    </w:rPr>
  </w:style>
  <w:style w:type="paragraph" w:styleId="Heading3">
    <w:name w:val="heading 3"/>
    <w:basedOn w:val="Normal"/>
    <w:next w:val="Paragraph"/>
    <w:link w:val="Heading3Char"/>
    <w:qFormat/>
    <w:rsid w:val="00C34D0E"/>
    <w:pPr>
      <w:keepNext/>
      <w:keepLines/>
      <w:numPr>
        <w:ilvl w:val="2"/>
        <w:numId w:val="1"/>
      </w:numPr>
      <w:tabs>
        <w:tab w:val="left" w:pos="851"/>
      </w:tabs>
      <w:spacing w:before="240" w:after="120"/>
      <w:jc w:val="both"/>
      <w:outlineLvl w:val="2"/>
    </w:pPr>
    <w:rPr>
      <w:rFonts w:ascii="Arial" w:eastAsia="Times New Roman" w:hAnsi="Arial" w:cs="Times New Roman"/>
      <w:b/>
      <w:noProof/>
      <w:color w:val="000000"/>
      <w:sz w:val="22"/>
      <w:szCs w:val="20"/>
      <w:lang w:val="it-IT" w:eastAsia="it-IT"/>
    </w:rPr>
  </w:style>
  <w:style w:type="paragraph" w:styleId="Heading4">
    <w:name w:val="heading 4"/>
    <w:basedOn w:val="Normal"/>
    <w:next w:val="Paragraph"/>
    <w:link w:val="Heading4Char"/>
    <w:qFormat/>
    <w:rsid w:val="00C34D0E"/>
    <w:pPr>
      <w:keepNext/>
      <w:keepLines/>
      <w:numPr>
        <w:ilvl w:val="3"/>
        <w:numId w:val="1"/>
      </w:numPr>
      <w:tabs>
        <w:tab w:val="left" w:pos="851"/>
      </w:tabs>
      <w:spacing w:before="240" w:after="120"/>
      <w:jc w:val="both"/>
      <w:outlineLvl w:val="3"/>
    </w:pPr>
    <w:rPr>
      <w:rFonts w:ascii="Arial" w:eastAsia="Times New Roman" w:hAnsi="Arial" w:cs="Times New Roman"/>
      <w:color w:val="000000"/>
      <w:sz w:val="20"/>
      <w:szCs w:val="20"/>
      <w:u w:val="single"/>
      <w:lang w:val="it-IT" w:eastAsia="it-IT"/>
    </w:rPr>
  </w:style>
  <w:style w:type="paragraph" w:styleId="Heading5">
    <w:name w:val="heading 5"/>
    <w:basedOn w:val="Normal"/>
    <w:next w:val="Paragraph"/>
    <w:link w:val="Heading5Char"/>
    <w:qFormat/>
    <w:rsid w:val="00C34D0E"/>
    <w:pPr>
      <w:numPr>
        <w:ilvl w:val="4"/>
        <w:numId w:val="1"/>
      </w:numPr>
      <w:tabs>
        <w:tab w:val="left" w:pos="851"/>
      </w:tabs>
      <w:spacing w:before="240" w:after="120"/>
      <w:jc w:val="both"/>
      <w:outlineLvl w:val="4"/>
    </w:pPr>
    <w:rPr>
      <w:rFonts w:ascii="Arial" w:eastAsia="Times New Roman" w:hAnsi="Arial" w:cs="Times New Roman"/>
      <w:i/>
      <w:sz w:val="18"/>
      <w:szCs w:val="20"/>
      <w:u w:val="single"/>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D0E"/>
    <w:rPr>
      <w:rFonts w:ascii="Arial" w:eastAsia="Times New Roman" w:hAnsi="Arial" w:cs="Times New Roman"/>
      <w:b/>
      <w:caps/>
      <w:color w:val="000000"/>
      <w:sz w:val="28"/>
      <w:szCs w:val="28"/>
      <w:lang w:eastAsia="it-IT"/>
    </w:rPr>
  </w:style>
  <w:style w:type="character" w:customStyle="1" w:styleId="Heading2Char">
    <w:name w:val="Heading 2 Char"/>
    <w:basedOn w:val="DefaultParagraphFont"/>
    <w:link w:val="Heading2"/>
    <w:rsid w:val="00C34D0E"/>
    <w:rPr>
      <w:rFonts w:ascii="Arial" w:eastAsia="Times New Roman" w:hAnsi="Arial" w:cs="Times New Roman"/>
      <w:b/>
      <w:caps/>
      <w:color w:val="000000"/>
      <w:lang w:val="it-IT" w:eastAsia="it-IT"/>
    </w:rPr>
  </w:style>
  <w:style w:type="character" w:customStyle="1" w:styleId="Heading3Char">
    <w:name w:val="Heading 3 Char"/>
    <w:basedOn w:val="DefaultParagraphFont"/>
    <w:link w:val="Heading3"/>
    <w:rsid w:val="00C34D0E"/>
    <w:rPr>
      <w:rFonts w:ascii="Arial" w:eastAsia="Times New Roman" w:hAnsi="Arial" w:cs="Times New Roman"/>
      <w:b/>
      <w:noProof/>
      <w:color w:val="000000"/>
      <w:sz w:val="22"/>
      <w:szCs w:val="20"/>
      <w:lang w:val="it-IT" w:eastAsia="it-IT"/>
    </w:rPr>
  </w:style>
  <w:style w:type="character" w:customStyle="1" w:styleId="Heading4Char">
    <w:name w:val="Heading 4 Char"/>
    <w:basedOn w:val="DefaultParagraphFont"/>
    <w:link w:val="Heading4"/>
    <w:rsid w:val="00C34D0E"/>
    <w:rPr>
      <w:rFonts w:ascii="Arial" w:eastAsia="Times New Roman" w:hAnsi="Arial" w:cs="Times New Roman"/>
      <w:color w:val="000000"/>
      <w:sz w:val="20"/>
      <w:szCs w:val="20"/>
      <w:u w:val="single"/>
      <w:lang w:val="it-IT" w:eastAsia="it-IT"/>
    </w:rPr>
  </w:style>
  <w:style w:type="character" w:customStyle="1" w:styleId="Heading5Char">
    <w:name w:val="Heading 5 Char"/>
    <w:basedOn w:val="DefaultParagraphFont"/>
    <w:link w:val="Heading5"/>
    <w:rsid w:val="00C34D0E"/>
    <w:rPr>
      <w:rFonts w:ascii="Arial" w:eastAsia="Times New Roman" w:hAnsi="Arial" w:cs="Times New Roman"/>
      <w:i/>
      <w:sz w:val="18"/>
      <w:szCs w:val="20"/>
      <w:u w:val="single"/>
      <w:lang w:val="it-IT" w:eastAsia="it-IT"/>
    </w:rPr>
  </w:style>
  <w:style w:type="character" w:styleId="CommentReference">
    <w:name w:val="annotation reference"/>
    <w:basedOn w:val="DefaultParagraphFont"/>
    <w:rsid w:val="00C34D0E"/>
    <w:rPr>
      <w:sz w:val="16"/>
      <w:szCs w:val="16"/>
    </w:rPr>
  </w:style>
  <w:style w:type="paragraph" w:styleId="CommentText">
    <w:name w:val="annotation text"/>
    <w:basedOn w:val="Normal"/>
    <w:link w:val="CommentTextChar"/>
    <w:rsid w:val="00C34D0E"/>
    <w:pPr>
      <w:jc w:val="both"/>
    </w:pPr>
    <w:rPr>
      <w:rFonts w:ascii="Times New Roman" w:eastAsia="Times New Roman" w:hAnsi="Times New Roman" w:cs="Times New Roman"/>
      <w:sz w:val="20"/>
      <w:szCs w:val="20"/>
      <w:lang w:val="it-IT" w:eastAsia="it-IT"/>
    </w:rPr>
  </w:style>
  <w:style w:type="character" w:customStyle="1" w:styleId="CommentTextChar">
    <w:name w:val="Comment Text Char"/>
    <w:basedOn w:val="DefaultParagraphFont"/>
    <w:link w:val="CommentText"/>
    <w:rsid w:val="00C34D0E"/>
    <w:rPr>
      <w:rFonts w:ascii="Times New Roman" w:eastAsia="Times New Roman" w:hAnsi="Times New Roman" w:cs="Times New Roman"/>
      <w:sz w:val="20"/>
      <w:szCs w:val="20"/>
      <w:lang w:val="it-IT" w:eastAsia="it-IT"/>
    </w:rPr>
  </w:style>
  <w:style w:type="paragraph" w:customStyle="1" w:styleId="Paragraph">
    <w:name w:val="Paragraph"/>
    <w:aliases w:val="paragraph,p,PARAGRAPH,PG,pa,at"/>
    <w:basedOn w:val="Normal"/>
    <w:link w:val="ParagraphChar"/>
    <w:qFormat/>
    <w:rsid w:val="00C34D0E"/>
    <w:pPr>
      <w:tabs>
        <w:tab w:val="left" w:pos="851"/>
      </w:tabs>
      <w:spacing w:before="120" w:after="120"/>
      <w:jc w:val="both"/>
    </w:pPr>
    <w:rPr>
      <w:rFonts w:ascii="Arial" w:eastAsia="Times New Roman" w:hAnsi="Arial" w:cs="Times New Roman"/>
      <w:sz w:val="22"/>
      <w:lang w:val="it-IT" w:eastAsia="it-IT"/>
    </w:rPr>
  </w:style>
  <w:style w:type="character" w:customStyle="1" w:styleId="ParagraphChar">
    <w:name w:val="Paragraph Char"/>
    <w:basedOn w:val="DefaultParagraphFont"/>
    <w:link w:val="Paragraph"/>
    <w:rsid w:val="00C34D0E"/>
    <w:rPr>
      <w:rFonts w:ascii="Arial" w:eastAsia="Times New Roman" w:hAnsi="Arial" w:cs="Times New Roman"/>
      <w:sz w:val="22"/>
      <w:lang w:val="it-IT" w:eastAsia="it-IT"/>
    </w:rPr>
  </w:style>
  <w:style w:type="paragraph" w:styleId="BalloonText">
    <w:name w:val="Balloon Text"/>
    <w:basedOn w:val="Normal"/>
    <w:link w:val="BalloonTextChar"/>
    <w:uiPriority w:val="99"/>
    <w:semiHidden/>
    <w:unhideWhenUsed/>
    <w:rsid w:val="00C34D0E"/>
    <w:rPr>
      <w:rFonts w:ascii="Lucida Grande" w:hAnsi="Lucida Grande"/>
      <w:sz w:val="18"/>
      <w:szCs w:val="18"/>
    </w:rPr>
  </w:style>
  <w:style w:type="character" w:customStyle="1" w:styleId="BalloonTextChar">
    <w:name w:val="Balloon Text Char"/>
    <w:basedOn w:val="DefaultParagraphFont"/>
    <w:link w:val="BalloonText"/>
    <w:uiPriority w:val="99"/>
    <w:semiHidden/>
    <w:rsid w:val="00C34D0E"/>
    <w:rPr>
      <w:rFonts w:ascii="Lucida Grande" w:hAnsi="Lucida Grande"/>
      <w:sz w:val="18"/>
      <w:szCs w:val="18"/>
    </w:rPr>
  </w:style>
  <w:style w:type="paragraph" w:styleId="Header">
    <w:name w:val="header"/>
    <w:basedOn w:val="Normal"/>
    <w:link w:val="HeaderChar"/>
    <w:uiPriority w:val="99"/>
    <w:unhideWhenUsed/>
    <w:rsid w:val="00953C33"/>
    <w:pPr>
      <w:tabs>
        <w:tab w:val="center" w:pos="4320"/>
        <w:tab w:val="right" w:pos="8640"/>
      </w:tabs>
    </w:pPr>
  </w:style>
  <w:style w:type="character" w:customStyle="1" w:styleId="HeaderChar">
    <w:name w:val="Header Char"/>
    <w:basedOn w:val="DefaultParagraphFont"/>
    <w:link w:val="Header"/>
    <w:uiPriority w:val="99"/>
    <w:rsid w:val="00953C33"/>
  </w:style>
  <w:style w:type="paragraph" w:styleId="Footer">
    <w:name w:val="footer"/>
    <w:basedOn w:val="Normal"/>
    <w:link w:val="FooterChar"/>
    <w:uiPriority w:val="99"/>
    <w:unhideWhenUsed/>
    <w:rsid w:val="00953C33"/>
    <w:pPr>
      <w:tabs>
        <w:tab w:val="center" w:pos="4320"/>
        <w:tab w:val="right" w:pos="8640"/>
      </w:tabs>
    </w:pPr>
  </w:style>
  <w:style w:type="character" w:customStyle="1" w:styleId="FooterChar">
    <w:name w:val="Footer Char"/>
    <w:basedOn w:val="DefaultParagraphFont"/>
    <w:link w:val="Footer"/>
    <w:uiPriority w:val="99"/>
    <w:rsid w:val="00953C33"/>
  </w:style>
  <w:style w:type="paragraph" w:styleId="NormalWeb">
    <w:name w:val="Normal (Web)"/>
    <w:basedOn w:val="Normal"/>
    <w:uiPriority w:val="99"/>
    <w:unhideWhenUsed/>
    <w:rsid w:val="00953C33"/>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953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F3A1B"/>
    <w:pPr>
      <w:widowControl/>
      <w:numPr>
        <w:numId w:val="0"/>
      </w:numPr>
      <w:tabs>
        <w:tab w:val="clear" w:pos="851"/>
      </w:tabs>
      <w:spacing w:before="480" w:after="0" w:line="276" w:lineRule="auto"/>
      <w:jc w:val="left"/>
      <w:outlineLvl w:val="9"/>
    </w:pPr>
    <w:rPr>
      <w:rFonts w:asciiTheme="majorHAnsi" w:eastAsiaTheme="majorEastAsia" w:hAnsiTheme="majorHAnsi" w:cstheme="majorBidi"/>
      <w:bCs/>
      <w:caps w:val="0"/>
      <w:color w:val="365F91" w:themeColor="accent1" w:themeShade="BF"/>
      <w:lang w:eastAsia="en-US"/>
    </w:rPr>
  </w:style>
  <w:style w:type="paragraph" w:styleId="TOC3">
    <w:name w:val="toc 3"/>
    <w:basedOn w:val="Normal"/>
    <w:next w:val="Normal"/>
    <w:autoRedefine/>
    <w:uiPriority w:val="39"/>
    <w:unhideWhenUsed/>
    <w:rsid w:val="008F3A1B"/>
    <w:pPr>
      <w:ind w:left="480"/>
    </w:pPr>
    <w:rPr>
      <w:sz w:val="22"/>
      <w:szCs w:val="22"/>
    </w:rPr>
  </w:style>
  <w:style w:type="paragraph" w:styleId="TOC1">
    <w:name w:val="toc 1"/>
    <w:basedOn w:val="Normal"/>
    <w:next w:val="Normal"/>
    <w:autoRedefine/>
    <w:uiPriority w:val="39"/>
    <w:semiHidden/>
    <w:unhideWhenUsed/>
    <w:rsid w:val="008F3A1B"/>
    <w:pPr>
      <w:spacing w:before="120"/>
    </w:pPr>
    <w:rPr>
      <w:b/>
    </w:rPr>
  </w:style>
  <w:style w:type="paragraph" w:styleId="TOC2">
    <w:name w:val="toc 2"/>
    <w:basedOn w:val="Normal"/>
    <w:next w:val="Normal"/>
    <w:autoRedefine/>
    <w:uiPriority w:val="39"/>
    <w:semiHidden/>
    <w:unhideWhenUsed/>
    <w:rsid w:val="008F3A1B"/>
    <w:pPr>
      <w:ind w:left="240"/>
    </w:pPr>
    <w:rPr>
      <w:b/>
      <w:sz w:val="22"/>
      <w:szCs w:val="22"/>
    </w:rPr>
  </w:style>
  <w:style w:type="paragraph" w:styleId="TOC4">
    <w:name w:val="toc 4"/>
    <w:basedOn w:val="Normal"/>
    <w:next w:val="Normal"/>
    <w:autoRedefine/>
    <w:uiPriority w:val="39"/>
    <w:semiHidden/>
    <w:unhideWhenUsed/>
    <w:rsid w:val="008F3A1B"/>
    <w:pPr>
      <w:ind w:left="720"/>
    </w:pPr>
    <w:rPr>
      <w:sz w:val="20"/>
      <w:szCs w:val="20"/>
    </w:rPr>
  </w:style>
  <w:style w:type="paragraph" w:styleId="TOC5">
    <w:name w:val="toc 5"/>
    <w:basedOn w:val="Normal"/>
    <w:next w:val="Normal"/>
    <w:autoRedefine/>
    <w:uiPriority w:val="39"/>
    <w:semiHidden/>
    <w:unhideWhenUsed/>
    <w:rsid w:val="008F3A1B"/>
    <w:pPr>
      <w:ind w:left="960"/>
    </w:pPr>
    <w:rPr>
      <w:sz w:val="20"/>
      <w:szCs w:val="20"/>
    </w:rPr>
  </w:style>
  <w:style w:type="paragraph" w:styleId="TOC6">
    <w:name w:val="toc 6"/>
    <w:basedOn w:val="Normal"/>
    <w:next w:val="Normal"/>
    <w:autoRedefine/>
    <w:uiPriority w:val="39"/>
    <w:semiHidden/>
    <w:unhideWhenUsed/>
    <w:rsid w:val="008F3A1B"/>
    <w:pPr>
      <w:ind w:left="1200"/>
    </w:pPr>
    <w:rPr>
      <w:sz w:val="20"/>
      <w:szCs w:val="20"/>
    </w:rPr>
  </w:style>
  <w:style w:type="paragraph" w:styleId="TOC7">
    <w:name w:val="toc 7"/>
    <w:basedOn w:val="Normal"/>
    <w:next w:val="Normal"/>
    <w:autoRedefine/>
    <w:uiPriority w:val="39"/>
    <w:semiHidden/>
    <w:unhideWhenUsed/>
    <w:rsid w:val="008F3A1B"/>
    <w:pPr>
      <w:ind w:left="1440"/>
    </w:pPr>
    <w:rPr>
      <w:sz w:val="20"/>
      <w:szCs w:val="20"/>
    </w:rPr>
  </w:style>
  <w:style w:type="paragraph" w:styleId="TOC8">
    <w:name w:val="toc 8"/>
    <w:basedOn w:val="Normal"/>
    <w:next w:val="Normal"/>
    <w:autoRedefine/>
    <w:uiPriority w:val="39"/>
    <w:semiHidden/>
    <w:unhideWhenUsed/>
    <w:rsid w:val="008F3A1B"/>
    <w:pPr>
      <w:ind w:left="1680"/>
    </w:pPr>
    <w:rPr>
      <w:sz w:val="20"/>
      <w:szCs w:val="20"/>
    </w:rPr>
  </w:style>
  <w:style w:type="paragraph" w:styleId="TOC9">
    <w:name w:val="toc 9"/>
    <w:basedOn w:val="Normal"/>
    <w:next w:val="Normal"/>
    <w:autoRedefine/>
    <w:uiPriority w:val="39"/>
    <w:semiHidden/>
    <w:unhideWhenUsed/>
    <w:rsid w:val="008F3A1B"/>
    <w:pPr>
      <w:ind w:left="1920"/>
    </w:pPr>
    <w:rPr>
      <w:sz w:val="20"/>
      <w:szCs w:val="20"/>
    </w:rPr>
  </w:style>
  <w:style w:type="paragraph" w:customStyle="1" w:styleId="Default">
    <w:name w:val="Default"/>
    <w:rsid w:val="00182417"/>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link w:val="ListParagraphChar"/>
    <w:uiPriority w:val="34"/>
    <w:qFormat/>
    <w:rsid w:val="00182417"/>
    <w:pPr>
      <w:ind w:left="720"/>
      <w:contextualSpacing/>
    </w:pPr>
  </w:style>
  <w:style w:type="paragraph" w:styleId="FootnoteText">
    <w:name w:val="footnote text"/>
    <w:aliases w:val="Car,footnote text1,single space,F,Style 25,newfootnotetext,fn,Char Char,ft,footnote"/>
    <w:basedOn w:val="Normal"/>
    <w:link w:val="FootnoteTextChar"/>
    <w:uiPriority w:val="99"/>
    <w:unhideWhenUsed/>
    <w:rsid w:val="00356C72"/>
  </w:style>
  <w:style w:type="character" w:customStyle="1" w:styleId="FootnoteTextChar">
    <w:name w:val="Footnote Text Char"/>
    <w:aliases w:val="Car Char,footnote text1 Char,single space Char,F Char,Style 25 Char,newfootnotetext Char,fn Char,Char Char Char,ft Char,footnote Char"/>
    <w:basedOn w:val="DefaultParagraphFont"/>
    <w:link w:val="FootnoteText"/>
    <w:uiPriority w:val="99"/>
    <w:rsid w:val="00356C72"/>
  </w:style>
  <w:style w:type="character" w:styleId="FootnoteReference">
    <w:name w:val="footnote reference"/>
    <w:aliases w:val="Style 24"/>
    <w:basedOn w:val="DefaultParagraphFont"/>
    <w:unhideWhenUsed/>
    <w:rsid w:val="00356C72"/>
    <w:rPr>
      <w:vertAlign w:val="superscript"/>
    </w:rPr>
  </w:style>
  <w:style w:type="paragraph" w:styleId="EndnoteText">
    <w:name w:val="endnote text"/>
    <w:basedOn w:val="Normal"/>
    <w:link w:val="EndnoteTextChar"/>
    <w:uiPriority w:val="99"/>
    <w:unhideWhenUsed/>
    <w:rsid w:val="00CD70DC"/>
  </w:style>
  <w:style w:type="character" w:customStyle="1" w:styleId="EndnoteTextChar">
    <w:name w:val="Endnote Text Char"/>
    <w:basedOn w:val="DefaultParagraphFont"/>
    <w:link w:val="EndnoteText"/>
    <w:uiPriority w:val="99"/>
    <w:rsid w:val="00CD70DC"/>
  </w:style>
  <w:style w:type="character" w:styleId="EndnoteReference">
    <w:name w:val="endnote reference"/>
    <w:basedOn w:val="DefaultParagraphFont"/>
    <w:uiPriority w:val="99"/>
    <w:unhideWhenUsed/>
    <w:rsid w:val="00CD70DC"/>
    <w:rPr>
      <w:vertAlign w:val="superscript"/>
    </w:rPr>
  </w:style>
  <w:style w:type="paragraph" w:styleId="BodyTextIndent">
    <w:name w:val="Body Text Indent"/>
    <w:basedOn w:val="Normal"/>
    <w:link w:val="BodyTextIndentChar"/>
    <w:rsid w:val="00CD70DC"/>
    <w:pPr>
      <w:spacing w:after="240"/>
      <w:ind w:left="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CD70DC"/>
    <w:rPr>
      <w:rFonts w:ascii="Times New Roman" w:eastAsia="Times New Roman" w:hAnsi="Times New Roman" w:cs="Times New Roman"/>
      <w:szCs w:val="20"/>
    </w:rPr>
  </w:style>
  <w:style w:type="paragraph" w:styleId="BodyText">
    <w:name w:val="Body Text"/>
    <w:basedOn w:val="Normal"/>
    <w:link w:val="BodyTextChar"/>
    <w:uiPriority w:val="99"/>
    <w:unhideWhenUsed/>
    <w:rsid w:val="00AB569A"/>
    <w:pPr>
      <w:spacing w:after="120"/>
    </w:pPr>
  </w:style>
  <w:style w:type="character" w:customStyle="1" w:styleId="BodyTextChar">
    <w:name w:val="Body Text Char"/>
    <w:basedOn w:val="DefaultParagraphFont"/>
    <w:link w:val="BodyText"/>
    <w:uiPriority w:val="99"/>
    <w:rsid w:val="00AB569A"/>
  </w:style>
  <w:style w:type="character" w:styleId="Hyperlink">
    <w:name w:val="Hyperlink"/>
    <w:rsid w:val="00AB569A"/>
    <w:rPr>
      <w:color w:val="0000FF"/>
      <w:u w:val="single"/>
    </w:rPr>
  </w:style>
  <w:style w:type="table" w:styleId="LightShading-Accent1">
    <w:name w:val="Light Shading Accent 1"/>
    <w:basedOn w:val="TableNormal"/>
    <w:uiPriority w:val="60"/>
    <w:rsid w:val="00484A1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484A1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484A1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484A1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484A1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484A1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CommentSubject">
    <w:name w:val="annotation subject"/>
    <w:basedOn w:val="CommentText"/>
    <w:next w:val="CommentText"/>
    <w:link w:val="CommentSubjectChar"/>
    <w:uiPriority w:val="99"/>
    <w:semiHidden/>
    <w:unhideWhenUsed/>
    <w:rsid w:val="000840FB"/>
    <w:pPr>
      <w:jc w:val="left"/>
    </w:pPr>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0840FB"/>
    <w:rPr>
      <w:rFonts w:ascii="Times New Roman" w:eastAsia="Times New Roman" w:hAnsi="Times New Roman" w:cs="Times New Roman"/>
      <w:b/>
      <w:bCs/>
      <w:sz w:val="20"/>
      <w:szCs w:val="20"/>
      <w:lang w:val="it-IT" w:eastAsia="it-IT"/>
    </w:rPr>
  </w:style>
  <w:style w:type="paragraph" w:styleId="Revision">
    <w:name w:val="Revision"/>
    <w:hidden/>
    <w:uiPriority w:val="99"/>
    <w:semiHidden/>
    <w:rsid w:val="00F54393"/>
  </w:style>
  <w:style w:type="character" w:customStyle="1" w:styleId="hps">
    <w:name w:val="hps"/>
    <w:basedOn w:val="DefaultParagraphFont"/>
    <w:rsid w:val="00BE1ADE"/>
  </w:style>
  <w:style w:type="character" w:styleId="UnresolvedMention">
    <w:name w:val="Unresolved Mention"/>
    <w:basedOn w:val="DefaultParagraphFont"/>
    <w:uiPriority w:val="99"/>
    <w:semiHidden/>
    <w:unhideWhenUsed/>
    <w:rsid w:val="002D1353"/>
    <w:rPr>
      <w:color w:val="808080"/>
      <w:shd w:val="clear" w:color="auto" w:fill="E6E6E6"/>
    </w:rPr>
  </w:style>
  <w:style w:type="character" w:styleId="FollowedHyperlink">
    <w:name w:val="FollowedHyperlink"/>
    <w:basedOn w:val="DefaultParagraphFont"/>
    <w:uiPriority w:val="99"/>
    <w:semiHidden/>
    <w:unhideWhenUsed/>
    <w:rsid w:val="00233E8C"/>
    <w:rPr>
      <w:color w:val="800080" w:themeColor="followedHyperlink"/>
      <w:u w:val="single"/>
    </w:rPr>
  </w:style>
  <w:style w:type="paragraph" w:customStyle="1" w:styleId="Chapter">
    <w:name w:val="Chapter"/>
    <w:basedOn w:val="Normal"/>
    <w:next w:val="Normal"/>
    <w:rsid w:val="00872D47"/>
    <w:pPr>
      <w:keepNext/>
      <w:tabs>
        <w:tab w:val="num" w:pos="648"/>
        <w:tab w:val="left" w:pos="1440"/>
      </w:tabs>
      <w:spacing w:before="240" w:after="240"/>
      <w:ind w:firstLine="288"/>
      <w:jc w:val="center"/>
    </w:pPr>
    <w:rPr>
      <w:rFonts w:ascii="Times New Roman" w:eastAsia="Times New Roman" w:hAnsi="Times New Roman" w:cs="Times New Roman"/>
      <w:b/>
      <w:smallCaps/>
      <w:szCs w:val="20"/>
      <w:lang w:val="es-ES_tradnl"/>
    </w:rPr>
  </w:style>
  <w:style w:type="paragraph" w:customStyle="1" w:styleId="subpar">
    <w:name w:val="subpar"/>
    <w:basedOn w:val="BodyTextIndent3"/>
    <w:rsid w:val="00872D47"/>
    <w:pPr>
      <w:tabs>
        <w:tab w:val="num" w:pos="1152"/>
      </w:tabs>
      <w:spacing w:before="120"/>
      <w:ind w:left="1152" w:hanging="18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uiPriority w:val="99"/>
    <w:rsid w:val="00872D47"/>
    <w:pPr>
      <w:tabs>
        <w:tab w:val="clear" w:pos="1152"/>
        <w:tab w:val="left" w:pos="0"/>
        <w:tab w:val="num" w:pos="1296"/>
      </w:tabs>
      <w:ind w:left="1296" w:hanging="360"/>
    </w:pPr>
  </w:style>
  <w:style w:type="character" w:customStyle="1" w:styleId="ParagraphCar">
    <w:name w:val="Paragraph Car"/>
    <w:rsid w:val="00872D47"/>
    <w:rPr>
      <w:sz w:val="24"/>
      <w:lang w:val="es-ES_tradnl"/>
    </w:rPr>
  </w:style>
  <w:style w:type="paragraph" w:styleId="BodyTextIndent3">
    <w:name w:val="Body Text Indent 3"/>
    <w:basedOn w:val="Normal"/>
    <w:link w:val="BodyTextIndent3Char"/>
    <w:uiPriority w:val="99"/>
    <w:semiHidden/>
    <w:unhideWhenUsed/>
    <w:rsid w:val="00872D4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72D47"/>
    <w:rPr>
      <w:sz w:val="16"/>
      <w:szCs w:val="16"/>
    </w:rPr>
  </w:style>
  <w:style w:type="paragraph" w:styleId="Title">
    <w:name w:val="Title"/>
    <w:basedOn w:val="Normal"/>
    <w:link w:val="TitleChar"/>
    <w:qFormat/>
    <w:rsid w:val="0087656B"/>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87656B"/>
    <w:rPr>
      <w:rFonts w:ascii="Times New Roman" w:eastAsia="Times New Roman" w:hAnsi="Times New Roman" w:cs="Times New Roman"/>
      <w:b/>
      <w:szCs w:val="20"/>
    </w:rPr>
  </w:style>
  <w:style w:type="character" w:customStyle="1" w:styleId="ListParagraphChar">
    <w:name w:val="List Paragraph Char"/>
    <w:basedOn w:val="DefaultParagraphFont"/>
    <w:link w:val="ListParagraph"/>
    <w:uiPriority w:val="34"/>
    <w:rsid w:val="00876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93031">
      <w:bodyDiv w:val="1"/>
      <w:marLeft w:val="0"/>
      <w:marRight w:val="0"/>
      <w:marTop w:val="0"/>
      <w:marBottom w:val="0"/>
      <w:divBdr>
        <w:top w:val="none" w:sz="0" w:space="0" w:color="auto"/>
        <w:left w:val="none" w:sz="0" w:space="0" w:color="auto"/>
        <w:bottom w:val="none" w:sz="0" w:space="0" w:color="auto"/>
        <w:right w:val="none" w:sz="0" w:space="0" w:color="auto"/>
      </w:divBdr>
    </w:div>
    <w:div w:id="474104507">
      <w:bodyDiv w:val="1"/>
      <w:marLeft w:val="0"/>
      <w:marRight w:val="0"/>
      <w:marTop w:val="0"/>
      <w:marBottom w:val="0"/>
      <w:divBdr>
        <w:top w:val="none" w:sz="0" w:space="0" w:color="auto"/>
        <w:left w:val="none" w:sz="0" w:space="0" w:color="auto"/>
        <w:bottom w:val="none" w:sz="0" w:space="0" w:color="auto"/>
        <w:right w:val="none" w:sz="0" w:space="0" w:color="auto"/>
      </w:divBdr>
    </w:div>
    <w:div w:id="596866858">
      <w:bodyDiv w:val="1"/>
      <w:marLeft w:val="0"/>
      <w:marRight w:val="0"/>
      <w:marTop w:val="0"/>
      <w:marBottom w:val="0"/>
      <w:divBdr>
        <w:top w:val="none" w:sz="0" w:space="0" w:color="auto"/>
        <w:left w:val="none" w:sz="0" w:space="0" w:color="auto"/>
        <w:bottom w:val="none" w:sz="0" w:space="0" w:color="auto"/>
        <w:right w:val="none" w:sz="0" w:space="0" w:color="auto"/>
      </w:divBdr>
    </w:div>
    <w:div w:id="855852743">
      <w:bodyDiv w:val="1"/>
      <w:marLeft w:val="0"/>
      <w:marRight w:val="0"/>
      <w:marTop w:val="0"/>
      <w:marBottom w:val="0"/>
      <w:divBdr>
        <w:top w:val="none" w:sz="0" w:space="0" w:color="auto"/>
        <w:left w:val="none" w:sz="0" w:space="0" w:color="auto"/>
        <w:bottom w:val="none" w:sz="0" w:space="0" w:color="auto"/>
        <w:right w:val="none" w:sz="0" w:space="0" w:color="auto"/>
      </w:divBdr>
      <w:divsChild>
        <w:div w:id="35395738">
          <w:marLeft w:val="1166"/>
          <w:marRight w:val="0"/>
          <w:marTop w:val="115"/>
          <w:marBottom w:val="0"/>
          <w:divBdr>
            <w:top w:val="none" w:sz="0" w:space="0" w:color="auto"/>
            <w:left w:val="none" w:sz="0" w:space="0" w:color="auto"/>
            <w:bottom w:val="none" w:sz="0" w:space="0" w:color="auto"/>
            <w:right w:val="none" w:sz="0" w:space="0" w:color="auto"/>
          </w:divBdr>
        </w:div>
        <w:div w:id="923879111">
          <w:marLeft w:val="1166"/>
          <w:marRight w:val="0"/>
          <w:marTop w:val="115"/>
          <w:marBottom w:val="0"/>
          <w:divBdr>
            <w:top w:val="none" w:sz="0" w:space="0" w:color="auto"/>
            <w:left w:val="none" w:sz="0" w:space="0" w:color="auto"/>
            <w:bottom w:val="none" w:sz="0" w:space="0" w:color="auto"/>
            <w:right w:val="none" w:sz="0" w:space="0" w:color="auto"/>
          </w:divBdr>
        </w:div>
        <w:div w:id="1150249516">
          <w:marLeft w:val="1166"/>
          <w:marRight w:val="0"/>
          <w:marTop w:val="115"/>
          <w:marBottom w:val="0"/>
          <w:divBdr>
            <w:top w:val="none" w:sz="0" w:space="0" w:color="auto"/>
            <w:left w:val="none" w:sz="0" w:space="0" w:color="auto"/>
            <w:bottom w:val="none" w:sz="0" w:space="0" w:color="auto"/>
            <w:right w:val="none" w:sz="0" w:space="0" w:color="auto"/>
          </w:divBdr>
        </w:div>
        <w:div w:id="1195465705">
          <w:marLeft w:val="547"/>
          <w:marRight w:val="0"/>
          <w:marTop w:val="134"/>
          <w:marBottom w:val="0"/>
          <w:divBdr>
            <w:top w:val="none" w:sz="0" w:space="0" w:color="auto"/>
            <w:left w:val="none" w:sz="0" w:space="0" w:color="auto"/>
            <w:bottom w:val="none" w:sz="0" w:space="0" w:color="auto"/>
            <w:right w:val="none" w:sz="0" w:space="0" w:color="auto"/>
          </w:divBdr>
        </w:div>
        <w:div w:id="1345742308">
          <w:marLeft w:val="1166"/>
          <w:marRight w:val="0"/>
          <w:marTop w:val="115"/>
          <w:marBottom w:val="0"/>
          <w:divBdr>
            <w:top w:val="none" w:sz="0" w:space="0" w:color="auto"/>
            <w:left w:val="none" w:sz="0" w:space="0" w:color="auto"/>
            <w:bottom w:val="none" w:sz="0" w:space="0" w:color="auto"/>
            <w:right w:val="none" w:sz="0" w:space="0" w:color="auto"/>
          </w:divBdr>
        </w:div>
        <w:div w:id="2033022849">
          <w:marLeft w:val="547"/>
          <w:marRight w:val="0"/>
          <w:marTop w:val="134"/>
          <w:marBottom w:val="0"/>
          <w:divBdr>
            <w:top w:val="none" w:sz="0" w:space="0" w:color="auto"/>
            <w:left w:val="none" w:sz="0" w:space="0" w:color="auto"/>
            <w:bottom w:val="none" w:sz="0" w:space="0" w:color="auto"/>
            <w:right w:val="none" w:sz="0" w:space="0" w:color="auto"/>
          </w:divBdr>
        </w:div>
      </w:divsChild>
    </w:div>
    <w:div w:id="911961277">
      <w:bodyDiv w:val="1"/>
      <w:marLeft w:val="0"/>
      <w:marRight w:val="0"/>
      <w:marTop w:val="0"/>
      <w:marBottom w:val="0"/>
      <w:divBdr>
        <w:top w:val="none" w:sz="0" w:space="0" w:color="auto"/>
        <w:left w:val="none" w:sz="0" w:space="0" w:color="auto"/>
        <w:bottom w:val="none" w:sz="0" w:space="0" w:color="auto"/>
        <w:right w:val="none" w:sz="0" w:space="0" w:color="auto"/>
      </w:divBdr>
    </w:div>
    <w:div w:id="1082335278">
      <w:bodyDiv w:val="1"/>
      <w:marLeft w:val="0"/>
      <w:marRight w:val="0"/>
      <w:marTop w:val="0"/>
      <w:marBottom w:val="0"/>
      <w:divBdr>
        <w:top w:val="none" w:sz="0" w:space="0" w:color="auto"/>
        <w:left w:val="none" w:sz="0" w:space="0" w:color="auto"/>
        <w:bottom w:val="none" w:sz="0" w:space="0" w:color="auto"/>
        <w:right w:val="none" w:sz="0" w:space="0" w:color="auto"/>
      </w:divBdr>
    </w:div>
    <w:div w:id="1434978050">
      <w:bodyDiv w:val="1"/>
      <w:marLeft w:val="0"/>
      <w:marRight w:val="0"/>
      <w:marTop w:val="0"/>
      <w:marBottom w:val="0"/>
      <w:divBdr>
        <w:top w:val="none" w:sz="0" w:space="0" w:color="auto"/>
        <w:left w:val="none" w:sz="0" w:space="0" w:color="auto"/>
        <w:bottom w:val="none" w:sz="0" w:space="0" w:color="auto"/>
        <w:right w:val="none" w:sz="0" w:space="0" w:color="auto"/>
      </w:divBdr>
    </w:div>
    <w:div w:id="1438983872">
      <w:bodyDiv w:val="1"/>
      <w:marLeft w:val="0"/>
      <w:marRight w:val="0"/>
      <w:marTop w:val="0"/>
      <w:marBottom w:val="0"/>
      <w:divBdr>
        <w:top w:val="none" w:sz="0" w:space="0" w:color="auto"/>
        <w:left w:val="none" w:sz="0" w:space="0" w:color="auto"/>
        <w:bottom w:val="none" w:sz="0" w:space="0" w:color="auto"/>
        <w:right w:val="none" w:sz="0" w:space="0" w:color="auto"/>
      </w:divBdr>
      <w:divsChild>
        <w:div w:id="582226043">
          <w:marLeft w:val="0"/>
          <w:marRight w:val="0"/>
          <w:marTop w:val="0"/>
          <w:marBottom w:val="0"/>
          <w:divBdr>
            <w:top w:val="none" w:sz="0" w:space="0" w:color="auto"/>
            <w:left w:val="none" w:sz="0" w:space="0" w:color="auto"/>
            <w:bottom w:val="none" w:sz="0" w:space="0" w:color="auto"/>
            <w:right w:val="none" w:sz="0" w:space="0" w:color="auto"/>
          </w:divBdr>
          <w:divsChild>
            <w:div w:id="538008723">
              <w:marLeft w:val="60"/>
              <w:marRight w:val="0"/>
              <w:marTop w:val="0"/>
              <w:marBottom w:val="0"/>
              <w:divBdr>
                <w:top w:val="none" w:sz="0" w:space="0" w:color="auto"/>
                <w:left w:val="none" w:sz="0" w:space="0" w:color="auto"/>
                <w:bottom w:val="none" w:sz="0" w:space="0" w:color="auto"/>
                <w:right w:val="none" w:sz="0" w:space="0" w:color="auto"/>
              </w:divBdr>
              <w:divsChild>
                <w:div w:id="293829184">
                  <w:marLeft w:val="0"/>
                  <w:marRight w:val="0"/>
                  <w:marTop w:val="0"/>
                  <w:marBottom w:val="0"/>
                  <w:divBdr>
                    <w:top w:val="none" w:sz="0" w:space="0" w:color="auto"/>
                    <w:left w:val="none" w:sz="0" w:space="0" w:color="auto"/>
                    <w:bottom w:val="none" w:sz="0" w:space="0" w:color="auto"/>
                    <w:right w:val="none" w:sz="0" w:space="0" w:color="auto"/>
                  </w:divBdr>
                  <w:divsChild>
                    <w:div w:id="650988740">
                      <w:marLeft w:val="0"/>
                      <w:marRight w:val="0"/>
                      <w:marTop w:val="0"/>
                      <w:marBottom w:val="120"/>
                      <w:divBdr>
                        <w:top w:val="single" w:sz="6" w:space="0" w:color="F5F5F5"/>
                        <w:left w:val="single" w:sz="6" w:space="0" w:color="F5F5F5"/>
                        <w:bottom w:val="single" w:sz="6" w:space="0" w:color="F5F5F5"/>
                        <w:right w:val="single" w:sz="6" w:space="0" w:color="F5F5F5"/>
                      </w:divBdr>
                      <w:divsChild>
                        <w:div w:id="950552929">
                          <w:marLeft w:val="0"/>
                          <w:marRight w:val="0"/>
                          <w:marTop w:val="0"/>
                          <w:marBottom w:val="0"/>
                          <w:divBdr>
                            <w:top w:val="none" w:sz="0" w:space="0" w:color="auto"/>
                            <w:left w:val="none" w:sz="0" w:space="0" w:color="auto"/>
                            <w:bottom w:val="none" w:sz="0" w:space="0" w:color="auto"/>
                            <w:right w:val="none" w:sz="0" w:space="0" w:color="auto"/>
                          </w:divBdr>
                          <w:divsChild>
                            <w:div w:id="16469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065787">
          <w:marLeft w:val="0"/>
          <w:marRight w:val="0"/>
          <w:marTop w:val="0"/>
          <w:marBottom w:val="0"/>
          <w:divBdr>
            <w:top w:val="none" w:sz="0" w:space="0" w:color="auto"/>
            <w:left w:val="none" w:sz="0" w:space="0" w:color="auto"/>
            <w:bottom w:val="none" w:sz="0" w:space="0" w:color="auto"/>
            <w:right w:val="none" w:sz="0" w:space="0" w:color="auto"/>
          </w:divBdr>
          <w:divsChild>
            <w:div w:id="1707293668">
              <w:marLeft w:val="0"/>
              <w:marRight w:val="60"/>
              <w:marTop w:val="0"/>
              <w:marBottom w:val="0"/>
              <w:divBdr>
                <w:top w:val="none" w:sz="0" w:space="0" w:color="auto"/>
                <w:left w:val="none" w:sz="0" w:space="0" w:color="auto"/>
                <w:bottom w:val="none" w:sz="0" w:space="0" w:color="auto"/>
                <w:right w:val="none" w:sz="0" w:space="0" w:color="auto"/>
              </w:divBdr>
              <w:divsChild>
                <w:div w:id="193812288">
                  <w:marLeft w:val="0"/>
                  <w:marRight w:val="0"/>
                  <w:marTop w:val="0"/>
                  <w:marBottom w:val="120"/>
                  <w:divBdr>
                    <w:top w:val="single" w:sz="6" w:space="0" w:color="C0C0C0"/>
                    <w:left w:val="single" w:sz="6" w:space="0" w:color="D9D9D9"/>
                    <w:bottom w:val="single" w:sz="6" w:space="0" w:color="D9D9D9"/>
                    <w:right w:val="single" w:sz="6" w:space="0" w:color="D9D9D9"/>
                  </w:divBdr>
                  <w:divsChild>
                    <w:div w:id="881945398">
                      <w:marLeft w:val="0"/>
                      <w:marRight w:val="0"/>
                      <w:marTop w:val="0"/>
                      <w:marBottom w:val="0"/>
                      <w:divBdr>
                        <w:top w:val="none" w:sz="0" w:space="0" w:color="auto"/>
                        <w:left w:val="none" w:sz="0" w:space="0" w:color="auto"/>
                        <w:bottom w:val="none" w:sz="0" w:space="0" w:color="auto"/>
                        <w:right w:val="none" w:sz="0" w:space="0" w:color="auto"/>
                      </w:divBdr>
                    </w:div>
                    <w:div w:id="13199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170051">
      <w:bodyDiv w:val="1"/>
      <w:marLeft w:val="0"/>
      <w:marRight w:val="0"/>
      <w:marTop w:val="0"/>
      <w:marBottom w:val="0"/>
      <w:divBdr>
        <w:top w:val="none" w:sz="0" w:space="0" w:color="auto"/>
        <w:left w:val="none" w:sz="0" w:space="0" w:color="auto"/>
        <w:bottom w:val="none" w:sz="0" w:space="0" w:color="auto"/>
        <w:right w:val="none" w:sz="0" w:space="0" w:color="auto"/>
      </w:divBdr>
    </w:div>
    <w:div w:id="1651442065">
      <w:bodyDiv w:val="1"/>
      <w:marLeft w:val="0"/>
      <w:marRight w:val="0"/>
      <w:marTop w:val="0"/>
      <w:marBottom w:val="0"/>
      <w:divBdr>
        <w:top w:val="none" w:sz="0" w:space="0" w:color="auto"/>
        <w:left w:val="none" w:sz="0" w:space="0" w:color="auto"/>
        <w:bottom w:val="none" w:sz="0" w:space="0" w:color="auto"/>
        <w:right w:val="none" w:sz="0" w:space="0" w:color="auto"/>
      </w:divBdr>
      <w:divsChild>
        <w:div w:id="99570989">
          <w:marLeft w:val="1166"/>
          <w:marRight w:val="0"/>
          <w:marTop w:val="72"/>
          <w:marBottom w:val="0"/>
          <w:divBdr>
            <w:top w:val="none" w:sz="0" w:space="0" w:color="auto"/>
            <w:left w:val="none" w:sz="0" w:space="0" w:color="auto"/>
            <w:bottom w:val="none" w:sz="0" w:space="0" w:color="auto"/>
            <w:right w:val="none" w:sz="0" w:space="0" w:color="auto"/>
          </w:divBdr>
        </w:div>
        <w:div w:id="119110673">
          <w:marLeft w:val="1166"/>
          <w:marRight w:val="0"/>
          <w:marTop w:val="72"/>
          <w:marBottom w:val="0"/>
          <w:divBdr>
            <w:top w:val="none" w:sz="0" w:space="0" w:color="auto"/>
            <w:left w:val="none" w:sz="0" w:space="0" w:color="auto"/>
            <w:bottom w:val="none" w:sz="0" w:space="0" w:color="auto"/>
            <w:right w:val="none" w:sz="0" w:space="0" w:color="auto"/>
          </w:divBdr>
        </w:div>
        <w:div w:id="221215329">
          <w:marLeft w:val="547"/>
          <w:marRight w:val="0"/>
          <w:marTop w:val="91"/>
          <w:marBottom w:val="0"/>
          <w:divBdr>
            <w:top w:val="none" w:sz="0" w:space="0" w:color="auto"/>
            <w:left w:val="none" w:sz="0" w:space="0" w:color="auto"/>
            <w:bottom w:val="none" w:sz="0" w:space="0" w:color="auto"/>
            <w:right w:val="none" w:sz="0" w:space="0" w:color="auto"/>
          </w:divBdr>
        </w:div>
        <w:div w:id="312296655">
          <w:marLeft w:val="547"/>
          <w:marRight w:val="0"/>
          <w:marTop w:val="91"/>
          <w:marBottom w:val="0"/>
          <w:divBdr>
            <w:top w:val="none" w:sz="0" w:space="0" w:color="auto"/>
            <w:left w:val="none" w:sz="0" w:space="0" w:color="auto"/>
            <w:bottom w:val="none" w:sz="0" w:space="0" w:color="auto"/>
            <w:right w:val="none" w:sz="0" w:space="0" w:color="auto"/>
          </w:divBdr>
        </w:div>
        <w:div w:id="491721537">
          <w:marLeft w:val="547"/>
          <w:marRight w:val="0"/>
          <w:marTop w:val="91"/>
          <w:marBottom w:val="0"/>
          <w:divBdr>
            <w:top w:val="none" w:sz="0" w:space="0" w:color="auto"/>
            <w:left w:val="none" w:sz="0" w:space="0" w:color="auto"/>
            <w:bottom w:val="none" w:sz="0" w:space="0" w:color="auto"/>
            <w:right w:val="none" w:sz="0" w:space="0" w:color="auto"/>
          </w:divBdr>
        </w:div>
        <w:div w:id="635918714">
          <w:marLeft w:val="1166"/>
          <w:marRight w:val="0"/>
          <w:marTop w:val="72"/>
          <w:marBottom w:val="0"/>
          <w:divBdr>
            <w:top w:val="none" w:sz="0" w:space="0" w:color="auto"/>
            <w:left w:val="none" w:sz="0" w:space="0" w:color="auto"/>
            <w:bottom w:val="none" w:sz="0" w:space="0" w:color="auto"/>
            <w:right w:val="none" w:sz="0" w:space="0" w:color="auto"/>
          </w:divBdr>
        </w:div>
        <w:div w:id="710417772">
          <w:marLeft w:val="1166"/>
          <w:marRight w:val="0"/>
          <w:marTop w:val="72"/>
          <w:marBottom w:val="0"/>
          <w:divBdr>
            <w:top w:val="none" w:sz="0" w:space="0" w:color="auto"/>
            <w:left w:val="none" w:sz="0" w:space="0" w:color="auto"/>
            <w:bottom w:val="none" w:sz="0" w:space="0" w:color="auto"/>
            <w:right w:val="none" w:sz="0" w:space="0" w:color="auto"/>
          </w:divBdr>
        </w:div>
        <w:div w:id="1148865963">
          <w:marLeft w:val="547"/>
          <w:marRight w:val="0"/>
          <w:marTop w:val="91"/>
          <w:marBottom w:val="0"/>
          <w:divBdr>
            <w:top w:val="none" w:sz="0" w:space="0" w:color="auto"/>
            <w:left w:val="none" w:sz="0" w:space="0" w:color="auto"/>
            <w:bottom w:val="none" w:sz="0" w:space="0" w:color="auto"/>
            <w:right w:val="none" w:sz="0" w:space="0" w:color="auto"/>
          </w:divBdr>
        </w:div>
        <w:div w:id="1650210001">
          <w:marLeft w:val="1166"/>
          <w:marRight w:val="0"/>
          <w:marTop w:val="72"/>
          <w:marBottom w:val="0"/>
          <w:divBdr>
            <w:top w:val="none" w:sz="0" w:space="0" w:color="auto"/>
            <w:left w:val="none" w:sz="0" w:space="0" w:color="auto"/>
            <w:bottom w:val="none" w:sz="0" w:space="0" w:color="auto"/>
            <w:right w:val="none" w:sz="0" w:space="0" w:color="auto"/>
          </w:divBdr>
        </w:div>
        <w:div w:id="1699160886">
          <w:marLeft w:val="1166"/>
          <w:marRight w:val="0"/>
          <w:marTop w:val="72"/>
          <w:marBottom w:val="0"/>
          <w:divBdr>
            <w:top w:val="none" w:sz="0" w:space="0" w:color="auto"/>
            <w:left w:val="none" w:sz="0" w:space="0" w:color="auto"/>
            <w:bottom w:val="none" w:sz="0" w:space="0" w:color="auto"/>
            <w:right w:val="none" w:sz="0" w:space="0" w:color="auto"/>
          </w:divBdr>
        </w:div>
        <w:div w:id="1709841436">
          <w:marLeft w:val="547"/>
          <w:marRight w:val="0"/>
          <w:marTop w:val="91"/>
          <w:marBottom w:val="0"/>
          <w:divBdr>
            <w:top w:val="none" w:sz="0" w:space="0" w:color="auto"/>
            <w:left w:val="none" w:sz="0" w:space="0" w:color="auto"/>
            <w:bottom w:val="none" w:sz="0" w:space="0" w:color="auto"/>
            <w:right w:val="none" w:sz="0" w:space="0" w:color="auto"/>
          </w:divBdr>
        </w:div>
        <w:div w:id="1937053824">
          <w:marLeft w:val="1166"/>
          <w:marRight w:val="0"/>
          <w:marTop w:val="72"/>
          <w:marBottom w:val="0"/>
          <w:divBdr>
            <w:top w:val="none" w:sz="0" w:space="0" w:color="auto"/>
            <w:left w:val="none" w:sz="0" w:space="0" w:color="auto"/>
            <w:bottom w:val="none" w:sz="0" w:space="0" w:color="auto"/>
            <w:right w:val="none" w:sz="0" w:space="0" w:color="auto"/>
          </w:divBdr>
        </w:div>
        <w:div w:id="2003391879">
          <w:marLeft w:val="1166"/>
          <w:marRight w:val="0"/>
          <w:marTop w:val="72"/>
          <w:marBottom w:val="0"/>
          <w:divBdr>
            <w:top w:val="none" w:sz="0" w:space="0" w:color="auto"/>
            <w:left w:val="none" w:sz="0" w:space="0" w:color="auto"/>
            <w:bottom w:val="none" w:sz="0" w:space="0" w:color="auto"/>
            <w:right w:val="none" w:sz="0" w:space="0" w:color="auto"/>
          </w:divBdr>
        </w:div>
      </w:divsChild>
    </w:div>
    <w:div w:id="1680347157">
      <w:bodyDiv w:val="1"/>
      <w:marLeft w:val="0"/>
      <w:marRight w:val="0"/>
      <w:marTop w:val="0"/>
      <w:marBottom w:val="0"/>
      <w:divBdr>
        <w:top w:val="none" w:sz="0" w:space="0" w:color="auto"/>
        <w:left w:val="none" w:sz="0" w:space="0" w:color="auto"/>
        <w:bottom w:val="none" w:sz="0" w:space="0" w:color="auto"/>
        <w:right w:val="none" w:sz="0" w:space="0" w:color="auto"/>
      </w:divBdr>
    </w:div>
    <w:div w:id="1874027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iadb.org/Document.cfm?id=EZSHARE-1793277437-15" TargetMode="External"/><Relationship Id="rId26" Type="http://schemas.openxmlformats.org/officeDocument/2006/relationships/hyperlink" Target="https://www.iadb.org/Document.cfm?id=EZSHARE-1793277437-15" TargetMode="External"/><Relationship Id="rId3" Type="http://schemas.openxmlformats.org/officeDocument/2006/relationships/customXml" Target="../customXml/item3.xml"/><Relationship Id="rId21" Type="http://schemas.openxmlformats.org/officeDocument/2006/relationships/hyperlink" Target="https://idbg.sharepoint.com/teams/EZ-BL-LON/BL-L1019/_layouts/15/DocIdRedir.aspx?ID=EZSHARE-1448911133-10"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iadb.org/Document.cfm?id=EZSHARE-1793277437-14" TargetMode="External"/><Relationship Id="rId25" Type="http://schemas.openxmlformats.org/officeDocument/2006/relationships/hyperlink" Target="https://www.iadb.org/Document.cfm?id=EZSHARE-1793277437-14" TargetMode="External"/><Relationship Id="rId2" Type="http://schemas.openxmlformats.org/officeDocument/2006/relationships/customXml" Target="../customXml/item2.xml"/><Relationship Id="rId16" Type="http://schemas.openxmlformats.org/officeDocument/2006/relationships/hyperlink" Target="https://www.iadb.org/Document.cfm?id=38969666;%20https://www.iadb.org/Document.cfm?id=38969802" TargetMode="External"/><Relationship Id="rId20" Type="http://schemas.openxmlformats.org/officeDocument/2006/relationships/hyperlink" Target="https://www.iadb.org/en/project/BL-L102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iadb.org/en/project/BL-L1019" TargetMode="External"/><Relationship Id="rId23" Type="http://schemas.openxmlformats.org/officeDocument/2006/relationships/header" Target="header1.xml"/><Relationship Id="rId28" Type="http://schemas.openxmlformats.org/officeDocument/2006/relationships/image" Target="media/image3.jpeg"/><Relationship Id="rId10" Type="http://schemas.openxmlformats.org/officeDocument/2006/relationships/settings" Target="settings.xml"/><Relationship Id="rId19" Type="http://schemas.openxmlformats.org/officeDocument/2006/relationships/hyperlink" Target="https://www.iadb.org/Document.cfm?id=EZSHARE-1793277437-17"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s://www.iadb.org/en/project/BL-L1029" TargetMode="External"/><Relationship Id="rId27" Type="http://schemas.openxmlformats.org/officeDocument/2006/relationships/image" Target="media/image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572338EF181EDB459D6C6D11D535B899" ma:contentTypeVersion="106" ma:contentTypeDescription="A content type to manage public (operations) IDB documents" ma:contentTypeScope="" ma:versionID="32a436ed90932a2aa9da432d10bdd09a">
  <xsd:schema xmlns:xsd="http://www.w3.org/2001/XMLSchema" xmlns:xs="http://www.w3.org/2001/XMLSchema" xmlns:p="http://schemas.microsoft.com/office/2006/metadata/properties" xmlns:ns2="cdc7663a-08f0-4737-9e8c-148ce897a09c" targetNamespace="http://schemas.microsoft.com/office/2006/metadata/properties" ma:root="true" ma:fieldsID="389d908fb6cb9bc4212caba0b8ec6e9a"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BL-L1029"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Belize</TermName>
          <TermId xmlns="http://schemas.microsoft.com/office/infopath/2007/PartnerControls">b25f8918-d2fc-4ffa-abe7-d7f0a99f2d4b</TermId>
        </TermInfo>
      </Terms>
    </ic46d7e087fd4a108fb86518ca413cc6>
    <IDBDocs_x0020_Number xmlns="cdc7663a-08f0-4737-9e8c-148ce897a09c" xsi:nil="true"/>
    <Division_x0020_or_x0020_Unit xmlns="cdc7663a-08f0-4737-9e8c-148ce897a09c">INE/TSP</Division_x0020_or_x0020_Unit>
    <Fiscal_x0020_Year_x0020_IDB xmlns="cdc7663a-08f0-4737-9e8c-148ce897a09c">2018</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ACTIVE</Phase>
    <Document_x0020_Author xmlns="cdc7663a-08f0-4737-9e8c-148ce897a09c">Rodriguez Cabezas,Paola Katherine</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MAJOR HIGHWAYS</TermName>
          <TermId xmlns="http://schemas.microsoft.com/office/infopath/2007/PartnerControls">59b49cf2-c4cd-4316-ac14-b3a0ffc7d51d</TermId>
        </TermInfo>
      </Terms>
    </b2ec7cfb18674cb8803df6b262e8b107>
    <Business_x0020_Area xmlns="cdc7663a-08f0-4737-9e8c-148ce897a09c">Life Cycle</Business_x0020_Area>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Related_x0020_SisCor_x0020_Number xmlns="cdc7663a-08f0-4737-9e8c-148ce897a09c" xsi:nil="true"/>
    <TaxCatchAll xmlns="cdc7663a-08f0-4737-9e8c-148ce897a09c">
      <Value>24</Value>
      <Value>3</Value>
      <Value>30</Value>
      <Value>29</Value>
      <Value>28</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BL-L1029</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TRANSPORT</TermName>
          <TermId xmlns="http://schemas.microsoft.com/office/infopath/2007/PartnerControls">5a25d1a8-4baf-41a8-9e3b-e167accda6ea</TermId>
        </TermInfo>
      </Terms>
    </nddeef1749674d76abdbe4b239a70bc6>
    <Record_x0020_Number xmlns="cdc7663a-08f0-4737-9e8c-148ce897a09c">R0002334845</Record_x0020_Number>
    <_dlc_DocId xmlns="cdc7663a-08f0-4737-9e8c-148ce897a09c">EZSHARE-114430752-50</_dlc_DocId>
    <_dlc_DocIdUrl xmlns="cdc7663a-08f0-4737-9e8c-148ce897a09c">
      <Url>https://idbg.sharepoint.com/teams/EZ-BL-LON/BL-L1029/_layouts/15/DocIdRedir.aspx?ID=EZSHARE-114430752-50</Url>
      <Description>EZSHARE-114430752-50</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mso-contentType ?>
<SharedContentType xmlns="Microsoft.SharePoint.Taxonomy.ContentTypeSync" SourceId="ae61f9b1-e23d-4f49-b3d7-56b991556c4b" ContentTypeId="0x0101001A458A224826124E8B45B1D613300CFC"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C6715-BD6F-4CE2-ADA3-280C321CFA66}">
  <ds:schemaRefs>
    <ds:schemaRef ds:uri="http://schemas.microsoft.com/sharepoint/events"/>
  </ds:schemaRefs>
</ds:datastoreItem>
</file>

<file path=customXml/itemProps2.xml><?xml version="1.0" encoding="utf-8"?>
<ds:datastoreItem xmlns:ds="http://schemas.openxmlformats.org/officeDocument/2006/customXml" ds:itemID="{C6FB7C9F-8D66-495D-A0BF-2BFA1DC8D1DE}"/>
</file>

<file path=customXml/itemProps3.xml><?xml version="1.0" encoding="utf-8"?>
<ds:datastoreItem xmlns:ds="http://schemas.openxmlformats.org/officeDocument/2006/customXml" ds:itemID="{B2AC612B-893F-4318-B7E6-4E172B982238}">
  <ds:schemaRefs>
    <ds:schemaRef ds:uri="http://schemas.microsoft.com/office/2006/metadata/properties"/>
    <ds:schemaRef ds:uri="http://schemas.microsoft.com/office/infopath/2007/PartnerControls"/>
    <ds:schemaRef ds:uri="cdc7663a-08f0-4737-9e8c-148ce897a09c"/>
  </ds:schemaRefs>
</ds:datastoreItem>
</file>

<file path=customXml/itemProps4.xml><?xml version="1.0" encoding="utf-8"?>
<ds:datastoreItem xmlns:ds="http://schemas.openxmlformats.org/officeDocument/2006/customXml" ds:itemID="{861C606B-D020-4B96-AE79-D40BB8C0E8B5}"/>
</file>

<file path=customXml/itemProps5.xml><?xml version="1.0" encoding="utf-8"?>
<ds:datastoreItem xmlns:ds="http://schemas.openxmlformats.org/officeDocument/2006/customXml" ds:itemID="{08B9FE92-A83F-48CB-925C-461929044ED3}"/>
</file>

<file path=customXml/itemProps6.xml><?xml version="1.0" encoding="utf-8"?>
<ds:datastoreItem xmlns:ds="http://schemas.openxmlformats.org/officeDocument/2006/customXml" ds:itemID="{95526E0D-728B-4F7F-941F-8350DE856E39}">
  <ds:schemaRefs>
    <ds:schemaRef ds:uri="http://schemas.microsoft.com/sharepoint/v3/contenttype/forms"/>
  </ds:schemaRefs>
</ds:datastoreItem>
</file>

<file path=customXml/itemProps7.xml><?xml version="1.0" encoding="utf-8"?>
<ds:datastoreItem xmlns:ds="http://schemas.openxmlformats.org/officeDocument/2006/customXml" ds:itemID="{825799F4-83CB-4C84-92C3-A1A022AB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9420</Words>
  <Characters>53695</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Oradei</dc:creator>
  <cp:keywords/>
  <dc:description/>
  <cp:lastModifiedBy>Ward, Natasha Kate</cp:lastModifiedBy>
  <cp:revision>2</cp:revision>
  <cp:lastPrinted>2017-05-24T14:30:00Z</cp:lastPrinted>
  <dcterms:created xsi:type="dcterms:W3CDTF">2018-09-05T21:14:00Z</dcterms:created>
  <dcterms:modified xsi:type="dcterms:W3CDTF">2018-09-05T21:14:00Z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30;#MAJOR HIGHWAYS|59b49cf2-c4cd-4316-ac14-b3a0ffc7d51d</vt:lpwstr>
  </property>
  <property fmtid="{D5CDD505-2E9C-101B-9397-08002B2CF9AE}" pid="7" name="Fund IDB">
    <vt:lpwstr>28;#ORC|c028a4b2-ad8b-4cf4-9cac-a2ae6a778e23</vt:lpwstr>
  </property>
  <property fmtid="{D5CDD505-2E9C-101B-9397-08002B2CF9AE}" pid="8" name="Country">
    <vt:lpwstr>24;#Belize|b25f8918-d2fc-4ffa-abe7-d7f0a99f2d4b</vt:lpwstr>
  </property>
  <property fmtid="{D5CDD505-2E9C-101B-9397-08002B2CF9AE}" pid="9" name="Sector IDB">
    <vt:lpwstr>29;#TRANSPORT|5a25d1a8-4baf-41a8-9e3b-e167accda6ea</vt:lpwstr>
  </property>
  <property fmtid="{D5CDD505-2E9C-101B-9397-08002B2CF9AE}" pid="10" name="Function Operations IDB">
    <vt:lpwstr>3;#Monitoring and Reporting|df3c2aa1-d63e-41aa-b1f5-bb15dee691ca</vt:lpwstr>
  </property>
  <property fmtid="{D5CDD505-2E9C-101B-9397-08002B2CF9AE}" pid="11" name="_dlc_DocIdItemGuid">
    <vt:lpwstr>80f721c2-f2b8-4358-8de3-e947d624331b</vt:lpwstr>
  </property>
  <property fmtid="{D5CDD505-2E9C-101B-9397-08002B2CF9AE}" pid="12" name="ContentTypeId">
    <vt:lpwstr>0x0101001A458A224826124E8B45B1D613300CFC00572338EF181EDB459D6C6D11D535B899</vt:lpwstr>
  </property>
</Properties>
</file>