
<file path=[Content_Types].xml><?xml version="1.0" encoding="utf-8"?>
<Types xmlns="http://schemas.openxmlformats.org/package/2006/content-types">
  <Default Extension="rels" ContentType="application/vnd.openxmlformats-package.relationships+xml"/>
  <Default Extension="emf" ContentType="image/x-emf"/>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charts/chart2.xml" ContentType="application/vnd.openxmlformats-officedocument.drawingml.chart+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9B21D" w14:textId="77777777" w:rsidR="00DA441D" w:rsidRDefault="00DA441D" w:rsidP="003A680D">
      <w:pPr>
        <w:pStyle w:val="Subtitle"/>
        <w:numPr>
          <w:ilvl w:val="0"/>
          <w:numId w:val="0"/>
        </w:numPr>
        <w:jc w:val="both"/>
      </w:pPr>
    </w:p>
    <w:p w14:paraId="73D2AB71" w14:textId="77777777" w:rsidR="00B358FE" w:rsidRDefault="00B358FE" w:rsidP="00DA441D">
      <w:pPr>
        <w:pStyle w:val="Subtitle"/>
        <w:numPr>
          <w:ilvl w:val="0"/>
          <w:numId w:val="0"/>
        </w:numPr>
        <w:ind w:left="1287"/>
        <w:jc w:val="both"/>
      </w:pPr>
    </w:p>
    <w:p w14:paraId="740814FE" w14:textId="77777777" w:rsidR="00B358FE" w:rsidRDefault="00B358FE" w:rsidP="00DA441D">
      <w:pPr>
        <w:pStyle w:val="Subtitle"/>
        <w:numPr>
          <w:ilvl w:val="0"/>
          <w:numId w:val="0"/>
        </w:numPr>
        <w:ind w:left="1287"/>
        <w:jc w:val="both"/>
      </w:pPr>
    </w:p>
    <w:p w14:paraId="751A59B8" w14:textId="77777777" w:rsidR="00945183" w:rsidRPr="00F04B07" w:rsidRDefault="00F04B07" w:rsidP="00611279">
      <w:pPr>
        <w:autoSpaceDE w:val="0"/>
        <w:ind w:firstLine="0"/>
        <w:rPr>
          <w:rFonts w:ascii="Arial-BoldMT" w:hAnsi="Arial-BoldMT" w:cs="Arial-BoldMT"/>
          <w:b/>
          <w:bCs/>
          <w:sz w:val="30"/>
        </w:rPr>
      </w:pPr>
      <w:r w:rsidRPr="00F04B07">
        <w:rPr>
          <w:rFonts w:ascii="Arial-BoldMT" w:hAnsi="Arial-BoldMT" w:cs="Arial-BoldMT"/>
          <w:b/>
          <w:bCs/>
          <w:sz w:val="30"/>
        </w:rPr>
        <w:t>BANCO INTERAMERICANO</w:t>
      </w:r>
      <w:r w:rsidR="00D62EA6" w:rsidRPr="00F04B07">
        <w:rPr>
          <w:rFonts w:ascii="Arial-BoldMT" w:hAnsi="Arial-BoldMT" w:cs="Arial-BoldMT"/>
          <w:b/>
          <w:bCs/>
          <w:sz w:val="30"/>
        </w:rPr>
        <w:t xml:space="preserve"> DE </w:t>
      </w:r>
      <w:r w:rsidRPr="00F04B07">
        <w:rPr>
          <w:rFonts w:ascii="Arial-BoldMT" w:hAnsi="Arial-BoldMT" w:cs="Arial-BoldMT"/>
          <w:b/>
          <w:bCs/>
          <w:sz w:val="30"/>
        </w:rPr>
        <w:t>D</w:t>
      </w:r>
      <w:r w:rsidR="00611279">
        <w:rPr>
          <w:rFonts w:ascii="Arial-BoldMT" w:hAnsi="Arial-BoldMT" w:cs="Arial-BoldMT"/>
          <w:b/>
          <w:bCs/>
          <w:sz w:val="30"/>
        </w:rPr>
        <w:t xml:space="preserve">ESENVOLVIMENTO - </w:t>
      </w:r>
      <w:r w:rsidR="00D62EA6" w:rsidRPr="00F04B07">
        <w:rPr>
          <w:rFonts w:ascii="Arial-BoldMT" w:hAnsi="Arial-BoldMT" w:cs="Arial-BoldMT"/>
          <w:b/>
          <w:bCs/>
          <w:sz w:val="30"/>
        </w:rPr>
        <w:t>BID</w:t>
      </w:r>
    </w:p>
    <w:p w14:paraId="0EF0D505" w14:textId="77777777" w:rsidR="00945183" w:rsidRDefault="00945183" w:rsidP="00052B73">
      <w:pPr>
        <w:autoSpaceDE w:val="0"/>
        <w:ind w:firstLine="0"/>
        <w:jc w:val="both"/>
        <w:rPr>
          <w:rFonts w:ascii="Arial-BoldMT" w:hAnsi="Arial-BoldMT" w:cs="Arial-BoldMT"/>
          <w:b/>
          <w:bCs/>
        </w:rPr>
      </w:pPr>
    </w:p>
    <w:p w14:paraId="4828C6F4" w14:textId="77777777" w:rsidR="00044B47" w:rsidRDefault="00044B47" w:rsidP="00B04F20">
      <w:pPr>
        <w:autoSpaceDE w:val="0"/>
        <w:ind w:firstLine="0"/>
        <w:jc w:val="both"/>
        <w:rPr>
          <w:rFonts w:ascii="Arial-BoldMT" w:hAnsi="Arial-BoldMT" w:cs="Arial-BoldMT"/>
          <w:b/>
          <w:bCs/>
        </w:rPr>
      </w:pPr>
    </w:p>
    <w:p w14:paraId="5F6569F0" w14:textId="77777777" w:rsidR="00945183" w:rsidRDefault="00945183" w:rsidP="00945183">
      <w:pPr>
        <w:autoSpaceDE w:val="0"/>
        <w:rPr>
          <w:rFonts w:ascii="Arial-BoldMT" w:hAnsi="Arial-BoldMT" w:cs="Arial-BoldMT"/>
          <w:b/>
          <w:bCs/>
        </w:rPr>
      </w:pPr>
    </w:p>
    <w:p w14:paraId="509DFA39" w14:textId="5F8EBB0A" w:rsidR="00B358FE" w:rsidRPr="00D62EA6" w:rsidRDefault="00B6108F" w:rsidP="00744385">
      <w:pPr>
        <w:autoSpaceDE w:val="0"/>
        <w:ind w:firstLine="0"/>
        <w:rPr>
          <w:rFonts w:ascii="Arial-BoldMT" w:hAnsi="Arial-BoldMT" w:cs="Arial-BoldMT"/>
          <w:b/>
          <w:bCs/>
          <w:sz w:val="28"/>
        </w:rPr>
      </w:pPr>
      <w:r>
        <w:rPr>
          <w:rFonts w:ascii="Arial-BoldMT" w:hAnsi="Arial-BoldMT" w:cs="Arial-BoldMT"/>
          <w:b/>
          <w:bCs/>
          <w:sz w:val="28"/>
        </w:rPr>
        <w:t>Diagnóstico e Avaliação do Potencial de Melhoria da Eficiência Operacional dos Serviços de Água</w:t>
      </w:r>
    </w:p>
    <w:p w14:paraId="579534F9" w14:textId="77777777" w:rsidR="00B358FE" w:rsidRDefault="00B358FE" w:rsidP="00DA441D"/>
    <w:p w14:paraId="121E0D40" w14:textId="77777777" w:rsidR="00B358FE" w:rsidRDefault="00B358FE" w:rsidP="00DA441D"/>
    <w:p w14:paraId="25EF0D18" w14:textId="77777777" w:rsidR="00B358FE" w:rsidRDefault="00B358FE" w:rsidP="00DA441D"/>
    <w:p w14:paraId="5ED61813" w14:textId="77777777" w:rsidR="00B358FE" w:rsidRDefault="00B358FE" w:rsidP="00DA441D"/>
    <w:p w14:paraId="5666803F" w14:textId="77777777" w:rsidR="00DA441D" w:rsidRPr="00A6471E" w:rsidRDefault="00DA441D" w:rsidP="00DA441D"/>
    <w:p w14:paraId="3552C794" w14:textId="5FCAFCDC" w:rsidR="00DA441D" w:rsidRDefault="00B6108F" w:rsidP="00945183">
      <w:pPr>
        <w:autoSpaceDE w:val="0"/>
        <w:rPr>
          <w:rFonts w:ascii="Arial-BoldMT" w:hAnsi="Arial-BoldMT" w:cs="Arial-BoldMT"/>
          <w:b/>
          <w:bCs/>
          <w:sz w:val="28"/>
        </w:rPr>
      </w:pPr>
      <w:r>
        <w:rPr>
          <w:rFonts w:ascii="Arial-BoldMT" w:hAnsi="Arial-BoldMT" w:cs="Arial-BoldMT"/>
          <w:b/>
          <w:bCs/>
          <w:sz w:val="28"/>
        </w:rPr>
        <w:t>INFORME 1</w:t>
      </w:r>
    </w:p>
    <w:p w14:paraId="1EB9AB82" w14:textId="474A945E" w:rsidR="00574E3C" w:rsidRDefault="00B6108F" w:rsidP="00945183">
      <w:pPr>
        <w:autoSpaceDE w:val="0"/>
        <w:rPr>
          <w:rFonts w:ascii="Arial-BoldMT" w:hAnsi="Arial-BoldMT" w:cs="Arial-BoldMT"/>
          <w:b/>
          <w:bCs/>
        </w:rPr>
      </w:pPr>
      <w:r>
        <w:rPr>
          <w:rFonts w:ascii="Arial-BoldMT" w:hAnsi="Arial-BoldMT" w:cs="Arial-BoldMT"/>
          <w:b/>
          <w:bCs/>
          <w:sz w:val="28"/>
        </w:rPr>
        <w:t>Diagnóstico de Perdas e Capacidades Institucionais de Prestadores de Serviços de Água e Esgotos</w:t>
      </w:r>
    </w:p>
    <w:p w14:paraId="53F558B7" w14:textId="77777777" w:rsidR="004C2299" w:rsidRDefault="004C2299" w:rsidP="004C2299">
      <w:pPr>
        <w:autoSpaceDE w:val="0"/>
        <w:ind w:firstLine="0"/>
        <w:jc w:val="both"/>
        <w:rPr>
          <w:rFonts w:ascii="Arial-BoldMT" w:hAnsi="Arial-BoldMT" w:cs="Arial-BoldMT"/>
          <w:b/>
          <w:bCs/>
        </w:rPr>
      </w:pPr>
    </w:p>
    <w:p w14:paraId="132AAD79" w14:textId="77777777" w:rsidR="00B6108F" w:rsidRDefault="00B6108F" w:rsidP="004C2299">
      <w:pPr>
        <w:autoSpaceDE w:val="0"/>
        <w:ind w:firstLine="0"/>
        <w:jc w:val="both"/>
        <w:rPr>
          <w:rFonts w:ascii="Arial-BoldMT" w:hAnsi="Arial-BoldMT" w:cs="Arial-BoldMT"/>
          <w:b/>
          <w:bCs/>
        </w:rPr>
      </w:pPr>
    </w:p>
    <w:p w14:paraId="674DADD5" w14:textId="77777777" w:rsidR="00B6108F" w:rsidRDefault="00B6108F" w:rsidP="004C2299">
      <w:pPr>
        <w:autoSpaceDE w:val="0"/>
        <w:ind w:firstLine="0"/>
        <w:jc w:val="both"/>
        <w:rPr>
          <w:rFonts w:ascii="Arial-BoldMT" w:hAnsi="Arial-BoldMT" w:cs="Arial-BoldMT"/>
          <w:b/>
          <w:bCs/>
        </w:rPr>
      </w:pPr>
    </w:p>
    <w:p w14:paraId="2A12AB08" w14:textId="77777777" w:rsidR="00B6108F" w:rsidRDefault="00B6108F" w:rsidP="004C2299">
      <w:pPr>
        <w:autoSpaceDE w:val="0"/>
        <w:ind w:firstLine="0"/>
        <w:jc w:val="both"/>
        <w:rPr>
          <w:rFonts w:ascii="Arial-BoldMT" w:hAnsi="Arial-BoldMT" w:cs="Arial-BoldMT"/>
          <w:b/>
          <w:bCs/>
        </w:rPr>
      </w:pPr>
    </w:p>
    <w:p w14:paraId="293825E7" w14:textId="77777777" w:rsidR="00B6108F" w:rsidRPr="00945183" w:rsidRDefault="00B6108F" w:rsidP="004C2299">
      <w:pPr>
        <w:autoSpaceDE w:val="0"/>
        <w:ind w:firstLine="0"/>
        <w:jc w:val="both"/>
        <w:rPr>
          <w:rFonts w:ascii="Arial-BoldMT" w:hAnsi="Arial-BoldMT" w:cs="Arial-BoldMT"/>
          <w:b/>
          <w:bCs/>
        </w:rPr>
      </w:pPr>
    </w:p>
    <w:p w14:paraId="0659510E" w14:textId="77777777" w:rsidR="00B358FE" w:rsidRPr="00945183" w:rsidRDefault="00B358FE" w:rsidP="00945183">
      <w:pPr>
        <w:autoSpaceDE w:val="0"/>
        <w:rPr>
          <w:rFonts w:ascii="Arial-BoldMT" w:hAnsi="Arial-BoldMT" w:cs="Arial-BoldMT"/>
          <w:b/>
          <w:bCs/>
        </w:rPr>
      </w:pPr>
      <w:r w:rsidRPr="00945183">
        <w:rPr>
          <w:rFonts w:ascii="Arial-BoldMT" w:hAnsi="Arial-BoldMT" w:cs="Arial-BoldMT"/>
          <w:b/>
          <w:bCs/>
        </w:rPr>
        <w:t>C</w:t>
      </w:r>
      <w:r w:rsidR="00945183">
        <w:rPr>
          <w:rFonts w:ascii="Arial-BoldMT" w:hAnsi="Arial-BoldMT" w:cs="Arial-BoldMT"/>
          <w:b/>
          <w:bCs/>
        </w:rPr>
        <w:t>onsultor</w:t>
      </w:r>
      <w:r w:rsidRPr="00945183">
        <w:rPr>
          <w:rFonts w:ascii="Arial-BoldMT" w:hAnsi="Arial-BoldMT" w:cs="Arial-BoldMT"/>
          <w:b/>
          <w:bCs/>
        </w:rPr>
        <w:t xml:space="preserve">:  </w:t>
      </w:r>
      <w:proofErr w:type="spellStart"/>
      <w:r w:rsidRPr="00945183">
        <w:rPr>
          <w:rFonts w:ascii="Arial-BoldMT" w:hAnsi="Arial-BoldMT" w:cs="Arial-BoldMT"/>
          <w:b/>
          <w:bCs/>
        </w:rPr>
        <w:t>E</w:t>
      </w:r>
      <w:r w:rsidR="00945183">
        <w:rPr>
          <w:rFonts w:ascii="Arial-BoldMT" w:hAnsi="Arial-BoldMT" w:cs="Arial-BoldMT"/>
          <w:b/>
          <w:bCs/>
        </w:rPr>
        <w:t>ng</w:t>
      </w:r>
      <w:r w:rsidRPr="00945183">
        <w:rPr>
          <w:rFonts w:ascii="Arial-BoldMT" w:hAnsi="Arial-BoldMT" w:cs="Arial-BoldMT"/>
          <w:b/>
          <w:bCs/>
        </w:rPr>
        <w:t>º</w:t>
      </w:r>
      <w:proofErr w:type="spellEnd"/>
      <w:r w:rsidRPr="00945183">
        <w:rPr>
          <w:rFonts w:ascii="Arial-BoldMT" w:hAnsi="Arial-BoldMT" w:cs="Arial-BoldMT"/>
          <w:b/>
          <w:bCs/>
        </w:rPr>
        <w:t xml:space="preserve"> </w:t>
      </w:r>
      <w:r w:rsidR="00B04F20">
        <w:rPr>
          <w:rFonts w:ascii="Arial-BoldMT" w:hAnsi="Arial-BoldMT" w:cs="Arial-BoldMT"/>
          <w:b/>
          <w:bCs/>
        </w:rPr>
        <w:t>Acylino José dos Santos Neto</w:t>
      </w:r>
    </w:p>
    <w:p w14:paraId="2B874122" w14:textId="77777777" w:rsidR="00DA441D" w:rsidRPr="00A6471E" w:rsidRDefault="00DA441D" w:rsidP="00B358FE">
      <w:pPr>
        <w:pStyle w:val="Subtitle"/>
        <w:numPr>
          <w:ilvl w:val="0"/>
          <w:numId w:val="0"/>
        </w:numPr>
        <w:ind w:left="1287"/>
      </w:pPr>
    </w:p>
    <w:p w14:paraId="7EDA6DEB" w14:textId="77777777" w:rsidR="00DA441D" w:rsidRPr="00A6471E" w:rsidRDefault="00DA441D" w:rsidP="00DA441D">
      <w:pPr>
        <w:pStyle w:val="Subtitle"/>
        <w:numPr>
          <w:ilvl w:val="0"/>
          <w:numId w:val="0"/>
        </w:numPr>
        <w:ind w:left="1287"/>
        <w:jc w:val="both"/>
      </w:pPr>
    </w:p>
    <w:p w14:paraId="1CB7D5E5" w14:textId="77777777" w:rsidR="00DA441D" w:rsidRDefault="00DA441D" w:rsidP="00DA441D"/>
    <w:p w14:paraId="5395800B" w14:textId="77777777" w:rsidR="00B358FE" w:rsidRDefault="00B358FE" w:rsidP="00DA441D"/>
    <w:p w14:paraId="295DF546" w14:textId="77777777" w:rsidR="00B358FE" w:rsidRDefault="00B358FE" w:rsidP="00DA441D"/>
    <w:p w14:paraId="149738A7" w14:textId="77777777" w:rsidR="00B358FE" w:rsidRDefault="00B358FE" w:rsidP="003A680D">
      <w:pPr>
        <w:ind w:firstLine="0"/>
        <w:jc w:val="both"/>
      </w:pPr>
    </w:p>
    <w:p w14:paraId="08651751" w14:textId="77777777" w:rsidR="00B04F20" w:rsidRDefault="00B04F20" w:rsidP="00DA441D"/>
    <w:p w14:paraId="072AA762" w14:textId="7047A55D" w:rsidR="009C237B" w:rsidRDefault="00B358FE" w:rsidP="00ED28BA">
      <w:pPr>
        <w:autoSpaceDE w:val="0"/>
        <w:ind w:firstLine="0"/>
        <w:rPr>
          <w:rFonts w:ascii="Arial-BoldMT" w:hAnsi="Arial-BoldMT" w:cs="Arial-BoldMT"/>
          <w:b/>
          <w:bCs/>
        </w:rPr>
      </w:pPr>
      <w:r w:rsidRPr="00945183">
        <w:rPr>
          <w:rFonts w:ascii="Arial-BoldMT" w:hAnsi="Arial-BoldMT" w:cs="Arial-BoldMT"/>
          <w:b/>
          <w:bCs/>
        </w:rPr>
        <w:t>B</w:t>
      </w:r>
      <w:r w:rsidR="00B04F20">
        <w:rPr>
          <w:rFonts w:ascii="Arial-BoldMT" w:hAnsi="Arial-BoldMT" w:cs="Arial-BoldMT"/>
          <w:b/>
          <w:bCs/>
        </w:rPr>
        <w:t xml:space="preserve">rasília, </w:t>
      </w:r>
      <w:r w:rsidR="00B6108F">
        <w:rPr>
          <w:rFonts w:ascii="Arial-BoldMT" w:hAnsi="Arial-BoldMT" w:cs="Arial-BoldMT"/>
          <w:b/>
          <w:bCs/>
        </w:rPr>
        <w:t>Abril</w:t>
      </w:r>
      <w:r w:rsidR="006A2E84">
        <w:rPr>
          <w:rFonts w:ascii="Arial-BoldMT" w:hAnsi="Arial-BoldMT" w:cs="Arial-BoldMT"/>
          <w:b/>
          <w:bCs/>
        </w:rPr>
        <w:t xml:space="preserve"> de 2018</w:t>
      </w:r>
    </w:p>
    <w:p w14:paraId="42E5FEA6" w14:textId="0C66F548" w:rsidR="002B204F" w:rsidRDefault="002B204F" w:rsidP="002B204F">
      <w:pPr>
        <w:pStyle w:val="TOCHeading"/>
        <w:rPr>
          <w:rFonts w:asciiTheme="minorHAnsi" w:hAnsiTheme="minorHAnsi" w:cs="Arial-BoldMT"/>
          <w:sz w:val="32"/>
        </w:rPr>
      </w:pPr>
    </w:p>
    <w:sdt>
      <w:sdtPr>
        <w:rPr>
          <w:rFonts w:asciiTheme="minorHAnsi" w:eastAsiaTheme="minorEastAsia" w:hAnsiTheme="minorHAnsi" w:cstheme="minorBidi"/>
          <w:b w:val="0"/>
          <w:bCs w:val="0"/>
          <w:color w:val="auto"/>
          <w:kern w:val="2"/>
          <w:sz w:val="24"/>
          <w:szCs w:val="24"/>
          <w:lang w:val="pt-BR" w:eastAsia="ja-JP"/>
        </w:rPr>
        <w:id w:val="284017964"/>
        <w:docPartObj>
          <w:docPartGallery w:val="Table of Contents"/>
          <w:docPartUnique/>
        </w:docPartObj>
      </w:sdtPr>
      <w:sdtEndPr>
        <w:rPr>
          <w:rFonts w:ascii="Times New Roman" w:eastAsia="Times New Roman" w:hAnsi="Times New Roman" w:cs="Times New Roman"/>
          <w:kern w:val="0"/>
          <w:lang w:eastAsia="pt-BR"/>
        </w:rPr>
      </w:sdtEndPr>
      <w:sdtContent>
        <w:p w14:paraId="2BB64FFA" w14:textId="4FB70D11" w:rsidR="00381B9D" w:rsidRPr="0061361D" w:rsidRDefault="0061361D" w:rsidP="002B204F">
          <w:pPr>
            <w:pStyle w:val="TOCHeading"/>
            <w:jc w:val="center"/>
            <w:rPr>
              <w:rFonts w:asciiTheme="minorHAnsi" w:hAnsiTheme="minorHAnsi" w:cs="Arial-BoldMT"/>
              <w:sz w:val="32"/>
            </w:rPr>
          </w:pPr>
          <w:r w:rsidRPr="0061361D">
            <w:rPr>
              <w:rFonts w:asciiTheme="minorHAnsi" w:eastAsiaTheme="minorEastAsia" w:hAnsiTheme="minorHAnsi" w:cstheme="minorBidi"/>
              <w:bCs w:val="0"/>
              <w:color w:val="auto"/>
              <w:kern w:val="2"/>
              <w:sz w:val="24"/>
              <w:szCs w:val="24"/>
              <w:lang w:val="pt-BR" w:eastAsia="ja-JP"/>
            </w:rPr>
            <w:t>ÍNDICE</w:t>
          </w:r>
        </w:p>
        <w:p w14:paraId="0C27035D" w14:textId="77777777" w:rsidR="00381B9D" w:rsidRPr="00E00686" w:rsidRDefault="00381B9D" w:rsidP="00381B9D"/>
        <w:p w14:paraId="4FB8BC95" w14:textId="69A9A76F" w:rsidR="00381B9D" w:rsidRPr="0022127E" w:rsidRDefault="00381B9D" w:rsidP="00A212EA">
          <w:pPr>
            <w:pStyle w:val="TOC1"/>
          </w:pPr>
          <w:r>
            <w:t>1. APRESENTAÇÃO</w:t>
          </w:r>
          <w:r w:rsidRPr="0022127E">
            <w:ptab w:relativeTo="margin" w:alignment="right" w:leader="dot"/>
          </w:r>
          <w:r w:rsidR="00962355">
            <w:t>03</w:t>
          </w:r>
        </w:p>
        <w:p w14:paraId="7D278A00" w14:textId="1D426644" w:rsidR="00381B9D" w:rsidRDefault="00381B9D" w:rsidP="00A212EA">
          <w:pPr>
            <w:pStyle w:val="TOC1"/>
          </w:pPr>
          <w:r>
            <w:t xml:space="preserve">2. </w:t>
          </w:r>
          <w:r w:rsidR="00AC16CD">
            <w:t>DIAGNÓSTICO DA SITUAÇÃO DAS PERDAS DE ÁGUA</w:t>
          </w:r>
          <w:r w:rsidR="00812C6B">
            <w:t>.............</w:t>
          </w:r>
          <w:r w:rsidR="00AC16CD">
            <w:t>...</w:t>
          </w:r>
          <w:r w:rsidR="00812C6B">
            <w:t>................... 0</w:t>
          </w:r>
          <w:r w:rsidR="00962355">
            <w:t>4</w:t>
          </w:r>
        </w:p>
        <w:p w14:paraId="5EBB4E8A" w14:textId="39C8813F" w:rsidR="00AC16CD" w:rsidRDefault="00AC16CD" w:rsidP="00AC16CD">
          <w:pPr>
            <w:pStyle w:val="TOC2"/>
          </w:pPr>
          <w:r>
            <w:t>2.1.  Base de Dados</w:t>
          </w:r>
          <w:r w:rsidRPr="0022127E">
            <w:ptab w:relativeTo="margin" w:alignment="right" w:leader="dot"/>
          </w:r>
          <w:r w:rsidR="00962355">
            <w:t>04</w:t>
          </w:r>
        </w:p>
        <w:p w14:paraId="52C0FAF8" w14:textId="2DF4836D" w:rsidR="00AC16CD" w:rsidRPr="0022127E" w:rsidRDefault="00AC16CD" w:rsidP="00AC16CD">
          <w:pPr>
            <w:pStyle w:val="TOC2"/>
          </w:pPr>
          <w:r>
            <w:t xml:space="preserve">2.2   Análise das Perdas de Água </w:t>
          </w:r>
          <w:r w:rsidRPr="0022127E">
            <w:ptab w:relativeTo="margin" w:alignment="right" w:leader="dot"/>
          </w:r>
          <w:r w:rsidR="00126499">
            <w:t>06</w:t>
          </w:r>
        </w:p>
        <w:p w14:paraId="24C26408" w14:textId="16D77975" w:rsidR="00AC16CD" w:rsidRDefault="00AC16CD" w:rsidP="00AC16CD">
          <w:pPr>
            <w:pStyle w:val="TOC2"/>
          </w:pPr>
          <w:r>
            <w:t>2.3.  Estrutura das Perdas de Água</w:t>
          </w:r>
          <w:r w:rsidRPr="0022127E">
            <w:ptab w:relativeTo="margin" w:alignment="right" w:leader="dot"/>
          </w:r>
          <w:r w:rsidR="00126499">
            <w:t>08</w:t>
          </w:r>
        </w:p>
        <w:p w14:paraId="70E61516" w14:textId="0A966BEE" w:rsidR="00381B9D" w:rsidRPr="0022127E" w:rsidRDefault="00381B9D" w:rsidP="00A212EA">
          <w:pPr>
            <w:pStyle w:val="TOC1"/>
          </w:pPr>
          <w:r>
            <w:t xml:space="preserve">3. </w:t>
          </w:r>
          <w:r w:rsidR="00AC16CD">
            <w:t xml:space="preserve">DIAGNÓSTICO DAS CAPACIDADES INSTITUCIONAIS DOS PRESTADORES DE SERVIÇOS </w:t>
          </w:r>
          <w:r w:rsidRPr="0022127E">
            <w:ptab w:relativeTo="margin" w:alignment="right" w:leader="dot"/>
          </w:r>
          <w:r w:rsidR="00126499">
            <w:t>12</w:t>
          </w:r>
        </w:p>
        <w:p w14:paraId="45C3ED32" w14:textId="79E62E54" w:rsidR="00381B9D" w:rsidRDefault="00A62831" w:rsidP="005E074E">
          <w:pPr>
            <w:pStyle w:val="TOC2"/>
          </w:pPr>
          <w:r>
            <w:t>3.1</w:t>
          </w:r>
          <w:r w:rsidR="00381B9D">
            <w:t>.</w:t>
          </w:r>
          <w:r w:rsidR="005E074E">
            <w:t xml:space="preserve"> </w:t>
          </w:r>
          <w:r w:rsidR="00381B9D">
            <w:t xml:space="preserve"> </w:t>
          </w:r>
          <w:r w:rsidR="00AC16CD">
            <w:t>Prestadores de Serviços Segundo a Natureza Jurídica</w:t>
          </w:r>
          <w:r w:rsidR="00381B9D" w:rsidRPr="0022127E">
            <w:ptab w:relativeTo="margin" w:alignment="right" w:leader="dot"/>
          </w:r>
          <w:r w:rsidR="00126499">
            <w:t>12</w:t>
          </w:r>
        </w:p>
        <w:p w14:paraId="086F68EA" w14:textId="288E46A7" w:rsidR="00381B9D" w:rsidRPr="0022127E" w:rsidRDefault="00A62831" w:rsidP="005E074E">
          <w:pPr>
            <w:pStyle w:val="TOC2"/>
          </w:pPr>
          <w:r>
            <w:t xml:space="preserve">3.2 </w:t>
          </w:r>
          <w:r w:rsidR="00381B9D">
            <w:t xml:space="preserve"> </w:t>
          </w:r>
          <w:r w:rsidR="005E074E">
            <w:t xml:space="preserve"> </w:t>
          </w:r>
          <w:r w:rsidR="00AC16CD">
            <w:t>Nível de Prestação dos Serviços</w:t>
          </w:r>
          <w:r>
            <w:t xml:space="preserve"> </w:t>
          </w:r>
          <w:r w:rsidR="00381B9D" w:rsidRPr="0022127E">
            <w:ptab w:relativeTo="margin" w:alignment="right" w:leader="dot"/>
          </w:r>
          <w:r>
            <w:t>1</w:t>
          </w:r>
          <w:r w:rsidR="00126499">
            <w:t>5</w:t>
          </w:r>
        </w:p>
        <w:p w14:paraId="35189301" w14:textId="66C897F0" w:rsidR="00381B9D" w:rsidRDefault="00A62831" w:rsidP="005E074E">
          <w:pPr>
            <w:pStyle w:val="TOC2"/>
          </w:pPr>
          <w:r>
            <w:t>3.3</w:t>
          </w:r>
          <w:r w:rsidR="00381B9D">
            <w:t xml:space="preserve"> </w:t>
          </w:r>
          <w:r>
            <w:t xml:space="preserve"> </w:t>
          </w:r>
          <w:r w:rsidR="005E074E">
            <w:t xml:space="preserve"> </w:t>
          </w:r>
          <w:r w:rsidR="00AC16CD">
            <w:t>Desempenho dos Prestadores de Serviços</w:t>
          </w:r>
          <w:r w:rsidR="00381B9D" w:rsidRPr="0022127E">
            <w:ptab w:relativeTo="margin" w:alignment="right" w:leader="dot"/>
          </w:r>
          <w:r w:rsidR="00381B9D">
            <w:t>1</w:t>
          </w:r>
          <w:r w:rsidR="00126499">
            <w:t>6</w:t>
          </w:r>
        </w:p>
        <w:p w14:paraId="6FFC6D6F" w14:textId="1823D44C" w:rsidR="00AC16CD" w:rsidRPr="00AC16CD" w:rsidRDefault="00AC16CD" w:rsidP="00AC16CD">
          <w:r>
            <w:t xml:space="preserve">    </w:t>
          </w:r>
          <w:r w:rsidRPr="00AC16CD">
            <w:rPr>
              <w:rFonts w:asciiTheme="minorHAnsi" w:hAnsiTheme="minorHAnsi"/>
              <w:b/>
              <w:sz w:val="22"/>
              <w:szCs w:val="22"/>
            </w:rPr>
            <w:t xml:space="preserve">3.4   </w:t>
          </w:r>
          <w:r>
            <w:rPr>
              <w:rFonts w:asciiTheme="minorHAnsi" w:hAnsiTheme="minorHAnsi"/>
              <w:b/>
              <w:sz w:val="22"/>
              <w:szCs w:val="22"/>
            </w:rPr>
            <w:t xml:space="preserve">Contexto Regulatório </w:t>
          </w:r>
          <w:r w:rsidRPr="00AC16CD">
            <w:rPr>
              <w:rFonts w:asciiTheme="minorHAnsi" w:hAnsiTheme="minorHAnsi"/>
              <w:b/>
              <w:sz w:val="22"/>
              <w:szCs w:val="22"/>
            </w:rPr>
            <w:ptab w:relativeTo="margin" w:alignment="right" w:leader="dot"/>
          </w:r>
          <w:r w:rsidRPr="00AC16CD">
            <w:rPr>
              <w:rFonts w:asciiTheme="minorHAnsi" w:hAnsiTheme="minorHAnsi"/>
              <w:b/>
              <w:sz w:val="22"/>
              <w:szCs w:val="22"/>
            </w:rPr>
            <w:t>1</w:t>
          </w:r>
          <w:r w:rsidR="00126499">
            <w:rPr>
              <w:rFonts w:asciiTheme="minorHAnsi" w:hAnsiTheme="minorHAnsi"/>
              <w:b/>
              <w:sz w:val="22"/>
              <w:szCs w:val="22"/>
            </w:rPr>
            <w:t>8</w:t>
          </w:r>
        </w:p>
        <w:p w14:paraId="0ACC5779" w14:textId="58FAD6F3" w:rsidR="00381B9D" w:rsidRPr="0022127E" w:rsidRDefault="00381B9D" w:rsidP="00A212EA">
          <w:pPr>
            <w:pStyle w:val="TOC1"/>
          </w:pPr>
          <w:r>
            <w:t xml:space="preserve">4. </w:t>
          </w:r>
          <w:r w:rsidR="00AC16CD">
            <w:t>CONCLUSÕES</w:t>
          </w:r>
          <w:r>
            <w:t xml:space="preserve"> </w:t>
          </w:r>
          <w:r w:rsidRPr="0022127E">
            <w:ptab w:relativeTo="margin" w:alignment="right" w:leader="dot"/>
          </w:r>
          <w:r w:rsidR="00A62831">
            <w:t>1</w:t>
          </w:r>
          <w:r w:rsidR="001B3935">
            <w:t>6</w:t>
          </w:r>
        </w:p>
        <w:p w14:paraId="366FF645" w14:textId="0076CFA7" w:rsidR="00AC16CD" w:rsidRDefault="00AC16CD" w:rsidP="00AC16CD">
          <w:pPr>
            <w:pStyle w:val="TOC1"/>
          </w:pPr>
        </w:p>
        <w:p w14:paraId="184542A6" w14:textId="6F0036DA" w:rsidR="00DB1DC6" w:rsidRDefault="00DB1DC6" w:rsidP="00DB1DC6"/>
        <w:p w14:paraId="341A9486" w14:textId="77777777" w:rsidR="00DB1DC6" w:rsidRDefault="00DB1DC6" w:rsidP="00DB1DC6">
          <w:pPr>
            <w:widowControl/>
            <w:tabs>
              <w:tab w:val="left" w:pos="7938"/>
            </w:tabs>
            <w:spacing w:after="200" w:line="276" w:lineRule="auto"/>
            <w:ind w:firstLine="0"/>
            <w:jc w:val="left"/>
            <w:rPr>
              <w:rFonts w:asciiTheme="minorHAnsi" w:hAnsiTheme="minorHAnsi" w:cs="Arial-BoldMT"/>
              <w:bCs/>
            </w:rPr>
          </w:pPr>
        </w:p>
        <w:p w14:paraId="1E7D4814" w14:textId="77777777" w:rsidR="00381B9D" w:rsidRDefault="00AC16CD" w:rsidP="00381B9D"/>
      </w:sdtContent>
    </w:sdt>
    <w:p w14:paraId="5B329E92" w14:textId="77777777" w:rsidR="00EF32C7" w:rsidRDefault="00EF32C7" w:rsidP="00C05C69">
      <w:pPr>
        <w:widowControl/>
        <w:tabs>
          <w:tab w:val="left" w:pos="7938"/>
        </w:tabs>
        <w:spacing w:after="200" w:line="276" w:lineRule="auto"/>
        <w:ind w:firstLine="0"/>
        <w:jc w:val="left"/>
        <w:rPr>
          <w:rFonts w:asciiTheme="minorHAnsi" w:hAnsiTheme="minorHAnsi" w:cs="Arial-BoldMT"/>
          <w:bCs/>
        </w:rPr>
      </w:pPr>
    </w:p>
    <w:p w14:paraId="3FFA3A5B" w14:textId="77777777" w:rsidR="00EF32C7" w:rsidRDefault="00EF32C7" w:rsidP="00C05C69">
      <w:pPr>
        <w:widowControl/>
        <w:tabs>
          <w:tab w:val="left" w:pos="7938"/>
        </w:tabs>
        <w:spacing w:after="200" w:line="276" w:lineRule="auto"/>
        <w:ind w:firstLine="0"/>
        <w:jc w:val="left"/>
        <w:rPr>
          <w:rFonts w:asciiTheme="minorHAnsi" w:hAnsiTheme="minorHAnsi" w:cs="Arial-BoldMT"/>
          <w:bCs/>
        </w:rPr>
      </w:pPr>
    </w:p>
    <w:p w14:paraId="710496B7" w14:textId="130844A7" w:rsidR="00EF32C7" w:rsidRDefault="00590487" w:rsidP="00590487">
      <w:pPr>
        <w:widowControl/>
        <w:spacing w:after="200" w:line="276" w:lineRule="auto"/>
        <w:ind w:firstLine="0"/>
        <w:jc w:val="left"/>
        <w:rPr>
          <w:rFonts w:asciiTheme="minorHAnsi" w:hAnsiTheme="minorHAnsi" w:cs="Arial-BoldMT"/>
          <w:bCs/>
        </w:rPr>
      </w:pPr>
      <w:r>
        <w:rPr>
          <w:rFonts w:asciiTheme="minorHAnsi" w:hAnsiTheme="minorHAnsi" w:cs="Arial-BoldMT"/>
          <w:bCs/>
        </w:rPr>
        <w:br w:type="page"/>
      </w:r>
    </w:p>
    <w:p w14:paraId="5816E763" w14:textId="77777777" w:rsidR="00945183" w:rsidRPr="00872751" w:rsidRDefault="00EF32C7" w:rsidP="00C05C69">
      <w:pPr>
        <w:widowControl/>
        <w:tabs>
          <w:tab w:val="left" w:pos="7938"/>
        </w:tabs>
        <w:spacing w:after="200" w:line="276" w:lineRule="auto"/>
        <w:ind w:firstLine="0"/>
        <w:jc w:val="left"/>
        <w:rPr>
          <w:rFonts w:asciiTheme="minorHAnsi" w:hAnsiTheme="minorHAnsi" w:cs="Arial-BoldMT"/>
          <w:bCs/>
        </w:rPr>
      </w:pPr>
      <w:r>
        <w:rPr>
          <w:rFonts w:asciiTheme="minorHAnsi" w:hAnsiTheme="minorHAnsi" w:cs="Arial"/>
          <w:b/>
        </w:rPr>
        <w:t>1</w:t>
      </w:r>
      <w:r w:rsidR="00B247FB" w:rsidRPr="00FE35B7">
        <w:rPr>
          <w:rFonts w:asciiTheme="minorHAnsi" w:hAnsiTheme="minorHAnsi" w:cs="Arial"/>
          <w:b/>
        </w:rPr>
        <w:t>. APRESENTAÇÃO</w:t>
      </w:r>
    </w:p>
    <w:p w14:paraId="0E95A001" w14:textId="77777777" w:rsidR="000E3BB9" w:rsidRDefault="004E558B" w:rsidP="00B1386A">
      <w:pPr>
        <w:autoSpaceDE w:val="0"/>
        <w:spacing w:before="100" w:beforeAutospacing="1" w:after="100" w:afterAutospacing="1" w:line="276" w:lineRule="auto"/>
        <w:ind w:firstLine="0"/>
        <w:jc w:val="both"/>
        <w:rPr>
          <w:rFonts w:asciiTheme="minorHAnsi" w:hAnsiTheme="minorHAnsi" w:cs="Arial"/>
        </w:rPr>
      </w:pPr>
      <w:r>
        <w:rPr>
          <w:rFonts w:asciiTheme="minorHAnsi" w:hAnsiTheme="minorHAnsi" w:cs="Arial"/>
        </w:rPr>
        <w:t xml:space="preserve">O Banco Interamericano de Desenvolvimento (BID) está atualmente preparando uma operação de crédito global com o Banco do Brasil (BB), destinada a financiar soluções tecnológicas para realização de intervenções em infraestrutura em municípios com população na faixa de 20.000 a 500.000 habitantes. </w:t>
      </w:r>
    </w:p>
    <w:p w14:paraId="5A2AF86E" w14:textId="77777777" w:rsidR="000E3BB9" w:rsidRDefault="004E558B" w:rsidP="00B1386A">
      <w:pPr>
        <w:autoSpaceDE w:val="0"/>
        <w:spacing w:before="100" w:beforeAutospacing="1" w:after="100" w:afterAutospacing="1" w:line="276" w:lineRule="auto"/>
        <w:ind w:firstLine="0"/>
        <w:jc w:val="both"/>
        <w:rPr>
          <w:rFonts w:asciiTheme="minorHAnsi" w:hAnsiTheme="minorHAnsi" w:cs="Arial"/>
        </w:rPr>
      </w:pPr>
      <w:r>
        <w:rPr>
          <w:rFonts w:asciiTheme="minorHAnsi" w:hAnsiTheme="minorHAnsi" w:cs="Arial"/>
        </w:rPr>
        <w:t xml:space="preserve">Estes investimentos objetivam a melhoria de gestão municipal administrativa e fiscal para prestação de serviços públicos </w:t>
      </w:r>
      <w:r w:rsidR="000E3BB9">
        <w:rPr>
          <w:rFonts w:asciiTheme="minorHAnsi" w:hAnsiTheme="minorHAnsi" w:cs="Arial"/>
        </w:rPr>
        <w:t xml:space="preserve">vinculados às infraestruturas de iluminação pública e eficiência energética em edifícios públicos, </w:t>
      </w:r>
      <w:r>
        <w:rPr>
          <w:rFonts w:asciiTheme="minorHAnsi" w:hAnsiTheme="minorHAnsi" w:cs="Arial"/>
        </w:rPr>
        <w:t xml:space="preserve"> </w:t>
      </w:r>
      <w:r w:rsidR="000E3BB9">
        <w:rPr>
          <w:rFonts w:asciiTheme="minorHAnsi" w:hAnsiTheme="minorHAnsi" w:cs="Arial"/>
        </w:rPr>
        <w:t>transporte e mobilidade urbana e saneamento básico.</w:t>
      </w:r>
    </w:p>
    <w:p w14:paraId="01B79304" w14:textId="096BF1B5" w:rsidR="00B1386A" w:rsidRDefault="000E3BB9" w:rsidP="00B1386A">
      <w:pPr>
        <w:autoSpaceDE w:val="0"/>
        <w:spacing w:before="100" w:beforeAutospacing="1" w:after="100" w:afterAutospacing="1" w:line="276" w:lineRule="auto"/>
        <w:ind w:firstLine="0"/>
        <w:jc w:val="both"/>
        <w:rPr>
          <w:rFonts w:asciiTheme="minorHAnsi" w:hAnsiTheme="minorHAnsi" w:cs="Arial-BoldMT"/>
          <w:bCs/>
        </w:rPr>
      </w:pPr>
      <w:r>
        <w:rPr>
          <w:rFonts w:asciiTheme="minorHAnsi" w:hAnsiTheme="minorHAnsi" w:cs="Arial"/>
        </w:rPr>
        <w:t xml:space="preserve">Dentro desse contexto, este documento tem por finalidade </w:t>
      </w:r>
      <w:r w:rsidR="00A5439E" w:rsidRPr="00FE35B7">
        <w:rPr>
          <w:rFonts w:asciiTheme="minorHAnsi" w:hAnsiTheme="minorHAnsi" w:cs="Arial"/>
        </w:rPr>
        <w:t xml:space="preserve">apresentar </w:t>
      </w:r>
      <w:r w:rsidR="00574E3C">
        <w:rPr>
          <w:rFonts w:asciiTheme="minorHAnsi" w:hAnsiTheme="minorHAnsi" w:cs="Arial"/>
        </w:rPr>
        <w:t xml:space="preserve">um diagnóstico </w:t>
      </w:r>
      <w:r w:rsidR="00986638">
        <w:rPr>
          <w:rFonts w:asciiTheme="minorHAnsi" w:hAnsiTheme="minorHAnsi" w:cs="Arial"/>
        </w:rPr>
        <w:t>técnico</w:t>
      </w:r>
      <w:r w:rsidR="0091650F">
        <w:rPr>
          <w:rFonts w:asciiTheme="minorHAnsi" w:hAnsiTheme="minorHAnsi" w:cs="Arial"/>
        </w:rPr>
        <w:t xml:space="preserve"> e</w:t>
      </w:r>
      <w:r w:rsidR="00AC16CD">
        <w:rPr>
          <w:rFonts w:asciiTheme="minorHAnsi" w:hAnsiTheme="minorHAnsi" w:cs="Arial"/>
        </w:rPr>
        <w:t xml:space="preserve"> institucional do potencial de melhoria da eficiência operacional dos prestadores de se</w:t>
      </w:r>
      <w:r w:rsidR="004E558B">
        <w:rPr>
          <w:rFonts w:asciiTheme="minorHAnsi" w:hAnsiTheme="minorHAnsi" w:cs="Arial"/>
        </w:rPr>
        <w:t>rvi</w:t>
      </w:r>
      <w:r w:rsidR="00AC16CD">
        <w:rPr>
          <w:rFonts w:asciiTheme="minorHAnsi" w:hAnsiTheme="minorHAnsi" w:cs="Arial"/>
        </w:rPr>
        <w:t xml:space="preserve">ços de água </w:t>
      </w:r>
      <w:r>
        <w:rPr>
          <w:rFonts w:asciiTheme="minorHAnsi" w:hAnsiTheme="minorHAnsi" w:cs="Arial"/>
        </w:rPr>
        <w:t>d</w:t>
      </w:r>
      <w:r w:rsidR="004E558B">
        <w:rPr>
          <w:rFonts w:asciiTheme="minorHAnsi" w:hAnsiTheme="minorHAnsi" w:cs="Arial"/>
        </w:rPr>
        <w:t>o País, com foco na redução de perdas de água</w:t>
      </w:r>
      <w:r>
        <w:rPr>
          <w:rFonts w:asciiTheme="minorHAnsi" w:hAnsiTheme="minorHAnsi" w:cs="Arial"/>
        </w:rPr>
        <w:t xml:space="preserve">. </w:t>
      </w:r>
    </w:p>
    <w:p w14:paraId="7A8FAFF4" w14:textId="6D619046" w:rsidR="0091650F" w:rsidRDefault="000E3BB9" w:rsidP="00B1386A">
      <w:pPr>
        <w:autoSpaceDE w:val="0"/>
        <w:spacing w:before="100" w:beforeAutospacing="1" w:after="100" w:afterAutospacing="1" w:line="276" w:lineRule="auto"/>
        <w:ind w:firstLine="0"/>
        <w:jc w:val="both"/>
        <w:rPr>
          <w:rFonts w:asciiTheme="minorHAnsi" w:hAnsiTheme="minorHAnsi" w:cs="Arial-BoldMT"/>
          <w:bCs/>
        </w:rPr>
      </w:pPr>
      <w:r>
        <w:rPr>
          <w:rFonts w:asciiTheme="minorHAnsi" w:hAnsiTheme="minorHAnsi" w:cs="Arial-BoldMT"/>
          <w:bCs/>
        </w:rPr>
        <w:t xml:space="preserve">Dessa forma, tomando como referência o banco de dados do </w:t>
      </w:r>
      <w:r>
        <w:rPr>
          <w:rFonts w:asciiTheme="minorHAnsi" w:hAnsiTheme="minorHAnsi"/>
          <w:color w:val="000000" w:themeColor="text1"/>
        </w:rPr>
        <w:t xml:space="preserve">Sistema Nacional de Informações sobre o Saneamento (SNIS) – Diagnóstico dos Serviços de Água e Esgotos - Ano 2016, o </w:t>
      </w:r>
      <w:r w:rsidR="0091650F">
        <w:rPr>
          <w:rFonts w:asciiTheme="minorHAnsi" w:hAnsiTheme="minorHAnsi" w:cs="Arial-BoldMT"/>
          <w:bCs/>
        </w:rPr>
        <w:t>diagnóstico aborda in</w:t>
      </w:r>
      <w:r w:rsidR="00F77E7B">
        <w:rPr>
          <w:rFonts w:asciiTheme="minorHAnsi" w:hAnsiTheme="minorHAnsi" w:cs="Arial-BoldMT"/>
          <w:bCs/>
        </w:rPr>
        <w:t xml:space="preserve">icialmente uma caracterização </w:t>
      </w:r>
      <w:r>
        <w:rPr>
          <w:rFonts w:asciiTheme="minorHAnsi" w:hAnsiTheme="minorHAnsi" w:cs="Arial-BoldMT"/>
          <w:bCs/>
        </w:rPr>
        <w:t xml:space="preserve">e análise </w:t>
      </w:r>
      <w:r w:rsidR="00F77E7B">
        <w:rPr>
          <w:rFonts w:asciiTheme="minorHAnsi" w:hAnsiTheme="minorHAnsi" w:cs="Arial-BoldMT"/>
          <w:bCs/>
        </w:rPr>
        <w:t>da</w:t>
      </w:r>
      <w:r>
        <w:rPr>
          <w:rFonts w:asciiTheme="minorHAnsi" w:hAnsiTheme="minorHAnsi" w:cs="Arial-BoldMT"/>
          <w:bCs/>
        </w:rPr>
        <w:t>s perdas de água, nos municípios brasileiros</w:t>
      </w:r>
      <w:r w:rsidR="00F77E7B">
        <w:rPr>
          <w:rFonts w:asciiTheme="minorHAnsi" w:hAnsiTheme="minorHAnsi" w:cs="Arial-BoldMT"/>
          <w:bCs/>
        </w:rPr>
        <w:t xml:space="preserve"> </w:t>
      </w:r>
      <w:r>
        <w:rPr>
          <w:rFonts w:asciiTheme="minorHAnsi" w:hAnsiTheme="minorHAnsi" w:cs="Arial-BoldMT"/>
          <w:bCs/>
        </w:rPr>
        <w:t>com população na faixa prevista pela avaliação.</w:t>
      </w:r>
    </w:p>
    <w:p w14:paraId="787A014E" w14:textId="3B2E366A" w:rsidR="00B74F50" w:rsidRDefault="0052475D" w:rsidP="00B1386A">
      <w:pPr>
        <w:autoSpaceDE w:val="0"/>
        <w:spacing w:before="100" w:beforeAutospacing="1" w:after="100" w:afterAutospacing="1" w:line="276" w:lineRule="auto"/>
        <w:ind w:firstLine="0"/>
        <w:jc w:val="both"/>
        <w:rPr>
          <w:rFonts w:asciiTheme="minorHAnsi" w:hAnsiTheme="minorHAnsi" w:cs="Arial-BoldMT"/>
          <w:bCs/>
        </w:rPr>
      </w:pPr>
      <w:r>
        <w:rPr>
          <w:rFonts w:asciiTheme="minorHAnsi" w:hAnsiTheme="minorHAnsi" w:cs="Arial-BoldMT"/>
          <w:bCs/>
        </w:rPr>
        <w:t>Na sequencia</w:t>
      </w:r>
      <w:r w:rsidR="00B909A6">
        <w:rPr>
          <w:rFonts w:asciiTheme="minorHAnsi" w:hAnsiTheme="minorHAnsi" w:cs="Arial-BoldMT"/>
          <w:bCs/>
        </w:rPr>
        <w:t>,</w:t>
      </w:r>
      <w:r>
        <w:rPr>
          <w:rFonts w:asciiTheme="minorHAnsi" w:hAnsiTheme="minorHAnsi" w:cs="Arial-BoldMT"/>
          <w:bCs/>
        </w:rPr>
        <w:t xml:space="preserve"> </w:t>
      </w:r>
      <w:r w:rsidR="000E3BB9">
        <w:rPr>
          <w:rFonts w:asciiTheme="minorHAnsi" w:hAnsiTheme="minorHAnsi" w:cs="Arial-BoldMT"/>
          <w:bCs/>
        </w:rPr>
        <w:t xml:space="preserve">com a finalidade de desenvolver uma avaliação da capacidade institucional dos prestadores de serviços, </w:t>
      </w:r>
      <w:r>
        <w:rPr>
          <w:rFonts w:asciiTheme="minorHAnsi" w:hAnsiTheme="minorHAnsi" w:cs="Arial-BoldMT"/>
          <w:bCs/>
        </w:rPr>
        <w:t xml:space="preserve">o documento aborda </w:t>
      </w:r>
      <w:r w:rsidR="00452344">
        <w:rPr>
          <w:rFonts w:asciiTheme="minorHAnsi" w:hAnsiTheme="minorHAnsi" w:cs="Arial-BoldMT"/>
          <w:bCs/>
        </w:rPr>
        <w:t>pontos</w:t>
      </w:r>
      <w:r w:rsidR="000E3BB9">
        <w:rPr>
          <w:rFonts w:asciiTheme="minorHAnsi" w:hAnsiTheme="minorHAnsi" w:cs="Arial-BoldMT"/>
          <w:bCs/>
        </w:rPr>
        <w:t xml:space="preserve"> notáveis dos </w:t>
      </w:r>
      <w:r w:rsidR="009C5355">
        <w:rPr>
          <w:rFonts w:asciiTheme="minorHAnsi" w:hAnsiTheme="minorHAnsi" w:cs="Arial-BoldMT"/>
          <w:bCs/>
        </w:rPr>
        <w:t>operadores</w:t>
      </w:r>
      <w:r w:rsidR="00B909A6">
        <w:rPr>
          <w:rFonts w:asciiTheme="minorHAnsi" w:hAnsiTheme="minorHAnsi" w:cs="Arial-BoldMT"/>
          <w:bCs/>
        </w:rPr>
        <w:t xml:space="preserve">, contextualizando </w:t>
      </w:r>
      <w:r w:rsidR="009C5355">
        <w:rPr>
          <w:rFonts w:asciiTheme="minorHAnsi" w:hAnsiTheme="minorHAnsi" w:cs="Arial-BoldMT"/>
          <w:bCs/>
        </w:rPr>
        <w:t>sua</w:t>
      </w:r>
      <w:r w:rsidR="00B74F50">
        <w:rPr>
          <w:rFonts w:asciiTheme="minorHAnsi" w:hAnsiTheme="minorHAnsi" w:cs="Arial-BoldMT"/>
          <w:bCs/>
        </w:rPr>
        <w:t>s</w:t>
      </w:r>
      <w:r w:rsidR="009C5355">
        <w:rPr>
          <w:rFonts w:asciiTheme="minorHAnsi" w:hAnsiTheme="minorHAnsi" w:cs="Arial-BoldMT"/>
          <w:bCs/>
        </w:rPr>
        <w:t xml:space="preserve"> natureza</w:t>
      </w:r>
      <w:r w:rsidR="00B74F50">
        <w:rPr>
          <w:rFonts w:asciiTheme="minorHAnsi" w:hAnsiTheme="minorHAnsi" w:cs="Arial-BoldMT"/>
          <w:bCs/>
        </w:rPr>
        <w:t>s</w:t>
      </w:r>
      <w:r w:rsidR="009C5355">
        <w:rPr>
          <w:rFonts w:asciiTheme="minorHAnsi" w:hAnsiTheme="minorHAnsi" w:cs="Arial-BoldMT"/>
          <w:bCs/>
        </w:rPr>
        <w:t xml:space="preserve"> jurídica</w:t>
      </w:r>
      <w:r w:rsidR="00B74F50">
        <w:rPr>
          <w:rFonts w:asciiTheme="minorHAnsi" w:hAnsiTheme="minorHAnsi" w:cs="Arial-BoldMT"/>
          <w:bCs/>
        </w:rPr>
        <w:t>s</w:t>
      </w:r>
      <w:r w:rsidR="009C5355">
        <w:rPr>
          <w:rFonts w:asciiTheme="minorHAnsi" w:hAnsiTheme="minorHAnsi" w:cs="Arial-BoldMT"/>
          <w:bCs/>
        </w:rPr>
        <w:t>, ní</w:t>
      </w:r>
      <w:r w:rsidR="00B74F50">
        <w:rPr>
          <w:rFonts w:asciiTheme="minorHAnsi" w:hAnsiTheme="minorHAnsi" w:cs="Arial-BoldMT"/>
          <w:bCs/>
        </w:rPr>
        <w:t>veis</w:t>
      </w:r>
      <w:r w:rsidR="009C5355">
        <w:rPr>
          <w:rFonts w:asciiTheme="minorHAnsi" w:hAnsiTheme="minorHAnsi" w:cs="Arial-BoldMT"/>
          <w:bCs/>
        </w:rPr>
        <w:t xml:space="preserve"> de cobertura e desempenho </w:t>
      </w:r>
      <w:r w:rsidR="00244969">
        <w:rPr>
          <w:rFonts w:asciiTheme="minorHAnsi" w:hAnsiTheme="minorHAnsi" w:cs="Arial-BoldMT"/>
          <w:bCs/>
        </w:rPr>
        <w:t>n</w:t>
      </w:r>
      <w:r w:rsidR="00B74F50">
        <w:rPr>
          <w:rFonts w:asciiTheme="minorHAnsi" w:hAnsiTheme="minorHAnsi" w:cs="Arial-BoldMT"/>
          <w:bCs/>
        </w:rPr>
        <w:t xml:space="preserve">a prestação dos serviços </w:t>
      </w:r>
      <w:r w:rsidR="009C5355">
        <w:rPr>
          <w:rFonts w:asciiTheme="minorHAnsi" w:hAnsiTheme="minorHAnsi" w:cs="Arial-BoldMT"/>
          <w:bCs/>
        </w:rPr>
        <w:t>e condições atuais da regulação</w:t>
      </w:r>
      <w:r w:rsidR="00B74F50">
        <w:rPr>
          <w:rFonts w:asciiTheme="minorHAnsi" w:hAnsiTheme="minorHAnsi" w:cs="Arial-BoldMT"/>
          <w:bCs/>
        </w:rPr>
        <w:t>.</w:t>
      </w:r>
    </w:p>
    <w:p w14:paraId="6E514F7B" w14:textId="3138CB94" w:rsidR="00864038" w:rsidRDefault="00B74F50" w:rsidP="00864038">
      <w:pPr>
        <w:autoSpaceDE w:val="0"/>
        <w:spacing w:before="100" w:beforeAutospacing="1" w:after="100" w:afterAutospacing="1" w:line="276" w:lineRule="auto"/>
        <w:ind w:firstLine="0"/>
        <w:jc w:val="both"/>
        <w:rPr>
          <w:rFonts w:asciiTheme="minorHAnsi" w:hAnsiTheme="minorHAnsi" w:cs="Arial-BoldMT"/>
          <w:bCs/>
        </w:rPr>
      </w:pPr>
      <w:r>
        <w:rPr>
          <w:rFonts w:asciiTheme="minorHAnsi" w:hAnsiTheme="minorHAnsi" w:cs="Arial-BoldMT"/>
          <w:bCs/>
        </w:rPr>
        <w:t>Concluindo, o documento</w:t>
      </w:r>
      <w:r w:rsidR="00864038">
        <w:rPr>
          <w:rFonts w:asciiTheme="minorHAnsi" w:hAnsiTheme="minorHAnsi" w:cs="Arial-BoldMT"/>
          <w:bCs/>
        </w:rPr>
        <w:t xml:space="preserve"> apresenta uma síntese do diagnóstico realizado, ressaltando os principais </w:t>
      </w:r>
      <w:r>
        <w:rPr>
          <w:rFonts w:asciiTheme="minorHAnsi" w:hAnsiTheme="minorHAnsi" w:cs="Arial-BoldMT"/>
          <w:bCs/>
        </w:rPr>
        <w:t xml:space="preserve">pontos </w:t>
      </w:r>
      <w:r w:rsidR="00244969">
        <w:rPr>
          <w:rFonts w:asciiTheme="minorHAnsi" w:hAnsiTheme="minorHAnsi" w:cs="Arial-BoldMT"/>
          <w:bCs/>
        </w:rPr>
        <w:t xml:space="preserve">abordados na </w:t>
      </w:r>
      <w:r>
        <w:rPr>
          <w:rFonts w:asciiTheme="minorHAnsi" w:hAnsiTheme="minorHAnsi" w:cs="Arial-BoldMT"/>
          <w:bCs/>
        </w:rPr>
        <w:t xml:space="preserve">questão das perdas de água </w:t>
      </w:r>
      <w:r w:rsidR="00864038">
        <w:rPr>
          <w:rFonts w:asciiTheme="minorHAnsi" w:hAnsiTheme="minorHAnsi" w:cs="Arial-BoldMT"/>
          <w:bCs/>
        </w:rPr>
        <w:t>.</w:t>
      </w:r>
    </w:p>
    <w:p w14:paraId="64A5DB5A" w14:textId="40630F88" w:rsidR="00C53433" w:rsidRDefault="00864038" w:rsidP="00864038">
      <w:pPr>
        <w:autoSpaceDE w:val="0"/>
        <w:spacing w:before="100" w:beforeAutospacing="1" w:after="100" w:afterAutospacing="1" w:line="276" w:lineRule="auto"/>
        <w:ind w:firstLine="0"/>
        <w:jc w:val="both"/>
        <w:rPr>
          <w:rFonts w:asciiTheme="minorHAnsi" w:hAnsiTheme="minorHAnsi" w:cs="Arial-BoldMT"/>
          <w:bCs/>
        </w:rPr>
      </w:pPr>
      <w:r>
        <w:rPr>
          <w:rFonts w:asciiTheme="minorHAnsi" w:hAnsiTheme="minorHAnsi" w:cs="Arial-BoldMT"/>
          <w:bCs/>
        </w:rPr>
        <w:br/>
      </w:r>
      <w:r>
        <w:rPr>
          <w:rFonts w:asciiTheme="minorHAnsi" w:hAnsiTheme="minorHAnsi" w:cs="Arial-BoldMT"/>
          <w:bCs/>
        </w:rPr>
        <w:br/>
      </w:r>
    </w:p>
    <w:p w14:paraId="436313FA" w14:textId="77777777" w:rsidR="00864038" w:rsidRDefault="00864038">
      <w:pPr>
        <w:widowControl/>
        <w:spacing w:after="200" w:line="276" w:lineRule="auto"/>
        <w:ind w:firstLine="0"/>
        <w:jc w:val="left"/>
        <w:rPr>
          <w:rFonts w:asciiTheme="minorHAnsi" w:hAnsiTheme="minorHAnsi" w:cs="Arial-BoldMT"/>
          <w:b/>
          <w:bCs/>
        </w:rPr>
      </w:pPr>
      <w:r>
        <w:rPr>
          <w:rFonts w:asciiTheme="minorHAnsi" w:hAnsiTheme="minorHAnsi" w:cs="Arial-BoldMT"/>
          <w:b/>
          <w:bCs/>
        </w:rPr>
        <w:br w:type="page"/>
      </w:r>
    </w:p>
    <w:p w14:paraId="33EE848E" w14:textId="2C9CDB03" w:rsidR="0091650F" w:rsidRDefault="00381B9D" w:rsidP="00B71AF9">
      <w:pPr>
        <w:widowControl/>
        <w:spacing w:after="200" w:line="276" w:lineRule="auto"/>
        <w:ind w:firstLine="0"/>
        <w:jc w:val="left"/>
        <w:rPr>
          <w:rFonts w:asciiTheme="minorHAnsi" w:hAnsiTheme="minorHAnsi" w:cs="Arial-BoldMT"/>
          <w:b/>
          <w:bCs/>
        </w:rPr>
      </w:pPr>
      <w:r>
        <w:rPr>
          <w:rFonts w:asciiTheme="minorHAnsi" w:hAnsiTheme="minorHAnsi" w:cs="Arial-BoldMT"/>
          <w:b/>
          <w:bCs/>
        </w:rPr>
        <w:t xml:space="preserve">2.  </w:t>
      </w:r>
      <w:r w:rsidR="002B204F">
        <w:rPr>
          <w:rFonts w:asciiTheme="minorHAnsi" w:hAnsiTheme="minorHAnsi" w:cs="Arial-BoldMT"/>
          <w:b/>
          <w:bCs/>
        </w:rPr>
        <w:t>DIAGNÓSTICO DA SITUAÇÃO DAS PERDAS DE ÁGUA</w:t>
      </w:r>
    </w:p>
    <w:p w14:paraId="59459B2E" w14:textId="5E5F0DD9" w:rsidR="004E6BD7" w:rsidRPr="008828C6" w:rsidRDefault="004E6BD7" w:rsidP="00B71AF9">
      <w:pPr>
        <w:widowControl/>
        <w:spacing w:after="200" w:line="276" w:lineRule="auto"/>
        <w:ind w:firstLine="0"/>
        <w:jc w:val="left"/>
        <w:rPr>
          <w:rFonts w:asciiTheme="minorHAnsi" w:hAnsiTheme="minorHAnsi" w:cs="Arial-BoldMT"/>
          <w:bCs/>
        </w:rPr>
      </w:pPr>
      <w:r>
        <w:rPr>
          <w:rFonts w:asciiTheme="minorHAnsi" w:hAnsiTheme="minorHAnsi" w:cs="Arial-BoldMT"/>
          <w:b/>
          <w:bCs/>
        </w:rPr>
        <w:t>2.1  Base de Dados</w:t>
      </w:r>
    </w:p>
    <w:p w14:paraId="34883C6C" w14:textId="513A150B" w:rsidR="004B5621" w:rsidRDefault="002B204F" w:rsidP="006A2E84">
      <w:pPr>
        <w:spacing w:before="100" w:beforeAutospacing="1" w:after="100" w:afterAutospacing="1" w:line="276" w:lineRule="auto"/>
        <w:ind w:firstLine="0"/>
        <w:jc w:val="both"/>
        <w:rPr>
          <w:rFonts w:asciiTheme="minorHAnsi" w:hAnsiTheme="minorHAnsi"/>
          <w:color w:val="000000" w:themeColor="text1"/>
        </w:rPr>
      </w:pPr>
      <w:r>
        <w:rPr>
          <w:rFonts w:asciiTheme="minorHAnsi" w:hAnsiTheme="minorHAnsi"/>
          <w:color w:val="000000" w:themeColor="text1"/>
        </w:rPr>
        <w:t xml:space="preserve">Tomando por base </w:t>
      </w:r>
      <w:r w:rsidR="004B5621">
        <w:rPr>
          <w:rFonts w:asciiTheme="minorHAnsi" w:hAnsiTheme="minorHAnsi"/>
          <w:color w:val="000000" w:themeColor="text1"/>
        </w:rPr>
        <w:t>as informações</w:t>
      </w:r>
      <w:r>
        <w:rPr>
          <w:rFonts w:asciiTheme="minorHAnsi" w:hAnsiTheme="minorHAnsi"/>
          <w:color w:val="000000" w:themeColor="text1"/>
        </w:rPr>
        <w:t xml:space="preserve"> constantes no Sistema Nacional de Informações </w:t>
      </w:r>
      <w:r w:rsidR="0061361D">
        <w:rPr>
          <w:rFonts w:asciiTheme="minorHAnsi" w:hAnsiTheme="minorHAnsi"/>
          <w:color w:val="000000" w:themeColor="text1"/>
        </w:rPr>
        <w:t>sobre</w:t>
      </w:r>
      <w:r>
        <w:rPr>
          <w:rFonts w:asciiTheme="minorHAnsi" w:hAnsiTheme="minorHAnsi"/>
          <w:color w:val="000000" w:themeColor="text1"/>
        </w:rPr>
        <w:t xml:space="preserve"> o Saneamento (SNIS) – </w:t>
      </w:r>
      <w:r w:rsidR="0061361D">
        <w:rPr>
          <w:rFonts w:asciiTheme="minorHAnsi" w:hAnsiTheme="minorHAnsi"/>
          <w:color w:val="000000" w:themeColor="text1"/>
        </w:rPr>
        <w:t xml:space="preserve">Diagnóstico dos Serviços de Água e Esgotos - </w:t>
      </w:r>
      <w:r>
        <w:rPr>
          <w:rFonts w:asciiTheme="minorHAnsi" w:hAnsiTheme="minorHAnsi"/>
          <w:color w:val="000000" w:themeColor="text1"/>
        </w:rPr>
        <w:t xml:space="preserve">Ano 2016, </w:t>
      </w:r>
      <w:r w:rsidR="004B5621">
        <w:rPr>
          <w:rFonts w:asciiTheme="minorHAnsi" w:hAnsiTheme="minorHAnsi"/>
          <w:color w:val="000000" w:themeColor="text1"/>
        </w:rPr>
        <w:t>foram tabulados todos os dados necessários para identificação da situação das perdas nos sistemas de abastecimento de água operados pelos diversos prestadores de serviços de saneamento no Brasil.</w:t>
      </w:r>
    </w:p>
    <w:p w14:paraId="5BB385E2" w14:textId="0AC1F119" w:rsidR="004B5621" w:rsidRDefault="004B5621" w:rsidP="006A2E84">
      <w:pPr>
        <w:spacing w:before="100" w:beforeAutospacing="1" w:after="100" w:afterAutospacing="1" w:line="276" w:lineRule="auto"/>
        <w:ind w:firstLine="0"/>
        <w:jc w:val="both"/>
        <w:rPr>
          <w:rFonts w:asciiTheme="minorHAnsi" w:hAnsiTheme="minorHAnsi"/>
          <w:color w:val="000000" w:themeColor="text1"/>
        </w:rPr>
      </w:pPr>
      <w:r>
        <w:rPr>
          <w:rFonts w:asciiTheme="minorHAnsi" w:hAnsiTheme="minorHAnsi"/>
          <w:color w:val="000000" w:themeColor="text1"/>
        </w:rPr>
        <w:t xml:space="preserve">O levantamento levou em conta o tamanho da população, sendo o foco do estudo dirigido para </w:t>
      </w:r>
      <w:r w:rsidR="0000513E">
        <w:rPr>
          <w:rFonts w:asciiTheme="minorHAnsi" w:hAnsiTheme="minorHAnsi"/>
          <w:color w:val="000000" w:themeColor="text1"/>
        </w:rPr>
        <w:t xml:space="preserve">os municípios médios, </w:t>
      </w:r>
      <w:r>
        <w:rPr>
          <w:rFonts w:asciiTheme="minorHAnsi" w:hAnsiTheme="minorHAnsi"/>
          <w:color w:val="000000" w:themeColor="text1"/>
        </w:rPr>
        <w:t xml:space="preserve">com população entre </w:t>
      </w:r>
      <w:r w:rsidR="0000513E">
        <w:rPr>
          <w:rFonts w:asciiTheme="minorHAnsi" w:hAnsiTheme="minorHAnsi"/>
          <w:color w:val="000000" w:themeColor="text1"/>
        </w:rPr>
        <w:t xml:space="preserve">20 mil e 50 mil habitantes e os municípios considerados grandes, com população entre 50 mil e 500 mil habitantes. Considerando </w:t>
      </w:r>
      <w:r w:rsidR="004E6BD7">
        <w:rPr>
          <w:rFonts w:asciiTheme="minorHAnsi" w:hAnsiTheme="minorHAnsi"/>
          <w:color w:val="000000" w:themeColor="text1"/>
        </w:rPr>
        <w:t>que, segundo o IBGE</w:t>
      </w:r>
      <w:r w:rsidR="00B806A8">
        <w:rPr>
          <w:rFonts w:asciiTheme="minorHAnsi" w:hAnsiTheme="minorHAnsi"/>
          <w:color w:val="000000" w:themeColor="text1"/>
        </w:rPr>
        <w:t>,</w:t>
      </w:r>
      <w:r w:rsidR="004E6BD7">
        <w:rPr>
          <w:rFonts w:asciiTheme="minorHAnsi" w:hAnsiTheme="minorHAnsi"/>
          <w:color w:val="000000" w:themeColor="text1"/>
        </w:rPr>
        <w:t xml:space="preserve"> o Brasil possui hoje 5.570 municípios, </w:t>
      </w:r>
      <w:r w:rsidR="0000513E">
        <w:rPr>
          <w:rFonts w:asciiTheme="minorHAnsi" w:hAnsiTheme="minorHAnsi"/>
          <w:color w:val="000000" w:themeColor="text1"/>
        </w:rPr>
        <w:t>ess</w:t>
      </w:r>
      <w:r w:rsidR="0061361D">
        <w:rPr>
          <w:rFonts w:asciiTheme="minorHAnsi" w:hAnsiTheme="minorHAnsi"/>
          <w:color w:val="000000" w:themeColor="text1"/>
        </w:rPr>
        <w:t xml:space="preserve">as faixas de população </w:t>
      </w:r>
      <w:r w:rsidR="004E6BD7">
        <w:rPr>
          <w:rFonts w:asciiTheme="minorHAnsi" w:hAnsiTheme="minorHAnsi"/>
          <w:color w:val="000000" w:themeColor="text1"/>
        </w:rPr>
        <w:t xml:space="preserve">tratadas na presente avaliação concentram </w:t>
      </w:r>
      <w:r w:rsidR="0000513E">
        <w:rPr>
          <w:rFonts w:asciiTheme="minorHAnsi" w:hAnsiTheme="minorHAnsi"/>
          <w:color w:val="000000" w:themeColor="text1"/>
        </w:rPr>
        <w:t>1606 municípios.</w:t>
      </w:r>
    </w:p>
    <w:p w14:paraId="1DEC31D0" w14:textId="3E84709A" w:rsidR="0000513E" w:rsidRDefault="0000513E" w:rsidP="006A2E84">
      <w:pPr>
        <w:spacing w:before="100" w:beforeAutospacing="1" w:after="100" w:afterAutospacing="1" w:line="276" w:lineRule="auto"/>
        <w:ind w:firstLine="0"/>
        <w:jc w:val="both"/>
        <w:rPr>
          <w:rFonts w:asciiTheme="minorHAnsi" w:hAnsiTheme="minorHAnsi"/>
          <w:color w:val="000000" w:themeColor="text1"/>
        </w:rPr>
      </w:pPr>
      <w:r>
        <w:rPr>
          <w:rFonts w:asciiTheme="minorHAnsi" w:hAnsiTheme="minorHAnsi"/>
          <w:color w:val="000000" w:themeColor="text1"/>
        </w:rPr>
        <w:t>Para uma me</w:t>
      </w:r>
      <w:r w:rsidR="00B806A8">
        <w:rPr>
          <w:rFonts w:asciiTheme="minorHAnsi" w:hAnsiTheme="minorHAnsi"/>
          <w:color w:val="000000" w:themeColor="text1"/>
        </w:rPr>
        <w:t xml:space="preserve">lhor estratificação dos dados, </w:t>
      </w:r>
      <w:r>
        <w:rPr>
          <w:rFonts w:asciiTheme="minorHAnsi" w:hAnsiTheme="minorHAnsi"/>
          <w:color w:val="000000" w:themeColor="text1"/>
        </w:rPr>
        <w:t>adotou</w:t>
      </w:r>
      <w:r w:rsidR="004E6BD7">
        <w:rPr>
          <w:rFonts w:asciiTheme="minorHAnsi" w:hAnsiTheme="minorHAnsi"/>
          <w:color w:val="000000" w:themeColor="text1"/>
        </w:rPr>
        <w:t>-se</w:t>
      </w:r>
      <w:r>
        <w:rPr>
          <w:rFonts w:asciiTheme="minorHAnsi" w:hAnsiTheme="minorHAnsi"/>
          <w:color w:val="000000" w:themeColor="text1"/>
        </w:rPr>
        <w:t xml:space="preserve"> os seguintes intervalos de população:</w:t>
      </w:r>
    </w:p>
    <w:p w14:paraId="20267AA5" w14:textId="4A5342F6" w:rsidR="0000513E" w:rsidRDefault="0000513E" w:rsidP="00CB27A1">
      <w:pPr>
        <w:pStyle w:val="ListParagraph"/>
        <w:numPr>
          <w:ilvl w:val="0"/>
          <w:numId w:val="3"/>
        </w:numPr>
        <w:spacing w:before="100" w:beforeAutospacing="1" w:after="100" w:afterAutospacing="1" w:line="276" w:lineRule="auto"/>
        <w:jc w:val="both"/>
        <w:rPr>
          <w:rFonts w:asciiTheme="minorHAnsi" w:hAnsiTheme="minorHAnsi"/>
          <w:color w:val="000000" w:themeColor="text1"/>
        </w:rPr>
      </w:pPr>
      <w:r>
        <w:rPr>
          <w:rFonts w:asciiTheme="minorHAnsi" w:hAnsiTheme="minorHAnsi"/>
          <w:color w:val="000000" w:themeColor="text1"/>
        </w:rPr>
        <w:t>Municípios com população entre 20.000 – 50.000 habitantes;</w:t>
      </w:r>
    </w:p>
    <w:p w14:paraId="131A2958" w14:textId="45EC113F" w:rsidR="0000513E" w:rsidRDefault="0000513E" w:rsidP="00CB27A1">
      <w:pPr>
        <w:pStyle w:val="ListParagraph"/>
        <w:numPr>
          <w:ilvl w:val="0"/>
          <w:numId w:val="3"/>
        </w:numPr>
        <w:spacing w:before="100" w:beforeAutospacing="1" w:after="100" w:afterAutospacing="1" w:line="276" w:lineRule="auto"/>
        <w:jc w:val="both"/>
        <w:rPr>
          <w:rFonts w:asciiTheme="minorHAnsi" w:hAnsiTheme="minorHAnsi"/>
          <w:color w:val="000000" w:themeColor="text1"/>
        </w:rPr>
      </w:pPr>
      <w:r>
        <w:rPr>
          <w:rFonts w:asciiTheme="minorHAnsi" w:hAnsiTheme="minorHAnsi"/>
          <w:color w:val="000000" w:themeColor="text1"/>
        </w:rPr>
        <w:t>Municípios com população entre 50.000 – 200.000 habitantes; e</w:t>
      </w:r>
    </w:p>
    <w:p w14:paraId="30BC3338" w14:textId="4D88D371" w:rsidR="0000513E" w:rsidRPr="00F075D9" w:rsidRDefault="0000513E" w:rsidP="00CB27A1">
      <w:pPr>
        <w:pStyle w:val="ListParagraph"/>
        <w:numPr>
          <w:ilvl w:val="0"/>
          <w:numId w:val="3"/>
        </w:numPr>
        <w:spacing w:before="100" w:beforeAutospacing="1" w:after="100" w:afterAutospacing="1" w:line="276" w:lineRule="auto"/>
        <w:jc w:val="both"/>
        <w:rPr>
          <w:rFonts w:asciiTheme="minorHAnsi" w:hAnsiTheme="minorHAnsi"/>
          <w:color w:val="000000" w:themeColor="text1"/>
        </w:rPr>
      </w:pPr>
      <w:r>
        <w:rPr>
          <w:rFonts w:asciiTheme="minorHAnsi" w:hAnsiTheme="minorHAnsi"/>
          <w:color w:val="000000" w:themeColor="text1"/>
        </w:rPr>
        <w:t>Municípios com população entre 200.000 – 500.000 habitantes.</w:t>
      </w:r>
    </w:p>
    <w:p w14:paraId="4DCC0E4D" w14:textId="1FA4E147" w:rsidR="00562444" w:rsidRDefault="00562444" w:rsidP="00562444">
      <w:pPr>
        <w:spacing w:before="100" w:beforeAutospacing="1" w:after="100" w:afterAutospacing="1" w:line="276" w:lineRule="auto"/>
        <w:ind w:firstLine="0"/>
        <w:jc w:val="both"/>
        <w:rPr>
          <w:rFonts w:asciiTheme="minorHAnsi" w:hAnsiTheme="minorHAnsi"/>
          <w:color w:val="000000" w:themeColor="text1"/>
        </w:rPr>
      </w:pPr>
      <w:r>
        <w:rPr>
          <w:rFonts w:asciiTheme="minorHAnsi" w:hAnsiTheme="minorHAnsi"/>
          <w:color w:val="000000" w:themeColor="text1"/>
        </w:rPr>
        <w:t>Tendo em vista</w:t>
      </w:r>
      <w:r w:rsidR="0000513E" w:rsidRPr="00562444">
        <w:rPr>
          <w:rFonts w:asciiTheme="minorHAnsi" w:hAnsiTheme="minorHAnsi"/>
          <w:color w:val="000000" w:themeColor="text1"/>
        </w:rPr>
        <w:t xml:space="preserve"> que o SNIS é uma base de</w:t>
      </w:r>
      <w:r w:rsidR="0061361D">
        <w:rPr>
          <w:rFonts w:asciiTheme="minorHAnsi" w:hAnsiTheme="minorHAnsi"/>
          <w:color w:val="000000" w:themeColor="text1"/>
        </w:rPr>
        <w:t xml:space="preserve"> </w:t>
      </w:r>
      <w:r w:rsidR="0000513E" w:rsidRPr="00562444">
        <w:rPr>
          <w:rFonts w:asciiTheme="minorHAnsi" w:hAnsiTheme="minorHAnsi"/>
          <w:color w:val="000000" w:themeColor="text1"/>
        </w:rPr>
        <w:t>dados não auditada, a</w:t>
      </w:r>
      <w:r>
        <w:rPr>
          <w:rFonts w:asciiTheme="minorHAnsi" w:hAnsiTheme="minorHAnsi"/>
          <w:color w:val="000000" w:themeColor="text1"/>
        </w:rPr>
        <w:t xml:space="preserve">lguns dados disponibilizados pelo sistema apresentam inconsistências e, dessa forma, não foram considerados. </w:t>
      </w:r>
      <w:r w:rsidR="0061361D">
        <w:rPr>
          <w:rFonts w:asciiTheme="minorHAnsi" w:hAnsiTheme="minorHAnsi"/>
          <w:color w:val="000000" w:themeColor="text1"/>
        </w:rPr>
        <w:t>Sendo assim</w:t>
      </w:r>
      <w:r>
        <w:rPr>
          <w:rFonts w:asciiTheme="minorHAnsi" w:hAnsiTheme="minorHAnsi"/>
          <w:color w:val="000000" w:themeColor="text1"/>
        </w:rPr>
        <w:t xml:space="preserve">, a base real utilizada para tratamento de informações refere-se à </w:t>
      </w:r>
      <w:r w:rsidR="004E6BD7">
        <w:rPr>
          <w:rFonts w:asciiTheme="minorHAnsi" w:hAnsiTheme="minorHAnsi"/>
          <w:color w:val="000000" w:themeColor="text1"/>
        </w:rPr>
        <w:t>1.440</w:t>
      </w:r>
      <w:r>
        <w:rPr>
          <w:rFonts w:asciiTheme="minorHAnsi" w:hAnsiTheme="minorHAnsi"/>
          <w:color w:val="000000" w:themeColor="text1"/>
        </w:rPr>
        <w:t xml:space="preserve"> munic</w:t>
      </w:r>
      <w:r w:rsidR="004E6BD7">
        <w:rPr>
          <w:rFonts w:asciiTheme="minorHAnsi" w:hAnsiTheme="minorHAnsi"/>
          <w:color w:val="000000" w:themeColor="text1"/>
        </w:rPr>
        <w:t>ípios, ou seja aproximadamente 9</w:t>
      </w:r>
      <w:r>
        <w:rPr>
          <w:rFonts w:asciiTheme="minorHAnsi" w:hAnsiTheme="minorHAnsi"/>
          <w:color w:val="000000" w:themeColor="text1"/>
        </w:rPr>
        <w:t>0% da amostra desejada (1.606 municípios).</w:t>
      </w:r>
    </w:p>
    <w:p w14:paraId="46B6736D" w14:textId="79E0941E" w:rsidR="00562444" w:rsidRDefault="00562444" w:rsidP="00562444">
      <w:pPr>
        <w:spacing w:before="100" w:beforeAutospacing="1" w:after="100" w:afterAutospacing="1" w:line="276" w:lineRule="auto"/>
        <w:ind w:firstLine="0"/>
        <w:jc w:val="both"/>
        <w:rPr>
          <w:rFonts w:asciiTheme="minorHAnsi" w:hAnsiTheme="minorHAnsi"/>
          <w:color w:val="000000" w:themeColor="text1"/>
        </w:rPr>
      </w:pPr>
      <w:r>
        <w:rPr>
          <w:rFonts w:asciiTheme="minorHAnsi" w:hAnsiTheme="minorHAnsi"/>
          <w:color w:val="000000" w:themeColor="text1"/>
        </w:rPr>
        <w:t>Outra consideração importante</w:t>
      </w:r>
      <w:r w:rsidR="00B806A8">
        <w:rPr>
          <w:rFonts w:asciiTheme="minorHAnsi" w:hAnsiTheme="minorHAnsi"/>
          <w:color w:val="000000" w:themeColor="text1"/>
        </w:rPr>
        <w:t>,</w:t>
      </w:r>
      <w:r>
        <w:rPr>
          <w:rFonts w:asciiTheme="minorHAnsi" w:hAnsiTheme="minorHAnsi"/>
          <w:color w:val="000000" w:themeColor="text1"/>
        </w:rPr>
        <w:t xml:space="preserve"> diz respeito aos tipos de prestadores considerados pelo SNIS. A base de dados de 2016 está</w:t>
      </w:r>
      <w:r w:rsidR="0061361D">
        <w:rPr>
          <w:rFonts w:asciiTheme="minorHAnsi" w:hAnsiTheme="minorHAnsi"/>
          <w:color w:val="000000" w:themeColor="text1"/>
        </w:rPr>
        <w:t xml:space="preserve"> subdividida da seguinte forma:</w:t>
      </w:r>
    </w:p>
    <w:p w14:paraId="651BF9F1" w14:textId="159E6516" w:rsidR="00562444" w:rsidRDefault="00562444" w:rsidP="00CB27A1">
      <w:pPr>
        <w:pStyle w:val="ListParagraph"/>
        <w:numPr>
          <w:ilvl w:val="0"/>
          <w:numId w:val="4"/>
        </w:numPr>
        <w:spacing w:after="120" w:line="276" w:lineRule="auto"/>
        <w:ind w:left="714" w:hanging="357"/>
        <w:contextualSpacing w:val="0"/>
        <w:jc w:val="both"/>
        <w:rPr>
          <w:rFonts w:asciiTheme="minorHAnsi" w:hAnsiTheme="minorHAnsi"/>
          <w:color w:val="000000" w:themeColor="text1"/>
        </w:rPr>
      </w:pPr>
      <w:r w:rsidRPr="00264D24">
        <w:rPr>
          <w:rFonts w:asciiTheme="minorHAnsi" w:hAnsiTheme="minorHAnsi"/>
          <w:i/>
          <w:color w:val="000000" w:themeColor="text1"/>
        </w:rPr>
        <w:t>Prestadores de Serviços de Abrangência Local</w:t>
      </w:r>
      <w:r>
        <w:rPr>
          <w:rFonts w:asciiTheme="minorHAnsi" w:hAnsiTheme="minorHAnsi"/>
          <w:color w:val="000000" w:themeColor="text1"/>
        </w:rPr>
        <w:t xml:space="preserve">, com operadores com natureza jurídica de Empresas Públicas, Sociedades de Economia Mista com Administração </w:t>
      </w:r>
      <w:r w:rsidR="00264D24">
        <w:rPr>
          <w:rFonts w:asciiTheme="minorHAnsi" w:hAnsiTheme="minorHAnsi"/>
          <w:color w:val="000000" w:themeColor="text1"/>
        </w:rPr>
        <w:t>Pública e Organizações Sociais;</w:t>
      </w:r>
    </w:p>
    <w:p w14:paraId="3E06B29C" w14:textId="7368C6C5" w:rsidR="00264D24" w:rsidRDefault="00264D24" w:rsidP="00CB27A1">
      <w:pPr>
        <w:pStyle w:val="ListParagraph"/>
        <w:numPr>
          <w:ilvl w:val="0"/>
          <w:numId w:val="4"/>
        </w:numPr>
        <w:spacing w:after="120" w:line="276" w:lineRule="auto"/>
        <w:ind w:left="714" w:hanging="357"/>
        <w:contextualSpacing w:val="0"/>
        <w:jc w:val="both"/>
        <w:rPr>
          <w:rFonts w:asciiTheme="minorHAnsi" w:hAnsiTheme="minorHAnsi"/>
          <w:color w:val="000000" w:themeColor="text1"/>
        </w:rPr>
      </w:pPr>
      <w:r w:rsidRPr="00264D24">
        <w:rPr>
          <w:rFonts w:asciiTheme="minorHAnsi" w:hAnsiTheme="minorHAnsi"/>
          <w:i/>
          <w:color w:val="000000" w:themeColor="text1"/>
        </w:rPr>
        <w:t>Prestadores de Serviços de Abrangência Local</w:t>
      </w:r>
      <w:r>
        <w:rPr>
          <w:rFonts w:asciiTheme="minorHAnsi" w:hAnsiTheme="minorHAnsi"/>
          <w:color w:val="000000" w:themeColor="text1"/>
        </w:rPr>
        <w:t xml:space="preserve">, com operadores com natureza jurídica de Empresas Privadas; </w:t>
      </w:r>
    </w:p>
    <w:p w14:paraId="5099E671" w14:textId="16D85D6B" w:rsidR="00562444" w:rsidRDefault="00264D24" w:rsidP="00CB27A1">
      <w:pPr>
        <w:pStyle w:val="ListParagraph"/>
        <w:numPr>
          <w:ilvl w:val="0"/>
          <w:numId w:val="4"/>
        </w:numPr>
        <w:spacing w:after="120" w:line="276" w:lineRule="auto"/>
        <w:ind w:left="714" w:hanging="357"/>
        <w:contextualSpacing w:val="0"/>
        <w:jc w:val="both"/>
        <w:rPr>
          <w:rFonts w:asciiTheme="minorHAnsi" w:hAnsiTheme="minorHAnsi"/>
          <w:color w:val="000000" w:themeColor="text1"/>
        </w:rPr>
      </w:pPr>
      <w:r w:rsidRPr="00264D24">
        <w:rPr>
          <w:rFonts w:asciiTheme="minorHAnsi" w:hAnsiTheme="minorHAnsi"/>
          <w:i/>
          <w:color w:val="000000" w:themeColor="text1"/>
        </w:rPr>
        <w:t>Prestadores de Serviços de Abrangência Local</w:t>
      </w:r>
      <w:r>
        <w:rPr>
          <w:rFonts w:asciiTheme="minorHAnsi" w:hAnsiTheme="minorHAnsi"/>
          <w:color w:val="000000" w:themeColor="text1"/>
        </w:rPr>
        <w:t xml:space="preserve"> – </w:t>
      </w:r>
      <w:r w:rsidRPr="00264D24">
        <w:rPr>
          <w:rFonts w:asciiTheme="minorHAnsi" w:hAnsiTheme="minorHAnsi"/>
          <w:i/>
          <w:color w:val="000000" w:themeColor="text1"/>
        </w:rPr>
        <w:t>Direito Público</w:t>
      </w:r>
      <w:r>
        <w:rPr>
          <w:rFonts w:asciiTheme="minorHAnsi" w:hAnsiTheme="minorHAnsi"/>
          <w:color w:val="000000" w:themeColor="text1"/>
        </w:rPr>
        <w:t>, com operadores com natureza jurídica de Administração Pública Direta e Autarquias;</w:t>
      </w:r>
    </w:p>
    <w:p w14:paraId="4FC6C09E" w14:textId="6341B93D" w:rsidR="00264D24" w:rsidRDefault="00264D24" w:rsidP="00CB27A1">
      <w:pPr>
        <w:pStyle w:val="ListParagraph"/>
        <w:numPr>
          <w:ilvl w:val="0"/>
          <w:numId w:val="4"/>
        </w:numPr>
        <w:spacing w:after="120" w:line="276" w:lineRule="auto"/>
        <w:ind w:left="714" w:hanging="357"/>
        <w:contextualSpacing w:val="0"/>
        <w:jc w:val="both"/>
        <w:rPr>
          <w:rFonts w:asciiTheme="minorHAnsi" w:hAnsiTheme="minorHAnsi"/>
          <w:color w:val="000000" w:themeColor="text1"/>
        </w:rPr>
      </w:pPr>
      <w:r w:rsidRPr="00264D24">
        <w:rPr>
          <w:rFonts w:asciiTheme="minorHAnsi" w:hAnsiTheme="minorHAnsi"/>
          <w:i/>
          <w:color w:val="000000" w:themeColor="text1"/>
        </w:rPr>
        <w:t xml:space="preserve">Prestadores de Serviços </w:t>
      </w:r>
      <w:r>
        <w:rPr>
          <w:rFonts w:asciiTheme="minorHAnsi" w:hAnsiTheme="minorHAnsi"/>
          <w:i/>
          <w:color w:val="000000" w:themeColor="text1"/>
        </w:rPr>
        <w:t>Microrregionais</w:t>
      </w:r>
      <w:r>
        <w:rPr>
          <w:rFonts w:asciiTheme="minorHAnsi" w:hAnsiTheme="minorHAnsi"/>
          <w:color w:val="000000" w:themeColor="text1"/>
        </w:rPr>
        <w:t>, com operadores com natureza jurídica de Empresas Privadas e Autarquias;</w:t>
      </w:r>
      <w:r w:rsidR="00F075D9">
        <w:rPr>
          <w:rFonts w:asciiTheme="minorHAnsi" w:hAnsiTheme="minorHAnsi"/>
          <w:color w:val="000000" w:themeColor="text1"/>
        </w:rPr>
        <w:t xml:space="preserve"> e</w:t>
      </w:r>
    </w:p>
    <w:p w14:paraId="3FF31FE2" w14:textId="379F2A60" w:rsidR="00264D24" w:rsidRDefault="00264D24" w:rsidP="00CB27A1">
      <w:pPr>
        <w:pStyle w:val="ListParagraph"/>
        <w:numPr>
          <w:ilvl w:val="0"/>
          <w:numId w:val="4"/>
        </w:numPr>
        <w:spacing w:after="120" w:line="276" w:lineRule="auto"/>
        <w:ind w:left="714" w:hanging="357"/>
        <w:contextualSpacing w:val="0"/>
        <w:jc w:val="both"/>
        <w:rPr>
          <w:rFonts w:asciiTheme="minorHAnsi" w:hAnsiTheme="minorHAnsi"/>
          <w:color w:val="000000" w:themeColor="text1"/>
        </w:rPr>
      </w:pPr>
      <w:r w:rsidRPr="00264D24">
        <w:rPr>
          <w:rFonts w:asciiTheme="minorHAnsi" w:hAnsiTheme="minorHAnsi"/>
          <w:i/>
          <w:color w:val="000000" w:themeColor="text1"/>
        </w:rPr>
        <w:t xml:space="preserve">Prestadores de Serviços </w:t>
      </w:r>
      <w:r>
        <w:rPr>
          <w:rFonts w:asciiTheme="minorHAnsi" w:hAnsiTheme="minorHAnsi"/>
          <w:i/>
          <w:color w:val="000000" w:themeColor="text1"/>
        </w:rPr>
        <w:t>Regionais</w:t>
      </w:r>
      <w:r>
        <w:rPr>
          <w:rFonts w:asciiTheme="minorHAnsi" w:hAnsiTheme="minorHAnsi"/>
          <w:color w:val="000000" w:themeColor="text1"/>
        </w:rPr>
        <w:t xml:space="preserve">, com operadores com natureza jurídica de Sociedades de Economia Mista com Administração Pública </w:t>
      </w:r>
      <w:r w:rsidR="00B806A8">
        <w:rPr>
          <w:rFonts w:asciiTheme="minorHAnsi" w:hAnsiTheme="minorHAnsi"/>
          <w:color w:val="000000" w:themeColor="text1"/>
        </w:rPr>
        <w:t xml:space="preserve">ou Privada </w:t>
      </w:r>
      <w:r>
        <w:rPr>
          <w:rFonts w:asciiTheme="minorHAnsi" w:hAnsiTheme="minorHAnsi"/>
          <w:color w:val="000000" w:themeColor="text1"/>
        </w:rPr>
        <w:t>e Autarquias</w:t>
      </w:r>
      <w:r w:rsidR="00F075D9">
        <w:rPr>
          <w:rFonts w:asciiTheme="minorHAnsi" w:hAnsiTheme="minorHAnsi"/>
          <w:color w:val="000000" w:themeColor="text1"/>
        </w:rPr>
        <w:t>.</w:t>
      </w:r>
    </w:p>
    <w:p w14:paraId="13632D4D" w14:textId="020ECE3E" w:rsidR="004E6BD7" w:rsidRDefault="00905582" w:rsidP="00F075D9">
      <w:pPr>
        <w:spacing w:before="100" w:beforeAutospacing="1" w:after="100" w:afterAutospacing="1" w:line="276" w:lineRule="auto"/>
        <w:ind w:firstLine="0"/>
        <w:jc w:val="both"/>
        <w:rPr>
          <w:rFonts w:asciiTheme="minorHAnsi" w:hAnsiTheme="minorHAnsi"/>
          <w:color w:val="000000" w:themeColor="text1"/>
        </w:rPr>
      </w:pPr>
      <w:r>
        <w:rPr>
          <w:rFonts w:asciiTheme="minorHAnsi" w:hAnsiTheme="minorHAnsi"/>
          <w:color w:val="000000" w:themeColor="text1"/>
        </w:rPr>
        <w:t>Considerando as particularidades comentadas, o</w:t>
      </w:r>
      <w:r w:rsidR="00F075D9">
        <w:rPr>
          <w:rFonts w:asciiTheme="minorHAnsi" w:hAnsiTheme="minorHAnsi"/>
          <w:color w:val="000000" w:themeColor="text1"/>
        </w:rPr>
        <w:t xml:space="preserve"> Quadro 1, a seguir</w:t>
      </w:r>
      <w:r w:rsidR="0061361D">
        <w:rPr>
          <w:rFonts w:asciiTheme="minorHAnsi" w:hAnsiTheme="minorHAnsi"/>
          <w:color w:val="000000" w:themeColor="text1"/>
        </w:rPr>
        <w:t>,</w:t>
      </w:r>
      <w:r w:rsidR="00F075D9">
        <w:rPr>
          <w:rFonts w:asciiTheme="minorHAnsi" w:hAnsiTheme="minorHAnsi"/>
          <w:color w:val="000000" w:themeColor="text1"/>
        </w:rPr>
        <w:t xml:space="preserve"> apresenta</w:t>
      </w:r>
      <w:r w:rsidR="004E6BD7">
        <w:rPr>
          <w:rFonts w:asciiTheme="minorHAnsi" w:hAnsiTheme="minorHAnsi"/>
          <w:color w:val="000000" w:themeColor="text1"/>
        </w:rPr>
        <w:t xml:space="preserve"> a distribuição do número de municípios </w:t>
      </w:r>
      <w:r>
        <w:rPr>
          <w:rFonts w:asciiTheme="minorHAnsi" w:hAnsiTheme="minorHAnsi"/>
          <w:color w:val="000000" w:themeColor="text1"/>
        </w:rPr>
        <w:t>considera</w:t>
      </w:r>
      <w:r w:rsidR="00B806A8">
        <w:rPr>
          <w:rFonts w:asciiTheme="minorHAnsi" w:hAnsiTheme="minorHAnsi"/>
          <w:color w:val="000000" w:themeColor="text1"/>
        </w:rPr>
        <w:t>do</w:t>
      </w:r>
      <w:r>
        <w:rPr>
          <w:rFonts w:asciiTheme="minorHAnsi" w:hAnsiTheme="minorHAnsi"/>
          <w:color w:val="000000" w:themeColor="text1"/>
        </w:rPr>
        <w:t>s no estudo, por tipo de prestador  de serviços e por faixa de população.</w:t>
      </w:r>
    </w:p>
    <w:p w14:paraId="106207D5" w14:textId="3193BA06" w:rsidR="004E6BD7" w:rsidRDefault="00053E60" w:rsidP="00F075D9">
      <w:pPr>
        <w:spacing w:before="100" w:beforeAutospacing="1" w:after="100" w:afterAutospacing="1" w:line="276" w:lineRule="auto"/>
        <w:ind w:firstLine="0"/>
        <w:jc w:val="both"/>
        <w:rPr>
          <w:rFonts w:asciiTheme="minorHAnsi" w:hAnsiTheme="minorHAnsi"/>
          <w:color w:val="000000" w:themeColor="text1"/>
        </w:rPr>
      </w:pPr>
      <w:r>
        <w:rPr>
          <w:rFonts w:asciiTheme="minorHAnsi" w:hAnsiTheme="minorHAnsi"/>
          <w:noProof/>
          <w:color w:val="000000" w:themeColor="text1"/>
          <w:lang w:val="en-US" w:eastAsia="en-US"/>
        </w:rPr>
        <w:drawing>
          <wp:inline distT="0" distB="0" distL="0" distR="0" wp14:anchorId="1207515B" wp14:editId="008E9A04">
            <wp:extent cx="5400040" cy="5194271"/>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5194271"/>
                    </a:xfrm>
                    <a:prstGeom prst="rect">
                      <a:avLst/>
                    </a:prstGeom>
                    <a:noFill/>
                    <a:ln>
                      <a:noFill/>
                    </a:ln>
                  </pic:spPr>
                </pic:pic>
              </a:graphicData>
            </a:graphic>
          </wp:inline>
        </w:drawing>
      </w:r>
    </w:p>
    <w:p w14:paraId="476BD5C3" w14:textId="4DCA3944" w:rsidR="00744385" w:rsidRPr="00B806A8" w:rsidRDefault="00B604BF" w:rsidP="00F075D9">
      <w:pPr>
        <w:spacing w:before="100" w:beforeAutospacing="1" w:after="100" w:afterAutospacing="1" w:line="276" w:lineRule="auto"/>
        <w:ind w:firstLine="0"/>
        <w:jc w:val="both"/>
        <w:rPr>
          <w:rFonts w:asciiTheme="minorHAnsi" w:hAnsiTheme="minorHAnsi"/>
          <w:color w:val="000000" w:themeColor="text1"/>
        </w:rPr>
      </w:pPr>
      <w:r>
        <w:rPr>
          <w:rFonts w:asciiTheme="minorHAnsi" w:hAnsiTheme="minorHAnsi"/>
          <w:color w:val="000000" w:themeColor="text1"/>
        </w:rPr>
        <w:t xml:space="preserve">Vale ressaltar que no conjunto de dados considerados para o desenvolvimento da análise, 82% </w:t>
      </w:r>
      <w:r w:rsidR="00060928">
        <w:rPr>
          <w:rFonts w:asciiTheme="minorHAnsi" w:hAnsiTheme="minorHAnsi"/>
          <w:color w:val="000000" w:themeColor="text1"/>
        </w:rPr>
        <w:t xml:space="preserve">das informações </w:t>
      </w:r>
      <w:r w:rsidR="00BB0985">
        <w:rPr>
          <w:rFonts w:asciiTheme="minorHAnsi" w:hAnsiTheme="minorHAnsi"/>
          <w:color w:val="000000" w:themeColor="text1"/>
        </w:rPr>
        <w:t>são relativas</w:t>
      </w:r>
      <w:r>
        <w:rPr>
          <w:rFonts w:asciiTheme="minorHAnsi" w:hAnsiTheme="minorHAnsi"/>
          <w:color w:val="000000" w:themeColor="text1"/>
        </w:rPr>
        <w:t xml:space="preserve"> </w:t>
      </w:r>
      <w:r w:rsidR="006F38D4">
        <w:rPr>
          <w:rFonts w:asciiTheme="minorHAnsi" w:hAnsiTheme="minorHAnsi"/>
          <w:color w:val="000000" w:themeColor="text1"/>
        </w:rPr>
        <w:t>à prestadores de serviços regionais</w:t>
      </w:r>
      <w:r>
        <w:rPr>
          <w:rFonts w:asciiTheme="minorHAnsi" w:hAnsiTheme="minorHAnsi"/>
          <w:color w:val="000000" w:themeColor="text1"/>
        </w:rPr>
        <w:t>, 4%</w:t>
      </w:r>
      <w:r w:rsidR="0079588A">
        <w:rPr>
          <w:rFonts w:asciiTheme="minorHAnsi" w:hAnsiTheme="minorHAnsi"/>
          <w:color w:val="000000" w:themeColor="text1"/>
        </w:rPr>
        <w:t xml:space="preserve"> de prestadores </w:t>
      </w:r>
      <w:r w:rsidR="006F38D4">
        <w:rPr>
          <w:rFonts w:asciiTheme="minorHAnsi" w:hAnsiTheme="minorHAnsi"/>
          <w:color w:val="000000" w:themeColor="text1"/>
        </w:rPr>
        <w:t xml:space="preserve">locais </w:t>
      </w:r>
      <w:r w:rsidR="0079588A">
        <w:rPr>
          <w:rFonts w:asciiTheme="minorHAnsi" w:hAnsiTheme="minorHAnsi"/>
          <w:color w:val="000000" w:themeColor="text1"/>
        </w:rPr>
        <w:t>privados e 14% de prestadores públicos municipais.</w:t>
      </w:r>
    </w:p>
    <w:p w14:paraId="4DDC65A8" w14:textId="55DC6B9E" w:rsidR="00060928" w:rsidRPr="00060928" w:rsidRDefault="00060928" w:rsidP="00F075D9">
      <w:pPr>
        <w:spacing w:before="100" w:beforeAutospacing="1" w:after="100" w:afterAutospacing="1" w:line="276" w:lineRule="auto"/>
        <w:ind w:firstLine="0"/>
        <w:jc w:val="both"/>
        <w:rPr>
          <w:rFonts w:asciiTheme="minorHAnsi" w:hAnsiTheme="minorHAnsi"/>
          <w:color w:val="000000" w:themeColor="text1"/>
        </w:rPr>
      </w:pPr>
      <w:r w:rsidRPr="00060928">
        <w:rPr>
          <w:rFonts w:asciiTheme="minorHAnsi" w:hAnsiTheme="minorHAnsi"/>
          <w:color w:val="000000" w:themeColor="text1"/>
        </w:rPr>
        <w:t>Cons</w:t>
      </w:r>
      <w:r>
        <w:rPr>
          <w:rFonts w:asciiTheme="minorHAnsi" w:hAnsiTheme="minorHAnsi"/>
          <w:color w:val="000000" w:themeColor="text1"/>
        </w:rPr>
        <w:t>iderando as informações disponíveis no SNIS, o Quadro 2, a seguir, apresenta a situação das perdas de água nos sistemas considerados, levando em consideração o sistema distribuidor</w:t>
      </w:r>
      <w:r w:rsidR="00B806A8">
        <w:rPr>
          <w:rFonts w:asciiTheme="minorHAnsi" w:hAnsiTheme="minorHAnsi"/>
          <w:color w:val="000000" w:themeColor="text1"/>
        </w:rPr>
        <w:t>,  as perdas por ligação e o volume médio de perdas de água.</w:t>
      </w:r>
    </w:p>
    <w:p w14:paraId="15A7EA7B" w14:textId="12310470" w:rsidR="0000513E" w:rsidRPr="00562444" w:rsidRDefault="00131284" w:rsidP="00562444">
      <w:pPr>
        <w:spacing w:before="100" w:beforeAutospacing="1" w:after="100" w:afterAutospacing="1" w:line="276" w:lineRule="auto"/>
        <w:ind w:firstLine="0"/>
        <w:jc w:val="both"/>
        <w:rPr>
          <w:rFonts w:asciiTheme="minorHAnsi" w:hAnsiTheme="minorHAnsi"/>
          <w:color w:val="000000" w:themeColor="text1"/>
        </w:rPr>
      </w:pPr>
      <w:r>
        <w:rPr>
          <w:rFonts w:asciiTheme="minorHAnsi" w:hAnsiTheme="minorHAnsi"/>
          <w:noProof/>
          <w:color w:val="000000" w:themeColor="text1"/>
          <w:lang w:val="en-US" w:eastAsia="en-US"/>
        </w:rPr>
        <w:drawing>
          <wp:inline distT="0" distB="0" distL="0" distR="0" wp14:anchorId="1C587B8C" wp14:editId="28564C75">
            <wp:extent cx="5400040" cy="5415617"/>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5415617"/>
                    </a:xfrm>
                    <a:prstGeom prst="rect">
                      <a:avLst/>
                    </a:prstGeom>
                    <a:noFill/>
                    <a:ln>
                      <a:noFill/>
                    </a:ln>
                  </pic:spPr>
                </pic:pic>
              </a:graphicData>
            </a:graphic>
          </wp:inline>
        </w:drawing>
      </w:r>
    </w:p>
    <w:p w14:paraId="0741A743" w14:textId="59D164A8" w:rsidR="006A2E84" w:rsidRDefault="0061361D" w:rsidP="000F1A87">
      <w:pPr>
        <w:spacing w:before="100" w:beforeAutospacing="1" w:after="100" w:afterAutospacing="1" w:line="276" w:lineRule="auto"/>
        <w:ind w:firstLine="0"/>
        <w:jc w:val="both"/>
        <w:rPr>
          <w:rFonts w:asciiTheme="minorHAnsi" w:hAnsiTheme="minorHAnsi"/>
          <w:color w:val="000000" w:themeColor="text1"/>
        </w:rPr>
      </w:pPr>
      <w:r>
        <w:rPr>
          <w:rFonts w:asciiTheme="minorHAnsi" w:hAnsiTheme="minorHAnsi"/>
          <w:color w:val="000000" w:themeColor="text1"/>
        </w:rPr>
        <w:t>Considerando os dados constantes do quadro</w:t>
      </w:r>
      <w:r w:rsidR="000F1A87">
        <w:rPr>
          <w:rFonts w:asciiTheme="minorHAnsi" w:hAnsiTheme="minorHAnsi"/>
          <w:color w:val="000000" w:themeColor="text1"/>
        </w:rPr>
        <w:t>, pode-se destacar:</w:t>
      </w:r>
    </w:p>
    <w:p w14:paraId="6AD8310D" w14:textId="14B8D2FD" w:rsidR="00BF0A90" w:rsidRPr="00BF0A90" w:rsidRDefault="00BF0A90" w:rsidP="00CB27A1">
      <w:pPr>
        <w:pStyle w:val="ListParagraph"/>
        <w:numPr>
          <w:ilvl w:val="0"/>
          <w:numId w:val="6"/>
        </w:numPr>
        <w:spacing w:after="120" w:line="276" w:lineRule="auto"/>
        <w:ind w:left="714" w:hanging="357"/>
        <w:contextualSpacing w:val="0"/>
        <w:jc w:val="both"/>
        <w:rPr>
          <w:rFonts w:asciiTheme="minorHAnsi" w:hAnsiTheme="minorHAnsi"/>
          <w:color w:val="000000" w:themeColor="text1"/>
        </w:rPr>
      </w:pPr>
      <w:r>
        <w:rPr>
          <w:rFonts w:asciiTheme="minorHAnsi" w:hAnsiTheme="minorHAnsi"/>
          <w:color w:val="000000" w:themeColor="text1"/>
        </w:rPr>
        <w:t xml:space="preserve">De um modo geral, as perdas de água </w:t>
      </w:r>
      <w:r w:rsidR="00A2671C">
        <w:rPr>
          <w:rFonts w:asciiTheme="minorHAnsi" w:hAnsiTheme="minorHAnsi"/>
          <w:color w:val="000000" w:themeColor="text1"/>
        </w:rPr>
        <w:t xml:space="preserve">nos sistemas considerados são bastante </w:t>
      </w:r>
      <w:r>
        <w:rPr>
          <w:rFonts w:asciiTheme="minorHAnsi" w:hAnsiTheme="minorHAnsi"/>
          <w:color w:val="000000" w:themeColor="text1"/>
        </w:rPr>
        <w:t>elevadas;</w:t>
      </w:r>
    </w:p>
    <w:p w14:paraId="41A7A6DD" w14:textId="5C98D539" w:rsidR="0061361D" w:rsidRDefault="00FC2212" w:rsidP="00CB27A1">
      <w:pPr>
        <w:pStyle w:val="ListParagraph"/>
        <w:numPr>
          <w:ilvl w:val="0"/>
          <w:numId w:val="5"/>
        </w:numPr>
        <w:spacing w:after="120" w:line="276" w:lineRule="auto"/>
        <w:ind w:left="714" w:hanging="357"/>
        <w:contextualSpacing w:val="0"/>
        <w:jc w:val="both"/>
        <w:rPr>
          <w:rFonts w:asciiTheme="minorHAnsi" w:hAnsiTheme="minorHAnsi"/>
          <w:color w:val="000000" w:themeColor="text1"/>
        </w:rPr>
      </w:pPr>
      <w:r>
        <w:rPr>
          <w:rFonts w:asciiTheme="minorHAnsi" w:hAnsiTheme="minorHAnsi"/>
          <w:color w:val="000000" w:themeColor="text1"/>
        </w:rPr>
        <w:t>Constata-se que, q</w:t>
      </w:r>
      <w:r w:rsidR="0061361D">
        <w:rPr>
          <w:rFonts w:asciiTheme="minorHAnsi" w:hAnsiTheme="minorHAnsi"/>
          <w:color w:val="000000" w:themeColor="text1"/>
        </w:rPr>
        <w:t xml:space="preserve">uanto maior o município em termos de população,  o que pressupõe sistemas de abastecimento de  água de maior </w:t>
      </w:r>
      <w:r>
        <w:rPr>
          <w:rFonts w:asciiTheme="minorHAnsi" w:hAnsiTheme="minorHAnsi"/>
          <w:color w:val="000000" w:themeColor="text1"/>
        </w:rPr>
        <w:t xml:space="preserve">porte e </w:t>
      </w:r>
      <w:r w:rsidR="0061361D">
        <w:rPr>
          <w:rFonts w:asciiTheme="minorHAnsi" w:hAnsiTheme="minorHAnsi"/>
          <w:color w:val="000000" w:themeColor="text1"/>
        </w:rPr>
        <w:t>capacidade, maiores são as perdas de água;</w:t>
      </w:r>
    </w:p>
    <w:p w14:paraId="32E54886" w14:textId="5D404629" w:rsidR="00E75E29" w:rsidRPr="00A2602C" w:rsidRDefault="008267A7" w:rsidP="00CB27A1">
      <w:pPr>
        <w:pStyle w:val="ListParagraph"/>
        <w:numPr>
          <w:ilvl w:val="0"/>
          <w:numId w:val="5"/>
        </w:numPr>
        <w:spacing w:after="120" w:line="276" w:lineRule="auto"/>
        <w:ind w:left="714" w:hanging="357"/>
        <w:contextualSpacing w:val="0"/>
        <w:jc w:val="both"/>
        <w:rPr>
          <w:rFonts w:asciiTheme="minorHAnsi" w:hAnsiTheme="minorHAnsi"/>
          <w:color w:val="000000" w:themeColor="text1"/>
        </w:rPr>
      </w:pPr>
      <w:r>
        <w:rPr>
          <w:rFonts w:asciiTheme="minorHAnsi" w:hAnsiTheme="minorHAnsi"/>
          <w:color w:val="000000" w:themeColor="text1"/>
        </w:rPr>
        <w:t xml:space="preserve">Na faixa de 20 mil a 50 mil habitantes, as maiores  perdas (46,75%) </w:t>
      </w:r>
      <w:r w:rsidR="00B806A8">
        <w:rPr>
          <w:rFonts w:asciiTheme="minorHAnsi" w:hAnsiTheme="minorHAnsi"/>
          <w:color w:val="000000" w:themeColor="text1"/>
        </w:rPr>
        <w:t>verificam-se</w:t>
      </w:r>
      <w:r>
        <w:rPr>
          <w:rFonts w:asciiTheme="minorHAnsi" w:hAnsiTheme="minorHAnsi"/>
          <w:color w:val="000000" w:themeColor="text1"/>
        </w:rPr>
        <w:t xml:space="preserve"> em prestadores de serviços municipais de direito público, geralmente autarquias qualificadas como Serviços Autônomos de Água e Esgotos (</w:t>
      </w:r>
      <w:proofErr w:type="spellStart"/>
      <w:r>
        <w:rPr>
          <w:rFonts w:asciiTheme="minorHAnsi" w:hAnsiTheme="minorHAnsi"/>
          <w:color w:val="000000" w:themeColor="text1"/>
        </w:rPr>
        <w:t>SAAEs</w:t>
      </w:r>
      <w:proofErr w:type="spellEnd"/>
      <w:r>
        <w:rPr>
          <w:rFonts w:asciiTheme="minorHAnsi" w:hAnsiTheme="minorHAnsi"/>
          <w:color w:val="000000" w:themeColor="text1"/>
        </w:rPr>
        <w:t xml:space="preserve">), ou Departamentos das próprias Prefeituras (administração pública direta); </w:t>
      </w:r>
    </w:p>
    <w:p w14:paraId="2471FE65" w14:textId="55EFD165" w:rsidR="002845CC" w:rsidRDefault="00E75E29" w:rsidP="00CB27A1">
      <w:pPr>
        <w:pStyle w:val="ListParagraph"/>
        <w:numPr>
          <w:ilvl w:val="0"/>
          <w:numId w:val="5"/>
        </w:numPr>
        <w:spacing w:after="120" w:line="276" w:lineRule="auto"/>
        <w:ind w:left="714" w:hanging="357"/>
        <w:contextualSpacing w:val="0"/>
        <w:jc w:val="both"/>
        <w:rPr>
          <w:rFonts w:asciiTheme="minorHAnsi" w:hAnsiTheme="minorHAnsi"/>
          <w:color w:val="000000" w:themeColor="text1"/>
        </w:rPr>
      </w:pPr>
      <w:r>
        <w:rPr>
          <w:rFonts w:asciiTheme="minorHAnsi" w:hAnsiTheme="minorHAnsi"/>
          <w:color w:val="000000" w:themeColor="text1"/>
        </w:rPr>
        <w:t xml:space="preserve">Na faixa de 20 mil a 50 mil habitantes, as menores perdas (22,02%) foram identificadas em prestadores de serviços microrregionais, geralmente privados (por exemplo, a PROLAGOS, que opera as cidades de Arraial do Cabo, Armação de Búzios e Iguaba </w:t>
      </w:r>
      <w:r w:rsidR="000F1A87">
        <w:rPr>
          <w:rFonts w:asciiTheme="minorHAnsi" w:hAnsiTheme="minorHAnsi"/>
          <w:color w:val="000000" w:themeColor="text1"/>
        </w:rPr>
        <w:t>Grande, no Estado do Rio de Janeiro) ou au</w:t>
      </w:r>
      <w:r>
        <w:rPr>
          <w:rFonts w:asciiTheme="minorHAnsi" w:hAnsiTheme="minorHAnsi"/>
          <w:color w:val="000000" w:themeColor="text1"/>
        </w:rPr>
        <w:t>tarquias</w:t>
      </w:r>
      <w:r w:rsidR="000F1A87">
        <w:rPr>
          <w:rFonts w:asciiTheme="minorHAnsi" w:hAnsiTheme="minorHAnsi"/>
          <w:color w:val="000000" w:themeColor="text1"/>
        </w:rPr>
        <w:t xml:space="preserve"> (</w:t>
      </w:r>
      <w:proofErr w:type="spellStart"/>
      <w:r w:rsidR="000F1A87">
        <w:rPr>
          <w:rFonts w:asciiTheme="minorHAnsi" w:hAnsiTheme="minorHAnsi"/>
          <w:color w:val="000000" w:themeColor="text1"/>
        </w:rPr>
        <w:t>SAAEs</w:t>
      </w:r>
      <w:proofErr w:type="spellEnd"/>
      <w:r w:rsidR="000F1A87">
        <w:rPr>
          <w:rFonts w:asciiTheme="minorHAnsi" w:hAnsiTheme="minorHAnsi"/>
          <w:color w:val="000000" w:themeColor="text1"/>
        </w:rPr>
        <w:t>)</w:t>
      </w:r>
      <w:r>
        <w:rPr>
          <w:rFonts w:asciiTheme="minorHAnsi" w:hAnsiTheme="minorHAnsi"/>
          <w:color w:val="000000" w:themeColor="text1"/>
        </w:rPr>
        <w:t xml:space="preserve"> de </w:t>
      </w:r>
      <w:r w:rsidR="000F1A87">
        <w:rPr>
          <w:rFonts w:asciiTheme="minorHAnsi" w:hAnsiTheme="minorHAnsi"/>
          <w:color w:val="000000" w:themeColor="text1"/>
        </w:rPr>
        <w:t xml:space="preserve">importantes </w:t>
      </w:r>
      <w:r>
        <w:rPr>
          <w:rFonts w:asciiTheme="minorHAnsi" w:hAnsiTheme="minorHAnsi"/>
          <w:color w:val="000000" w:themeColor="text1"/>
        </w:rPr>
        <w:t>municípios (</w:t>
      </w:r>
      <w:r w:rsidR="000F1A87">
        <w:rPr>
          <w:rFonts w:asciiTheme="minorHAnsi" w:hAnsiTheme="minorHAnsi"/>
          <w:color w:val="000000" w:themeColor="text1"/>
        </w:rPr>
        <w:t xml:space="preserve">Itapemirim e </w:t>
      </w:r>
      <w:r>
        <w:rPr>
          <w:rFonts w:asciiTheme="minorHAnsi" w:hAnsiTheme="minorHAnsi"/>
          <w:color w:val="000000" w:themeColor="text1"/>
        </w:rPr>
        <w:t>Marataízes</w:t>
      </w:r>
      <w:r w:rsidR="000F1A87">
        <w:rPr>
          <w:rFonts w:asciiTheme="minorHAnsi" w:hAnsiTheme="minorHAnsi"/>
          <w:color w:val="000000" w:themeColor="text1"/>
        </w:rPr>
        <w:t>, no Estado do Espirito Santo</w:t>
      </w:r>
      <w:r w:rsidR="00A2602C">
        <w:rPr>
          <w:rFonts w:asciiTheme="minorHAnsi" w:hAnsiTheme="minorHAnsi"/>
          <w:color w:val="000000" w:themeColor="text1"/>
        </w:rPr>
        <w:t>)</w:t>
      </w:r>
      <w:r w:rsidR="000F1A87">
        <w:rPr>
          <w:rFonts w:asciiTheme="minorHAnsi" w:hAnsiTheme="minorHAnsi"/>
          <w:color w:val="000000" w:themeColor="text1"/>
        </w:rPr>
        <w:t>;</w:t>
      </w:r>
    </w:p>
    <w:p w14:paraId="2D3137E8" w14:textId="6E38D6ED" w:rsidR="002845CC" w:rsidRPr="002845CC" w:rsidRDefault="002845CC" w:rsidP="00CB27A1">
      <w:pPr>
        <w:pStyle w:val="ListParagraph"/>
        <w:numPr>
          <w:ilvl w:val="0"/>
          <w:numId w:val="5"/>
        </w:numPr>
        <w:spacing w:after="120" w:line="276" w:lineRule="auto"/>
        <w:ind w:left="714" w:hanging="357"/>
        <w:contextualSpacing w:val="0"/>
        <w:jc w:val="both"/>
        <w:rPr>
          <w:rFonts w:asciiTheme="minorHAnsi" w:hAnsiTheme="minorHAnsi"/>
          <w:color w:val="000000" w:themeColor="text1"/>
        </w:rPr>
      </w:pPr>
      <w:r w:rsidRPr="002845CC">
        <w:rPr>
          <w:rFonts w:asciiTheme="minorHAnsi" w:hAnsiTheme="minorHAnsi"/>
          <w:color w:val="000000" w:themeColor="text1"/>
        </w:rPr>
        <w:t>Vale re</w:t>
      </w:r>
      <w:r>
        <w:rPr>
          <w:rFonts w:asciiTheme="minorHAnsi" w:hAnsiTheme="minorHAnsi"/>
          <w:color w:val="000000" w:themeColor="text1"/>
        </w:rPr>
        <w:t xml:space="preserve">ssaltar que na faixa de 20 mil a 50 mil habitantes, </w:t>
      </w:r>
      <w:r w:rsidR="00FC2212">
        <w:rPr>
          <w:rFonts w:asciiTheme="minorHAnsi" w:hAnsiTheme="minorHAnsi"/>
          <w:color w:val="000000" w:themeColor="text1"/>
        </w:rPr>
        <w:t xml:space="preserve">os </w:t>
      </w:r>
      <w:r>
        <w:rPr>
          <w:rFonts w:asciiTheme="minorHAnsi" w:hAnsiTheme="minorHAnsi"/>
          <w:color w:val="000000" w:themeColor="text1"/>
        </w:rPr>
        <w:t xml:space="preserve">sistemas atendidos por prestadores de serviços regionais (companhias estaduais de saneamento) representam 55% do objeto do presente estudo; </w:t>
      </w:r>
      <w:r w:rsidR="00A2602C">
        <w:rPr>
          <w:rFonts w:asciiTheme="minorHAnsi" w:hAnsiTheme="minorHAnsi"/>
          <w:color w:val="000000" w:themeColor="text1"/>
        </w:rPr>
        <w:t>nessa situação as perdas médias de água são da ordem de 35%;</w:t>
      </w:r>
    </w:p>
    <w:p w14:paraId="06510F1D" w14:textId="27753F25" w:rsidR="000F1A87" w:rsidRPr="002845CC" w:rsidRDefault="000F1A87" w:rsidP="00CB27A1">
      <w:pPr>
        <w:pStyle w:val="ListParagraph"/>
        <w:numPr>
          <w:ilvl w:val="0"/>
          <w:numId w:val="5"/>
        </w:numPr>
        <w:spacing w:after="120" w:line="276" w:lineRule="auto"/>
        <w:ind w:left="714" w:hanging="357"/>
        <w:contextualSpacing w:val="0"/>
        <w:jc w:val="both"/>
        <w:rPr>
          <w:rFonts w:asciiTheme="minorHAnsi" w:hAnsiTheme="minorHAnsi"/>
          <w:color w:val="000000" w:themeColor="text1"/>
        </w:rPr>
      </w:pPr>
      <w:r w:rsidRPr="002845CC">
        <w:rPr>
          <w:rFonts w:asciiTheme="minorHAnsi" w:hAnsiTheme="minorHAnsi"/>
          <w:color w:val="000000" w:themeColor="text1"/>
        </w:rPr>
        <w:t>Na faixa de 50 mil a 200 mil habitantes, as maiores  perdas (46,99%) verificam</w:t>
      </w:r>
      <w:r w:rsidR="00B806A8">
        <w:rPr>
          <w:rFonts w:asciiTheme="minorHAnsi" w:hAnsiTheme="minorHAnsi"/>
          <w:color w:val="000000" w:themeColor="text1"/>
        </w:rPr>
        <w:t>-se</w:t>
      </w:r>
      <w:r w:rsidRPr="002845CC">
        <w:rPr>
          <w:rFonts w:asciiTheme="minorHAnsi" w:hAnsiTheme="minorHAnsi"/>
          <w:color w:val="000000" w:themeColor="text1"/>
        </w:rPr>
        <w:t xml:space="preserve"> em prestadores de serviços de abrangência local, geralmente empresas públicas ou sociedade de economia mista com administração pública </w:t>
      </w:r>
      <w:r w:rsidR="002845CC" w:rsidRPr="002845CC">
        <w:rPr>
          <w:rFonts w:asciiTheme="minorHAnsi" w:hAnsiTheme="minorHAnsi"/>
          <w:color w:val="000000" w:themeColor="text1"/>
        </w:rPr>
        <w:t xml:space="preserve">(como exemplo, podem ser citadas o Departamento de Água e Esgotos (DAE) de Jundiaí–SP e a Empresa </w:t>
      </w:r>
      <w:r w:rsidR="002845CC">
        <w:rPr>
          <w:rFonts w:asciiTheme="minorHAnsi" w:hAnsiTheme="minorHAnsi"/>
          <w:color w:val="000000" w:themeColor="text1"/>
        </w:rPr>
        <w:t xml:space="preserve">Municipal de Água e </w:t>
      </w:r>
      <w:r w:rsidR="009A5983">
        <w:rPr>
          <w:rFonts w:asciiTheme="minorHAnsi" w:hAnsiTheme="minorHAnsi"/>
          <w:color w:val="000000" w:themeColor="text1"/>
        </w:rPr>
        <w:t>Saneamento Ambiental de Itabuna</w:t>
      </w:r>
      <w:r w:rsidR="002845CC">
        <w:rPr>
          <w:rFonts w:asciiTheme="minorHAnsi" w:hAnsiTheme="minorHAnsi"/>
          <w:color w:val="000000" w:themeColor="text1"/>
        </w:rPr>
        <w:t>–BA);</w:t>
      </w:r>
    </w:p>
    <w:p w14:paraId="624E0F78" w14:textId="723C5BA2" w:rsidR="00A2602C" w:rsidRDefault="00A2602C" w:rsidP="00CB27A1">
      <w:pPr>
        <w:pStyle w:val="ListParagraph"/>
        <w:numPr>
          <w:ilvl w:val="0"/>
          <w:numId w:val="5"/>
        </w:numPr>
        <w:spacing w:after="120" w:line="276" w:lineRule="auto"/>
        <w:ind w:left="714" w:hanging="357"/>
        <w:contextualSpacing w:val="0"/>
        <w:jc w:val="both"/>
        <w:rPr>
          <w:rFonts w:asciiTheme="minorHAnsi" w:hAnsiTheme="minorHAnsi"/>
          <w:color w:val="000000" w:themeColor="text1"/>
        </w:rPr>
      </w:pPr>
      <w:r w:rsidRPr="002845CC">
        <w:rPr>
          <w:rFonts w:asciiTheme="minorHAnsi" w:hAnsiTheme="minorHAnsi"/>
          <w:color w:val="000000" w:themeColor="text1"/>
        </w:rPr>
        <w:t xml:space="preserve">Na faixa de 50 mil a 200 mil habitantes, as </w:t>
      </w:r>
      <w:r>
        <w:rPr>
          <w:rFonts w:asciiTheme="minorHAnsi" w:hAnsiTheme="minorHAnsi"/>
          <w:color w:val="000000" w:themeColor="text1"/>
        </w:rPr>
        <w:t>menores</w:t>
      </w:r>
      <w:r w:rsidRPr="002845CC">
        <w:rPr>
          <w:rFonts w:asciiTheme="minorHAnsi" w:hAnsiTheme="minorHAnsi"/>
          <w:color w:val="000000" w:themeColor="text1"/>
        </w:rPr>
        <w:t xml:space="preserve"> perdas (</w:t>
      </w:r>
      <w:r>
        <w:rPr>
          <w:rFonts w:asciiTheme="minorHAnsi" w:hAnsiTheme="minorHAnsi"/>
          <w:color w:val="000000" w:themeColor="text1"/>
        </w:rPr>
        <w:t>38,13</w:t>
      </w:r>
      <w:r w:rsidRPr="002845CC">
        <w:rPr>
          <w:rFonts w:asciiTheme="minorHAnsi" w:hAnsiTheme="minorHAnsi"/>
          <w:color w:val="000000" w:themeColor="text1"/>
        </w:rPr>
        <w:t xml:space="preserve">%) </w:t>
      </w:r>
      <w:r>
        <w:rPr>
          <w:rFonts w:asciiTheme="minorHAnsi" w:hAnsiTheme="minorHAnsi"/>
          <w:color w:val="000000" w:themeColor="text1"/>
        </w:rPr>
        <w:t xml:space="preserve">também </w:t>
      </w:r>
      <w:r w:rsidR="009A22F7">
        <w:rPr>
          <w:rFonts w:asciiTheme="minorHAnsi" w:hAnsiTheme="minorHAnsi"/>
          <w:color w:val="000000" w:themeColor="text1"/>
        </w:rPr>
        <w:t>acontecem</w:t>
      </w:r>
      <w:r w:rsidRPr="002845CC">
        <w:rPr>
          <w:rFonts w:asciiTheme="minorHAnsi" w:hAnsiTheme="minorHAnsi"/>
          <w:color w:val="000000" w:themeColor="text1"/>
        </w:rPr>
        <w:t xml:space="preserve"> </w:t>
      </w:r>
      <w:r>
        <w:rPr>
          <w:rFonts w:asciiTheme="minorHAnsi" w:hAnsiTheme="minorHAnsi"/>
          <w:color w:val="000000" w:themeColor="text1"/>
        </w:rPr>
        <w:t>em prestadores de serviços microrregionais, geralmente privados ou autarquias bem estruturadas;</w:t>
      </w:r>
    </w:p>
    <w:p w14:paraId="2198103B" w14:textId="47FA09D5" w:rsidR="003442CA" w:rsidRPr="00A2602C" w:rsidRDefault="00A2602C" w:rsidP="00CB27A1">
      <w:pPr>
        <w:pStyle w:val="ListParagraph"/>
        <w:numPr>
          <w:ilvl w:val="0"/>
          <w:numId w:val="5"/>
        </w:numPr>
        <w:spacing w:after="120" w:line="276" w:lineRule="auto"/>
        <w:ind w:left="714" w:hanging="357"/>
        <w:contextualSpacing w:val="0"/>
        <w:jc w:val="both"/>
        <w:rPr>
          <w:rFonts w:asciiTheme="minorHAnsi" w:hAnsiTheme="minorHAnsi"/>
          <w:color w:val="000000" w:themeColor="text1"/>
        </w:rPr>
      </w:pPr>
      <w:r w:rsidRPr="003442CA">
        <w:rPr>
          <w:rFonts w:asciiTheme="minorHAnsi" w:hAnsiTheme="minorHAnsi"/>
          <w:color w:val="000000" w:themeColor="text1"/>
        </w:rPr>
        <w:t xml:space="preserve">Na faixa de 200 mil a 500 mil habitantes, as maiores  perdas (43,54%) novamente </w:t>
      </w:r>
      <w:r w:rsidR="009A22F7">
        <w:rPr>
          <w:rFonts w:asciiTheme="minorHAnsi" w:hAnsiTheme="minorHAnsi"/>
          <w:color w:val="000000" w:themeColor="text1"/>
        </w:rPr>
        <w:t>ocorrem</w:t>
      </w:r>
      <w:r w:rsidR="003442CA">
        <w:rPr>
          <w:rFonts w:asciiTheme="minorHAnsi" w:hAnsiTheme="minorHAnsi"/>
          <w:color w:val="000000" w:themeColor="text1"/>
        </w:rPr>
        <w:t xml:space="preserve"> em prestadores de serviços municipais de direito público, geralmente autarquias qualificadas como Serviços Autônomos de Água e Esgotos (</w:t>
      </w:r>
      <w:proofErr w:type="spellStart"/>
      <w:r w:rsidR="003442CA">
        <w:rPr>
          <w:rFonts w:asciiTheme="minorHAnsi" w:hAnsiTheme="minorHAnsi"/>
          <w:color w:val="000000" w:themeColor="text1"/>
        </w:rPr>
        <w:t>SAAEs</w:t>
      </w:r>
      <w:proofErr w:type="spellEnd"/>
      <w:r w:rsidR="003442CA">
        <w:rPr>
          <w:rFonts w:asciiTheme="minorHAnsi" w:hAnsiTheme="minorHAnsi"/>
          <w:color w:val="000000" w:themeColor="text1"/>
        </w:rPr>
        <w:t>), ou Departamentos das próprias Prefeituras (administração pública direta); e</w:t>
      </w:r>
    </w:p>
    <w:p w14:paraId="257A1804" w14:textId="402F1975" w:rsidR="003442CA" w:rsidRDefault="003442CA" w:rsidP="00CB27A1">
      <w:pPr>
        <w:pStyle w:val="ListParagraph"/>
        <w:numPr>
          <w:ilvl w:val="0"/>
          <w:numId w:val="5"/>
        </w:numPr>
        <w:spacing w:after="120" w:line="276" w:lineRule="auto"/>
        <w:ind w:left="714" w:hanging="357"/>
        <w:contextualSpacing w:val="0"/>
        <w:jc w:val="both"/>
        <w:rPr>
          <w:rFonts w:asciiTheme="minorHAnsi" w:hAnsiTheme="minorHAnsi"/>
          <w:color w:val="000000" w:themeColor="text1"/>
        </w:rPr>
      </w:pPr>
      <w:r w:rsidRPr="003442CA">
        <w:rPr>
          <w:rFonts w:asciiTheme="minorHAnsi" w:hAnsiTheme="minorHAnsi"/>
          <w:color w:val="000000" w:themeColor="text1"/>
        </w:rPr>
        <w:t>Na faixa de 200 mil a 500 mil habitantes, as menores perdas (31,44%) verificam</w:t>
      </w:r>
      <w:r w:rsidR="009A22F7">
        <w:rPr>
          <w:rFonts w:asciiTheme="minorHAnsi" w:hAnsiTheme="minorHAnsi"/>
          <w:color w:val="000000" w:themeColor="text1"/>
        </w:rPr>
        <w:t>-se</w:t>
      </w:r>
      <w:r w:rsidRPr="003442CA">
        <w:rPr>
          <w:rFonts w:asciiTheme="minorHAnsi" w:hAnsiTheme="minorHAnsi"/>
          <w:color w:val="000000" w:themeColor="text1"/>
        </w:rPr>
        <w:t xml:space="preserve"> em prestadores de serviços </w:t>
      </w:r>
      <w:r w:rsidR="009A5983">
        <w:rPr>
          <w:rFonts w:asciiTheme="minorHAnsi" w:hAnsiTheme="minorHAnsi"/>
          <w:color w:val="000000" w:themeColor="text1"/>
        </w:rPr>
        <w:t xml:space="preserve">privados, </w:t>
      </w:r>
      <w:r w:rsidRPr="003442CA">
        <w:rPr>
          <w:rFonts w:asciiTheme="minorHAnsi" w:hAnsiTheme="minorHAnsi"/>
          <w:color w:val="000000" w:themeColor="text1"/>
        </w:rPr>
        <w:t xml:space="preserve">de abrangência </w:t>
      </w:r>
      <w:r w:rsidR="009A5983">
        <w:rPr>
          <w:rFonts w:asciiTheme="minorHAnsi" w:hAnsiTheme="minorHAnsi"/>
          <w:color w:val="000000" w:themeColor="text1"/>
        </w:rPr>
        <w:t xml:space="preserve">local, </w:t>
      </w:r>
      <w:r>
        <w:rPr>
          <w:rFonts w:asciiTheme="minorHAnsi" w:hAnsiTheme="minorHAnsi"/>
          <w:color w:val="000000" w:themeColor="text1"/>
        </w:rPr>
        <w:t>podendo ser destacados</w:t>
      </w:r>
      <w:r w:rsidR="009A5983">
        <w:rPr>
          <w:rFonts w:asciiTheme="minorHAnsi" w:hAnsiTheme="minorHAnsi"/>
          <w:color w:val="000000" w:themeColor="text1"/>
        </w:rPr>
        <w:t xml:space="preserve"> a BRK Ambiental (Cachoeiro do Itapemirim-ES e </w:t>
      </w:r>
      <w:proofErr w:type="spellStart"/>
      <w:r w:rsidR="009A5983">
        <w:rPr>
          <w:rFonts w:asciiTheme="minorHAnsi" w:hAnsiTheme="minorHAnsi"/>
          <w:color w:val="000000" w:themeColor="text1"/>
        </w:rPr>
        <w:t>Limeira-SP</w:t>
      </w:r>
      <w:proofErr w:type="spellEnd"/>
      <w:r w:rsidR="009A5983">
        <w:rPr>
          <w:rFonts w:asciiTheme="minorHAnsi" w:hAnsiTheme="minorHAnsi"/>
          <w:color w:val="000000" w:themeColor="text1"/>
        </w:rPr>
        <w:t xml:space="preserve"> ), Águas do Imperador S.A. (Petrópolis-RJ) e Águas de Niterói (Niterói – RJ);</w:t>
      </w:r>
    </w:p>
    <w:p w14:paraId="20D51F81" w14:textId="001D93EE" w:rsidR="009A5983" w:rsidRDefault="009A5983" w:rsidP="00CB27A1">
      <w:pPr>
        <w:pStyle w:val="ListParagraph"/>
        <w:numPr>
          <w:ilvl w:val="0"/>
          <w:numId w:val="5"/>
        </w:numPr>
        <w:spacing w:after="120" w:line="276" w:lineRule="auto"/>
        <w:ind w:left="714" w:hanging="357"/>
        <w:contextualSpacing w:val="0"/>
        <w:jc w:val="both"/>
        <w:rPr>
          <w:rFonts w:asciiTheme="minorHAnsi" w:hAnsiTheme="minorHAnsi"/>
          <w:color w:val="000000" w:themeColor="text1"/>
        </w:rPr>
      </w:pPr>
      <w:r>
        <w:rPr>
          <w:rFonts w:asciiTheme="minorHAnsi" w:hAnsiTheme="minorHAnsi"/>
          <w:color w:val="000000" w:themeColor="text1"/>
        </w:rPr>
        <w:t>Da mesma forma que o indicado</w:t>
      </w:r>
      <w:r w:rsidR="00744385">
        <w:rPr>
          <w:rFonts w:asciiTheme="minorHAnsi" w:hAnsiTheme="minorHAnsi"/>
          <w:color w:val="000000" w:themeColor="text1"/>
        </w:rPr>
        <w:t>r</w:t>
      </w:r>
      <w:r>
        <w:rPr>
          <w:rFonts w:asciiTheme="minorHAnsi" w:hAnsiTheme="minorHAnsi"/>
          <w:color w:val="000000" w:themeColor="text1"/>
        </w:rPr>
        <w:t xml:space="preserve"> de perdas na rede de distribuição, o índice de perdas </w:t>
      </w:r>
      <w:r w:rsidR="000B2873">
        <w:rPr>
          <w:rFonts w:asciiTheme="minorHAnsi" w:hAnsiTheme="minorHAnsi"/>
          <w:color w:val="000000" w:themeColor="text1"/>
        </w:rPr>
        <w:t xml:space="preserve">de água </w:t>
      </w:r>
      <w:r>
        <w:rPr>
          <w:rFonts w:asciiTheme="minorHAnsi" w:hAnsiTheme="minorHAnsi"/>
          <w:color w:val="000000" w:themeColor="text1"/>
        </w:rPr>
        <w:t>por ligação, também apresenta valores muito elevados;</w:t>
      </w:r>
    </w:p>
    <w:p w14:paraId="08403626" w14:textId="435E7336" w:rsidR="000B2873" w:rsidRDefault="000B2873" w:rsidP="00CB27A1">
      <w:pPr>
        <w:pStyle w:val="ListParagraph"/>
        <w:numPr>
          <w:ilvl w:val="0"/>
          <w:numId w:val="5"/>
        </w:numPr>
        <w:spacing w:after="120" w:line="276" w:lineRule="auto"/>
        <w:ind w:left="714" w:hanging="357"/>
        <w:contextualSpacing w:val="0"/>
        <w:jc w:val="both"/>
        <w:rPr>
          <w:rFonts w:asciiTheme="minorHAnsi" w:hAnsiTheme="minorHAnsi"/>
          <w:color w:val="000000" w:themeColor="text1"/>
        </w:rPr>
      </w:pPr>
      <w:r>
        <w:rPr>
          <w:rFonts w:asciiTheme="minorHAnsi" w:hAnsiTheme="minorHAnsi"/>
          <w:color w:val="000000" w:themeColor="text1"/>
        </w:rPr>
        <w:t>A maiores perdas de água por ligação (503,74 l/</w:t>
      </w:r>
      <w:proofErr w:type="spellStart"/>
      <w:r>
        <w:rPr>
          <w:rFonts w:asciiTheme="minorHAnsi" w:hAnsiTheme="minorHAnsi"/>
          <w:color w:val="000000" w:themeColor="text1"/>
        </w:rPr>
        <w:t>lig.dia</w:t>
      </w:r>
      <w:proofErr w:type="spellEnd"/>
      <w:r>
        <w:rPr>
          <w:rFonts w:asciiTheme="minorHAnsi" w:hAnsiTheme="minorHAnsi"/>
          <w:color w:val="000000" w:themeColor="text1"/>
        </w:rPr>
        <w:t>) ocorrem em sistemas operados por pre</w:t>
      </w:r>
      <w:r w:rsidR="00744385">
        <w:rPr>
          <w:rFonts w:asciiTheme="minorHAnsi" w:hAnsiTheme="minorHAnsi"/>
          <w:color w:val="000000" w:themeColor="text1"/>
        </w:rPr>
        <w:t xml:space="preserve">stadores de serviços locais, de </w:t>
      </w:r>
      <w:r>
        <w:rPr>
          <w:rFonts w:asciiTheme="minorHAnsi" w:hAnsiTheme="minorHAnsi"/>
          <w:color w:val="000000" w:themeColor="text1"/>
        </w:rPr>
        <w:t>direito público (</w:t>
      </w:r>
      <w:proofErr w:type="spellStart"/>
      <w:r>
        <w:rPr>
          <w:rFonts w:asciiTheme="minorHAnsi" w:hAnsiTheme="minorHAnsi"/>
          <w:color w:val="000000" w:themeColor="text1"/>
        </w:rPr>
        <w:t>SAAEs</w:t>
      </w:r>
      <w:proofErr w:type="spellEnd"/>
      <w:r>
        <w:rPr>
          <w:rFonts w:asciiTheme="minorHAnsi" w:hAnsiTheme="minorHAnsi"/>
          <w:color w:val="000000" w:themeColor="text1"/>
        </w:rPr>
        <w:t xml:space="preserve"> e Departamentos Municipais), em municípios na faixa de 20 mil a 50 mil habitantes; e</w:t>
      </w:r>
    </w:p>
    <w:p w14:paraId="6B317A3E" w14:textId="65C33AA7" w:rsidR="000B2873" w:rsidRDefault="000B2873" w:rsidP="00CB27A1">
      <w:pPr>
        <w:pStyle w:val="ListParagraph"/>
        <w:numPr>
          <w:ilvl w:val="0"/>
          <w:numId w:val="5"/>
        </w:numPr>
        <w:spacing w:after="120" w:line="276" w:lineRule="auto"/>
        <w:ind w:left="714" w:hanging="357"/>
        <w:contextualSpacing w:val="0"/>
        <w:jc w:val="both"/>
        <w:rPr>
          <w:rFonts w:asciiTheme="minorHAnsi" w:hAnsiTheme="minorHAnsi"/>
          <w:color w:val="000000" w:themeColor="text1"/>
        </w:rPr>
      </w:pPr>
      <w:r>
        <w:rPr>
          <w:rFonts w:asciiTheme="minorHAnsi" w:hAnsiTheme="minorHAnsi"/>
          <w:color w:val="000000" w:themeColor="text1"/>
        </w:rPr>
        <w:t>As menores perdas de água por ligação (149,88 l/</w:t>
      </w:r>
      <w:proofErr w:type="spellStart"/>
      <w:r>
        <w:rPr>
          <w:rFonts w:asciiTheme="minorHAnsi" w:hAnsiTheme="minorHAnsi"/>
          <w:color w:val="000000" w:themeColor="text1"/>
        </w:rPr>
        <w:t>lig.dia</w:t>
      </w:r>
      <w:proofErr w:type="spellEnd"/>
      <w:r>
        <w:rPr>
          <w:rFonts w:asciiTheme="minorHAnsi" w:hAnsiTheme="minorHAnsi"/>
          <w:color w:val="000000" w:themeColor="text1"/>
        </w:rPr>
        <w:t>), ocorrem em municípios n</w:t>
      </w:r>
      <w:r w:rsidRPr="002845CC">
        <w:rPr>
          <w:rFonts w:asciiTheme="minorHAnsi" w:hAnsiTheme="minorHAnsi"/>
          <w:color w:val="000000" w:themeColor="text1"/>
        </w:rPr>
        <w:t xml:space="preserve">a faixa de 50 mil a 200 mil habitantes, </w:t>
      </w:r>
      <w:r>
        <w:rPr>
          <w:rFonts w:asciiTheme="minorHAnsi" w:hAnsiTheme="minorHAnsi"/>
          <w:color w:val="000000" w:themeColor="text1"/>
        </w:rPr>
        <w:t>operados por prestadores de serviços microrregionais, geralmente privados ou autarquias bem estruturadas.</w:t>
      </w:r>
    </w:p>
    <w:p w14:paraId="06B4AA50" w14:textId="77777777" w:rsidR="00DC2B5E" w:rsidRDefault="00DC2B5E" w:rsidP="00DC2B5E">
      <w:pPr>
        <w:spacing w:after="120" w:line="276" w:lineRule="auto"/>
        <w:ind w:firstLine="0"/>
        <w:jc w:val="both"/>
        <w:rPr>
          <w:rFonts w:asciiTheme="minorHAnsi" w:hAnsiTheme="minorHAnsi"/>
          <w:color w:val="000000" w:themeColor="text1"/>
        </w:rPr>
      </w:pPr>
    </w:p>
    <w:p w14:paraId="52B5FCCF" w14:textId="3B0526CA" w:rsidR="00DC2B5E" w:rsidRPr="00966109" w:rsidRDefault="005D3277" w:rsidP="00966109">
      <w:pPr>
        <w:spacing w:after="120" w:line="276" w:lineRule="auto"/>
        <w:ind w:firstLine="0"/>
        <w:jc w:val="both"/>
        <w:rPr>
          <w:rFonts w:asciiTheme="minorHAnsi" w:hAnsiTheme="minorHAnsi"/>
          <w:color w:val="000000" w:themeColor="text1"/>
        </w:rPr>
      </w:pPr>
      <w:r>
        <w:rPr>
          <w:rFonts w:asciiTheme="minorHAnsi" w:hAnsiTheme="minorHAnsi"/>
          <w:color w:val="000000" w:themeColor="text1"/>
        </w:rPr>
        <w:t>O Q</w:t>
      </w:r>
      <w:r w:rsidR="00966109">
        <w:rPr>
          <w:rFonts w:asciiTheme="minorHAnsi" w:hAnsiTheme="minorHAnsi"/>
          <w:color w:val="000000" w:themeColor="text1"/>
        </w:rPr>
        <w:t>uadro</w:t>
      </w:r>
      <w:r>
        <w:rPr>
          <w:rFonts w:asciiTheme="minorHAnsi" w:hAnsiTheme="minorHAnsi"/>
          <w:color w:val="000000" w:themeColor="text1"/>
        </w:rPr>
        <w:t xml:space="preserve"> 3, </w:t>
      </w:r>
      <w:r w:rsidR="00DC2B5E" w:rsidRPr="00DC2B5E">
        <w:rPr>
          <w:rFonts w:asciiTheme="minorHAnsi" w:hAnsiTheme="minorHAnsi"/>
          <w:color w:val="000000" w:themeColor="text1"/>
        </w:rPr>
        <w:t>, a seguir, resume os comentários referentes ao</w:t>
      </w:r>
      <w:r w:rsidR="00966109">
        <w:rPr>
          <w:rFonts w:asciiTheme="minorHAnsi" w:hAnsiTheme="minorHAnsi"/>
          <w:color w:val="000000" w:themeColor="text1"/>
        </w:rPr>
        <w:t>s valores constantes do</w:t>
      </w:r>
      <w:r w:rsidR="00DC2B5E" w:rsidRPr="00DC2B5E">
        <w:rPr>
          <w:rFonts w:asciiTheme="minorHAnsi" w:hAnsiTheme="minorHAnsi"/>
          <w:color w:val="000000" w:themeColor="text1"/>
        </w:rPr>
        <w:t xml:space="preserve"> Quadro 2.</w:t>
      </w:r>
      <w:r w:rsidR="00966109">
        <w:rPr>
          <w:rFonts w:asciiTheme="minorHAnsi" w:hAnsiTheme="minorHAnsi"/>
          <w:color w:val="000000" w:themeColor="text1"/>
        </w:rPr>
        <w:t>, destacando os tipos de prestadores envolvidos.</w:t>
      </w:r>
    </w:p>
    <w:p w14:paraId="5BD4B383" w14:textId="258804FA" w:rsidR="00966109" w:rsidRDefault="00966109" w:rsidP="00966109">
      <w:pPr>
        <w:pStyle w:val="ListParagraph"/>
        <w:spacing w:after="120" w:line="276" w:lineRule="auto"/>
        <w:ind w:left="714" w:firstLine="279"/>
        <w:contextualSpacing w:val="0"/>
        <w:jc w:val="both"/>
        <w:rPr>
          <w:rFonts w:asciiTheme="minorHAnsi" w:hAnsiTheme="minorHAnsi"/>
          <w:color w:val="000000" w:themeColor="text1"/>
        </w:rPr>
      </w:pPr>
      <w:r>
        <w:rPr>
          <w:rFonts w:asciiTheme="minorHAnsi" w:hAnsiTheme="minorHAnsi"/>
          <w:noProof/>
          <w:color w:val="000000" w:themeColor="text1"/>
          <w:lang w:val="en-US" w:eastAsia="en-US"/>
        </w:rPr>
        <w:drawing>
          <wp:inline distT="0" distB="0" distL="0" distR="0" wp14:anchorId="3338AB11" wp14:editId="16A1C171">
            <wp:extent cx="3819782" cy="2143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9782" cy="2143760"/>
                    </a:xfrm>
                    <a:prstGeom prst="rect">
                      <a:avLst/>
                    </a:prstGeom>
                    <a:noFill/>
                    <a:ln>
                      <a:noFill/>
                    </a:ln>
                  </pic:spPr>
                </pic:pic>
              </a:graphicData>
            </a:graphic>
          </wp:inline>
        </w:drawing>
      </w:r>
    </w:p>
    <w:p w14:paraId="6E33AEDA" w14:textId="77777777" w:rsidR="00966109" w:rsidRPr="00966109" w:rsidRDefault="00966109" w:rsidP="00966109">
      <w:pPr>
        <w:pStyle w:val="ListParagraph"/>
        <w:spacing w:after="120" w:line="276" w:lineRule="auto"/>
        <w:ind w:left="714" w:firstLine="279"/>
        <w:contextualSpacing w:val="0"/>
        <w:jc w:val="both"/>
        <w:rPr>
          <w:rFonts w:asciiTheme="minorHAnsi" w:hAnsiTheme="minorHAnsi"/>
          <w:color w:val="000000" w:themeColor="text1"/>
        </w:rPr>
      </w:pPr>
    </w:p>
    <w:p w14:paraId="776D6677" w14:textId="3B1FD5DC" w:rsidR="00966109" w:rsidRDefault="00AC16CD" w:rsidP="00966109">
      <w:pPr>
        <w:spacing w:before="100" w:beforeAutospacing="1" w:after="100" w:afterAutospacing="1" w:line="276" w:lineRule="auto"/>
        <w:ind w:firstLine="0"/>
        <w:jc w:val="both"/>
        <w:rPr>
          <w:rFonts w:asciiTheme="minorHAnsi" w:hAnsiTheme="minorHAnsi"/>
          <w:b/>
          <w:color w:val="000000" w:themeColor="text1"/>
        </w:rPr>
      </w:pPr>
      <w:r>
        <w:rPr>
          <w:rFonts w:asciiTheme="minorHAnsi" w:hAnsiTheme="minorHAnsi"/>
          <w:b/>
          <w:color w:val="000000" w:themeColor="text1"/>
        </w:rPr>
        <w:t xml:space="preserve">2.3   </w:t>
      </w:r>
      <w:r w:rsidR="00966109" w:rsidRPr="00060928">
        <w:rPr>
          <w:rFonts w:asciiTheme="minorHAnsi" w:hAnsiTheme="minorHAnsi"/>
          <w:b/>
          <w:color w:val="000000" w:themeColor="text1"/>
        </w:rPr>
        <w:t xml:space="preserve"> </w:t>
      </w:r>
      <w:r w:rsidR="00966109">
        <w:rPr>
          <w:rFonts w:asciiTheme="minorHAnsi" w:hAnsiTheme="minorHAnsi"/>
          <w:b/>
          <w:color w:val="000000" w:themeColor="text1"/>
        </w:rPr>
        <w:t xml:space="preserve">Estrutura das </w:t>
      </w:r>
      <w:r w:rsidR="00966109" w:rsidRPr="00060928">
        <w:rPr>
          <w:rFonts w:asciiTheme="minorHAnsi" w:hAnsiTheme="minorHAnsi"/>
          <w:b/>
          <w:color w:val="000000" w:themeColor="text1"/>
        </w:rPr>
        <w:t xml:space="preserve"> Perdas de Água </w:t>
      </w:r>
    </w:p>
    <w:p w14:paraId="40B8BDDD" w14:textId="77777777" w:rsidR="00CF4117" w:rsidRDefault="006E365E" w:rsidP="00966109">
      <w:pPr>
        <w:spacing w:before="100" w:beforeAutospacing="1" w:after="100" w:afterAutospacing="1" w:line="276" w:lineRule="auto"/>
        <w:ind w:firstLine="0"/>
        <w:jc w:val="both"/>
        <w:rPr>
          <w:rFonts w:asciiTheme="minorHAnsi" w:hAnsiTheme="minorHAnsi"/>
          <w:i/>
          <w:color w:val="000000" w:themeColor="text1"/>
        </w:rPr>
      </w:pPr>
      <w:r>
        <w:rPr>
          <w:rFonts w:asciiTheme="minorHAnsi" w:hAnsiTheme="minorHAnsi"/>
          <w:color w:val="000000" w:themeColor="text1"/>
        </w:rPr>
        <w:t xml:space="preserve">O balanço hídrico em um sistema de abastecimento de água considera que o </w:t>
      </w:r>
      <w:r w:rsidRPr="006E365E">
        <w:rPr>
          <w:rFonts w:asciiTheme="minorHAnsi" w:hAnsiTheme="minorHAnsi"/>
          <w:i/>
          <w:color w:val="000000" w:themeColor="text1"/>
        </w:rPr>
        <w:t>V</w:t>
      </w:r>
      <w:r>
        <w:rPr>
          <w:rFonts w:asciiTheme="minorHAnsi" w:hAnsiTheme="minorHAnsi"/>
          <w:i/>
          <w:color w:val="000000" w:themeColor="text1"/>
        </w:rPr>
        <w:t>olume T</w:t>
      </w:r>
      <w:r w:rsidRPr="006E365E">
        <w:rPr>
          <w:rFonts w:asciiTheme="minorHAnsi" w:hAnsiTheme="minorHAnsi"/>
          <w:i/>
          <w:color w:val="000000" w:themeColor="text1"/>
        </w:rPr>
        <w:t xml:space="preserve">otal de </w:t>
      </w:r>
      <w:r>
        <w:rPr>
          <w:rFonts w:asciiTheme="minorHAnsi" w:hAnsiTheme="minorHAnsi"/>
          <w:i/>
          <w:color w:val="000000" w:themeColor="text1"/>
        </w:rPr>
        <w:t>Á</w:t>
      </w:r>
      <w:r w:rsidRPr="006E365E">
        <w:rPr>
          <w:rFonts w:asciiTheme="minorHAnsi" w:hAnsiTheme="minorHAnsi"/>
          <w:i/>
          <w:color w:val="000000" w:themeColor="text1"/>
        </w:rPr>
        <w:t>gua Disponibilizado</w:t>
      </w:r>
      <w:r>
        <w:rPr>
          <w:rFonts w:asciiTheme="minorHAnsi" w:hAnsiTheme="minorHAnsi"/>
          <w:color w:val="000000" w:themeColor="text1"/>
        </w:rPr>
        <w:t xml:space="preserve"> para consumo se divide em duas partes: </w:t>
      </w:r>
      <w:r w:rsidRPr="006E365E">
        <w:rPr>
          <w:rFonts w:asciiTheme="minorHAnsi" w:hAnsiTheme="minorHAnsi"/>
          <w:i/>
          <w:color w:val="000000" w:themeColor="text1"/>
        </w:rPr>
        <w:t>Consumo Autorizado</w:t>
      </w:r>
      <w:r>
        <w:rPr>
          <w:rFonts w:asciiTheme="minorHAnsi" w:hAnsiTheme="minorHAnsi"/>
          <w:i/>
          <w:color w:val="000000" w:themeColor="text1"/>
        </w:rPr>
        <w:t xml:space="preserve"> e Volume de Perdas. </w:t>
      </w:r>
    </w:p>
    <w:p w14:paraId="2EE0159C" w14:textId="4AAD6482" w:rsidR="00CF4117" w:rsidRDefault="006E365E" w:rsidP="00CB27A1">
      <w:pPr>
        <w:pStyle w:val="ListParagraph"/>
        <w:numPr>
          <w:ilvl w:val="0"/>
          <w:numId w:val="7"/>
        </w:numPr>
        <w:spacing w:after="120" w:line="276" w:lineRule="auto"/>
        <w:ind w:hanging="357"/>
        <w:contextualSpacing w:val="0"/>
        <w:jc w:val="both"/>
        <w:rPr>
          <w:rFonts w:asciiTheme="minorHAnsi" w:hAnsiTheme="minorHAnsi"/>
          <w:i/>
          <w:color w:val="000000" w:themeColor="text1"/>
        </w:rPr>
      </w:pPr>
      <w:r w:rsidRPr="00CF4117">
        <w:rPr>
          <w:rFonts w:asciiTheme="minorHAnsi" w:hAnsiTheme="minorHAnsi"/>
          <w:i/>
          <w:color w:val="000000" w:themeColor="text1"/>
        </w:rPr>
        <w:t>O Consumo Autorizado</w:t>
      </w:r>
      <w:r w:rsidR="00CF4117" w:rsidRPr="00CF4117">
        <w:rPr>
          <w:rFonts w:asciiTheme="minorHAnsi" w:hAnsiTheme="minorHAnsi"/>
          <w:i/>
          <w:color w:val="000000" w:themeColor="text1"/>
        </w:rPr>
        <w:t xml:space="preserve"> </w:t>
      </w:r>
      <w:r w:rsidR="00CF4117" w:rsidRPr="00CF4117">
        <w:rPr>
          <w:rFonts w:asciiTheme="minorHAnsi" w:hAnsiTheme="minorHAnsi"/>
          <w:color w:val="000000" w:themeColor="text1"/>
        </w:rPr>
        <w:t>pode ser divid</w:t>
      </w:r>
      <w:r w:rsidR="00CF4117">
        <w:rPr>
          <w:rFonts w:asciiTheme="minorHAnsi" w:hAnsiTheme="minorHAnsi"/>
          <w:color w:val="000000" w:themeColor="text1"/>
        </w:rPr>
        <w:t>id</w:t>
      </w:r>
      <w:r w:rsidR="00CF4117" w:rsidRPr="00CF4117">
        <w:rPr>
          <w:rFonts w:asciiTheme="minorHAnsi" w:hAnsiTheme="minorHAnsi"/>
          <w:color w:val="000000" w:themeColor="text1"/>
        </w:rPr>
        <w:t xml:space="preserve">o em </w:t>
      </w:r>
      <w:r w:rsidR="00CF4117" w:rsidRPr="00CF4117">
        <w:rPr>
          <w:rFonts w:asciiTheme="minorHAnsi" w:hAnsiTheme="minorHAnsi"/>
          <w:i/>
          <w:color w:val="000000" w:themeColor="text1"/>
        </w:rPr>
        <w:t>Consumo Autorizado Faturado</w:t>
      </w:r>
      <w:r w:rsidR="00CF4117" w:rsidRPr="00CF4117">
        <w:rPr>
          <w:rFonts w:asciiTheme="minorHAnsi" w:hAnsiTheme="minorHAnsi"/>
          <w:color w:val="000000" w:themeColor="text1"/>
        </w:rPr>
        <w:t xml:space="preserve"> e </w:t>
      </w:r>
      <w:r w:rsidR="00CF4117" w:rsidRPr="00CF4117">
        <w:rPr>
          <w:rFonts w:asciiTheme="minorHAnsi" w:hAnsiTheme="minorHAnsi"/>
          <w:i/>
          <w:color w:val="000000" w:themeColor="text1"/>
        </w:rPr>
        <w:t>Consumo Autorizado não Faturado.</w:t>
      </w:r>
    </w:p>
    <w:p w14:paraId="036C0E09" w14:textId="0D53D5EB" w:rsidR="00CF4117" w:rsidRPr="00D2106E" w:rsidRDefault="00CF4117" w:rsidP="00CB27A1">
      <w:pPr>
        <w:pStyle w:val="ListParagraph"/>
        <w:numPr>
          <w:ilvl w:val="1"/>
          <w:numId w:val="7"/>
        </w:numPr>
        <w:spacing w:after="120" w:line="276" w:lineRule="auto"/>
        <w:ind w:hanging="357"/>
        <w:contextualSpacing w:val="0"/>
        <w:jc w:val="both"/>
        <w:rPr>
          <w:rFonts w:asciiTheme="minorHAnsi" w:hAnsiTheme="minorHAnsi"/>
          <w:i/>
          <w:color w:val="000000" w:themeColor="text1"/>
        </w:rPr>
      </w:pPr>
      <w:r>
        <w:rPr>
          <w:rFonts w:asciiTheme="minorHAnsi" w:hAnsiTheme="minorHAnsi"/>
          <w:i/>
          <w:color w:val="000000" w:themeColor="text1"/>
        </w:rPr>
        <w:t xml:space="preserve">O Consumo Autorizado Faturado </w:t>
      </w:r>
      <w:r w:rsidRPr="00CF4117">
        <w:rPr>
          <w:rFonts w:asciiTheme="minorHAnsi" w:hAnsiTheme="minorHAnsi"/>
          <w:color w:val="000000" w:themeColor="text1"/>
        </w:rPr>
        <w:t xml:space="preserve">representa </w:t>
      </w:r>
      <w:r>
        <w:rPr>
          <w:rFonts w:asciiTheme="minorHAnsi" w:hAnsiTheme="minorHAnsi"/>
          <w:color w:val="000000" w:themeColor="text1"/>
        </w:rPr>
        <w:t xml:space="preserve">o próprio faturamento do prestador de serviços e pode ser ainda dividido em </w:t>
      </w:r>
      <w:r w:rsidRPr="00CF4117">
        <w:rPr>
          <w:rFonts w:asciiTheme="minorHAnsi" w:hAnsiTheme="minorHAnsi"/>
          <w:i/>
          <w:color w:val="000000" w:themeColor="text1"/>
        </w:rPr>
        <w:t xml:space="preserve">Consumo </w:t>
      </w:r>
      <w:r w:rsidR="00D2106E">
        <w:rPr>
          <w:rFonts w:asciiTheme="minorHAnsi" w:hAnsiTheme="minorHAnsi"/>
          <w:i/>
          <w:color w:val="000000" w:themeColor="text1"/>
        </w:rPr>
        <w:t xml:space="preserve">Medido Faturado e </w:t>
      </w:r>
      <w:r w:rsidRPr="00CF4117">
        <w:rPr>
          <w:rFonts w:asciiTheme="minorHAnsi" w:hAnsiTheme="minorHAnsi"/>
          <w:i/>
          <w:color w:val="000000" w:themeColor="text1"/>
        </w:rPr>
        <w:t>Consumo não Medido</w:t>
      </w:r>
      <w:r w:rsidR="00D2106E">
        <w:rPr>
          <w:rFonts w:asciiTheme="minorHAnsi" w:hAnsiTheme="minorHAnsi"/>
          <w:i/>
          <w:color w:val="000000" w:themeColor="text1"/>
        </w:rPr>
        <w:t xml:space="preserve"> Faturado</w:t>
      </w:r>
      <w:r>
        <w:rPr>
          <w:rFonts w:asciiTheme="minorHAnsi" w:hAnsiTheme="minorHAnsi"/>
          <w:color w:val="000000" w:themeColor="text1"/>
        </w:rPr>
        <w:t>;</w:t>
      </w:r>
    </w:p>
    <w:p w14:paraId="13767073" w14:textId="205A6F84" w:rsidR="00E837A7" w:rsidRPr="00E837A7" w:rsidRDefault="00D2106E" w:rsidP="00CB27A1">
      <w:pPr>
        <w:pStyle w:val="ListParagraph"/>
        <w:numPr>
          <w:ilvl w:val="1"/>
          <w:numId w:val="7"/>
        </w:numPr>
        <w:spacing w:after="120" w:line="276" w:lineRule="auto"/>
        <w:ind w:hanging="357"/>
        <w:contextualSpacing w:val="0"/>
        <w:jc w:val="both"/>
        <w:rPr>
          <w:rFonts w:asciiTheme="minorHAnsi" w:hAnsiTheme="minorHAnsi"/>
          <w:i/>
          <w:color w:val="000000" w:themeColor="text1"/>
        </w:rPr>
      </w:pPr>
      <w:r>
        <w:rPr>
          <w:rFonts w:asciiTheme="minorHAnsi" w:hAnsiTheme="minorHAnsi"/>
          <w:i/>
          <w:color w:val="000000" w:themeColor="text1"/>
        </w:rPr>
        <w:t xml:space="preserve">O Consumo Autorizado Não Faturado, </w:t>
      </w:r>
      <w:r w:rsidRPr="00D2106E">
        <w:rPr>
          <w:rFonts w:asciiTheme="minorHAnsi" w:hAnsiTheme="minorHAnsi"/>
          <w:color w:val="000000" w:themeColor="text1"/>
        </w:rPr>
        <w:t>representa p</w:t>
      </w:r>
      <w:r w:rsidR="00CF041C">
        <w:rPr>
          <w:rFonts w:asciiTheme="minorHAnsi" w:hAnsiTheme="minorHAnsi"/>
          <w:color w:val="000000" w:themeColor="text1"/>
        </w:rPr>
        <w:t>arte da Perda de F</w:t>
      </w:r>
      <w:r w:rsidRPr="00D2106E">
        <w:rPr>
          <w:rFonts w:asciiTheme="minorHAnsi" w:hAnsiTheme="minorHAnsi"/>
          <w:color w:val="000000" w:themeColor="text1"/>
        </w:rPr>
        <w:t xml:space="preserve">aturamento e </w:t>
      </w:r>
      <w:r w:rsidR="00CF041C">
        <w:rPr>
          <w:rFonts w:asciiTheme="minorHAnsi" w:hAnsiTheme="minorHAnsi"/>
          <w:color w:val="000000" w:themeColor="text1"/>
        </w:rPr>
        <w:t xml:space="preserve">se subdivide em </w:t>
      </w:r>
      <w:r w:rsidR="00CF041C" w:rsidRPr="00CF041C">
        <w:rPr>
          <w:rFonts w:asciiTheme="minorHAnsi" w:hAnsiTheme="minorHAnsi"/>
          <w:i/>
          <w:color w:val="000000" w:themeColor="text1"/>
        </w:rPr>
        <w:t>Consumo Medido Não Faturado e Consumo Não Medido Não Faturado</w:t>
      </w:r>
      <w:r w:rsidR="00744385">
        <w:rPr>
          <w:rFonts w:asciiTheme="minorHAnsi" w:hAnsiTheme="minorHAnsi"/>
          <w:i/>
          <w:color w:val="000000" w:themeColor="text1"/>
        </w:rPr>
        <w:t xml:space="preserve"> (geralmente esse volume é utilizado pelo Corpo de Bombeiros ou consumido por áreas de favelas, considerado um consumo social)</w:t>
      </w:r>
      <w:r w:rsidR="00CF041C" w:rsidRPr="00CF041C">
        <w:rPr>
          <w:rFonts w:asciiTheme="minorHAnsi" w:hAnsiTheme="minorHAnsi"/>
          <w:i/>
          <w:color w:val="000000" w:themeColor="text1"/>
        </w:rPr>
        <w:t>;</w:t>
      </w:r>
    </w:p>
    <w:p w14:paraId="5966B2E1" w14:textId="03B2D971" w:rsidR="00CF041C" w:rsidRPr="00E837A7" w:rsidRDefault="00E837A7" w:rsidP="00CB27A1">
      <w:pPr>
        <w:pStyle w:val="ListParagraph"/>
        <w:numPr>
          <w:ilvl w:val="0"/>
          <w:numId w:val="7"/>
        </w:numPr>
        <w:spacing w:after="120" w:line="276" w:lineRule="auto"/>
        <w:jc w:val="both"/>
        <w:rPr>
          <w:rFonts w:asciiTheme="minorHAnsi" w:hAnsiTheme="minorHAnsi"/>
          <w:i/>
          <w:color w:val="000000" w:themeColor="text1"/>
        </w:rPr>
      </w:pPr>
      <w:r w:rsidRPr="00E837A7">
        <w:rPr>
          <w:rFonts w:asciiTheme="minorHAnsi" w:hAnsiTheme="minorHAnsi"/>
          <w:i/>
          <w:color w:val="000000" w:themeColor="text1"/>
        </w:rPr>
        <w:t>O Volume de Perdas</w:t>
      </w:r>
      <w:r w:rsidRPr="00E837A7">
        <w:rPr>
          <w:rFonts w:asciiTheme="minorHAnsi" w:hAnsiTheme="minorHAnsi"/>
          <w:color w:val="000000" w:themeColor="text1"/>
        </w:rPr>
        <w:t xml:space="preserve">, por sua vez, se </w:t>
      </w:r>
      <w:r>
        <w:rPr>
          <w:rFonts w:asciiTheme="minorHAnsi" w:hAnsiTheme="minorHAnsi"/>
          <w:color w:val="000000" w:themeColor="text1"/>
        </w:rPr>
        <w:t xml:space="preserve">subdivide em </w:t>
      </w:r>
      <w:r w:rsidRPr="00E837A7">
        <w:rPr>
          <w:rFonts w:asciiTheme="minorHAnsi" w:hAnsiTheme="minorHAnsi"/>
          <w:i/>
          <w:color w:val="000000" w:themeColor="text1"/>
        </w:rPr>
        <w:t>Perdas Reais e Perdas Aparentes.</w:t>
      </w:r>
    </w:p>
    <w:p w14:paraId="6EAE7A3E" w14:textId="6E16CC7E" w:rsidR="00CF4117" w:rsidRDefault="00E837A7" w:rsidP="00CB27A1">
      <w:pPr>
        <w:pStyle w:val="ListParagraph"/>
        <w:numPr>
          <w:ilvl w:val="1"/>
          <w:numId w:val="7"/>
        </w:numPr>
        <w:spacing w:after="120" w:line="276" w:lineRule="auto"/>
        <w:jc w:val="both"/>
        <w:rPr>
          <w:rFonts w:asciiTheme="minorHAnsi" w:hAnsiTheme="minorHAnsi"/>
          <w:color w:val="000000" w:themeColor="text1"/>
        </w:rPr>
      </w:pPr>
      <w:r>
        <w:rPr>
          <w:rFonts w:asciiTheme="minorHAnsi" w:hAnsiTheme="minorHAnsi"/>
          <w:i/>
          <w:color w:val="000000" w:themeColor="text1"/>
        </w:rPr>
        <w:t xml:space="preserve">As Perdas Reais </w:t>
      </w:r>
      <w:r w:rsidRPr="00E837A7">
        <w:rPr>
          <w:rFonts w:asciiTheme="minorHAnsi" w:hAnsiTheme="minorHAnsi"/>
          <w:color w:val="000000" w:themeColor="text1"/>
        </w:rPr>
        <w:t>são aquelas de</w:t>
      </w:r>
      <w:r>
        <w:rPr>
          <w:rFonts w:asciiTheme="minorHAnsi" w:hAnsiTheme="minorHAnsi"/>
          <w:color w:val="000000" w:themeColor="text1"/>
        </w:rPr>
        <w:t xml:space="preserve">correntes de vazamentos de redes e </w:t>
      </w:r>
      <w:proofErr w:type="spellStart"/>
      <w:r>
        <w:rPr>
          <w:rFonts w:asciiTheme="minorHAnsi" w:hAnsiTheme="minorHAnsi"/>
          <w:color w:val="000000" w:themeColor="text1"/>
        </w:rPr>
        <w:t>extravazão</w:t>
      </w:r>
      <w:proofErr w:type="spellEnd"/>
      <w:r>
        <w:rPr>
          <w:rFonts w:asciiTheme="minorHAnsi" w:hAnsiTheme="minorHAnsi"/>
          <w:color w:val="000000" w:themeColor="text1"/>
        </w:rPr>
        <w:t xml:space="preserve"> de reservatórios;</w:t>
      </w:r>
    </w:p>
    <w:p w14:paraId="5E72BA13" w14:textId="48D20854" w:rsidR="00893C84" w:rsidRDefault="00893C84" w:rsidP="00CB27A1">
      <w:pPr>
        <w:pStyle w:val="ListParagraph"/>
        <w:numPr>
          <w:ilvl w:val="1"/>
          <w:numId w:val="7"/>
        </w:numPr>
        <w:spacing w:after="120" w:line="276" w:lineRule="auto"/>
        <w:jc w:val="both"/>
        <w:rPr>
          <w:rFonts w:asciiTheme="minorHAnsi" w:hAnsiTheme="minorHAnsi"/>
          <w:i/>
          <w:color w:val="000000" w:themeColor="text1"/>
        </w:rPr>
      </w:pPr>
      <w:r>
        <w:rPr>
          <w:rFonts w:asciiTheme="minorHAnsi" w:hAnsiTheme="minorHAnsi"/>
          <w:i/>
          <w:color w:val="000000" w:themeColor="text1"/>
        </w:rPr>
        <w:t xml:space="preserve">As Perdas Aparentes </w:t>
      </w:r>
      <w:r w:rsidRPr="00893C84">
        <w:rPr>
          <w:rFonts w:asciiTheme="minorHAnsi" w:hAnsiTheme="minorHAnsi"/>
          <w:color w:val="000000" w:themeColor="text1"/>
        </w:rPr>
        <w:t xml:space="preserve">se subdividem em </w:t>
      </w:r>
      <w:r w:rsidRPr="00893C84">
        <w:rPr>
          <w:rFonts w:asciiTheme="minorHAnsi" w:hAnsiTheme="minorHAnsi"/>
          <w:i/>
          <w:color w:val="000000" w:themeColor="text1"/>
        </w:rPr>
        <w:t>Consumos não Autorizados</w:t>
      </w:r>
      <w:r>
        <w:rPr>
          <w:rFonts w:asciiTheme="minorHAnsi" w:hAnsiTheme="minorHAnsi"/>
          <w:color w:val="000000" w:themeColor="text1"/>
        </w:rPr>
        <w:t xml:space="preserve"> (fraudes e ligações clandestinas) e </w:t>
      </w:r>
      <w:proofErr w:type="spellStart"/>
      <w:r w:rsidRPr="00893C84">
        <w:rPr>
          <w:rFonts w:asciiTheme="minorHAnsi" w:hAnsiTheme="minorHAnsi"/>
          <w:i/>
          <w:color w:val="000000" w:themeColor="text1"/>
        </w:rPr>
        <w:t>Submedição</w:t>
      </w:r>
      <w:proofErr w:type="spellEnd"/>
      <w:r w:rsidRPr="00893C84">
        <w:rPr>
          <w:rFonts w:asciiTheme="minorHAnsi" w:hAnsiTheme="minorHAnsi"/>
          <w:i/>
          <w:color w:val="000000" w:themeColor="text1"/>
        </w:rPr>
        <w:t xml:space="preserve"> de Hidrômetros</w:t>
      </w:r>
      <w:r>
        <w:rPr>
          <w:rFonts w:asciiTheme="minorHAnsi" w:hAnsiTheme="minorHAnsi"/>
          <w:i/>
          <w:color w:val="000000" w:themeColor="text1"/>
        </w:rPr>
        <w:t>.</w:t>
      </w:r>
    </w:p>
    <w:p w14:paraId="4874DEEA" w14:textId="77777777" w:rsidR="00744385" w:rsidRPr="00B922D1" w:rsidRDefault="00744385" w:rsidP="00744385">
      <w:pPr>
        <w:pStyle w:val="ListParagraph"/>
        <w:spacing w:after="120" w:line="276" w:lineRule="auto"/>
        <w:ind w:left="1440" w:firstLine="0"/>
        <w:jc w:val="both"/>
        <w:rPr>
          <w:rFonts w:asciiTheme="minorHAnsi" w:hAnsiTheme="minorHAnsi"/>
          <w:i/>
          <w:color w:val="000000" w:themeColor="text1"/>
        </w:rPr>
      </w:pPr>
    </w:p>
    <w:p w14:paraId="46306DC2" w14:textId="4698872E" w:rsidR="00893C84" w:rsidRPr="00893C84" w:rsidRDefault="00893C84" w:rsidP="00893C84">
      <w:pPr>
        <w:spacing w:after="120" w:line="276" w:lineRule="auto"/>
        <w:ind w:firstLine="0"/>
        <w:jc w:val="both"/>
        <w:rPr>
          <w:rFonts w:asciiTheme="minorHAnsi" w:hAnsiTheme="minorHAnsi"/>
          <w:color w:val="000000" w:themeColor="text1"/>
        </w:rPr>
      </w:pPr>
      <w:r w:rsidRPr="00893C84">
        <w:rPr>
          <w:rFonts w:asciiTheme="minorHAnsi" w:hAnsiTheme="minorHAnsi"/>
          <w:color w:val="000000" w:themeColor="text1"/>
        </w:rPr>
        <w:t xml:space="preserve">No </w:t>
      </w:r>
      <w:r>
        <w:rPr>
          <w:rFonts w:asciiTheme="minorHAnsi" w:hAnsiTheme="minorHAnsi"/>
          <w:color w:val="000000" w:themeColor="text1"/>
        </w:rPr>
        <w:t xml:space="preserve">contexto da avaliação em questão, as informações disponibilizadas pelo SNIS não são suficientes para permitir uma avaliação como a estabelecida pelo balanço hídrico.  A própria análise das Perdas Aparentes é impossibilitada pela ausência de dados sobre o tema. </w:t>
      </w:r>
      <w:r w:rsidR="007A55E8">
        <w:rPr>
          <w:rFonts w:asciiTheme="minorHAnsi" w:hAnsiTheme="minorHAnsi"/>
          <w:color w:val="000000" w:themeColor="text1"/>
        </w:rPr>
        <w:t xml:space="preserve">Dessa forma, </w:t>
      </w:r>
      <w:r>
        <w:rPr>
          <w:rFonts w:asciiTheme="minorHAnsi" w:hAnsiTheme="minorHAnsi"/>
          <w:color w:val="000000" w:themeColor="text1"/>
        </w:rPr>
        <w:t xml:space="preserve">poucas </w:t>
      </w:r>
      <w:r w:rsidR="007A55E8">
        <w:rPr>
          <w:rFonts w:asciiTheme="minorHAnsi" w:hAnsiTheme="minorHAnsi"/>
          <w:color w:val="000000" w:themeColor="text1"/>
        </w:rPr>
        <w:t>conclusõe</w:t>
      </w:r>
      <w:r>
        <w:rPr>
          <w:rFonts w:asciiTheme="minorHAnsi" w:hAnsiTheme="minorHAnsi"/>
          <w:color w:val="000000" w:themeColor="text1"/>
        </w:rPr>
        <w:t>s podem ser feitas com base nos dados disponíveis</w:t>
      </w:r>
      <w:r w:rsidR="007A55E8">
        <w:rPr>
          <w:rFonts w:asciiTheme="minorHAnsi" w:hAnsiTheme="minorHAnsi"/>
          <w:color w:val="000000" w:themeColor="text1"/>
        </w:rPr>
        <w:t>, restando o exercício de algumas inferências, como mostrado no Quadro 4, a seguir</w:t>
      </w:r>
      <w:r w:rsidR="00B922D1">
        <w:rPr>
          <w:rFonts w:asciiTheme="minorHAnsi" w:hAnsiTheme="minorHAnsi"/>
          <w:color w:val="000000" w:themeColor="text1"/>
        </w:rPr>
        <w:t>.</w:t>
      </w:r>
    </w:p>
    <w:p w14:paraId="479EDF2C" w14:textId="72AD7C64" w:rsidR="00E837A7" w:rsidRPr="00E837A7" w:rsidRDefault="00E837A7" w:rsidP="00E837A7">
      <w:pPr>
        <w:pStyle w:val="ListParagraph"/>
        <w:spacing w:after="120" w:line="276" w:lineRule="auto"/>
        <w:ind w:left="1440" w:firstLine="0"/>
        <w:jc w:val="both"/>
        <w:rPr>
          <w:rFonts w:asciiTheme="minorHAnsi" w:hAnsiTheme="minorHAnsi"/>
          <w:color w:val="000000" w:themeColor="text1"/>
        </w:rPr>
      </w:pPr>
    </w:p>
    <w:p w14:paraId="4A8D2BD1" w14:textId="2BF886F2" w:rsidR="00744385" w:rsidRDefault="00DA5854" w:rsidP="0011703E">
      <w:pPr>
        <w:pStyle w:val="ListParagraph"/>
        <w:spacing w:after="120" w:line="276" w:lineRule="auto"/>
        <w:ind w:left="714" w:hanging="714"/>
        <w:jc w:val="both"/>
        <w:rPr>
          <w:rFonts w:asciiTheme="minorHAnsi" w:hAnsiTheme="minorHAnsi"/>
          <w:color w:val="000000" w:themeColor="text1"/>
        </w:rPr>
      </w:pPr>
      <w:r>
        <w:rPr>
          <w:rFonts w:asciiTheme="minorHAnsi" w:hAnsiTheme="minorHAnsi"/>
          <w:noProof/>
          <w:color w:val="000000" w:themeColor="text1"/>
          <w:lang w:val="en-US" w:eastAsia="en-US"/>
        </w:rPr>
        <w:drawing>
          <wp:inline distT="0" distB="0" distL="0" distR="0" wp14:anchorId="7D69EC45" wp14:editId="2E5ABB4F">
            <wp:extent cx="5400040" cy="4518771"/>
            <wp:effectExtent l="0" t="0" r="10160" b="254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4518771"/>
                    </a:xfrm>
                    <a:prstGeom prst="rect">
                      <a:avLst/>
                    </a:prstGeom>
                    <a:noFill/>
                    <a:ln>
                      <a:noFill/>
                    </a:ln>
                  </pic:spPr>
                </pic:pic>
              </a:graphicData>
            </a:graphic>
          </wp:inline>
        </w:drawing>
      </w:r>
    </w:p>
    <w:p w14:paraId="3DF8FFD8" w14:textId="77777777" w:rsidR="00744385" w:rsidRDefault="00744385" w:rsidP="00744385">
      <w:pPr>
        <w:pStyle w:val="ListParagraph"/>
        <w:spacing w:after="120" w:line="276" w:lineRule="auto"/>
        <w:ind w:left="714" w:hanging="288"/>
        <w:jc w:val="both"/>
        <w:rPr>
          <w:rFonts w:asciiTheme="minorHAnsi" w:hAnsiTheme="minorHAnsi"/>
          <w:color w:val="000000" w:themeColor="text1"/>
        </w:rPr>
      </w:pPr>
    </w:p>
    <w:p w14:paraId="13C0E321" w14:textId="3BF160CA" w:rsidR="00744385" w:rsidRDefault="00744385" w:rsidP="00744385">
      <w:pPr>
        <w:pStyle w:val="ListParagraph"/>
        <w:spacing w:after="120" w:line="276" w:lineRule="auto"/>
        <w:ind w:left="714" w:hanging="288"/>
        <w:contextualSpacing w:val="0"/>
        <w:jc w:val="both"/>
        <w:rPr>
          <w:rFonts w:asciiTheme="minorHAnsi" w:hAnsiTheme="minorHAnsi"/>
          <w:color w:val="000000" w:themeColor="text1"/>
        </w:rPr>
      </w:pPr>
      <w:r w:rsidRPr="00744385">
        <w:rPr>
          <w:rFonts w:asciiTheme="minorHAnsi" w:hAnsiTheme="minorHAnsi"/>
          <w:color w:val="000000" w:themeColor="text1"/>
        </w:rPr>
        <w:t>A análise das informaçõ</w:t>
      </w:r>
      <w:r>
        <w:rPr>
          <w:rFonts w:asciiTheme="minorHAnsi" w:hAnsiTheme="minorHAnsi"/>
          <w:color w:val="000000" w:themeColor="text1"/>
        </w:rPr>
        <w:t>es do Q</w:t>
      </w:r>
      <w:r w:rsidRPr="00744385">
        <w:rPr>
          <w:rFonts w:asciiTheme="minorHAnsi" w:hAnsiTheme="minorHAnsi"/>
          <w:color w:val="000000" w:themeColor="text1"/>
        </w:rPr>
        <w:t>uadro 4</w:t>
      </w:r>
      <w:r>
        <w:rPr>
          <w:rFonts w:asciiTheme="minorHAnsi" w:hAnsiTheme="minorHAnsi"/>
          <w:color w:val="000000" w:themeColor="text1"/>
        </w:rPr>
        <w:t>, possibilitam as seguintes considerações:</w:t>
      </w:r>
    </w:p>
    <w:p w14:paraId="0CB55E6A" w14:textId="286BFB42" w:rsidR="00744385" w:rsidRDefault="00C1740A" w:rsidP="00CB27A1">
      <w:pPr>
        <w:pStyle w:val="ListParagraph"/>
        <w:numPr>
          <w:ilvl w:val="0"/>
          <w:numId w:val="6"/>
        </w:numPr>
        <w:spacing w:after="120" w:line="276" w:lineRule="auto"/>
        <w:contextualSpacing w:val="0"/>
        <w:jc w:val="both"/>
        <w:rPr>
          <w:rFonts w:asciiTheme="minorHAnsi" w:hAnsiTheme="minorHAnsi"/>
          <w:color w:val="000000" w:themeColor="text1"/>
        </w:rPr>
      </w:pPr>
      <w:r>
        <w:rPr>
          <w:rFonts w:asciiTheme="minorHAnsi" w:hAnsiTheme="minorHAnsi"/>
          <w:color w:val="000000" w:themeColor="text1"/>
        </w:rPr>
        <w:t xml:space="preserve">A macromedição </w:t>
      </w:r>
      <w:r w:rsidR="00261C59">
        <w:rPr>
          <w:rFonts w:asciiTheme="minorHAnsi" w:hAnsiTheme="minorHAnsi"/>
          <w:color w:val="000000" w:themeColor="text1"/>
        </w:rPr>
        <w:t>se constitui um dos insumos fundamentais para</w:t>
      </w:r>
      <w:r>
        <w:rPr>
          <w:rFonts w:asciiTheme="minorHAnsi" w:hAnsiTheme="minorHAnsi"/>
          <w:color w:val="000000" w:themeColor="text1"/>
        </w:rPr>
        <w:t xml:space="preserve"> </w:t>
      </w:r>
      <w:r w:rsidR="00EE3073">
        <w:rPr>
          <w:rFonts w:asciiTheme="minorHAnsi" w:hAnsiTheme="minorHAnsi"/>
          <w:color w:val="000000" w:themeColor="text1"/>
        </w:rPr>
        <w:t xml:space="preserve">o controle operacional e a </w:t>
      </w:r>
      <w:r w:rsidR="00261C59">
        <w:rPr>
          <w:rFonts w:asciiTheme="minorHAnsi" w:hAnsiTheme="minorHAnsi"/>
          <w:color w:val="000000" w:themeColor="text1"/>
        </w:rPr>
        <w:t xml:space="preserve">determinação das perdas </w:t>
      </w:r>
      <w:r>
        <w:rPr>
          <w:rFonts w:asciiTheme="minorHAnsi" w:hAnsiTheme="minorHAnsi"/>
          <w:color w:val="000000" w:themeColor="text1"/>
        </w:rPr>
        <w:t xml:space="preserve">de água em um sistema de abastecimento; nesse contexto, de uma forma geral, em todos os prestadores </w:t>
      </w:r>
      <w:r w:rsidR="00F20367">
        <w:rPr>
          <w:rFonts w:asciiTheme="minorHAnsi" w:hAnsiTheme="minorHAnsi"/>
          <w:color w:val="000000" w:themeColor="text1"/>
        </w:rPr>
        <w:t xml:space="preserve">de serviços e em todas as faixas de população, o </w:t>
      </w:r>
      <w:r w:rsidR="00261C59">
        <w:rPr>
          <w:rFonts w:asciiTheme="minorHAnsi" w:hAnsiTheme="minorHAnsi"/>
          <w:color w:val="000000" w:themeColor="text1"/>
        </w:rPr>
        <w:t>Í</w:t>
      </w:r>
      <w:r>
        <w:rPr>
          <w:rFonts w:asciiTheme="minorHAnsi" w:hAnsiTheme="minorHAnsi"/>
          <w:color w:val="000000" w:themeColor="text1"/>
        </w:rPr>
        <w:t xml:space="preserve">ndice </w:t>
      </w:r>
      <w:r w:rsidR="00261C59">
        <w:rPr>
          <w:rFonts w:asciiTheme="minorHAnsi" w:hAnsiTheme="minorHAnsi"/>
          <w:color w:val="000000" w:themeColor="text1"/>
        </w:rPr>
        <w:t>M</w:t>
      </w:r>
      <w:r w:rsidR="00F20367">
        <w:rPr>
          <w:rFonts w:asciiTheme="minorHAnsi" w:hAnsiTheme="minorHAnsi"/>
          <w:color w:val="000000" w:themeColor="text1"/>
        </w:rPr>
        <w:t xml:space="preserve">édio </w:t>
      </w:r>
      <w:r>
        <w:rPr>
          <w:rFonts w:asciiTheme="minorHAnsi" w:hAnsiTheme="minorHAnsi"/>
          <w:color w:val="000000" w:themeColor="text1"/>
        </w:rPr>
        <w:t>de Macromedi</w:t>
      </w:r>
      <w:r w:rsidR="00F20367">
        <w:rPr>
          <w:rFonts w:asciiTheme="minorHAnsi" w:hAnsiTheme="minorHAnsi"/>
          <w:color w:val="000000" w:themeColor="text1"/>
        </w:rPr>
        <w:t>ção é superior a 50%; vale destacar</w:t>
      </w:r>
      <w:r w:rsidR="00261C59">
        <w:rPr>
          <w:rFonts w:asciiTheme="minorHAnsi" w:hAnsiTheme="minorHAnsi"/>
          <w:color w:val="000000" w:themeColor="text1"/>
        </w:rPr>
        <w:t>,</w:t>
      </w:r>
      <w:r w:rsidR="00F20367">
        <w:rPr>
          <w:rFonts w:asciiTheme="minorHAnsi" w:hAnsiTheme="minorHAnsi"/>
          <w:color w:val="000000" w:themeColor="text1"/>
        </w:rPr>
        <w:t xml:space="preserve"> que o índice mais baixo </w:t>
      </w:r>
      <w:r w:rsidR="00276F44">
        <w:rPr>
          <w:rFonts w:asciiTheme="minorHAnsi" w:hAnsiTheme="minorHAnsi"/>
          <w:color w:val="000000" w:themeColor="text1"/>
        </w:rPr>
        <w:t xml:space="preserve">de macromedição </w:t>
      </w:r>
      <w:r w:rsidR="00F20367">
        <w:rPr>
          <w:rFonts w:asciiTheme="minorHAnsi" w:hAnsiTheme="minorHAnsi"/>
          <w:color w:val="000000" w:themeColor="text1"/>
        </w:rPr>
        <w:t>(32%) se refere aos prestadores de direito público</w:t>
      </w:r>
      <w:r w:rsidR="00276F44">
        <w:rPr>
          <w:rFonts w:asciiTheme="minorHAnsi" w:hAnsiTheme="minorHAnsi"/>
          <w:color w:val="000000" w:themeColor="text1"/>
        </w:rPr>
        <w:t>,</w:t>
      </w:r>
      <w:r w:rsidR="00F20367">
        <w:rPr>
          <w:rFonts w:asciiTheme="minorHAnsi" w:hAnsiTheme="minorHAnsi"/>
          <w:color w:val="000000" w:themeColor="text1"/>
        </w:rPr>
        <w:t xml:space="preserve"> em cidades até 50.000 habitantes</w:t>
      </w:r>
      <w:r w:rsidR="00276F44">
        <w:rPr>
          <w:rFonts w:asciiTheme="minorHAnsi" w:hAnsiTheme="minorHAnsi"/>
          <w:color w:val="000000" w:themeColor="text1"/>
        </w:rPr>
        <w:t>,</w:t>
      </w:r>
      <w:r w:rsidR="00F20367">
        <w:rPr>
          <w:rFonts w:asciiTheme="minorHAnsi" w:hAnsiTheme="minorHAnsi"/>
          <w:color w:val="000000" w:themeColor="text1"/>
        </w:rPr>
        <w:t xml:space="preserve"> e o</w:t>
      </w:r>
      <w:r w:rsidR="0011703E">
        <w:rPr>
          <w:rFonts w:asciiTheme="minorHAnsi" w:hAnsiTheme="minorHAnsi"/>
          <w:color w:val="000000" w:themeColor="text1"/>
        </w:rPr>
        <w:t xml:space="preserve">s </w:t>
      </w:r>
      <w:r w:rsidR="00276F44">
        <w:rPr>
          <w:rFonts w:asciiTheme="minorHAnsi" w:hAnsiTheme="minorHAnsi"/>
          <w:color w:val="000000" w:themeColor="text1"/>
        </w:rPr>
        <w:t xml:space="preserve">índices </w:t>
      </w:r>
      <w:r w:rsidR="0011703E">
        <w:rPr>
          <w:rFonts w:asciiTheme="minorHAnsi" w:hAnsiTheme="minorHAnsi"/>
          <w:color w:val="000000" w:themeColor="text1"/>
        </w:rPr>
        <w:t>mais elevados</w:t>
      </w:r>
      <w:r w:rsidR="00261C59">
        <w:rPr>
          <w:rFonts w:asciiTheme="minorHAnsi" w:hAnsiTheme="minorHAnsi"/>
          <w:color w:val="000000" w:themeColor="text1"/>
        </w:rPr>
        <w:t>,</w:t>
      </w:r>
      <w:r w:rsidR="0011703E">
        <w:rPr>
          <w:rFonts w:asciiTheme="minorHAnsi" w:hAnsiTheme="minorHAnsi"/>
          <w:color w:val="000000" w:themeColor="text1"/>
        </w:rPr>
        <w:t xml:space="preserve"> </w:t>
      </w:r>
      <w:r w:rsidR="00276F44">
        <w:rPr>
          <w:rFonts w:asciiTheme="minorHAnsi" w:hAnsiTheme="minorHAnsi"/>
          <w:color w:val="000000" w:themeColor="text1"/>
        </w:rPr>
        <w:t>são d</w:t>
      </w:r>
      <w:r w:rsidR="0011703E">
        <w:rPr>
          <w:rFonts w:asciiTheme="minorHAnsi" w:hAnsiTheme="minorHAnsi"/>
          <w:color w:val="000000" w:themeColor="text1"/>
        </w:rPr>
        <w:t>o</w:t>
      </w:r>
      <w:r w:rsidR="00276F44">
        <w:rPr>
          <w:rFonts w:asciiTheme="minorHAnsi" w:hAnsiTheme="minorHAnsi"/>
          <w:color w:val="000000" w:themeColor="text1"/>
        </w:rPr>
        <w:t>s</w:t>
      </w:r>
      <w:r w:rsidR="0011703E">
        <w:rPr>
          <w:rFonts w:asciiTheme="minorHAnsi" w:hAnsiTheme="minorHAnsi"/>
          <w:color w:val="000000" w:themeColor="text1"/>
        </w:rPr>
        <w:t xml:space="preserve"> prestadores privados (média geral de 82%) e dos prestadores </w:t>
      </w:r>
      <w:r w:rsidR="00F20367">
        <w:rPr>
          <w:rFonts w:asciiTheme="minorHAnsi" w:hAnsiTheme="minorHAnsi"/>
          <w:color w:val="000000" w:themeColor="text1"/>
        </w:rPr>
        <w:t xml:space="preserve"> </w:t>
      </w:r>
      <w:r w:rsidR="00EE3073">
        <w:rPr>
          <w:rFonts w:asciiTheme="minorHAnsi" w:hAnsiTheme="minorHAnsi"/>
          <w:color w:val="000000" w:themeColor="text1"/>
        </w:rPr>
        <w:t>microrregionais (média geral de 74,33);</w:t>
      </w:r>
    </w:p>
    <w:p w14:paraId="361AF21C" w14:textId="2E5523DD" w:rsidR="00744385" w:rsidRDefault="00EE3073" w:rsidP="00CB27A1">
      <w:pPr>
        <w:pStyle w:val="ListParagraph"/>
        <w:numPr>
          <w:ilvl w:val="0"/>
          <w:numId w:val="6"/>
        </w:numPr>
        <w:spacing w:after="120" w:line="276" w:lineRule="auto"/>
        <w:contextualSpacing w:val="0"/>
        <w:jc w:val="both"/>
        <w:rPr>
          <w:rFonts w:asciiTheme="minorHAnsi" w:hAnsiTheme="minorHAnsi"/>
          <w:color w:val="000000" w:themeColor="text1"/>
        </w:rPr>
      </w:pPr>
      <w:r w:rsidRPr="00261C59">
        <w:rPr>
          <w:rFonts w:asciiTheme="minorHAnsi" w:hAnsiTheme="minorHAnsi"/>
          <w:color w:val="000000" w:themeColor="text1"/>
        </w:rPr>
        <w:t>Assim como a macromedição, a micromedição é outra ferramenta importante na operação de um sistema de abastecimento de água na medida em que</w:t>
      </w:r>
      <w:r w:rsidR="00261C59" w:rsidRPr="00261C59">
        <w:rPr>
          <w:rFonts w:asciiTheme="minorHAnsi" w:hAnsiTheme="minorHAnsi"/>
          <w:color w:val="000000" w:themeColor="text1"/>
        </w:rPr>
        <w:t>,</w:t>
      </w:r>
      <w:r w:rsidRPr="00261C59">
        <w:rPr>
          <w:rFonts w:asciiTheme="minorHAnsi" w:hAnsiTheme="minorHAnsi"/>
          <w:color w:val="000000" w:themeColor="text1"/>
        </w:rPr>
        <w:t xml:space="preserve"> além de balizar </w:t>
      </w:r>
      <w:r w:rsidR="00261C59" w:rsidRPr="00261C59">
        <w:rPr>
          <w:rFonts w:asciiTheme="minorHAnsi" w:hAnsiTheme="minorHAnsi"/>
          <w:color w:val="000000" w:themeColor="text1"/>
        </w:rPr>
        <w:t xml:space="preserve">as ações de combate e controle de perdas de água,  são indispensáveis para um processo de faturamento eficiente dos volumes consumidos; </w:t>
      </w:r>
      <w:r w:rsidR="00261C59">
        <w:rPr>
          <w:rFonts w:asciiTheme="minorHAnsi" w:hAnsiTheme="minorHAnsi"/>
          <w:color w:val="000000" w:themeColor="text1"/>
        </w:rPr>
        <w:t>os dados apresentados demonstram a sensibilidade dos prestadores com a questão da micromedição, uma vez que os dados</w:t>
      </w:r>
      <w:r w:rsidR="00BF2535">
        <w:rPr>
          <w:rFonts w:asciiTheme="minorHAnsi" w:hAnsiTheme="minorHAnsi"/>
          <w:color w:val="000000" w:themeColor="text1"/>
        </w:rPr>
        <w:t xml:space="preserve"> médios de </w:t>
      </w:r>
      <w:proofErr w:type="spellStart"/>
      <w:r w:rsidR="00BF2535">
        <w:rPr>
          <w:rFonts w:asciiTheme="minorHAnsi" w:hAnsiTheme="minorHAnsi"/>
          <w:color w:val="000000" w:themeColor="text1"/>
        </w:rPr>
        <w:t>hidrometração</w:t>
      </w:r>
      <w:proofErr w:type="spellEnd"/>
      <w:r w:rsidR="00BF2535">
        <w:rPr>
          <w:rFonts w:asciiTheme="minorHAnsi" w:hAnsiTheme="minorHAnsi"/>
          <w:color w:val="000000" w:themeColor="text1"/>
        </w:rPr>
        <w:t>,</w:t>
      </w:r>
      <w:r w:rsidR="00261C59">
        <w:rPr>
          <w:rFonts w:asciiTheme="minorHAnsi" w:hAnsiTheme="minorHAnsi"/>
          <w:color w:val="000000" w:themeColor="text1"/>
        </w:rPr>
        <w:t xml:space="preserve"> em todas as faixas de população, são da ordem de 88%, sendo que para municípios com população na faixa de 200 mil a 500 mil</w:t>
      </w:r>
      <w:r w:rsidR="00E36FCC">
        <w:rPr>
          <w:rFonts w:asciiTheme="minorHAnsi" w:hAnsiTheme="minorHAnsi"/>
          <w:color w:val="000000" w:themeColor="text1"/>
        </w:rPr>
        <w:t>,</w:t>
      </w:r>
      <w:r w:rsidR="00261C59">
        <w:rPr>
          <w:rFonts w:asciiTheme="minorHAnsi" w:hAnsiTheme="minorHAnsi"/>
          <w:color w:val="000000" w:themeColor="text1"/>
        </w:rPr>
        <w:t xml:space="preserve"> </w:t>
      </w:r>
      <w:r w:rsidR="00BF2535">
        <w:rPr>
          <w:rFonts w:asciiTheme="minorHAnsi" w:hAnsiTheme="minorHAnsi"/>
          <w:color w:val="000000" w:themeColor="text1"/>
        </w:rPr>
        <w:t>o índice é de 91,87%;</w:t>
      </w:r>
    </w:p>
    <w:p w14:paraId="4811F27B" w14:textId="234D5271" w:rsidR="00BF2535" w:rsidRDefault="00BF2535" w:rsidP="00CB27A1">
      <w:pPr>
        <w:pStyle w:val="ListParagraph"/>
        <w:numPr>
          <w:ilvl w:val="0"/>
          <w:numId w:val="6"/>
        </w:numPr>
        <w:spacing w:after="120" w:line="276" w:lineRule="auto"/>
        <w:contextualSpacing w:val="0"/>
        <w:jc w:val="both"/>
        <w:rPr>
          <w:rFonts w:asciiTheme="minorHAnsi" w:hAnsiTheme="minorHAnsi"/>
          <w:color w:val="000000" w:themeColor="text1"/>
        </w:rPr>
      </w:pPr>
      <w:r>
        <w:rPr>
          <w:rFonts w:asciiTheme="minorHAnsi" w:hAnsiTheme="minorHAnsi"/>
          <w:color w:val="000000" w:themeColor="text1"/>
        </w:rPr>
        <w:t xml:space="preserve">A constatação de índices médios de </w:t>
      </w:r>
      <w:proofErr w:type="spellStart"/>
      <w:r>
        <w:rPr>
          <w:rFonts w:asciiTheme="minorHAnsi" w:hAnsiTheme="minorHAnsi"/>
          <w:color w:val="000000" w:themeColor="text1"/>
        </w:rPr>
        <w:t>hidrometração</w:t>
      </w:r>
      <w:proofErr w:type="spellEnd"/>
      <w:r>
        <w:rPr>
          <w:rFonts w:asciiTheme="minorHAnsi" w:hAnsiTheme="minorHAnsi"/>
          <w:color w:val="000000" w:themeColor="text1"/>
        </w:rPr>
        <w:t xml:space="preserve"> elevados em todas as faixas de população consideradas</w:t>
      </w:r>
      <w:r w:rsidR="00E36FCC">
        <w:rPr>
          <w:rFonts w:asciiTheme="minorHAnsi" w:hAnsiTheme="minorHAnsi"/>
          <w:color w:val="000000" w:themeColor="text1"/>
        </w:rPr>
        <w:t>,</w:t>
      </w:r>
      <w:r>
        <w:rPr>
          <w:rFonts w:asciiTheme="minorHAnsi" w:hAnsiTheme="minorHAnsi"/>
          <w:color w:val="000000" w:themeColor="text1"/>
        </w:rPr>
        <w:t xml:space="preserve"> inibem os consumos perdulários em ligações medidas e  desperdícios</w:t>
      </w:r>
      <w:r w:rsidR="00E36FCC">
        <w:rPr>
          <w:rFonts w:asciiTheme="minorHAnsi" w:hAnsiTheme="minorHAnsi"/>
          <w:color w:val="000000" w:themeColor="text1"/>
        </w:rPr>
        <w:t>,</w:t>
      </w:r>
      <w:r>
        <w:rPr>
          <w:rFonts w:asciiTheme="minorHAnsi" w:hAnsiTheme="minorHAnsi"/>
          <w:color w:val="000000" w:themeColor="text1"/>
        </w:rPr>
        <w:t xml:space="preserve">  em ligações sem medição;</w:t>
      </w:r>
    </w:p>
    <w:p w14:paraId="2577CDFF" w14:textId="42580E68" w:rsidR="00BF2535" w:rsidRDefault="00BF2535" w:rsidP="00CB27A1">
      <w:pPr>
        <w:pStyle w:val="ListParagraph"/>
        <w:numPr>
          <w:ilvl w:val="0"/>
          <w:numId w:val="6"/>
        </w:numPr>
        <w:spacing w:after="120" w:line="276" w:lineRule="auto"/>
        <w:contextualSpacing w:val="0"/>
        <w:jc w:val="both"/>
        <w:rPr>
          <w:rFonts w:asciiTheme="minorHAnsi" w:hAnsiTheme="minorHAnsi"/>
          <w:color w:val="000000" w:themeColor="text1"/>
        </w:rPr>
      </w:pPr>
      <w:r>
        <w:rPr>
          <w:rFonts w:asciiTheme="minorHAnsi" w:hAnsiTheme="minorHAnsi"/>
          <w:color w:val="000000" w:themeColor="text1"/>
        </w:rPr>
        <w:t xml:space="preserve">Uma questão básica a ser considerada no contexto da micromedição, diz respeito à idade média dos hidrômetros instalados na rede, fator este responsável pela elevação da </w:t>
      </w:r>
      <w:proofErr w:type="spellStart"/>
      <w:r>
        <w:rPr>
          <w:rFonts w:asciiTheme="minorHAnsi" w:hAnsiTheme="minorHAnsi"/>
          <w:color w:val="000000" w:themeColor="text1"/>
        </w:rPr>
        <w:t>submedição</w:t>
      </w:r>
      <w:proofErr w:type="spellEnd"/>
      <w:r>
        <w:rPr>
          <w:rFonts w:asciiTheme="minorHAnsi" w:hAnsiTheme="minorHAnsi"/>
          <w:color w:val="000000" w:themeColor="text1"/>
        </w:rPr>
        <w:t xml:space="preserve"> dos consumos e, por consequência, da maior parte das perdas aparentes; </w:t>
      </w:r>
      <w:r w:rsidR="00F626BB">
        <w:rPr>
          <w:rFonts w:asciiTheme="minorHAnsi" w:hAnsiTheme="minorHAnsi"/>
          <w:color w:val="000000" w:themeColor="text1"/>
        </w:rPr>
        <w:t xml:space="preserve">embora os dados do SNIS não permitam qualquer inferência nesse sentido, a observação prática do setor de saneamento brasileiro demonstra que a idade média dos parques de </w:t>
      </w:r>
      <w:proofErr w:type="spellStart"/>
      <w:r w:rsidR="00F626BB">
        <w:rPr>
          <w:rFonts w:asciiTheme="minorHAnsi" w:hAnsiTheme="minorHAnsi"/>
          <w:color w:val="000000" w:themeColor="text1"/>
        </w:rPr>
        <w:t>hidrometração</w:t>
      </w:r>
      <w:proofErr w:type="spellEnd"/>
      <w:r w:rsidR="00F626BB">
        <w:rPr>
          <w:rFonts w:asciiTheme="minorHAnsi" w:hAnsiTheme="minorHAnsi"/>
          <w:color w:val="000000" w:themeColor="text1"/>
        </w:rPr>
        <w:t xml:space="preserve"> da maioria dos prestadores de serviços </w:t>
      </w:r>
      <w:r w:rsidR="00E36FCC">
        <w:rPr>
          <w:rFonts w:asciiTheme="minorHAnsi" w:hAnsiTheme="minorHAnsi"/>
          <w:color w:val="000000" w:themeColor="text1"/>
        </w:rPr>
        <w:t>é bastante</w:t>
      </w:r>
      <w:r w:rsidR="00F626BB">
        <w:rPr>
          <w:rFonts w:asciiTheme="minorHAnsi" w:hAnsiTheme="minorHAnsi"/>
          <w:color w:val="000000" w:themeColor="text1"/>
        </w:rPr>
        <w:t xml:space="preserve"> elevada, bem superior aos 5 anos (média recomendada por fabricantes e operadores, baseada em testes de performance de hidrômetros trabalhando medições em diversas faixas de vazão); essa situação de contorno, faz com que as perdas aparentes se situe em torno de 40% das perdas totais; </w:t>
      </w:r>
    </w:p>
    <w:p w14:paraId="4A9A27D8" w14:textId="472D9654" w:rsidR="00F626BB" w:rsidRDefault="00F626BB" w:rsidP="00CB27A1">
      <w:pPr>
        <w:pStyle w:val="ListParagraph"/>
        <w:numPr>
          <w:ilvl w:val="0"/>
          <w:numId w:val="6"/>
        </w:numPr>
        <w:spacing w:after="120" w:line="276" w:lineRule="auto"/>
        <w:contextualSpacing w:val="0"/>
        <w:jc w:val="both"/>
        <w:rPr>
          <w:rFonts w:asciiTheme="minorHAnsi" w:hAnsiTheme="minorHAnsi"/>
          <w:color w:val="000000" w:themeColor="text1"/>
        </w:rPr>
      </w:pPr>
      <w:r>
        <w:rPr>
          <w:rFonts w:asciiTheme="minorHAnsi" w:hAnsiTheme="minorHAnsi"/>
          <w:color w:val="000000" w:themeColor="text1"/>
        </w:rPr>
        <w:t xml:space="preserve">Ainda com </w:t>
      </w:r>
      <w:r w:rsidR="00F477F4">
        <w:rPr>
          <w:rFonts w:asciiTheme="minorHAnsi" w:hAnsiTheme="minorHAnsi"/>
          <w:color w:val="000000" w:themeColor="text1"/>
        </w:rPr>
        <w:t xml:space="preserve">base </w:t>
      </w:r>
      <w:r>
        <w:rPr>
          <w:rFonts w:asciiTheme="minorHAnsi" w:hAnsiTheme="minorHAnsi"/>
          <w:color w:val="000000" w:themeColor="text1"/>
        </w:rPr>
        <w:t>na observação prática do setor de saneamento, as perdas aparentes são menores em prestadores privados e empresas de saneamento de maior porte, onde a qualidade da medição é fundamental para subsidiar processos de faturamento eficientes</w:t>
      </w:r>
      <w:r w:rsidR="00F477F4">
        <w:rPr>
          <w:rFonts w:asciiTheme="minorHAnsi" w:hAnsiTheme="minorHAnsi"/>
          <w:color w:val="000000" w:themeColor="text1"/>
        </w:rPr>
        <w:t xml:space="preserve">; nesses casos, a precisão da apuração do consumo é realizada com muito rigor, com medidores utilizados dentro da </w:t>
      </w:r>
      <w:r w:rsidR="00E36FCC">
        <w:rPr>
          <w:rFonts w:asciiTheme="minorHAnsi" w:hAnsiTheme="minorHAnsi"/>
          <w:color w:val="000000" w:themeColor="text1"/>
        </w:rPr>
        <w:t xml:space="preserve">faixa de </w:t>
      </w:r>
      <w:r w:rsidR="00F477F4">
        <w:rPr>
          <w:rFonts w:asciiTheme="minorHAnsi" w:hAnsiTheme="minorHAnsi"/>
          <w:color w:val="000000" w:themeColor="text1"/>
        </w:rPr>
        <w:t>idade média recomendada e dimensionados adequadamente ao perfil de consumo dos clientes;</w:t>
      </w:r>
    </w:p>
    <w:p w14:paraId="5FE7BB26" w14:textId="30301755" w:rsidR="00F477F4" w:rsidRDefault="00F477F4" w:rsidP="00CB27A1">
      <w:pPr>
        <w:pStyle w:val="ListParagraph"/>
        <w:numPr>
          <w:ilvl w:val="0"/>
          <w:numId w:val="6"/>
        </w:numPr>
        <w:spacing w:after="120" w:line="276" w:lineRule="auto"/>
        <w:contextualSpacing w:val="0"/>
        <w:jc w:val="both"/>
        <w:rPr>
          <w:rFonts w:asciiTheme="minorHAnsi" w:hAnsiTheme="minorHAnsi"/>
          <w:color w:val="000000" w:themeColor="text1"/>
        </w:rPr>
      </w:pPr>
      <w:r>
        <w:rPr>
          <w:rFonts w:asciiTheme="minorHAnsi" w:hAnsiTheme="minorHAnsi"/>
          <w:color w:val="000000" w:themeColor="text1"/>
        </w:rPr>
        <w:t xml:space="preserve">Quanto à Perda de Faturamento, verifica-se que os dados apresentados são </w:t>
      </w:r>
      <w:r w:rsidR="0019355D">
        <w:rPr>
          <w:rFonts w:asciiTheme="minorHAnsi" w:hAnsiTheme="minorHAnsi"/>
          <w:color w:val="000000" w:themeColor="text1"/>
        </w:rPr>
        <w:t xml:space="preserve">bem </w:t>
      </w:r>
      <w:r>
        <w:rPr>
          <w:rFonts w:asciiTheme="minorHAnsi" w:hAnsiTheme="minorHAnsi"/>
          <w:color w:val="000000" w:themeColor="text1"/>
        </w:rPr>
        <w:t>menores que os da perda física de água, devido principalmente às estruturas tarifárias d</w:t>
      </w:r>
      <w:r w:rsidR="00E36FCC">
        <w:rPr>
          <w:rFonts w:asciiTheme="minorHAnsi" w:hAnsiTheme="minorHAnsi"/>
          <w:color w:val="000000" w:themeColor="text1"/>
        </w:rPr>
        <w:t>os prestadores  que, na maioria dos casos,</w:t>
      </w:r>
      <w:r>
        <w:rPr>
          <w:rFonts w:asciiTheme="minorHAnsi" w:hAnsiTheme="minorHAnsi"/>
          <w:color w:val="000000" w:themeColor="text1"/>
        </w:rPr>
        <w:t xml:space="preserve"> praticam a cobrança do consumo mínimo; mais uma vez</w:t>
      </w:r>
      <w:r w:rsidR="0019355D">
        <w:rPr>
          <w:rFonts w:asciiTheme="minorHAnsi" w:hAnsiTheme="minorHAnsi"/>
          <w:color w:val="000000" w:themeColor="text1"/>
        </w:rPr>
        <w:t>,</w:t>
      </w:r>
      <w:r>
        <w:rPr>
          <w:rFonts w:asciiTheme="minorHAnsi" w:hAnsiTheme="minorHAnsi"/>
          <w:color w:val="000000" w:themeColor="text1"/>
        </w:rPr>
        <w:t xml:space="preserve"> constata-se que os prestadores microrregionais apresen</w:t>
      </w:r>
      <w:r w:rsidR="0019355D">
        <w:rPr>
          <w:rFonts w:asciiTheme="minorHAnsi" w:hAnsiTheme="minorHAnsi"/>
          <w:color w:val="000000" w:themeColor="text1"/>
        </w:rPr>
        <w:t xml:space="preserve">tam os menores índices apurados (média geral de </w:t>
      </w:r>
      <w:r w:rsidR="00DA5854">
        <w:rPr>
          <w:rFonts w:asciiTheme="minorHAnsi" w:hAnsiTheme="minorHAnsi"/>
          <w:color w:val="000000" w:themeColor="text1"/>
        </w:rPr>
        <w:t>18,52%);</w:t>
      </w:r>
      <w:r>
        <w:rPr>
          <w:rFonts w:asciiTheme="minorHAnsi" w:hAnsiTheme="minorHAnsi"/>
          <w:color w:val="000000" w:themeColor="text1"/>
        </w:rPr>
        <w:t xml:space="preserve"> </w:t>
      </w:r>
      <w:r w:rsidR="00DA5854">
        <w:rPr>
          <w:rFonts w:asciiTheme="minorHAnsi" w:hAnsiTheme="minorHAnsi"/>
          <w:color w:val="000000" w:themeColor="text1"/>
        </w:rPr>
        <w:t>e</w:t>
      </w:r>
    </w:p>
    <w:p w14:paraId="69D0A23C" w14:textId="5F5A8CB6" w:rsidR="00DA5854" w:rsidRPr="00BF2535" w:rsidRDefault="00DA5854" w:rsidP="00CB27A1">
      <w:pPr>
        <w:pStyle w:val="ListParagraph"/>
        <w:numPr>
          <w:ilvl w:val="0"/>
          <w:numId w:val="6"/>
        </w:numPr>
        <w:spacing w:after="120" w:line="276" w:lineRule="auto"/>
        <w:contextualSpacing w:val="0"/>
        <w:jc w:val="both"/>
        <w:rPr>
          <w:rFonts w:asciiTheme="minorHAnsi" w:hAnsiTheme="minorHAnsi"/>
          <w:color w:val="000000" w:themeColor="text1"/>
        </w:rPr>
      </w:pPr>
      <w:r>
        <w:rPr>
          <w:rFonts w:asciiTheme="minorHAnsi" w:hAnsiTheme="minorHAnsi"/>
          <w:color w:val="000000" w:themeColor="text1"/>
        </w:rPr>
        <w:t xml:space="preserve">Ratificando a afirmação anterior, </w:t>
      </w:r>
      <w:r w:rsidR="00316824">
        <w:rPr>
          <w:rFonts w:asciiTheme="minorHAnsi" w:hAnsiTheme="minorHAnsi"/>
          <w:color w:val="000000" w:themeColor="text1"/>
        </w:rPr>
        <w:t>considerados todos os prestadores e todas as faixas de população, os dados médios da perdas físicas e de faturamento, são da ordem de 39,15% e 31,55, respectivamente.</w:t>
      </w:r>
    </w:p>
    <w:p w14:paraId="16F7CFF3" w14:textId="1B6E7208" w:rsidR="00316824" w:rsidRDefault="00316824">
      <w:pPr>
        <w:widowControl/>
        <w:spacing w:after="200" w:line="276" w:lineRule="auto"/>
        <w:ind w:firstLine="0"/>
        <w:jc w:val="left"/>
        <w:rPr>
          <w:rFonts w:asciiTheme="minorHAnsi" w:hAnsiTheme="minorHAnsi"/>
          <w:color w:val="000000" w:themeColor="text1"/>
        </w:rPr>
      </w:pPr>
      <w:r>
        <w:rPr>
          <w:rFonts w:asciiTheme="minorHAnsi" w:hAnsiTheme="minorHAnsi"/>
          <w:color w:val="000000" w:themeColor="text1"/>
        </w:rPr>
        <w:br w:type="page"/>
      </w:r>
    </w:p>
    <w:p w14:paraId="26047989" w14:textId="0056A514" w:rsidR="00316824" w:rsidRDefault="00316824" w:rsidP="00545D61">
      <w:pPr>
        <w:widowControl/>
        <w:spacing w:after="200" w:line="276" w:lineRule="auto"/>
        <w:ind w:firstLine="0"/>
        <w:jc w:val="both"/>
        <w:rPr>
          <w:rFonts w:asciiTheme="minorHAnsi" w:hAnsiTheme="minorHAnsi" w:cs="Arial-BoldMT"/>
          <w:b/>
          <w:bCs/>
        </w:rPr>
      </w:pPr>
      <w:r>
        <w:rPr>
          <w:rFonts w:asciiTheme="minorHAnsi" w:hAnsiTheme="minorHAnsi" w:cs="Arial-BoldMT"/>
          <w:b/>
          <w:bCs/>
        </w:rPr>
        <w:t xml:space="preserve">3.  DIAGNÓSTICO DAS CAPACIDADES INSTITUCIONAIS DOS PRESTADORES DE SERVIÇOS </w:t>
      </w:r>
    </w:p>
    <w:p w14:paraId="1DB1F1B6" w14:textId="572473E4" w:rsidR="0089744B" w:rsidRDefault="00AC16CD" w:rsidP="00545D61">
      <w:pPr>
        <w:widowControl/>
        <w:spacing w:after="200" w:line="276" w:lineRule="auto"/>
        <w:ind w:firstLine="0"/>
        <w:jc w:val="both"/>
        <w:rPr>
          <w:rFonts w:asciiTheme="minorHAnsi" w:hAnsiTheme="minorHAnsi" w:cs="Arial-BoldMT"/>
          <w:b/>
          <w:bCs/>
        </w:rPr>
      </w:pPr>
      <w:r>
        <w:rPr>
          <w:rFonts w:asciiTheme="minorHAnsi" w:hAnsiTheme="minorHAnsi" w:cs="Arial-BoldMT"/>
          <w:b/>
          <w:bCs/>
        </w:rPr>
        <w:t xml:space="preserve">3.1 </w:t>
      </w:r>
      <w:r w:rsidR="0089744B">
        <w:rPr>
          <w:rFonts w:asciiTheme="minorHAnsi" w:hAnsiTheme="minorHAnsi" w:cs="Arial-BoldMT"/>
          <w:b/>
          <w:bCs/>
        </w:rPr>
        <w:t xml:space="preserve"> </w:t>
      </w:r>
      <w:r>
        <w:rPr>
          <w:rFonts w:asciiTheme="minorHAnsi" w:hAnsiTheme="minorHAnsi" w:cs="Arial-BoldMT"/>
          <w:b/>
          <w:bCs/>
        </w:rPr>
        <w:t xml:space="preserve">  </w:t>
      </w:r>
      <w:r w:rsidR="0089744B">
        <w:rPr>
          <w:rFonts w:asciiTheme="minorHAnsi" w:hAnsiTheme="minorHAnsi" w:cs="Arial-BoldMT"/>
          <w:b/>
          <w:bCs/>
        </w:rPr>
        <w:t>Prestadores de Serviços segundo a Natureza Jurídica</w:t>
      </w:r>
    </w:p>
    <w:p w14:paraId="54680E58" w14:textId="77777777" w:rsidR="00545D61" w:rsidRDefault="00545D61" w:rsidP="00545D61">
      <w:pPr>
        <w:widowControl/>
        <w:spacing w:after="200" w:line="276" w:lineRule="auto"/>
        <w:ind w:firstLine="0"/>
        <w:jc w:val="both"/>
        <w:rPr>
          <w:rFonts w:asciiTheme="minorHAnsi" w:hAnsiTheme="minorHAnsi"/>
          <w:color w:val="000000" w:themeColor="text1"/>
        </w:rPr>
      </w:pPr>
      <w:r>
        <w:rPr>
          <w:rFonts w:asciiTheme="minorHAnsi" w:hAnsiTheme="minorHAnsi" w:cs="Arial-BoldMT"/>
          <w:bCs/>
        </w:rPr>
        <w:t xml:space="preserve">Conforme apresentado no Quadro 1, a presente avaliação considera informações do </w:t>
      </w:r>
      <w:r>
        <w:rPr>
          <w:rFonts w:asciiTheme="minorHAnsi" w:hAnsiTheme="minorHAnsi"/>
          <w:color w:val="000000" w:themeColor="text1"/>
        </w:rPr>
        <w:t xml:space="preserve">Sistema Nacional de Informações sobre o Saneamento (SNIS) – Diagnóstico dos Serviços de Água e Esgotos - Ano 2016, referentes a 1.440 municípios. </w:t>
      </w:r>
    </w:p>
    <w:p w14:paraId="1707B26E" w14:textId="52FD9CF7" w:rsidR="00316824" w:rsidRPr="00545D61" w:rsidRDefault="00545D61" w:rsidP="00545D61">
      <w:pPr>
        <w:widowControl/>
        <w:spacing w:after="200" w:line="276" w:lineRule="auto"/>
        <w:ind w:firstLine="0"/>
        <w:jc w:val="both"/>
        <w:rPr>
          <w:rFonts w:asciiTheme="minorHAnsi" w:hAnsiTheme="minorHAnsi" w:cs="Arial-BoldMT"/>
          <w:bCs/>
        </w:rPr>
      </w:pPr>
      <w:r>
        <w:rPr>
          <w:rFonts w:asciiTheme="minorHAnsi" w:hAnsiTheme="minorHAnsi"/>
          <w:color w:val="000000" w:themeColor="text1"/>
        </w:rPr>
        <w:t>Estas informações, parametrizadas conforme a faixa de população dos municípios, considera diversos tipos de prestadores de serviços, cuja natureza jurídica é explicitada no Quadro 5, a seguir.</w:t>
      </w:r>
    </w:p>
    <w:p w14:paraId="771970AC" w14:textId="69724E86" w:rsidR="00744385" w:rsidRDefault="006A5A9D" w:rsidP="009A56CE">
      <w:pPr>
        <w:pStyle w:val="ListParagraph"/>
        <w:spacing w:after="120" w:line="276" w:lineRule="auto"/>
        <w:ind w:left="714" w:hanging="572"/>
        <w:contextualSpacing w:val="0"/>
        <w:jc w:val="both"/>
        <w:rPr>
          <w:rFonts w:asciiTheme="minorHAnsi" w:hAnsiTheme="minorHAnsi"/>
          <w:color w:val="000000" w:themeColor="text1"/>
        </w:rPr>
      </w:pPr>
      <w:r>
        <w:rPr>
          <w:rFonts w:asciiTheme="minorHAnsi" w:hAnsiTheme="minorHAnsi"/>
          <w:noProof/>
          <w:color w:val="000000" w:themeColor="text1"/>
          <w:lang w:val="en-US" w:eastAsia="en-US"/>
        </w:rPr>
        <w:drawing>
          <wp:inline distT="0" distB="0" distL="0" distR="0" wp14:anchorId="1250C898" wp14:editId="3FF17971">
            <wp:extent cx="5400040" cy="6007545"/>
            <wp:effectExtent l="0" t="0" r="10160" b="1270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6007545"/>
                    </a:xfrm>
                    <a:prstGeom prst="rect">
                      <a:avLst/>
                    </a:prstGeom>
                    <a:noFill/>
                    <a:ln>
                      <a:noFill/>
                    </a:ln>
                  </pic:spPr>
                </pic:pic>
              </a:graphicData>
            </a:graphic>
          </wp:inline>
        </w:drawing>
      </w:r>
    </w:p>
    <w:p w14:paraId="358B1EC8" w14:textId="1CF084C5" w:rsidR="004C11CA" w:rsidRDefault="006A5A9D" w:rsidP="009A56CE">
      <w:pPr>
        <w:pStyle w:val="ListParagraph"/>
        <w:spacing w:after="120" w:line="276" w:lineRule="auto"/>
        <w:ind w:left="714" w:hanging="572"/>
        <w:contextualSpacing w:val="0"/>
        <w:jc w:val="both"/>
        <w:rPr>
          <w:rFonts w:asciiTheme="minorHAnsi" w:hAnsiTheme="minorHAnsi"/>
          <w:color w:val="000000" w:themeColor="text1"/>
        </w:rPr>
      </w:pPr>
      <w:r>
        <w:rPr>
          <w:rFonts w:asciiTheme="minorHAnsi" w:hAnsiTheme="minorHAnsi"/>
          <w:noProof/>
          <w:color w:val="000000" w:themeColor="text1"/>
          <w:lang w:val="en-US" w:eastAsia="en-US"/>
        </w:rPr>
        <w:drawing>
          <wp:inline distT="0" distB="0" distL="0" distR="0" wp14:anchorId="44FC5EB5" wp14:editId="590C4512">
            <wp:extent cx="5400040" cy="2610160"/>
            <wp:effectExtent l="0" t="0" r="10160" b="0"/>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610160"/>
                    </a:xfrm>
                    <a:prstGeom prst="rect">
                      <a:avLst/>
                    </a:prstGeom>
                    <a:noFill/>
                    <a:ln>
                      <a:noFill/>
                    </a:ln>
                  </pic:spPr>
                </pic:pic>
              </a:graphicData>
            </a:graphic>
          </wp:inline>
        </w:drawing>
      </w:r>
    </w:p>
    <w:p w14:paraId="3456BC74" w14:textId="2DCCC742" w:rsidR="009A56CE" w:rsidRPr="004C11CA" w:rsidRDefault="009A56CE" w:rsidP="00094381">
      <w:pPr>
        <w:pStyle w:val="ListParagraph"/>
        <w:spacing w:after="120" w:line="276" w:lineRule="auto"/>
        <w:ind w:left="714" w:hanging="572"/>
        <w:contextualSpacing w:val="0"/>
        <w:jc w:val="both"/>
        <w:rPr>
          <w:rFonts w:asciiTheme="minorHAnsi" w:hAnsiTheme="minorHAnsi"/>
          <w:color w:val="000000" w:themeColor="text1"/>
        </w:rPr>
      </w:pPr>
    </w:p>
    <w:p w14:paraId="44235BB3" w14:textId="1542AFA5" w:rsidR="00AC3988" w:rsidRDefault="006F38D4" w:rsidP="00AC3988">
      <w:pPr>
        <w:spacing w:after="120" w:line="276" w:lineRule="auto"/>
        <w:ind w:firstLine="0"/>
        <w:jc w:val="both"/>
        <w:rPr>
          <w:rFonts w:asciiTheme="minorHAnsi" w:hAnsiTheme="minorHAnsi"/>
          <w:color w:val="000000" w:themeColor="text1"/>
        </w:rPr>
      </w:pPr>
      <w:r>
        <w:rPr>
          <w:rFonts w:asciiTheme="minorHAnsi" w:hAnsiTheme="minorHAnsi"/>
          <w:color w:val="000000" w:themeColor="text1"/>
        </w:rPr>
        <w:t>Considerando a amostra retirada do SNIS 2016, o</w:t>
      </w:r>
      <w:r w:rsidR="00AC3988" w:rsidRPr="00AC3988">
        <w:rPr>
          <w:rFonts w:asciiTheme="minorHAnsi" w:hAnsiTheme="minorHAnsi"/>
          <w:color w:val="000000" w:themeColor="text1"/>
        </w:rPr>
        <w:t xml:space="preserve"> </w:t>
      </w:r>
      <w:r w:rsidR="0057259A">
        <w:rPr>
          <w:rFonts w:asciiTheme="minorHAnsi" w:hAnsiTheme="minorHAnsi"/>
          <w:color w:val="000000" w:themeColor="text1"/>
        </w:rPr>
        <w:t>Gráfico 1</w:t>
      </w:r>
      <w:r w:rsidR="00AC3988" w:rsidRPr="00AC3988">
        <w:rPr>
          <w:rFonts w:asciiTheme="minorHAnsi" w:hAnsiTheme="minorHAnsi"/>
          <w:color w:val="000000" w:themeColor="text1"/>
        </w:rPr>
        <w:t>, a seguir, resume as informações do quadro anterior, totalizando as naturezas jurídicas</w:t>
      </w:r>
      <w:r w:rsidR="00AC3988">
        <w:rPr>
          <w:rFonts w:asciiTheme="minorHAnsi" w:hAnsiTheme="minorHAnsi"/>
          <w:color w:val="000000" w:themeColor="text1"/>
        </w:rPr>
        <w:t>,</w:t>
      </w:r>
      <w:r w:rsidR="0057259A">
        <w:rPr>
          <w:rFonts w:asciiTheme="minorHAnsi" w:hAnsiTheme="minorHAnsi"/>
          <w:color w:val="000000" w:themeColor="text1"/>
        </w:rPr>
        <w:t xml:space="preserve"> por tipo de prestador, considerados no presente estudo.</w:t>
      </w:r>
    </w:p>
    <w:p w14:paraId="657D5E9B" w14:textId="77777777" w:rsidR="0057259A" w:rsidRDefault="0057259A" w:rsidP="00AC3988">
      <w:pPr>
        <w:spacing w:after="120" w:line="276" w:lineRule="auto"/>
        <w:ind w:firstLine="0"/>
        <w:jc w:val="both"/>
        <w:rPr>
          <w:rFonts w:asciiTheme="minorHAnsi" w:hAnsiTheme="minorHAnsi"/>
          <w:color w:val="000000" w:themeColor="text1"/>
        </w:rPr>
      </w:pPr>
    </w:p>
    <w:p w14:paraId="37F47F5D" w14:textId="3856DF82" w:rsidR="006F38D4" w:rsidRDefault="0057259A" w:rsidP="002D223B">
      <w:pPr>
        <w:spacing w:after="120" w:line="276" w:lineRule="auto"/>
        <w:ind w:firstLine="142"/>
        <w:jc w:val="both"/>
        <w:rPr>
          <w:rFonts w:asciiTheme="minorHAnsi" w:hAnsiTheme="minorHAnsi"/>
          <w:color w:val="000000" w:themeColor="text1"/>
        </w:rPr>
      </w:pPr>
      <w:r w:rsidRPr="0057259A">
        <w:rPr>
          <w:rFonts w:asciiTheme="minorHAnsi" w:hAnsiTheme="minorHAnsi"/>
          <w:noProof/>
          <w:color w:val="FFFFFF" w:themeColor="background1"/>
          <w:sz w:val="18"/>
          <w:szCs w:val="18"/>
          <w:lang w:val="en-US" w:eastAsia="en-US"/>
        </w:rPr>
        <w:drawing>
          <wp:inline distT="0" distB="0" distL="0" distR="0" wp14:anchorId="77C95DC2" wp14:editId="6E433692">
            <wp:extent cx="5400040" cy="3150235"/>
            <wp:effectExtent l="0" t="0" r="35560" b="2476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DA7B7D" w14:textId="4456285A" w:rsidR="006F38D4" w:rsidRDefault="006F38D4" w:rsidP="006F38D4">
      <w:pPr>
        <w:spacing w:after="120" w:line="276" w:lineRule="auto"/>
        <w:ind w:firstLine="993"/>
        <w:jc w:val="both"/>
        <w:rPr>
          <w:rFonts w:asciiTheme="minorHAnsi" w:hAnsiTheme="minorHAnsi"/>
          <w:color w:val="000000" w:themeColor="text1"/>
        </w:rPr>
      </w:pPr>
    </w:p>
    <w:p w14:paraId="067BC0C3" w14:textId="3FFBECEC" w:rsidR="006F38D4" w:rsidRDefault="006F38D4" w:rsidP="006F38D4">
      <w:pPr>
        <w:spacing w:after="120" w:line="276" w:lineRule="auto"/>
        <w:ind w:firstLine="0"/>
        <w:jc w:val="both"/>
        <w:rPr>
          <w:rFonts w:asciiTheme="minorHAnsi" w:hAnsiTheme="minorHAnsi"/>
          <w:color w:val="000000" w:themeColor="text1"/>
        </w:rPr>
      </w:pPr>
      <w:r>
        <w:rPr>
          <w:rFonts w:asciiTheme="minorHAnsi" w:hAnsiTheme="minorHAnsi"/>
          <w:color w:val="000000" w:themeColor="text1"/>
        </w:rPr>
        <w:t>Vale destacar, considerando as informações dos Quad</w:t>
      </w:r>
      <w:r w:rsidR="0057259A">
        <w:rPr>
          <w:rFonts w:asciiTheme="minorHAnsi" w:hAnsiTheme="minorHAnsi"/>
          <w:color w:val="000000" w:themeColor="text1"/>
        </w:rPr>
        <w:t>ros 5 e do Gráfico 1</w:t>
      </w:r>
      <w:r w:rsidR="006E2D91">
        <w:rPr>
          <w:rFonts w:asciiTheme="minorHAnsi" w:hAnsiTheme="minorHAnsi"/>
          <w:color w:val="000000" w:themeColor="text1"/>
        </w:rPr>
        <w:t>, o</w:t>
      </w:r>
      <w:r w:rsidR="00E36FCC">
        <w:rPr>
          <w:rFonts w:asciiTheme="minorHAnsi" w:hAnsiTheme="minorHAnsi"/>
          <w:color w:val="000000" w:themeColor="text1"/>
        </w:rPr>
        <w:t>s</w:t>
      </w:r>
      <w:r w:rsidR="006E2D91">
        <w:rPr>
          <w:rFonts w:asciiTheme="minorHAnsi" w:hAnsiTheme="minorHAnsi"/>
          <w:color w:val="000000" w:themeColor="text1"/>
        </w:rPr>
        <w:t xml:space="preserve"> seguintes aspectos, considerando a amostra em estudo:</w:t>
      </w:r>
    </w:p>
    <w:p w14:paraId="5304A70D" w14:textId="324DFDF1" w:rsidR="006E2D91" w:rsidRDefault="006E2D91" w:rsidP="00CB27A1">
      <w:pPr>
        <w:pStyle w:val="ListParagraph"/>
        <w:numPr>
          <w:ilvl w:val="0"/>
          <w:numId w:val="8"/>
        </w:numPr>
        <w:spacing w:after="120" w:line="276" w:lineRule="auto"/>
        <w:jc w:val="both"/>
        <w:rPr>
          <w:rFonts w:asciiTheme="minorHAnsi" w:hAnsiTheme="minorHAnsi"/>
          <w:color w:val="000000" w:themeColor="text1"/>
        </w:rPr>
      </w:pPr>
      <w:r>
        <w:rPr>
          <w:rFonts w:asciiTheme="minorHAnsi" w:hAnsiTheme="minorHAnsi"/>
          <w:color w:val="000000" w:themeColor="text1"/>
        </w:rPr>
        <w:t xml:space="preserve">os </w:t>
      </w:r>
      <w:r w:rsidRPr="006E2D91">
        <w:rPr>
          <w:rFonts w:asciiTheme="minorHAnsi" w:hAnsiTheme="minorHAnsi"/>
          <w:color w:val="000000" w:themeColor="text1"/>
        </w:rPr>
        <w:t xml:space="preserve">prestadores de serviços da Administração Pública </w:t>
      </w:r>
      <w:r>
        <w:rPr>
          <w:rFonts w:asciiTheme="minorHAnsi" w:hAnsiTheme="minorHAnsi"/>
          <w:color w:val="000000" w:themeColor="text1"/>
        </w:rPr>
        <w:t>Direta, operam sistemas de abrangência local, de até 200 mil habitantes e</w:t>
      </w:r>
      <w:r w:rsidR="009455AB">
        <w:rPr>
          <w:rFonts w:asciiTheme="minorHAnsi" w:hAnsiTheme="minorHAnsi"/>
          <w:color w:val="000000" w:themeColor="text1"/>
        </w:rPr>
        <w:t>,</w:t>
      </w:r>
      <w:r>
        <w:rPr>
          <w:rFonts w:asciiTheme="minorHAnsi" w:hAnsiTheme="minorHAnsi"/>
          <w:color w:val="000000" w:themeColor="text1"/>
        </w:rPr>
        <w:t xml:space="preserve"> como exemplo</w:t>
      </w:r>
      <w:r w:rsidR="009455AB">
        <w:rPr>
          <w:rFonts w:asciiTheme="minorHAnsi" w:hAnsiTheme="minorHAnsi"/>
          <w:color w:val="000000" w:themeColor="text1"/>
        </w:rPr>
        <w:t>,</w:t>
      </w:r>
      <w:r>
        <w:rPr>
          <w:rFonts w:asciiTheme="minorHAnsi" w:hAnsiTheme="minorHAnsi"/>
          <w:color w:val="000000" w:themeColor="text1"/>
        </w:rPr>
        <w:t xml:space="preserve"> podem ser citadas diversas Prefeituras, tais como</w:t>
      </w:r>
      <w:r w:rsidR="009455AB">
        <w:rPr>
          <w:rFonts w:asciiTheme="minorHAnsi" w:hAnsiTheme="minorHAnsi"/>
          <w:color w:val="000000" w:themeColor="text1"/>
        </w:rPr>
        <w:t>:</w:t>
      </w:r>
      <w:r>
        <w:rPr>
          <w:rFonts w:asciiTheme="minorHAnsi" w:hAnsiTheme="minorHAnsi"/>
          <w:color w:val="000000" w:themeColor="text1"/>
        </w:rPr>
        <w:t xml:space="preserve"> Itacaré </w:t>
      </w:r>
      <w:r w:rsidR="00E12A95">
        <w:rPr>
          <w:rFonts w:asciiTheme="minorHAnsi" w:hAnsiTheme="minorHAnsi"/>
          <w:color w:val="000000" w:themeColor="text1"/>
        </w:rPr>
        <w:t>(BA)</w:t>
      </w:r>
      <w:r>
        <w:rPr>
          <w:rFonts w:asciiTheme="minorHAnsi" w:hAnsiTheme="minorHAnsi"/>
          <w:color w:val="000000" w:themeColor="text1"/>
        </w:rPr>
        <w:t>, Mirandópolis</w:t>
      </w:r>
      <w:r w:rsidR="00E12A95">
        <w:rPr>
          <w:rFonts w:asciiTheme="minorHAnsi" w:hAnsiTheme="minorHAnsi"/>
          <w:color w:val="000000" w:themeColor="text1"/>
        </w:rPr>
        <w:t xml:space="preserve"> (SP),</w:t>
      </w:r>
      <w:r>
        <w:rPr>
          <w:rFonts w:asciiTheme="minorHAnsi" w:hAnsiTheme="minorHAnsi"/>
          <w:color w:val="000000" w:themeColor="text1"/>
        </w:rPr>
        <w:t xml:space="preserve"> Itatiaia </w:t>
      </w:r>
      <w:r w:rsidR="00E12A95">
        <w:rPr>
          <w:rFonts w:asciiTheme="minorHAnsi" w:hAnsiTheme="minorHAnsi"/>
          <w:color w:val="000000" w:themeColor="text1"/>
        </w:rPr>
        <w:t>(RJ)</w:t>
      </w:r>
      <w:r>
        <w:rPr>
          <w:rFonts w:asciiTheme="minorHAnsi" w:hAnsiTheme="minorHAnsi"/>
          <w:color w:val="000000" w:themeColor="text1"/>
        </w:rPr>
        <w:t xml:space="preserve">, Belo Oriente </w:t>
      </w:r>
      <w:r w:rsidR="00E12A95">
        <w:rPr>
          <w:rFonts w:asciiTheme="minorHAnsi" w:hAnsiTheme="minorHAnsi"/>
          <w:color w:val="000000" w:themeColor="text1"/>
        </w:rPr>
        <w:t>(MG), etc.</w:t>
      </w:r>
      <w:r w:rsidR="00705CCE">
        <w:rPr>
          <w:rFonts w:asciiTheme="minorHAnsi" w:hAnsiTheme="minorHAnsi"/>
          <w:color w:val="000000" w:themeColor="text1"/>
        </w:rPr>
        <w:t>;</w:t>
      </w:r>
    </w:p>
    <w:p w14:paraId="12A72BF4" w14:textId="77777777" w:rsidR="00705CCE" w:rsidRDefault="00705CCE" w:rsidP="00705CCE">
      <w:pPr>
        <w:pStyle w:val="ListParagraph"/>
        <w:spacing w:after="120" w:line="276" w:lineRule="auto"/>
        <w:ind w:firstLine="0"/>
        <w:jc w:val="both"/>
        <w:rPr>
          <w:rFonts w:asciiTheme="minorHAnsi" w:hAnsiTheme="minorHAnsi"/>
          <w:color w:val="000000" w:themeColor="text1"/>
        </w:rPr>
      </w:pPr>
    </w:p>
    <w:p w14:paraId="58FD64A1" w14:textId="6069D587" w:rsidR="006E2D91" w:rsidRDefault="006E2D91" w:rsidP="00CB27A1">
      <w:pPr>
        <w:pStyle w:val="ListParagraph"/>
        <w:numPr>
          <w:ilvl w:val="0"/>
          <w:numId w:val="8"/>
        </w:numPr>
        <w:spacing w:after="120" w:line="276" w:lineRule="auto"/>
        <w:jc w:val="both"/>
        <w:rPr>
          <w:rFonts w:asciiTheme="minorHAnsi" w:hAnsiTheme="minorHAnsi"/>
          <w:color w:val="000000" w:themeColor="text1"/>
        </w:rPr>
      </w:pPr>
      <w:r>
        <w:rPr>
          <w:rFonts w:asciiTheme="minorHAnsi" w:hAnsiTheme="minorHAnsi"/>
          <w:color w:val="000000" w:themeColor="text1"/>
        </w:rPr>
        <w:t xml:space="preserve">os prestadores de serviços </w:t>
      </w:r>
      <w:r w:rsidR="009455AB">
        <w:rPr>
          <w:rFonts w:asciiTheme="minorHAnsi" w:hAnsiTheme="minorHAnsi"/>
          <w:color w:val="000000" w:themeColor="text1"/>
        </w:rPr>
        <w:t>autárquicos operam sistemas de abrangência local , microrregionais e regionais e, como exemplo, podem ser citados:</w:t>
      </w:r>
    </w:p>
    <w:p w14:paraId="452E607E" w14:textId="4C5E561E" w:rsidR="009455AB" w:rsidRDefault="009455AB" w:rsidP="00CB27A1">
      <w:pPr>
        <w:pStyle w:val="ListParagraph"/>
        <w:numPr>
          <w:ilvl w:val="1"/>
          <w:numId w:val="8"/>
        </w:numPr>
        <w:spacing w:after="120" w:line="276" w:lineRule="auto"/>
        <w:jc w:val="both"/>
        <w:rPr>
          <w:rFonts w:asciiTheme="minorHAnsi" w:hAnsiTheme="minorHAnsi"/>
          <w:color w:val="000000" w:themeColor="text1"/>
        </w:rPr>
      </w:pPr>
      <w:r>
        <w:rPr>
          <w:rFonts w:asciiTheme="minorHAnsi" w:hAnsiTheme="minorHAnsi"/>
          <w:color w:val="000000" w:themeColor="text1"/>
        </w:rPr>
        <w:t xml:space="preserve">de abrangência local: </w:t>
      </w:r>
      <w:r w:rsidR="00E12A95">
        <w:rPr>
          <w:rFonts w:asciiTheme="minorHAnsi" w:hAnsiTheme="minorHAnsi"/>
          <w:color w:val="000000" w:themeColor="text1"/>
        </w:rPr>
        <w:t>os Serviços Autônomos de Água e Esgotos (</w:t>
      </w:r>
      <w:proofErr w:type="spellStart"/>
      <w:r>
        <w:rPr>
          <w:rFonts w:asciiTheme="minorHAnsi" w:hAnsiTheme="minorHAnsi"/>
          <w:color w:val="000000" w:themeColor="text1"/>
        </w:rPr>
        <w:t>SAAEs</w:t>
      </w:r>
      <w:proofErr w:type="spellEnd"/>
      <w:r w:rsidR="00E12A95">
        <w:rPr>
          <w:rFonts w:asciiTheme="minorHAnsi" w:hAnsiTheme="minorHAnsi"/>
          <w:color w:val="000000" w:themeColor="text1"/>
        </w:rPr>
        <w:t>)</w:t>
      </w:r>
      <w:r>
        <w:rPr>
          <w:rFonts w:asciiTheme="minorHAnsi" w:hAnsiTheme="minorHAnsi"/>
          <w:color w:val="000000" w:themeColor="text1"/>
        </w:rPr>
        <w:t xml:space="preserve"> de Ouro Preto (MG), </w:t>
      </w:r>
      <w:r w:rsidR="00E12A95">
        <w:rPr>
          <w:rFonts w:asciiTheme="minorHAnsi" w:hAnsiTheme="minorHAnsi"/>
          <w:color w:val="000000" w:themeColor="text1"/>
        </w:rPr>
        <w:t xml:space="preserve">de </w:t>
      </w:r>
      <w:r>
        <w:rPr>
          <w:rFonts w:asciiTheme="minorHAnsi" w:hAnsiTheme="minorHAnsi"/>
          <w:color w:val="000000" w:themeColor="text1"/>
        </w:rPr>
        <w:t>Jaboticabal (SP)</w:t>
      </w:r>
      <w:r w:rsidR="00E12A95">
        <w:rPr>
          <w:rFonts w:asciiTheme="minorHAnsi" w:hAnsiTheme="minorHAnsi"/>
          <w:color w:val="000000" w:themeColor="text1"/>
        </w:rPr>
        <w:t>,de Três Rios (RJ), de Colatina (ES), de Novo Hamburgo (RS), etc.;</w:t>
      </w:r>
    </w:p>
    <w:p w14:paraId="2ECDD990" w14:textId="1EB4AE40" w:rsidR="00E12A95" w:rsidRDefault="00E12A95" w:rsidP="00CB27A1">
      <w:pPr>
        <w:pStyle w:val="ListParagraph"/>
        <w:numPr>
          <w:ilvl w:val="1"/>
          <w:numId w:val="8"/>
        </w:numPr>
        <w:spacing w:after="120" w:line="276" w:lineRule="auto"/>
        <w:jc w:val="both"/>
        <w:rPr>
          <w:rFonts w:asciiTheme="minorHAnsi" w:hAnsiTheme="minorHAnsi"/>
          <w:color w:val="000000" w:themeColor="text1"/>
        </w:rPr>
      </w:pPr>
      <w:r>
        <w:rPr>
          <w:rFonts w:asciiTheme="minorHAnsi" w:hAnsiTheme="minorHAnsi"/>
          <w:color w:val="000000" w:themeColor="text1"/>
        </w:rPr>
        <w:t>de abrangência microrregional: os Serviços Intermunicipais de Água e Esgotos de Joaçaba (SC) e de Herval do Oeste (SC); e</w:t>
      </w:r>
    </w:p>
    <w:p w14:paraId="7054A82B" w14:textId="51575715" w:rsidR="00E12A95" w:rsidRDefault="00E12A95" w:rsidP="00CB27A1">
      <w:pPr>
        <w:pStyle w:val="ListParagraph"/>
        <w:numPr>
          <w:ilvl w:val="1"/>
          <w:numId w:val="8"/>
        </w:numPr>
        <w:spacing w:after="120" w:line="276" w:lineRule="auto"/>
        <w:jc w:val="both"/>
        <w:rPr>
          <w:rFonts w:asciiTheme="minorHAnsi" w:hAnsiTheme="minorHAnsi"/>
          <w:color w:val="000000" w:themeColor="text1"/>
        </w:rPr>
      </w:pPr>
      <w:r>
        <w:rPr>
          <w:rFonts w:asciiTheme="minorHAnsi" w:hAnsiTheme="minorHAnsi"/>
          <w:color w:val="000000" w:themeColor="text1"/>
        </w:rPr>
        <w:t>de abrangência regional: o Departamento Estadual de Pavimentação e Saneamento – DEPASA (AC);</w:t>
      </w:r>
    </w:p>
    <w:p w14:paraId="369F2DEA" w14:textId="77777777" w:rsidR="00705CCE" w:rsidRDefault="00705CCE" w:rsidP="00705CCE">
      <w:pPr>
        <w:pStyle w:val="ListParagraph"/>
        <w:spacing w:after="120" w:line="276" w:lineRule="auto"/>
        <w:ind w:left="1440" w:firstLine="0"/>
        <w:jc w:val="both"/>
        <w:rPr>
          <w:rFonts w:asciiTheme="minorHAnsi" w:hAnsiTheme="minorHAnsi"/>
          <w:color w:val="000000" w:themeColor="text1"/>
        </w:rPr>
      </w:pPr>
    </w:p>
    <w:p w14:paraId="769BF4B0" w14:textId="5806F84D" w:rsidR="00E12A95" w:rsidRDefault="00E12A95" w:rsidP="00CB27A1">
      <w:pPr>
        <w:pStyle w:val="ListParagraph"/>
        <w:numPr>
          <w:ilvl w:val="0"/>
          <w:numId w:val="8"/>
        </w:numPr>
        <w:spacing w:after="120" w:line="276" w:lineRule="auto"/>
        <w:jc w:val="both"/>
        <w:rPr>
          <w:rFonts w:asciiTheme="minorHAnsi" w:hAnsiTheme="minorHAnsi"/>
          <w:color w:val="000000" w:themeColor="text1"/>
        </w:rPr>
      </w:pPr>
      <w:r>
        <w:rPr>
          <w:rFonts w:asciiTheme="minorHAnsi" w:hAnsiTheme="minorHAnsi"/>
          <w:color w:val="000000" w:themeColor="text1"/>
        </w:rPr>
        <w:t>os prestadores de serviços privados operam sistemas de abrangência local , microrregionais e regionais e, como exemplo, podem ser citados:</w:t>
      </w:r>
    </w:p>
    <w:p w14:paraId="08655A29" w14:textId="72BCAC85" w:rsidR="00705CCE" w:rsidRPr="00705CCE" w:rsidRDefault="00705CCE" w:rsidP="00CB27A1">
      <w:pPr>
        <w:pStyle w:val="ListParagraph"/>
        <w:numPr>
          <w:ilvl w:val="1"/>
          <w:numId w:val="8"/>
        </w:numPr>
        <w:spacing w:after="120" w:line="276" w:lineRule="auto"/>
        <w:jc w:val="both"/>
        <w:rPr>
          <w:rFonts w:asciiTheme="minorHAnsi" w:hAnsiTheme="minorHAnsi"/>
          <w:color w:val="000000" w:themeColor="text1"/>
        </w:rPr>
      </w:pPr>
      <w:r>
        <w:rPr>
          <w:rFonts w:ascii="Calibri" w:hAnsi="Calibri"/>
          <w:color w:val="000000"/>
        </w:rPr>
        <w:t xml:space="preserve">de abrangência local: </w:t>
      </w:r>
      <w:r w:rsidRPr="00404EE0">
        <w:rPr>
          <w:rFonts w:ascii="Calibri" w:hAnsi="Calibri"/>
          <w:color w:val="000000"/>
        </w:rPr>
        <w:t>COSÁGUA - Conce</w:t>
      </w:r>
      <w:r>
        <w:rPr>
          <w:rFonts w:ascii="Calibri" w:hAnsi="Calibri"/>
          <w:color w:val="000000"/>
        </w:rPr>
        <w:t xml:space="preserve">ssionária de Saneamento Básico de </w:t>
      </w:r>
      <w:r w:rsidRPr="00404EE0">
        <w:rPr>
          <w:rFonts w:ascii="Calibri" w:hAnsi="Calibri"/>
          <w:color w:val="000000"/>
        </w:rPr>
        <w:t>Paraguaçu</w:t>
      </w:r>
      <w:r>
        <w:rPr>
          <w:rFonts w:ascii="Calibri" w:hAnsi="Calibri"/>
          <w:color w:val="000000"/>
        </w:rPr>
        <w:t xml:space="preserve"> (MG), </w:t>
      </w:r>
      <w:r w:rsidRPr="00404EE0">
        <w:rPr>
          <w:rFonts w:ascii="Calibri" w:hAnsi="Calibri"/>
          <w:color w:val="000000"/>
        </w:rPr>
        <w:t>CAPY - Co</w:t>
      </w:r>
      <w:r>
        <w:rPr>
          <w:rFonts w:ascii="Calibri" w:hAnsi="Calibri"/>
          <w:color w:val="000000"/>
        </w:rPr>
        <w:t>n</w:t>
      </w:r>
      <w:r w:rsidRPr="00404EE0">
        <w:rPr>
          <w:rFonts w:ascii="Calibri" w:hAnsi="Calibri"/>
          <w:color w:val="000000"/>
        </w:rPr>
        <w:t>cessionária de Águas de Paraty</w:t>
      </w:r>
      <w:r>
        <w:rPr>
          <w:rFonts w:ascii="Calibri" w:hAnsi="Calibri"/>
          <w:color w:val="000000"/>
        </w:rPr>
        <w:t xml:space="preserve"> (</w:t>
      </w:r>
      <w:r w:rsidRPr="00404EE0">
        <w:rPr>
          <w:rFonts w:ascii="Calibri" w:hAnsi="Calibri"/>
          <w:color w:val="000000"/>
        </w:rPr>
        <w:t>RJ)</w:t>
      </w:r>
      <w:r>
        <w:rPr>
          <w:rFonts w:ascii="Calibri" w:hAnsi="Calibri"/>
          <w:color w:val="000000"/>
        </w:rPr>
        <w:t xml:space="preserve">, BRK Ambiental de </w:t>
      </w:r>
      <w:r w:rsidRPr="006F79F7">
        <w:rPr>
          <w:rFonts w:ascii="Calibri" w:hAnsi="Calibri"/>
          <w:color w:val="000000"/>
        </w:rPr>
        <w:t>Blumenau</w:t>
      </w:r>
      <w:r>
        <w:rPr>
          <w:rFonts w:ascii="Calibri" w:hAnsi="Calibri"/>
          <w:color w:val="000000"/>
        </w:rPr>
        <w:t xml:space="preserve"> (SC) </w:t>
      </w:r>
      <w:r w:rsidRPr="006F79F7">
        <w:rPr>
          <w:rFonts w:ascii="Calibri" w:hAnsi="Calibri"/>
          <w:color w:val="000000"/>
        </w:rPr>
        <w:t>e CAN - Águas de Niterói (RJ)</w:t>
      </w:r>
      <w:r>
        <w:rPr>
          <w:rFonts w:ascii="Calibri" w:hAnsi="Calibri"/>
          <w:color w:val="000000"/>
        </w:rPr>
        <w:t>;</w:t>
      </w:r>
    </w:p>
    <w:p w14:paraId="115A0E6C" w14:textId="3376E1AE" w:rsidR="00705CCE" w:rsidRDefault="00705CCE" w:rsidP="00CB27A1">
      <w:pPr>
        <w:pStyle w:val="ListParagraph"/>
        <w:numPr>
          <w:ilvl w:val="1"/>
          <w:numId w:val="8"/>
        </w:numPr>
        <w:spacing w:after="120" w:line="276" w:lineRule="auto"/>
        <w:jc w:val="both"/>
        <w:rPr>
          <w:rFonts w:asciiTheme="minorHAnsi" w:hAnsiTheme="minorHAnsi"/>
          <w:color w:val="000000" w:themeColor="text1"/>
        </w:rPr>
      </w:pPr>
      <w:r w:rsidRPr="00705CCE">
        <w:rPr>
          <w:rFonts w:asciiTheme="minorHAnsi" w:hAnsiTheme="minorHAnsi"/>
          <w:color w:val="000000" w:themeColor="text1"/>
        </w:rPr>
        <w:t xml:space="preserve">de abrangência microrregional: PROLAGOS, que opera as cidades de Arraial do Cabo, Armação de Búzios e Iguaba </w:t>
      </w:r>
      <w:r>
        <w:rPr>
          <w:rFonts w:asciiTheme="minorHAnsi" w:hAnsiTheme="minorHAnsi"/>
          <w:color w:val="000000" w:themeColor="text1"/>
        </w:rPr>
        <w:t xml:space="preserve">Grande (RJ) e Águas de </w:t>
      </w:r>
      <w:proofErr w:type="spellStart"/>
      <w:r>
        <w:rPr>
          <w:rFonts w:asciiTheme="minorHAnsi" w:hAnsiTheme="minorHAnsi"/>
          <w:color w:val="000000" w:themeColor="text1"/>
        </w:rPr>
        <w:t>Jaturnaíba</w:t>
      </w:r>
      <w:proofErr w:type="spellEnd"/>
      <w:r>
        <w:rPr>
          <w:rFonts w:asciiTheme="minorHAnsi" w:hAnsiTheme="minorHAnsi"/>
          <w:color w:val="000000" w:themeColor="text1"/>
        </w:rPr>
        <w:t xml:space="preserve"> , que opera as cidades de Araruama e Saquarema (RJ);</w:t>
      </w:r>
    </w:p>
    <w:p w14:paraId="4B336DA1" w14:textId="0FFBDA2A" w:rsidR="00705CCE" w:rsidRDefault="00705CCE" w:rsidP="00CB27A1">
      <w:pPr>
        <w:pStyle w:val="ListParagraph"/>
        <w:numPr>
          <w:ilvl w:val="1"/>
          <w:numId w:val="8"/>
        </w:numPr>
        <w:spacing w:after="120" w:line="276" w:lineRule="auto"/>
        <w:jc w:val="both"/>
        <w:rPr>
          <w:rFonts w:asciiTheme="minorHAnsi" w:hAnsiTheme="minorHAnsi"/>
          <w:color w:val="000000" w:themeColor="text1"/>
        </w:rPr>
      </w:pPr>
      <w:r>
        <w:rPr>
          <w:rFonts w:asciiTheme="minorHAnsi" w:hAnsiTheme="minorHAnsi"/>
          <w:color w:val="000000" w:themeColor="text1"/>
        </w:rPr>
        <w:t>de abrangência regional: a SANEATINS - Companhia de Saneamento do Tocantins (TO);</w:t>
      </w:r>
    </w:p>
    <w:p w14:paraId="209F1EF2" w14:textId="77777777" w:rsidR="00EC66DC" w:rsidRPr="00705CCE" w:rsidRDefault="00EC66DC" w:rsidP="00EC66DC">
      <w:pPr>
        <w:pStyle w:val="ListParagraph"/>
        <w:spacing w:after="120" w:line="276" w:lineRule="auto"/>
        <w:ind w:left="1440" w:firstLine="0"/>
        <w:jc w:val="both"/>
        <w:rPr>
          <w:rFonts w:asciiTheme="minorHAnsi" w:hAnsiTheme="minorHAnsi"/>
          <w:color w:val="000000" w:themeColor="text1"/>
        </w:rPr>
      </w:pPr>
    </w:p>
    <w:p w14:paraId="55D91143" w14:textId="11FBB031" w:rsidR="00EC66DC" w:rsidRDefault="00EC66DC" w:rsidP="00CB27A1">
      <w:pPr>
        <w:pStyle w:val="ListParagraph"/>
        <w:numPr>
          <w:ilvl w:val="0"/>
          <w:numId w:val="8"/>
        </w:numPr>
        <w:spacing w:after="120" w:line="276" w:lineRule="auto"/>
        <w:jc w:val="both"/>
        <w:rPr>
          <w:rFonts w:asciiTheme="minorHAnsi" w:hAnsiTheme="minorHAnsi"/>
          <w:color w:val="000000" w:themeColor="text1"/>
        </w:rPr>
      </w:pPr>
      <w:r>
        <w:rPr>
          <w:rFonts w:asciiTheme="minorHAnsi" w:hAnsiTheme="minorHAnsi"/>
          <w:color w:val="000000" w:themeColor="text1"/>
        </w:rPr>
        <w:t>os prestadores de serviços do tipo empresa pública, operam sistemas de abrangência local e regionais e, como exemplo, podem ser citados:</w:t>
      </w:r>
    </w:p>
    <w:p w14:paraId="148D9D20" w14:textId="357A6B7D" w:rsidR="00E12A95" w:rsidRPr="00EC66DC" w:rsidRDefault="00EC66DC" w:rsidP="00CB27A1">
      <w:pPr>
        <w:pStyle w:val="ListParagraph"/>
        <w:numPr>
          <w:ilvl w:val="1"/>
          <w:numId w:val="8"/>
        </w:numPr>
        <w:spacing w:after="120" w:line="276" w:lineRule="auto"/>
        <w:jc w:val="both"/>
        <w:rPr>
          <w:rFonts w:asciiTheme="minorHAnsi" w:hAnsiTheme="minorHAnsi"/>
          <w:color w:val="000000" w:themeColor="text1"/>
        </w:rPr>
      </w:pPr>
      <w:r>
        <w:rPr>
          <w:rFonts w:ascii="Calibri" w:hAnsi="Calibri"/>
          <w:color w:val="000000"/>
        </w:rPr>
        <w:t xml:space="preserve">de abrangência local: </w:t>
      </w:r>
      <w:r w:rsidRPr="00E84306">
        <w:rPr>
          <w:rFonts w:ascii="Calibri" w:hAnsi="Calibri"/>
          <w:color w:val="000000"/>
        </w:rPr>
        <w:t>EMSAE - Empresa Municipal</w:t>
      </w:r>
      <w:r>
        <w:rPr>
          <w:rFonts w:ascii="Calibri" w:hAnsi="Calibri"/>
          <w:color w:val="000000"/>
        </w:rPr>
        <w:t xml:space="preserve"> de Serviços de Água e Esgotos de </w:t>
      </w:r>
      <w:r w:rsidRPr="00E84306">
        <w:rPr>
          <w:rFonts w:ascii="Calibri" w:hAnsi="Calibri"/>
          <w:color w:val="000000"/>
        </w:rPr>
        <w:t xml:space="preserve">Sobradinho </w:t>
      </w:r>
      <w:r>
        <w:rPr>
          <w:rFonts w:ascii="Calibri" w:hAnsi="Calibri"/>
          <w:color w:val="000000"/>
        </w:rPr>
        <w:t xml:space="preserve">(CE) e </w:t>
      </w:r>
      <w:r w:rsidRPr="00E84306">
        <w:rPr>
          <w:rFonts w:ascii="Calibri" w:hAnsi="Calibri"/>
          <w:color w:val="000000"/>
        </w:rPr>
        <w:t>EMDAEP - Empresa de Desenvolvimento de</w:t>
      </w:r>
      <w:r>
        <w:rPr>
          <w:rFonts w:ascii="Calibri" w:hAnsi="Calibri"/>
          <w:color w:val="000000"/>
        </w:rPr>
        <w:t xml:space="preserve"> Água, Esgotos e Pavimentação de </w:t>
      </w:r>
      <w:r w:rsidRPr="00E84306">
        <w:rPr>
          <w:rFonts w:ascii="Calibri" w:hAnsi="Calibri"/>
          <w:color w:val="000000"/>
        </w:rPr>
        <w:t>Drace</w:t>
      </w:r>
      <w:r>
        <w:rPr>
          <w:rFonts w:ascii="Calibri" w:hAnsi="Calibri"/>
          <w:color w:val="000000"/>
        </w:rPr>
        <w:t>na (</w:t>
      </w:r>
      <w:r w:rsidRPr="00E84306">
        <w:rPr>
          <w:rFonts w:ascii="Calibri" w:hAnsi="Calibri"/>
          <w:color w:val="000000"/>
        </w:rPr>
        <w:t>SP)</w:t>
      </w:r>
      <w:r>
        <w:rPr>
          <w:rFonts w:ascii="Calibri" w:hAnsi="Calibri"/>
          <w:color w:val="000000"/>
        </w:rPr>
        <w:t>;</w:t>
      </w:r>
    </w:p>
    <w:p w14:paraId="05398FA4" w14:textId="6EAC7758" w:rsidR="00EC66DC" w:rsidRDefault="00EC66DC" w:rsidP="00CB27A1">
      <w:pPr>
        <w:pStyle w:val="ListParagraph"/>
        <w:numPr>
          <w:ilvl w:val="1"/>
          <w:numId w:val="8"/>
        </w:numPr>
        <w:spacing w:after="120" w:line="276" w:lineRule="auto"/>
        <w:jc w:val="both"/>
        <w:rPr>
          <w:rFonts w:asciiTheme="minorHAnsi" w:hAnsiTheme="minorHAnsi"/>
          <w:color w:val="000000" w:themeColor="text1"/>
        </w:rPr>
      </w:pPr>
      <w:r>
        <w:rPr>
          <w:rFonts w:asciiTheme="minorHAnsi" w:hAnsiTheme="minorHAnsi"/>
          <w:color w:val="000000" w:themeColor="text1"/>
        </w:rPr>
        <w:t>de abrangência regional: a COPANOR – COPASA Serviços de Sane</w:t>
      </w:r>
      <w:r w:rsidR="00DD7B30">
        <w:rPr>
          <w:rFonts w:asciiTheme="minorHAnsi" w:hAnsiTheme="minorHAnsi"/>
          <w:color w:val="000000" w:themeColor="text1"/>
        </w:rPr>
        <w:t>a</w:t>
      </w:r>
      <w:r>
        <w:rPr>
          <w:rFonts w:asciiTheme="minorHAnsi" w:hAnsiTheme="minorHAnsi"/>
          <w:color w:val="000000" w:themeColor="text1"/>
        </w:rPr>
        <w:t>mento Integrado do Norte e Nordeste de Minas Gerais S.A. (MG);</w:t>
      </w:r>
    </w:p>
    <w:p w14:paraId="690A2287" w14:textId="77777777" w:rsidR="00EC66DC" w:rsidRDefault="00EC66DC" w:rsidP="00EC66DC">
      <w:pPr>
        <w:pStyle w:val="ListParagraph"/>
        <w:spacing w:after="120" w:line="276" w:lineRule="auto"/>
        <w:ind w:left="1440" w:firstLine="0"/>
        <w:jc w:val="both"/>
        <w:rPr>
          <w:rFonts w:asciiTheme="minorHAnsi" w:hAnsiTheme="minorHAnsi"/>
          <w:color w:val="000000" w:themeColor="text1"/>
        </w:rPr>
      </w:pPr>
    </w:p>
    <w:p w14:paraId="160F6E60" w14:textId="7D847ED9" w:rsidR="00EC66DC" w:rsidRDefault="00EC66DC" w:rsidP="00CB27A1">
      <w:pPr>
        <w:pStyle w:val="ListParagraph"/>
        <w:numPr>
          <w:ilvl w:val="0"/>
          <w:numId w:val="8"/>
        </w:numPr>
        <w:spacing w:after="120" w:line="276" w:lineRule="auto"/>
        <w:jc w:val="both"/>
        <w:rPr>
          <w:rFonts w:asciiTheme="minorHAnsi" w:hAnsiTheme="minorHAnsi"/>
          <w:color w:val="000000" w:themeColor="text1"/>
        </w:rPr>
      </w:pPr>
      <w:r>
        <w:rPr>
          <w:rFonts w:asciiTheme="minorHAnsi" w:hAnsiTheme="minorHAnsi"/>
          <w:color w:val="000000" w:themeColor="text1"/>
        </w:rPr>
        <w:t xml:space="preserve">os prestadores de serviços do tipo sociedade de economia mista com administração privada, operam sistemas de </w:t>
      </w:r>
      <w:r w:rsidR="0089744B">
        <w:rPr>
          <w:rFonts w:asciiTheme="minorHAnsi" w:hAnsiTheme="minorHAnsi"/>
          <w:color w:val="000000" w:themeColor="text1"/>
        </w:rPr>
        <w:t xml:space="preserve">abrangência </w:t>
      </w:r>
      <w:r>
        <w:rPr>
          <w:rFonts w:asciiTheme="minorHAnsi" w:hAnsiTheme="minorHAnsi"/>
          <w:color w:val="000000" w:themeColor="text1"/>
        </w:rPr>
        <w:t>regional e, como exemplo, pode se citada:</w:t>
      </w:r>
    </w:p>
    <w:p w14:paraId="20CAD146" w14:textId="098940E2" w:rsidR="00EC66DC" w:rsidRDefault="00EC66DC" w:rsidP="00CB27A1">
      <w:pPr>
        <w:pStyle w:val="ListParagraph"/>
        <w:numPr>
          <w:ilvl w:val="1"/>
          <w:numId w:val="8"/>
        </w:numPr>
        <w:spacing w:after="120" w:line="276" w:lineRule="auto"/>
        <w:jc w:val="both"/>
        <w:rPr>
          <w:rFonts w:asciiTheme="minorHAnsi" w:hAnsiTheme="minorHAnsi"/>
          <w:color w:val="000000" w:themeColor="text1"/>
        </w:rPr>
      </w:pPr>
      <w:r>
        <w:rPr>
          <w:rFonts w:asciiTheme="minorHAnsi" w:hAnsiTheme="minorHAnsi"/>
          <w:color w:val="000000" w:themeColor="text1"/>
        </w:rPr>
        <w:t>de abrangência regional: a SANEPAR – Companhia de Saneamento do Paraná (PR);</w:t>
      </w:r>
    </w:p>
    <w:p w14:paraId="7FA7A4B3" w14:textId="77777777" w:rsidR="0089744B" w:rsidRDefault="0089744B" w:rsidP="0089744B">
      <w:pPr>
        <w:pStyle w:val="ListParagraph"/>
        <w:spacing w:after="120" w:line="276" w:lineRule="auto"/>
        <w:ind w:left="1440" w:firstLine="0"/>
        <w:jc w:val="both"/>
        <w:rPr>
          <w:rFonts w:asciiTheme="minorHAnsi" w:hAnsiTheme="minorHAnsi"/>
          <w:color w:val="000000" w:themeColor="text1"/>
        </w:rPr>
      </w:pPr>
    </w:p>
    <w:p w14:paraId="15FF568A" w14:textId="4A2B69EE" w:rsidR="0089744B" w:rsidRDefault="0089744B" w:rsidP="00CB27A1">
      <w:pPr>
        <w:pStyle w:val="ListParagraph"/>
        <w:numPr>
          <w:ilvl w:val="0"/>
          <w:numId w:val="8"/>
        </w:numPr>
        <w:spacing w:after="120" w:line="276" w:lineRule="auto"/>
        <w:jc w:val="both"/>
        <w:rPr>
          <w:rFonts w:asciiTheme="minorHAnsi" w:hAnsiTheme="minorHAnsi"/>
          <w:color w:val="000000" w:themeColor="text1"/>
        </w:rPr>
      </w:pPr>
      <w:r>
        <w:rPr>
          <w:rFonts w:asciiTheme="minorHAnsi" w:hAnsiTheme="minorHAnsi"/>
          <w:color w:val="000000" w:themeColor="text1"/>
        </w:rPr>
        <w:t>os prestadores de serviços do tipo sociedade de economia mista com administração pública, operam sistemas de abrangência local e regionais e, como exemplo, podem ser citados:</w:t>
      </w:r>
    </w:p>
    <w:p w14:paraId="6137F7E9" w14:textId="36BFA599" w:rsidR="0089744B" w:rsidRPr="00EC66DC" w:rsidRDefault="0089744B" w:rsidP="00CB27A1">
      <w:pPr>
        <w:pStyle w:val="ListParagraph"/>
        <w:numPr>
          <w:ilvl w:val="1"/>
          <w:numId w:val="8"/>
        </w:numPr>
        <w:spacing w:after="120" w:line="276" w:lineRule="auto"/>
        <w:jc w:val="both"/>
        <w:rPr>
          <w:rFonts w:asciiTheme="minorHAnsi" w:hAnsiTheme="minorHAnsi"/>
          <w:color w:val="000000" w:themeColor="text1"/>
        </w:rPr>
      </w:pPr>
      <w:r>
        <w:rPr>
          <w:rFonts w:ascii="Calibri" w:hAnsi="Calibri"/>
          <w:color w:val="000000"/>
        </w:rPr>
        <w:t xml:space="preserve">de abrangência local: </w:t>
      </w:r>
      <w:r w:rsidRPr="000918E9">
        <w:rPr>
          <w:rFonts w:ascii="Calibri" w:hAnsi="Calibri"/>
          <w:color w:val="000000"/>
        </w:rPr>
        <w:t xml:space="preserve">CODEN </w:t>
      </w:r>
      <w:r>
        <w:rPr>
          <w:rFonts w:ascii="Calibri" w:hAnsi="Calibri"/>
          <w:color w:val="000000"/>
        </w:rPr>
        <w:t xml:space="preserve">- Companhia de Desenvolvimento de </w:t>
      </w:r>
      <w:r w:rsidRPr="000918E9">
        <w:rPr>
          <w:rFonts w:ascii="Calibri" w:hAnsi="Calibri"/>
          <w:color w:val="000000"/>
        </w:rPr>
        <w:t>Nova Odessa</w:t>
      </w:r>
      <w:r>
        <w:rPr>
          <w:rFonts w:ascii="Calibri" w:hAnsi="Calibri"/>
          <w:color w:val="000000"/>
        </w:rPr>
        <w:t xml:space="preserve"> (SP) </w:t>
      </w:r>
      <w:r w:rsidRPr="000918E9">
        <w:rPr>
          <w:rFonts w:ascii="Calibri" w:hAnsi="Calibri"/>
          <w:color w:val="000000"/>
        </w:rPr>
        <w:t>e SAEG - Companhia de Serviç</w:t>
      </w:r>
      <w:r>
        <w:rPr>
          <w:rFonts w:ascii="Calibri" w:hAnsi="Calibri"/>
          <w:color w:val="000000"/>
        </w:rPr>
        <w:t xml:space="preserve">os de Água, Esgotos e Resíduos de </w:t>
      </w:r>
      <w:r w:rsidRPr="000918E9">
        <w:rPr>
          <w:rFonts w:ascii="Calibri" w:hAnsi="Calibri"/>
          <w:color w:val="000000"/>
        </w:rPr>
        <w:t xml:space="preserve">Guaratinguetá </w:t>
      </w:r>
      <w:r>
        <w:rPr>
          <w:rFonts w:ascii="Calibri" w:hAnsi="Calibri"/>
          <w:color w:val="000000"/>
        </w:rPr>
        <w:t>(SP); e</w:t>
      </w:r>
    </w:p>
    <w:p w14:paraId="3B2E961D" w14:textId="4D49A7AA" w:rsidR="0089744B" w:rsidRDefault="0089744B" w:rsidP="00CB27A1">
      <w:pPr>
        <w:pStyle w:val="ListParagraph"/>
        <w:numPr>
          <w:ilvl w:val="1"/>
          <w:numId w:val="8"/>
        </w:numPr>
        <w:spacing w:after="120" w:line="276" w:lineRule="auto"/>
        <w:jc w:val="both"/>
        <w:rPr>
          <w:rFonts w:asciiTheme="minorHAnsi" w:hAnsiTheme="minorHAnsi"/>
          <w:color w:val="000000" w:themeColor="text1"/>
        </w:rPr>
      </w:pPr>
      <w:r>
        <w:rPr>
          <w:rFonts w:asciiTheme="minorHAnsi" w:hAnsiTheme="minorHAnsi"/>
          <w:color w:val="000000" w:themeColor="text1"/>
        </w:rPr>
        <w:t>de abrangência regional: as 24 Companhias Estaduais de Saneamento Básicos (</w:t>
      </w:r>
      <w:proofErr w:type="spellStart"/>
      <w:r>
        <w:rPr>
          <w:rFonts w:asciiTheme="minorHAnsi" w:hAnsiTheme="minorHAnsi"/>
          <w:color w:val="000000" w:themeColor="text1"/>
        </w:rPr>
        <w:t>CESBs</w:t>
      </w:r>
      <w:proofErr w:type="spellEnd"/>
      <w:r>
        <w:rPr>
          <w:rFonts w:asciiTheme="minorHAnsi" w:hAnsiTheme="minorHAnsi"/>
          <w:color w:val="000000" w:themeColor="text1"/>
        </w:rPr>
        <w:t>).</w:t>
      </w:r>
    </w:p>
    <w:p w14:paraId="08814DB6" w14:textId="179A4DD2" w:rsidR="0089744B" w:rsidRDefault="0089744B" w:rsidP="0089744B">
      <w:pPr>
        <w:widowControl/>
        <w:spacing w:after="200" w:line="276" w:lineRule="auto"/>
        <w:ind w:firstLine="0"/>
        <w:jc w:val="both"/>
        <w:rPr>
          <w:rFonts w:asciiTheme="minorHAnsi" w:hAnsiTheme="minorHAnsi" w:cs="Arial-BoldMT"/>
          <w:b/>
          <w:bCs/>
        </w:rPr>
      </w:pPr>
      <w:r>
        <w:rPr>
          <w:rFonts w:asciiTheme="minorHAnsi" w:hAnsiTheme="minorHAnsi" w:cs="Arial-BoldMT"/>
          <w:b/>
          <w:bCs/>
        </w:rPr>
        <w:t>3.2</w:t>
      </w:r>
      <w:r w:rsidR="00AC16CD">
        <w:rPr>
          <w:rFonts w:asciiTheme="minorHAnsi" w:hAnsiTheme="minorHAnsi" w:cs="Arial-BoldMT"/>
          <w:b/>
          <w:bCs/>
        </w:rPr>
        <w:t xml:space="preserve">    </w:t>
      </w:r>
      <w:r>
        <w:rPr>
          <w:rFonts w:asciiTheme="minorHAnsi" w:hAnsiTheme="minorHAnsi" w:cs="Arial-BoldMT"/>
          <w:b/>
          <w:bCs/>
        </w:rPr>
        <w:t xml:space="preserve">Nível de Prestação dos Serviços </w:t>
      </w:r>
    </w:p>
    <w:p w14:paraId="05206D0D" w14:textId="03CB7F14" w:rsidR="0089744B" w:rsidRDefault="0089744B" w:rsidP="0089744B">
      <w:pPr>
        <w:widowControl/>
        <w:spacing w:after="200" w:line="276" w:lineRule="auto"/>
        <w:ind w:firstLine="0"/>
        <w:jc w:val="both"/>
        <w:rPr>
          <w:rFonts w:asciiTheme="minorHAnsi" w:hAnsiTheme="minorHAnsi" w:cs="Arial-BoldMT"/>
          <w:bCs/>
        </w:rPr>
      </w:pPr>
      <w:r w:rsidRPr="0089744B">
        <w:rPr>
          <w:rFonts w:asciiTheme="minorHAnsi" w:hAnsiTheme="minorHAnsi" w:cs="Arial-BoldMT"/>
          <w:bCs/>
        </w:rPr>
        <w:t>Para o universo dos 1.440 municípios estudados, com população na faixa de 50 mil a 500 mil habitantes</w:t>
      </w:r>
      <w:r>
        <w:rPr>
          <w:rFonts w:asciiTheme="minorHAnsi" w:hAnsiTheme="minorHAnsi" w:cs="Arial-BoldMT"/>
          <w:bCs/>
        </w:rPr>
        <w:t>, o nível de prestação de se</w:t>
      </w:r>
      <w:r w:rsidR="0058069F">
        <w:rPr>
          <w:rFonts w:asciiTheme="minorHAnsi" w:hAnsiTheme="minorHAnsi" w:cs="Arial-BoldMT"/>
          <w:bCs/>
        </w:rPr>
        <w:t>rviços é apresentado no Quadro 6</w:t>
      </w:r>
      <w:r>
        <w:rPr>
          <w:rFonts w:asciiTheme="minorHAnsi" w:hAnsiTheme="minorHAnsi" w:cs="Arial-BoldMT"/>
          <w:bCs/>
        </w:rPr>
        <w:t>, a seguir.</w:t>
      </w:r>
    </w:p>
    <w:p w14:paraId="16AD46E2" w14:textId="72C7B556" w:rsidR="009B77F9" w:rsidRDefault="0058069F" w:rsidP="009B77F9">
      <w:pPr>
        <w:spacing w:after="120" w:line="276" w:lineRule="auto"/>
        <w:ind w:firstLine="0"/>
        <w:jc w:val="both"/>
        <w:rPr>
          <w:rFonts w:asciiTheme="minorHAnsi" w:hAnsiTheme="minorHAnsi"/>
          <w:color w:val="000000" w:themeColor="text1"/>
        </w:rPr>
      </w:pPr>
      <w:r>
        <w:rPr>
          <w:rFonts w:asciiTheme="minorHAnsi" w:hAnsiTheme="minorHAnsi"/>
          <w:noProof/>
          <w:color w:val="000000" w:themeColor="text1"/>
          <w:lang w:val="en-US" w:eastAsia="en-US"/>
        </w:rPr>
        <w:drawing>
          <wp:inline distT="0" distB="0" distL="0" distR="0" wp14:anchorId="02C04B7F" wp14:editId="20C6087A">
            <wp:extent cx="5400040" cy="5099699"/>
            <wp:effectExtent l="0" t="0" r="10160" b="5715"/>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5099699"/>
                    </a:xfrm>
                    <a:prstGeom prst="rect">
                      <a:avLst/>
                    </a:prstGeom>
                    <a:noFill/>
                    <a:ln>
                      <a:noFill/>
                    </a:ln>
                  </pic:spPr>
                </pic:pic>
              </a:graphicData>
            </a:graphic>
          </wp:inline>
        </w:drawing>
      </w:r>
      <w:r w:rsidR="009B77F9">
        <w:rPr>
          <w:rFonts w:asciiTheme="minorHAnsi" w:hAnsiTheme="minorHAnsi"/>
          <w:color w:val="000000" w:themeColor="text1"/>
        </w:rPr>
        <w:t>Dos dados apresentados verifica-se que o nível de cobertura dos serviços de abasteci</w:t>
      </w:r>
      <w:r w:rsidR="00E36FCC">
        <w:rPr>
          <w:rFonts w:asciiTheme="minorHAnsi" w:hAnsiTheme="minorHAnsi"/>
          <w:color w:val="000000" w:themeColor="text1"/>
        </w:rPr>
        <w:t>mento de água é bastante elevado</w:t>
      </w:r>
      <w:r w:rsidR="009B77F9">
        <w:rPr>
          <w:rFonts w:asciiTheme="minorHAnsi" w:hAnsiTheme="minorHAnsi"/>
          <w:color w:val="000000" w:themeColor="text1"/>
        </w:rPr>
        <w:t>, sendo o índice médio de atendimento, na maioria dos municípios</w:t>
      </w:r>
      <w:r w:rsidR="00DD7B30">
        <w:rPr>
          <w:rFonts w:asciiTheme="minorHAnsi" w:hAnsiTheme="minorHAnsi"/>
          <w:color w:val="000000" w:themeColor="text1"/>
        </w:rPr>
        <w:t xml:space="preserve"> considerados, superior a 85%.</w:t>
      </w:r>
    </w:p>
    <w:p w14:paraId="58F169A3" w14:textId="5DD759B6" w:rsidR="00DD7B30" w:rsidRDefault="00DD7B30" w:rsidP="009B77F9">
      <w:pPr>
        <w:spacing w:after="120" w:line="276" w:lineRule="auto"/>
        <w:ind w:firstLine="0"/>
        <w:jc w:val="both"/>
        <w:rPr>
          <w:rFonts w:asciiTheme="minorHAnsi" w:hAnsiTheme="minorHAnsi"/>
          <w:color w:val="000000" w:themeColor="text1"/>
        </w:rPr>
      </w:pPr>
      <w:r>
        <w:rPr>
          <w:rFonts w:asciiTheme="minorHAnsi" w:hAnsiTheme="minorHAnsi"/>
          <w:color w:val="000000" w:themeColor="text1"/>
        </w:rPr>
        <w:t>Com relação à cobertura dos serviços de água vale salientar que os níveis mais elevados de atendimento referem-se aos prestadores de abrangência local e os mais baixos níveis referem-se aos prestadores regionais.</w:t>
      </w:r>
    </w:p>
    <w:p w14:paraId="1D15868C" w14:textId="202F185B" w:rsidR="00DD7B30" w:rsidRDefault="00DD7B30" w:rsidP="009B77F9">
      <w:pPr>
        <w:spacing w:after="120" w:line="276" w:lineRule="auto"/>
        <w:ind w:firstLine="0"/>
        <w:jc w:val="both"/>
        <w:rPr>
          <w:rFonts w:asciiTheme="minorHAnsi" w:hAnsiTheme="minorHAnsi"/>
          <w:color w:val="000000" w:themeColor="text1"/>
        </w:rPr>
      </w:pPr>
      <w:r>
        <w:rPr>
          <w:rFonts w:asciiTheme="minorHAnsi" w:hAnsiTheme="minorHAnsi"/>
          <w:color w:val="000000" w:themeColor="text1"/>
        </w:rPr>
        <w:t>Quanto à cobertura dos serviços de esgotamento sanitário</w:t>
      </w:r>
      <w:r w:rsidR="00DC265E">
        <w:rPr>
          <w:rFonts w:asciiTheme="minorHAnsi" w:hAnsiTheme="minorHAnsi"/>
          <w:color w:val="000000" w:themeColor="text1"/>
        </w:rPr>
        <w:t>, no geral o atendimento é relativamente baixo sendo, na maioria dos municípios considerados, inferior a 50%. Os mais baixos índices de cobertura são dos prestadores de abrangência local privados e dos prestadores regionais, em municípios com populações abaixo de 200 mil habitantes.</w:t>
      </w:r>
    </w:p>
    <w:p w14:paraId="40F4053D" w14:textId="77777777" w:rsidR="00E0449D" w:rsidRDefault="00DC265E" w:rsidP="009B77F9">
      <w:pPr>
        <w:spacing w:after="120" w:line="276" w:lineRule="auto"/>
        <w:ind w:firstLine="0"/>
        <w:jc w:val="both"/>
        <w:rPr>
          <w:rFonts w:asciiTheme="minorHAnsi" w:hAnsiTheme="minorHAnsi"/>
          <w:color w:val="000000" w:themeColor="text1"/>
        </w:rPr>
      </w:pPr>
      <w:r>
        <w:rPr>
          <w:rFonts w:asciiTheme="minorHAnsi" w:hAnsiTheme="minorHAnsi"/>
          <w:color w:val="000000" w:themeColor="text1"/>
        </w:rPr>
        <w:t xml:space="preserve">Concluindo, com relação ao nível de tratamento dos esgotos coletados, </w:t>
      </w:r>
      <w:r w:rsidR="00181D01">
        <w:rPr>
          <w:rFonts w:asciiTheme="minorHAnsi" w:hAnsiTheme="minorHAnsi"/>
          <w:color w:val="000000" w:themeColor="text1"/>
        </w:rPr>
        <w:t>a cobertura existente é, de modo geral, muito baixa para atendimento dos requisitos estabelecidos pelos órgãos ambientais</w:t>
      </w:r>
      <w:r w:rsidR="00E0449D">
        <w:rPr>
          <w:rFonts w:asciiTheme="minorHAnsi" w:hAnsiTheme="minorHAnsi"/>
          <w:color w:val="000000" w:themeColor="text1"/>
        </w:rPr>
        <w:t xml:space="preserve"> do País</w:t>
      </w:r>
    </w:p>
    <w:p w14:paraId="4A206337" w14:textId="46C2BB80" w:rsidR="0058069F" w:rsidRDefault="00181D01" w:rsidP="009B77F9">
      <w:pPr>
        <w:spacing w:after="120" w:line="276" w:lineRule="auto"/>
        <w:ind w:firstLine="0"/>
        <w:jc w:val="both"/>
        <w:rPr>
          <w:rFonts w:asciiTheme="minorHAnsi" w:hAnsiTheme="minorHAnsi"/>
          <w:color w:val="000000" w:themeColor="text1"/>
        </w:rPr>
      </w:pPr>
      <w:r>
        <w:rPr>
          <w:rFonts w:asciiTheme="minorHAnsi" w:hAnsiTheme="minorHAnsi"/>
          <w:color w:val="000000" w:themeColor="text1"/>
        </w:rPr>
        <w:t>Do conjunto de dados observados, constata-se que os municípios mais populosos apresentam</w:t>
      </w:r>
      <w:r w:rsidR="00E0449D">
        <w:rPr>
          <w:rFonts w:asciiTheme="minorHAnsi" w:hAnsiTheme="minorHAnsi"/>
          <w:color w:val="000000" w:themeColor="text1"/>
        </w:rPr>
        <w:t xml:space="preserve"> um </w:t>
      </w:r>
      <w:r>
        <w:rPr>
          <w:rFonts w:asciiTheme="minorHAnsi" w:hAnsiTheme="minorHAnsi"/>
          <w:color w:val="000000" w:themeColor="text1"/>
        </w:rPr>
        <w:t xml:space="preserve"> grau de tra</w:t>
      </w:r>
      <w:r w:rsidR="00E0449D">
        <w:rPr>
          <w:rFonts w:asciiTheme="minorHAnsi" w:hAnsiTheme="minorHAnsi"/>
          <w:color w:val="000000" w:themeColor="text1"/>
        </w:rPr>
        <w:t>tamento de esgotos mais elevado, sendo que os sistemas operados por empresas microrregionais privadas</w:t>
      </w:r>
      <w:r w:rsidR="00D06371">
        <w:rPr>
          <w:rFonts w:asciiTheme="minorHAnsi" w:hAnsiTheme="minorHAnsi"/>
          <w:color w:val="000000" w:themeColor="text1"/>
        </w:rPr>
        <w:t xml:space="preserve">, segundo os dados do SNIS 2016, </w:t>
      </w:r>
      <w:r w:rsidR="00E0449D">
        <w:rPr>
          <w:rFonts w:asciiTheme="minorHAnsi" w:hAnsiTheme="minorHAnsi"/>
          <w:color w:val="000000" w:themeColor="text1"/>
        </w:rPr>
        <w:t xml:space="preserve"> apresentam índices de tratamento de esgotos da ordem de 100%.</w:t>
      </w:r>
    </w:p>
    <w:p w14:paraId="7284A737" w14:textId="77777777" w:rsidR="00E36FCC" w:rsidRDefault="00E36FCC" w:rsidP="009B77F9">
      <w:pPr>
        <w:spacing w:after="120" w:line="276" w:lineRule="auto"/>
        <w:ind w:firstLine="0"/>
        <w:jc w:val="both"/>
        <w:rPr>
          <w:rFonts w:asciiTheme="minorHAnsi" w:hAnsiTheme="minorHAnsi"/>
          <w:color w:val="000000" w:themeColor="text1"/>
        </w:rPr>
      </w:pPr>
    </w:p>
    <w:p w14:paraId="7D870A2B" w14:textId="7191029A" w:rsidR="00D06371" w:rsidRDefault="00D06371" w:rsidP="00D06371">
      <w:pPr>
        <w:widowControl/>
        <w:spacing w:after="200" w:line="276" w:lineRule="auto"/>
        <w:ind w:firstLine="0"/>
        <w:jc w:val="both"/>
        <w:rPr>
          <w:rFonts w:asciiTheme="minorHAnsi" w:hAnsiTheme="minorHAnsi" w:cs="Arial-BoldMT"/>
          <w:b/>
          <w:bCs/>
        </w:rPr>
      </w:pPr>
      <w:r>
        <w:rPr>
          <w:rFonts w:asciiTheme="minorHAnsi" w:hAnsiTheme="minorHAnsi" w:cs="Arial-BoldMT"/>
          <w:b/>
          <w:bCs/>
        </w:rPr>
        <w:t>3.3</w:t>
      </w:r>
      <w:r w:rsidR="00AC16CD">
        <w:rPr>
          <w:rFonts w:asciiTheme="minorHAnsi" w:hAnsiTheme="minorHAnsi" w:cs="Arial-BoldMT"/>
          <w:b/>
          <w:bCs/>
        </w:rPr>
        <w:t xml:space="preserve"> </w:t>
      </w:r>
      <w:r w:rsidRPr="0089744B">
        <w:rPr>
          <w:rFonts w:asciiTheme="minorHAnsi" w:hAnsiTheme="minorHAnsi" w:cs="Arial-BoldMT"/>
          <w:b/>
          <w:bCs/>
        </w:rPr>
        <w:t xml:space="preserve"> </w:t>
      </w:r>
      <w:r>
        <w:rPr>
          <w:rFonts w:asciiTheme="minorHAnsi" w:hAnsiTheme="minorHAnsi" w:cs="Arial-BoldMT"/>
          <w:b/>
          <w:bCs/>
        </w:rPr>
        <w:t xml:space="preserve">Desempenho dos Prestadores de Serviços </w:t>
      </w:r>
    </w:p>
    <w:p w14:paraId="579253EE" w14:textId="3F9745D8" w:rsidR="006A5A9D" w:rsidRDefault="00D06371" w:rsidP="00D06371">
      <w:pPr>
        <w:widowControl/>
        <w:spacing w:after="200" w:line="276" w:lineRule="auto"/>
        <w:ind w:firstLine="0"/>
        <w:jc w:val="both"/>
        <w:rPr>
          <w:rFonts w:asciiTheme="minorHAnsi" w:hAnsiTheme="minorHAnsi" w:cs="Arial-BoldMT"/>
          <w:bCs/>
        </w:rPr>
      </w:pPr>
      <w:r w:rsidRPr="00D06371">
        <w:rPr>
          <w:rFonts w:asciiTheme="minorHAnsi" w:hAnsiTheme="minorHAnsi" w:cs="Arial-BoldMT"/>
          <w:bCs/>
        </w:rPr>
        <w:t xml:space="preserve">Com </w:t>
      </w:r>
      <w:r w:rsidR="004B5D64">
        <w:rPr>
          <w:rFonts w:asciiTheme="minorHAnsi" w:hAnsiTheme="minorHAnsi" w:cs="Arial-BoldMT"/>
          <w:bCs/>
        </w:rPr>
        <w:t xml:space="preserve">a finalidade de caracterizar </w:t>
      </w:r>
      <w:r>
        <w:rPr>
          <w:rFonts w:asciiTheme="minorHAnsi" w:hAnsiTheme="minorHAnsi" w:cs="Arial-BoldMT"/>
          <w:bCs/>
        </w:rPr>
        <w:t>a capacidade institucional dos pre</w:t>
      </w:r>
      <w:r w:rsidR="0058069F">
        <w:rPr>
          <w:rFonts w:asciiTheme="minorHAnsi" w:hAnsiTheme="minorHAnsi" w:cs="Arial-BoldMT"/>
          <w:bCs/>
        </w:rPr>
        <w:t>stadores de serviços, o Quadro 7</w:t>
      </w:r>
      <w:r>
        <w:rPr>
          <w:rFonts w:asciiTheme="minorHAnsi" w:hAnsiTheme="minorHAnsi" w:cs="Arial-BoldMT"/>
          <w:bCs/>
        </w:rPr>
        <w:t>, a seguir, apresenta alguns indicadore</w:t>
      </w:r>
      <w:r w:rsidR="004B5D64">
        <w:rPr>
          <w:rFonts w:asciiTheme="minorHAnsi" w:hAnsiTheme="minorHAnsi" w:cs="Arial-BoldMT"/>
          <w:bCs/>
        </w:rPr>
        <w:t>s  de desempenho significativos dentro do contexto do setor de saneamento.</w:t>
      </w:r>
    </w:p>
    <w:p w14:paraId="69A4EAAA" w14:textId="471EED5C" w:rsidR="006A5A9D" w:rsidRDefault="006A5A9D" w:rsidP="00D06371">
      <w:pPr>
        <w:widowControl/>
        <w:spacing w:after="200" w:line="276" w:lineRule="auto"/>
        <w:ind w:firstLine="0"/>
        <w:jc w:val="both"/>
        <w:rPr>
          <w:rFonts w:asciiTheme="minorHAnsi" w:hAnsiTheme="minorHAnsi" w:cs="Arial-BoldMT"/>
          <w:bCs/>
        </w:rPr>
      </w:pPr>
      <w:r>
        <w:rPr>
          <w:rFonts w:asciiTheme="minorHAnsi" w:hAnsiTheme="minorHAnsi" w:cs="Arial-BoldMT"/>
          <w:bCs/>
          <w:noProof/>
          <w:lang w:val="en-US" w:eastAsia="en-US"/>
        </w:rPr>
        <w:drawing>
          <wp:inline distT="0" distB="0" distL="0" distR="0" wp14:anchorId="40210EA6" wp14:editId="03DDB17C">
            <wp:extent cx="5400040" cy="3058298"/>
            <wp:effectExtent l="0" t="0" r="10160" b="0"/>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3058298"/>
                    </a:xfrm>
                    <a:prstGeom prst="rect">
                      <a:avLst/>
                    </a:prstGeom>
                    <a:noFill/>
                    <a:ln>
                      <a:noFill/>
                    </a:ln>
                  </pic:spPr>
                </pic:pic>
              </a:graphicData>
            </a:graphic>
          </wp:inline>
        </w:drawing>
      </w:r>
    </w:p>
    <w:p w14:paraId="50007D50" w14:textId="6AEE9033" w:rsidR="0058069F" w:rsidRDefault="006A5A9D" w:rsidP="00D06371">
      <w:pPr>
        <w:widowControl/>
        <w:spacing w:after="200" w:line="276" w:lineRule="auto"/>
        <w:ind w:firstLine="0"/>
        <w:jc w:val="both"/>
        <w:rPr>
          <w:rFonts w:asciiTheme="minorHAnsi" w:hAnsiTheme="minorHAnsi" w:cs="Arial-BoldMT"/>
          <w:bCs/>
        </w:rPr>
      </w:pPr>
      <w:r w:rsidRPr="006A5A9D">
        <w:rPr>
          <w:rFonts w:asciiTheme="minorHAnsi" w:hAnsiTheme="minorHAnsi" w:cs="Arial-BoldMT"/>
          <w:bCs/>
          <w:noProof/>
          <w:lang w:val="en-US" w:eastAsia="en-US"/>
        </w:rPr>
        <w:t xml:space="preserve"> </w:t>
      </w:r>
      <w:r w:rsidR="00D06371">
        <w:rPr>
          <w:rFonts w:asciiTheme="minorHAnsi" w:hAnsiTheme="minorHAnsi" w:cs="Arial-BoldMT"/>
          <w:bCs/>
        </w:rPr>
        <w:t xml:space="preserve"> </w:t>
      </w:r>
    </w:p>
    <w:p w14:paraId="32B657F6" w14:textId="5D628AC8" w:rsidR="00ED2B11" w:rsidRPr="00D06371" w:rsidRDefault="006A5A9D" w:rsidP="00D06371">
      <w:pPr>
        <w:widowControl/>
        <w:spacing w:after="200" w:line="276" w:lineRule="auto"/>
        <w:ind w:firstLine="0"/>
        <w:jc w:val="both"/>
        <w:rPr>
          <w:rFonts w:asciiTheme="minorHAnsi" w:hAnsiTheme="minorHAnsi" w:cs="Arial-BoldMT"/>
          <w:bCs/>
        </w:rPr>
      </w:pPr>
      <w:r>
        <w:rPr>
          <w:rFonts w:asciiTheme="minorHAnsi" w:hAnsiTheme="minorHAnsi" w:cs="Arial-BoldMT"/>
          <w:bCs/>
          <w:noProof/>
          <w:lang w:val="en-US" w:eastAsia="en-US"/>
        </w:rPr>
        <w:drawing>
          <wp:inline distT="0" distB="0" distL="0" distR="0" wp14:anchorId="43824A24" wp14:editId="1EEBF6AA">
            <wp:extent cx="5400040" cy="2529001"/>
            <wp:effectExtent l="0" t="0" r="10160" b="0"/>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2529001"/>
                    </a:xfrm>
                    <a:prstGeom prst="rect">
                      <a:avLst/>
                    </a:prstGeom>
                    <a:noFill/>
                    <a:ln>
                      <a:noFill/>
                    </a:ln>
                  </pic:spPr>
                </pic:pic>
              </a:graphicData>
            </a:graphic>
          </wp:inline>
        </w:drawing>
      </w:r>
    </w:p>
    <w:p w14:paraId="3B3BA3F1" w14:textId="0FB85DF4" w:rsidR="00DD7B30" w:rsidRDefault="00D63787" w:rsidP="009B77F9">
      <w:pPr>
        <w:spacing w:after="120" w:line="276" w:lineRule="auto"/>
        <w:ind w:firstLine="0"/>
        <w:jc w:val="both"/>
        <w:rPr>
          <w:rFonts w:asciiTheme="minorHAnsi" w:hAnsiTheme="minorHAnsi"/>
          <w:color w:val="000000" w:themeColor="text1"/>
        </w:rPr>
      </w:pPr>
      <w:r>
        <w:rPr>
          <w:rFonts w:asciiTheme="minorHAnsi" w:hAnsiTheme="minorHAnsi"/>
          <w:color w:val="000000" w:themeColor="text1"/>
        </w:rPr>
        <w:t>Tomando como referencia o</w:t>
      </w:r>
      <w:r w:rsidR="0058069F">
        <w:rPr>
          <w:rFonts w:asciiTheme="minorHAnsi" w:hAnsiTheme="minorHAnsi"/>
          <w:color w:val="000000" w:themeColor="text1"/>
        </w:rPr>
        <w:t>s dados apresentados no Quadro 7</w:t>
      </w:r>
      <w:r>
        <w:rPr>
          <w:rFonts w:asciiTheme="minorHAnsi" w:hAnsiTheme="minorHAnsi"/>
          <w:color w:val="000000" w:themeColor="text1"/>
        </w:rPr>
        <w:t>, constata-se uma grande variação de desempenho entre os prestadores de serviços observados pela amostra, podendo ser destacados os seguintes pontos:</w:t>
      </w:r>
    </w:p>
    <w:p w14:paraId="50B33D7C" w14:textId="1B04A2DC" w:rsidR="00D63787" w:rsidRDefault="00ED2B11" w:rsidP="00CB27A1">
      <w:pPr>
        <w:pStyle w:val="ListParagraph"/>
        <w:numPr>
          <w:ilvl w:val="0"/>
          <w:numId w:val="9"/>
        </w:numPr>
        <w:spacing w:after="120" w:line="276" w:lineRule="auto"/>
        <w:jc w:val="both"/>
        <w:rPr>
          <w:rFonts w:asciiTheme="minorHAnsi" w:hAnsiTheme="minorHAnsi"/>
          <w:color w:val="000000" w:themeColor="text1"/>
        </w:rPr>
      </w:pPr>
      <w:r>
        <w:rPr>
          <w:rFonts w:asciiTheme="minorHAnsi" w:hAnsiTheme="minorHAnsi"/>
          <w:color w:val="000000" w:themeColor="text1"/>
        </w:rPr>
        <w:t>O índice</w:t>
      </w:r>
      <w:r w:rsidR="00D63787" w:rsidRPr="00D63787">
        <w:rPr>
          <w:rFonts w:asciiTheme="minorHAnsi" w:hAnsiTheme="minorHAnsi"/>
          <w:color w:val="000000" w:themeColor="text1"/>
        </w:rPr>
        <w:t xml:space="preserve"> </w:t>
      </w:r>
      <w:r w:rsidR="00D63787">
        <w:rPr>
          <w:rFonts w:asciiTheme="minorHAnsi" w:hAnsiTheme="minorHAnsi"/>
          <w:color w:val="000000" w:themeColor="text1"/>
        </w:rPr>
        <w:t xml:space="preserve">Margem Operacional (relação entre a Despesa de Exploração e a Receita Operacional), </w:t>
      </w:r>
      <w:r>
        <w:rPr>
          <w:rFonts w:asciiTheme="minorHAnsi" w:hAnsiTheme="minorHAnsi"/>
          <w:color w:val="000000" w:themeColor="text1"/>
        </w:rPr>
        <w:t xml:space="preserve">é um </w:t>
      </w:r>
      <w:r w:rsidR="00D63787">
        <w:rPr>
          <w:rFonts w:asciiTheme="minorHAnsi" w:hAnsiTheme="minorHAnsi"/>
          <w:color w:val="000000" w:themeColor="text1"/>
        </w:rPr>
        <w:t>indicador que demonstra o equilíbrio financ</w:t>
      </w:r>
      <w:r w:rsidR="00950F84">
        <w:rPr>
          <w:rFonts w:asciiTheme="minorHAnsi" w:hAnsiTheme="minorHAnsi"/>
          <w:color w:val="000000" w:themeColor="text1"/>
        </w:rPr>
        <w:t>eiro da prestação dos serviços;</w:t>
      </w:r>
      <w:r w:rsidR="00D63787">
        <w:rPr>
          <w:rFonts w:asciiTheme="minorHAnsi" w:hAnsiTheme="minorHAnsi"/>
          <w:color w:val="000000" w:themeColor="text1"/>
        </w:rPr>
        <w:t xml:space="preserve"> verifica-se que:</w:t>
      </w:r>
    </w:p>
    <w:p w14:paraId="3603DA7D" w14:textId="21F3719F" w:rsidR="00FE52C5" w:rsidRDefault="00FE52C5" w:rsidP="00CB27A1">
      <w:pPr>
        <w:pStyle w:val="ListParagraph"/>
        <w:numPr>
          <w:ilvl w:val="0"/>
          <w:numId w:val="10"/>
        </w:numPr>
        <w:spacing w:after="120" w:line="276" w:lineRule="auto"/>
        <w:jc w:val="both"/>
        <w:rPr>
          <w:rFonts w:asciiTheme="minorHAnsi" w:hAnsiTheme="minorHAnsi"/>
          <w:color w:val="000000" w:themeColor="text1"/>
        </w:rPr>
      </w:pPr>
      <w:r>
        <w:rPr>
          <w:rFonts w:asciiTheme="minorHAnsi" w:hAnsiTheme="minorHAnsi"/>
          <w:color w:val="000000" w:themeColor="text1"/>
        </w:rPr>
        <w:t xml:space="preserve">Os menores indicadores de </w:t>
      </w:r>
      <w:r w:rsidR="00D63787">
        <w:rPr>
          <w:rFonts w:asciiTheme="minorHAnsi" w:hAnsiTheme="minorHAnsi"/>
          <w:color w:val="000000" w:themeColor="text1"/>
        </w:rPr>
        <w:t>Margem Operacional</w:t>
      </w:r>
      <w:r>
        <w:rPr>
          <w:rFonts w:asciiTheme="minorHAnsi" w:hAnsiTheme="minorHAnsi"/>
          <w:color w:val="000000" w:themeColor="text1"/>
        </w:rPr>
        <w:t xml:space="preserve"> Média (64,44%), referem-se aos </w:t>
      </w:r>
      <w:r w:rsidR="00D63787">
        <w:rPr>
          <w:rFonts w:asciiTheme="minorHAnsi" w:hAnsiTheme="minorHAnsi"/>
          <w:color w:val="000000" w:themeColor="text1"/>
        </w:rPr>
        <w:t xml:space="preserve">prestadores de abrangência </w:t>
      </w:r>
      <w:r>
        <w:rPr>
          <w:rFonts w:asciiTheme="minorHAnsi" w:hAnsiTheme="minorHAnsi"/>
          <w:color w:val="000000" w:themeColor="text1"/>
        </w:rPr>
        <w:t>microrregional, seguidos de perto pelo prestadores privados de abrangência local (65,88%);</w:t>
      </w:r>
      <w:r w:rsidR="00CB27A1">
        <w:rPr>
          <w:rFonts w:asciiTheme="minorHAnsi" w:hAnsiTheme="minorHAnsi"/>
          <w:color w:val="000000" w:themeColor="text1"/>
        </w:rPr>
        <w:t xml:space="preserve"> nesses sistemas a receita além de cobrir as despesas de exploração dos serviços, é suficiente para fazer frente ao pagamento de eventuais serviços da dívida, bem como investimentos com recursos próprios;</w:t>
      </w:r>
    </w:p>
    <w:p w14:paraId="5A95755F" w14:textId="5570BD79" w:rsidR="00FE52C5" w:rsidRDefault="00FE52C5" w:rsidP="00CB27A1">
      <w:pPr>
        <w:pStyle w:val="ListParagraph"/>
        <w:numPr>
          <w:ilvl w:val="0"/>
          <w:numId w:val="10"/>
        </w:numPr>
        <w:spacing w:after="120" w:line="276" w:lineRule="auto"/>
        <w:jc w:val="both"/>
        <w:rPr>
          <w:rFonts w:asciiTheme="minorHAnsi" w:hAnsiTheme="minorHAnsi"/>
          <w:color w:val="000000" w:themeColor="text1"/>
        </w:rPr>
      </w:pPr>
      <w:r>
        <w:rPr>
          <w:rFonts w:asciiTheme="minorHAnsi" w:hAnsiTheme="minorHAnsi"/>
          <w:color w:val="000000" w:themeColor="text1"/>
        </w:rPr>
        <w:t>Os maiores indicadores de Margem Operacional Média são dos prestadores públicos de abrangência local, com índices superiores a 100%, situação que demonstra</w:t>
      </w:r>
      <w:r w:rsidR="00CB27A1">
        <w:rPr>
          <w:rFonts w:asciiTheme="minorHAnsi" w:hAnsiTheme="minorHAnsi"/>
          <w:color w:val="000000" w:themeColor="text1"/>
        </w:rPr>
        <w:t xml:space="preserve"> a inviabilidade financeira dess</w:t>
      </w:r>
      <w:r>
        <w:rPr>
          <w:rFonts w:asciiTheme="minorHAnsi" w:hAnsiTheme="minorHAnsi"/>
          <w:color w:val="000000" w:themeColor="text1"/>
        </w:rPr>
        <w:t>es sistemas, na medida em que as despesas para prestação dos serviços são superiores às receitas operacionais d</w:t>
      </w:r>
      <w:r w:rsidR="00CB27A1">
        <w:rPr>
          <w:rFonts w:asciiTheme="minorHAnsi" w:hAnsiTheme="minorHAnsi"/>
          <w:color w:val="000000" w:themeColor="text1"/>
        </w:rPr>
        <w:t xml:space="preserve">os mesmos; </w:t>
      </w:r>
    </w:p>
    <w:p w14:paraId="5F29CAFE" w14:textId="0FDA6AA5" w:rsidR="00CB27A1" w:rsidRDefault="00CB27A1" w:rsidP="00CB27A1">
      <w:pPr>
        <w:pStyle w:val="ListParagraph"/>
        <w:numPr>
          <w:ilvl w:val="0"/>
          <w:numId w:val="10"/>
        </w:numPr>
        <w:spacing w:after="120" w:line="276" w:lineRule="auto"/>
        <w:jc w:val="both"/>
        <w:rPr>
          <w:rFonts w:asciiTheme="minorHAnsi" w:hAnsiTheme="minorHAnsi"/>
          <w:color w:val="000000" w:themeColor="text1"/>
        </w:rPr>
      </w:pPr>
      <w:r>
        <w:rPr>
          <w:rFonts w:asciiTheme="minorHAnsi" w:hAnsiTheme="minorHAnsi"/>
          <w:color w:val="000000" w:themeColor="text1"/>
        </w:rPr>
        <w:t xml:space="preserve">Merece destaque o fato de que sistemas na faixa de 50 mil a 200 mil habitantes, operados por prestadores </w:t>
      </w:r>
      <w:r w:rsidR="00ED2B11">
        <w:rPr>
          <w:rFonts w:asciiTheme="minorHAnsi" w:hAnsiTheme="minorHAnsi"/>
          <w:color w:val="000000" w:themeColor="text1"/>
        </w:rPr>
        <w:t xml:space="preserve">de serviços </w:t>
      </w:r>
      <w:r>
        <w:rPr>
          <w:rFonts w:asciiTheme="minorHAnsi" w:hAnsiTheme="minorHAnsi"/>
          <w:color w:val="000000" w:themeColor="text1"/>
        </w:rPr>
        <w:t>re</w:t>
      </w:r>
      <w:r w:rsidR="00ED2B11">
        <w:rPr>
          <w:rFonts w:asciiTheme="minorHAnsi" w:hAnsiTheme="minorHAnsi"/>
          <w:color w:val="000000" w:themeColor="text1"/>
        </w:rPr>
        <w:t xml:space="preserve">gionais, </w:t>
      </w:r>
      <w:r>
        <w:rPr>
          <w:rFonts w:asciiTheme="minorHAnsi" w:hAnsiTheme="minorHAnsi"/>
          <w:color w:val="000000" w:themeColor="text1"/>
        </w:rPr>
        <w:t>em sua maioria companhias est</w:t>
      </w:r>
      <w:r w:rsidR="00ED2B11">
        <w:rPr>
          <w:rFonts w:asciiTheme="minorHAnsi" w:hAnsiTheme="minorHAnsi"/>
          <w:color w:val="000000" w:themeColor="text1"/>
        </w:rPr>
        <w:t>aduais de saneamento, apresentarem</w:t>
      </w:r>
      <w:r>
        <w:rPr>
          <w:rFonts w:asciiTheme="minorHAnsi" w:hAnsiTheme="minorHAnsi"/>
          <w:color w:val="000000" w:themeColor="text1"/>
        </w:rPr>
        <w:t xml:space="preserve"> o indicador de Marg</w:t>
      </w:r>
      <w:r w:rsidR="00ED2B11">
        <w:rPr>
          <w:rFonts w:asciiTheme="minorHAnsi" w:hAnsiTheme="minorHAnsi"/>
          <w:color w:val="000000" w:themeColor="text1"/>
        </w:rPr>
        <w:t>em Operacional da ordem de 100%; essa situação  demonstra</w:t>
      </w:r>
      <w:r>
        <w:rPr>
          <w:rFonts w:asciiTheme="minorHAnsi" w:hAnsiTheme="minorHAnsi"/>
          <w:color w:val="000000" w:themeColor="text1"/>
        </w:rPr>
        <w:t xml:space="preserve"> a invia</w:t>
      </w:r>
      <w:r w:rsidR="00ED2B11">
        <w:rPr>
          <w:rFonts w:asciiTheme="minorHAnsi" w:hAnsiTheme="minorHAnsi"/>
          <w:color w:val="000000" w:themeColor="text1"/>
        </w:rPr>
        <w:t>bilidade financeira dos mesmos, ao mesmo tempo em que  justifica</w:t>
      </w:r>
      <w:r>
        <w:rPr>
          <w:rFonts w:asciiTheme="minorHAnsi" w:hAnsiTheme="minorHAnsi"/>
          <w:color w:val="000000" w:themeColor="text1"/>
        </w:rPr>
        <w:t xml:space="preserve"> a necessidade dos subsídios cruzados praticados;</w:t>
      </w:r>
    </w:p>
    <w:p w14:paraId="0834490B" w14:textId="2D6F7B80" w:rsidR="00D63787" w:rsidRDefault="00ED2B11" w:rsidP="00CA266B">
      <w:pPr>
        <w:pStyle w:val="ListParagraph"/>
        <w:numPr>
          <w:ilvl w:val="0"/>
          <w:numId w:val="9"/>
        </w:numPr>
        <w:spacing w:after="120" w:line="276" w:lineRule="auto"/>
        <w:jc w:val="both"/>
        <w:rPr>
          <w:rFonts w:asciiTheme="minorHAnsi" w:hAnsiTheme="minorHAnsi"/>
          <w:color w:val="000000" w:themeColor="text1"/>
        </w:rPr>
      </w:pPr>
      <w:r>
        <w:rPr>
          <w:rFonts w:asciiTheme="minorHAnsi" w:hAnsiTheme="minorHAnsi"/>
          <w:color w:val="000000" w:themeColor="text1"/>
        </w:rPr>
        <w:t>O índice</w:t>
      </w:r>
      <w:r w:rsidR="00CB27A1" w:rsidRPr="00CA266B">
        <w:rPr>
          <w:rFonts w:asciiTheme="minorHAnsi" w:hAnsiTheme="minorHAnsi"/>
          <w:color w:val="000000" w:themeColor="text1"/>
        </w:rPr>
        <w:t xml:space="preserve"> de Evasão de Receita (relação entre a Arrecadação e o Faturamento), </w:t>
      </w:r>
      <w:r>
        <w:rPr>
          <w:rFonts w:asciiTheme="minorHAnsi" w:hAnsiTheme="minorHAnsi"/>
          <w:color w:val="000000" w:themeColor="text1"/>
        </w:rPr>
        <w:t xml:space="preserve">é um </w:t>
      </w:r>
      <w:r w:rsidR="00CB27A1" w:rsidRPr="00CA266B">
        <w:rPr>
          <w:rFonts w:asciiTheme="minorHAnsi" w:hAnsiTheme="minorHAnsi"/>
          <w:color w:val="000000" w:themeColor="text1"/>
        </w:rPr>
        <w:t>indicador que demonstra a eficiência de r</w:t>
      </w:r>
      <w:r w:rsidR="00950F84">
        <w:rPr>
          <w:rFonts w:asciiTheme="minorHAnsi" w:hAnsiTheme="minorHAnsi"/>
          <w:color w:val="000000" w:themeColor="text1"/>
        </w:rPr>
        <w:t>ecebimento do sistema comercial;</w:t>
      </w:r>
      <w:r w:rsidR="00CB27A1" w:rsidRPr="00CA266B">
        <w:rPr>
          <w:rFonts w:asciiTheme="minorHAnsi" w:hAnsiTheme="minorHAnsi"/>
          <w:color w:val="000000" w:themeColor="text1"/>
        </w:rPr>
        <w:t xml:space="preserve"> verifica-se que </w:t>
      </w:r>
      <w:r w:rsidR="00CA266B">
        <w:rPr>
          <w:rFonts w:asciiTheme="minorHAnsi" w:hAnsiTheme="minorHAnsi"/>
          <w:color w:val="000000" w:themeColor="text1"/>
        </w:rPr>
        <w:t>o indicador médio de todos os prestadores da ordem de 6%, pode ser considerado como satisfatório; vale ressaltar que os dados do SNIS 2016</w:t>
      </w:r>
      <w:r w:rsidR="00B960B3">
        <w:rPr>
          <w:rFonts w:asciiTheme="minorHAnsi" w:hAnsiTheme="minorHAnsi"/>
          <w:color w:val="000000" w:themeColor="text1"/>
        </w:rPr>
        <w:t>,</w:t>
      </w:r>
      <w:r w:rsidR="00CA266B">
        <w:rPr>
          <w:rFonts w:asciiTheme="minorHAnsi" w:hAnsiTheme="minorHAnsi"/>
          <w:color w:val="000000" w:themeColor="text1"/>
        </w:rPr>
        <w:t xml:space="preserve"> para os prestadores públicos de abrangência local, da ordem de 1,59% não parecem consistentes;</w:t>
      </w:r>
      <w:r w:rsidR="00394F88">
        <w:rPr>
          <w:rFonts w:asciiTheme="minorHAnsi" w:hAnsiTheme="minorHAnsi"/>
          <w:color w:val="000000" w:themeColor="text1"/>
        </w:rPr>
        <w:t xml:space="preserve"> e</w:t>
      </w:r>
    </w:p>
    <w:p w14:paraId="18593955" w14:textId="77777777" w:rsidR="00ED2B11" w:rsidRDefault="00ED2B11" w:rsidP="00ED2B11">
      <w:pPr>
        <w:pStyle w:val="ListParagraph"/>
        <w:spacing w:after="120" w:line="276" w:lineRule="auto"/>
        <w:ind w:firstLine="0"/>
        <w:jc w:val="both"/>
        <w:rPr>
          <w:rFonts w:asciiTheme="minorHAnsi" w:hAnsiTheme="minorHAnsi"/>
          <w:color w:val="000000" w:themeColor="text1"/>
        </w:rPr>
      </w:pPr>
    </w:p>
    <w:p w14:paraId="551D9319" w14:textId="5140336E" w:rsidR="00394F88" w:rsidRDefault="00ED2B11" w:rsidP="008A0188">
      <w:pPr>
        <w:pStyle w:val="ListParagraph"/>
        <w:numPr>
          <w:ilvl w:val="0"/>
          <w:numId w:val="9"/>
        </w:numPr>
        <w:spacing w:after="120" w:line="276" w:lineRule="auto"/>
        <w:jc w:val="both"/>
        <w:rPr>
          <w:rFonts w:asciiTheme="minorHAnsi" w:hAnsiTheme="minorHAnsi"/>
          <w:color w:val="000000" w:themeColor="text1"/>
        </w:rPr>
      </w:pPr>
      <w:r>
        <w:rPr>
          <w:rFonts w:asciiTheme="minorHAnsi" w:hAnsiTheme="minorHAnsi"/>
          <w:color w:val="000000" w:themeColor="text1"/>
        </w:rPr>
        <w:t>O índice</w:t>
      </w:r>
      <w:r w:rsidR="00B960B3" w:rsidRPr="00B960B3">
        <w:rPr>
          <w:rFonts w:asciiTheme="minorHAnsi" w:hAnsiTheme="minorHAnsi"/>
          <w:color w:val="000000" w:themeColor="text1"/>
        </w:rPr>
        <w:t xml:space="preserve"> de Produtividade (relação entre o Número de Empregados Próprios e o Número Total de Ligações de Água e Esgotos), </w:t>
      </w:r>
      <w:r>
        <w:rPr>
          <w:rFonts w:asciiTheme="minorHAnsi" w:hAnsiTheme="minorHAnsi"/>
          <w:color w:val="000000" w:themeColor="text1"/>
        </w:rPr>
        <w:t xml:space="preserve">é um </w:t>
      </w:r>
      <w:r w:rsidR="00B960B3" w:rsidRPr="00B960B3">
        <w:rPr>
          <w:rFonts w:asciiTheme="minorHAnsi" w:hAnsiTheme="minorHAnsi"/>
          <w:color w:val="000000" w:themeColor="text1"/>
        </w:rPr>
        <w:t xml:space="preserve">indicador que demonstra o dimensionamento </w:t>
      </w:r>
      <w:r w:rsidR="00D0265B">
        <w:rPr>
          <w:rFonts w:asciiTheme="minorHAnsi" w:hAnsiTheme="minorHAnsi"/>
          <w:color w:val="000000" w:themeColor="text1"/>
        </w:rPr>
        <w:t xml:space="preserve">adequado </w:t>
      </w:r>
      <w:r w:rsidR="00B960B3" w:rsidRPr="00B960B3">
        <w:rPr>
          <w:rFonts w:asciiTheme="minorHAnsi" w:hAnsiTheme="minorHAnsi"/>
          <w:color w:val="000000" w:themeColor="text1"/>
        </w:rPr>
        <w:t>da força de tr</w:t>
      </w:r>
      <w:r>
        <w:rPr>
          <w:rFonts w:asciiTheme="minorHAnsi" w:hAnsiTheme="minorHAnsi"/>
          <w:color w:val="000000" w:themeColor="text1"/>
        </w:rPr>
        <w:t>abalho do prestador de serviços;</w:t>
      </w:r>
      <w:r w:rsidR="00B960B3" w:rsidRPr="00B960B3">
        <w:rPr>
          <w:rFonts w:asciiTheme="minorHAnsi" w:hAnsiTheme="minorHAnsi"/>
          <w:color w:val="000000" w:themeColor="text1"/>
        </w:rPr>
        <w:t xml:space="preserve"> verifica-se que o indicador médio de todos os prestadores da ordem de 2,44 empregado/1000 Ligações (A+E), pode ser considerado como satisfatório;</w:t>
      </w:r>
      <w:r w:rsidR="00D0265B">
        <w:rPr>
          <w:rFonts w:asciiTheme="minorHAnsi" w:hAnsiTheme="minorHAnsi"/>
          <w:color w:val="000000" w:themeColor="text1"/>
        </w:rPr>
        <w:t xml:space="preserve"> cabe ressaltar a baixa relação dos prestadores microrregionais (1,36 </w:t>
      </w:r>
      <w:r w:rsidR="00D0265B" w:rsidRPr="00B960B3">
        <w:rPr>
          <w:rFonts w:asciiTheme="minorHAnsi" w:hAnsiTheme="minorHAnsi"/>
          <w:color w:val="000000" w:themeColor="text1"/>
        </w:rPr>
        <w:t>empregado/1000 Ligações (A+E)</w:t>
      </w:r>
      <w:r w:rsidR="00D0265B">
        <w:rPr>
          <w:rFonts w:asciiTheme="minorHAnsi" w:hAnsiTheme="minorHAnsi"/>
          <w:color w:val="000000" w:themeColor="text1"/>
        </w:rPr>
        <w:t xml:space="preserve">), o que demonstrando a eficiência </w:t>
      </w:r>
      <w:r w:rsidR="00394F88">
        <w:rPr>
          <w:rFonts w:asciiTheme="minorHAnsi" w:hAnsiTheme="minorHAnsi"/>
          <w:color w:val="000000" w:themeColor="text1"/>
        </w:rPr>
        <w:t>desses operadores neste quesito.</w:t>
      </w:r>
    </w:p>
    <w:p w14:paraId="2F4BC272" w14:textId="77777777" w:rsidR="00B940E4" w:rsidRDefault="00D0265B" w:rsidP="00394F88">
      <w:pPr>
        <w:spacing w:after="120" w:line="276" w:lineRule="auto"/>
        <w:ind w:firstLine="0"/>
        <w:jc w:val="both"/>
        <w:rPr>
          <w:rFonts w:asciiTheme="minorHAnsi" w:hAnsiTheme="minorHAnsi"/>
          <w:color w:val="000000" w:themeColor="text1"/>
        </w:rPr>
      </w:pPr>
      <w:r w:rsidRPr="00394F88">
        <w:rPr>
          <w:rFonts w:asciiTheme="minorHAnsi" w:hAnsiTheme="minorHAnsi"/>
          <w:color w:val="000000" w:themeColor="text1"/>
        </w:rPr>
        <w:t>Concluindo a aná</w:t>
      </w:r>
      <w:r w:rsidR="00E00F67" w:rsidRPr="00394F88">
        <w:rPr>
          <w:rFonts w:asciiTheme="minorHAnsi" w:hAnsiTheme="minorHAnsi"/>
          <w:color w:val="000000" w:themeColor="text1"/>
        </w:rPr>
        <w:t>lise das informações do</w:t>
      </w:r>
      <w:r w:rsidR="00394F88" w:rsidRPr="00394F88">
        <w:rPr>
          <w:rFonts w:asciiTheme="minorHAnsi" w:hAnsiTheme="minorHAnsi"/>
          <w:color w:val="000000" w:themeColor="text1"/>
        </w:rPr>
        <w:t xml:space="preserve"> quadro, o índice de</w:t>
      </w:r>
      <w:r w:rsidRPr="00394F88">
        <w:rPr>
          <w:rFonts w:asciiTheme="minorHAnsi" w:hAnsiTheme="minorHAnsi"/>
          <w:color w:val="000000" w:themeColor="text1"/>
        </w:rPr>
        <w:t xml:space="preserve"> </w:t>
      </w:r>
      <w:r w:rsidR="00ED2B11" w:rsidRPr="00394F88">
        <w:rPr>
          <w:rFonts w:asciiTheme="minorHAnsi" w:hAnsiTheme="minorHAnsi"/>
          <w:color w:val="000000" w:themeColor="text1"/>
        </w:rPr>
        <w:t xml:space="preserve">Incidência de Análises de </w:t>
      </w:r>
      <w:r w:rsidRPr="00394F88">
        <w:rPr>
          <w:rFonts w:asciiTheme="minorHAnsi" w:hAnsiTheme="minorHAnsi"/>
          <w:color w:val="000000" w:themeColor="text1"/>
        </w:rPr>
        <w:t xml:space="preserve">Coliformes </w:t>
      </w:r>
      <w:r w:rsidR="00ED2B11" w:rsidRPr="00394F88">
        <w:rPr>
          <w:rFonts w:asciiTheme="minorHAnsi" w:hAnsiTheme="minorHAnsi"/>
          <w:color w:val="000000" w:themeColor="text1"/>
        </w:rPr>
        <w:t>Totais F</w:t>
      </w:r>
      <w:r w:rsidRPr="00394F88">
        <w:rPr>
          <w:rFonts w:asciiTheme="minorHAnsi" w:hAnsiTheme="minorHAnsi"/>
          <w:color w:val="000000" w:themeColor="text1"/>
        </w:rPr>
        <w:t xml:space="preserve">ora do Padrão (relação entre o Número de Análises </w:t>
      </w:r>
      <w:r w:rsidR="00ED2B11" w:rsidRPr="00394F88">
        <w:rPr>
          <w:rFonts w:asciiTheme="minorHAnsi" w:hAnsiTheme="minorHAnsi"/>
          <w:color w:val="000000" w:themeColor="text1"/>
        </w:rPr>
        <w:t xml:space="preserve">Positivas </w:t>
      </w:r>
      <w:r w:rsidRPr="00394F88">
        <w:rPr>
          <w:rFonts w:asciiTheme="minorHAnsi" w:hAnsiTheme="minorHAnsi"/>
          <w:color w:val="000000" w:themeColor="text1"/>
        </w:rPr>
        <w:t>com Coliformes</w:t>
      </w:r>
      <w:r w:rsidR="00ED2B11" w:rsidRPr="00394F88">
        <w:rPr>
          <w:rFonts w:asciiTheme="minorHAnsi" w:hAnsiTheme="minorHAnsi"/>
          <w:color w:val="000000" w:themeColor="text1"/>
        </w:rPr>
        <w:t xml:space="preserve"> Totais</w:t>
      </w:r>
      <w:r w:rsidRPr="00394F88">
        <w:rPr>
          <w:rFonts w:asciiTheme="minorHAnsi" w:hAnsiTheme="minorHAnsi"/>
          <w:color w:val="000000" w:themeColor="text1"/>
        </w:rPr>
        <w:t xml:space="preserve"> e o Número </w:t>
      </w:r>
      <w:r w:rsidR="00ED2B11" w:rsidRPr="00394F88">
        <w:rPr>
          <w:rFonts w:asciiTheme="minorHAnsi" w:hAnsiTheme="minorHAnsi"/>
          <w:color w:val="000000" w:themeColor="text1"/>
        </w:rPr>
        <w:t xml:space="preserve">Total </w:t>
      </w:r>
      <w:r w:rsidRPr="00394F88">
        <w:rPr>
          <w:rFonts w:asciiTheme="minorHAnsi" w:hAnsiTheme="minorHAnsi"/>
          <w:color w:val="000000" w:themeColor="text1"/>
        </w:rPr>
        <w:t>de Análises de Coliformes</w:t>
      </w:r>
      <w:r w:rsidR="00ED2B11" w:rsidRPr="00394F88">
        <w:rPr>
          <w:rFonts w:asciiTheme="minorHAnsi" w:hAnsiTheme="minorHAnsi"/>
          <w:color w:val="000000" w:themeColor="text1"/>
        </w:rPr>
        <w:t xml:space="preserve"> Totais</w:t>
      </w:r>
      <w:r w:rsidRPr="00394F88">
        <w:rPr>
          <w:rFonts w:asciiTheme="minorHAnsi" w:hAnsiTheme="minorHAnsi"/>
          <w:color w:val="000000" w:themeColor="text1"/>
        </w:rPr>
        <w:t xml:space="preserve">), </w:t>
      </w:r>
      <w:r w:rsidR="00E00F67" w:rsidRPr="00394F88">
        <w:rPr>
          <w:rFonts w:asciiTheme="minorHAnsi" w:hAnsiTheme="minorHAnsi"/>
          <w:color w:val="000000" w:themeColor="text1"/>
        </w:rPr>
        <w:t>é um</w:t>
      </w:r>
      <w:r w:rsidR="00950F84" w:rsidRPr="00394F88">
        <w:rPr>
          <w:rFonts w:asciiTheme="minorHAnsi" w:hAnsiTheme="minorHAnsi"/>
          <w:color w:val="000000" w:themeColor="text1"/>
        </w:rPr>
        <w:t xml:space="preserve"> dos </w:t>
      </w:r>
      <w:r w:rsidRPr="00394F88">
        <w:rPr>
          <w:rFonts w:asciiTheme="minorHAnsi" w:hAnsiTheme="minorHAnsi"/>
          <w:color w:val="000000" w:themeColor="text1"/>
        </w:rPr>
        <w:t>indicador</w:t>
      </w:r>
      <w:r w:rsidR="00950F84" w:rsidRPr="00394F88">
        <w:rPr>
          <w:rFonts w:asciiTheme="minorHAnsi" w:hAnsiTheme="minorHAnsi"/>
          <w:color w:val="000000" w:themeColor="text1"/>
        </w:rPr>
        <w:t>es</w:t>
      </w:r>
      <w:r w:rsidR="00394F88" w:rsidRPr="00394F88">
        <w:rPr>
          <w:rFonts w:asciiTheme="minorHAnsi" w:hAnsiTheme="minorHAnsi"/>
          <w:color w:val="000000" w:themeColor="text1"/>
        </w:rPr>
        <w:t xml:space="preserve"> de qualidade da água distribuída à população e representa o padrão de integridade do sistema de distribuição</w:t>
      </w:r>
      <w:r w:rsidR="00394F88">
        <w:rPr>
          <w:rFonts w:asciiTheme="minorHAnsi" w:hAnsiTheme="minorHAnsi"/>
          <w:color w:val="000000" w:themeColor="text1"/>
        </w:rPr>
        <w:t>. Segundo o Anexo I, da Portaria 2.914, de 12/12/2011, do Ministério da Saúde, que estabelece os Padrões de Po</w:t>
      </w:r>
      <w:r w:rsidR="00B940E4">
        <w:rPr>
          <w:rFonts w:asciiTheme="minorHAnsi" w:hAnsiTheme="minorHAnsi"/>
          <w:color w:val="000000" w:themeColor="text1"/>
        </w:rPr>
        <w:t>tabilidade da Água Distribuída, no País</w:t>
      </w:r>
      <w:r w:rsidR="00394F88">
        <w:rPr>
          <w:rFonts w:asciiTheme="minorHAnsi" w:hAnsiTheme="minorHAnsi"/>
          <w:color w:val="000000" w:themeColor="text1"/>
        </w:rPr>
        <w:t>, para sistemas que abastecem populações a partir de 20 mil habitantes</w:t>
      </w:r>
      <w:r w:rsidR="00B940E4">
        <w:rPr>
          <w:rFonts w:asciiTheme="minorHAnsi" w:hAnsiTheme="minorHAnsi"/>
          <w:color w:val="000000" w:themeColor="text1"/>
        </w:rPr>
        <w:t>, admite-se que</w:t>
      </w:r>
      <w:r w:rsidR="00394F88">
        <w:rPr>
          <w:rFonts w:asciiTheme="minorHAnsi" w:hAnsiTheme="minorHAnsi"/>
          <w:color w:val="000000" w:themeColor="text1"/>
        </w:rPr>
        <w:t xml:space="preserve"> até 5% das amostras analisadas possam </w:t>
      </w:r>
      <w:r w:rsidR="00B940E4">
        <w:rPr>
          <w:rFonts w:asciiTheme="minorHAnsi" w:hAnsiTheme="minorHAnsi"/>
          <w:color w:val="000000" w:themeColor="text1"/>
        </w:rPr>
        <w:t xml:space="preserve">conter coliformes totais. </w:t>
      </w:r>
    </w:p>
    <w:p w14:paraId="793CCEEE" w14:textId="5153B392" w:rsidR="00B940E4" w:rsidRDefault="00B940E4" w:rsidP="00394F88">
      <w:pPr>
        <w:spacing w:after="120" w:line="276" w:lineRule="auto"/>
        <w:ind w:firstLine="0"/>
        <w:jc w:val="both"/>
        <w:rPr>
          <w:rFonts w:asciiTheme="minorHAnsi" w:hAnsiTheme="minorHAnsi"/>
          <w:color w:val="000000" w:themeColor="text1"/>
        </w:rPr>
      </w:pPr>
      <w:r>
        <w:rPr>
          <w:rFonts w:asciiTheme="minorHAnsi" w:hAnsiTheme="minorHAnsi"/>
          <w:color w:val="000000" w:themeColor="text1"/>
        </w:rPr>
        <w:t>No caso em questão, o</w:t>
      </w:r>
      <w:r w:rsidR="008A0188">
        <w:rPr>
          <w:rFonts w:asciiTheme="minorHAnsi" w:hAnsiTheme="minorHAnsi"/>
          <w:color w:val="000000" w:themeColor="text1"/>
        </w:rPr>
        <w:t>s dados apresentados no Quadro 7</w:t>
      </w:r>
      <w:r>
        <w:rPr>
          <w:rFonts w:asciiTheme="minorHAnsi" w:hAnsiTheme="minorHAnsi"/>
          <w:color w:val="000000" w:themeColor="text1"/>
        </w:rPr>
        <w:t>, relativos à incidência de Coliformes Totais, demonstram que apenas para prestadores de serviços públicos de abrangência local essa condição de conformidade não é atendida, em municípios na faixa de 20 mil a 50 mil habitantes.</w:t>
      </w:r>
    </w:p>
    <w:p w14:paraId="0AED047B" w14:textId="2C69DF3D" w:rsidR="00FB2B04" w:rsidRDefault="00FB2B04" w:rsidP="00FB2B04">
      <w:pPr>
        <w:widowControl/>
        <w:spacing w:after="200" w:line="276" w:lineRule="auto"/>
        <w:ind w:firstLine="0"/>
        <w:jc w:val="both"/>
        <w:rPr>
          <w:rFonts w:asciiTheme="minorHAnsi" w:hAnsiTheme="minorHAnsi" w:cs="Arial-BoldMT"/>
          <w:b/>
          <w:bCs/>
        </w:rPr>
      </w:pPr>
      <w:r>
        <w:rPr>
          <w:rFonts w:asciiTheme="minorHAnsi" w:hAnsiTheme="minorHAnsi" w:cs="Arial-BoldMT"/>
          <w:b/>
          <w:bCs/>
        </w:rPr>
        <w:t>3.4</w:t>
      </w:r>
      <w:r w:rsidR="00AC16CD">
        <w:rPr>
          <w:rFonts w:asciiTheme="minorHAnsi" w:hAnsiTheme="minorHAnsi" w:cs="Arial-BoldMT"/>
          <w:b/>
          <w:bCs/>
        </w:rPr>
        <w:t xml:space="preserve">    </w:t>
      </w:r>
      <w:r>
        <w:rPr>
          <w:rFonts w:asciiTheme="minorHAnsi" w:hAnsiTheme="minorHAnsi" w:cs="Arial-BoldMT"/>
          <w:b/>
          <w:bCs/>
        </w:rPr>
        <w:t>Contexto Regulatório</w:t>
      </w:r>
    </w:p>
    <w:p w14:paraId="677AEA61" w14:textId="6005BCF0" w:rsidR="008A0455" w:rsidRDefault="008A0455" w:rsidP="00FB2B04">
      <w:pPr>
        <w:widowControl/>
        <w:spacing w:after="200" w:line="276" w:lineRule="auto"/>
        <w:ind w:firstLine="0"/>
        <w:jc w:val="both"/>
        <w:rPr>
          <w:rFonts w:asciiTheme="minorHAnsi" w:hAnsiTheme="minorHAnsi" w:cs="Arial-BoldMT"/>
          <w:bCs/>
        </w:rPr>
      </w:pPr>
      <w:r>
        <w:rPr>
          <w:rFonts w:asciiTheme="minorHAnsi" w:hAnsiTheme="minorHAnsi" w:cs="Arial-BoldMT"/>
          <w:bCs/>
        </w:rPr>
        <w:t>Conforme estabelece a Lei 11.445/2007, em seu Art. 9</w:t>
      </w:r>
      <w:r w:rsidRPr="008A0455">
        <w:rPr>
          <w:rFonts w:asciiTheme="minorHAnsi" w:hAnsiTheme="minorHAnsi" w:cs="Arial-BoldMT"/>
          <w:bCs/>
          <w:vertAlign w:val="superscript"/>
        </w:rPr>
        <w:t>o</w:t>
      </w:r>
      <w:r>
        <w:rPr>
          <w:rFonts w:asciiTheme="minorHAnsi" w:hAnsiTheme="minorHAnsi" w:cs="Arial-BoldMT"/>
          <w:bCs/>
        </w:rPr>
        <w:t>, dentre as competências previstas para o titular dos serviços de saneamento</w:t>
      </w:r>
      <w:r w:rsidR="00FB2B04" w:rsidRPr="004B5D64">
        <w:rPr>
          <w:rFonts w:asciiTheme="minorHAnsi" w:hAnsiTheme="minorHAnsi" w:cs="Arial-BoldMT"/>
          <w:bCs/>
        </w:rPr>
        <w:t xml:space="preserve"> </w:t>
      </w:r>
      <w:r>
        <w:rPr>
          <w:rFonts w:asciiTheme="minorHAnsi" w:hAnsiTheme="minorHAnsi" w:cs="Arial-BoldMT"/>
          <w:bCs/>
        </w:rPr>
        <w:t>está a designação do ente responsável pela regulação dos serviços:</w:t>
      </w:r>
    </w:p>
    <w:p w14:paraId="54F4188E" w14:textId="77777777" w:rsidR="008A0455" w:rsidRPr="008A0455" w:rsidRDefault="008A0455" w:rsidP="008A0455">
      <w:pPr>
        <w:spacing w:after="200" w:line="276" w:lineRule="auto"/>
        <w:ind w:left="1418" w:firstLine="0"/>
        <w:jc w:val="left"/>
        <w:rPr>
          <w:rFonts w:asciiTheme="minorHAnsi" w:hAnsiTheme="minorHAnsi" w:cs="Arial-BoldMT"/>
          <w:bCs/>
        </w:rPr>
      </w:pPr>
      <w:r w:rsidRPr="008A0455">
        <w:rPr>
          <w:rFonts w:asciiTheme="minorHAnsi" w:hAnsiTheme="minorHAnsi" w:cs="Arial-BoldMT"/>
          <w:bCs/>
          <w:i/>
          <w:iCs/>
        </w:rPr>
        <w:t>Art. 9º O titular dos serviços formulará a respectiva política pública de saneamento básico</w:t>
      </w:r>
      <w:r w:rsidRPr="002D223B">
        <w:rPr>
          <w:rFonts w:asciiTheme="minorHAnsi" w:hAnsiTheme="minorHAnsi" w:cs="Arial-BoldMT"/>
          <w:bCs/>
          <w:i/>
          <w:iCs/>
        </w:rPr>
        <w:t>, devendo</w:t>
      </w:r>
      <w:r w:rsidRPr="008A0455">
        <w:rPr>
          <w:rFonts w:asciiTheme="minorHAnsi" w:hAnsiTheme="minorHAnsi" w:cs="Arial-BoldMT"/>
          <w:bCs/>
          <w:i/>
          <w:iCs/>
        </w:rPr>
        <w:t xml:space="preserve"> para tanto:</w:t>
      </w:r>
    </w:p>
    <w:p w14:paraId="335ED228" w14:textId="77777777" w:rsidR="008A0455" w:rsidRPr="008A0455" w:rsidRDefault="008A0455" w:rsidP="008A0455">
      <w:pPr>
        <w:spacing w:after="200" w:line="276" w:lineRule="auto"/>
        <w:ind w:left="1418" w:firstLine="0"/>
        <w:jc w:val="left"/>
        <w:rPr>
          <w:rFonts w:asciiTheme="minorHAnsi" w:hAnsiTheme="minorHAnsi" w:cs="Arial-BoldMT"/>
          <w:bCs/>
        </w:rPr>
      </w:pPr>
      <w:r w:rsidRPr="008A0455">
        <w:rPr>
          <w:rFonts w:asciiTheme="minorHAnsi" w:hAnsiTheme="minorHAnsi" w:cs="Arial-BoldMT"/>
          <w:bCs/>
          <w:i/>
          <w:iCs/>
        </w:rPr>
        <w:t>I – elaborar os planos de saneamento básico, nos termos desta Lei;</w:t>
      </w:r>
    </w:p>
    <w:p w14:paraId="57B128D0" w14:textId="77777777" w:rsidR="008A0455" w:rsidRDefault="008A0455" w:rsidP="008A0455">
      <w:pPr>
        <w:spacing w:after="200" w:line="276" w:lineRule="auto"/>
        <w:ind w:left="1418" w:firstLine="0"/>
        <w:jc w:val="left"/>
        <w:rPr>
          <w:rFonts w:asciiTheme="minorHAnsi" w:hAnsiTheme="minorHAnsi" w:cs="Arial-BoldMT"/>
          <w:bCs/>
          <w:i/>
          <w:iCs/>
        </w:rPr>
      </w:pPr>
      <w:r w:rsidRPr="008A0455">
        <w:rPr>
          <w:rFonts w:asciiTheme="minorHAnsi" w:hAnsiTheme="minorHAnsi" w:cs="Arial-BoldMT"/>
          <w:bCs/>
          <w:i/>
          <w:iCs/>
        </w:rPr>
        <w:t xml:space="preserve"> II – prestar diretamente ou autorizar a delegação dos serviços e definir o ente responsável pela sua regulação e fiscalização (...)</w:t>
      </w:r>
    </w:p>
    <w:p w14:paraId="60277FF9" w14:textId="5DC650F5" w:rsidR="002D223B" w:rsidRDefault="002D223B" w:rsidP="002D223B">
      <w:pPr>
        <w:spacing w:after="200" w:line="276" w:lineRule="auto"/>
        <w:ind w:firstLine="0"/>
        <w:jc w:val="both"/>
        <w:rPr>
          <w:rFonts w:asciiTheme="minorHAnsi" w:hAnsiTheme="minorHAnsi" w:cs="Arial-BoldMT"/>
          <w:bCs/>
          <w:iCs/>
        </w:rPr>
      </w:pPr>
      <w:r>
        <w:rPr>
          <w:rFonts w:asciiTheme="minorHAnsi" w:hAnsiTheme="minorHAnsi" w:cs="Arial-BoldMT"/>
          <w:bCs/>
          <w:iCs/>
        </w:rPr>
        <w:t>Dentro desse contexto, a regulação dos serviços de saneamento no País vem crescendo gradativamente nos últimos anos, observando-se uma tendência para designação das agências estaduais, como reguladoras principais dos prestadores de serviços atuais.</w:t>
      </w:r>
    </w:p>
    <w:p w14:paraId="1C1CA2B8" w14:textId="345BDF47" w:rsidR="002D223B" w:rsidRPr="002D223B" w:rsidRDefault="002D223B" w:rsidP="002D223B">
      <w:pPr>
        <w:spacing w:after="200" w:line="276" w:lineRule="auto"/>
        <w:ind w:firstLine="0"/>
        <w:jc w:val="both"/>
        <w:rPr>
          <w:rFonts w:asciiTheme="minorHAnsi" w:hAnsiTheme="minorHAnsi" w:cs="Arial-BoldMT"/>
          <w:bCs/>
        </w:rPr>
      </w:pPr>
      <w:r>
        <w:rPr>
          <w:rFonts w:asciiTheme="minorHAnsi" w:hAnsiTheme="minorHAnsi" w:cs="Arial-BoldMT"/>
          <w:bCs/>
          <w:iCs/>
        </w:rPr>
        <w:t xml:space="preserve">O Gráfico 2, a seguir, apresenta o crescimento desse contexto regulatório nos últimos anos, baseado em dados </w:t>
      </w:r>
      <w:r w:rsidR="009457E5">
        <w:rPr>
          <w:rFonts w:asciiTheme="minorHAnsi" w:hAnsiTheme="minorHAnsi" w:cs="Arial-BoldMT"/>
          <w:bCs/>
          <w:iCs/>
        </w:rPr>
        <w:t xml:space="preserve">de 2015, </w:t>
      </w:r>
      <w:r>
        <w:rPr>
          <w:rFonts w:asciiTheme="minorHAnsi" w:hAnsiTheme="minorHAnsi" w:cs="Arial-BoldMT"/>
          <w:bCs/>
          <w:iCs/>
        </w:rPr>
        <w:t xml:space="preserve">da </w:t>
      </w:r>
      <w:r w:rsidR="009457E5">
        <w:rPr>
          <w:rFonts w:asciiTheme="minorHAnsi" w:hAnsiTheme="minorHAnsi" w:cs="Arial-BoldMT"/>
          <w:bCs/>
          <w:iCs/>
        </w:rPr>
        <w:t xml:space="preserve">Associação Brasileira de </w:t>
      </w:r>
      <w:r>
        <w:rPr>
          <w:rFonts w:asciiTheme="minorHAnsi" w:hAnsiTheme="minorHAnsi" w:cs="Arial-BoldMT"/>
          <w:bCs/>
          <w:iCs/>
        </w:rPr>
        <w:t>Agência</w:t>
      </w:r>
      <w:r w:rsidR="009457E5">
        <w:rPr>
          <w:rFonts w:asciiTheme="minorHAnsi" w:hAnsiTheme="minorHAnsi" w:cs="Arial-BoldMT"/>
          <w:bCs/>
          <w:iCs/>
        </w:rPr>
        <w:t>s</w:t>
      </w:r>
      <w:r>
        <w:rPr>
          <w:rFonts w:asciiTheme="minorHAnsi" w:hAnsiTheme="minorHAnsi" w:cs="Arial-BoldMT"/>
          <w:bCs/>
          <w:iCs/>
        </w:rPr>
        <w:t xml:space="preserve"> de Regulação</w:t>
      </w:r>
      <w:r w:rsidR="009457E5">
        <w:rPr>
          <w:rFonts w:asciiTheme="minorHAnsi" w:hAnsiTheme="minorHAnsi" w:cs="Arial-BoldMT"/>
          <w:bCs/>
          <w:iCs/>
        </w:rPr>
        <w:t xml:space="preserve"> (ABAR).</w:t>
      </w:r>
    </w:p>
    <w:p w14:paraId="2DDFB92E" w14:textId="70C1953A" w:rsidR="008A0455" w:rsidRPr="009457E5" w:rsidRDefault="009457E5" w:rsidP="009457E5">
      <w:pPr>
        <w:widowControl/>
        <w:spacing w:after="200" w:line="276" w:lineRule="auto"/>
        <w:ind w:firstLine="0"/>
        <w:rPr>
          <w:rFonts w:asciiTheme="minorHAnsi" w:hAnsiTheme="minorHAnsi" w:cs="Arial-BoldMT"/>
          <w:b/>
          <w:bCs/>
          <w:sz w:val="22"/>
        </w:rPr>
      </w:pPr>
      <w:r w:rsidRPr="009457E5">
        <w:rPr>
          <w:rFonts w:asciiTheme="minorHAnsi" w:hAnsiTheme="minorHAnsi" w:cs="Arial-BoldMT"/>
          <w:b/>
          <w:bCs/>
          <w:sz w:val="22"/>
        </w:rPr>
        <w:t>Gráfico 2 – Evolução da Regulação no País</w:t>
      </w:r>
    </w:p>
    <w:p w14:paraId="7ACFD367" w14:textId="6A431729" w:rsidR="008A0455" w:rsidRDefault="002D223B" w:rsidP="00FB2B04">
      <w:pPr>
        <w:widowControl/>
        <w:spacing w:after="200" w:line="276" w:lineRule="auto"/>
        <w:ind w:firstLine="0"/>
        <w:jc w:val="both"/>
        <w:rPr>
          <w:rFonts w:asciiTheme="minorHAnsi" w:hAnsiTheme="minorHAnsi" w:cs="Arial-BoldMT"/>
          <w:bCs/>
        </w:rPr>
      </w:pPr>
      <w:r w:rsidRPr="002D223B">
        <w:rPr>
          <w:rFonts w:asciiTheme="minorHAnsi" w:hAnsiTheme="minorHAnsi" w:cs="Arial-BoldMT"/>
          <w:bCs/>
          <w:noProof/>
          <w:lang w:val="en-US" w:eastAsia="en-US"/>
        </w:rPr>
        <w:drawing>
          <wp:inline distT="0" distB="0" distL="0" distR="0" wp14:anchorId="6BB29581" wp14:editId="283BFCB7">
            <wp:extent cx="5400040" cy="2127396"/>
            <wp:effectExtent l="0" t="0" r="10160" b="6350"/>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2127396"/>
                    </a:xfrm>
                    <a:prstGeom prst="rect">
                      <a:avLst/>
                    </a:prstGeom>
                    <a:noFill/>
                    <a:ln>
                      <a:noFill/>
                    </a:ln>
                  </pic:spPr>
                </pic:pic>
              </a:graphicData>
            </a:graphic>
          </wp:inline>
        </w:drawing>
      </w:r>
    </w:p>
    <w:p w14:paraId="4AB79DBB" w14:textId="77777777" w:rsidR="00090536" w:rsidRDefault="00090536" w:rsidP="00FB2B04">
      <w:pPr>
        <w:widowControl/>
        <w:spacing w:after="200" w:line="276" w:lineRule="auto"/>
        <w:ind w:firstLine="0"/>
        <w:jc w:val="both"/>
        <w:rPr>
          <w:rFonts w:asciiTheme="minorHAnsi" w:hAnsiTheme="minorHAnsi" w:cs="Arial-BoldMT"/>
          <w:bCs/>
        </w:rPr>
      </w:pPr>
    </w:p>
    <w:p w14:paraId="4D86C5AF" w14:textId="64BB1669" w:rsidR="009457E5" w:rsidRDefault="009457E5" w:rsidP="00FB2B04">
      <w:pPr>
        <w:widowControl/>
        <w:spacing w:after="200" w:line="276" w:lineRule="auto"/>
        <w:ind w:firstLine="0"/>
        <w:jc w:val="both"/>
        <w:rPr>
          <w:rFonts w:asciiTheme="minorHAnsi" w:hAnsiTheme="minorHAnsi" w:cs="Arial-BoldMT"/>
          <w:bCs/>
        </w:rPr>
      </w:pPr>
      <w:r>
        <w:rPr>
          <w:rFonts w:asciiTheme="minorHAnsi" w:hAnsiTheme="minorHAnsi" w:cs="Arial-BoldMT"/>
          <w:bCs/>
        </w:rPr>
        <w:t>Com</w:t>
      </w:r>
      <w:r w:rsidR="00B051FB">
        <w:rPr>
          <w:rFonts w:asciiTheme="minorHAnsi" w:hAnsiTheme="minorHAnsi" w:cs="Arial-BoldMT"/>
          <w:bCs/>
        </w:rPr>
        <w:t>plementando as informações anteriores</w:t>
      </w:r>
      <w:r w:rsidR="00090536">
        <w:rPr>
          <w:rFonts w:asciiTheme="minorHAnsi" w:hAnsiTheme="minorHAnsi" w:cs="Arial-BoldMT"/>
          <w:bCs/>
        </w:rPr>
        <w:t>,</w:t>
      </w:r>
      <w:r w:rsidR="00B051FB">
        <w:rPr>
          <w:rFonts w:asciiTheme="minorHAnsi" w:hAnsiTheme="minorHAnsi" w:cs="Arial-BoldMT"/>
          <w:bCs/>
        </w:rPr>
        <w:t xml:space="preserve"> o Gráfico 3, a seguir, elaborado com dados </w:t>
      </w:r>
      <w:r w:rsidR="00090536">
        <w:rPr>
          <w:rFonts w:asciiTheme="minorHAnsi" w:hAnsiTheme="minorHAnsi" w:cs="Arial-BoldMT"/>
          <w:bCs/>
        </w:rPr>
        <w:t xml:space="preserve">retirados </w:t>
      </w:r>
      <w:r w:rsidR="00B051FB">
        <w:rPr>
          <w:rFonts w:asciiTheme="minorHAnsi" w:hAnsiTheme="minorHAnsi" w:cs="Arial-BoldMT"/>
          <w:bCs/>
        </w:rPr>
        <w:t>do site da ABAR, demonstra a situação atual das agências reguladoras.</w:t>
      </w:r>
    </w:p>
    <w:p w14:paraId="3E6F744F" w14:textId="77777777" w:rsidR="00090536" w:rsidRDefault="00090536" w:rsidP="00FB2B04">
      <w:pPr>
        <w:widowControl/>
        <w:spacing w:after="200" w:line="276" w:lineRule="auto"/>
        <w:ind w:firstLine="0"/>
        <w:jc w:val="both"/>
        <w:rPr>
          <w:rFonts w:asciiTheme="minorHAnsi" w:hAnsiTheme="minorHAnsi" w:cs="Arial-BoldMT"/>
          <w:bCs/>
        </w:rPr>
      </w:pPr>
    </w:p>
    <w:p w14:paraId="11EE1161" w14:textId="789C73B4" w:rsidR="008A0455" w:rsidRDefault="00090536" w:rsidP="00090536">
      <w:pPr>
        <w:widowControl/>
        <w:spacing w:after="200" w:line="276" w:lineRule="auto"/>
        <w:ind w:firstLine="284"/>
        <w:jc w:val="both"/>
        <w:rPr>
          <w:rFonts w:asciiTheme="minorHAnsi" w:hAnsiTheme="minorHAnsi" w:cs="Arial-BoldMT"/>
          <w:bCs/>
        </w:rPr>
      </w:pPr>
      <w:r w:rsidRPr="00090536">
        <w:rPr>
          <w:rFonts w:asciiTheme="minorHAnsi" w:hAnsiTheme="minorHAnsi" w:cs="Arial-BoldMT"/>
          <w:bCs/>
          <w:noProof/>
          <w:lang w:val="en-US" w:eastAsia="en-US"/>
        </w:rPr>
        <w:drawing>
          <wp:inline distT="0" distB="0" distL="0" distR="0" wp14:anchorId="250FAE50" wp14:editId="63C2AD3B">
            <wp:extent cx="5152602" cy="2479252"/>
            <wp:effectExtent l="0" t="0" r="29210" b="3556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0B722BA" w14:textId="77777777" w:rsidR="00126499" w:rsidRDefault="00090536" w:rsidP="00394F88">
      <w:pPr>
        <w:spacing w:after="120" w:line="276" w:lineRule="auto"/>
        <w:ind w:firstLine="0"/>
        <w:jc w:val="both"/>
        <w:rPr>
          <w:rFonts w:asciiTheme="minorHAnsi" w:hAnsiTheme="minorHAnsi"/>
          <w:color w:val="000000" w:themeColor="text1"/>
        </w:rPr>
      </w:pPr>
      <w:r>
        <w:rPr>
          <w:rFonts w:asciiTheme="minorHAnsi" w:hAnsiTheme="minorHAnsi"/>
          <w:color w:val="000000" w:themeColor="text1"/>
        </w:rPr>
        <w:t xml:space="preserve">Observando o banco de dados do SNIS 2016, as informações regulatórias são muito insipientes para a </w:t>
      </w:r>
      <w:r w:rsidR="003956D9">
        <w:rPr>
          <w:rFonts w:asciiTheme="minorHAnsi" w:hAnsiTheme="minorHAnsi"/>
          <w:color w:val="000000" w:themeColor="text1"/>
        </w:rPr>
        <w:t>formação de conceitos sobre a questão da regulação.</w:t>
      </w:r>
      <w:r w:rsidR="005C6941">
        <w:rPr>
          <w:rFonts w:asciiTheme="minorHAnsi" w:hAnsiTheme="minorHAnsi"/>
          <w:color w:val="000000" w:themeColor="text1"/>
        </w:rPr>
        <w:t xml:space="preserve"> </w:t>
      </w:r>
    </w:p>
    <w:p w14:paraId="620120E7" w14:textId="0F3DF934" w:rsidR="00FB2B04" w:rsidRDefault="00126499" w:rsidP="00394F88">
      <w:pPr>
        <w:spacing w:after="120" w:line="276" w:lineRule="auto"/>
        <w:ind w:firstLine="0"/>
        <w:jc w:val="both"/>
        <w:rPr>
          <w:rFonts w:asciiTheme="minorHAnsi" w:hAnsiTheme="minorHAnsi"/>
          <w:color w:val="000000" w:themeColor="text1"/>
        </w:rPr>
      </w:pPr>
      <w:r>
        <w:rPr>
          <w:rFonts w:asciiTheme="minorHAnsi" w:hAnsiTheme="minorHAnsi"/>
          <w:color w:val="000000" w:themeColor="text1"/>
        </w:rPr>
        <w:t>C</w:t>
      </w:r>
      <w:r w:rsidR="005C6941">
        <w:rPr>
          <w:rFonts w:asciiTheme="minorHAnsi" w:hAnsiTheme="minorHAnsi"/>
          <w:color w:val="000000" w:themeColor="text1"/>
        </w:rPr>
        <w:t>onsiderando</w:t>
      </w:r>
      <w:r>
        <w:rPr>
          <w:rFonts w:asciiTheme="minorHAnsi" w:hAnsiTheme="minorHAnsi"/>
          <w:color w:val="000000" w:themeColor="text1"/>
        </w:rPr>
        <w:t>,</w:t>
      </w:r>
      <w:r w:rsidR="005C6941">
        <w:rPr>
          <w:rFonts w:asciiTheme="minorHAnsi" w:hAnsiTheme="minorHAnsi"/>
          <w:color w:val="000000" w:themeColor="text1"/>
        </w:rPr>
        <w:t xml:space="preserve"> </w:t>
      </w:r>
      <w:r>
        <w:rPr>
          <w:rFonts w:asciiTheme="minorHAnsi" w:hAnsiTheme="minorHAnsi"/>
          <w:color w:val="000000" w:themeColor="text1"/>
        </w:rPr>
        <w:t>no entanto, que atualmente estão em operação 27 agências estaduais, com a competência já delegada pelos titulares de regular os serviços prestados pelas companhias estaduais de saneamen</w:t>
      </w:r>
      <w:r w:rsidR="00E632B8">
        <w:rPr>
          <w:rFonts w:asciiTheme="minorHAnsi" w:hAnsiTheme="minorHAnsi"/>
          <w:color w:val="000000" w:themeColor="text1"/>
        </w:rPr>
        <w:t>to básico, pode-se concluir que</w:t>
      </w:r>
      <w:r>
        <w:rPr>
          <w:rFonts w:asciiTheme="minorHAnsi" w:hAnsiTheme="minorHAnsi"/>
          <w:color w:val="000000" w:themeColor="text1"/>
        </w:rPr>
        <w:t xml:space="preserve">, </w:t>
      </w:r>
      <w:r w:rsidR="00E632B8">
        <w:rPr>
          <w:rFonts w:asciiTheme="minorHAnsi" w:hAnsiTheme="minorHAnsi"/>
          <w:color w:val="000000" w:themeColor="text1"/>
        </w:rPr>
        <w:t xml:space="preserve">relacionados com o objeto do presente estudo, 1.148 municípios já estão sendo regulados, por intermédio dos seus prestadores de serviços, o que significa dizer: já existe uma regulação técnica e econômica atuando junto aos operadores, disciplinando os padrões para a  prestação dos serviços e estabelecendo metodologias e critérios para a revisão e atualização das tarifas e </w:t>
      </w:r>
      <w:r w:rsidR="000F089D">
        <w:rPr>
          <w:rFonts w:asciiTheme="minorHAnsi" w:hAnsiTheme="minorHAnsi"/>
          <w:color w:val="000000" w:themeColor="text1"/>
        </w:rPr>
        <w:t xml:space="preserve">de </w:t>
      </w:r>
      <w:bookmarkStart w:id="0" w:name="_GoBack"/>
      <w:bookmarkEnd w:id="0"/>
      <w:r w:rsidR="00E632B8">
        <w:rPr>
          <w:rFonts w:asciiTheme="minorHAnsi" w:hAnsiTheme="minorHAnsi"/>
          <w:color w:val="000000" w:themeColor="text1"/>
        </w:rPr>
        <w:t>outros preços envolvidos.</w:t>
      </w:r>
      <w:r w:rsidR="002F57B5">
        <w:rPr>
          <w:rFonts w:asciiTheme="minorHAnsi" w:hAnsiTheme="minorHAnsi"/>
          <w:color w:val="000000" w:themeColor="text1"/>
        </w:rPr>
        <w:t xml:space="preserve"> </w:t>
      </w:r>
    </w:p>
    <w:p w14:paraId="067C7AFA" w14:textId="4B16D562" w:rsidR="002F57B5" w:rsidRDefault="002F57B5" w:rsidP="00394F88">
      <w:pPr>
        <w:spacing w:after="120" w:line="276" w:lineRule="auto"/>
        <w:ind w:firstLine="0"/>
        <w:jc w:val="both"/>
        <w:rPr>
          <w:rFonts w:asciiTheme="minorHAnsi" w:hAnsiTheme="minorHAnsi"/>
          <w:color w:val="000000" w:themeColor="text1"/>
        </w:rPr>
      </w:pPr>
      <w:r>
        <w:rPr>
          <w:rFonts w:asciiTheme="minorHAnsi" w:hAnsiTheme="minorHAnsi"/>
          <w:color w:val="000000" w:themeColor="text1"/>
        </w:rPr>
        <w:t>Esse quantitativo de municípios operados por companhias estaduais de saneamento básico (1.148), representa 80% da amostra total do estudo (1.440).</w:t>
      </w:r>
    </w:p>
    <w:p w14:paraId="2518CD36" w14:textId="48B14868" w:rsidR="00B940E4" w:rsidRDefault="00420C98" w:rsidP="00420C98">
      <w:pPr>
        <w:widowControl/>
        <w:spacing w:after="200" w:line="276" w:lineRule="auto"/>
        <w:ind w:firstLine="0"/>
        <w:jc w:val="left"/>
        <w:rPr>
          <w:rFonts w:asciiTheme="minorHAnsi" w:hAnsiTheme="minorHAnsi"/>
          <w:color w:val="000000" w:themeColor="text1"/>
        </w:rPr>
      </w:pPr>
      <w:r>
        <w:rPr>
          <w:rFonts w:asciiTheme="minorHAnsi" w:hAnsiTheme="minorHAnsi"/>
          <w:color w:val="000000" w:themeColor="text1"/>
        </w:rPr>
        <w:br w:type="page"/>
      </w:r>
    </w:p>
    <w:p w14:paraId="0773A2B7" w14:textId="77777777" w:rsidR="0090580F" w:rsidRDefault="00420C98" w:rsidP="00420C98">
      <w:pPr>
        <w:widowControl/>
        <w:spacing w:after="200" w:line="276" w:lineRule="auto"/>
        <w:ind w:firstLine="0"/>
        <w:jc w:val="both"/>
        <w:rPr>
          <w:rFonts w:asciiTheme="minorHAnsi" w:hAnsiTheme="minorHAnsi" w:cs="Arial-BoldMT"/>
          <w:b/>
          <w:bCs/>
        </w:rPr>
      </w:pPr>
      <w:r>
        <w:rPr>
          <w:rFonts w:asciiTheme="minorHAnsi" w:hAnsiTheme="minorHAnsi" w:cs="Arial-BoldMT"/>
          <w:b/>
          <w:bCs/>
        </w:rPr>
        <w:t>4.  CONCLUSÕES</w:t>
      </w:r>
    </w:p>
    <w:p w14:paraId="035002DA" w14:textId="5FC1A1AB" w:rsidR="0090580F" w:rsidRDefault="0090580F" w:rsidP="009769D5">
      <w:pPr>
        <w:autoSpaceDE w:val="0"/>
        <w:spacing w:before="120" w:after="240" w:line="276" w:lineRule="auto"/>
        <w:ind w:right="-1" w:firstLine="0"/>
        <w:jc w:val="both"/>
        <w:rPr>
          <w:rFonts w:asciiTheme="minorHAnsi" w:hAnsiTheme="minorHAnsi" w:cs="Arial"/>
        </w:rPr>
      </w:pPr>
      <w:r>
        <w:rPr>
          <w:rFonts w:asciiTheme="minorHAnsi" w:hAnsiTheme="minorHAnsi" w:cs="Arial"/>
        </w:rPr>
        <w:t>Considerando o conj</w:t>
      </w:r>
      <w:r w:rsidR="00817879">
        <w:rPr>
          <w:rFonts w:asciiTheme="minorHAnsi" w:hAnsiTheme="minorHAnsi" w:cs="Arial"/>
        </w:rPr>
        <w:t>unto de informações d</w:t>
      </w:r>
      <w:r>
        <w:rPr>
          <w:rFonts w:asciiTheme="minorHAnsi" w:hAnsiTheme="minorHAnsi" w:cs="Arial"/>
        </w:rPr>
        <w:t>os itens anterio</w:t>
      </w:r>
      <w:r w:rsidR="00D013A2">
        <w:rPr>
          <w:rFonts w:asciiTheme="minorHAnsi" w:hAnsiTheme="minorHAnsi" w:cs="Arial"/>
        </w:rPr>
        <w:t>res, apresenta-se, a seguir, um resumo executivo com uma</w:t>
      </w:r>
      <w:r>
        <w:rPr>
          <w:rFonts w:asciiTheme="minorHAnsi" w:hAnsiTheme="minorHAnsi" w:cs="Arial"/>
        </w:rPr>
        <w:t xml:space="preserve"> síntese dos dados mais relev</w:t>
      </w:r>
      <w:r w:rsidR="00817879">
        <w:rPr>
          <w:rFonts w:asciiTheme="minorHAnsi" w:hAnsiTheme="minorHAnsi" w:cs="Arial"/>
        </w:rPr>
        <w:t>antes do diagnóstico elaborado:</w:t>
      </w:r>
    </w:p>
    <w:p w14:paraId="5AB0B266" w14:textId="3FBC7915" w:rsidR="00817879" w:rsidRPr="00817879" w:rsidRDefault="00B32CEC" w:rsidP="009769D5">
      <w:pPr>
        <w:pStyle w:val="ListParagraph"/>
        <w:numPr>
          <w:ilvl w:val="0"/>
          <w:numId w:val="11"/>
        </w:numPr>
        <w:autoSpaceDE w:val="0"/>
        <w:spacing w:before="120" w:after="240" w:line="276" w:lineRule="auto"/>
        <w:ind w:right="-1" w:hanging="357"/>
        <w:jc w:val="both"/>
        <w:rPr>
          <w:rFonts w:asciiTheme="minorHAnsi" w:hAnsiTheme="minorHAnsi" w:cs="Arial"/>
        </w:rPr>
      </w:pPr>
      <w:r>
        <w:rPr>
          <w:rFonts w:asciiTheme="minorHAnsi" w:hAnsiTheme="minorHAnsi" w:cs="Arial"/>
        </w:rPr>
        <w:t>o</w:t>
      </w:r>
      <w:r w:rsidR="00817879">
        <w:rPr>
          <w:rFonts w:asciiTheme="minorHAnsi" w:hAnsiTheme="minorHAnsi" w:cs="Arial"/>
        </w:rPr>
        <w:t xml:space="preserve"> diagnóstico foi elaborado com base </w:t>
      </w:r>
      <w:r w:rsidR="00817879">
        <w:rPr>
          <w:rFonts w:asciiTheme="minorHAnsi" w:hAnsiTheme="minorHAnsi"/>
          <w:color w:val="000000" w:themeColor="text1"/>
        </w:rPr>
        <w:t>no Sistema Nacional de Informações sobre o Saneamento (SNIS) – Diagnóstico dos Serviços de Água e Esgotos - Ano 2016; foram avaliados 1.440 municípios, com populações entre 20.000 e 500.000 habitantes, alcançando assim 90% da amostra requerida (</w:t>
      </w:r>
      <w:r w:rsidR="00D013A2">
        <w:rPr>
          <w:rFonts w:asciiTheme="minorHAnsi" w:hAnsiTheme="minorHAnsi"/>
          <w:color w:val="000000" w:themeColor="text1"/>
        </w:rPr>
        <w:t>1.606 municípios);</w:t>
      </w:r>
    </w:p>
    <w:p w14:paraId="67106C86" w14:textId="452B7768" w:rsidR="00817879" w:rsidRPr="00817879" w:rsidRDefault="00B32CEC" w:rsidP="009769D5">
      <w:pPr>
        <w:pStyle w:val="ListParagraph"/>
        <w:numPr>
          <w:ilvl w:val="0"/>
          <w:numId w:val="11"/>
        </w:numPr>
        <w:autoSpaceDE w:val="0"/>
        <w:spacing w:before="120" w:after="240" w:line="276" w:lineRule="auto"/>
        <w:ind w:right="-1" w:hanging="357"/>
        <w:jc w:val="both"/>
        <w:rPr>
          <w:rFonts w:asciiTheme="minorHAnsi" w:hAnsiTheme="minorHAnsi" w:cs="Arial"/>
        </w:rPr>
      </w:pPr>
      <w:r>
        <w:rPr>
          <w:rFonts w:asciiTheme="minorHAnsi" w:hAnsiTheme="minorHAnsi" w:cs="Arial"/>
        </w:rPr>
        <w:t>f</w:t>
      </w:r>
      <w:r w:rsidR="00817879">
        <w:rPr>
          <w:rFonts w:asciiTheme="minorHAnsi" w:hAnsiTheme="minorHAnsi" w:cs="Arial"/>
        </w:rPr>
        <w:t>oram consideradas informações de cinco tipos de prestadores de serviços:</w:t>
      </w:r>
    </w:p>
    <w:p w14:paraId="50A65453" w14:textId="462C3FF1" w:rsidR="00D013A2" w:rsidRDefault="00D013A2" w:rsidP="009769D5">
      <w:pPr>
        <w:pStyle w:val="ListParagraph"/>
        <w:numPr>
          <w:ilvl w:val="1"/>
          <w:numId w:val="11"/>
        </w:numPr>
        <w:spacing w:before="120" w:after="240" w:line="276" w:lineRule="auto"/>
        <w:ind w:hanging="357"/>
        <w:contextualSpacing w:val="0"/>
        <w:jc w:val="both"/>
        <w:rPr>
          <w:rFonts w:asciiTheme="minorHAnsi" w:hAnsiTheme="minorHAnsi"/>
          <w:color w:val="000000" w:themeColor="text1"/>
        </w:rPr>
      </w:pPr>
      <w:r w:rsidRPr="00264D24">
        <w:rPr>
          <w:rFonts w:asciiTheme="minorHAnsi" w:hAnsiTheme="minorHAnsi"/>
          <w:i/>
          <w:color w:val="000000" w:themeColor="text1"/>
        </w:rPr>
        <w:t>Prestadores de Serviços de Abrangência Local</w:t>
      </w:r>
      <w:r>
        <w:rPr>
          <w:rFonts w:asciiTheme="minorHAnsi" w:hAnsiTheme="minorHAnsi"/>
          <w:color w:val="000000" w:themeColor="text1"/>
        </w:rPr>
        <w:t>, com operadores com natureza jurídica de Empresas Públicas, Sociedades de Economia Mista com Administração Pública e Organizações Sociais;</w:t>
      </w:r>
    </w:p>
    <w:p w14:paraId="17FDCAC6" w14:textId="77777777" w:rsidR="00D013A2" w:rsidRPr="00D013A2" w:rsidRDefault="00D013A2" w:rsidP="009769D5">
      <w:pPr>
        <w:pStyle w:val="ListParagraph"/>
        <w:numPr>
          <w:ilvl w:val="1"/>
          <w:numId w:val="11"/>
        </w:numPr>
        <w:spacing w:before="120" w:after="240" w:line="276" w:lineRule="auto"/>
        <w:ind w:hanging="357"/>
        <w:jc w:val="both"/>
        <w:rPr>
          <w:rFonts w:asciiTheme="minorHAnsi" w:hAnsiTheme="minorHAnsi"/>
          <w:color w:val="000000" w:themeColor="text1"/>
        </w:rPr>
      </w:pPr>
      <w:r w:rsidRPr="00D013A2">
        <w:rPr>
          <w:rFonts w:asciiTheme="minorHAnsi" w:hAnsiTheme="minorHAnsi"/>
          <w:i/>
          <w:color w:val="000000" w:themeColor="text1"/>
        </w:rPr>
        <w:t>Prestadores de Serviços de Abrangência Local</w:t>
      </w:r>
      <w:r w:rsidRPr="00D013A2">
        <w:rPr>
          <w:rFonts w:asciiTheme="minorHAnsi" w:hAnsiTheme="minorHAnsi"/>
          <w:color w:val="000000" w:themeColor="text1"/>
        </w:rPr>
        <w:t xml:space="preserve">, com operadores com natureza jurídica de Empresas Privadas; </w:t>
      </w:r>
    </w:p>
    <w:p w14:paraId="7E58C081" w14:textId="77777777" w:rsidR="00D013A2" w:rsidRDefault="00D013A2" w:rsidP="009769D5">
      <w:pPr>
        <w:pStyle w:val="ListParagraph"/>
        <w:numPr>
          <w:ilvl w:val="1"/>
          <w:numId w:val="4"/>
        </w:numPr>
        <w:spacing w:before="120" w:after="240" w:line="276" w:lineRule="auto"/>
        <w:ind w:hanging="357"/>
        <w:contextualSpacing w:val="0"/>
        <w:jc w:val="both"/>
        <w:rPr>
          <w:rFonts w:asciiTheme="minorHAnsi" w:hAnsiTheme="minorHAnsi"/>
          <w:color w:val="000000" w:themeColor="text1"/>
        </w:rPr>
      </w:pPr>
      <w:r w:rsidRPr="00264D24">
        <w:rPr>
          <w:rFonts w:asciiTheme="minorHAnsi" w:hAnsiTheme="minorHAnsi"/>
          <w:i/>
          <w:color w:val="000000" w:themeColor="text1"/>
        </w:rPr>
        <w:t>Prestadores de Serviços de Abrangência Local</w:t>
      </w:r>
      <w:r>
        <w:rPr>
          <w:rFonts w:asciiTheme="minorHAnsi" w:hAnsiTheme="minorHAnsi"/>
          <w:color w:val="000000" w:themeColor="text1"/>
        </w:rPr>
        <w:t xml:space="preserve"> – </w:t>
      </w:r>
      <w:r w:rsidRPr="00264D24">
        <w:rPr>
          <w:rFonts w:asciiTheme="minorHAnsi" w:hAnsiTheme="minorHAnsi"/>
          <w:i/>
          <w:color w:val="000000" w:themeColor="text1"/>
        </w:rPr>
        <w:t>Direito Público</w:t>
      </w:r>
      <w:r>
        <w:rPr>
          <w:rFonts w:asciiTheme="minorHAnsi" w:hAnsiTheme="minorHAnsi"/>
          <w:color w:val="000000" w:themeColor="text1"/>
        </w:rPr>
        <w:t>, com operadores com natureza jurídica de Administração Pública Direta e Autarquias;</w:t>
      </w:r>
    </w:p>
    <w:p w14:paraId="2DDE0602" w14:textId="77777777" w:rsidR="00D013A2" w:rsidRDefault="00D013A2" w:rsidP="009769D5">
      <w:pPr>
        <w:pStyle w:val="ListParagraph"/>
        <w:numPr>
          <w:ilvl w:val="1"/>
          <w:numId w:val="4"/>
        </w:numPr>
        <w:spacing w:before="120" w:after="240" w:line="276" w:lineRule="auto"/>
        <w:ind w:hanging="357"/>
        <w:contextualSpacing w:val="0"/>
        <w:jc w:val="both"/>
        <w:rPr>
          <w:rFonts w:asciiTheme="minorHAnsi" w:hAnsiTheme="minorHAnsi"/>
          <w:color w:val="000000" w:themeColor="text1"/>
        </w:rPr>
      </w:pPr>
      <w:r w:rsidRPr="00264D24">
        <w:rPr>
          <w:rFonts w:asciiTheme="minorHAnsi" w:hAnsiTheme="minorHAnsi"/>
          <w:i/>
          <w:color w:val="000000" w:themeColor="text1"/>
        </w:rPr>
        <w:t xml:space="preserve">Prestadores de Serviços </w:t>
      </w:r>
      <w:r>
        <w:rPr>
          <w:rFonts w:asciiTheme="minorHAnsi" w:hAnsiTheme="minorHAnsi"/>
          <w:i/>
          <w:color w:val="000000" w:themeColor="text1"/>
        </w:rPr>
        <w:t>Microrregionais</w:t>
      </w:r>
      <w:r>
        <w:rPr>
          <w:rFonts w:asciiTheme="minorHAnsi" w:hAnsiTheme="minorHAnsi"/>
          <w:color w:val="000000" w:themeColor="text1"/>
        </w:rPr>
        <w:t>, com operadores com natureza jurídica de Empresas Privadas e Autarquias; e</w:t>
      </w:r>
    </w:p>
    <w:p w14:paraId="7387C031" w14:textId="7A44DAAE" w:rsidR="00420C98" w:rsidRPr="00D013A2" w:rsidRDefault="00D013A2" w:rsidP="009769D5">
      <w:pPr>
        <w:pStyle w:val="ListParagraph"/>
        <w:numPr>
          <w:ilvl w:val="1"/>
          <w:numId w:val="4"/>
        </w:numPr>
        <w:spacing w:before="120" w:after="240" w:line="276" w:lineRule="auto"/>
        <w:ind w:hanging="357"/>
        <w:contextualSpacing w:val="0"/>
        <w:jc w:val="both"/>
        <w:rPr>
          <w:rFonts w:asciiTheme="minorHAnsi" w:hAnsiTheme="minorHAnsi"/>
          <w:color w:val="000000" w:themeColor="text1"/>
        </w:rPr>
      </w:pPr>
      <w:r w:rsidRPr="00264D24">
        <w:rPr>
          <w:rFonts w:asciiTheme="minorHAnsi" w:hAnsiTheme="minorHAnsi"/>
          <w:i/>
          <w:color w:val="000000" w:themeColor="text1"/>
        </w:rPr>
        <w:t xml:space="preserve">Prestadores de Serviços </w:t>
      </w:r>
      <w:r>
        <w:rPr>
          <w:rFonts w:asciiTheme="minorHAnsi" w:hAnsiTheme="minorHAnsi"/>
          <w:i/>
          <w:color w:val="000000" w:themeColor="text1"/>
        </w:rPr>
        <w:t>Regionais</w:t>
      </w:r>
      <w:r>
        <w:rPr>
          <w:rFonts w:asciiTheme="minorHAnsi" w:hAnsiTheme="minorHAnsi"/>
          <w:color w:val="000000" w:themeColor="text1"/>
        </w:rPr>
        <w:t>, com operadores com natureza jurídica de Sociedades de Economia Mista com Administração Pública e Autarquias.</w:t>
      </w:r>
    </w:p>
    <w:p w14:paraId="690007C3" w14:textId="5DC5D239" w:rsidR="00D013A2" w:rsidRPr="00D013A2" w:rsidRDefault="00B32CEC" w:rsidP="009769D5">
      <w:pPr>
        <w:pStyle w:val="ListParagraph"/>
        <w:numPr>
          <w:ilvl w:val="0"/>
          <w:numId w:val="5"/>
        </w:numPr>
        <w:spacing w:before="120" w:after="240" w:line="276" w:lineRule="auto"/>
        <w:ind w:left="714" w:hanging="357"/>
        <w:contextualSpacing w:val="0"/>
        <w:jc w:val="both"/>
        <w:rPr>
          <w:rFonts w:asciiTheme="minorHAnsi" w:hAnsiTheme="minorHAnsi"/>
          <w:color w:val="000000" w:themeColor="text1"/>
        </w:rPr>
      </w:pPr>
      <w:r>
        <w:rPr>
          <w:rFonts w:asciiTheme="minorHAnsi" w:hAnsiTheme="minorHAnsi"/>
          <w:color w:val="000000" w:themeColor="text1"/>
        </w:rPr>
        <w:t>n</w:t>
      </w:r>
      <w:r w:rsidR="00D013A2">
        <w:rPr>
          <w:rFonts w:asciiTheme="minorHAnsi" w:hAnsiTheme="minorHAnsi"/>
          <w:color w:val="000000" w:themeColor="text1"/>
        </w:rPr>
        <w:t xml:space="preserve">a faixa de 20 mil a 50 mil habitantes, as maiores  perdas (46,75%) se verificam em prestadores de serviços municipais de direito público; </w:t>
      </w:r>
      <w:r w:rsidR="00D013A2" w:rsidRPr="00D013A2">
        <w:rPr>
          <w:rFonts w:asciiTheme="minorHAnsi" w:hAnsiTheme="minorHAnsi"/>
          <w:color w:val="000000" w:themeColor="text1"/>
        </w:rPr>
        <w:t>as menores perdas (22,02%) foram identificadas em prestadores de serviços micror</w:t>
      </w:r>
      <w:r w:rsidR="00D013A2">
        <w:rPr>
          <w:rFonts w:asciiTheme="minorHAnsi" w:hAnsiTheme="minorHAnsi"/>
          <w:color w:val="000000" w:themeColor="text1"/>
        </w:rPr>
        <w:t>regionais, geralmente privados;</w:t>
      </w:r>
    </w:p>
    <w:p w14:paraId="6BEBCE0A" w14:textId="7B3D29F5" w:rsidR="00D013A2" w:rsidRPr="00D013A2" w:rsidRDefault="00B32CEC" w:rsidP="009769D5">
      <w:pPr>
        <w:pStyle w:val="ListParagraph"/>
        <w:numPr>
          <w:ilvl w:val="0"/>
          <w:numId w:val="5"/>
        </w:numPr>
        <w:spacing w:before="120" w:after="240" w:line="276" w:lineRule="auto"/>
        <w:ind w:left="714" w:hanging="357"/>
        <w:contextualSpacing w:val="0"/>
        <w:jc w:val="both"/>
        <w:rPr>
          <w:rFonts w:asciiTheme="minorHAnsi" w:hAnsiTheme="minorHAnsi"/>
          <w:color w:val="000000" w:themeColor="text1"/>
        </w:rPr>
      </w:pPr>
      <w:r>
        <w:rPr>
          <w:rFonts w:asciiTheme="minorHAnsi" w:hAnsiTheme="minorHAnsi"/>
          <w:color w:val="000000" w:themeColor="text1"/>
        </w:rPr>
        <w:t>n</w:t>
      </w:r>
      <w:r w:rsidR="00D013A2" w:rsidRPr="002845CC">
        <w:rPr>
          <w:rFonts w:asciiTheme="minorHAnsi" w:hAnsiTheme="minorHAnsi"/>
          <w:color w:val="000000" w:themeColor="text1"/>
        </w:rPr>
        <w:t>a faixa de 50 mil a 200 mil habitantes, as maiores  perdas (46,99%) se verificam em prestadores de serviços de abrangência local, geralmente empresas públicas ou sociedade de economia mista com administração pública</w:t>
      </w:r>
      <w:r w:rsidR="00D013A2">
        <w:rPr>
          <w:rFonts w:asciiTheme="minorHAnsi" w:hAnsiTheme="minorHAnsi"/>
          <w:color w:val="000000" w:themeColor="text1"/>
        </w:rPr>
        <w:t>;</w:t>
      </w:r>
      <w:r w:rsidR="00D013A2" w:rsidRPr="002845CC">
        <w:rPr>
          <w:rFonts w:asciiTheme="minorHAnsi" w:hAnsiTheme="minorHAnsi"/>
          <w:color w:val="000000" w:themeColor="text1"/>
        </w:rPr>
        <w:t xml:space="preserve"> </w:t>
      </w:r>
      <w:r w:rsidR="00D013A2" w:rsidRPr="00D013A2">
        <w:rPr>
          <w:rFonts w:asciiTheme="minorHAnsi" w:hAnsiTheme="minorHAnsi"/>
          <w:color w:val="000000" w:themeColor="text1"/>
        </w:rPr>
        <w:t>as menores perdas (38,13%) também se verificam em prestadores de serviços microrregionais, geralmente privados ou autarquias bem estruturadas;</w:t>
      </w:r>
    </w:p>
    <w:p w14:paraId="1901E176" w14:textId="5C2B8AEF" w:rsidR="00D013A2" w:rsidRPr="00D013A2" w:rsidRDefault="00B32CEC" w:rsidP="009769D5">
      <w:pPr>
        <w:pStyle w:val="ListParagraph"/>
        <w:numPr>
          <w:ilvl w:val="0"/>
          <w:numId w:val="5"/>
        </w:numPr>
        <w:spacing w:before="120" w:after="240" w:line="276" w:lineRule="auto"/>
        <w:ind w:left="714" w:hanging="357"/>
        <w:contextualSpacing w:val="0"/>
        <w:jc w:val="both"/>
        <w:rPr>
          <w:rFonts w:asciiTheme="minorHAnsi" w:hAnsiTheme="minorHAnsi"/>
          <w:color w:val="000000" w:themeColor="text1"/>
        </w:rPr>
      </w:pPr>
      <w:r>
        <w:rPr>
          <w:rFonts w:asciiTheme="minorHAnsi" w:hAnsiTheme="minorHAnsi"/>
          <w:color w:val="000000" w:themeColor="text1"/>
        </w:rPr>
        <w:t>n</w:t>
      </w:r>
      <w:r w:rsidR="00D013A2" w:rsidRPr="003442CA">
        <w:rPr>
          <w:rFonts w:asciiTheme="minorHAnsi" w:hAnsiTheme="minorHAnsi"/>
          <w:color w:val="000000" w:themeColor="text1"/>
        </w:rPr>
        <w:t xml:space="preserve">a faixa de 200 mil a 500 mil habitantes, as maiores  perdas (43,54%) novamente </w:t>
      </w:r>
      <w:r w:rsidR="00D013A2">
        <w:rPr>
          <w:rFonts w:asciiTheme="minorHAnsi" w:hAnsiTheme="minorHAnsi"/>
          <w:color w:val="000000" w:themeColor="text1"/>
        </w:rPr>
        <w:t xml:space="preserve">se verificam em prestadores de serviços municipais de direito público; </w:t>
      </w:r>
      <w:r w:rsidR="00D013A2" w:rsidRPr="00D013A2">
        <w:rPr>
          <w:rFonts w:asciiTheme="minorHAnsi" w:hAnsiTheme="minorHAnsi"/>
          <w:color w:val="000000" w:themeColor="text1"/>
        </w:rPr>
        <w:t xml:space="preserve">as menores perdas (31,44%) se verificam em prestadores de serviços privados, de abrangência </w:t>
      </w:r>
      <w:r w:rsidR="00D013A2">
        <w:rPr>
          <w:rFonts w:asciiTheme="minorHAnsi" w:hAnsiTheme="minorHAnsi"/>
          <w:color w:val="000000" w:themeColor="text1"/>
        </w:rPr>
        <w:t>local;</w:t>
      </w:r>
    </w:p>
    <w:p w14:paraId="20D560A3" w14:textId="30494E9A" w:rsidR="00B051FB" w:rsidRDefault="00B32CEC" w:rsidP="009769D5">
      <w:pPr>
        <w:pStyle w:val="ListParagraph"/>
        <w:numPr>
          <w:ilvl w:val="0"/>
          <w:numId w:val="5"/>
        </w:numPr>
        <w:spacing w:before="120" w:after="240" w:line="276" w:lineRule="auto"/>
        <w:ind w:left="714" w:hanging="357"/>
        <w:contextualSpacing w:val="0"/>
        <w:jc w:val="both"/>
        <w:rPr>
          <w:rFonts w:asciiTheme="minorHAnsi" w:hAnsiTheme="minorHAnsi"/>
          <w:color w:val="000000" w:themeColor="text1"/>
        </w:rPr>
      </w:pPr>
      <w:r>
        <w:rPr>
          <w:rFonts w:asciiTheme="minorHAnsi" w:hAnsiTheme="minorHAnsi"/>
          <w:color w:val="000000" w:themeColor="text1"/>
        </w:rPr>
        <w:t>as</w:t>
      </w:r>
      <w:r w:rsidR="00D013A2">
        <w:rPr>
          <w:rFonts w:asciiTheme="minorHAnsi" w:hAnsiTheme="minorHAnsi"/>
          <w:color w:val="000000" w:themeColor="text1"/>
        </w:rPr>
        <w:t xml:space="preserve"> maiores perdas de água por ligação (503,74 l/</w:t>
      </w:r>
      <w:proofErr w:type="spellStart"/>
      <w:r w:rsidR="00D013A2">
        <w:rPr>
          <w:rFonts w:asciiTheme="minorHAnsi" w:hAnsiTheme="minorHAnsi"/>
          <w:color w:val="000000" w:themeColor="text1"/>
        </w:rPr>
        <w:t>lig.dia</w:t>
      </w:r>
      <w:proofErr w:type="spellEnd"/>
      <w:r w:rsidR="00D013A2">
        <w:rPr>
          <w:rFonts w:asciiTheme="minorHAnsi" w:hAnsiTheme="minorHAnsi"/>
          <w:color w:val="000000" w:themeColor="text1"/>
        </w:rPr>
        <w:t>) ocorrem em sistemas operados por prestadores de serviços locais, de direito público (</w:t>
      </w:r>
      <w:proofErr w:type="spellStart"/>
      <w:r w:rsidR="00D013A2">
        <w:rPr>
          <w:rFonts w:asciiTheme="minorHAnsi" w:hAnsiTheme="minorHAnsi"/>
          <w:color w:val="000000" w:themeColor="text1"/>
        </w:rPr>
        <w:t>SAAEs</w:t>
      </w:r>
      <w:proofErr w:type="spellEnd"/>
      <w:r w:rsidR="00D013A2">
        <w:rPr>
          <w:rFonts w:asciiTheme="minorHAnsi" w:hAnsiTheme="minorHAnsi"/>
          <w:color w:val="000000" w:themeColor="text1"/>
        </w:rPr>
        <w:t xml:space="preserve"> e Departamentos Municipais), em municípios na faixa de 20 mil a 50 mil habitantes; a</w:t>
      </w:r>
      <w:r w:rsidR="00D013A2" w:rsidRPr="00D013A2">
        <w:rPr>
          <w:rFonts w:asciiTheme="minorHAnsi" w:hAnsiTheme="minorHAnsi"/>
          <w:color w:val="000000" w:themeColor="text1"/>
        </w:rPr>
        <w:t>s menores perdas de água por ligação (149,88 l/</w:t>
      </w:r>
      <w:proofErr w:type="spellStart"/>
      <w:r w:rsidR="00D013A2" w:rsidRPr="00D013A2">
        <w:rPr>
          <w:rFonts w:asciiTheme="minorHAnsi" w:hAnsiTheme="minorHAnsi"/>
          <w:color w:val="000000" w:themeColor="text1"/>
        </w:rPr>
        <w:t>lig.dia</w:t>
      </w:r>
      <w:proofErr w:type="spellEnd"/>
      <w:r w:rsidR="00D013A2" w:rsidRPr="00D013A2">
        <w:rPr>
          <w:rFonts w:asciiTheme="minorHAnsi" w:hAnsiTheme="minorHAnsi"/>
          <w:color w:val="000000" w:themeColor="text1"/>
        </w:rPr>
        <w:t>), ocorrem em municípios na faixa de 50 mil a 200 mil habitantes, operados por prestador</w:t>
      </w:r>
      <w:r w:rsidR="00D013A2">
        <w:rPr>
          <w:rFonts w:asciiTheme="minorHAnsi" w:hAnsiTheme="minorHAnsi"/>
          <w:color w:val="000000" w:themeColor="text1"/>
        </w:rPr>
        <w:t>es de serviços microrregionais;</w:t>
      </w:r>
    </w:p>
    <w:p w14:paraId="610E724B" w14:textId="02E131DB" w:rsidR="00A36C7F" w:rsidRDefault="00B32CEC" w:rsidP="009769D5">
      <w:pPr>
        <w:pStyle w:val="ListParagraph"/>
        <w:numPr>
          <w:ilvl w:val="0"/>
          <w:numId w:val="5"/>
        </w:numPr>
        <w:spacing w:before="120" w:after="240" w:line="276" w:lineRule="auto"/>
        <w:contextualSpacing w:val="0"/>
        <w:jc w:val="both"/>
        <w:rPr>
          <w:rFonts w:asciiTheme="minorHAnsi" w:hAnsiTheme="minorHAnsi"/>
          <w:color w:val="000000" w:themeColor="text1"/>
        </w:rPr>
      </w:pPr>
      <w:r>
        <w:rPr>
          <w:rFonts w:asciiTheme="minorHAnsi" w:hAnsiTheme="minorHAnsi"/>
          <w:color w:val="000000" w:themeColor="text1"/>
        </w:rPr>
        <w:t>i</w:t>
      </w:r>
      <w:r w:rsidR="00A36C7F">
        <w:rPr>
          <w:rFonts w:asciiTheme="minorHAnsi" w:hAnsiTheme="minorHAnsi"/>
          <w:color w:val="000000" w:themeColor="text1"/>
        </w:rPr>
        <w:t>mportante ferramenta para o controle operacional e a determinação das perdas de água em um sistema de abastecimento, de um modo geral o  Índice Médio de Macromedição é superior a 50% em todos os prestadores de serviços e em todas as faixas de população;</w:t>
      </w:r>
    </w:p>
    <w:p w14:paraId="024385CF" w14:textId="500F40F4" w:rsidR="00A36C7F" w:rsidRDefault="00B32CEC" w:rsidP="009769D5">
      <w:pPr>
        <w:pStyle w:val="ListParagraph"/>
        <w:numPr>
          <w:ilvl w:val="0"/>
          <w:numId w:val="5"/>
        </w:numPr>
        <w:spacing w:before="120" w:after="240" w:line="276" w:lineRule="auto"/>
        <w:contextualSpacing w:val="0"/>
        <w:jc w:val="both"/>
        <w:rPr>
          <w:rFonts w:asciiTheme="minorHAnsi" w:hAnsiTheme="minorHAnsi"/>
          <w:color w:val="000000" w:themeColor="text1"/>
        </w:rPr>
      </w:pPr>
      <w:r>
        <w:rPr>
          <w:rFonts w:asciiTheme="minorHAnsi" w:hAnsiTheme="minorHAnsi"/>
          <w:color w:val="000000" w:themeColor="text1"/>
        </w:rPr>
        <w:t xml:space="preserve">insumo indispensável </w:t>
      </w:r>
      <w:r w:rsidR="00A36C7F">
        <w:rPr>
          <w:rFonts w:asciiTheme="minorHAnsi" w:hAnsiTheme="minorHAnsi"/>
          <w:color w:val="000000" w:themeColor="text1"/>
        </w:rPr>
        <w:t xml:space="preserve">para </w:t>
      </w:r>
      <w:r w:rsidR="00A36C7F" w:rsidRPr="00261C59">
        <w:rPr>
          <w:rFonts w:asciiTheme="minorHAnsi" w:hAnsiTheme="minorHAnsi"/>
          <w:color w:val="000000" w:themeColor="text1"/>
        </w:rPr>
        <w:t xml:space="preserve">balizar as ações de combate e controle de perdas de água,  </w:t>
      </w:r>
      <w:r w:rsidR="00A36C7F">
        <w:rPr>
          <w:rFonts w:asciiTheme="minorHAnsi" w:hAnsiTheme="minorHAnsi"/>
          <w:color w:val="000000" w:themeColor="text1"/>
        </w:rPr>
        <w:t xml:space="preserve">bem como para subsidiar </w:t>
      </w:r>
      <w:r w:rsidR="00A36C7F" w:rsidRPr="00261C59">
        <w:rPr>
          <w:rFonts w:asciiTheme="minorHAnsi" w:hAnsiTheme="minorHAnsi"/>
          <w:color w:val="000000" w:themeColor="text1"/>
        </w:rPr>
        <w:t>um processo de faturamento ef</w:t>
      </w:r>
      <w:r w:rsidR="00A36C7F">
        <w:rPr>
          <w:rFonts w:asciiTheme="minorHAnsi" w:hAnsiTheme="minorHAnsi"/>
          <w:color w:val="000000" w:themeColor="text1"/>
        </w:rPr>
        <w:t xml:space="preserve">iciente dos volumes consumidos, os dados médios de </w:t>
      </w:r>
      <w:proofErr w:type="spellStart"/>
      <w:r w:rsidR="00A36C7F">
        <w:rPr>
          <w:rFonts w:asciiTheme="minorHAnsi" w:hAnsiTheme="minorHAnsi"/>
          <w:color w:val="000000" w:themeColor="text1"/>
        </w:rPr>
        <w:t>hidrometração</w:t>
      </w:r>
      <w:proofErr w:type="spellEnd"/>
      <w:r w:rsidR="00A36C7F">
        <w:rPr>
          <w:rFonts w:asciiTheme="minorHAnsi" w:hAnsiTheme="minorHAnsi"/>
          <w:color w:val="000000" w:themeColor="text1"/>
        </w:rPr>
        <w:t>, em todas as faixas de população, são da ordem de 88%, sendo que para municípios com população na faixa de 200 mil a 500 mil o índice é de 91,87%;</w:t>
      </w:r>
    </w:p>
    <w:p w14:paraId="597C7BCD" w14:textId="32D6A206" w:rsidR="00A36C7F" w:rsidRPr="00A36C7F" w:rsidRDefault="00B32CEC" w:rsidP="009769D5">
      <w:pPr>
        <w:pStyle w:val="ListParagraph"/>
        <w:numPr>
          <w:ilvl w:val="0"/>
          <w:numId w:val="5"/>
        </w:numPr>
        <w:spacing w:before="120" w:after="240" w:line="276" w:lineRule="auto"/>
        <w:contextualSpacing w:val="0"/>
        <w:jc w:val="both"/>
        <w:rPr>
          <w:rFonts w:asciiTheme="minorHAnsi" w:hAnsiTheme="minorHAnsi"/>
          <w:color w:val="000000" w:themeColor="text1"/>
        </w:rPr>
      </w:pPr>
      <w:r>
        <w:rPr>
          <w:rFonts w:asciiTheme="minorHAnsi" w:hAnsiTheme="minorHAnsi"/>
          <w:color w:val="000000" w:themeColor="text1"/>
        </w:rPr>
        <w:t>q</w:t>
      </w:r>
      <w:r w:rsidR="00A36C7F">
        <w:rPr>
          <w:rFonts w:asciiTheme="minorHAnsi" w:hAnsiTheme="minorHAnsi"/>
          <w:color w:val="000000" w:themeColor="text1"/>
        </w:rPr>
        <w:t>uanto à Perda de Faturamento, verifica-se que os dados apresentados são bem menores que os da perda física de água, devido principalmente às estruturas tarifárias dos prestadores  que, na maioria, praticam a cobrança do consumo mínimo; os prestadores microrregionais apresentam os menores índices apurados (média geral de 18,52%); e</w:t>
      </w:r>
      <w:r w:rsidR="00A36C7F" w:rsidRPr="00A36C7F">
        <w:rPr>
          <w:rFonts w:asciiTheme="minorHAnsi" w:hAnsiTheme="minorHAnsi"/>
          <w:color w:val="000000" w:themeColor="text1"/>
        </w:rPr>
        <w:t>, considerados todos os prestadores e todas as faixas de população, os dados médios da perdas físicas e de faturamento, são da ordem de 39,15% e 31,55, respectivamente.</w:t>
      </w:r>
    </w:p>
    <w:p w14:paraId="1A44EB95" w14:textId="386EFAB2" w:rsidR="00A36C7F" w:rsidRDefault="00B32CEC" w:rsidP="009769D5">
      <w:pPr>
        <w:pStyle w:val="ListParagraph"/>
        <w:numPr>
          <w:ilvl w:val="0"/>
          <w:numId w:val="5"/>
        </w:numPr>
        <w:spacing w:before="120" w:after="240" w:line="276" w:lineRule="auto"/>
        <w:ind w:left="714" w:hanging="357"/>
        <w:contextualSpacing w:val="0"/>
        <w:jc w:val="both"/>
        <w:rPr>
          <w:rFonts w:asciiTheme="minorHAnsi" w:hAnsiTheme="minorHAnsi"/>
          <w:color w:val="000000" w:themeColor="text1"/>
        </w:rPr>
      </w:pPr>
      <w:r>
        <w:rPr>
          <w:rFonts w:asciiTheme="minorHAnsi" w:hAnsiTheme="minorHAnsi"/>
          <w:color w:val="000000" w:themeColor="text1"/>
        </w:rPr>
        <w:t>s</w:t>
      </w:r>
      <w:r w:rsidR="002B6128">
        <w:rPr>
          <w:rFonts w:asciiTheme="minorHAnsi" w:hAnsiTheme="minorHAnsi"/>
          <w:color w:val="000000" w:themeColor="text1"/>
        </w:rPr>
        <w:t>egundo a natureza jurídica dos prestadores, o estudo considerou</w:t>
      </w:r>
      <w:r w:rsidR="008E0C36">
        <w:rPr>
          <w:rFonts w:asciiTheme="minorHAnsi" w:hAnsiTheme="minorHAnsi"/>
          <w:color w:val="000000" w:themeColor="text1"/>
        </w:rPr>
        <w:t xml:space="preserve"> 1.440 municípios, sendo</w:t>
      </w:r>
      <w:r w:rsidR="002B6128">
        <w:rPr>
          <w:rFonts w:asciiTheme="minorHAnsi" w:hAnsiTheme="minorHAnsi"/>
          <w:color w:val="000000" w:themeColor="text1"/>
        </w:rPr>
        <w:t>:</w:t>
      </w:r>
    </w:p>
    <w:p w14:paraId="3226F517" w14:textId="4E5A0BFC" w:rsidR="002B6128" w:rsidRDefault="002B6128" w:rsidP="009769D5">
      <w:pPr>
        <w:pStyle w:val="ListParagraph"/>
        <w:numPr>
          <w:ilvl w:val="1"/>
          <w:numId w:val="5"/>
        </w:numPr>
        <w:spacing w:before="120" w:after="240" w:line="276" w:lineRule="auto"/>
        <w:contextualSpacing w:val="0"/>
        <w:jc w:val="both"/>
        <w:rPr>
          <w:rFonts w:asciiTheme="minorHAnsi" w:hAnsiTheme="minorHAnsi"/>
          <w:color w:val="000000" w:themeColor="text1"/>
        </w:rPr>
      </w:pPr>
      <w:r>
        <w:rPr>
          <w:rFonts w:asciiTheme="minorHAnsi" w:hAnsiTheme="minorHAnsi"/>
          <w:color w:val="000000" w:themeColor="text1"/>
        </w:rPr>
        <w:t>32 municípios com operadores da administração pública direta;</w:t>
      </w:r>
    </w:p>
    <w:p w14:paraId="2B25865A" w14:textId="75EC2580" w:rsidR="002B6128" w:rsidRDefault="002B6128" w:rsidP="009769D5">
      <w:pPr>
        <w:pStyle w:val="ListParagraph"/>
        <w:numPr>
          <w:ilvl w:val="1"/>
          <w:numId w:val="5"/>
        </w:numPr>
        <w:spacing w:before="120" w:after="240" w:line="276" w:lineRule="auto"/>
        <w:contextualSpacing w:val="0"/>
        <w:jc w:val="both"/>
        <w:rPr>
          <w:rFonts w:asciiTheme="minorHAnsi" w:hAnsiTheme="minorHAnsi"/>
          <w:color w:val="000000" w:themeColor="text1"/>
        </w:rPr>
      </w:pPr>
      <w:r>
        <w:rPr>
          <w:rFonts w:asciiTheme="minorHAnsi" w:hAnsiTheme="minorHAnsi"/>
          <w:color w:val="000000" w:themeColor="text1"/>
        </w:rPr>
        <w:t>161 municípios operados por autarquias;</w:t>
      </w:r>
    </w:p>
    <w:p w14:paraId="358028F3" w14:textId="61239F80" w:rsidR="002B6128" w:rsidRDefault="002B6128" w:rsidP="009769D5">
      <w:pPr>
        <w:pStyle w:val="ListParagraph"/>
        <w:numPr>
          <w:ilvl w:val="1"/>
          <w:numId w:val="5"/>
        </w:numPr>
        <w:spacing w:before="120" w:after="240" w:line="276" w:lineRule="auto"/>
        <w:contextualSpacing w:val="0"/>
        <w:jc w:val="both"/>
        <w:rPr>
          <w:rFonts w:asciiTheme="minorHAnsi" w:hAnsiTheme="minorHAnsi"/>
          <w:color w:val="000000" w:themeColor="text1"/>
        </w:rPr>
      </w:pPr>
      <w:r>
        <w:rPr>
          <w:rFonts w:asciiTheme="minorHAnsi" w:hAnsiTheme="minorHAnsi"/>
          <w:color w:val="000000" w:themeColor="text1"/>
        </w:rPr>
        <w:t>83 municípios operados por empresas privadas;</w:t>
      </w:r>
    </w:p>
    <w:p w14:paraId="5DBD9B29" w14:textId="22AC42E2" w:rsidR="002B6128" w:rsidRDefault="002B6128" w:rsidP="009769D5">
      <w:pPr>
        <w:pStyle w:val="ListParagraph"/>
        <w:numPr>
          <w:ilvl w:val="1"/>
          <w:numId w:val="5"/>
        </w:numPr>
        <w:spacing w:before="120" w:after="240" w:line="276" w:lineRule="auto"/>
        <w:contextualSpacing w:val="0"/>
        <w:jc w:val="both"/>
        <w:rPr>
          <w:rFonts w:asciiTheme="minorHAnsi" w:hAnsiTheme="minorHAnsi"/>
          <w:color w:val="000000" w:themeColor="text1"/>
        </w:rPr>
      </w:pPr>
      <w:r>
        <w:rPr>
          <w:rFonts w:asciiTheme="minorHAnsi" w:hAnsiTheme="minorHAnsi"/>
          <w:color w:val="000000" w:themeColor="text1"/>
        </w:rPr>
        <w:t>83 municípios operados por uma sociedade de economia mista com administração privada (SANEPAR)</w:t>
      </w:r>
    </w:p>
    <w:p w14:paraId="2EC5E48A" w14:textId="13E07EAB" w:rsidR="002B6128" w:rsidRDefault="002B6128" w:rsidP="009769D5">
      <w:pPr>
        <w:pStyle w:val="ListParagraph"/>
        <w:numPr>
          <w:ilvl w:val="1"/>
          <w:numId w:val="5"/>
        </w:numPr>
        <w:spacing w:before="120" w:after="240" w:line="276" w:lineRule="auto"/>
        <w:contextualSpacing w:val="0"/>
        <w:jc w:val="both"/>
        <w:rPr>
          <w:rFonts w:asciiTheme="minorHAnsi" w:hAnsiTheme="minorHAnsi"/>
          <w:color w:val="000000" w:themeColor="text1"/>
        </w:rPr>
      </w:pPr>
      <w:r>
        <w:rPr>
          <w:rFonts w:asciiTheme="minorHAnsi" w:hAnsiTheme="minorHAnsi"/>
          <w:color w:val="000000" w:themeColor="text1"/>
        </w:rPr>
        <w:t xml:space="preserve">1065 municípios operados por sociedades de economia mista </w:t>
      </w:r>
      <w:r w:rsidR="008E0C36">
        <w:rPr>
          <w:rFonts w:asciiTheme="minorHAnsi" w:hAnsiTheme="minorHAnsi"/>
          <w:color w:val="000000" w:themeColor="text1"/>
        </w:rPr>
        <w:t xml:space="preserve">com administração pública (demais companhias estaduais); e </w:t>
      </w:r>
    </w:p>
    <w:p w14:paraId="5832EB56" w14:textId="662C74F1" w:rsidR="008E0C36" w:rsidRDefault="008E0C36" w:rsidP="009769D5">
      <w:pPr>
        <w:pStyle w:val="ListParagraph"/>
        <w:numPr>
          <w:ilvl w:val="1"/>
          <w:numId w:val="5"/>
        </w:numPr>
        <w:spacing w:before="120" w:after="240" w:line="276" w:lineRule="auto"/>
        <w:contextualSpacing w:val="0"/>
        <w:jc w:val="both"/>
        <w:rPr>
          <w:rFonts w:asciiTheme="minorHAnsi" w:hAnsiTheme="minorHAnsi"/>
          <w:color w:val="000000" w:themeColor="text1"/>
        </w:rPr>
      </w:pPr>
      <w:r>
        <w:rPr>
          <w:rFonts w:asciiTheme="minorHAnsi" w:hAnsiTheme="minorHAnsi"/>
          <w:color w:val="000000" w:themeColor="text1"/>
        </w:rPr>
        <w:t>16 municípios operados por empresas públicas.</w:t>
      </w:r>
    </w:p>
    <w:p w14:paraId="2CB25B18" w14:textId="1848333B" w:rsidR="008E0C36" w:rsidRPr="008E0C36" w:rsidRDefault="00B32CEC" w:rsidP="009769D5">
      <w:pPr>
        <w:pStyle w:val="ListParagraph"/>
        <w:numPr>
          <w:ilvl w:val="0"/>
          <w:numId w:val="5"/>
        </w:numPr>
        <w:spacing w:before="120" w:after="240" w:line="276" w:lineRule="auto"/>
        <w:ind w:left="714" w:hanging="357"/>
        <w:contextualSpacing w:val="0"/>
        <w:jc w:val="both"/>
        <w:rPr>
          <w:rFonts w:asciiTheme="minorHAnsi" w:hAnsiTheme="minorHAnsi"/>
          <w:color w:val="000000" w:themeColor="text1"/>
        </w:rPr>
      </w:pPr>
      <w:r>
        <w:rPr>
          <w:rFonts w:asciiTheme="minorHAnsi" w:hAnsiTheme="minorHAnsi"/>
          <w:color w:val="000000" w:themeColor="text1"/>
        </w:rPr>
        <w:t>c</w:t>
      </w:r>
      <w:r w:rsidR="008E0C36" w:rsidRPr="008E0C36">
        <w:rPr>
          <w:rFonts w:asciiTheme="minorHAnsi" w:hAnsiTheme="minorHAnsi"/>
          <w:color w:val="000000" w:themeColor="text1"/>
        </w:rPr>
        <w:t>om relação à cobertura dos serviços de água</w:t>
      </w:r>
      <w:r w:rsidR="008E0C36">
        <w:rPr>
          <w:rFonts w:asciiTheme="minorHAnsi" w:hAnsiTheme="minorHAnsi"/>
          <w:color w:val="000000" w:themeColor="text1"/>
        </w:rPr>
        <w:t xml:space="preserve">, os nível de atendimento médio é da ordem de 85%, </w:t>
      </w:r>
      <w:r w:rsidR="008E0C36" w:rsidRPr="008E0C36">
        <w:rPr>
          <w:rFonts w:asciiTheme="minorHAnsi" w:hAnsiTheme="minorHAnsi"/>
          <w:color w:val="000000" w:themeColor="text1"/>
        </w:rPr>
        <w:t xml:space="preserve"> </w:t>
      </w:r>
      <w:r w:rsidR="008E0C36">
        <w:rPr>
          <w:rFonts w:asciiTheme="minorHAnsi" w:hAnsiTheme="minorHAnsi"/>
          <w:color w:val="000000" w:themeColor="text1"/>
        </w:rPr>
        <w:t xml:space="preserve">sendo que </w:t>
      </w:r>
      <w:r w:rsidR="008E0C36" w:rsidRPr="008E0C36">
        <w:rPr>
          <w:rFonts w:asciiTheme="minorHAnsi" w:hAnsiTheme="minorHAnsi"/>
          <w:color w:val="000000" w:themeColor="text1"/>
        </w:rPr>
        <w:t xml:space="preserve">os níveis mais elevados referem-se aos prestadores de abrangência local e os mais baixos </w:t>
      </w:r>
      <w:r w:rsidR="008E0C36">
        <w:rPr>
          <w:rFonts w:asciiTheme="minorHAnsi" w:hAnsiTheme="minorHAnsi"/>
          <w:color w:val="000000" w:themeColor="text1"/>
        </w:rPr>
        <w:t>r</w:t>
      </w:r>
      <w:r w:rsidR="008E0C36" w:rsidRPr="008E0C36">
        <w:rPr>
          <w:rFonts w:asciiTheme="minorHAnsi" w:hAnsiTheme="minorHAnsi"/>
          <w:color w:val="000000" w:themeColor="text1"/>
        </w:rPr>
        <w:t>eferem-se aos p</w:t>
      </w:r>
      <w:r w:rsidR="008E0C36">
        <w:rPr>
          <w:rFonts w:asciiTheme="minorHAnsi" w:hAnsiTheme="minorHAnsi"/>
          <w:color w:val="000000" w:themeColor="text1"/>
        </w:rPr>
        <w:t>restadores regionais;</w:t>
      </w:r>
    </w:p>
    <w:p w14:paraId="515D8574" w14:textId="731430CE" w:rsidR="008E0C36" w:rsidRPr="008E0C36" w:rsidRDefault="00B32CEC" w:rsidP="009769D5">
      <w:pPr>
        <w:pStyle w:val="ListParagraph"/>
        <w:numPr>
          <w:ilvl w:val="0"/>
          <w:numId w:val="5"/>
        </w:numPr>
        <w:spacing w:before="120" w:after="240" w:line="276" w:lineRule="auto"/>
        <w:ind w:left="714" w:hanging="357"/>
        <w:contextualSpacing w:val="0"/>
        <w:jc w:val="both"/>
        <w:rPr>
          <w:rFonts w:asciiTheme="minorHAnsi" w:hAnsiTheme="minorHAnsi"/>
          <w:color w:val="000000" w:themeColor="text1"/>
        </w:rPr>
      </w:pPr>
      <w:r>
        <w:rPr>
          <w:rFonts w:asciiTheme="minorHAnsi" w:hAnsiTheme="minorHAnsi"/>
          <w:color w:val="000000" w:themeColor="text1"/>
        </w:rPr>
        <w:t>q</w:t>
      </w:r>
      <w:r w:rsidR="008E0C36" w:rsidRPr="008E0C36">
        <w:rPr>
          <w:rFonts w:asciiTheme="minorHAnsi" w:hAnsiTheme="minorHAnsi"/>
          <w:color w:val="000000" w:themeColor="text1"/>
        </w:rPr>
        <w:t xml:space="preserve">uanto à cobertura dos serviços de esgotamento sanitário, no geral o atendimento é baixo sendo, </w:t>
      </w:r>
      <w:r w:rsidR="008E0C36">
        <w:rPr>
          <w:rFonts w:asciiTheme="minorHAnsi" w:hAnsiTheme="minorHAnsi"/>
          <w:color w:val="000000" w:themeColor="text1"/>
        </w:rPr>
        <w:t xml:space="preserve">em média </w:t>
      </w:r>
      <w:r w:rsidR="008E0C36" w:rsidRPr="008E0C36">
        <w:rPr>
          <w:rFonts w:asciiTheme="minorHAnsi" w:hAnsiTheme="minorHAnsi"/>
          <w:color w:val="000000" w:themeColor="text1"/>
        </w:rPr>
        <w:t xml:space="preserve">inferior a 50%. </w:t>
      </w:r>
    </w:p>
    <w:p w14:paraId="1BE45B78" w14:textId="0FFD3D66" w:rsidR="008E0C36" w:rsidRPr="008E0C36" w:rsidRDefault="00B32CEC" w:rsidP="009769D5">
      <w:pPr>
        <w:pStyle w:val="ListParagraph"/>
        <w:numPr>
          <w:ilvl w:val="0"/>
          <w:numId w:val="5"/>
        </w:numPr>
        <w:spacing w:before="120" w:after="240" w:line="276" w:lineRule="auto"/>
        <w:ind w:left="714" w:hanging="357"/>
        <w:contextualSpacing w:val="0"/>
        <w:jc w:val="both"/>
        <w:rPr>
          <w:rFonts w:asciiTheme="minorHAnsi" w:hAnsiTheme="minorHAnsi"/>
          <w:color w:val="000000" w:themeColor="text1"/>
        </w:rPr>
      </w:pPr>
      <w:r>
        <w:rPr>
          <w:rFonts w:asciiTheme="minorHAnsi" w:hAnsiTheme="minorHAnsi"/>
          <w:color w:val="000000" w:themeColor="text1"/>
        </w:rPr>
        <w:t>c</w:t>
      </w:r>
      <w:r w:rsidR="008E0C36" w:rsidRPr="008E0C36">
        <w:rPr>
          <w:rFonts w:asciiTheme="minorHAnsi" w:hAnsiTheme="minorHAnsi"/>
          <w:color w:val="000000" w:themeColor="text1"/>
        </w:rPr>
        <w:t>om relação ao nível de tratamento dos esgotos coletados, a cobertura existente é, de modo geral, muito baixa para atendimento dos requisitos estabelecidos pelos órgãos ambientais do País</w:t>
      </w:r>
      <w:r w:rsidR="008E0C36">
        <w:rPr>
          <w:rFonts w:asciiTheme="minorHAnsi" w:hAnsiTheme="minorHAnsi"/>
          <w:color w:val="000000" w:themeColor="text1"/>
        </w:rPr>
        <w:t>; d</w:t>
      </w:r>
      <w:r w:rsidR="008E0C36" w:rsidRPr="008E0C36">
        <w:rPr>
          <w:rFonts w:asciiTheme="minorHAnsi" w:hAnsiTheme="minorHAnsi"/>
          <w:color w:val="000000" w:themeColor="text1"/>
        </w:rPr>
        <w:t>o conjunto de dados observados, constata-se que os municípios mais populosos apresentam um  grau de tratamento de esgotos mais elevado, sendo que os sistemas operados por empresas microrregionais privadas, segundo os dados do SNIS 2016,  apresentam índices de tratame</w:t>
      </w:r>
      <w:r w:rsidR="008E0C36">
        <w:rPr>
          <w:rFonts w:asciiTheme="minorHAnsi" w:hAnsiTheme="minorHAnsi"/>
          <w:color w:val="000000" w:themeColor="text1"/>
        </w:rPr>
        <w:t>nto de esgotos da ordem de 100%;</w:t>
      </w:r>
    </w:p>
    <w:p w14:paraId="6B878ED3" w14:textId="24B0EBA3" w:rsidR="00B32CEC" w:rsidRPr="00B32CEC" w:rsidRDefault="00B32CEC" w:rsidP="009769D5">
      <w:pPr>
        <w:pStyle w:val="ListParagraph"/>
        <w:numPr>
          <w:ilvl w:val="0"/>
          <w:numId w:val="5"/>
        </w:numPr>
        <w:spacing w:before="120" w:after="240" w:line="276" w:lineRule="auto"/>
        <w:contextualSpacing w:val="0"/>
        <w:jc w:val="both"/>
        <w:rPr>
          <w:rFonts w:asciiTheme="minorHAnsi" w:hAnsiTheme="minorHAnsi"/>
          <w:color w:val="000000" w:themeColor="text1"/>
        </w:rPr>
      </w:pPr>
      <w:r>
        <w:rPr>
          <w:rFonts w:asciiTheme="minorHAnsi" w:hAnsiTheme="minorHAnsi"/>
          <w:color w:val="000000" w:themeColor="text1"/>
        </w:rPr>
        <w:t>q</w:t>
      </w:r>
      <w:r w:rsidRPr="00B32CEC">
        <w:rPr>
          <w:rFonts w:asciiTheme="minorHAnsi" w:hAnsiTheme="minorHAnsi"/>
          <w:color w:val="000000" w:themeColor="text1"/>
        </w:rPr>
        <w:t>uanto à avaliação de desempenho dos prestadores, pode-se destacar os seguintes pontos:</w:t>
      </w:r>
    </w:p>
    <w:p w14:paraId="54C29DA4" w14:textId="71D50CF0" w:rsidR="00B32CEC" w:rsidRPr="00B32CEC" w:rsidRDefault="00B32CEC" w:rsidP="009769D5">
      <w:pPr>
        <w:pStyle w:val="ListParagraph"/>
        <w:numPr>
          <w:ilvl w:val="1"/>
          <w:numId w:val="10"/>
        </w:numPr>
        <w:spacing w:before="120" w:after="240" w:line="276" w:lineRule="auto"/>
        <w:contextualSpacing w:val="0"/>
        <w:jc w:val="both"/>
        <w:rPr>
          <w:rFonts w:asciiTheme="minorHAnsi" w:hAnsiTheme="minorHAnsi"/>
          <w:color w:val="000000" w:themeColor="text1"/>
        </w:rPr>
      </w:pPr>
      <w:r w:rsidRPr="00B32CEC">
        <w:rPr>
          <w:rFonts w:asciiTheme="minorHAnsi" w:hAnsiTheme="minorHAnsi"/>
          <w:color w:val="000000" w:themeColor="text1"/>
        </w:rPr>
        <w:t xml:space="preserve">os menores valores do índice Margem Operacional (relação entre a Despesa de Exploração e a Receita Operacional), com valores médios de 64,44%, referem-se aos prestadores de abrangência microrregional, seguidos de perto pelo prestadores privados de abrangência local (65,88%); </w:t>
      </w:r>
      <w:r>
        <w:rPr>
          <w:rFonts w:asciiTheme="minorHAnsi" w:hAnsiTheme="minorHAnsi"/>
          <w:color w:val="000000" w:themeColor="text1"/>
        </w:rPr>
        <w:t>o</w:t>
      </w:r>
      <w:r w:rsidRPr="00B32CEC">
        <w:rPr>
          <w:rFonts w:asciiTheme="minorHAnsi" w:hAnsiTheme="minorHAnsi"/>
          <w:color w:val="000000" w:themeColor="text1"/>
        </w:rPr>
        <w:t>s maiores indicadores de Margem Operacional Média são dos prestadores públicos de abrangência local,</w:t>
      </w:r>
      <w:r w:rsidR="00487244">
        <w:rPr>
          <w:rFonts w:asciiTheme="minorHAnsi" w:hAnsiTheme="minorHAnsi"/>
          <w:color w:val="000000" w:themeColor="text1"/>
        </w:rPr>
        <w:t xml:space="preserve"> com índices superiores a 100%;</w:t>
      </w:r>
    </w:p>
    <w:p w14:paraId="4800EC36" w14:textId="690ACE4D" w:rsidR="00B32CEC" w:rsidRPr="00487244" w:rsidRDefault="00B32CEC" w:rsidP="009769D5">
      <w:pPr>
        <w:pStyle w:val="ListParagraph"/>
        <w:numPr>
          <w:ilvl w:val="1"/>
          <w:numId w:val="10"/>
        </w:numPr>
        <w:spacing w:before="120" w:after="240" w:line="276" w:lineRule="auto"/>
        <w:contextualSpacing w:val="0"/>
        <w:jc w:val="both"/>
        <w:rPr>
          <w:rFonts w:asciiTheme="minorHAnsi" w:hAnsiTheme="minorHAnsi"/>
          <w:color w:val="000000" w:themeColor="text1"/>
        </w:rPr>
      </w:pPr>
      <w:r w:rsidRPr="00487244">
        <w:rPr>
          <w:rFonts w:asciiTheme="minorHAnsi" w:hAnsiTheme="minorHAnsi"/>
          <w:color w:val="000000" w:themeColor="text1"/>
        </w:rPr>
        <w:t xml:space="preserve">quanto ao índice de Evasão de Receita (relação entre a Arrecadação e o Faturamento), verifica-se que o indicador médio de todos os </w:t>
      </w:r>
      <w:r w:rsidR="00487244" w:rsidRPr="00487244">
        <w:rPr>
          <w:rFonts w:asciiTheme="minorHAnsi" w:hAnsiTheme="minorHAnsi"/>
          <w:color w:val="000000" w:themeColor="text1"/>
        </w:rPr>
        <w:t xml:space="preserve">prestadores, </w:t>
      </w:r>
      <w:r w:rsidRPr="00487244">
        <w:rPr>
          <w:rFonts w:asciiTheme="minorHAnsi" w:hAnsiTheme="minorHAnsi"/>
          <w:color w:val="000000" w:themeColor="text1"/>
        </w:rPr>
        <w:t xml:space="preserve">da ordem de 6%, pode ser considerado como satisfatório; </w:t>
      </w:r>
    </w:p>
    <w:p w14:paraId="001FB2D9" w14:textId="77777777" w:rsidR="00487244" w:rsidRPr="00487244" w:rsidRDefault="00487244" w:rsidP="009769D5">
      <w:pPr>
        <w:pStyle w:val="ListParagraph"/>
        <w:numPr>
          <w:ilvl w:val="1"/>
          <w:numId w:val="10"/>
        </w:numPr>
        <w:spacing w:before="120" w:after="240" w:line="276" w:lineRule="auto"/>
        <w:contextualSpacing w:val="0"/>
        <w:jc w:val="both"/>
        <w:rPr>
          <w:rFonts w:asciiTheme="minorHAnsi" w:hAnsiTheme="minorHAnsi"/>
          <w:color w:val="000000" w:themeColor="text1"/>
        </w:rPr>
      </w:pPr>
      <w:r w:rsidRPr="00487244">
        <w:rPr>
          <w:rFonts w:asciiTheme="minorHAnsi" w:hAnsiTheme="minorHAnsi"/>
          <w:color w:val="000000" w:themeColor="text1"/>
        </w:rPr>
        <w:t>quanto ao</w:t>
      </w:r>
      <w:r w:rsidR="00B32CEC" w:rsidRPr="00487244">
        <w:rPr>
          <w:rFonts w:asciiTheme="minorHAnsi" w:hAnsiTheme="minorHAnsi"/>
          <w:color w:val="000000" w:themeColor="text1"/>
        </w:rPr>
        <w:t xml:space="preserve"> índice de Produtividade (relação entre o Número de Empregados Próprios e o Número Total de Ligações de Água e Esgotos), verifica-se que o indicador médio de todos os prestadores da ordem de 2,44 empregado/1000 Ligações (A+E), pode ser considerado como satisfatório; </w:t>
      </w:r>
    </w:p>
    <w:p w14:paraId="17B0A940" w14:textId="6350B3BF" w:rsidR="00B32CEC" w:rsidRPr="00487244" w:rsidRDefault="00487244" w:rsidP="009769D5">
      <w:pPr>
        <w:pStyle w:val="ListParagraph"/>
        <w:numPr>
          <w:ilvl w:val="1"/>
          <w:numId w:val="10"/>
        </w:numPr>
        <w:spacing w:before="120" w:after="240" w:line="276" w:lineRule="auto"/>
        <w:ind w:firstLine="0"/>
        <w:contextualSpacing w:val="0"/>
        <w:jc w:val="both"/>
        <w:rPr>
          <w:rFonts w:asciiTheme="minorHAnsi" w:hAnsiTheme="minorHAnsi"/>
          <w:color w:val="000000" w:themeColor="text1"/>
        </w:rPr>
      </w:pPr>
      <w:r w:rsidRPr="00487244">
        <w:rPr>
          <w:rFonts w:asciiTheme="minorHAnsi" w:hAnsiTheme="minorHAnsi"/>
          <w:color w:val="000000" w:themeColor="text1"/>
        </w:rPr>
        <w:t xml:space="preserve">quanto ao </w:t>
      </w:r>
      <w:r w:rsidR="00B32CEC" w:rsidRPr="00487244">
        <w:rPr>
          <w:rFonts w:asciiTheme="minorHAnsi" w:hAnsiTheme="minorHAnsi"/>
          <w:color w:val="000000" w:themeColor="text1"/>
        </w:rPr>
        <w:t xml:space="preserve">índice de Incidência de Análises de Coliformes Totais Fora do Padrão (relação entre o Número de Análises Positivas com Coliformes Totais e o Número Total de Análises de Coliformes Totais), </w:t>
      </w:r>
      <w:r w:rsidRPr="00487244">
        <w:rPr>
          <w:rFonts w:asciiTheme="minorHAnsi" w:hAnsiTheme="minorHAnsi"/>
          <w:color w:val="000000" w:themeColor="text1"/>
        </w:rPr>
        <w:t xml:space="preserve">considerando os Padrões de Potabilidade da Portaria 2.914/MS, verifica-se que todos os prestadores atendem às normas, com exceção </w:t>
      </w:r>
      <w:r>
        <w:rPr>
          <w:rFonts w:asciiTheme="minorHAnsi" w:hAnsiTheme="minorHAnsi"/>
          <w:color w:val="000000" w:themeColor="text1"/>
        </w:rPr>
        <w:t xml:space="preserve">dos </w:t>
      </w:r>
      <w:r w:rsidR="00B32CEC" w:rsidRPr="00487244">
        <w:rPr>
          <w:rFonts w:asciiTheme="minorHAnsi" w:hAnsiTheme="minorHAnsi"/>
          <w:color w:val="000000" w:themeColor="text1"/>
        </w:rPr>
        <w:t>prestadores de serviço</w:t>
      </w:r>
      <w:r>
        <w:rPr>
          <w:rFonts w:asciiTheme="minorHAnsi" w:hAnsiTheme="minorHAnsi"/>
          <w:color w:val="000000" w:themeColor="text1"/>
        </w:rPr>
        <w:t xml:space="preserve">s públicos de abrangência local, </w:t>
      </w:r>
      <w:r w:rsidR="00B32CEC" w:rsidRPr="00487244">
        <w:rPr>
          <w:rFonts w:asciiTheme="minorHAnsi" w:hAnsiTheme="minorHAnsi"/>
          <w:color w:val="000000" w:themeColor="text1"/>
        </w:rPr>
        <w:t>em municípios na faixa de 20 mil a 50 mil habitantes.</w:t>
      </w:r>
    </w:p>
    <w:p w14:paraId="63F960D7" w14:textId="77777777" w:rsidR="009769D5" w:rsidRDefault="004F58F3" w:rsidP="009769D5">
      <w:pPr>
        <w:pStyle w:val="ListParagraph"/>
        <w:numPr>
          <w:ilvl w:val="0"/>
          <w:numId w:val="10"/>
        </w:numPr>
        <w:spacing w:before="120" w:after="240" w:line="276" w:lineRule="auto"/>
        <w:contextualSpacing w:val="0"/>
        <w:jc w:val="both"/>
        <w:rPr>
          <w:rFonts w:asciiTheme="minorHAnsi" w:hAnsiTheme="minorHAnsi"/>
          <w:color w:val="000000" w:themeColor="text1"/>
        </w:rPr>
      </w:pPr>
      <w:r>
        <w:rPr>
          <w:rFonts w:asciiTheme="minorHAnsi" w:hAnsiTheme="minorHAnsi"/>
          <w:color w:val="000000" w:themeColor="text1"/>
        </w:rPr>
        <w:t xml:space="preserve">Finalmente, quanto ao contexto regulatório, </w:t>
      </w:r>
      <w:r w:rsidR="009769D5">
        <w:rPr>
          <w:rFonts w:asciiTheme="minorHAnsi" w:hAnsiTheme="minorHAnsi"/>
          <w:color w:val="000000" w:themeColor="text1"/>
        </w:rPr>
        <w:t>c</w:t>
      </w:r>
      <w:r w:rsidRPr="004F58F3">
        <w:rPr>
          <w:rFonts w:asciiTheme="minorHAnsi" w:hAnsiTheme="minorHAnsi"/>
          <w:color w:val="000000" w:themeColor="text1"/>
        </w:rPr>
        <w:t xml:space="preserve">onsiderando, </w:t>
      </w:r>
      <w:r w:rsidR="009769D5">
        <w:rPr>
          <w:rFonts w:asciiTheme="minorHAnsi" w:hAnsiTheme="minorHAnsi"/>
          <w:color w:val="000000" w:themeColor="text1"/>
        </w:rPr>
        <w:t xml:space="preserve">que </w:t>
      </w:r>
      <w:r w:rsidRPr="004F58F3">
        <w:rPr>
          <w:rFonts w:asciiTheme="minorHAnsi" w:hAnsiTheme="minorHAnsi"/>
          <w:color w:val="000000" w:themeColor="text1"/>
        </w:rPr>
        <w:t>atualmente estão em operação 27 agências estaduais, com a competência já delegada pelos titulares de regular os serviços prestados pelas companhias estaduais de saneamento básico, pode-se concluir que, relacionados com o objeto do presente estudo, 1.148 municípios já estão sendo regulados, por intermédio d</w:t>
      </w:r>
      <w:r w:rsidR="009769D5">
        <w:rPr>
          <w:rFonts w:asciiTheme="minorHAnsi" w:hAnsiTheme="minorHAnsi"/>
          <w:color w:val="000000" w:themeColor="text1"/>
        </w:rPr>
        <w:t>os seus prestadores de serviços.</w:t>
      </w:r>
    </w:p>
    <w:p w14:paraId="4701986D" w14:textId="77777777" w:rsidR="008E0C36" w:rsidRPr="00D013A2" w:rsidRDefault="008E0C36" w:rsidP="009769D5">
      <w:pPr>
        <w:pStyle w:val="ListParagraph"/>
        <w:spacing w:before="120" w:after="240" w:line="276" w:lineRule="auto"/>
        <w:ind w:firstLine="0"/>
        <w:contextualSpacing w:val="0"/>
        <w:jc w:val="both"/>
        <w:rPr>
          <w:rFonts w:asciiTheme="minorHAnsi" w:hAnsiTheme="minorHAnsi"/>
          <w:color w:val="000000" w:themeColor="text1"/>
        </w:rPr>
      </w:pPr>
    </w:p>
    <w:sectPr w:rsidR="008E0C36" w:rsidRPr="00D013A2" w:rsidSect="00EF32C7">
      <w:headerReference w:type="even" r:id="rId21"/>
      <w:headerReference w:type="default" r:id="rId22"/>
      <w:footerReference w:type="default" r:id="rId23"/>
      <w:pgSz w:w="11906" w:h="16838"/>
      <w:pgMar w:top="851" w:right="1701" w:bottom="1418" w:left="1701" w:header="397"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55A77" w14:textId="77777777" w:rsidR="00E36FCC" w:rsidRDefault="00E36FCC" w:rsidP="00DA441D">
      <w:pPr>
        <w:spacing w:line="240" w:lineRule="auto"/>
      </w:pPr>
      <w:r>
        <w:separator/>
      </w:r>
    </w:p>
    <w:p w14:paraId="3B6C747A" w14:textId="77777777" w:rsidR="00E36FCC" w:rsidRDefault="00E36FCC"/>
    <w:p w14:paraId="4ABD3FDD" w14:textId="77777777" w:rsidR="00E36FCC" w:rsidRDefault="00E36FCC" w:rsidP="00393969"/>
    <w:p w14:paraId="5947EF6E" w14:textId="77777777" w:rsidR="00E36FCC" w:rsidRDefault="00E36FCC" w:rsidP="002149EF"/>
    <w:p w14:paraId="37B92940" w14:textId="77777777" w:rsidR="00E36FCC" w:rsidRDefault="00E36FCC"/>
    <w:p w14:paraId="5570515E" w14:textId="77777777" w:rsidR="00E36FCC" w:rsidRDefault="00E36FCC"/>
    <w:p w14:paraId="50EE6A2D" w14:textId="77777777" w:rsidR="00E36FCC" w:rsidRDefault="00E36FCC" w:rsidP="00E8699D"/>
    <w:p w14:paraId="656C10D2" w14:textId="77777777" w:rsidR="00E36FCC" w:rsidRDefault="00E36FCC"/>
    <w:p w14:paraId="7DCE2546" w14:textId="77777777" w:rsidR="00E36FCC" w:rsidRDefault="00E36FCC" w:rsidP="00E562DE"/>
    <w:p w14:paraId="6878D83A" w14:textId="77777777" w:rsidR="00E36FCC" w:rsidRDefault="00E36FCC"/>
    <w:p w14:paraId="7F0C1530" w14:textId="77777777" w:rsidR="00E36FCC" w:rsidRDefault="00E36FCC"/>
    <w:p w14:paraId="0D95D6C4" w14:textId="77777777" w:rsidR="00E36FCC" w:rsidRDefault="00E36FCC"/>
    <w:p w14:paraId="485CC849" w14:textId="77777777" w:rsidR="00E36FCC" w:rsidRDefault="00E36FCC"/>
    <w:p w14:paraId="2A7C835E" w14:textId="77777777" w:rsidR="00E36FCC" w:rsidRDefault="00E36FCC"/>
    <w:p w14:paraId="05C887BE" w14:textId="77777777" w:rsidR="00E36FCC" w:rsidRDefault="00E36FCC" w:rsidP="00861D75"/>
    <w:p w14:paraId="03E04EBF" w14:textId="77777777" w:rsidR="00E36FCC" w:rsidRDefault="00E36FCC"/>
    <w:p w14:paraId="4856E59E" w14:textId="77777777" w:rsidR="00E36FCC" w:rsidRDefault="00E36FCC"/>
    <w:p w14:paraId="403E92D1" w14:textId="77777777" w:rsidR="00E36FCC" w:rsidRDefault="00E36FCC"/>
    <w:p w14:paraId="77FB0643" w14:textId="77777777" w:rsidR="00E36FCC" w:rsidRDefault="00E36FCC" w:rsidP="00131843"/>
    <w:p w14:paraId="194D51FF" w14:textId="77777777" w:rsidR="00E36FCC" w:rsidRDefault="00E36FCC" w:rsidP="00737764"/>
    <w:p w14:paraId="197BDC02" w14:textId="77777777" w:rsidR="00E36FCC" w:rsidRDefault="00E36FCC" w:rsidP="0048524C"/>
    <w:p w14:paraId="6692D583" w14:textId="77777777" w:rsidR="00E36FCC" w:rsidRDefault="00E36FCC" w:rsidP="00C42A1F"/>
    <w:p w14:paraId="473A7D17" w14:textId="77777777" w:rsidR="00E36FCC" w:rsidRDefault="00E36FCC" w:rsidP="00C42A1F"/>
    <w:p w14:paraId="1E355A25" w14:textId="77777777" w:rsidR="00E36FCC" w:rsidRDefault="00E36FCC"/>
    <w:p w14:paraId="66719DD8" w14:textId="77777777" w:rsidR="00E36FCC" w:rsidRDefault="00E36FCC"/>
    <w:p w14:paraId="4DBBE0D4" w14:textId="77777777" w:rsidR="00E36FCC" w:rsidRDefault="00E36FCC"/>
    <w:p w14:paraId="6FFD3095" w14:textId="77777777" w:rsidR="00E36FCC" w:rsidRDefault="00E36FCC" w:rsidP="00ED0FC6"/>
    <w:p w14:paraId="589E08C9" w14:textId="77777777" w:rsidR="00E36FCC" w:rsidRDefault="00E36FCC" w:rsidP="00A04FE8"/>
    <w:p w14:paraId="573C498F" w14:textId="77777777" w:rsidR="00E36FCC" w:rsidRDefault="00E36FCC"/>
    <w:p w14:paraId="0E4FABE9" w14:textId="77777777" w:rsidR="00E36FCC" w:rsidRDefault="00E36FCC"/>
    <w:p w14:paraId="01AE5633" w14:textId="77777777" w:rsidR="00E36FCC" w:rsidRDefault="00E36FCC" w:rsidP="00F666FF"/>
    <w:p w14:paraId="718AD360" w14:textId="77777777" w:rsidR="00E36FCC" w:rsidRDefault="00E36FCC" w:rsidP="00CD11E1"/>
    <w:p w14:paraId="11300FCE" w14:textId="77777777" w:rsidR="00E36FCC" w:rsidRDefault="00E36FCC" w:rsidP="00815BD4"/>
    <w:p w14:paraId="37247A85" w14:textId="77777777" w:rsidR="00E36FCC" w:rsidRDefault="00E36FCC" w:rsidP="0077354F"/>
    <w:p w14:paraId="7B5AF911" w14:textId="77777777" w:rsidR="00E36FCC" w:rsidRDefault="00E36FCC" w:rsidP="00431630"/>
    <w:p w14:paraId="51638958" w14:textId="77777777" w:rsidR="00E36FCC" w:rsidRDefault="00E36FCC" w:rsidP="008909A2"/>
    <w:p w14:paraId="3C10DD8E" w14:textId="77777777" w:rsidR="00E36FCC" w:rsidRDefault="00E36FCC" w:rsidP="00ED13AE"/>
    <w:p w14:paraId="04C7A532" w14:textId="77777777" w:rsidR="00E36FCC" w:rsidRDefault="00E36FCC" w:rsidP="003E4BC4"/>
    <w:p w14:paraId="129FDBCC" w14:textId="77777777" w:rsidR="00E36FCC" w:rsidRDefault="00E36FCC" w:rsidP="003E4BC4"/>
    <w:p w14:paraId="322BD42E" w14:textId="77777777" w:rsidR="00E36FCC" w:rsidRDefault="00E36FCC" w:rsidP="00970FBF"/>
    <w:p w14:paraId="24462AE7" w14:textId="77777777" w:rsidR="00E36FCC" w:rsidRDefault="00E36FCC"/>
    <w:p w14:paraId="4EE5CFB2" w14:textId="77777777" w:rsidR="00E36FCC" w:rsidRDefault="00E36FCC"/>
    <w:p w14:paraId="6A260C1D" w14:textId="77777777" w:rsidR="00E36FCC" w:rsidRDefault="00E36FCC" w:rsidP="0015226B"/>
    <w:p w14:paraId="6F93268C" w14:textId="77777777" w:rsidR="00E36FCC" w:rsidRDefault="00E36FCC" w:rsidP="0015226B"/>
    <w:p w14:paraId="1D230049" w14:textId="77777777" w:rsidR="00E36FCC" w:rsidRDefault="00E36FCC"/>
    <w:p w14:paraId="3DED4053" w14:textId="77777777" w:rsidR="00E36FCC" w:rsidRDefault="00E36FCC"/>
    <w:p w14:paraId="0EED628A" w14:textId="77777777" w:rsidR="00E36FCC" w:rsidRDefault="00E36FCC"/>
    <w:p w14:paraId="7E5A7504" w14:textId="77777777" w:rsidR="00E36FCC" w:rsidRDefault="00E36FCC" w:rsidP="00B55879"/>
    <w:p w14:paraId="7E422121" w14:textId="77777777" w:rsidR="00E36FCC" w:rsidRDefault="00E36FCC"/>
    <w:p w14:paraId="43400029" w14:textId="77777777" w:rsidR="00E36FCC" w:rsidRDefault="00E36FCC"/>
    <w:p w14:paraId="31A7D0C0" w14:textId="77777777" w:rsidR="00E36FCC" w:rsidRDefault="00E36FCC"/>
    <w:p w14:paraId="0F6FB2CD" w14:textId="77777777" w:rsidR="00E36FCC" w:rsidRDefault="00E36FCC"/>
    <w:p w14:paraId="503B726A" w14:textId="77777777" w:rsidR="00E36FCC" w:rsidRDefault="00E36FCC"/>
    <w:p w14:paraId="46C567D9" w14:textId="77777777" w:rsidR="00E36FCC" w:rsidRDefault="00E36FCC" w:rsidP="003819BF"/>
    <w:p w14:paraId="4F09708C" w14:textId="77777777" w:rsidR="00E36FCC" w:rsidRDefault="00E36FCC" w:rsidP="003819BF"/>
    <w:p w14:paraId="2D3DF14A" w14:textId="77777777" w:rsidR="00E36FCC" w:rsidRDefault="00E36FCC"/>
    <w:p w14:paraId="14D45294" w14:textId="77777777" w:rsidR="00E36FCC" w:rsidRDefault="00E36FCC" w:rsidP="00DC2B5E"/>
    <w:p w14:paraId="1CDA0C16" w14:textId="77777777" w:rsidR="00E36FCC" w:rsidRDefault="00E36FCC"/>
    <w:p w14:paraId="326F8C75" w14:textId="77777777" w:rsidR="00E36FCC" w:rsidRDefault="00E36FCC" w:rsidP="002D223B"/>
    <w:p w14:paraId="20F58944" w14:textId="77777777" w:rsidR="00E36FCC" w:rsidRDefault="00E36FCC"/>
  </w:endnote>
  <w:endnote w:type="continuationSeparator" w:id="0">
    <w:p w14:paraId="6272756C" w14:textId="77777777" w:rsidR="00E36FCC" w:rsidRDefault="00E36FCC" w:rsidP="00DA441D">
      <w:pPr>
        <w:spacing w:line="240" w:lineRule="auto"/>
      </w:pPr>
      <w:r>
        <w:continuationSeparator/>
      </w:r>
    </w:p>
    <w:p w14:paraId="5C0FA8A5" w14:textId="77777777" w:rsidR="00E36FCC" w:rsidRDefault="00E36FCC"/>
    <w:p w14:paraId="5FC597CF" w14:textId="77777777" w:rsidR="00E36FCC" w:rsidRDefault="00E36FCC" w:rsidP="00393969"/>
    <w:p w14:paraId="3A5DC02F" w14:textId="77777777" w:rsidR="00E36FCC" w:rsidRDefault="00E36FCC" w:rsidP="002149EF"/>
    <w:p w14:paraId="39A298B3" w14:textId="77777777" w:rsidR="00E36FCC" w:rsidRDefault="00E36FCC"/>
    <w:p w14:paraId="2DC8EBC3" w14:textId="77777777" w:rsidR="00E36FCC" w:rsidRDefault="00E36FCC"/>
    <w:p w14:paraId="10095E6D" w14:textId="77777777" w:rsidR="00E36FCC" w:rsidRDefault="00E36FCC" w:rsidP="00E8699D"/>
    <w:p w14:paraId="5278331E" w14:textId="77777777" w:rsidR="00E36FCC" w:rsidRDefault="00E36FCC"/>
    <w:p w14:paraId="684DF697" w14:textId="77777777" w:rsidR="00E36FCC" w:rsidRDefault="00E36FCC" w:rsidP="00E562DE"/>
    <w:p w14:paraId="11F9DFE4" w14:textId="77777777" w:rsidR="00E36FCC" w:rsidRDefault="00E36FCC"/>
    <w:p w14:paraId="3A0EE9EC" w14:textId="77777777" w:rsidR="00E36FCC" w:rsidRDefault="00E36FCC"/>
    <w:p w14:paraId="6930D022" w14:textId="77777777" w:rsidR="00E36FCC" w:rsidRDefault="00E36FCC"/>
    <w:p w14:paraId="10AD9A8C" w14:textId="77777777" w:rsidR="00E36FCC" w:rsidRDefault="00E36FCC"/>
    <w:p w14:paraId="6F0E9970" w14:textId="77777777" w:rsidR="00E36FCC" w:rsidRDefault="00E36FCC"/>
    <w:p w14:paraId="1E2160D0" w14:textId="77777777" w:rsidR="00E36FCC" w:rsidRDefault="00E36FCC" w:rsidP="00861D75"/>
    <w:p w14:paraId="2E78E652" w14:textId="77777777" w:rsidR="00E36FCC" w:rsidRDefault="00E36FCC"/>
    <w:p w14:paraId="3D0AD1A6" w14:textId="77777777" w:rsidR="00E36FCC" w:rsidRDefault="00E36FCC"/>
    <w:p w14:paraId="5ECDDC1E" w14:textId="77777777" w:rsidR="00E36FCC" w:rsidRDefault="00E36FCC"/>
    <w:p w14:paraId="2FDD4815" w14:textId="77777777" w:rsidR="00E36FCC" w:rsidRDefault="00E36FCC" w:rsidP="00131843"/>
    <w:p w14:paraId="7E194A12" w14:textId="77777777" w:rsidR="00E36FCC" w:rsidRDefault="00E36FCC" w:rsidP="00737764"/>
    <w:p w14:paraId="42A74899" w14:textId="77777777" w:rsidR="00E36FCC" w:rsidRDefault="00E36FCC" w:rsidP="0048524C"/>
    <w:p w14:paraId="1E0D66CC" w14:textId="77777777" w:rsidR="00E36FCC" w:rsidRDefault="00E36FCC" w:rsidP="00C42A1F"/>
    <w:p w14:paraId="001A8292" w14:textId="77777777" w:rsidR="00E36FCC" w:rsidRDefault="00E36FCC" w:rsidP="00C42A1F"/>
    <w:p w14:paraId="3BA3C0D2" w14:textId="77777777" w:rsidR="00E36FCC" w:rsidRDefault="00E36FCC"/>
    <w:p w14:paraId="0F1287E4" w14:textId="77777777" w:rsidR="00E36FCC" w:rsidRDefault="00E36FCC"/>
    <w:p w14:paraId="40DE8439" w14:textId="77777777" w:rsidR="00E36FCC" w:rsidRDefault="00E36FCC"/>
    <w:p w14:paraId="7CB293F9" w14:textId="77777777" w:rsidR="00E36FCC" w:rsidRDefault="00E36FCC" w:rsidP="00ED0FC6"/>
    <w:p w14:paraId="0ACF4244" w14:textId="77777777" w:rsidR="00E36FCC" w:rsidRDefault="00E36FCC" w:rsidP="00A04FE8"/>
    <w:p w14:paraId="664845F5" w14:textId="77777777" w:rsidR="00E36FCC" w:rsidRDefault="00E36FCC"/>
    <w:p w14:paraId="44F4E258" w14:textId="77777777" w:rsidR="00E36FCC" w:rsidRDefault="00E36FCC"/>
    <w:p w14:paraId="05515950" w14:textId="77777777" w:rsidR="00E36FCC" w:rsidRDefault="00E36FCC" w:rsidP="00F666FF"/>
    <w:p w14:paraId="07ED3495" w14:textId="77777777" w:rsidR="00E36FCC" w:rsidRDefault="00E36FCC" w:rsidP="00CD11E1"/>
    <w:p w14:paraId="6BA4EA4E" w14:textId="77777777" w:rsidR="00E36FCC" w:rsidRDefault="00E36FCC" w:rsidP="00815BD4"/>
    <w:p w14:paraId="65B5E25C" w14:textId="77777777" w:rsidR="00E36FCC" w:rsidRDefault="00E36FCC" w:rsidP="0077354F"/>
    <w:p w14:paraId="45AA8B57" w14:textId="77777777" w:rsidR="00E36FCC" w:rsidRDefault="00E36FCC" w:rsidP="00431630"/>
    <w:p w14:paraId="32CA6854" w14:textId="77777777" w:rsidR="00E36FCC" w:rsidRDefault="00E36FCC" w:rsidP="008909A2"/>
    <w:p w14:paraId="4307DFA6" w14:textId="77777777" w:rsidR="00E36FCC" w:rsidRDefault="00E36FCC" w:rsidP="00ED13AE"/>
    <w:p w14:paraId="66B45C3C" w14:textId="77777777" w:rsidR="00E36FCC" w:rsidRDefault="00E36FCC" w:rsidP="003E4BC4"/>
    <w:p w14:paraId="539A5770" w14:textId="77777777" w:rsidR="00E36FCC" w:rsidRDefault="00E36FCC" w:rsidP="003E4BC4"/>
    <w:p w14:paraId="762B690D" w14:textId="77777777" w:rsidR="00E36FCC" w:rsidRDefault="00E36FCC" w:rsidP="00970FBF"/>
    <w:p w14:paraId="1B7C4402" w14:textId="77777777" w:rsidR="00E36FCC" w:rsidRDefault="00E36FCC"/>
    <w:p w14:paraId="067CA5A5" w14:textId="77777777" w:rsidR="00E36FCC" w:rsidRDefault="00E36FCC"/>
    <w:p w14:paraId="43B42F30" w14:textId="77777777" w:rsidR="00E36FCC" w:rsidRDefault="00E36FCC" w:rsidP="0015226B"/>
    <w:p w14:paraId="080F664E" w14:textId="77777777" w:rsidR="00E36FCC" w:rsidRDefault="00E36FCC" w:rsidP="0015226B"/>
    <w:p w14:paraId="55DD9243" w14:textId="77777777" w:rsidR="00E36FCC" w:rsidRDefault="00E36FCC"/>
    <w:p w14:paraId="0C15E03C" w14:textId="77777777" w:rsidR="00E36FCC" w:rsidRDefault="00E36FCC"/>
    <w:p w14:paraId="091FD7C6" w14:textId="77777777" w:rsidR="00E36FCC" w:rsidRDefault="00E36FCC"/>
    <w:p w14:paraId="6DF5F68A" w14:textId="77777777" w:rsidR="00E36FCC" w:rsidRDefault="00E36FCC" w:rsidP="00B55879"/>
    <w:p w14:paraId="4E28FE8C" w14:textId="77777777" w:rsidR="00E36FCC" w:rsidRDefault="00E36FCC"/>
    <w:p w14:paraId="554AB5F7" w14:textId="77777777" w:rsidR="00E36FCC" w:rsidRDefault="00E36FCC"/>
    <w:p w14:paraId="3EFABB0C" w14:textId="77777777" w:rsidR="00E36FCC" w:rsidRDefault="00E36FCC"/>
    <w:p w14:paraId="3BF62EC5" w14:textId="77777777" w:rsidR="00E36FCC" w:rsidRDefault="00E36FCC"/>
    <w:p w14:paraId="395FCA93" w14:textId="77777777" w:rsidR="00E36FCC" w:rsidRDefault="00E36FCC"/>
    <w:p w14:paraId="7A2F9604" w14:textId="77777777" w:rsidR="00E36FCC" w:rsidRDefault="00E36FCC" w:rsidP="003819BF"/>
    <w:p w14:paraId="3AD87879" w14:textId="77777777" w:rsidR="00E36FCC" w:rsidRDefault="00E36FCC" w:rsidP="003819BF"/>
    <w:p w14:paraId="772AE3AB" w14:textId="77777777" w:rsidR="00E36FCC" w:rsidRDefault="00E36FCC"/>
    <w:p w14:paraId="03AC05A5" w14:textId="77777777" w:rsidR="00E36FCC" w:rsidRDefault="00E36FCC" w:rsidP="00DC2B5E"/>
    <w:p w14:paraId="3D911B9C" w14:textId="77777777" w:rsidR="00E36FCC" w:rsidRDefault="00E36FCC"/>
    <w:p w14:paraId="7DDFA912" w14:textId="77777777" w:rsidR="00E36FCC" w:rsidRDefault="00E36FCC" w:rsidP="002D223B"/>
    <w:p w14:paraId="431547B3" w14:textId="77777777" w:rsidR="00E36FCC" w:rsidRDefault="00E36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ldine721 BT">
    <w:altName w:val="Century"/>
    <w:panose1 w:val="00000000000000000000"/>
    <w:charset w:val="00"/>
    <w:family w:val="roman"/>
    <w:notTrueType/>
    <w:pitch w:val="variable"/>
    <w:sig w:usb0="00000003" w:usb1="00000000" w:usb2="00000000" w:usb3="00000000" w:csb0="00000001" w:csb1="00000000"/>
  </w:font>
  <w:font w:name="Arial-BoldMT">
    <w:altName w:val="Arial Bold"/>
    <w:charset w:val="00"/>
    <w:family w:val="swiss"/>
    <w:pitch w:val="default"/>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583B5" w14:textId="4E0B4C3B" w:rsidR="00E36FCC" w:rsidRPr="00052B73" w:rsidRDefault="00E36FCC" w:rsidP="001426E5">
    <w:pPr>
      <w:pStyle w:val="Footer"/>
      <w:pBdr>
        <w:top w:val="thinThickSmallGap" w:sz="24" w:space="1" w:color="622423" w:themeColor="accent2" w:themeShade="7F"/>
      </w:pBdr>
      <w:jc w:val="right"/>
      <w:rPr>
        <w:rFonts w:asciiTheme="majorHAnsi" w:hAnsiTheme="majorHAnsi"/>
        <w:i/>
        <w:sz w:val="22"/>
      </w:rPr>
    </w:pPr>
    <w:r>
      <w:rPr>
        <w:rFonts w:asciiTheme="majorHAnsi" w:hAnsiTheme="majorHAnsi"/>
        <w:i/>
        <w:sz w:val="22"/>
      </w:rPr>
      <w:t>Diagnóstico e Avaliação de Eficiência Operacional  – BID – BB – Abril / 2018</w:t>
    </w:r>
  </w:p>
  <w:p w14:paraId="4EBA8714" w14:textId="77777777" w:rsidR="00E36FCC" w:rsidRPr="001426E5" w:rsidRDefault="00E36FCC" w:rsidP="001426E5">
    <w:pPr>
      <w:pStyle w:val="Footer"/>
      <w:tabs>
        <w:tab w:val="left" w:pos="3675"/>
      </w:tabs>
      <w:rPr>
        <w:sz w:val="22"/>
      </w:rPr>
    </w:pPr>
    <w:r w:rsidRPr="001426E5">
      <w:rPr>
        <w:sz w:val="22"/>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6CCEC" w14:textId="77777777" w:rsidR="00E36FCC" w:rsidRDefault="00E36FCC" w:rsidP="00DA441D">
      <w:pPr>
        <w:spacing w:line="240" w:lineRule="auto"/>
      </w:pPr>
      <w:r>
        <w:separator/>
      </w:r>
    </w:p>
    <w:p w14:paraId="69F06E3F" w14:textId="77777777" w:rsidR="00E36FCC" w:rsidRDefault="00E36FCC"/>
    <w:p w14:paraId="47C25209" w14:textId="77777777" w:rsidR="00E36FCC" w:rsidRDefault="00E36FCC" w:rsidP="00393969"/>
    <w:p w14:paraId="04D1F35F" w14:textId="77777777" w:rsidR="00E36FCC" w:rsidRDefault="00E36FCC" w:rsidP="002149EF"/>
    <w:p w14:paraId="05723DA9" w14:textId="77777777" w:rsidR="00E36FCC" w:rsidRDefault="00E36FCC"/>
    <w:p w14:paraId="0AB42E13" w14:textId="77777777" w:rsidR="00E36FCC" w:rsidRDefault="00E36FCC"/>
    <w:p w14:paraId="3D5852CA" w14:textId="77777777" w:rsidR="00E36FCC" w:rsidRDefault="00E36FCC" w:rsidP="00E8699D"/>
    <w:p w14:paraId="006CD898" w14:textId="77777777" w:rsidR="00E36FCC" w:rsidRDefault="00E36FCC"/>
    <w:p w14:paraId="6ABDDE16" w14:textId="77777777" w:rsidR="00E36FCC" w:rsidRDefault="00E36FCC" w:rsidP="00E562DE"/>
    <w:p w14:paraId="10FDEBE8" w14:textId="77777777" w:rsidR="00E36FCC" w:rsidRDefault="00E36FCC"/>
    <w:p w14:paraId="784FD029" w14:textId="77777777" w:rsidR="00E36FCC" w:rsidRDefault="00E36FCC"/>
    <w:p w14:paraId="28F1AD88" w14:textId="77777777" w:rsidR="00E36FCC" w:rsidRDefault="00E36FCC"/>
    <w:p w14:paraId="5A9AFEF7" w14:textId="77777777" w:rsidR="00E36FCC" w:rsidRDefault="00E36FCC"/>
    <w:p w14:paraId="07342B4A" w14:textId="77777777" w:rsidR="00E36FCC" w:rsidRDefault="00E36FCC"/>
    <w:p w14:paraId="776D7C63" w14:textId="77777777" w:rsidR="00E36FCC" w:rsidRDefault="00E36FCC" w:rsidP="00861D75"/>
    <w:p w14:paraId="4D70A48B" w14:textId="77777777" w:rsidR="00E36FCC" w:rsidRDefault="00E36FCC"/>
    <w:p w14:paraId="1FCFE7F3" w14:textId="77777777" w:rsidR="00E36FCC" w:rsidRDefault="00E36FCC"/>
    <w:p w14:paraId="1A2A0B8C" w14:textId="77777777" w:rsidR="00E36FCC" w:rsidRDefault="00E36FCC"/>
    <w:p w14:paraId="04E49B0D" w14:textId="77777777" w:rsidR="00E36FCC" w:rsidRDefault="00E36FCC" w:rsidP="00131843"/>
    <w:p w14:paraId="70EAED92" w14:textId="77777777" w:rsidR="00E36FCC" w:rsidRDefault="00E36FCC" w:rsidP="00737764"/>
    <w:p w14:paraId="44100E0A" w14:textId="77777777" w:rsidR="00E36FCC" w:rsidRDefault="00E36FCC" w:rsidP="0048524C"/>
    <w:p w14:paraId="10890882" w14:textId="77777777" w:rsidR="00E36FCC" w:rsidRDefault="00E36FCC" w:rsidP="00C42A1F"/>
    <w:p w14:paraId="1F63EBF2" w14:textId="77777777" w:rsidR="00E36FCC" w:rsidRDefault="00E36FCC" w:rsidP="00C42A1F"/>
    <w:p w14:paraId="71F48497" w14:textId="77777777" w:rsidR="00E36FCC" w:rsidRDefault="00E36FCC"/>
    <w:p w14:paraId="6E3108A8" w14:textId="77777777" w:rsidR="00E36FCC" w:rsidRDefault="00E36FCC"/>
    <w:p w14:paraId="198FBCD6" w14:textId="77777777" w:rsidR="00E36FCC" w:rsidRDefault="00E36FCC"/>
    <w:p w14:paraId="0A50AF89" w14:textId="77777777" w:rsidR="00E36FCC" w:rsidRDefault="00E36FCC" w:rsidP="00ED0FC6"/>
    <w:p w14:paraId="4F1CBC25" w14:textId="77777777" w:rsidR="00E36FCC" w:rsidRDefault="00E36FCC" w:rsidP="00A04FE8"/>
    <w:p w14:paraId="24BF5793" w14:textId="77777777" w:rsidR="00E36FCC" w:rsidRDefault="00E36FCC"/>
    <w:p w14:paraId="32988DF2" w14:textId="77777777" w:rsidR="00E36FCC" w:rsidRDefault="00E36FCC"/>
    <w:p w14:paraId="1A0CB62E" w14:textId="77777777" w:rsidR="00E36FCC" w:rsidRDefault="00E36FCC" w:rsidP="00F666FF"/>
    <w:p w14:paraId="0DF4A3E2" w14:textId="77777777" w:rsidR="00E36FCC" w:rsidRDefault="00E36FCC" w:rsidP="00CD11E1"/>
    <w:p w14:paraId="0D29061D" w14:textId="77777777" w:rsidR="00E36FCC" w:rsidRDefault="00E36FCC" w:rsidP="00815BD4"/>
    <w:p w14:paraId="2D0AD51B" w14:textId="77777777" w:rsidR="00E36FCC" w:rsidRDefault="00E36FCC" w:rsidP="0077354F"/>
    <w:p w14:paraId="5957B3B6" w14:textId="77777777" w:rsidR="00E36FCC" w:rsidRDefault="00E36FCC" w:rsidP="00431630"/>
    <w:p w14:paraId="424413DD" w14:textId="77777777" w:rsidR="00E36FCC" w:rsidRDefault="00E36FCC" w:rsidP="008909A2"/>
    <w:p w14:paraId="4439CEAC" w14:textId="77777777" w:rsidR="00E36FCC" w:rsidRDefault="00E36FCC" w:rsidP="00ED13AE"/>
    <w:p w14:paraId="5DE3F0C9" w14:textId="77777777" w:rsidR="00E36FCC" w:rsidRDefault="00E36FCC" w:rsidP="003E4BC4"/>
    <w:p w14:paraId="1E284971" w14:textId="77777777" w:rsidR="00E36FCC" w:rsidRDefault="00E36FCC" w:rsidP="003E4BC4"/>
    <w:p w14:paraId="3027617F" w14:textId="77777777" w:rsidR="00E36FCC" w:rsidRDefault="00E36FCC" w:rsidP="00970FBF"/>
    <w:p w14:paraId="0BF38EA6" w14:textId="77777777" w:rsidR="00E36FCC" w:rsidRDefault="00E36FCC"/>
    <w:p w14:paraId="492A2FFD" w14:textId="77777777" w:rsidR="00E36FCC" w:rsidRDefault="00E36FCC"/>
    <w:p w14:paraId="5E4A91F2" w14:textId="77777777" w:rsidR="00E36FCC" w:rsidRDefault="00E36FCC" w:rsidP="0015226B"/>
    <w:p w14:paraId="7495E9D6" w14:textId="77777777" w:rsidR="00E36FCC" w:rsidRDefault="00E36FCC" w:rsidP="0015226B"/>
    <w:p w14:paraId="71D83DA9" w14:textId="77777777" w:rsidR="00E36FCC" w:rsidRDefault="00E36FCC"/>
    <w:p w14:paraId="42123CEC" w14:textId="77777777" w:rsidR="00E36FCC" w:rsidRDefault="00E36FCC"/>
    <w:p w14:paraId="1271823E" w14:textId="77777777" w:rsidR="00E36FCC" w:rsidRDefault="00E36FCC"/>
    <w:p w14:paraId="3395871D" w14:textId="77777777" w:rsidR="00E36FCC" w:rsidRDefault="00E36FCC" w:rsidP="00B55879"/>
    <w:p w14:paraId="4D894D8C" w14:textId="77777777" w:rsidR="00E36FCC" w:rsidRDefault="00E36FCC"/>
    <w:p w14:paraId="5FBC76A8" w14:textId="77777777" w:rsidR="00E36FCC" w:rsidRDefault="00E36FCC"/>
    <w:p w14:paraId="056C1CC7" w14:textId="77777777" w:rsidR="00E36FCC" w:rsidRDefault="00E36FCC"/>
    <w:p w14:paraId="060E0EF8" w14:textId="77777777" w:rsidR="00E36FCC" w:rsidRDefault="00E36FCC"/>
    <w:p w14:paraId="1843F0BB" w14:textId="77777777" w:rsidR="00E36FCC" w:rsidRDefault="00E36FCC"/>
    <w:p w14:paraId="6FF4107D" w14:textId="77777777" w:rsidR="00E36FCC" w:rsidRDefault="00E36FCC" w:rsidP="003819BF"/>
    <w:p w14:paraId="55769140" w14:textId="77777777" w:rsidR="00E36FCC" w:rsidRDefault="00E36FCC" w:rsidP="003819BF"/>
    <w:p w14:paraId="1DF4AFC6" w14:textId="77777777" w:rsidR="00E36FCC" w:rsidRDefault="00E36FCC"/>
    <w:p w14:paraId="72649B81" w14:textId="77777777" w:rsidR="00E36FCC" w:rsidRDefault="00E36FCC" w:rsidP="00DC2B5E"/>
    <w:p w14:paraId="18CC1234" w14:textId="77777777" w:rsidR="00E36FCC" w:rsidRDefault="00E36FCC"/>
    <w:p w14:paraId="19E9BF14" w14:textId="77777777" w:rsidR="00E36FCC" w:rsidRDefault="00E36FCC" w:rsidP="002D223B"/>
    <w:p w14:paraId="570CBC5B" w14:textId="77777777" w:rsidR="00E36FCC" w:rsidRDefault="00E36FCC"/>
  </w:footnote>
  <w:footnote w:type="continuationSeparator" w:id="0">
    <w:p w14:paraId="33064256" w14:textId="77777777" w:rsidR="00E36FCC" w:rsidRDefault="00E36FCC" w:rsidP="00DA441D">
      <w:pPr>
        <w:spacing w:line="240" w:lineRule="auto"/>
      </w:pPr>
      <w:r>
        <w:continuationSeparator/>
      </w:r>
    </w:p>
    <w:p w14:paraId="122BBDE7" w14:textId="77777777" w:rsidR="00E36FCC" w:rsidRDefault="00E36FCC"/>
    <w:p w14:paraId="33210688" w14:textId="77777777" w:rsidR="00E36FCC" w:rsidRDefault="00E36FCC" w:rsidP="00393969"/>
    <w:p w14:paraId="1504716A" w14:textId="77777777" w:rsidR="00E36FCC" w:rsidRDefault="00E36FCC" w:rsidP="002149EF"/>
    <w:p w14:paraId="667FB976" w14:textId="77777777" w:rsidR="00E36FCC" w:rsidRDefault="00E36FCC"/>
    <w:p w14:paraId="4CFAC86C" w14:textId="77777777" w:rsidR="00E36FCC" w:rsidRDefault="00E36FCC"/>
    <w:p w14:paraId="4BE7A7EF" w14:textId="77777777" w:rsidR="00E36FCC" w:rsidRDefault="00E36FCC" w:rsidP="00E8699D"/>
    <w:p w14:paraId="1122475B" w14:textId="77777777" w:rsidR="00E36FCC" w:rsidRDefault="00E36FCC"/>
    <w:p w14:paraId="6B182521" w14:textId="77777777" w:rsidR="00E36FCC" w:rsidRDefault="00E36FCC" w:rsidP="00E562DE"/>
    <w:p w14:paraId="1855503D" w14:textId="77777777" w:rsidR="00E36FCC" w:rsidRDefault="00E36FCC"/>
    <w:p w14:paraId="1BF3E158" w14:textId="77777777" w:rsidR="00E36FCC" w:rsidRDefault="00E36FCC"/>
    <w:p w14:paraId="7618B4BF" w14:textId="77777777" w:rsidR="00E36FCC" w:rsidRDefault="00E36FCC"/>
    <w:p w14:paraId="2CDB040A" w14:textId="77777777" w:rsidR="00E36FCC" w:rsidRDefault="00E36FCC"/>
    <w:p w14:paraId="6936C8D3" w14:textId="77777777" w:rsidR="00E36FCC" w:rsidRDefault="00E36FCC"/>
    <w:p w14:paraId="75C334A5" w14:textId="77777777" w:rsidR="00E36FCC" w:rsidRDefault="00E36FCC" w:rsidP="00861D75"/>
    <w:p w14:paraId="3AACA9AF" w14:textId="77777777" w:rsidR="00E36FCC" w:rsidRDefault="00E36FCC"/>
    <w:p w14:paraId="7D21733E" w14:textId="77777777" w:rsidR="00E36FCC" w:rsidRDefault="00E36FCC"/>
    <w:p w14:paraId="0543D160" w14:textId="77777777" w:rsidR="00E36FCC" w:rsidRDefault="00E36FCC"/>
    <w:p w14:paraId="525B52BB" w14:textId="77777777" w:rsidR="00E36FCC" w:rsidRDefault="00E36FCC" w:rsidP="00131843"/>
    <w:p w14:paraId="6407E4ED" w14:textId="77777777" w:rsidR="00E36FCC" w:rsidRDefault="00E36FCC" w:rsidP="00737764"/>
    <w:p w14:paraId="5C4F9561" w14:textId="77777777" w:rsidR="00E36FCC" w:rsidRDefault="00E36FCC" w:rsidP="0048524C"/>
    <w:p w14:paraId="0EB6E7D0" w14:textId="77777777" w:rsidR="00E36FCC" w:rsidRDefault="00E36FCC" w:rsidP="00C42A1F"/>
    <w:p w14:paraId="6A4A54B2" w14:textId="77777777" w:rsidR="00E36FCC" w:rsidRDefault="00E36FCC" w:rsidP="00C42A1F"/>
    <w:p w14:paraId="221DE54E" w14:textId="77777777" w:rsidR="00E36FCC" w:rsidRDefault="00E36FCC"/>
    <w:p w14:paraId="65C2F975" w14:textId="77777777" w:rsidR="00E36FCC" w:rsidRDefault="00E36FCC"/>
    <w:p w14:paraId="555472EE" w14:textId="77777777" w:rsidR="00E36FCC" w:rsidRDefault="00E36FCC"/>
    <w:p w14:paraId="1CA7C684" w14:textId="77777777" w:rsidR="00E36FCC" w:rsidRDefault="00E36FCC" w:rsidP="00ED0FC6"/>
    <w:p w14:paraId="4714938D" w14:textId="77777777" w:rsidR="00E36FCC" w:rsidRDefault="00E36FCC" w:rsidP="00A04FE8"/>
    <w:p w14:paraId="6048383C" w14:textId="77777777" w:rsidR="00E36FCC" w:rsidRDefault="00E36FCC"/>
    <w:p w14:paraId="12E639F2" w14:textId="77777777" w:rsidR="00E36FCC" w:rsidRDefault="00E36FCC"/>
    <w:p w14:paraId="5FB9D073" w14:textId="77777777" w:rsidR="00E36FCC" w:rsidRDefault="00E36FCC" w:rsidP="00F666FF"/>
    <w:p w14:paraId="1C6EF3AC" w14:textId="77777777" w:rsidR="00E36FCC" w:rsidRDefault="00E36FCC" w:rsidP="00CD11E1"/>
    <w:p w14:paraId="191BE967" w14:textId="77777777" w:rsidR="00E36FCC" w:rsidRDefault="00E36FCC" w:rsidP="00815BD4"/>
    <w:p w14:paraId="03BA4263" w14:textId="77777777" w:rsidR="00E36FCC" w:rsidRDefault="00E36FCC" w:rsidP="0077354F"/>
    <w:p w14:paraId="7B39F37E" w14:textId="77777777" w:rsidR="00E36FCC" w:rsidRDefault="00E36FCC" w:rsidP="00431630"/>
    <w:p w14:paraId="3E77C198" w14:textId="77777777" w:rsidR="00E36FCC" w:rsidRDefault="00E36FCC" w:rsidP="008909A2"/>
    <w:p w14:paraId="6D33249D" w14:textId="77777777" w:rsidR="00E36FCC" w:rsidRDefault="00E36FCC" w:rsidP="00ED13AE"/>
    <w:p w14:paraId="5A27663C" w14:textId="77777777" w:rsidR="00E36FCC" w:rsidRDefault="00E36FCC" w:rsidP="003E4BC4"/>
    <w:p w14:paraId="36D2C038" w14:textId="77777777" w:rsidR="00E36FCC" w:rsidRDefault="00E36FCC" w:rsidP="003E4BC4"/>
    <w:p w14:paraId="660C03C4" w14:textId="77777777" w:rsidR="00E36FCC" w:rsidRDefault="00E36FCC" w:rsidP="00970FBF"/>
    <w:p w14:paraId="2CFBD119" w14:textId="77777777" w:rsidR="00E36FCC" w:rsidRDefault="00E36FCC"/>
    <w:p w14:paraId="3133739E" w14:textId="77777777" w:rsidR="00E36FCC" w:rsidRDefault="00E36FCC"/>
    <w:p w14:paraId="660D1475" w14:textId="77777777" w:rsidR="00E36FCC" w:rsidRDefault="00E36FCC" w:rsidP="0015226B"/>
    <w:p w14:paraId="258F9820" w14:textId="77777777" w:rsidR="00E36FCC" w:rsidRDefault="00E36FCC" w:rsidP="0015226B"/>
    <w:p w14:paraId="33ED4E72" w14:textId="77777777" w:rsidR="00E36FCC" w:rsidRDefault="00E36FCC"/>
    <w:p w14:paraId="2AA8D1AF" w14:textId="77777777" w:rsidR="00E36FCC" w:rsidRDefault="00E36FCC"/>
    <w:p w14:paraId="0B441B50" w14:textId="77777777" w:rsidR="00E36FCC" w:rsidRDefault="00E36FCC"/>
    <w:p w14:paraId="65479F3A" w14:textId="77777777" w:rsidR="00E36FCC" w:rsidRDefault="00E36FCC" w:rsidP="00B55879"/>
    <w:p w14:paraId="07CC43A2" w14:textId="77777777" w:rsidR="00E36FCC" w:rsidRDefault="00E36FCC"/>
    <w:p w14:paraId="26AAB0A3" w14:textId="77777777" w:rsidR="00E36FCC" w:rsidRDefault="00E36FCC"/>
    <w:p w14:paraId="6835D784" w14:textId="77777777" w:rsidR="00E36FCC" w:rsidRDefault="00E36FCC"/>
    <w:p w14:paraId="2965AE78" w14:textId="77777777" w:rsidR="00E36FCC" w:rsidRDefault="00E36FCC"/>
    <w:p w14:paraId="0DA90418" w14:textId="77777777" w:rsidR="00E36FCC" w:rsidRDefault="00E36FCC"/>
    <w:p w14:paraId="1B33300C" w14:textId="77777777" w:rsidR="00E36FCC" w:rsidRDefault="00E36FCC" w:rsidP="003819BF"/>
    <w:p w14:paraId="3008F5DF" w14:textId="77777777" w:rsidR="00E36FCC" w:rsidRDefault="00E36FCC" w:rsidP="003819BF"/>
    <w:p w14:paraId="241C9DF8" w14:textId="77777777" w:rsidR="00E36FCC" w:rsidRDefault="00E36FCC"/>
    <w:p w14:paraId="38C33064" w14:textId="77777777" w:rsidR="00E36FCC" w:rsidRDefault="00E36FCC" w:rsidP="00DC2B5E"/>
    <w:p w14:paraId="1576614F" w14:textId="77777777" w:rsidR="00E36FCC" w:rsidRDefault="00E36FCC"/>
    <w:p w14:paraId="0F7CA6BC" w14:textId="77777777" w:rsidR="00E36FCC" w:rsidRDefault="00E36FCC" w:rsidP="002D223B"/>
    <w:p w14:paraId="0070706B" w14:textId="77777777" w:rsidR="00E36FCC" w:rsidRDefault="00E36FC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47A5D" w14:textId="77777777" w:rsidR="00E36FCC" w:rsidRDefault="00E36FCC" w:rsidP="009C23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73CBE" w14:textId="77777777" w:rsidR="00E36FCC" w:rsidRDefault="00E36FCC" w:rsidP="009C237B">
    <w:pPr>
      <w:pStyle w:val="Header"/>
      <w:ind w:right="360"/>
    </w:pPr>
  </w:p>
  <w:p w14:paraId="3DF22D40" w14:textId="77777777" w:rsidR="00E36FCC" w:rsidRDefault="00E36FCC"/>
  <w:p w14:paraId="0EBEBD34" w14:textId="77777777" w:rsidR="00E36FCC" w:rsidRDefault="00E36FCC" w:rsidP="00393969"/>
  <w:p w14:paraId="466D3C45" w14:textId="77777777" w:rsidR="00E36FCC" w:rsidRDefault="00E36FCC" w:rsidP="002149EF"/>
  <w:p w14:paraId="67AE0EBC" w14:textId="77777777" w:rsidR="00E36FCC" w:rsidRDefault="00E36FCC"/>
  <w:p w14:paraId="1B78432D" w14:textId="77777777" w:rsidR="00E36FCC" w:rsidRDefault="00E36FCC"/>
  <w:p w14:paraId="6FB5D901" w14:textId="77777777" w:rsidR="00E36FCC" w:rsidRDefault="00E36FCC" w:rsidP="00E8699D"/>
  <w:p w14:paraId="2E52FC64" w14:textId="77777777" w:rsidR="00E36FCC" w:rsidRDefault="00E36FCC"/>
  <w:p w14:paraId="40A95A13" w14:textId="77777777" w:rsidR="00E36FCC" w:rsidRDefault="00E36FCC" w:rsidP="00E562DE"/>
  <w:p w14:paraId="3BF16B43" w14:textId="77777777" w:rsidR="00E36FCC" w:rsidRDefault="00E36FCC"/>
  <w:p w14:paraId="37ACB372" w14:textId="77777777" w:rsidR="00E36FCC" w:rsidRDefault="00E36FCC"/>
  <w:p w14:paraId="776CE88A" w14:textId="77777777" w:rsidR="00E36FCC" w:rsidRDefault="00E36FCC"/>
  <w:p w14:paraId="2821E4F4" w14:textId="77777777" w:rsidR="00E36FCC" w:rsidRDefault="00E36FCC"/>
  <w:p w14:paraId="375930FE" w14:textId="77777777" w:rsidR="00E36FCC" w:rsidRDefault="00E36FCC"/>
  <w:p w14:paraId="73B95DA2" w14:textId="77777777" w:rsidR="00E36FCC" w:rsidRDefault="00E36FCC" w:rsidP="00861D75"/>
  <w:p w14:paraId="6D177C0D" w14:textId="77777777" w:rsidR="00E36FCC" w:rsidRDefault="00E36FCC"/>
  <w:p w14:paraId="3842C095" w14:textId="77777777" w:rsidR="00E36FCC" w:rsidRDefault="00E36FCC"/>
  <w:p w14:paraId="0FAF5EE7" w14:textId="77777777" w:rsidR="00E36FCC" w:rsidRDefault="00E36FCC"/>
  <w:p w14:paraId="39D76B78" w14:textId="77777777" w:rsidR="00E36FCC" w:rsidRDefault="00E36FCC" w:rsidP="00131843"/>
  <w:p w14:paraId="6CF0C3D8" w14:textId="77777777" w:rsidR="00E36FCC" w:rsidRDefault="00E36FCC" w:rsidP="00737764"/>
  <w:p w14:paraId="40C2AD5E" w14:textId="77777777" w:rsidR="00E36FCC" w:rsidRDefault="00E36FCC" w:rsidP="0048524C"/>
  <w:p w14:paraId="275E67BF" w14:textId="77777777" w:rsidR="00E36FCC" w:rsidRDefault="00E36FCC" w:rsidP="00C42A1F"/>
  <w:p w14:paraId="73C700F3" w14:textId="77777777" w:rsidR="00E36FCC" w:rsidRDefault="00E36FCC" w:rsidP="00C42A1F"/>
  <w:p w14:paraId="1C2C8673" w14:textId="77777777" w:rsidR="00E36FCC" w:rsidRDefault="00E36FCC"/>
  <w:p w14:paraId="6377DDA6" w14:textId="77777777" w:rsidR="00E36FCC" w:rsidRDefault="00E36FCC"/>
  <w:p w14:paraId="158E5982" w14:textId="77777777" w:rsidR="00E36FCC" w:rsidRDefault="00E36FCC"/>
  <w:p w14:paraId="4021044C" w14:textId="77777777" w:rsidR="00E36FCC" w:rsidRDefault="00E36FCC" w:rsidP="00ED0FC6"/>
  <w:p w14:paraId="03C3A139" w14:textId="77777777" w:rsidR="00E36FCC" w:rsidRDefault="00E36FCC" w:rsidP="00A04FE8"/>
  <w:p w14:paraId="52777DB1" w14:textId="77777777" w:rsidR="00E36FCC" w:rsidRDefault="00E36FCC"/>
  <w:p w14:paraId="5F7CB1E9" w14:textId="77777777" w:rsidR="00E36FCC" w:rsidRDefault="00E36FCC"/>
  <w:p w14:paraId="7A974359" w14:textId="77777777" w:rsidR="00E36FCC" w:rsidRDefault="00E36FCC" w:rsidP="00F666FF"/>
  <w:p w14:paraId="7D85B2B5" w14:textId="77777777" w:rsidR="00E36FCC" w:rsidRDefault="00E36FCC" w:rsidP="00CD11E1"/>
  <w:p w14:paraId="12252823" w14:textId="77777777" w:rsidR="00E36FCC" w:rsidRDefault="00E36FCC" w:rsidP="00815BD4"/>
  <w:p w14:paraId="24418A06" w14:textId="77777777" w:rsidR="00E36FCC" w:rsidRDefault="00E36FCC" w:rsidP="0077354F"/>
  <w:p w14:paraId="456C3F39" w14:textId="77777777" w:rsidR="00E36FCC" w:rsidRDefault="00E36FCC" w:rsidP="00431630"/>
  <w:p w14:paraId="77A8DBCA" w14:textId="77777777" w:rsidR="00E36FCC" w:rsidRDefault="00E36FCC" w:rsidP="008909A2"/>
  <w:p w14:paraId="26E04873" w14:textId="77777777" w:rsidR="00E36FCC" w:rsidRDefault="00E36FCC" w:rsidP="00ED13AE"/>
  <w:p w14:paraId="2189CFBD" w14:textId="77777777" w:rsidR="00E36FCC" w:rsidRDefault="00E36FCC" w:rsidP="003E4BC4"/>
  <w:p w14:paraId="02B74D3F" w14:textId="77777777" w:rsidR="00E36FCC" w:rsidRDefault="00E36FCC" w:rsidP="003E4BC4"/>
  <w:p w14:paraId="1F616214" w14:textId="77777777" w:rsidR="00E36FCC" w:rsidRDefault="00E36FCC" w:rsidP="00970FBF"/>
  <w:p w14:paraId="0CA71D4E" w14:textId="77777777" w:rsidR="00E36FCC" w:rsidRDefault="00E36FCC"/>
  <w:p w14:paraId="2B78BAC3" w14:textId="77777777" w:rsidR="00E36FCC" w:rsidRDefault="00E36FCC"/>
  <w:p w14:paraId="376EDBDB" w14:textId="77777777" w:rsidR="00E36FCC" w:rsidRDefault="00E36FCC" w:rsidP="0015226B"/>
  <w:p w14:paraId="0538FC02" w14:textId="77777777" w:rsidR="00E36FCC" w:rsidRDefault="00E36FCC" w:rsidP="0015226B"/>
  <w:p w14:paraId="2690F777" w14:textId="77777777" w:rsidR="00E36FCC" w:rsidRDefault="00E36FCC"/>
  <w:p w14:paraId="348DA4BB" w14:textId="77777777" w:rsidR="00E36FCC" w:rsidRDefault="00E36FCC"/>
  <w:p w14:paraId="7589A0F6" w14:textId="77777777" w:rsidR="00E36FCC" w:rsidRDefault="00E36FCC"/>
  <w:p w14:paraId="659587B3" w14:textId="77777777" w:rsidR="00E36FCC" w:rsidRDefault="00E36FCC" w:rsidP="00B55879"/>
  <w:p w14:paraId="1305F363" w14:textId="77777777" w:rsidR="00E36FCC" w:rsidRDefault="00E36FCC"/>
  <w:p w14:paraId="5D7C8478" w14:textId="77777777" w:rsidR="00E36FCC" w:rsidRDefault="00E36FCC"/>
  <w:p w14:paraId="50766ECC" w14:textId="77777777" w:rsidR="00E36FCC" w:rsidRDefault="00E36FCC"/>
  <w:p w14:paraId="75F9012B" w14:textId="77777777" w:rsidR="00E36FCC" w:rsidRDefault="00E36FCC"/>
  <w:p w14:paraId="0FF22596" w14:textId="77777777" w:rsidR="00E36FCC" w:rsidRDefault="00E36FCC"/>
  <w:p w14:paraId="405A26BE" w14:textId="77777777" w:rsidR="00E36FCC" w:rsidRDefault="00E36FCC" w:rsidP="003819BF"/>
  <w:p w14:paraId="08FDBD24" w14:textId="77777777" w:rsidR="00E36FCC" w:rsidRDefault="00E36FCC" w:rsidP="003819BF"/>
  <w:p w14:paraId="5EDD5E17" w14:textId="77777777" w:rsidR="00E36FCC" w:rsidRDefault="00E36FCC"/>
  <w:p w14:paraId="178804E3" w14:textId="77777777" w:rsidR="00E36FCC" w:rsidRDefault="00E36FCC" w:rsidP="00DC2B5E"/>
  <w:p w14:paraId="371C2243" w14:textId="77777777" w:rsidR="00E36FCC" w:rsidRDefault="00E36FCC"/>
  <w:p w14:paraId="7EF1C5E8" w14:textId="77777777" w:rsidR="00E36FCC" w:rsidRDefault="00E36FCC" w:rsidP="002D223B"/>
  <w:p w14:paraId="0EDFCF0A" w14:textId="77777777" w:rsidR="00E36FCC" w:rsidRDefault="00E36FC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494157"/>
      <w:docPartObj>
        <w:docPartGallery w:val="Page Numbers (Top of Page)"/>
        <w:docPartUnique/>
      </w:docPartObj>
    </w:sdtPr>
    <w:sdtContent>
      <w:p w14:paraId="15742795" w14:textId="77777777" w:rsidR="00E36FCC" w:rsidRDefault="00E36FCC">
        <w:pPr>
          <w:pStyle w:val="Header"/>
          <w:jc w:val="right"/>
        </w:pPr>
        <w:r>
          <w:fldChar w:fldCharType="begin"/>
        </w:r>
        <w:r>
          <w:instrText xml:space="preserve"> PAGE   \* MERGEFORMAT </w:instrText>
        </w:r>
        <w:r>
          <w:fldChar w:fldCharType="separate"/>
        </w:r>
        <w:r w:rsidR="000F089D">
          <w:rPr>
            <w:noProof/>
          </w:rPr>
          <w:t>21</w:t>
        </w:r>
        <w:r>
          <w:rPr>
            <w:noProof/>
          </w:rPr>
          <w:fldChar w:fldCharType="end"/>
        </w:r>
      </w:p>
    </w:sdtContent>
  </w:sdt>
  <w:p w14:paraId="58DEC0F8" w14:textId="77777777" w:rsidR="00E36FCC" w:rsidRDefault="00E36FCC" w:rsidP="00970FBF">
    <w:pPr>
      <w:ind w:firstLine="0"/>
      <w:jc w:val="both"/>
    </w:pPr>
  </w:p>
  <w:p w14:paraId="200ACE33" w14:textId="77777777" w:rsidR="00E36FCC" w:rsidRDefault="00E36FCC" w:rsidP="00B806A8">
    <w:pPr>
      <w:ind w:firstLine="0"/>
      <w:jc w:val="both"/>
    </w:pPr>
  </w:p>
  <w:p w14:paraId="5319ACFE" w14:textId="77777777" w:rsidR="00E36FCC" w:rsidRDefault="00E36FCC" w:rsidP="00B806A8">
    <w:pPr>
      <w:ind w:firstLine="0"/>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148"/>
    <w:multiLevelType w:val="hybridMultilevel"/>
    <w:tmpl w:val="C91A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A6C51"/>
    <w:multiLevelType w:val="hybridMultilevel"/>
    <w:tmpl w:val="385C7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82E0B"/>
    <w:multiLevelType w:val="hybridMultilevel"/>
    <w:tmpl w:val="458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7421A"/>
    <w:multiLevelType w:val="hybridMultilevel"/>
    <w:tmpl w:val="63369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174198"/>
    <w:multiLevelType w:val="hybridMultilevel"/>
    <w:tmpl w:val="512EB41E"/>
    <w:lvl w:ilvl="0" w:tplc="2DB4E01E">
      <w:start w:val="1"/>
      <w:numFmt w:val="bullet"/>
      <w:pStyle w:val="Subtitle"/>
      <w:lvlText w:val="o"/>
      <w:lvlJc w:val="left"/>
      <w:pPr>
        <w:tabs>
          <w:tab w:val="num" w:pos="1287"/>
        </w:tabs>
        <w:ind w:left="1287" w:hanging="360"/>
      </w:pPr>
      <w:rPr>
        <w:rFonts w:ascii="Courier New" w:hAnsi="Courier New" w:cs="Courier New"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5">
    <w:nsid w:val="458F384B"/>
    <w:multiLevelType w:val="hybridMultilevel"/>
    <w:tmpl w:val="8158A90A"/>
    <w:lvl w:ilvl="0" w:tplc="04090005">
      <w:start w:val="1"/>
      <w:numFmt w:val="bullet"/>
      <w:lvlText w:val=""/>
      <w:lvlJc w:val="left"/>
      <w:pPr>
        <w:ind w:left="1069" w:hanging="360"/>
      </w:pPr>
      <w:rPr>
        <w:rFonts w:ascii="Wingdings" w:hAnsi="Wingdings"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52AA7C95"/>
    <w:multiLevelType w:val="multilevel"/>
    <w:tmpl w:val="C43CA93A"/>
    <w:lvl w:ilvl="0">
      <w:start w:val="1"/>
      <w:numFmt w:val="decimal"/>
      <w:pStyle w:val="TtulodoTrabalho"/>
      <w:lvlText w:val="%1."/>
      <w:lvlJc w:val="left"/>
      <w:pPr>
        <w:ind w:left="360" w:hanging="360"/>
      </w:pPr>
      <w:rPr>
        <w:rFonts w:hint="default"/>
      </w:rPr>
    </w:lvl>
    <w:lvl w:ilvl="1">
      <w:start w:val="1"/>
      <w:numFmt w:val="decimal"/>
      <w:pStyle w:val="SubttulodoTrabalho"/>
      <w:lvlText w:val="%1.%2."/>
      <w:lvlJc w:val="left"/>
      <w:pPr>
        <w:ind w:left="792" w:hanging="432"/>
      </w:pPr>
    </w:lvl>
    <w:lvl w:ilvl="2">
      <w:start w:val="1"/>
      <w:numFmt w:val="decimal"/>
      <w:pStyle w:val="SubSubTtulodoTrabalho"/>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7487EAC"/>
    <w:multiLevelType w:val="hybridMultilevel"/>
    <w:tmpl w:val="9B38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D80D82"/>
    <w:multiLevelType w:val="hybridMultilevel"/>
    <w:tmpl w:val="A5D8F6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FD58A9"/>
    <w:multiLevelType w:val="hybridMultilevel"/>
    <w:tmpl w:val="9CA036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4F1571"/>
    <w:multiLevelType w:val="hybridMultilevel"/>
    <w:tmpl w:val="7172A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0"/>
  </w:num>
  <w:num w:numId="5">
    <w:abstractNumId w:val="9"/>
  </w:num>
  <w:num w:numId="6">
    <w:abstractNumId w:val="0"/>
  </w:num>
  <w:num w:numId="7">
    <w:abstractNumId w:val="8"/>
  </w:num>
  <w:num w:numId="8">
    <w:abstractNumId w:val="3"/>
  </w:num>
  <w:num w:numId="9">
    <w:abstractNumId w:val="7"/>
  </w:num>
  <w:num w:numId="10">
    <w:abstractNumId w:val="5"/>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1D"/>
    <w:rsid w:val="0000010F"/>
    <w:rsid w:val="0000039C"/>
    <w:rsid w:val="00001912"/>
    <w:rsid w:val="000028F8"/>
    <w:rsid w:val="00003E0C"/>
    <w:rsid w:val="0000513E"/>
    <w:rsid w:val="00011687"/>
    <w:rsid w:val="00013F9C"/>
    <w:rsid w:val="000222E9"/>
    <w:rsid w:val="00024430"/>
    <w:rsid w:val="00024876"/>
    <w:rsid w:val="000248DC"/>
    <w:rsid w:val="00026450"/>
    <w:rsid w:val="00032469"/>
    <w:rsid w:val="00033043"/>
    <w:rsid w:val="0003362A"/>
    <w:rsid w:val="000430DB"/>
    <w:rsid w:val="00043BED"/>
    <w:rsid w:val="00044ACC"/>
    <w:rsid w:val="00044B47"/>
    <w:rsid w:val="00044D5C"/>
    <w:rsid w:val="00045E39"/>
    <w:rsid w:val="0005186E"/>
    <w:rsid w:val="00051CB7"/>
    <w:rsid w:val="00052B73"/>
    <w:rsid w:val="00052C55"/>
    <w:rsid w:val="00053E60"/>
    <w:rsid w:val="00053E97"/>
    <w:rsid w:val="0005411C"/>
    <w:rsid w:val="00054716"/>
    <w:rsid w:val="00055C7F"/>
    <w:rsid w:val="00060928"/>
    <w:rsid w:val="000613A9"/>
    <w:rsid w:val="0006421B"/>
    <w:rsid w:val="000654B2"/>
    <w:rsid w:val="00067FAC"/>
    <w:rsid w:val="0007061B"/>
    <w:rsid w:val="000752A5"/>
    <w:rsid w:val="0008381A"/>
    <w:rsid w:val="00083B20"/>
    <w:rsid w:val="00085BDD"/>
    <w:rsid w:val="00087F51"/>
    <w:rsid w:val="00090536"/>
    <w:rsid w:val="000924A5"/>
    <w:rsid w:val="00094381"/>
    <w:rsid w:val="000A7A30"/>
    <w:rsid w:val="000B03A2"/>
    <w:rsid w:val="000B0790"/>
    <w:rsid w:val="000B120C"/>
    <w:rsid w:val="000B2873"/>
    <w:rsid w:val="000B41F5"/>
    <w:rsid w:val="000B6849"/>
    <w:rsid w:val="000B7F06"/>
    <w:rsid w:val="000C005C"/>
    <w:rsid w:val="000C17EB"/>
    <w:rsid w:val="000C4924"/>
    <w:rsid w:val="000D0966"/>
    <w:rsid w:val="000D1E3E"/>
    <w:rsid w:val="000D29BD"/>
    <w:rsid w:val="000D4D1F"/>
    <w:rsid w:val="000D6299"/>
    <w:rsid w:val="000E088C"/>
    <w:rsid w:val="000E2212"/>
    <w:rsid w:val="000E3BB9"/>
    <w:rsid w:val="000E7E1D"/>
    <w:rsid w:val="000F0865"/>
    <w:rsid w:val="000F089D"/>
    <w:rsid w:val="000F1A87"/>
    <w:rsid w:val="000F4801"/>
    <w:rsid w:val="0010110C"/>
    <w:rsid w:val="001014A2"/>
    <w:rsid w:val="00105422"/>
    <w:rsid w:val="001071EF"/>
    <w:rsid w:val="00112B1E"/>
    <w:rsid w:val="00113794"/>
    <w:rsid w:val="00114993"/>
    <w:rsid w:val="0011703E"/>
    <w:rsid w:val="00121128"/>
    <w:rsid w:val="00122BC7"/>
    <w:rsid w:val="00123FC2"/>
    <w:rsid w:val="00126499"/>
    <w:rsid w:val="00131284"/>
    <w:rsid w:val="00131843"/>
    <w:rsid w:val="00131C0C"/>
    <w:rsid w:val="00132E4B"/>
    <w:rsid w:val="00135915"/>
    <w:rsid w:val="00136C9A"/>
    <w:rsid w:val="0014180D"/>
    <w:rsid w:val="001423B5"/>
    <w:rsid w:val="001426A5"/>
    <w:rsid w:val="001426E5"/>
    <w:rsid w:val="00150242"/>
    <w:rsid w:val="0015226B"/>
    <w:rsid w:val="00152330"/>
    <w:rsid w:val="00155C24"/>
    <w:rsid w:val="00157221"/>
    <w:rsid w:val="00161474"/>
    <w:rsid w:val="00171646"/>
    <w:rsid w:val="00177248"/>
    <w:rsid w:val="001807F3"/>
    <w:rsid w:val="001814F0"/>
    <w:rsid w:val="00181AEC"/>
    <w:rsid w:val="00181D01"/>
    <w:rsid w:val="00186835"/>
    <w:rsid w:val="0019355D"/>
    <w:rsid w:val="00193A34"/>
    <w:rsid w:val="00195617"/>
    <w:rsid w:val="00195C18"/>
    <w:rsid w:val="001A034E"/>
    <w:rsid w:val="001A0BD6"/>
    <w:rsid w:val="001A219C"/>
    <w:rsid w:val="001A70BF"/>
    <w:rsid w:val="001B1532"/>
    <w:rsid w:val="001B3935"/>
    <w:rsid w:val="001B61F8"/>
    <w:rsid w:val="001C014E"/>
    <w:rsid w:val="001C125C"/>
    <w:rsid w:val="001C24F4"/>
    <w:rsid w:val="001C3524"/>
    <w:rsid w:val="001C4ED5"/>
    <w:rsid w:val="001C55AD"/>
    <w:rsid w:val="001C5E73"/>
    <w:rsid w:val="001C5F1E"/>
    <w:rsid w:val="001D4203"/>
    <w:rsid w:val="001D4BEB"/>
    <w:rsid w:val="001D6590"/>
    <w:rsid w:val="001D6866"/>
    <w:rsid w:val="001E3E21"/>
    <w:rsid w:val="001E50B0"/>
    <w:rsid w:val="001F045E"/>
    <w:rsid w:val="001F61C7"/>
    <w:rsid w:val="002012BD"/>
    <w:rsid w:val="00201665"/>
    <w:rsid w:val="00202ABA"/>
    <w:rsid w:val="00207B18"/>
    <w:rsid w:val="002100AB"/>
    <w:rsid w:val="00211627"/>
    <w:rsid w:val="0021243B"/>
    <w:rsid w:val="002147BE"/>
    <w:rsid w:val="002149EF"/>
    <w:rsid w:val="00216484"/>
    <w:rsid w:val="00216BA3"/>
    <w:rsid w:val="00217ABC"/>
    <w:rsid w:val="00224621"/>
    <w:rsid w:val="00226E59"/>
    <w:rsid w:val="002277AA"/>
    <w:rsid w:val="002309FE"/>
    <w:rsid w:val="00230C72"/>
    <w:rsid w:val="00231CB1"/>
    <w:rsid w:val="00235366"/>
    <w:rsid w:val="002358E1"/>
    <w:rsid w:val="0023621A"/>
    <w:rsid w:val="00240322"/>
    <w:rsid w:val="00240F51"/>
    <w:rsid w:val="00241A1A"/>
    <w:rsid w:val="00243B8A"/>
    <w:rsid w:val="00244969"/>
    <w:rsid w:val="00251A51"/>
    <w:rsid w:val="00252582"/>
    <w:rsid w:val="00252F88"/>
    <w:rsid w:val="00253301"/>
    <w:rsid w:val="002544F7"/>
    <w:rsid w:val="00255A5B"/>
    <w:rsid w:val="002602F5"/>
    <w:rsid w:val="00261C59"/>
    <w:rsid w:val="002638CF"/>
    <w:rsid w:val="002643E5"/>
    <w:rsid w:val="00264D24"/>
    <w:rsid w:val="002655C5"/>
    <w:rsid w:val="002662D4"/>
    <w:rsid w:val="00266F54"/>
    <w:rsid w:val="00270E86"/>
    <w:rsid w:val="00272882"/>
    <w:rsid w:val="002729E9"/>
    <w:rsid w:val="002741C2"/>
    <w:rsid w:val="00276413"/>
    <w:rsid w:val="00276F44"/>
    <w:rsid w:val="002842DA"/>
    <w:rsid w:val="002845CC"/>
    <w:rsid w:val="002922FA"/>
    <w:rsid w:val="00295903"/>
    <w:rsid w:val="002A316C"/>
    <w:rsid w:val="002A3663"/>
    <w:rsid w:val="002A7F2E"/>
    <w:rsid w:val="002B02F8"/>
    <w:rsid w:val="002B204F"/>
    <w:rsid w:val="002B57D0"/>
    <w:rsid w:val="002B5EE2"/>
    <w:rsid w:val="002B6128"/>
    <w:rsid w:val="002B7595"/>
    <w:rsid w:val="002B75D5"/>
    <w:rsid w:val="002B7881"/>
    <w:rsid w:val="002B7AEF"/>
    <w:rsid w:val="002C1E33"/>
    <w:rsid w:val="002C528B"/>
    <w:rsid w:val="002C52C5"/>
    <w:rsid w:val="002D0A54"/>
    <w:rsid w:val="002D1F2E"/>
    <w:rsid w:val="002D2211"/>
    <w:rsid w:val="002D223B"/>
    <w:rsid w:val="002E1A86"/>
    <w:rsid w:val="002E26B5"/>
    <w:rsid w:val="002E2749"/>
    <w:rsid w:val="002E66AF"/>
    <w:rsid w:val="002E67CE"/>
    <w:rsid w:val="002F57B5"/>
    <w:rsid w:val="002F6709"/>
    <w:rsid w:val="002F7407"/>
    <w:rsid w:val="00301FC2"/>
    <w:rsid w:val="00302FE6"/>
    <w:rsid w:val="00311D61"/>
    <w:rsid w:val="003130AA"/>
    <w:rsid w:val="003162EB"/>
    <w:rsid w:val="003166CF"/>
    <w:rsid w:val="00316824"/>
    <w:rsid w:val="00320E1A"/>
    <w:rsid w:val="00324C53"/>
    <w:rsid w:val="00326661"/>
    <w:rsid w:val="00330EB9"/>
    <w:rsid w:val="003316C4"/>
    <w:rsid w:val="00331748"/>
    <w:rsid w:val="003405B2"/>
    <w:rsid w:val="00340988"/>
    <w:rsid w:val="003442CA"/>
    <w:rsid w:val="003506B0"/>
    <w:rsid w:val="0035407B"/>
    <w:rsid w:val="00354C06"/>
    <w:rsid w:val="00355DDD"/>
    <w:rsid w:val="003573E0"/>
    <w:rsid w:val="0035798D"/>
    <w:rsid w:val="0037261C"/>
    <w:rsid w:val="0037732A"/>
    <w:rsid w:val="003819BF"/>
    <w:rsid w:val="00381B9D"/>
    <w:rsid w:val="00384360"/>
    <w:rsid w:val="00385F41"/>
    <w:rsid w:val="00386D48"/>
    <w:rsid w:val="00391523"/>
    <w:rsid w:val="00393969"/>
    <w:rsid w:val="00393FAE"/>
    <w:rsid w:val="003944DD"/>
    <w:rsid w:val="00394E4E"/>
    <w:rsid w:val="00394F3F"/>
    <w:rsid w:val="00394F88"/>
    <w:rsid w:val="003956D9"/>
    <w:rsid w:val="00395FB5"/>
    <w:rsid w:val="00396290"/>
    <w:rsid w:val="003962D9"/>
    <w:rsid w:val="003A0F3C"/>
    <w:rsid w:val="003A14A3"/>
    <w:rsid w:val="003A25C2"/>
    <w:rsid w:val="003A288A"/>
    <w:rsid w:val="003A3DEF"/>
    <w:rsid w:val="003A680D"/>
    <w:rsid w:val="003A7E23"/>
    <w:rsid w:val="003B00FF"/>
    <w:rsid w:val="003B72E4"/>
    <w:rsid w:val="003C054F"/>
    <w:rsid w:val="003C334F"/>
    <w:rsid w:val="003D209F"/>
    <w:rsid w:val="003D6B4E"/>
    <w:rsid w:val="003E26EC"/>
    <w:rsid w:val="003E37F6"/>
    <w:rsid w:val="003E4BC4"/>
    <w:rsid w:val="003E583B"/>
    <w:rsid w:val="003F12A9"/>
    <w:rsid w:val="003F465B"/>
    <w:rsid w:val="003F4759"/>
    <w:rsid w:val="003F6061"/>
    <w:rsid w:val="00400773"/>
    <w:rsid w:val="004017E9"/>
    <w:rsid w:val="00402FD3"/>
    <w:rsid w:val="00407947"/>
    <w:rsid w:val="004109C0"/>
    <w:rsid w:val="004119CD"/>
    <w:rsid w:val="00412572"/>
    <w:rsid w:val="004129BB"/>
    <w:rsid w:val="0041362B"/>
    <w:rsid w:val="0041705E"/>
    <w:rsid w:val="0041758D"/>
    <w:rsid w:val="00417EC0"/>
    <w:rsid w:val="0042017A"/>
    <w:rsid w:val="00420C98"/>
    <w:rsid w:val="0042786F"/>
    <w:rsid w:val="0043096E"/>
    <w:rsid w:val="0043147E"/>
    <w:rsid w:val="00431630"/>
    <w:rsid w:val="00432A22"/>
    <w:rsid w:val="004338E2"/>
    <w:rsid w:val="00434F4D"/>
    <w:rsid w:val="00436097"/>
    <w:rsid w:val="00437726"/>
    <w:rsid w:val="00437B89"/>
    <w:rsid w:val="00440F2B"/>
    <w:rsid w:val="00445C1D"/>
    <w:rsid w:val="00452344"/>
    <w:rsid w:val="00464BE1"/>
    <w:rsid w:val="00465B36"/>
    <w:rsid w:val="00465E3E"/>
    <w:rsid w:val="004674EA"/>
    <w:rsid w:val="00471365"/>
    <w:rsid w:val="00471A48"/>
    <w:rsid w:val="00471C14"/>
    <w:rsid w:val="00473D0F"/>
    <w:rsid w:val="004743FA"/>
    <w:rsid w:val="004749CB"/>
    <w:rsid w:val="00477493"/>
    <w:rsid w:val="00477BC7"/>
    <w:rsid w:val="004803E4"/>
    <w:rsid w:val="00480551"/>
    <w:rsid w:val="00480912"/>
    <w:rsid w:val="0048119A"/>
    <w:rsid w:val="00482B18"/>
    <w:rsid w:val="0048524C"/>
    <w:rsid w:val="004853EA"/>
    <w:rsid w:val="00487244"/>
    <w:rsid w:val="0048743A"/>
    <w:rsid w:val="00487932"/>
    <w:rsid w:val="00490921"/>
    <w:rsid w:val="0049204E"/>
    <w:rsid w:val="00493E29"/>
    <w:rsid w:val="00496839"/>
    <w:rsid w:val="004971C3"/>
    <w:rsid w:val="004A0399"/>
    <w:rsid w:val="004A1D6C"/>
    <w:rsid w:val="004A1E87"/>
    <w:rsid w:val="004A552C"/>
    <w:rsid w:val="004A63AC"/>
    <w:rsid w:val="004B4133"/>
    <w:rsid w:val="004B5621"/>
    <w:rsid w:val="004B5D64"/>
    <w:rsid w:val="004C0D86"/>
    <w:rsid w:val="004C11CA"/>
    <w:rsid w:val="004C2299"/>
    <w:rsid w:val="004C2311"/>
    <w:rsid w:val="004C3176"/>
    <w:rsid w:val="004C62CC"/>
    <w:rsid w:val="004D0F36"/>
    <w:rsid w:val="004D157F"/>
    <w:rsid w:val="004D1A24"/>
    <w:rsid w:val="004D28DB"/>
    <w:rsid w:val="004D42FE"/>
    <w:rsid w:val="004D5A7B"/>
    <w:rsid w:val="004E0B3E"/>
    <w:rsid w:val="004E25EB"/>
    <w:rsid w:val="004E3995"/>
    <w:rsid w:val="004E558B"/>
    <w:rsid w:val="004E6BD7"/>
    <w:rsid w:val="004F1311"/>
    <w:rsid w:val="004F2CB4"/>
    <w:rsid w:val="004F58F3"/>
    <w:rsid w:val="0050048F"/>
    <w:rsid w:val="00501CE4"/>
    <w:rsid w:val="00502727"/>
    <w:rsid w:val="00503134"/>
    <w:rsid w:val="005036B9"/>
    <w:rsid w:val="00510350"/>
    <w:rsid w:val="00510C93"/>
    <w:rsid w:val="0051244A"/>
    <w:rsid w:val="00512E1D"/>
    <w:rsid w:val="0051308F"/>
    <w:rsid w:val="005166D2"/>
    <w:rsid w:val="00520C87"/>
    <w:rsid w:val="0052300E"/>
    <w:rsid w:val="00524683"/>
    <w:rsid w:val="0052475D"/>
    <w:rsid w:val="0052696D"/>
    <w:rsid w:val="00533578"/>
    <w:rsid w:val="00533A3E"/>
    <w:rsid w:val="005350E3"/>
    <w:rsid w:val="00541093"/>
    <w:rsid w:val="00541C0B"/>
    <w:rsid w:val="00545070"/>
    <w:rsid w:val="005452DE"/>
    <w:rsid w:val="00545D61"/>
    <w:rsid w:val="00546693"/>
    <w:rsid w:val="00547DE3"/>
    <w:rsid w:val="0055425D"/>
    <w:rsid w:val="005615D0"/>
    <w:rsid w:val="00562444"/>
    <w:rsid w:val="0056364F"/>
    <w:rsid w:val="005654E0"/>
    <w:rsid w:val="00572192"/>
    <w:rsid w:val="0057219F"/>
    <w:rsid w:val="0057259A"/>
    <w:rsid w:val="00572DA1"/>
    <w:rsid w:val="00573E8C"/>
    <w:rsid w:val="00574E3C"/>
    <w:rsid w:val="00575892"/>
    <w:rsid w:val="00576331"/>
    <w:rsid w:val="0058069F"/>
    <w:rsid w:val="00582903"/>
    <w:rsid w:val="005841B1"/>
    <w:rsid w:val="005848D2"/>
    <w:rsid w:val="00584BBD"/>
    <w:rsid w:val="00590487"/>
    <w:rsid w:val="005944F6"/>
    <w:rsid w:val="005A1E34"/>
    <w:rsid w:val="005A27A0"/>
    <w:rsid w:val="005A280E"/>
    <w:rsid w:val="005A35AF"/>
    <w:rsid w:val="005A372E"/>
    <w:rsid w:val="005A6036"/>
    <w:rsid w:val="005A657F"/>
    <w:rsid w:val="005B155D"/>
    <w:rsid w:val="005B1A91"/>
    <w:rsid w:val="005B229A"/>
    <w:rsid w:val="005B2E29"/>
    <w:rsid w:val="005B2FBC"/>
    <w:rsid w:val="005B5245"/>
    <w:rsid w:val="005B52C0"/>
    <w:rsid w:val="005C4E0F"/>
    <w:rsid w:val="005C6941"/>
    <w:rsid w:val="005D01A9"/>
    <w:rsid w:val="005D02E9"/>
    <w:rsid w:val="005D077E"/>
    <w:rsid w:val="005D2FF6"/>
    <w:rsid w:val="005D3277"/>
    <w:rsid w:val="005D34C8"/>
    <w:rsid w:val="005D3F0C"/>
    <w:rsid w:val="005D43DC"/>
    <w:rsid w:val="005D4D9D"/>
    <w:rsid w:val="005D5C09"/>
    <w:rsid w:val="005E074E"/>
    <w:rsid w:val="005E40DC"/>
    <w:rsid w:val="005E5CE4"/>
    <w:rsid w:val="005E76D7"/>
    <w:rsid w:val="005E76EA"/>
    <w:rsid w:val="005E77BA"/>
    <w:rsid w:val="005E7B15"/>
    <w:rsid w:val="005F0713"/>
    <w:rsid w:val="005F08CA"/>
    <w:rsid w:val="005F0A03"/>
    <w:rsid w:val="005F0CA5"/>
    <w:rsid w:val="005F3B39"/>
    <w:rsid w:val="005F5694"/>
    <w:rsid w:val="005F6637"/>
    <w:rsid w:val="005F6687"/>
    <w:rsid w:val="0060205B"/>
    <w:rsid w:val="00603F40"/>
    <w:rsid w:val="00604F61"/>
    <w:rsid w:val="00606365"/>
    <w:rsid w:val="00611279"/>
    <w:rsid w:val="00611F86"/>
    <w:rsid w:val="0061361D"/>
    <w:rsid w:val="00615DD0"/>
    <w:rsid w:val="00620A18"/>
    <w:rsid w:val="0062491D"/>
    <w:rsid w:val="00627E24"/>
    <w:rsid w:val="00635EBF"/>
    <w:rsid w:val="00637AA3"/>
    <w:rsid w:val="00640341"/>
    <w:rsid w:val="00642134"/>
    <w:rsid w:val="006465F9"/>
    <w:rsid w:val="00647F59"/>
    <w:rsid w:val="00651101"/>
    <w:rsid w:val="006548FD"/>
    <w:rsid w:val="0066254C"/>
    <w:rsid w:val="00663FBD"/>
    <w:rsid w:val="00667A5D"/>
    <w:rsid w:val="006702DD"/>
    <w:rsid w:val="006720E5"/>
    <w:rsid w:val="006728A3"/>
    <w:rsid w:val="006736A9"/>
    <w:rsid w:val="00673A51"/>
    <w:rsid w:val="00675030"/>
    <w:rsid w:val="00680795"/>
    <w:rsid w:val="00680DF4"/>
    <w:rsid w:val="00683C2D"/>
    <w:rsid w:val="00684072"/>
    <w:rsid w:val="00684921"/>
    <w:rsid w:val="00691505"/>
    <w:rsid w:val="00691B54"/>
    <w:rsid w:val="00692F28"/>
    <w:rsid w:val="006956AA"/>
    <w:rsid w:val="00696D8B"/>
    <w:rsid w:val="006A0DC4"/>
    <w:rsid w:val="006A1248"/>
    <w:rsid w:val="006A2E84"/>
    <w:rsid w:val="006A5A9D"/>
    <w:rsid w:val="006B2844"/>
    <w:rsid w:val="006B44FB"/>
    <w:rsid w:val="006B595A"/>
    <w:rsid w:val="006B6140"/>
    <w:rsid w:val="006B7FCA"/>
    <w:rsid w:val="006C002F"/>
    <w:rsid w:val="006C08AB"/>
    <w:rsid w:val="006C626A"/>
    <w:rsid w:val="006C7581"/>
    <w:rsid w:val="006D1FB8"/>
    <w:rsid w:val="006D26F2"/>
    <w:rsid w:val="006D5332"/>
    <w:rsid w:val="006D6F30"/>
    <w:rsid w:val="006E2D91"/>
    <w:rsid w:val="006E365E"/>
    <w:rsid w:val="006E6178"/>
    <w:rsid w:val="006F2771"/>
    <w:rsid w:val="006F38D4"/>
    <w:rsid w:val="006F6467"/>
    <w:rsid w:val="0070081D"/>
    <w:rsid w:val="007035C6"/>
    <w:rsid w:val="007039C1"/>
    <w:rsid w:val="00705CCE"/>
    <w:rsid w:val="00707CCF"/>
    <w:rsid w:val="007116FB"/>
    <w:rsid w:val="00717A79"/>
    <w:rsid w:val="00722D7A"/>
    <w:rsid w:val="007257F2"/>
    <w:rsid w:val="00732E23"/>
    <w:rsid w:val="00733066"/>
    <w:rsid w:val="007341BE"/>
    <w:rsid w:val="007354B7"/>
    <w:rsid w:val="00737764"/>
    <w:rsid w:val="007407E5"/>
    <w:rsid w:val="00741414"/>
    <w:rsid w:val="00743DF1"/>
    <w:rsid w:val="00744257"/>
    <w:rsid w:val="00744385"/>
    <w:rsid w:val="0074501E"/>
    <w:rsid w:val="007473D5"/>
    <w:rsid w:val="00751470"/>
    <w:rsid w:val="007531BF"/>
    <w:rsid w:val="0075441E"/>
    <w:rsid w:val="00755D76"/>
    <w:rsid w:val="00756123"/>
    <w:rsid w:val="00760654"/>
    <w:rsid w:val="00760AFA"/>
    <w:rsid w:val="00761D64"/>
    <w:rsid w:val="007643F2"/>
    <w:rsid w:val="00765FCD"/>
    <w:rsid w:val="007734FE"/>
    <w:rsid w:val="0077354F"/>
    <w:rsid w:val="007753F9"/>
    <w:rsid w:val="00776D3B"/>
    <w:rsid w:val="00781CEB"/>
    <w:rsid w:val="007840BA"/>
    <w:rsid w:val="0079092D"/>
    <w:rsid w:val="00793EF4"/>
    <w:rsid w:val="0079588A"/>
    <w:rsid w:val="00796CBF"/>
    <w:rsid w:val="007A0A30"/>
    <w:rsid w:val="007A295C"/>
    <w:rsid w:val="007A2D53"/>
    <w:rsid w:val="007A55E8"/>
    <w:rsid w:val="007B4209"/>
    <w:rsid w:val="007B48CB"/>
    <w:rsid w:val="007B5463"/>
    <w:rsid w:val="007B7010"/>
    <w:rsid w:val="007C359B"/>
    <w:rsid w:val="007C35CF"/>
    <w:rsid w:val="007C3BC9"/>
    <w:rsid w:val="007C5E7B"/>
    <w:rsid w:val="007D2195"/>
    <w:rsid w:val="007D219A"/>
    <w:rsid w:val="007E2E1B"/>
    <w:rsid w:val="007E302F"/>
    <w:rsid w:val="007E648C"/>
    <w:rsid w:val="007E70CE"/>
    <w:rsid w:val="007F564F"/>
    <w:rsid w:val="007F6A19"/>
    <w:rsid w:val="007F7ADA"/>
    <w:rsid w:val="008019BD"/>
    <w:rsid w:val="00802696"/>
    <w:rsid w:val="0080281B"/>
    <w:rsid w:val="00804E67"/>
    <w:rsid w:val="00807995"/>
    <w:rsid w:val="008112C5"/>
    <w:rsid w:val="00811763"/>
    <w:rsid w:val="00812A0B"/>
    <w:rsid w:val="00812C6B"/>
    <w:rsid w:val="00815BD4"/>
    <w:rsid w:val="008172DE"/>
    <w:rsid w:val="00817879"/>
    <w:rsid w:val="00820AE8"/>
    <w:rsid w:val="008267A7"/>
    <w:rsid w:val="00831728"/>
    <w:rsid w:val="00834817"/>
    <w:rsid w:val="00836164"/>
    <w:rsid w:val="00837343"/>
    <w:rsid w:val="00837B32"/>
    <w:rsid w:val="008451FA"/>
    <w:rsid w:val="00846ABD"/>
    <w:rsid w:val="00846ECE"/>
    <w:rsid w:val="00851105"/>
    <w:rsid w:val="0085220A"/>
    <w:rsid w:val="008526ED"/>
    <w:rsid w:val="00852B57"/>
    <w:rsid w:val="00854462"/>
    <w:rsid w:val="00856109"/>
    <w:rsid w:val="00861956"/>
    <w:rsid w:val="00861D75"/>
    <w:rsid w:val="00864038"/>
    <w:rsid w:val="0086453B"/>
    <w:rsid w:val="00865289"/>
    <w:rsid w:val="00866F29"/>
    <w:rsid w:val="008674DD"/>
    <w:rsid w:val="00867586"/>
    <w:rsid w:val="008708C4"/>
    <w:rsid w:val="008713A5"/>
    <w:rsid w:val="00872751"/>
    <w:rsid w:val="00872A7A"/>
    <w:rsid w:val="008736D0"/>
    <w:rsid w:val="008748B5"/>
    <w:rsid w:val="008761C1"/>
    <w:rsid w:val="00877EBE"/>
    <w:rsid w:val="00882321"/>
    <w:rsid w:val="008828C6"/>
    <w:rsid w:val="00883188"/>
    <w:rsid w:val="00886682"/>
    <w:rsid w:val="008909A2"/>
    <w:rsid w:val="008935E8"/>
    <w:rsid w:val="00893C84"/>
    <w:rsid w:val="0089744B"/>
    <w:rsid w:val="0089789A"/>
    <w:rsid w:val="008A0188"/>
    <w:rsid w:val="008A0455"/>
    <w:rsid w:val="008A07C0"/>
    <w:rsid w:val="008A2742"/>
    <w:rsid w:val="008A7E93"/>
    <w:rsid w:val="008B29D0"/>
    <w:rsid w:val="008C00D0"/>
    <w:rsid w:val="008C030D"/>
    <w:rsid w:val="008C139C"/>
    <w:rsid w:val="008C3F54"/>
    <w:rsid w:val="008C463B"/>
    <w:rsid w:val="008C59F9"/>
    <w:rsid w:val="008C6B16"/>
    <w:rsid w:val="008C797B"/>
    <w:rsid w:val="008D1F73"/>
    <w:rsid w:val="008D6CAA"/>
    <w:rsid w:val="008D75B9"/>
    <w:rsid w:val="008E0C36"/>
    <w:rsid w:val="008E25BD"/>
    <w:rsid w:val="008E6504"/>
    <w:rsid w:val="008F1998"/>
    <w:rsid w:val="008F30CA"/>
    <w:rsid w:val="008F341D"/>
    <w:rsid w:val="008F442D"/>
    <w:rsid w:val="008F5297"/>
    <w:rsid w:val="008F57A2"/>
    <w:rsid w:val="008F68BC"/>
    <w:rsid w:val="009041F0"/>
    <w:rsid w:val="009045C4"/>
    <w:rsid w:val="00905582"/>
    <w:rsid w:val="0090580F"/>
    <w:rsid w:val="009075D8"/>
    <w:rsid w:val="00912465"/>
    <w:rsid w:val="00914EDB"/>
    <w:rsid w:val="0091650F"/>
    <w:rsid w:val="00917591"/>
    <w:rsid w:val="009176E8"/>
    <w:rsid w:val="009218FA"/>
    <w:rsid w:val="00922A55"/>
    <w:rsid w:val="009248E8"/>
    <w:rsid w:val="009274D6"/>
    <w:rsid w:val="009303F6"/>
    <w:rsid w:val="009304D1"/>
    <w:rsid w:val="00932338"/>
    <w:rsid w:val="00934EAB"/>
    <w:rsid w:val="00943504"/>
    <w:rsid w:val="00945183"/>
    <w:rsid w:val="009455AB"/>
    <w:rsid w:val="009457E5"/>
    <w:rsid w:val="00950F84"/>
    <w:rsid w:val="00951632"/>
    <w:rsid w:val="00952D8D"/>
    <w:rsid w:val="00953F4E"/>
    <w:rsid w:val="00956C89"/>
    <w:rsid w:val="00962355"/>
    <w:rsid w:val="00966109"/>
    <w:rsid w:val="00970FBF"/>
    <w:rsid w:val="009769D5"/>
    <w:rsid w:val="00977BDE"/>
    <w:rsid w:val="00986638"/>
    <w:rsid w:val="00986AAC"/>
    <w:rsid w:val="0099225C"/>
    <w:rsid w:val="009968E0"/>
    <w:rsid w:val="009A0353"/>
    <w:rsid w:val="009A22F7"/>
    <w:rsid w:val="009A3607"/>
    <w:rsid w:val="009A3C27"/>
    <w:rsid w:val="009A3FF3"/>
    <w:rsid w:val="009A56CE"/>
    <w:rsid w:val="009A5983"/>
    <w:rsid w:val="009A690E"/>
    <w:rsid w:val="009B2D1C"/>
    <w:rsid w:val="009B4822"/>
    <w:rsid w:val="009B5D2D"/>
    <w:rsid w:val="009B710A"/>
    <w:rsid w:val="009B77F9"/>
    <w:rsid w:val="009C237B"/>
    <w:rsid w:val="009C23FB"/>
    <w:rsid w:val="009C3803"/>
    <w:rsid w:val="009C5355"/>
    <w:rsid w:val="009C60F7"/>
    <w:rsid w:val="009D10A6"/>
    <w:rsid w:val="009D3FC0"/>
    <w:rsid w:val="009D6774"/>
    <w:rsid w:val="009E0C87"/>
    <w:rsid w:val="009E18E1"/>
    <w:rsid w:val="009E2316"/>
    <w:rsid w:val="009E3EF7"/>
    <w:rsid w:val="009E6A61"/>
    <w:rsid w:val="009F0FC0"/>
    <w:rsid w:val="009F29F9"/>
    <w:rsid w:val="009F4FA9"/>
    <w:rsid w:val="009F70ED"/>
    <w:rsid w:val="009F742C"/>
    <w:rsid w:val="00A01881"/>
    <w:rsid w:val="00A02478"/>
    <w:rsid w:val="00A04FE8"/>
    <w:rsid w:val="00A060E5"/>
    <w:rsid w:val="00A064D7"/>
    <w:rsid w:val="00A06937"/>
    <w:rsid w:val="00A10421"/>
    <w:rsid w:val="00A13EC1"/>
    <w:rsid w:val="00A17E99"/>
    <w:rsid w:val="00A212EA"/>
    <w:rsid w:val="00A23676"/>
    <w:rsid w:val="00A255B2"/>
    <w:rsid w:val="00A2602C"/>
    <w:rsid w:val="00A2671C"/>
    <w:rsid w:val="00A26A61"/>
    <w:rsid w:val="00A27F03"/>
    <w:rsid w:val="00A317EA"/>
    <w:rsid w:val="00A347B0"/>
    <w:rsid w:val="00A3693C"/>
    <w:rsid w:val="00A36C7F"/>
    <w:rsid w:val="00A41A4E"/>
    <w:rsid w:val="00A44103"/>
    <w:rsid w:val="00A53CB4"/>
    <w:rsid w:val="00A5439E"/>
    <w:rsid w:val="00A548DC"/>
    <w:rsid w:val="00A567CA"/>
    <w:rsid w:val="00A6067C"/>
    <w:rsid w:val="00A62831"/>
    <w:rsid w:val="00A63A33"/>
    <w:rsid w:val="00A655F5"/>
    <w:rsid w:val="00A660EA"/>
    <w:rsid w:val="00A747CE"/>
    <w:rsid w:val="00A74F47"/>
    <w:rsid w:val="00A7501C"/>
    <w:rsid w:val="00A77913"/>
    <w:rsid w:val="00A84BFD"/>
    <w:rsid w:val="00A960B4"/>
    <w:rsid w:val="00AB2C68"/>
    <w:rsid w:val="00AB43FF"/>
    <w:rsid w:val="00AB4718"/>
    <w:rsid w:val="00AC0FE3"/>
    <w:rsid w:val="00AC16CD"/>
    <w:rsid w:val="00AC3988"/>
    <w:rsid w:val="00AC76F1"/>
    <w:rsid w:val="00AD00D7"/>
    <w:rsid w:val="00AD2C1E"/>
    <w:rsid w:val="00AD32A5"/>
    <w:rsid w:val="00AD64D7"/>
    <w:rsid w:val="00AE03D2"/>
    <w:rsid w:val="00AE420C"/>
    <w:rsid w:val="00AF5BAC"/>
    <w:rsid w:val="00B028B7"/>
    <w:rsid w:val="00B02B06"/>
    <w:rsid w:val="00B04F20"/>
    <w:rsid w:val="00B051FB"/>
    <w:rsid w:val="00B052D9"/>
    <w:rsid w:val="00B10D69"/>
    <w:rsid w:val="00B12CAE"/>
    <w:rsid w:val="00B1386A"/>
    <w:rsid w:val="00B21035"/>
    <w:rsid w:val="00B21E76"/>
    <w:rsid w:val="00B247FB"/>
    <w:rsid w:val="00B24B13"/>
    <w:rsid w:val="00B25584"/>
    <w:rsid w:val="00B32CEC"/>
    <w:rsid w:val="00B358FE"/>
    <w:rsid w:val="00B427F9"/>
    <w:rsid w:val="00B4613F"/>
    <w:rsid w:val="00B46505"/>
    <w:rsid w:val="00B50C09"/>
    <w:rsid w:val="00B55879"/>
    <w:rsid w:val="00B604BF"/>
    <w:rsid w:val="00B6108F"/>
    <w:rsid w:val="00B61D35"/>
    <w:rsid w:val="00B63192"/>
    <w:rsid w:val="00B632BD"/>
    <w:rsid w:val="00B66CDC"/>
    <w:rsid w:val="00B7192D"/>
    <w:rsid w:val="00B71AF9"/>
    <w:rsid w:val="00B722C0"/>
    <w:rsid w:val="00B7262D"/>
    <w:rsid w:val="00B74F50"/>
    <w:rsid w:val="00B806A8"/>
    <w:rsid w:val="00B82230"/>
    <w:rsid w:val="00B909A6"/>
    <w:rsid w:val="00B922D1"/>
    <w:rsid w:val="00B9261B"/>
    <w:rsid w:val="00B940E4"/>
    <w:rsid w:val="00B960B3"/>
    <w:rsid w:val="00B96692"/>
    <w:rsid w:val="00B972ED"/>
    <w:rsid w:val="00B975C7"/>
    <w:rsid w:val="00BA06BA"/>
    <w:rsid w:val="00BA126D"/>
    <w:rsid w:val="00BA427B"/>
    <w:rsid w:val="00BA5706"/>
    <w:rsid w:val="00BA62AB"/>
    <w:rsid w:val="00BB0985"/>
    <w:rsid w:val="00BC30BE"/>
    <w:rsid w:val="00BC4769"/>
    <w:rsid w:val="00BC4846"/>
    <w:rsid w:val="00BC5DA2"/>
    <w:rsid w:val="00BC6064"/>
    <w:rsid w:val="00BC6D79"/>
    <w:rsid w:val="00BC78E0"/>
    <w:rsid w:val="00BE0DCC"/>
    <w:rsid w:val="00BE0E75"/>
    <w:rsid w:val="00BE1B74"/>
    <w:rsid w:val="00BE1C08"/>
    <w:rsid w:val="00BE3CA2"/>
    <w:rsid w:val="00BE4FC1"/>
    <w:rsid w:val="00BE7B1D"/>
    <w:rsid w:val="00BF0A90"/>
    <w:rsid w:val="00BF2535"/>
    <w:rsid w:val="00BF6688"/>
    <w:rsid w:val="00C013E8"/>
    <w:rsid w:val="00C042D0"/>
    <w:rsid w:val="00C05C69"/>
    <w:rsid w:val="00C079F5"/>
    <w:rsid w:val="00C10147"/>
    <w:rsid w:val="00C16398"/>
    <w:rsid w:val="00C1740A"/>
    <w:rsid w:val="00C17CB1"/>
    <w:rsid w:val="00C200C4"/>
    <w:rsid w:val="00C22547"/>
    <w:rsid w:val="00C25AE2"/>
    <w:rsid w:val="00C26932"/>
    <w:rsid w:val="00C3027D"/>
    <w:rsid w:val="00C32A23"/>
    <w:rsid w:val="00C33D5B"/>
    <w:rsid w:val="00C345D5"/>
    <w:rsid w:val="00C40468"/>
    <w:rsid w:val="00C4251D"/>
    <w:rsid w:val="00C42A1F"/>
    <w:rsid w:val="00C433EF"/>
    <w:rsid w:val="00C438AB"/>
    <w:rsid w:val="00C4512A"/>
    <w:rsid w:val="00C45DF4"/>
    <w:rsid w:val="00C46A8B"/>
    <w:rsid w:val="00C5029D"/>
    <w:rsid w:val="00C510E6"/>
    <w:rsid w:val="00C53433"/>
    <w:rsid w:val="00C54004"/>
    <w:rsid w:val="00C54713"/>
    <w:rsid w:val="00C56F1B"/>
    <w:rsid w:val="00C61106"/>
    <w:rsid w:val="00C622A8"/>
    <w:rsid w:val="00C63C85"/>
    <w:rsid w:val="00C6420D"/>
    <w:rsid w:val="00C64412"/>
    <w:rsid w:val="00C66218"/>
    <w:rsid w:val="00C66BAA"/>
    <w:rsid w:val="00C70909"/>
    <w:rsid w:val="00C71BD3"/>
    <w:rsid w:val="00C71F4C"/>
    <w:rsid w:val="00C72753"/>
    <w:rsid w:val="00C73BB4"/>
    <w:rsid w:val="00C75468"/>
    <w:rsid w:val="00C76966"/>
    <w:rsid w:val="00C85EBD"/>
    <w:rsid w:val="00C918C1"/>
    <w:rsid w:val="00C92E99"/>
    <w:rsid w:val="00C975D9"/>
    <w:rsid w:val="00CA2156"/>
    <w:rsid w:val="00CA266B"/>
    <w:rsid w:val="00CA36E9"/>
    <w:rsid w:val="00CA3DCE"/>
    <w:rsid w:val="00CA4A45"/>
    <w:rsid w:val="00CA4FC4"/>
    <w:rsid w:val="00CB27A1"/>
    <w:rsid w:val="00CB443A"/>
    <w:rsid w:val="00CB7D15"/>
    <w:rsid w:val="00CC21C5"/>
    <w:rsid w:val="00CC2BCD"/>
    <w:rsid w:val="00CC5D99"/>
    <w:rsid w:val="00CD11E1"/>
    <w:rsid w:val="00CD7385"/>
    <w:rsid w:val="00CE1E13"/>
    <w:rsid w:val="00CE1EF4"/>
    <w:rsid w:val="00CE54F5"/>
    <w:rsid w:val="00CE6884"/>
    <w:rsid w:val="00CF041C"/>
    <w:rsid w:val="00CF4117"/>
    <w:rsid w:val="00CF4927"/>
    <w:rsid w:val="00CF64C6"/>
    <w:rsid w:val="00CF7C7B"/>
    <w:rsid w:val="00D013A2"/>
    <w:rsid w:val="00D025A3"/>
    <w:rsid w:val="00D0265B"/>
    <w:rsid w:val="00D0335A"/>
    <w:rsid w:val="00D03800"/>
    <w:rsid w:val="00D05C08"/>
    <w:rsid w:val="00D06371"/>
    <w:rsid w:val="00D119E6"/>
    <w:rsid w:val="00D20C4F"/>
    <w:rsid w:val="00D2106E"/>
    <w:rsid w:val="00D31271"/>
    <w:rsid w:val="00D323F1"/>
    <w:rsid w:val="00D34C89"/>
    <w:rsid w:val="00D34EE1"/>
    <w:rsid w:val="00D466FD"/>
    <w:rsid w:val="00D4706A"/>
    <w:rsid w:val="00D514A5"/>
    <w:rsid w:val="00D514E2"/>
    <w:rsid w:val="00D53D2E"/>
    <w:rsid w:val="00D60F46"/>
    <w:rsid w:val="00D61162"/>
    <w:rsid w:val="00D62EA6"/>
    <w:rsid w:val="00D63787"/>
    <w:rsid w:val="00D65C77"/>
    <w:rsid w:val="00D737BA"/>
    <w:rsid w:val="00D75D78"/>
    <w:rsid w:val="00D77159"/>
    <w:rsid w:val="00D81638"/>
    <w:rsid w:val="00D81F87"/>
    <w:rsid w:val="00D861B8"/>
    <w:rsid w:val="00D86D95"/>
    <w:rsid w:val="00D873FC"/>
    <w:rsid w:val="00D9175F"/>
    <w:rsid w:val="00D93EC3"/>
    <w:rsid w:val="00D941ED"/>
    <w:rsid w:val="00D95387"/>
    <w:rsid w:val="00DA2E58"/>
    <w:rsid w:val="00DA441D"/>
    <w:rsid w:val="00DA465B"/>
    <w:rsid w:val="00DA4876"/>
    <w:rsid w:val="00DA4BD9"/>
    <w:rsid w:val="00DA5854"/>
    <w:rsid w:val="00DA5BB1"/>
    <w:rsid w:val="00DA6C81"/>
    <w:rsid w:val="00DB002B"/>
    <w:rsid w:val="00DB1DC6"/>
    <w:rsid w:val="00DB25D8"/>
    <w:rsid w:val="00DB3D7A"/>
    <w:rsid w:val="00DB4999"/>
    <w:rsid w:val="00DB66D9"/>
    <w:rsid w:val="00DC18A4"/>
    <w:rsid w:val="00DC265E"/>
    <w:rsid w:val="00DC2B5E"/>
    <w:rsid w:val="00DC3F4F"/>
    <w:rsid w:val="00DC5111"/>
    <w:rsid w:val="00DC7818"/>
    <w:rsid w:val="00DD1B51"/>
    <w:rsid w:val="00DD519F"/>
    <w:rsid w:val="00DD7B30"/>
    <w:rsid w:val="00DE1EE6"/>
    <w:rsid w:val="00DE215D"/>
    <w:rsid w:val="00DE700D"/>
    <w:rsid w:val="00DF29CB"/>
    <w:rsid w:val="00DF4180"/>
    <w:rsid w:val="00DF4718"/>
    <w:rsid w:val="00DF68BB"/>
    <w:rsid w:val="00DF6AFA"/>
    <w:rsid w:val="00E0044D"/>
    <w:rsid w:val="00E00F67"/>
    <w:rsid w:val="00E01274"/>
    <w:rsid w:val="00E0449D"/>
    <w:rsid w:val="00E07B11"/>
    <w:rsid w:val="00E113E1"/>
    <w:rsid w:val="00E119F4"/>
    <w:rsid w:val="00E11DA6"/>
    <w:rsid w:val="00E12A95"/>
    <w:rsid w:val="00E22196"/>
    <w:rsid w:val="00E23893"/>
    <w:rsid w:val="00E2451A"/>
    <w:rsid w:val="00E25FA9"/>
    <w:rsid w:val="00E32B0C"/>
    <w:rsid w:val="00E34080"/>
    <w:rsid w:val="00E36FCC"/>
    <w:rsid w:val="00E3744D"/>
    <w:rsid w:val="00E40301"/>
    <w:rsid w:val="00E427C4"/>
    <w:rsid w:val="00E4371D"/>
    <w:rsid w:val="00E4583B"/>
    <w:rsid w:val="00E46896"/>
    <w:rsid w:val="00E5614B"/>
    <w:rsid w:val="00E562DE"/>
    <w:rsid w:val="00E565FE"/>
    <w:rsid w:val="00E6119D"/>
    <w:rsid w:val="00E632B8"/>
    <w:rsid w:val="00E63917"/>
    <w:rsid w:val="00E65D5A"/>
    <w:rsid w:val="00E70FFC"/>
    <w:rsid w:val="00E75AB9"/>
    <w:rsid w:val="00E75E29"/>
    <w:rsid w:val="00E81116"/>
    <w:rsid w:val="00E820E3"/>
    <w:rsid w:val="00E8219A"/>
    <w:rsid w:val="00E83335"/>
    <w:rsid w:val="00E837A7"/>
    <w:rsid w:val="00E83942"/>
    <w:rsid w:val="00E84152"/>
    <w:rsid w:val="00E8678E"/>
    <w:rsid w:val="00E8699D"/>
    <w:rsid w:val="00E86B5D"/>
    <w:rsid w:val="00E86EF7"/>
    <w:rsid w:val="00E95BD4"/>
    <w:rsid w:val="00EA1277"/>
    <w:rsid w:val="00EA5964"/>
    <w:rsid w:val="00EC061F"/>
    <w:rsid w:val="00EC14E9"/>
    <w:rsid w:val="00EC32B4"/>
    <w:rsid w:val="00EC45E4"/>
    <w:rsid w:val="00EC66DC"/>
    <w:rsid w:val="00EC67F1"/>
    <w:rsid w:val="00ED0FC6"/>
    <w:rsid w:val="00ED13AE"/>
    <w:rsid w:val="00ED28BA"/>
    <w:rsid w:val="00ED2B11"/>
    <w:rsid w:val="00ED3B76"/>
    <w:rsid w:val="00EE3073"/>
    <w:rsid w:val="00EE6952"/>
    <w:rsid w:val="00EF32C7"/>
    <w:rsid w:val="00EF3547"/>
    <w:rsid w:val="00EF43FB"/>
    <w:rsid w:val="00EF4665"/>
    <w:rsid w:val="00EF7BC5"/>
    <w:rsid w:val="00F0058E"/>
    <w:rsid w:val="00F018FD"/>
    <w:rsid w:val="00F04B07"/>
    <w:rsid w:val="00F053DE"/>
    <w:rsid w:val="00F05ED9"/>
    <w:rsid w:val="00F064BD"/>
    <w:rsid w:val="00F075D9"/>
    <w:rsid w:val="00F126FA"/>
    <w:rsid w:val="00F14A20"/>
    <w:rsid w:val="00F15E4B"/>
    <w:rsid w:val="00F16CEE"/>
    <w:rsid w:val="00F17791"/>
    <w:rsid w:val="00F20367"/>
    <w:rsid w:val="00F22B00"/>
    <w:rsid w:val="00F238F8"/>
    <w:rsid w:val="00F24D08"/>
    <w:rsid w:val="00F27A95"/>
    <w:rsid w:val="00F374A7"/>
    <w:rsid w:val="00F41E09"/>
    <w:rsid w:val="00F43E4E"/>
    <w:rsid w:val="00F477F4"/>
    <w:rsid w:val="00F51643"/>
    <w:rsid w:val="00F51DA4"/>
    <w:rsid w:val="00F5288B"/>
    <w:rsid w:val="00F54241"/>
    <w:rsid w:val="00F5652A"/>
    <w:rsid w:val="00F60D37"/>
    <w:rsid w:val="00F61A6F"/>
    <w:rsid w:val="00F626BB"/>
    <w:rsid w:val="00F64223"/>
    <w:rsid w:val="00F666FF"/>
    <w:rsid w:val="00F74D92"/>
    <w:rsid w:val="00F77E7B"/>
    <w:rsid w:val="00F85570"/>
    <w:rsid w:val="00F871CF"/>
    <w:rsid w:val="00F87959"/>
    <w:rsid w:val="00F90656"/>
    <w:rsid w:val="00F93CEA"/>
    <w:rsid w:val="00F943EE"/>
    <w:rsid w:val="00FA0134"/>
    <w:rsid w:val="00FA51FC"/>
    <w:rsid w:val="00FA5832"/>
    <w:rsid w:val="00FA70BD"/>
    <w:rsid w:val="00FB2764"/>
    <w:rsid w:val="00FB2B04"/>
    <w:rsid w:val="00FB3558"/>
    <w:rsid w:val="00FC2212"/>
    <w:rsid w:val="00FC3903"/>
    <w:rsid w:val="00FC62A0"/>
    <w:rsid w:val="00FC75D3"/>
    <w:rsid w:val="00FD1120"/>
    <w:rsid w:val="00FD23D2"/>
    <w:rsid w:val="00FD64F7"/>
    <w:rsid w:val="00FE0EC9"/>
    <w:rsid w:val="00FE35B7"/>
    <w:rsid w:val="00FE388F"/>
    <w:rsid w:val="00FE52C5"/>
    <w:rsid w:val="00FE6DFB"/>
    <w:rsid w:val="00FE78A9"/>
    <w:rsid w:val="00FF4F85"/>
    <w:rsid w:val="00FF5F5C"/>
    <w:rsid w:val="00FF673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06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A441D"/>
    <w:pPr>
      <w:widowControl w:val="0"/>
      <w:spacing w:after="0" w:line="360" w:lineRule="auto"/>
      <w:ind w:firstLine="567"/>
      <w:jc w:val="center"/>
    </w:pPr>
    <w:rPr>
      <w:rFonts w:ascii="Times New Roman" w:eastAsia="Times New Roman" w:hAnsi="Times New Roman" w:cs="Times New Roman"/>
      <w:sz w:val="24"/>
      <w:szCs w:val="24"/>
      <w:lang w:eastAsia="pt-BR"/>
    </w:rPr>
  </w:style>
  <w:style w:type="paragraph" w:styleId="Heading1">
    <w:name w:val="heading 1"/>
    <w:basedOn w:val="Normal"/>
    <w:next w:val="Normal"/>
    <w:link w:val="Heading1Char"/>
    <w:uiPriority w:val="9"/>
    <w:qFormat/>
    <w:rsid w:val="001D420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51D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789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autoRedefine/>
    <w:qFormat/>
    <w:rsid w:val="00DA441D"/>
    <w:pPr>
      <w:jc w:val="both"/>
      <w:outlineLvl w:val="4"/>
    </w:pPr>
    <w:rPr>
      <w:b/>
    </w:rPr>
  </w:style>
  <w:style w:type="paragraph" w:styleId="Heading8">
    <w:name w:val="heading 8"/>
    <w:basedOn w:val="Normal"/>
    <w:next w:val="Normal"/>
    <w:link w:val="Heading8Char"/>
    <w:uiPriority w:val="9"/>
    <w:unhideWhenUsed/>
    <w:qFormat/>
    <w:rsid w:val="008978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A441D"/>
    <w:pPr>
      <w:numPr>
        <w:numId w:val="1"/>
      </w:numPr>
    </w:pPr>
    <w:rPr>
      <w:b/>
      <w:bCs/>
    </w:rPr>
  </w:style>
  <w:style w:type="character" w:customStyle="1" w:styleId="SubtitleChar">
    <w:name w:val="Subtitle Char"/>
    <w:basedOn w:val="DefaultParagraphFont"/>
    <w:link w:val="Subtitle"/>
    <w:rsid w:val="00DA441D"/>
    <w:rPr>
      <w:rFonts w:ascii="Times New Roman" w:eastAsia="Times New Roman" w:hAnsi="Times New Roman" w:cs="Times New Roman"/>
      <w:b/>
      <w:bCs/>
      <w:sz w:val="24"/>
      <w:szCs w:val="24"/>
      <w:lang w:eastAsia="pt-BR"/>
    </w:rPr>
  </w:style>
  <w:style w:type="character" w:customStyle="1" w:styleId="Heading5Char">
    <w:name w:val="Heading 5 Char"/>
    <w:basedOn w:val="DefaultParagraphFont"/>
    <w:link w:val="Heading5"/>
    <w:rsid w:val="00DA441D"/>
    <w:rPr>
      <w:rFonts w:ascii="Times New Roman" w:eastAsia="Times New Roman" w:hAnsi="Times New Roman" w:cs="Times New Roman"/>
      <w:b/>
      <w:sz w:val="24"/>
      <w:szCs w:val="24"/>
      <w:lang w:eastAsia="pt-BR"/>
    </w:rPr>
  </w:style>
  <w:style w:type="paragraph" w:customStyle="1" w:styleId="Estilo1">
    <w:name w:val="Estilo1"/>
    <w:basedOn w:val="Normal"/>
    <w:autoRedefine/>
    <w:rsid w:val="00DA441D"/>
    <w:pPr>
      <w:spacing w:before="240" w:after="240"/>
      <w:jc w:val="both"/>
    </w:pPr>
    <w:rPr>
      <w:sz w:val="28"/>
      <w:lang w:eastAsia="ar-SA"/>
    </w:rPr>
  </w:style>
  <w:style w:type="paragraph" w:styleId="Header">
    <w:name w:val="header"/>
    <w:basedOn w:val="Normal"/>
    <w:link w:val="HeaderChar"/>
    <w:uiPriority w:val="99"/>
    <w:unhideWhenUsed/>
    <w:rsid w:val="00DA441D"/>
    <w:pPr>
      <w:tabs>
        <w:tab w:val="center" w:pos="4252"/>
        <w:tab w:val="right" w:pos="8504"/>
      </w:tabs>
      <w:spacing w:line="240" w:lineRule="auto"/>
    </w:pPr>
  </w:style>
  <w:style w:type="character" w:customStyle="1" w:styleId="HeaderChar">
    <w:name w:val="Header Char"/>
    <w:basedOn w:val="DefaultParagraphFont"/>
    <w:link w:val="Header"/>
    <w:uiPriority w:val="99"/>
    <w:rsid w:val="00DA441D"/>
    <w:rPr>
      <w:rFonts w:ascii="Times New Roman" w:eastAsia="Times New Roman" w:hAnsi="Times New Roman" w:cs="Times New Roman"/>
      <w:sz w:val="24"/>
      <w:szCs w:val="24"/>
      <w:lang w:eastAsia="pt-BR"/>
    </w:rPr>
  </w:style>
  <w:style w:type="paragraph" w:styleId="Footer">
    <w:name w:val="footer"/>
    <w:basedOn w:val="Normal"/>
    <w:link w:val="FooterChar"/>
    <w:uiPriority w:val="99"/>
    <w:unhideWhenUsed/>
    <w:rsid w:val="00DA441D"/>
    <w:pPr>
      <w:tabs>
        <w:tab w:val="center" w:pos="4252"/>
        <w:tab w:val="right" w:pos="8504"/>
      </w:tabs>
      <w:spacing w:line="240" w:lineRule="auto"/>
    </w:pPr>
  </w:style>
  <w:style w:type="character" w:customStyle="1" w:styleId="FooterChar">
    <w:name w:val="Footer Char"/>
    <w:basedOn w:val="DefaultParagraphFont"/>
    <w:link w:val="Footer"/>
    <w:uiPriority w:val="99"/>
    <w:rsid w:val="00DA441D"/>
    <w:rPr>
      <w:rFonts w:ascii="Times New Roman" w:eastAsia="Times New Roman" w:hAnsi="Times New Roman" w:cs="Times New Roman"/>
      <w:sz w:val="24"/>
      <w:szCs w:val="24"/>
      <w:lang w:eastAsia="pt-BR"/>
    </w:rPr>
  </w:style>
  <w:style w:type="paragraph" w:styleId="ListParagraph">
    <w:name w:val="List Paragraph"/>
    <w:basedOn w:val="Normal"/>
    <w:link w:val="ListParagraphChar"/>
    <w:uiPriority w:val="34"/>
    <w:qFormat/>
    <w:rsid w:val="00EF4665"/>
    <w:pPr>
      <w:ind w:left="720"/>
      <w:contextualSpacing/>
    </w:pPr>
  </w:style>
  <w:style w:type="character" w:styleId="Hyperlink">
    <w:name w:val="Hyperlink"/>
    <w:basedOn w:val="DefaultParagraphFont"/>
    <w:rsid w:val="00EF4665"/>
    <w:rPr>
      <w:color w:val="0000FF"/>
      <w:u w:val="single"/>
    </w:rPr>
  </w:style>
  <w:style w:type="paragraph" w:styleId="List">
    <w:name w:val="List"/>
    <w:aliases w:val="Lista Char"/>
    <w:basedOn w:val="Normal"/>
    <w:autoRedefine/>
    <w:rsid w:val="00EF4665"/>
    <w:pPr>
      <w:spacing w:after="120"/>
      <w:ind w:left="567"/>
    </w:pPr>
  </w:style>
  <w:style w:type="paragraph" w:styleId="List2">
    <w:name w:val="List 2"/>
    <w:basedOn w:val="Normal"/>
    <w:autoRedefine/>
    <w:rsid w:val="00EF4665"/>
    <w:pPr>
      <w:spacing w:after="120"/>
      <w:ind w:left="720" w:hanging="360"/>
    </w:pPr>
  </w:style>
  <w:style w:type="paragraph" w:customStyle="1" w:styleId="western">
    <w:name w:val="western"/>
    <w:basedOn w:val="Normal"/>
    <w:rsid w:val="00EF4665"/>
    <w:pPr>
      <w:widowControl/>
      <w:suppressAutoHyphens/>
      <w:spacing w:before="100" w:after="119" w:line="100" w:lineRule="atLeast"/>
    </w:pPr>
    <w:rPr>
      <w:b/>
      <w:kern w:val="1"/>
      <w:lang w:eastAsia="ar-SA"/>
    </w:rPr>
  </w:style>
  <w:style w:type="paragraph" w:styleId="Title">
    <w:name w:val="Title"/>
    <w:basedOn w:val="Normal"/>
    <w:next w:val="Normal"/>
    <w:link w:val="TitleChar"/>
    <w:qFormat/>
    <w:rsid w:val="00C662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66218"/>
    <w:rPr>
      <w:rFonts w:asciiTheme="majorHAnsi" w:eastAsiaTheme="majorEastAsia" w:hAnsiTheme="majorHAnsi" w:cstheme="majorBidi"/>
      <w:color w:val="17365D" w:themeColor="text2" w:themeShade="BF"/>
      <w:spacing w:val="5"/>
      <w:kern w:val="28"/>
      <w:sz w:val="52"/>
      <w:szCs w:val="52"/>
      <w:lang w:eastAsia="pt-BR"/>
    </w:rPr>
  </w:style>
  <w:style w:type="paragraph" w:styleId="BalloonText">
    <w:name w:val="Balloon Text"/>
    <w:basedOn w:val="Normal"/>
    <w:link w:val="BalloonTextChar"/>
    <w:uiPriority w:val="99"/>
    <w:semiHidden/>
    <w:unhideWhenUsed/>
    <w:rsid w:val="001426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6E5"/>
    <w:rPr>
      <w:rFonts w:ascii="Tahoma" w:eastAsia="Times New Roman" w:hAnsi="Tahoma" w:cs="Tahoma"/>
      <w:sz w:val="16"/>
      <w:szCs w:val="16"/>
      <w:lang w:eastAsia="pt-BR"/>
    </w:rPr>
  </w:style>
  <w:style w:type="paragraph" w:styleId="BodyTextIndent">
    <w:name w:val="Body Text Indent"/>
    <w:basedOn w:val="Normal"/>
    <w:link w:val="BodyTextIndentChar"/>
    <w:rsid w:val="00A06937"/>
    <w:pPr>
      <w:widowControl/>
      <w:suppressAutoHyphens/>
      <w:spacing w:line="100" w:lineRule="atLeast"/>
      <w:ind w:left="1080" w:firstLine="0"/>
      <w:jc w:val="both"/>
    </w:pPr>
    <w:rPr>
      <w:kern w:val="1"/>
      <w:sz w:val="20"/>
      <w:szCs w:val="20"/>
      <w:lang w:val="es-ES" w:eastAsia="ar-SA"/>
    </w:rPr>
  </w:style>
  <w:style w:type="character" w:customStyle="1" w:styleId="BodyTextIndentChar">
    <w:name w:val="Body Text Indent Char"/>
    <w:basedOn w:val="DefaultParagraphFont"/>
    <w:link w:val="BodyTextIndent"/>
    <w:rsid w:val="00A06937"/>
    <w:rPr>
      <w:rFonts w:ascii="Times New Roman" w:eastAsia="Times New Roman" w:hAnsi="Times New Roman" w:cs="Times New Roman"/>
      <w:kern w:val="1"/>
      <w:sz w:val="20"/>
      <w:szCs w:val="20"/>
      <w:lang w:val="es-ES" w:eastAsia="ar-SA"/>
    </w:rPr>
  </w:style>
  <w:style w:type="paragraph" w:styleId="BodyText">
    <w:name w:val="Body Text"/>
    <w:basedOn w:val="Normal"/>
    <w:link w:val="BodyTextChar"/>
    <w:uiPriority w:val="99"/>
    <w:unhideWhenUsed/>
    <w:rsid w:val="00DE215D"/>
    <w:pPr>
      <w:spacing w:after="120"/>
    </w:pPr>
  </w:style>
  <w:style w:type="character" w:customStyle="1" w:styleId="BodyTextChar">
    <w:name w:val="Body Text Char"/>
    <w:basedOn w:val="DefaultParagraphFont"/>
    <w:link w:val="BodyText"/>
    <w:uiPriority w:val="99"/>
    <w:rsid w:val="00DE215D"/>
    <w:rPr>
      <w:rFonts w:ascii="Times New Roman" w:eastAsia="Times New Roman" w:hAnsi="Times New Roman" w:cs="Times New Roman"/>
      <w:sz w:val="24"/>
      <w:szCs w:val="24"/>
      <w:lang w:eastAsia="pt-BR"/>
    </w:rPr>
  </w:style>
  <w:style w:type="paragraph" w:customStyle="1" w:styleId="TtulodoTrabalho">
    <w:name w:val="Título do Trabalho"/>
    <w:basedOn w:val="ListParagraph"/>
    <w:link w:val="TtulodoTrabalhoChar"/>
    <w:qFormat/>
    <w:rsid w:val="00DE215D"/>
    <w:pPr>
      <w:widowControl/>
      <w:numPr>
        <w:numId w:val="2"/>
      </w:numPr>
      <w:spacing w:before="120" w:after="120" w:line="276" w:lineRule="auto"/>
      <w:jc w:val="both"/>
    </w:pPr>
    <w:rPr>
      <w:b/>
      <w:caps/>
      <w:sz w:val="28"/>
      <w:szCs w:val="28"/>
    </w:rPr>
  </w:style>
  <w:style w:type="paragraph" w:customStyle="1" w:styleId="SubttulodoTrabalho">
    <w:name w:val="Subtítulo do Trabalho"/>
    <w:basedOn w:val="ListParagraph"/>
    <w:link w:val="SubttulodoTrabalhoChar"/>
    <w:qFormat/>
    <w:rsid w:val="00DE215D"/>
    <w:pPr>
      <w:widowControl/>
      <w:numPr>
        <w:ilvl w:val="1"/>
        <w:numId w:val="2"/>
      </w:numPr>
      <w:spacing w:before="120" w:after="120" w:line="276" w:lineRule="auto"/>
      <w:ind w:left="567" w:hanging="567"/>
      <w:contextualSpacing w:val="0"/>
      <w:jc w:val="both"/>
    </w:pPr>
    <w:rPr>
      <w:b/>
      <w:color w:val="000000"/>
      <w:sz w:val="28"/>
      <w:szCs w:val="28"/>
    </w:rPr>
  </w:style>
  <w:style w:type="character" w:customStyle="1" w:styleId="ListParagraphChar">
    <w:name w:val="List Paragraph Char"/>
    <w:basedOn w:val="DefaultParagraphFont"/>
    <w:link w:val="ListParagraph"/>
    <w:uiPriority w:val="34"/>
    <w:rsid w:val="00DE215D"/>
    <w:rPr>
      <w:rFonts w:ascii="Times New Roman" w:eastAsia="Times New Roman" w:hAnsi="Times New Roman" w:cs="Times New Roman"/>
      <w:sz w:val="24"/>
      <w:szCs w:val="24"/>
      <w:lang w:eastAsia="pt-BR"/>
    </w:rPr>
  </w:style>
  <w:style w:type="character" w:customStyle="1" w:styleId="TtulodoTrabalhoChar">
    <w:name w:val="Título do Trabalho Char"/>
    <w:basedOn w:val="ListParagraphChar"/>
    <w:link w:val="TtulodoTrabalho"/>
    <w:rsid w:val="00DE215D"/>
    <w:rPr>
      <w:rFonts w:ascii="Times New Roman" w:eastAsia="Times New Roman" w:hAnsi="Times New Roman" w:cs="Times New Roman"/>
      <w:b/>
      <w:caps/>
      <w:sz w:val="28"/>
      <w:szCs w:val="28"/>
      <w:lang w:eastAsia="pt-BR"/>
    </w:rPr>
  </w:style>
  <w:style w:type="paragraph" w:customStyle="1" w:styleId="SubSubTtulodoTrabalho">
    <w:name w:val="SubSubTítulo do Trabalho"/>
    <w:basedOn w:val="ListParagraph"/>
    <w:link w:val="SubSubTtulodoTrabalhoChar"/>
    <w:qFormat/>
    <w:rsid w:val="00DE215D"/>
    <w:pPr>
      <w:widowControl/>
      <w:numPr>
        <w:ilvl w:val="2"/>
        <w:numId w:val="2"/>
      </w:numPr>
      <w:spacing w:before="120" w:after="120" w:line="276" w:lineRule="auto"/>
      <w:ind w:left="567"/>
      <w:contextualSpacing w:val="0"/>
      <w:jc w:val="both"/>
    </w:pPr>
    <w:rPr>
      <w:rFonts w:ascii="Arial" w:hAnsi="Arial"/>
      <w:b/>
      <w:color w:val="000000"/>
      <w:u w:val="single"/>
    </w:rPr>
  </w:style>
  <w:style w:type="character" w:customStyle="1" w:styleId="SubttulodoTrabalhoChar">
    <w:name w:val="Subtítulo do Trabalho Char"/>
    <w:basedOn w:val="ListParagraphChar"/>
    <w:link w:val="SubttulodoTrabalho"/>
    <w:rsid w:val="00DE215D"/>
    <w:rPr>
      <w:rFonts w:ascii="Times New Roman" w:eastAsia="Times New Roman" w:hAnsi="Times New Roman" w:cs="Times New Roman"/>
      <w:b/>
      <w:color w:val="000000"/>
      <w:sz w:val="28"/>
      <w:szCs w:val="28"/>
      <w:lang w:eastAsia="pt-BR"/>
    </w:rPr>
  </w:style>
  <w:style w:type="paragraph" w:customStyle="1" w:styleId="NormalTextoRic">
    <w:name w:val="Normal Texto Ric"/>
    <w:basedOn w:val="Normal"/>
    <w:link w:val="NormalTextoRicChar"/>
    <w:qFormat/>
    <w:rsid w:val="00DE215D"/>
    <w:pPr>
      <w:widowControl/>
      <w:spacing w:before="100" w:after="100"/>
      <w:ind w:firstLine="0"/>
      <w:jc w:val="both"/>
    </w:pPr>
    <w:rPr>
      <w:rFonts w:ascii="Arial" w:hAnsi="Arial" w:cs="Arial"/>
    </w:rPr>
  </w:style>
  <w:style w:type="character" w:customStyle="1" w:styleId="NormalTextoRicChar">
    <w:name w:val="Normal Texto Ric Char"/>
    <w:basedOn w:val="DefaultParagraphFont"/>
    <w:link w:val="NormalTextoRic"/>
    <w:rsid w:val="00DE215D"/>
    <w:rPr>
      <w:rFonts w:ascii="Arial" w:eastAsia="Times New Roman" w:hAnsi="Arial" w:cs="Arial"/>
      <w:sz w:val="24"/>
      <w:szCs w:val="24"/>
      <w:lang w:eastAsia="pt-BR"/>
    </w:rPr>
  </w:style>
  <w:style w:type="character" w:customStyle="1" w:styleId="SubSubTtulodoTrabalhoChar">
    <w:name w:val="SubSubTítulo do Trabalho Char"/>
    <w:basedOn w:val="ListParagraphChar"/>
    <w:link w:val="SubSubTtulodoTrabalho"/>
    <w:rsid w:val="009F4FA9"/>
    <w:rPr>
      <w:rFonts w:ascii="Arial" w:eastAsia="Times New Roman" w:hAnsi="Arial" w:cs="Times New Roman"/>
      <w:b/>
      <w:color w:val="000000"/>
      <w:sz w:val="24"/>
      <w:szCs w:val="24"/>
      <w:u w:val="single"/>
      <w:lang w:eastAsia="pt-BR"/>
    </w:rPr>
  </w:style>
  <w:style w:type="paragraph" w:styleId="FootnoteText">
    <w:name w:val="footnote text"/>
    <w:basedOn w:val="Normal"/>
    <w:link w:val="FootnoteTextChar"/>
    <w:uiPriority w:val="99"/>
    <w:unhideWhenUsed/>
    <w:rsid w:val="008019BD"/>
    <w:pPr>
      <w:spacing w:line="240" w:lineRule="auto"/>
    </w:pPr>
  </w:style>
  <w:style w:type="character" w:customStyle="1" w:styleId="FootnoteTextChar">
    <w:name w:val="Footnote Text Char"/>
    <w:basedOn w:val="DefaultParagraphFont"/>
    <w:link w:val="FootnoteText"/>
    <w:uiPriority w:val="99"/>
    <w:rsid w:val="008019BD"/>
    <w:rPr>
      <w:rFonts w:ascii="Times New Roman" w:eastAsia="Times New Roman" w:hAnsi="Times New Roman" w:cs="Times New Roman"/>
      <w:sz w:val="24"/>
      <w:szCs w:val="24"/>
      <w:lang w:eastAsia="pt-BR"/>
    </w:rPr>
  </w:style>
  <w:style w:type="character" w:styleId="FootnoteReference">
    <w:name w:val="footnote reference"/>
    <w:basedOn w:val="DefaultParagraphFont"/>
    <w:uiPriority w:val="99"/>
    <w:unhideWhenUsed/>
    <w:rsid w:val="008019BD"/>
    <w:rPr>
      <w:vertAlign w:val="superscript"/>
    </w:rPr>
  </w:style>
  <w:style w:type="paragraph" w:styleId="NormalWeb">
    <w:name w:val="Normal (Web)"/>
    <w:basedOn w:val="Normal"/>
    <w:uiPriority w:val="99"/>
    <w:unhideWhenUsed/>
    <w:rsid w:val="006B6140"/>
    <w:pPr>
      <w:widowControl/>
      <w:spacing w:before="100" w:beforeAutospacing="1" w:after="100" w:afterAutospacing="1" w:line="240" w:lineRule="auto"/>
      <w:ind w:firstLine="0"/>
      <w:jc w:val="left"/>
    </w:pPr>
  </w:style>
  <w:style w:type="paragraph" w:styleId="PlainText">
    <w:name w:val="Plain Text"/>
    <w:basedOn w:val="Normal"/>
    <w:link w:val="PlainTextChar"/>
    <w:uiPriority w:val="99"/>
    <w:unhideWhenUsed/>
    <w:rsid w:val="006B6140"/>
    <w:pPr>
      <w:widowControl/>
      <w:spacing w:line="240" w:lineRule="auto"/>
      <w:ind w:firstLine="0"/>
      <w:jc w:val="left"/>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6B6140"/>
    <w:rPr>
      <w:rFonts w:ascii="Consolas" w:eastAsia="Calibri" w:hAnsi="Consolas" w:cs="Times New Roman"/>
      <w:sz w:val="21"/>
      <w:szCs w:val="21"/>
    </w:rPr>
  </w:style>
  <w:style w:type="paragraph" w:customStyle="1" w:styleId="Default">
    <w:name w:val="Default"/>
    <w:rsid w:val="005A1E34"/>
    <w:pPr>
      <w:widowControl w:val="0"/>
      <w:autoSpaceDE w:val="0"/>
      <w:autoSpaceDN w:val="0"/>
      <w:adjustRightInd w:val="0"/>
      <w:spacing w:after="0" w:line="240" w:lineRule="auto"/>
    </w:pPr>
    <w:rPr>
      <w:rFonts w:ascii="Helvetica" w:eastAsia="Times New Roman" w:hAnsi="Helvetica" w:cs="Helvetica"/>
      <w:color w:val="000000"/>
      <w:sz w:val="24"/>
      <w:szCs w:val="24"/>
      <w:lang w:eastAsia="pt-BR"/>
    </w:rPr>
  </w:style>
  <w:style w:type="table" w:styleId="TableGrid">
    <w:name w:val="Table Grid"/>
    <w:basedOn w:val="TableNormal"/>
    <w:uiPriority w:val="59"/>
    <w:rsid w:val="00E84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8415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89789A"/>
    <w:rPr>
      <w:rFonts w:asciiTheme="majorHAnsi" w:eastAsiaTheme="majorEastAsia" w:hAnsiTheme="majorHAnsi" w:cstheme="majorBidi"/>
      <w:b/>
      <w:bCs/>
      <w:color w:val="4F81BD" w:themeColor="accent1"/>
      <w:sz w:val="24"/>
      <w:szCs w:val="24"/>
      <w:lang w:eastAsia="pt-BR"/>
    </w:rPr>
  </w:style>
  <w:style w:type="character" w:customStyle="1" w:styleId="Heading8Char">
    <w:name w:val="Heading 8 Char"/>
    <w:basedOn w:val="DefaultParagraphFont"/>
    <w:link w:val="Heading8"/>
    <w:uiPriority w:val="9"/>
    <w:rsid w:val="0089789A"/>
    <w:rPr>
      <w:rFonts w:asciiTheme="majorHAnsi" w:eastAsiaTheme="majorEastAsia" w:hAnsiTheme="majorHAnsi" w:cstheme="majorBidi"/>
      <w:color w:val="404040" w:themeColor="text1" w:themeTint="BF"/>
      <w:sz w:val="20"/>
      <w:szCs w:val="20"/>
      <w:lang w:eastAsia="pt-BR"/>
    </w:rPr>
  </w:style>
  <w:style w:type="paragraph" w:styleId="BodyTextIndent3">
    <w:name w:val="Body Text Indent 3"/>
    <w:basedOn w:val="Normal"/>
    <w:link w:val="BodyTextIndent3Char"/>
    <w:uiPriority w:val="99"/>
    <w:unhideWhenUsed/>
    <w:rsid w:val="0089789A"/>
    <w:pPr>
      <w:widowControl/>
      <w:spacing w:after="120" w:line="240" w:lineRule="auto"/>
      <w:ind w:left="283" w:firstLine="0"/>
      <w:jc w:val="left"/>
    </w:pPr>
    <w:rPr>
      <w:sz w:val="16"/>
      <w:szCs w:val="16"/>
    </w:rPr>
  </w:style>
  <w:style w:type="character" w:customStyle="1" w:styleId="BodyTextIndent3Char">
    <w:name w:val="Body Text Indent 3 Char"/>
    <w:basedOn w:val="DefaultParagraphFont"/>
    <w:link w:val="BodyTextIndent3"/>
    <w:uiPriority w:val="99"/>
    <w:rsid w:val="0089789A"/>
    <w:rPr>
      <w:rFonts w:ascii="Times New Roman" w:eastAsia="Times New Roman" w:hAnsi="Times New Roman" w:cs="Times New Roman"/>
      <w:sz w:val="16"/>
      <w:szCs w:val="16"/>
      <w:lang w:eastAsia="pt-BR"/>
    </w:rPr>
  </w:style>
  <w:style w:type="character" w:customStyle="1" w:styleId="Heading1Char">
    <w:name w:val="Heading 1 Char"/>
    <w:basedOn w:val="DefaultParagraphFont"/>
    <w:link w:val="Heading1"/>
    <w:uiPriority w:val="9"/>
    <w:rsid w:val="001D4203"/>
    <w:rPr>
      <w:rFonts w:asciiTheme="majorHAnsi" w:eastAsiaTheme="majorEastAsia" w:hAnsiTheme="majorHAnsi" w:cstheme="majorBidi"/>
      <w:b/>
      <w:bCs/>
      <w:color w:val="345A8A" w:themeColor="accent1" w:themeShade="B5"/>
      <w:sz w:val="32"/>
      <w:szCs w:val="32"/>
      <w:lang w:eastAsia="pt-BR"/>
    </w:rPr>
  </w:style>
  <w:style w:type="character" w:styleId="PageNumber">
    <w:name w:val="page number"/>
    <w:basedOn w:val="DefaultParagraphFont"/>
    <w:uiPriority w:val="99"/>
    <w:semiHidden/>
    <w:unhideWhenUsed/>
    <w:rsid w:val="009C237B"/>
  </w:style>
  <w:style w:type="character" w:styleId="Strong">
    <w:name w:val="Strong"/>
    <w:basedOn w:val="DefaultParagraphFont"/>
    <w:uiPriority w:val="22"/>
    <w:qFormat/>
    <w:rsid w:val="006A2E84"/>
    <w:rPr>
      <w:b/>
      <w:bCs/>
    </w:rPr>
  </w:style>
  <w:style w:type="character" w:customStyle="1" w:styleId="Heading2Char">
    <w:name w:val="Heading 2 Char"/>
    <w:basedOn w:val="DefaultParagraphFont"/>
    <w:link w:val="Heading2"/>
    <w:uiPriority w:val="9"/>
    <w:semiHidden/>
    <w:rsid w:val="00F51DA4"/>
    <w:rPr>
      <w:rFonts w:asciiTheme="majorHAnsi" w:eastAsiaTheme="majorEastAsia" w:hAnsiTheme="majorHAnsi" w:cstheme="majorBidi"/>
      <w:b/>
      <w:bCs/>
      <w:color w:val="4F81BD" w:themeColor="accent1"/>
      <w:sz w:val="26"/>
      <w:szCs w:val="26"/>
      <w:lang w:eastAsia="pt-BR"/>
    </w:rPr>
  </w:style>
  <w:style w:type="character" w:customStyle="1" w:styleId="apple-converted-space">
    <w:name w:val="apple-converted-space"/>
    <w:basedOn w:val="DefaultParagraphFont"/>
    <w:rsid w:val="00F51DA4"/>
  </w:style>
  <w:style w:type="table" w:styleId="LightShading-Accent1">
    <w:name w:val="Light Shading Accent 1"/>
    <w:basedOn w:val="TableNormal"/>
    <w:uiPriority w:val="60"/>
    <w:rsid w:val="00DC3F4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C3F4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DC3F4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4">
    <w:name w:val="Light Grid Accent 4"/>
    <w:basedOn w:val="TableNormal"/>
    <w:uiPriority w:val="62"/>
    <w:rsid w:val="0015226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textonormal">
    <w:name w:val="texto_normal"/>
    <w:basedOn w:val="Normal"/>
    <w:uiPriority w:val="99"/>
    <w:rsid w:val="008172DE"/>
    <w:pPr>
      <w:tabs>
        <w:tab w:val="left" w:pos="440"/>
        <w:tab w:val="right" w:leader="dot" w:pos="9072"/>
      </w:tabs>
      <w:autoSpaceDE w:val="0"/>
      <w:autoSpaceDN w:val="0"/>
      <w:adjustRightInd w:val="0"/>
      <w:spacing w:after="200" w:line="288" w:lineRule="auto"/>
      <w:ind w:left="142" w:firstLine="170"/>
      <w:jc w:val="both"/>
      <w:textAlignment w:val="center"/>
    </w:pPr>
    <w:rPr>
      <w:rFonts w:ascii="Aldine721 BT" w:eastAsia="Calibri" w:hAnsi="Aldine721 BT" w:cs="Aldine721 BT"/>
      <w:b/>
      <w:noProof/>
      <w:color w:val="000000"/>
      <w:sz w:val="20"/>
      <w:szCs w:val="20"/>
    </w:rPr>
  </w:style>
  <w:style w:type="paragraph" w:styleId="Caption">
    <w:name w:val="caption"/>
    <w:basedOn w:val="Normal"/>
    <w:next w:val="Normal"/>
    <w:uiPriority w:val="99"/>
    <w:qFormat/>
    <w:rsid w:val="003F465B"/>
    <w:pPr>
      <w:widowControl/>
      <w:spacing w:after="200" w:line="240" w:lineRule="auto"/>
      <w:ind w:firstLine="0"/>
      <w:jc w:val="left"/>
    </w:pPr>
    <w:rPr>
      <w:rFonts w:ascii="Calibri" w:eastAsia="Calibri" w:hAnsi="Calibri"/>
      <w:b/>
      <w:bCs/>
      <w:color w:val="4F81BD"/>
      <w:sz w:val="18"/>
      <w:szCs w:val="18"/>
      <w:lang w:eastAsia="en-US"/>
    </w:rPr>
  </w:style>
  <w:style w:type="paragraph" w:styleId="ListBullet">
    <w:name w:val="List Bullet"/>
    <w:basedOn w:val="Normal"/>
    <w:rsid w:val="007257F2"/>
    <w:pPr>
      <w:widowControl/>
      <w:tabs>
        <w:tab w:val="num" w:pos="360"/>
      </w:tabs>
      <w:spacing w:line="240" w:lineRule="auto"/>
      <w:ind w:left="360" w:hanging="360"/>
      <w:jc w:val="left"/>
    </w:pPr>
    <w:rPr>
      <w:rFonts w:ascii="Arial" w:hAnsi="Arial"/>
      <w:b/>
      <w:kern w:val="16"/>
      <w:szCs w:val="20"/>
      <w:lang w:val="en-US" w:eastAsia="en-US"/>
    </w:rPr>
  </w:style>
  <w:style w:type="paragraph" w:customStyle="1" w:styleId="CM23">
    <w:name w:val="CM23"/>
    <w:basedOn w:val="Normal"/>
    <w:next w:val="Normal"/>
    <w:uiPriority w:val="99"/>
    <w:rsid w:val="007257F2"/>
    <w:pPr>
      <w:autoSpaceDE w:val="0"/>
      <w:autoSpaceDN w:val="0"/>
      <w:adjustRightInd w:val="0"/>
      <w:spacing w:line="240" w:lineRule="auto"/>
      <w:ind w:firstLine="0"/>
      <w:jc w:val="left"/>
    </w:pPr>
    <w:rPr>
      <w:lang w:val="en-US" w:eastAsia="en-US"/>
    </w:rPr>
  </w:style>
  <w:style w:type="table" w:styleId="LightGrid-Accent1">
    <w:name w:val="Light Grid Accent 1"/>
    <w:basedOn w:val="TableNormal"/>
    <w:uiPriority w:val="62"/>
    <w:rsid w:val="00DD519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OCHeading">
    <w:name w:val="TOC Heading"/>
    <w:basedOn w:val="Heading1"/>
    <w:next w:val="Normal"/>
    <w:uiPriority w:val="39"/>
    <w:unhideWhenUsed/>
    <w:qFormat/>
    <w:rsid w:val="00381B9D"/>
    <w:pPr>
      <w:widowControl/>
      <w:spacing w:line="276" w:lineRule="auto"/>
      <w:ind w:firstLine="0"/>
      <w:jc w:val="left"/>
      <w:outlineLvl w:val="9"/>
    </w:pPr>
    <w:rPr>
      <w:color w:val="365F91" w:themeColor="accent1" w:themeShade="BF"/>
      <w:sz w:val="28"/>
      <w:szCs w:val="28"/>
      <w:lang w:val="en-US" w:eastAsia="en-US"/>
    </w:rPr>
  </w:style>
  <w:style w:type="paragraph" w:styleId="TOC2">
    <w:name w:val="toc 2"/>
    <w:basedOn w:val="Normal"/>
    <w:next w:val="Normal"/>
    <w:autoRedefine/>
    <w:uiPriority w:val="39"/>
    <w:unhideWhenUsed/>
    <w:rsid w:val="005E074E"/>
    <w:pPr>
      <w:tabs>
        <w:tab w:val="left" w:pos="1276"/>
      </w:tabs>
      <w:ind w:left="240"/>
      <w:jc w:val="left"/>
    </w:pPr>
    <w:rPr>
      <w:rFonts w:asciiTheme="minorHAnsi" w:hAnsiTheme="minorHAnsi"/>
      <w:b/>
      <w:sz w:val="22"/>
      <w:szCs w:val="22"/>
    </w:rPr>
  </w:style>
  <w:style w:type="paragraph" w:styleId="TOC1">
    <w:name w:val="toc 1"/>
    <w:basedOn w:val="Normal"/>
    <w:next w:val="Normal"/>
    <w:autoRedefine/>
    <w:uiPriority w:val="39"/>
    <w:unhideWhenUsed/>
    <w:rsid w:val="00A212EA"/>
    <w:pPr>
      <w:spacing w:before="120"/>
      <w:ind w:left="567" w:firstLine="0"/>
      <w:jc w:val="both"/>
    </w:pPr>
    <w:rPr>
      <w:rFonts w:asciiTheme="minorHAnsi" w:hAnsiTheme="minorHAnsi"/>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A441D"/>
    <w:pPr>
      <w:widowControl w:val="0"/>
      <w:spacing w:after="0" w:line="360" w:lineRule="auto"/>
      <w:ind w:firstLine="567"/>
      <w:jc w:val="center"/>
    </w:pPr>
    <w:rPr>
      <w:rFonts w:ascii="Times New Roman" w:eastAsia="Times New Roman" w:hAnsi="Times New Roman" w:cs="Times New Roman"/>
      <w:sz w:val="24"/>
      <w:szCs w:val="24"/>
      <w:lang w:eastAsia="pt-BR"/>
    </w:rPr>
  </w:style>
  <w:style w:type="paragraph" w:styleId="Heading1">
    <w:name w:val="heading 1"/>
    <w:basedOn w:val="Normal"/>
    <w:next w:val="Normal"/>
    <w:link w:val="Heading1Char"/>
    <w:uiPriority w:val="9"/>
    <w:qFormat/>
    <w:rsid w:val="001D420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51D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789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autoRedefine/>
    <w:qFormat/>
    <w:rsid w:val="00DA441D"/>
    <w:pPr>
      <w:jc w:val="both"/>
      <w:outlineLvl w:val="4"/>
    </w:pPr>
    <w:rPr>
      <w:b/>
    </w:rPr>
  </w:style>
  <w:style w:type="paragraph" w:styleId="Heading8">
    <w:name w:val="heading 8"/>
    <w:basedOn w:val="Normal"/>
    <w:next w:val="Normal"/>
    <w:link w:val="Heading8Char"/>
    <w:uiPriority w:val="9"/>
    <w:unhideWhenUsed/>
    <w:qFormat/>
    <w:rsid w:val="008978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A441D"/>
    <w:pPr>
      <w:numPr>
        <w:numId w:val="1"/>
      </w:numPr>
    </w:pPr>
    <w:rPr>
      <w:b/>
      <w:bCs/>
    </w:rPr>
  </w:style>
  <w:style w:type="character" w:customStyle="1" w:styleId="SubtitleChar">
    <w:name w:val="Subtitle Char"/>
    <w:basedOn w:val="DefaultParagraphFont"/>
    <w:link w:val="Subtitle"/>
    <w:rsid w:val="00DA441D"/>
    <w:rPr>
      <w:rFonts w:ascii="Times New Roman" w:eastAsia="Times New Roman" w:hAnsi="Times New Roman" w:cs="Times New Roman"/>
      <w:b/>
      <w:bCs/>
      <w:sz w:val="24"/>
      <w:szCs w:val="24"/>
      <w:lang w:eastAsia="pt-BR"/>
    </w:rPr>
  </w:style>
  <w:style w:type="character" w:customStyle="1" w:styleId="Heading5Char">
    <w:name w:val="Heading 5 Char"/>
    <w:basedOn w:val="DefaultParagraphFont"/>
    <w:link w:val="Heading5"/>
    <w:rsid w:val="00DA441D"/>
    <w:rPr>
      <w:rFonts w:ascii="Times New Roman" w:eastAsia="Times New Roman" w:hAnsi="Times New Roman" w:cs="Times New Roman"/>
      <w:b/>
      <w:sz w:val="24"/>
      <w:szCs w:val="24"/>
      <w:lang w:eastAsia="pt-BR"/>
    </w:rPr>
  </w:style>
  <w:style w:type="paragraph" w:customStyle="1" w:styleId="Estilo1">
    <w:name w:val="Estilo1"/>
    <w:basedOn w:val="Normal"/>
    <w:autoRedefine/>
    <w:rsid w:val="00DA441D"/>
    <w:pPr>
      <w:spacing w:before="240" w:after="240"/>
      <w:jc w:val="both"/>
    </w:pPr>
    <w:rPr>
      <w:sz w:val="28"/>
      <w:lang w:eastAsia="ar-SA"/>
    </w:rPr>
  </w:style>
  <w:style w:type="paragraph" w:styleId="Header">
    <w:name w:val="header"/>
    <w:basedOn w:val="Normal"/>
    <w:link w:val="HeaderChar"/>
    <w:uiPriority w:val="99"/>
    <w:unhideWhenUsed/>
    <w:rsid w:val="00DA441D"/>
    <w:pPr>
      <w:tabs>
        <w:tab w:val="center" w:pos="4252"/>
        <w:tab w:val="right" w:pos="8504"/>
      </w:tabs>
      <w:spacing w:line="240" w:lineRule="auto"/>
    </w:pPr>
  </w:style>
  <w:style w:type="character" w:customStyle="1" w:styleId="HeaderChar">
    <w:name w:val="Header Char"/>
    <w:basedOn w:val="DefaultParagraphFont"/>
    <w:link w:val="Header"/>
    <w:uiPriority w:val="99"/>
    <w:rsid w:val="00DA441D"/>
    <w:rPr>
      <w:rFonts w:ascii="Times New Roman" w:eastAsia="Times New Roman" w:hAnsi="Times New Roman" w:cs="Times New Roman"/>
      <w:sz w:val="24"/>
      <w:szCs w:val="24"/>
      <w:lang w:eastAsia="pt-BR"/>
    </w:rPr>
  </w:style>
  <w:style w:type="paragraph" w:styleId="Footer">
    <w:name w:val="footer"/>
    <w:basedOn w:val="Normal"/>
    <w:link w:val="FooterChar"/>
    <w:uiPriority w:val="99"/>
    <w:unhideWhenUsed/>
    <w:rsid w:val="00DA441D"/>
    <w:pPr>
      <w:tabs>
        <w:tab w:val="center" w:pos="4252"/>
        <w:tab w:val="right" w:pos="8504"/>
      </w:tabs>
      <w:spacing w:line="240" w:lineRule="auto"/>
    </w:pPr>
  </w:style>
  <w:style w:type="character" w:customStyle="1" w:styleId="FooterChar">
    <w:name w:val="Footer Char"/>
    <w:basedOn w:val="DefaultParagraphFont"/>
    <w:link w:val="Footer"/>
    <w:uiPriority w:val="99"/>
    <w:rsid w:val="00DA441D"/>
    <w:rPr>
      <w:rFonts w:ascii="Times New Roman" w:eastAsia="Times New Roman" w:hAnsi="Times New Roman" w:cs="Times New Roman"/>
      <w:sz w:val="24"/>
      <w:szCs w:val="24"/>
      <w:lang w:eastAsia="pt-BR"/>
    </w:rPr>
  </w:style>
  <w:style w:type="paragraph" w:styleId="ListParagraph">
    <w:name w:val="List Paragraph"/>
    <w:basedOn w:val="Normal"/>
    <w:link w:val="ListParagraphChar"/>
    <w:uiPriority w:val="34"/>
    <w:qFormat/>
    <w:rsid w:val="00EF4665"/>
    <w:pPr>
      <w:ind w:left="720"/>
      <w:contextualSpacing/>
    </w:pPr>
  </w:style>
  <w:style w:type="character" w:styleId="Hyperlink">
    <w:name w:val="Hyperlink"/>
    <w:basedOn w:val="DefaultParagraphFont"/>
    <w:rsid w:val="00EF4665"/>
    <w:rPr>
      <w:color w:val="0000FF"/>
      <w:u w:val="single"/>
    </w:rPr>
  </w:style>
  <w:style w:type="paragraph" w:styleId="List">
    <w:name w:val="List"/>
    <w:aliases w:val="Lista Char"/>
    <w:basedOn w:val="Normal"/>
    <w:autoRedefine/>
    <w:rsid w:val="00EF4665"/>
    <w:pPr>
      <w:spacing w:after="120"/>
      <w:ind w:left="567"/>
    </w:pPr>
  </w:style>
  <w:style w:type="paragraph" w:styleId="List2">
    <w:name w:val="List 2"/>
    <w:basedOn w:val="Normal"/>
    <w:autoRedefine/>
    <w:rsid w:val="00EF4665"/>
    <w:pPr>
      <w:spacing w:after="120"/>
      <w:ind w:left="720" w:hanging="360"/>
    </w:pPr>
  </w:style>
  <w:style w:type="paragraph" w:customStyle="1" w:styleId="western">
    <w:name w:val="western"/>
    <w:basedOn w:val="Normal"/>
    <w:rsid w:val="00EF4665"/>
    <w:pPr>
      <w:widowControl/>
      <w:suppressAutoHyphens/>
      <w:spacing w:before="100" w:after="119" w:line="100" w:lineRule="atLeast"/>
    </w:pPr>
    <w:rPr>
      <w:b/>
      <w:kern w:val="1"/>
      <w:lang w:eastAsia="ar-SA"/>
    </w:rPr>
  </w:style>
  <w:style w:type="paragraph" w:styleId="Title">
    <w:name w:val="Title"/>
    <w:basedOn w:val="Normal"/>
    <w:next w:val="Normal"/>
    <w:link w:val="TitleChar"/>
    <w:qFormat/>
    <w:rsid w:val="00C662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66218"/>
    <w:rPr>
      <w:rFonts w:asciiTheme="majorHAnsi" w:eastAsiaTheme="majorEastAsia" w:hAnsiTheme="majorHAnsi" w:cstheme="majorBidi"/>
      <w:color w:val="17365D" w:themeColor="text2" w:themeShade="BF"/>
      <w:spacing w:val="5"/>
      <w:kern w:val="28"/>
      <w:sz w:val="52"/>
      <w:szCs w:val="52"/>
      <w:lang w:eastAsia="pt-BR"/>
    </w:rPr>
  </w:style>
  <w:style w:type="paragraph" w:styleId="BalloonText">
    <w:name w:val="Balloon Text"/>
    <w:basedOn w:val="Normal"/>
    <w:link w:val="BalloonTextChar"/>
    <w:uiPriority w:val="99"/>
    <w:semiHidden/>
    <w:unhideWhenUsed/>
    <w:rsid w:val="001426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6E5"/>
    <w:rPr>
      <w:rFonts w:ascii="Tahoma" w:eastAsia="Times New Roman" w:hAnsi="Tahoma" w:cs="Tahoma"/>
      <w:sz w:val="16"/>
      <w:szCs w:val="16"/>
      <w:lang w:eastAsia="pt-BR"/>
    </w:rPr>
  </w:style>
  <w:style w:type="paragraph" w:styleId="BodyTextIndent">
    <w:name w:val="Body Text Indent"/>
    <w:basedOn w:val="Normal"/>
    <w:link w:val="BodyTextIndentChar"/>
    <w:rsid w:val="00A06937"/>
    <w:pPr>
      <w:widowControl/>
      <w:suppressAutoHyphens/>
      <w:spacing w:line="100" w:lineRule="atLeast"/>
      <w:ind w:left="1080" w:firstLine="0"/>
      <w:jc w:val="both"/>
    </w:pPr>
    <w:rPr>
      <w:kern w:val="1"/>
      <w:sz w:val="20"/>
      <w:szCs w:val="20"/>
      <w:lang w:val="es-ES" w:eastAsia="ar-SA"/>
    </w:rPr>
  </w:style>
  <w:style w:type="character" w:customStyle="1" w:styleId="BodyTextIndentChar">
    <w:name w:val="Body Text Indent Char"/>
    <w:basedOn w:val="DefaultParagraphFont"/>
    <w:link w:val="BodyTextIndent"/>
    <w:rsid w:val="00A06937"/>
    <w:rPr>
      <w:rFonts w:ascii="Times New Roman" w:eastAsia="Times New Roman" w:hAnsi="Times New Roman" w:cs="Times New Roman"/>
      <w:kern w:val="1"/>
      <w:sz w:val="20"/>
      <w:szCs w:val="20"/>
      <w:lang w:val="es-ES" w:eastAsia="ar-SA"/>
    </w:rPr>
  </w:style>
  <w:style w:type="paragraph" w:styleId="BodyText">
    <w:name w:val="Body Text"/>
    <w:basedOn w:val="Normal"/>
    <w:link w:val="BodyTextChar"/>
    <w:uiPriority w:val="99"/>
    <w:unhideWhenUsed/>
    <w:rsid w:val="00DE215D"/>
    <w:pPr>
      <w:spacing w:after="120"/>
    </w:pPr>
  </w:style>
  <w:style w:type="character" w:customStyle="1" w:styleId="BodyTextChar">
    <w:name w:val="Body Text Char"/>
    <w:basedOn w:val="DefaultParagraphFont"/>
    <w:link w:val="BodyText"/>
    <w:uiPriority w:val="99"/>
    <w:rsid w:val="00DE215D"/>
    <w:rPr>
      <w:rFonts w:ascii="Times New Roman" w:eastAsia="Times New Roman" w:hAnsi="Times New Roman" w:cs="Times New Roman"/>
      <w:sz w:val="24"/>
      <w:szCs w:val="24"/>
      <w:lang w:eastAsia="pt-BR"/>
    </w:rPr>
  </w:style>
  <w:style w:type="paragraph" w:customStyle="1" w:styleId="TtulodoTrabalho">
    <w:name w:val="Título do Trabalho"/>
    <w:basedOn w:val="ListParagraph"/>
    <w:link w:val="TtulodoTrabalhoChar"/>
    <w:qFormat/>
    <w:rsid w:val="00DE215D"/>
    <w:pPr>
      <w:widowControl/>
      <w:numPr>
        <w:numId w:val="2"/>
      </w:numPr>
      <w:spacing w:before="120" w:after="120" w:line="276" w:lineRule="auto"/>
      <w:jc w:val="both"/>
    </w:pPr>
    <w:rPr>
      <w:b/>
      <w:caps/>
      <w:sz w:val="28"/>
      <w:szCs w:val="28"/>
    </w:rPr>
  </w:style>
  <w:style w:type="paragraph" w:customStyle="1" w:styleId="SubttulodoTrabalho">
    <w:name w:val="Subtítulo do Trabalho"/>
    <w:basedOn w:val="ListParagraph"/>
    <w:link w:val="SubttulodoTrabalhoChar"/>
    <w:qFormat/>
    <w:rsid w:val="00DE215D"/>
    <w:pPr>
      <w:widowControl/>
      <w:numPr>
        <w:ilvl w:val="1"/>
        <w:numId w:val="2"/>
      </w:numPr>
      <w:spacing w:before="120" w:after="120" w:line="276" w:lineRule="auto"/>
      <w:ind w:left="567" w:hanging="567"/>
      <w:contextualSpacing w:val="0"/>
      <w:jc w:val="both"/>
    </w:pPr>
    <w:rPr>
      <w:b/>
      <w:color w:val="000000"/>
      <w:sz w:val="28"/>
      <w:szCs w:val="28"/>
    </w:rPr>
  </w:style>
  <w:style w:type="character" w:customStyle="1" w:styleId="ListParagraphChar">
    <w:name w:val="List Paragraph Char"/>
    <w:basedOn w:val="DefaultParagraphFont"/>
    <w:link w:val="ListParagraph"/>
    <w:uiPriority w:val="34"/>
    <w:rsid w:val="00DE215D"/>
    <w:rPr>
      <w:rFonts w:ascii="Times New Roman" w:eastAsia="Times New Roman" w:hAnsi="Times New Roman" w:cs="Times New Roman"/>
      <w:sz w:val="24"/>
      <w:szCs w:val="24"/>
      <w:lang w:eastAsia="pt-BR"/>
    </w:rPr>
  </w:style>
  <w:style w:type="character" w:customStyle="1" w:styleId="TtulodoTrabalhoChar">
    <w:name w:val="Título do Trabalho Char"/>
    <w:basedOn w:val="ListParagraphChar"/>
    <w:link w:val="TtulodoTrabalho"/>
    <w:rsid w:val="00DE215D"/>
    <w:rPr>
      <w:rFonts w:ascii="Times New Roman" w:eastAsia="Times New Roman" w:hAnsi="Times New Roman" w:cs="Times New Roman"/>
      <w:b/>
      <w:caps/>
      <w:sz w:val="28"/>
      <w:szCs w:val="28"/>
      <w:lang w:eastAsia="pt-BR"/>
    </w:rPr>
  </w:style>
  <w:style w:type="paragraph" w:customStyle="1" w:styleId="SubSubTtulodoTrabalho">
    <w:name w:val="SubSubTítulo do Trabalho"/>
    <w:basedOn w:val="ListParagraph"/>
    <w:link w:val="SubSubTtulodoTrabalhoChar"/>
    <w:qFormat/>
    <w:rsid w:val="00DE215D"/>
    <w:pPr>
      <w:widowControl/>
      <w:numPr>
        <w:ilvl w:val="2"/>
        <w:numId w:val="2"/>
      </w:numPr>
      <w:spacing w:before="120" w:after="120" w:line="276" w:lineRule="auto"/>
      <w:ind w:left="567"/>
      <w:contextualSpacing w:val="0"/>
      <w:jc w:val="both"/>
    </w:pPr>
    <w:rPr>
      <w:rFonts w:ascii="Arial" w:hAnsi="Arial"/>
      <w:b/>
      <w:color w:val="000000"/>
      <w:u w:val="single"/>
    </w:rPr>
  </w:style>
  <w:style w:type="character" w:customStyle="1" w:styleId="SubttulodoTrabalhoChar">
    <w:name w:val="Subtítulo do Trabalho Char"/>
    <w:basedOn w:val="ListParagraphChar"/>
    <w:link w:val="SubttulodoTrabalho"/>
    <w:rsid w:val="00DE215D"/>
    <w:rPr>
      <w:rFonts w:ascii="Times New Roman" w:eastAsia="Times New Roman" w:hAnsi="Times New Roman" w:cs="Times New Roman"/>
      <w:b/>
      <w:color w:val="000000"/>
      <w:sz w:val="28"/>
      <w:szCs w:val="28"/>
      <w:lang w:eastAsia="pt-BR"/>
    </w:rPr>
  </w:style>
  <w:style w:type="paragraph" w:customStyle="1" w:styleId="NormalTextoRic">
    <w:name w:val="Normal Texto Ric"/>
    <w:basedOn w:val="Normal"/>
    <w:link w:val="NormalTextoRicChar"/>
    <w:qFormat/>
    <w:rsid w:val="00DE215D"/>
    <w:pPr>
      <w:widowControl/>
      <w:spacing w:before="100" w:after="100"/>
      <w:ind w:firstLine="0"/>
      <w:jc w:val="both"/>
    </w:pPr>
    <w:rPr>
      <w:rFonts w:ascii="Arial" w:hAnsi="Arial" w:cs="Arial"/>
    </w:rPr>
  </w:style>
  <w:style w:type="character" w:customStyle="1" w:styleId="NormalTextoRicChar">
    <w:name w:val="Normal Texto Ric Char"/>
    <w:basedOn w:val="DefaultParagraphFont"/>
    <w:link w:val="NormalTextoRic"/>
    <w:rsid w:val="00DE215D"/>
    <w:rPr>
      <w:rFonts w:ascii="Arial" w:eastAsia="Times New Roman" w:hAnsi="Arial" w:cs="Arial"/>
      <w:sz w:val="24"/>
      <w:szCs w:val="24"/>
      <w:lang w:eastAsia="pt-BR"/>
    </w:rPr>
  </w:style>
  <w:style w:type="character" w:customStyle="1" w:styleId="SubSubTtulodoTrabalhoChar">
    <w:name w:val="SubSubTítulo do Trabalho Char"/>
    <w:basedOn w:val="ListParagraphChar"/>
    <w:link w:val="SubSubTtulodoTrabalho"/>
    <w:rsid w:val="009F4FA9"/>
    <w:rPr>
      <w:rFonts w:ascii="Arial" w:eastAsia="Times New Roman" w:hAnsi="Arial" w:cs="Times New Roman"/>
      <w:b/>
      <w:color w:val="000000"/>
      <w:sz w:val="24"/>
      <w:szCs w:val="24"/>
      <w:u w:val="single"/>
      <w:lang w:eastAsia="pt-BR"/>
    </w:rPr>
  </w:style>
  <w:style w:type="paragraph" w:styleId="FootnoteText">
    <w:name w:val="footnote text"/>
    <w:basedOn w:val="Normal"/>
    <w:link w:val="FootnoteTextChar"/>
    <w:uiPriority w:val="99"/>
    <w:unhideWhenUsed/>
    <w:rsid w:val="008019BD"/>
    <w:pPr>
      <w:spacing w:line="240" w:lineRule="auto"/>
    </w:pPr>
  </w:style>
  <w:style w:type="character" w:customStyle="1" w:styleId="FootnoteTextChar">
    <w:name w:val="Footnote Text Char"/>
    <w:basedOn w:val="DefaultParagraphFont"/>
    <w:link w:val="FootnoteText"/>
    <w:uiPriority w:val="99"/>
    <w:rsid w:val="008019BD"/>
    <w:rPr>
      <w:rFonts w:ascii="Times New Roman" w:eastAsia="Times New Roman" w:hAnsi="Times New Roman" w:cs="Times New Roman"/>
      <w:sz w:val="24"/>
      <w:szCs w:val="24"/>
      <w:lang w:eastAsia="pt-BR"/>
    </w:rPr>
  </w:style>
  <w:style w:type="character" w:styleId="FootnoteReference">
    <w:name w:val="footnote reference"/>
    <w:basedOn w:val="DefaultParagraphFont"/>
    <w:uiPriority w:val="99"/>
    <w:unhideWhenUsed/>
    <w:rsid w:val="008019BD"/>
    <w:rPr>
      <w:vertAlign w:val="superscript"/>
    </w:rPr>
  </w:style>
  <w:style w:type="paragraph" w:styleId="NormalWeb">
    <w:name w:val="Normal (Web)"/>
    <w:basedOn w:val="Normal"/>
    <w:uiPriority w:val="99"/>
    <w:unhideWhenUsed/>
    <w:rsid w:val="006B6140"/>
    <w:pPr>
      <w:widowControl/>
      <w:spacing w:before="100" w:beforeAutospacing="1" w:after="100" w:afterAutospacing="1" w:line="240" w:lineRule="auto"/>
      <w:ind w:firstLine="0"/>
      <w:jc w:val="left"/>
    </w:pPr>
  </w:style>
  <w:style w:type="paragraph" w:styleId="PlainText">
    <w:name w:val="Plain Text"/>
    <w:basedOn w:val="Normal"/>
    <w:link w:val="PlainTextChar"/>
    <w:uiPriority w:val="99"/>
    <w:unhideWhenUsed/>
    <w:rsid w:val="006B6140"/>
    <w:pPr>
      <w:widowControl/>
      <w:spacing w:line="240" w:lineRule="auto"/>
      <w:ind w:firstLine="0"/>
      <w:jc w:val="left"/>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6B6140"/>
    <w:rPr>
      <w:rFonts w:ascii="Consolas" w:eastAsia="Calibri" w:hAnsi="Consolas" w:cs="Times New Roman"/>
      <w:sz w:val="21"/>
      <w:szCs w:val="21"/>
    </w:rPr>
  </w:style>
  <w:style w:type="paragraph" w:customStyle="1" w:styleId="Default">
    <w:name w:val="Default"/>
    <w:rsid w:val="005A1E34"/>
    <w:pPr>
      <w:widowControl w:val="0"/>
      <w:autoSpaceDE w:val="0"/>
      <w:autoSpaceDN w:val="0"/>
      <w:adjustRightInd w:val="0"/>
      <w:spacing w:after="0" w:line="240" w:lineRule="auto"/>
    </w:pPr>
    <w:rPr>
      <w:rFonts w:ascii="Helvetica" w:eastAsia="Times New Roman" w:hAnsi="Helvetica" w:cs="Helvetica"/>
      <w:color w:val="000000"/>
      <w:sz w:val="24"/>
      <w:szCs w:val="24"/>
      <w:lang w:eastAsia="pt-BR"/>
    </w:rPr>
  </w:style>
  <w:style w:type="table" w:styleId="TableGrid">
    <w:name w:val="Table Grid"/>
    <w:basedOn w:val="TableNormal"/>
    <w:uiPriority w:val="59"/>
    <w:rsid w:val="00E84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8415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89789A"/>
    <w:rPr>
      <w:rFonts w:asciiTheme="majorHAnsi" w:eastAsiaTheme="majorEastAsia" w:hAnsiTheme="majorHAnsi" w:cstheme="majorBidi"/>
      <w:b/>
      <w:bCs/>
      <w:color w:val="4F81BD" w:themeColor="accent1"/>
      <w:sz w:val="24"/>
      <w:szCs w:val="24"/>
      <w:lang w:eastAsia="pt-BR"/>
    </w:rPr>
  </w:style>
  <w:style w:type="character" w:customStyle="1" w:styleId="Heading8Char">
    <w:name w:val="Heading 8 Char"/>
    <w:basedOn w:val="DefaultParagraphFont"/>
    <w:link w:val="Heading8"/>
    <w:uiPriority w:val="9"/>
    <w:rsid w:val="0089789A"/>
    <w:rPr>
      <w:rFonts w:asciiTheme="majorHAnsi" w:eastAsiaTheme="majorEastAsia" w:hAnsiTheme="majorHAnsi" w:cstheme="majorBidi"/>
      <w:color w:val="404040" w:themeColor="text1" w:themeTint="BF"/>
      <w:sz w:val="20"/>
      <w:szCs w:val="20"/>
      <w:lang w:eastAsia="pt-BR"/>
    </w:rPr>
  </w:style>
  <w:style w:type="paragraph" w:styleId="BodyTextIndent3">
    <w:name w:val="Body Text Indent 3"/>
    <w:basedOn w:val="Normal"/>
    <w:link w:val="BodyTextIndent3Char"/>
    <w:uiPriority w:val="99"/>
    <w:unhideWhenUsed/>
    <w:rsid w:val="0089789A"/>
    <w:pPr>
      <w:widowControl/>
      <w:spacing w:after="120" w:line="240" w:lineRule="auto"/>
      <w:ind w:left="283" w:firstLine="0"/>
      <w:jc w:val="left"/>
    </w:pPr>
    <w:rPr>
      <w:sz w:val="16"/>
      <w:szCs w:val="16"/>
    </w:rPr>
  </w:style>
  <w:style w:type="character" w:customStyle="1" w:styleId="BodyTextIndent3Char">
    <w:name w:val="Body Text Indent 3 Char"/>
    <w:basedOn w:val="DefaultParagraphFont"/>
    <w:link w:val="BodyTextIndent3"/>
    <w:uiPriority w:val="99"/>
    <w:rsid w:val="0089789A"/>
    <w:rPr>
      <w:rFonts w:ascii="Times New Roman" w:eastAsia="Times New Roman" w:hAnsi="Times New Roman" w:cs="Times New Roman"/>
      <w:sz w:val="16"/>
      <w:szCs w:val="16"/>
      <w:lang w:eastAsia="pt-BR"/>
    </w:rPr>
  </w:style>
  <w:style w:type="character" w:customStyle="1" w:styleId="Heading1Char">
    <w:name w:val="Heading 1 Char"/>
    <w:basedOn w:val="DefaultParagraphFont"/>
    <w:link w:val="Heading1"/>
    <w:uiPriority w:val="9"/>
    <w:rsid w:val="001D4203"/>
    <w:rPr>
      <w:rFonts w:asciiTheme="majorHAnsi" w:eastAsiaTheme="majorEastAsia" w:hAnsiTheme="majorHAnsi" w:cstheme="majorBidi"/>
      <w:b/>
      <w:bCs/>
      <w:color w:val="345A8A" w:themeColor="accent1" w:themeShade="B5"/>
      <w:sz w:val="32"/>
      <w:szCs w:val="32"/>
      <w:lang w:eastAsia="pt-BR"/>
    </w:rPr>
  </w:style>
  <w:style w:type="character" w:styleId="PageNumber">
    <w:name w:val="page number"/>
    <w:basedOn w:val="DefaultParagraphFont"/>
    <w:uiPriority w:val="99"/>
    <w:semiHidden/>
    <w:unhideWhenUsed/>
    <w:rsid w:val="009C237B"/>
  </w:style>
  <w:style w:type="character" w:styleId="Strong">
    <w:name w:val="Strong"/>
    <w:basedOn w:val="DefaultParagraphFont"/>
    <w:uiPriority w:val="22"/>
    <w:qFormat/>
    <w:rsid w:val="006A2E84"/>
    <w:rPr>
      <w:b/>
      <w:bCs/>
    </w:rPr>
  </w:style>
  <w:style w:type="character" w:customStyle="1" w:styleId="Heading2Char">
    <w:name w:val="Heading 2 Char"/>
    <w:basedOn w:val="DefaultParagraphFont"/>
    <w:link w:val="Heading2"/>
    <w:uiPriority w:val="9"/>
    <w:semiHidden/>
    <w:rsid w:val="00F51DA4"/>
    <w:rPr>
      <w:rFonts w:asciiTheme="majorHAnsi" w:eastAsiaTheme="majorEastAsia" w:hAnsiTheme="majorHAnsi" w:cstheme="majorBidi"/>
      <w:b/>
      <w:bCs/>
      <w:color w:val="4F81BD" w:themeColor="accent1"/>
      <w:sz w:val="26"/>
      <w:szCs w:val="26"/>
      <w:lang w:eastAsia="pt-BR"/>
    </w:rPr>
  </w:style>
  <w:style w:type="character" w:customStyle="1" w:styleId="apple-converted-space">
    <w:name w:val="apple-converted-space"/>
    <w:basedOn w:val="DefaultParagraphFont"/>
    <w:rsid w:val="00F51DA4"/>
  </w:style>
  <w:style w:type="table" w:styleId="LightShading-Accent1">
    <w:name w:val="Light Shading Accent 1"/>
    <w:basedOn w:val="TableNormal"/>
    <w:uiPriority w:val="60"/>
    <w:rsid w:val="00DC3F4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C3F4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DC3F4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4">
    <w:name w:val="Light Grid Accent 4"/>
    <w:basedOn w:val="TableNormal"/>
    <w:uiPriority w:val="62"/>
    <w:rsid w:val="0015226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textonormal">
    <w:name w:val="texto_normal"/>
    <w:basedOn w:val="Normal"/>
    <w:uiPriority w:val="99"/>
    <w:rsid w:val="008172DE"/>
    <w:pPr>
      <w:tabs>
        <w:tab w:val="left" w:pos="440"/>
        <w:tab w:val="right" w:leader="dot" w:pos="9072"/>
      </w:tabs>
      <w:autoSpaceDE w:val="0"/>
      <w:autoSpaceDN w:val="0"/>
      <w:adjustRightInd w:val="0"/>
      <w:spacing w:after="200" w:line="288" w:lineRule="auto"/>
      <w:ind w:left="142" w:firstLine="170"/>
      <w:jc w:val="both"/>
      <w:textAlignment w:val="center"/>
    </w:pPr>
    <w:rPr>
      <w:rFonts w:ascii="Aldine721 BT" w:eastAsia="Calibri" w:hAnsi="Aldine721 BT" w:cs="Aldine721 BT"/>
      <w:b/>
      <w:noProof/>
      <w:color w:val="000000"/>
      <w:sz w:val="20"/>
      <w:szCs w:val="20"/>
    </w:rPr>
  </w:style>
  <w:style w:type="paragraph" w:styleId="Caption">
    <w:name w:val="caption"/>
    <w:basedOn w:val="Normal"/>
    <w:next w:val="Normal"/>
    <w:uiPriority w:val="99"/>
    <w:qFormat/>
    <w:rsid w:val="003F465B"/>
    <w:pPr>
      <w:widowControl/>
      <w:spacing w:after="200" w:line="240" w:lineRule="auto"/>
      <w:ind w:firstLine="0"/>
      <w:jc w:val="left"/>
    </w:pPr>
    <w:rPr>
      <w:rFonts w:ascii="Calibri" w:eastAsia="Calibri" w:hAnsi="Calibri"/>
      <w:b/>
      <w:bCs/>
      <w:color w:val="4F81BD"/>
      <w:sz w:val="18"/>
      <w:szCs w:val="18"/>
      <w:lang w:eastAsia="en-US"/>
    </w:rPr>
  </w:style>
  <w:style w:type="paragraph" w:styleId="ListBullet">
    <w:name w:val="List Bullet"/>
    <w:basedOn w:val="Normal"/>
    <w:rsid w:val="007257F2"/>
    <w:pPr>
      <w:widowControl/>
      <w:tabs>
        <w:tab w:val="num" w:pos="360"/>
      </w:tabs>
      <w:spacing w:line="240" w:lineRule="auto"/>
      <w:ind w:left="360" w:hanging="360"/>
      <w:jc w:val="left"/>
    </w:pPr>
    <w:rPr>
      <w:rFonts w:ascii="Arial" w:hAnsi="Arial"/>
      <w:b/>
      <w:kern w:val="16"/>
      <w:szCs w:val="20"/>
      <w:lang w:val="en-US" w:eastAsia="en-US"/>
    </w:rPr>
  </w:style>
  <w:style w:type="paragraph" w:customStyle="1" w:styleId="CM23">
    <w:name w:val="CM23"/>
    <w:basedOn w:val="Normal"/>
    <w:next w:val="Normal"/>
    <w:uiPriority w:val="99"/>
    <w:rsid w:val="007257F2"/>
    <w:pPr>
      <w:autoSpaceDE w:val="0"/>
      <w:autoSpaceDN w:val="0"/>
      <w:adjustRightInd w:val="0"/>
      <w:spacing w:line="240" w:lineRule="auto"/>
      <w:ind w:firstLine="0"/>
      <w:jc w:val="left"/>
    </w:pPr>
    <w:rPr>
      <w:lang w:val="en-US" w:eastAsia="en-US"/>
    </w:rPr>
  </w:style>
  <w:style w:type="table" w:styleId="LightGrid-Accent1">
    <w:name w:val="Light Grid Accent 1"/>
    <w:basedOn w:val="TableNormal"/>
    <w:uiPriority w:val="62"/>
    <w:rsid w:val="00DD519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OCHeading">
    <w:name w:val="TOC Heading"/>
    <w:basedOn w:val="Heading1"/>
    <w:next w:val="Normal"/>
    <w:uiPriority w:val="39"/>
    <w:unhideWhenUsed/>
    <w:qFormat/>
    <w:rsid w:val="00381B9D"/>
    <w:pPr>
      <w:widowControl/>
      <w:spacing w:line="276" w:lineRule="auto"/>
      <w:ind w:firstLine="0"/>
      <w:jc w:val="left"/>
      <w:outlineLvl w:val="9"/>
    </w:pPr>
    <w:rPr>
      <w:color w:val="365F91" w:themeColor="accent1" w:themeShade="BF"/>
      <w:sz w:val="28"/>
      <w:szCs w:val="28"/>
      <w:lang w:val="en-US" w:eastAsia="en-US"/>
    </w:rPr>
  </w:style>
  <w:style w:type="paragraph" w:styleId="TOC2">
    <w:name w:val="toc 2"/>
    <w:basedOn w:val="Normal"/>
    <w:next w:val="Normal"/>
    <w:autoRedefine/>
    <w:uiPriority w:val="39"/>
    <w:unhideWhenUsed/>
    <w:rsid w:val="005E074E"/>
    <w:pPr>
      <w:tabs>
        <w:tab w:val="left" w:pos="1276"/>
      </w:tabs>
      <w:ind w:left="240"/>
      <w:jc w:val="left"/>
    </w:pPr>
    <w:rPr>
      <w:rFonts w:asciiTheme="minorHAnsi" w:hAnsiTheme="minorHAnsi"/>
      <w:b/>
      <w:sz w:val="22"/>
      <w:szCs w:val="22"/>
    </w:rPr>
  </w:style>
  <w:style w:type="paragraph" w:styleId="TOC1">
    <w:name w:val="toc 1"/>
    <w:basedOn w:val="Normal"/>
    <w:next w:val="Normal"/>
    <w:autoRedefine/>
    <w:uiPriority w:val="39"/>
    <w:unhideWhenUsed/>
    <w:rsid w:val="00A212EA"/>
    <w:pPr>
      <w:spacing w:before="120"/>
      <w:ind w:left="567" w:firstLine="0"/>
      <w:jc w:val="both"/>
    </w:pPr>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2015">
      <w:bodyDiv w:val="1"/>
      <w:marLeft w:val="0"/>
      <w:marRight w:val="0"/>
      <w:marTop w:val="0"/>
      <w:marBottom w:val="0"/>
      <w:divBdr>
        <w:top w:val="none" w:sz="0" w:space="0" w:color="auto"/>
        <w:left w:val="none" w:sz="0" w:space="0" w:color="auto"/>
        <w:bottom w:val="none" w:sz="0" w:space="0" w:color="auto"/>
        <w:right w:val="none" w:sz="0" w:space="0" w:color="auto"/>
      </w:divBdr>
    </w:div>
    <w:div w:id="472908082">
      <w:bodyDiv w:val="1"/>
      <w:marLeft w:val="0"/>
      <w:marRight w:val="0"/>
      <w:marTop w:val="0"/>
      <w:marBottom w:val="0"/>
      <w:divBdr>
        <w:top w:val="none" w:sz="0" w:space="0" w:color="auto"/>
        <w:left w:val="none" w:sz="0" w:space="0" w:color="auto"/>
        <w:bottom w:val="none" w:sz="0" w:space="0" w:color="auto"/>
        <w:right w:val="none" w:sz="0" w:space="0" w:color="auto"/>
      </w:divBdr>
    </w:div>
    <w:div w:id="695813640">
      <w:bodyDiv w:val="1"/>
      <w:marLeft w:val="0"/>
      <w:marRight w:val="0"/>
      <w:marTop w:val="0"/>
      <w:marBottom w:val="0"/>
      <w:divBdr>
        <w:top w:val="none" w:sz="0" w:space="0" w:color="auto"/>
        <w:left w:val="none" w:sz="0" w:space="0" w:color="auto"/>
        <w:bottom w:val="none" w:sz="0" w:space="0" w:color="auto"/>
        <w:right w:val="none" w:sz="0" w:space="0" w:color="auto"/>
      </w:divBdr>
      <w:divsChild>
        <w:div w:id="1048915049">
          <w:marLeft w:val="720"/>
          <w:marRight w:val="0"/>
          <w:marTop w:val="0"/>
          <w:marBottom w:val="160"/>
          <w:divBdr>
            <w:top w:val="none" w:sz="0" w:space="0" w:color="auto"/>
            <w:left w:val="none" w:sz="0" w:space="0" w:color="auto"/>
            <w:bottom w:val="none" w:sz="0" w:space="0" w:color="auto"/>
            <w:right w:val="none" w:sz="0" w:space="0" w:color="auto"/>
          </w:divBdr>
        </w:div>
        <w:div w:id="342127566">
          <w:marLeft w:val="720"/>
          <w:marRight w:val="0"/>
          <w:marTop w:val="0"/>
          <w:marBottom w:val="160"/>
          <w:divBdr>
            <w:top w:val="none" w:sz="0" w:space="0" w:color="auto"/>
            <w:left w:val="none" w:sz="0" w:space="0" w:color="auto"/>
            <w:bottom w:val="none" w:sz="0" w:space="0" w:color="auto"/>
            <w:right w:val="none" w:sz="0" w:space="0" w:color="auto"/>
          </w:divBdr>
        </w:div>
        <w:div w:id="218060613">
          <w:marLeft w:val="720"/>
          <w:marRight w:val="0"/>
          <w:marTop w:val="0"/>
          <w:marBottom w:val="160"/>
          <w:divBdr>
            <w:top w:val="none" w:sz="0" w:space="0" w:color="auto"/>
            <w:left w:val="none" w:sz="0" w:space="0" w:color="auto"/>
            <w:bottom w:val="none" w:sz="0" w:space="0" w:color="auto"/>
            <w:right w:val="none" w:sz="0" w:space="0" w:color="auto"/>
          </w:divBdr>
        </w:div>
        <w:div w:id="782767995">
          <w:marLeft w:val="720"/>
          <w:marRight w:val="0"/>
          <w:marTop w:val="0"/>
          <w:marBottom w:val="160"/>
          <w:divBdr>
            <w:top w:val="none" w:sz="0" w:space="0" w:color="auto"/>
            <w:left w:val="none" w:sz="0" w:space="0" w:color="auto"/>
            <w:bottom w:val="none" w:sz="0" w:space="0" w:color="auto"/>
            <w:right w:val="none" w:sz="0" w:space="0" w:color="auto"/>
          </w:divBdr>
        </w:div>
        <w:div w:id="1726026038">
          <w:marLeft w:val="720"/>
          <w:marRight w:val="0"/>
          <w:marTop w:val="0"/>
          <w:marBottom w:val="160"/>
          <w:divBdr>
            <w:top w:val="none" w:sz="0" w:space="0" w:color="auto"/>
            <w:left w:val="none" w:sz="0" w:space="0" w:color="auto"/>
            <w:bottom w:val="none" w:sz="0" w:space="0" w:color="auto"/>
            <w:right w:val="none" w:sz="0" w:space="0" w:color="auto"/>
          </w:divBdr>
        </w:div>
        <w:div w:id="68964713">
          <w:marLeft w:val="720"/>
          <w:marRight w:val="0"/>
          <w:marTop w:val="0"/>
          <w:marBottom w:val="160"/>
          <w:divBdr>
            <w:top w:val="none" w:sz="0" w:space="0" w:color="auto"/>
            <w:left w:val="none" w:sz="0" w:space="0" w:color="auto"/>
            <w:bottom w:val="none" w:sz="0" w:space="0" w:color="auto"/>
            <w:right w:val="none" w:sz="0" w:space="0" w:color="auto"/>
          </w:divBdr>
        </w:div>
        <w:div w:id="1396970075">
          <w:marLeft w:val="720"/>
          <w:marRight w:val="0"/>
          <w:marTop w:val="0"/>
          <w:marBottom w:val="160"/>
          <w:divBdr>
            <w:top w:val="none" w:sz="0" w:space="0" w:color="auto"/>
            <w:left w:val="none" w:sz="0" w:space="0" w:color="auto"/>
            <w:bottom w:val="none" w:sz="0" w:space="0" w:color="auto"/>
            <w:right w:val="none" w:sz="0" w:space="0" w:color="auto"/>
          </w:divBdr>
        </w:div>
      </w:divsChild>
    </w:div>
    <w:div w:id="862670815">
      <w:bodyDiv w:val="1"/>
      <w:marLeft w:val="0"/>
      <w:marRight w:val="0"/>
      <w:marTop w:val="0"/>
      <w:marBottom w:val="0"/>
      <w:divBdr>
        <w:top w:val="none" w:sz="0" w:space="0" w:color="auto"/>
        <w:left w:val="none" w:sz="0" w:space="0" w:color="auto"/>
        <w:bottom w:val="none" w:sz="0" w:space="0" w:color="auto"/>
        <w:right w:val="none" w:sz="0" w:space="0" w:color="auto"/>
      </w:divBdr>
    </w:div>
    <w:div w:id="1245989622">
      <w:bodyDiv w:val="1"/>
      <w:marLeft w:val="0"/>
      <w:marRight w:val="0"/>
      <w:marTop w:val="0"/>
      <w:marBottom w:val="0"/>
      <w:divBdr>
        <w:top w:val="none" w:sz="0" w:space="0" w:color="auto"/>
        <w:left w:val="none" w:sz="0" w:space="0" w:color="auto"/>
        <w:bottom w:val="none" w:sz="0" w:space="0" w:color="auto"/>
        <w:right w:val="none" w:sz="0" w:space="0" w:color="auto"/>
      </w:divBdr>
    </w:div>
    <w:div w:id="1305965345">
      <w:bodyDiv w:val="1"/>
      <w:marLeft w:val="0"/>
      <w:marRight w:val="0"/>
      <w:marTop w:val="0"/>
      <w:marBottom w:val="0"/>
      <w:divBdr>
        <w:top w:val="none" w:sz="0" w:space="0" w:color="auto"/>
        <w:left w:val="none" w:sz="0" w:space="0" w:color="auto"/>
        <w:bottom w:val="none" w:sz="0" w:space="0" w:color="auto"/>
        <w:right w:val="none" w:sz="0" w:space="0" w:color="auto"/>
      </w:divBdr>
      <w:divsChild>
        <w:div w:id="760295202">
          <w:marLeft w:val="720"/>
          <w:marRight w:val="0"/>
          <w:marTop w:val="0"/>
          <w:marBottom w:val="160"/>
          <w:divBdr>
            <w:top w:val="none" w:sz="0" w:space="0" w:color="auto"/>
            <w:left w:val="none" w:sz="0" w:space="0" w:color="auto"/>
            <w:bottom w:val="none" w:sz="0" w:space="0" w:color="auto"/>
            <w:right w:val="none" w:sz="0" w:space="0" w:color="auto"/>
          </w:divBdr>
        </w:div>
        <w:div w:id="1683239799">
          <w:marLeft w:val="720"/>
          <w:marRight w:val="0"/>
          <w:marTop w:val="0"/>
          <w:marBottom w:val="160"/>
          <w:divBdr>
            <w:top w:val="none" w:sz="0" w:space="0" w:color="auto"/>
            <w:left w:val="none" w:sz="0" w:space="0" w:color="auto"/>
            <w:bottom w:val="none" w:sz="0" w:space="0" w:color="auto"/>
            <w:right w:val="none" w:sz="0" w:space="0" w:color="auto"/>
          </w:divBdr>
        </w:div>
        <w:div w:id="943462434">
          <w:marLeft w:val="720"/>
          <w:marRight w:val="0"/>
          <w:marTop w:val="0"/>
          <w:marBottom w:val="160"/>
          <w:divBdr>
            <w:top w:val="none" w:sz="0" w:space="0" w:color="auto"/>
            <w:left w:val="none" w:sz="0" w:space="0" w:color="auto"/>
            <w:bottom w:val="none" w:sz="0" w:space="0" w:color="auto"/>
            <w:right w:val="none" w:sz="0" w:space="0" w:color="auto"/>
          </w:divBdr>
        </w:div>
        <w:div w:id="1268659407">
          <w:marLeft w:val="720"/>
          <w:marRight w:val="0"/>
          <w:marTop w:val="0"/>
          <w:marBottom w:val="160"/>
          <w:divBdr>
            <w:top w:val="none" w:sz="0" w:space="0" w:color="auto"/>
            <w:left w:val="none" w:sz="0" w:space="0" w:color="auto"/>
            <w:bottom w:val="none" w:sz="0" w:space="0" w:color="auto"/>
            <w:right w:val="none" w:sz="0" w:space="0" w:color="auto"/>
          </w:divBdr>
        </w:div>
        <w:div w:id="1008604767">
          <w:marLeft w:val="720"/>
          <w:marRight w:val="0"/>
          <w:marTop w:val="0"/>
          <w:marBottom w:val="160"/>
          <w:divBdr>
            <w:top w:val="none" w:sz="0" w:space="0" w:color="auto"/>
            <w:left w:val="none" w:sz="0" w:space="0" w:color="auto"/>
            <w:bottom w:val="none" w:sz="0" w:space="0" w:color="auto"/>
            <w:right w:val="none" w:sz="0" w:space="0" w:color="auto"/>
          </w:divBdr>
        </w:div>
        <w:div w:id="1047683095">
          <w:marLeft w:val="720"/>
          <w:marRight w:val="0"/>
          <w:marTop w:val="0"/>
          <w:marBottom w:val="160"/>
          <w:divBdr>
            <w:top w:val="none" w:sz="0" w:space="0" w:color="auto"/>
            <w:left w:val="none" w:sz="0" w:space="0" w:color="auto"/>
            <w:bottom w:val="none" w:sz="0" w:space="0" w:color="auto"/>
            <w:right w:val="none" w:sz="0" w:space="0" w:color="auto"/>
          </w:divBdr>
        </w:div>
        <w:div w:id="312874027">
          <w:marLeft w:val="720"/>
          <w:marRight w:val="0"/>
          <w:marTop w:val="0"/>
          <w:marBottom w:val="160"/>
          <w:divBdr>
            <w:top w:val="none" w:sz="0" w:space="0" w:color="auto"/>
            <w:left w:val="none" w:sz="0" w:space="0" w:color="auto"/>
            <w:bottom w:val="none" w:sz="0" w:space="0" w:color="auto"/>
            <w:right w:val="none" w:sz="0" w:space="0" w:color="auto"/>
          </w:divBdr>
        </w:div>
      </w:divsChild>
    </w:div>
    <w:div w:id="18480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9.emf"/><Relationship Id="rId8" Type="http://schemas.openxmlformats.org/officeDocument/2006/relationships/endnotes" Target="endnotes.xml"/><Relationship Id="rId26" Type="http://schemas.openxmlformats.org/officeDocument/2006/relationships/customXml" Target="../customXml/item2.xml"/><Relationship Id="rId21" Type="http://schemas.openxmlformats.org/officeDocument/2006/relationships/header" Target="header1.xml"/><Relationship Id="rId3" Type="http://schemas.openxmlformats.org/officeDocument/2006/relationships/styles" Target="styles.xml"/><Relationship Id="rId25" Type="http://schemas.openxmlformats.org/officeDocument/2006/relationships/theme" Target="theme/theme1.xml"/><Relationship Id="rId12" Type="http://schemas.openxmlformats.org/officeDocument/2006/relationships/image" Target="media/image4.emf"/><Relationship Id="rId17" Type="http://schemas.openxmlformats.org/officeDocument/2006/relationships/image" Target="media/image8.emf"/><Relationship Id="rId7" Type="http://schemas.openxmlformats.org/officeDocument/2006/relationships/footnotes" Target="footnotes.xml"/><Relationship Id="rId20" Type="http://schemas.openxmlformats.org/officeDocument/2006/relationships/chart" Target="charts/chart2.xml"/><Relationship Id="rId16" Type="http://schemas.openxmlformats.org/officeDocument/2006/relationships/image" Target="media/image7.emf"/><Relationship Id="rId2" Type="http://schemas.openxmlformats.org/officeDocument/2006/relationships/numbering" Target="numbering.xml"/><Relationship Id="rId29" Type="http://schemas.openxmlformats.org/officeDocument/2006/relationships/customXml" Target="../customXml/item5.xml"/><Relationship Id="rId24" Type="http://schemas.openxmlformats.org/officeDocument/2006/relationships/fontTable" Target="fontTable.xml"/><Relationship Id="rId1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1.xml"/><Relationship Id="rId15" Type="http://schemas.openxmlformats.org/officeDocument/2006/relationships/chart" Target="charts/chart1.xml"/><Relationship Id="rId5" Type="http://schemas.openxmlformats.org/officeDocument/2006/relationships/settings" Target="settings.xml"/><Relationship Id="rId28" Type="http://schemas.openxmlformats.org/officeDocument/2006/relationships/customXml" Target="../customXml/item4.xml"/><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customXml" Target="../customXml/item7.xml"/><Relationship Id="rId9" Type="http://schemas.openxmlformats.org/officeDocument/2006/relationships/image" Target="media/image1.emf"/><Relationship Id="rId22" Type="http://schemas.openxmlformats.org/officeDocument/2006/relationships/header" Target="header2.xml"/><Relationship Id="rId14" Type="http://schemas.openxmlformats.org/officeDocument/2006/relationships/image" Target="media/image6.emf"/><Relationship Id="rId4" Type="http://schemas.microsoft.com/office/2007/relationships/stylesWithEffects" Target="stylesWithEffects.xml"/><Relationship Id="rId27" Type="http://schemas.openxmlformats.org/officeDocument/2006/relationships/customXml" Target="../customXml/item3.xml"/><Relationship Id="rId30" Type="http://schemas.openxmlformats.org/officeDocument/2006/relationships/customXml" Target="../customXml/item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solidFill>
                  <a:srgbClr val="0000FF"/>
                </a:solidFill>
              </a:rPr>
              <a:t>Gráfico 1 - Prestadores de Serviços de Saneamento Considerados</a:t>
            </a:r>
            <a:r>
              <a:rPr lang="en-US" sz="1400" baseline="0">
                <a:solidFill>
                  <a:srgbClr val="0000FF"/>
                </a:solidFill>
              </a:rPr>
              <a:t> no Estudo</a:t>
            </a:r>
            <a:endParaRPr lang="en-US" sz="1400">
              <a:solidFill>
                <a:srgbClr val="0000FF"/>
              </a:solidFill>
            </a:endParaRPr>
          </a:p>
        </c:rich>
      </c:tx>
      <c:layout>
        <c:manualLayout>
          <c:xMode val="edge"/>
          <c:yMode val="edge"/>
          <c:x val="0.0893767453574418"/>
          <c:y val="0.0362830074581737"/>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Prestadores de Serviços de Saneamento</c:v>
                </c:pt>
              </c:strCache>
            </c:strRef>
          </c:tx>
          <c:dLbls>
            <c:dLbl>
              <c:idx val="1"/>
              <c:layout>
                <c:manualLayout>
                  <c:x val="-0.022303353308494"/>
                  <c:y val="-0.0182564157912029"/>
                </c:manualLayout>
              </c:layout>
              <c:showLegendKey val="0"/>
              <c:showVal val="1"/>
              <c:showCatName val="0"/>
              <c:showSerName val="0"/>
              <c:showPercent val="0"/>
              <c:showBubbleSize val="0"/>
            </c:dLbl>
            <c:dLbl>
              <c:idx val="3"/>
              <c:layout>
                <c:manualLayout>
                  <c:x val="-0.0138617491722284"/>
                  <c:y val="-0.0153007632763905"/>
                </c:manualLayout>
              </c:layout>
              <c:showLegendKey val="0"/>
              <c:showVal val="1"/>
              <c:showCatName val="0"/>
              <c:showSerName val="0"/>
              <c:showPercent val="0"/>
              <c:showBubbleSize val="0"/>
            </c:dLbl>
            <c:dLbl>
              <c:idx val="4"/>
              <c:layout>
                <c:manualLayout>
                  <c:x val="-0.0370800957029948"/>
                  <c:y val="-0.355249052848438"/>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1"/>
          </c:dLbls>
          <c:cat>
            <c:strRef>
              <c:f>Sheet1!$A$2:$A$7</c:f>
              <c:strCache>
                <c:ptCount val="6"/>
                <c:pt idx="0">
                  <c:v>Administração Pública Direta</c:v>
                </c:pt>
                <c:pt idx="1">
                  <c:v>Autarquia</c:v>
                </c:pt>
                <c:pt idx="2">
                  <c:v>Empresa Privada</c:v>
                </c:pt>
                <c:pt idx="3">
                  <c:v>Economia Mista com Administração Privada</c:v>
                </c:pt>
                <c:pt idx="4">
                  <c:v>Economia Mista com Administração Pública</c:v>
                </c:pt>
                <c:pt idx="5">
                  <c:v>Empresa Publica</c:v>
                </c:pt>
              </c:strCache>
            </c:strRef>
          </c:cat>
          <c:val>
            <c:numRef>
              <c:f>Sheet1!$B$2:$B$7</c:f>
              <c:numCache>
                <c:formatCode>General</c:formatCode>
                <c:ptCount val="6"/>
                <c:pt idx="0">
                  <c:v>32.0</c:v>
                </c:pt>
                <c:pt idx="1">
                  <c:v>161.0</c:v>
                </c:pt>
                <c:pt idx="2">
                  <c:v>83.0</c:v>
                </c:pt>
                <c:pt idx="3">
                  <c:v>83.0</c:v>
                </c:pt>
                <c:pt idx="4">
                  <c:v>1065.0</c:v>
                </c:pt>
                <c:pt idx="5">
                  <c:v>16.0</c:v>
                </c:pt>
              </c:numCache>
            </c:numRef>
          </c:val>
        </c:ser>
        <c:dLbls>
          <c:showLegendKey val="0"/>
          <c:showVal val="0"/>
          <c:showCatName val="0"/>
          <c:showSerName val="0"/>
          <c:showPercent val="0"/>
          <c:showBubbleSize val="0"/>
          <c:showLeaderLines val="1"/>
        </c:dLbls>
      </c:pie3DChart>
    </c:plotArea>
    <c:legend>
      <c:legendPos val="r"/>
      <c:layout/>
      <c:overlay val="0"/>
      <c:txPr>
        <a:bodyPr/>
        <a:lstStyle/>
        <a:p>
          <a:pPr>
            <a:defRPr b="1"/>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Gráfico 3 - Agências Reguladoras em Funcionamento</a:t>
            </a:r>
          </a:p>
        </c:rich>
      </c:tx>
      <c:layout>
        <c:manualLayout>
          <c:xMode val="edge"/>
          <c:yMode val="edge"/>
          <c:x val="0.100142652244881"/>
          <c:y val="0.0324710371756809"/>
        </c:manualLayout>
      </c:layout>
      <c:overlay val="0"/>
    </c:title>
    <c:autoTitleDeleted val="0"/>
    <c:plotArea>
      <c:layout/>
      <c:doughnutChart>
        <c:varyColors val="1"/>
        <c:ser>
          <c:idx val="0"/>
          <c:order val="0"/>
          <c:tx>
            <c:strRef>
              <c:f>Sheet1!$B$1</c:f>
              <c:strCache>
                <c:ptCount val="1"/>
                <c:pt idx="0">
                  <c:v>Agências Reguladoras</c:v>
                </c:pt>
              </c:strCache>
            </c:strRef>
          </c:tx>
          <c:dLbls>
            <c:txPr>
              <a:bodyPr/>
              <a:lstStyle/>
              <a:p>
                <a:pPr>
                  <a:defRPr sz="1200" b="1" i="0">
                    <a:solidFill>
                      <a:srgbClr val="FFFF00"/>
                    </a:solidFill>
                  </a:defRPr>
                </a:pPr>
                <a:endParaRPr lang="en-US"/>
              </a:p>
            </c:txPr>
            <c:showLegendKey val="0"/>
            <c:showVal val="1"/>
            <c:showCatName val="0"/>
            <c:showSerName val="0"/>
            <c:showPercent val="0"/>
            <c:showBubbleSize val="0"/>
            <c:showLeaderLines val="1"/>
          </c:dLbls>
          <c:cat>
            <c:strRef>
              <c:f>Sheet1!$A$2:$A$4</c:f>
              <c:strCache>
                <c:ptCount val="3"/>
                <c:pt idx="0">
                  <c:v>Estaduais</c:v>
                </c:pt>
                <c:pt idx="1">
                  <c:v>Intermunicipais </c:v>
                </c:pt>
                <c:pt idx="2">
                  <c:v>Municipais</c:v>
                </c:pt>
              </c:strCache>
            </c:strRef>
          </c:cat>
          <c:val>
            <c:numRef>
              <c:f>Sheet1!$B$2:$B$4</c:f>
              <c:numCache>
                <c:formatCode>General</c:formatCode>
                <c:ptCount val="3"/>
                <c:pt idx="0">
                  <c:v>27.0</c:v>
                </c:pt>
                <c:pt idx="1">
                  <c:v>3.0</c:v>
                </c:pt>
                <c:pt idx="2">
                  <c:v>16.0</c:v>
                </c:pt>
              </c:numCache>
            </c:numRef>
          </c:val>
        </c:ser>
        <c:dLbls>
          <c:showLegendKey val="0"/>
          <c:showVal val="0"/>
          <c:showCatName val="0"/>
          <c:showSerName val="0"/>
          <c:showPercent val="0"/>
          <c:showBubbleSize val="0"/>
          <c:showLeaderLines val="1"/>
        </c:dLbls>
        <c:firstSliceAng val="0"/>
        <c:holeSize val="50"/>
      </c:doughnutChart>
    </c:plotArea>
    <c:legend>
      <c:legendPos val="r"/>
      <c:layout/>
      <c:overlay val="0"/>
      <c:txPr>
        <a:bodyPr/>
        <a:lstStyle/>
        <a:p>
          <a:pPr>
            <a:defRPr sz="1200" b="1"/>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E6CAAFACF47D6C4191ECA3A7342DC04F" ma:contentTypeVersion="1756" ma:contentTypeDescription="A content type to manage public (operations) IDB documents" ma:contentTypeScope="" ma:versionID="0862c9ad9cfe4bdd8fd0d65c3797d46f">
  <xsd:schema xmlns:xsd="http://www.w3.org/2001/XMLSchema" xmlns:xs="http://www.w3.org/2001/XMLSchema" xmlns:p="http://schemas.microsoft.com/office/2006/metadata/properties" xmlns:ns2="cdc7663a-08f0-4737-9e8c-148ce897a09c" targetNamespace="http://schemas.microsoft.com/office/2006/metadata/properties" ma:root="true" ma:fieldsID="feb4dfc152fae9044eb54e1cdc750851"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BR-L1503"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e61f9b1-e23d-4f49-b3d7-56b991556c4b" ContentTypeId="0x0101001A458A224826124E8B45B1D613300CF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Brazil</TermName>
          <TermId xmlns="http://schemas.microsoft.com/office/infopath/2007/PartnerControls">7deb27ec-6837-4974-9aa8-6cfbac841ef8</TermId>
        </TermInfo>
      </Terms>
    </ic46d7e087fd4a108fb86518ca413cc6>
    <IDBDocs_x0020_Number xmlns="cdc7663a-08f0-4737-9e8c-148ce897a09c" xsi:nil="true"/>
    <Division_x0020_or_x0020_Unit xmlns="cdc7663a-08f0-4737-9e8c-148ce897a09c">INE/TSP</Division_x0020_or_x0020_Unit>
    <Fiscal_x0020_Year_x0020_IDB xmlns="cdc7663a-08f0-4737-9e8c-148ce897a09c">2018</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Taveras Marte,Alba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URBAN TRANSPORT INFRASTRUCTURE</TermName>
          <TermId xmlns="http://schemas.microsoft.com/office/infopath/2007/PartnerControls">302c5209-7a48-49db-8198-938a46f0cd26</TermId>
        </TermInfo>
      </Terms>
    </b2ec7cfb18674cb8803df6b262e8b107>
    <Business_x0020_Area xmlns="cdc7663a-08f0-4737-9e8c-148ce897a09c" xsi:nil="true"/>
    <Key_x0020_Document xmlns="cdc7663a-08f0-4737-9e8c-148ce897a09c">false</Key_x0020_Document>
    <Document_x0020_Language_x0020_IDB xmlns="cdc7663a-08f0-4737-9e8c-148ce897a09c">Portuguese</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Related_x0020_SisCor_x0020_Number xmlns="cdc7663a-08f0-4737-9e8c-148ce897a09c" xsi:nil="true"/>
    <TaxCatchAll xmlns="cdc7663a-08f0-4737-9e8c-148ce897a09c">
      <Value>34</Value>
      <Value>278</Value>
      <Value>30</Value>
      <Value>1</Value>
      <Value>35</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BR-L1503</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TRANSPORT</TermName>
          <TermId xmlns="http://schemas.microsoft.com/office/infopath/2007/PartnerControls">5a25d1a8-4baf-41a8-9e3b-e167accda6ea</TermId>
        </TermInfo>
      </Terms>
    </nddeef1749674d76abdbe4b239a70bc6>
    <Record_x0020_Number xmlns="cdc7663a-08f0-4737-9e8c-148ce897a09c">R0002226347</Record_x0020_Number>
    <_dlc_DocId xmlns="cdc7663a-08f0-4737-9e8c-148ce897a09c">EZSHARE-1133963158-36</_dlc_DocId>
    <_dlc_DocIdUrl xmlns="cdc7663a-08f0-4737-9e8c-148ce897a09c">
      <Url>https://idbg.sharepoint.com/teams/EZ-BR-LON/BR-L1503/_layouts/15/DocIdRedir.aspx?ID=EZSHARE-1133963158-36</Url>
      <Description>EZSHARE-1133963158-36</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8DAE15D8-C265-C84C-8F08-417D316BCA8E}">
  <ds:schemaRefs>
    <ds:schemaRef ds:uri="http://schemas.openxmlformats.org/officeDocument/2006/bibliography"/>
  </ds:schemaRefs>
</ds:datastoreItem>
</file>

<file path=customXml/itemProps2.xml><?xml version="1.0" encoding="utf-8"?>
<ds:datastoreItem xmlns:ds="http://schemas.openxmlformats.org/officeDocument/2006/customXml" ds:itemID="{E840CA38-D495-45E1-AA01-524B97352552}"/>
</file>

<file path=customXml/itemProps3.xml><?xml version="1.0" encoding="utf-8"?>
<ds:datastoreItem xmlns:ds="http://schemas.openxmlformats.org/officeDocument/2006/customXml" ds:itemID="{BDA37456-0EE4-464F-9F61-25A701723EE8}"/>
</file>

<file path=customXml/itemProps4.xml><?xml version="1.0" encoding="utf-8"?>
<ds:datastoreItem xmlns:ds="http://schemas.openxmlformats.org/officeDocument/2006/customXml" ds:itemID="{B9CA6646-F20F-42BF-87F2-74D6A704660E}"/>
</file>

<file path=customXml/itemProps5.xml><?xml version="1.0" encoding="utf-8"?>
<ds:datastoreItem xmlns:ds="http://schemas.openxmlformats.org/officeDocument/2006/customXml" ds:itemID="{F23F8C77-585A-4E39-8F61-9F079311A2E3}"/>
</file>

<file path=customXml/itemProps6.xml><?xml version="1.0" encoding="utf-8"?>
<ds:datastoreItem xmlns:ds="http://schemas.openxmlformats.org/officeDocument/2006/customXml" ds:itemID="{D4BE463B-4DB6-40D6-9ACE-016780AF603D}"/>
</file>

<file path=customXml/itemProps7.xml><?xml version="1.0" encoding="utf-8"?>
<ds:datastoreItem xmlns:ds="http://schemas.openxmlformats.org/officeDocument/2006/customXml" ds:itemID="{F193C31D-4013-46AA-B881-C305384753E7}"/>
</file>

<file path=docProps/app.xml><?xml version="1.0" encoding="utf-8"?>
<Properties xmlns="http://schemas.openxmlformats.org/officeDocument/2006/extended-properties" xmlns:vt="http://schemas.openxmlformats.org/officeDocument/2006/docPropsVTypes">
  <Template>Normal.dotm</Template>
  <TotalTime>992</TotalTime>
  <Pages>24</Pages>
  <Words>4606</Words>
  <Characters>26255</Characters>
  <Application>Microsoft Macintosh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TDR SAEC</vt:lpstr>
    </vt:vector>
  </TitlesOfParts>
  <Company/>
  <LinksUpToDate>false</LinksUpToDate>
  <CharactersWithSpaces>30800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TDR SAEC</dc:title>
  <dc:subject>Estruturação da autarquia</dc:subject>
  <dc:creator>"Acylino Santos</dc:creator>
  <cp:keywords/>
  <cp:lastModifiedBy>Acylino</cp:lastModifiedBy>
  <cp:revision>43</cp:revision>
  <cp:lastPrinted>2018-04-09T19:35:00Z</cp:lastPrinted>
  <dcterms:created xsi:type="dcterms:W3CDTF">2018-04-03T03:23:00Z</dcterms:created>
  <dcterms:modified xsi:type="dcterms:W3CDTF">2018-04-09T21:00:00Z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35;#URBAN TRANSPORT INFRASTRUCTURE|302c5209-7a48-49db-8198-938a46f0cd26</vt:lpwstr>
  </property>
  <property fmtid="{D5CDD505-2E9C-101B-9397-08002B2CF9AE}" pid="7" name="Fund IDB">
    <vt:lpwstr>278;#TBD|d62f6e05-3e80-4abd-9bb4-5f10b4906ff6</vt:lpwstr>
  </property>
  <property fmtid="{D5CDD505-2E9C-101B-9397-08002B2CF9AE}" pid="8" name="Country">
    <vt:lpwstr>30;#Brazil|7deb27ec-6837-4974-9aa8-6cfbac841ef8</vt:lpwstr>
  </property>
  <property fmtid="{D5CDD505-2E9C-101B-9397-08002B2CF9AE}" pid="9" name="Sector IDB">
    <vt:lpwstr>34;#TRANSPORT|5a25d1a8-4baf-41a8-9e3b-e167accda6ea</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bcec1047-0478-4e32-afc4-617b92fe086b</vt:lpwstr>
  </property>
  <property fmtid="{D5CDD505-2E9C-101B-9397-08002B2CF9AE}" pid="12" name="Disclosure Activity">
    <vt:lpwstr>Loan Proposal</vt:lpwstr>
  </property>
  <property fmtid="{D5CDD505-2E9C-101B-9397-08002B2CF9AE}" pid="13" name="ContentTypeId">
    <vt:lpwstr>0x0101001A458A224826124E8B45B1D613300CFC00E6CAAFACF47D6C4191ECA3A7342DC04F</vt:lpwstr>
  </property>
</Properties>
</file>